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Default="00DB47D8" w:rsidP="00DB47D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0BA7AFC-B438-44BE-9280-B7C5B1545501" style="width:455.25pt;height:342.75pt">
            <v:imagedata r:id="rId8" o:title=""/>
          </v:shape>
        </w:pict>
      </w:r>
    </w:p>
    <w:p w:rsidR="001A62D7" w:rsidRDefault="001A62D7" w:rsidP="001A62D7">
      <w:pPr>
        <w:rPr>
          <w:noProof/>
        </w:rPr>
        <w:sectPr w:rsidR="001A62D7" w:rsidSect="00DB47D8">
          <w:footerReference w:type="even" r:id="rId9"/>
          <w:footerReference w:type="default" r:id="rId10"/>
          <w:pgSz w:w="11907" w:h="16839"/>
          <w:pgMar w:top="1134" w:right="1417" w:bottom="1134" w:left="1417" w:header="709" w:footer="709" w:gutter="0"/>
          <w:pgNumType w:start="0"/>
          <w:cols w:space="720"/>
          <w:docGrid w:linePitch="360"/>
        </w:sectPr>
      </w:pPr>
    </w:p>
    <w:p w:rsidR="001A62D7" w:rsidRDefault="001A62D7" w:rsidP="001A62D7">
      <w:pPr>
        <w:pStyle w:val="Exposdesmotifstitre"/>
        <w:rPr>
          <w:noProof/>
        </w:rPr>
      </w:pPr>
      <w:bookmarkStart w:id="0" w:name="_GoBack"/>
      <w:bookmarkEnd w:id="0"/>
      <w:r w:rsidRPr="006F770D">
        <w:rPr>
          <w:noProof/>
        </w:rPr>
        <w:lastRenderedPageBreak/>
        <w:t>EXPLANATORY MEMORANDUM</w:t>
      </w:r>
    </w:p>
    <w:p w:rsidR="001A62D7" w:rsidRPr="006F770D" w:rsidRDefault="001A62D7" w:rsidP="001A62D7">
      <w:pPr>
        <w:pStyle w:val="ManualHeading1"/>
        <w:rPr>
          <w:noProof/>
        </w:rPr>
      </w:pPr>
      <w:r w:rsidRPr="006F770D">
        <w:rPr>
          <w:noProof/>
        </w:rPr>
        <w:t>CONTEXT OF THE PROPOSAL</w:t>
      </w:r>
    </w:p>
    <w:p w:rsidR="001A62D7" w:rsidRDefault="0063514A" w:rsidP="0063514A">
      <w:pPr>
        <w:pStyle w:val="ManualNumPar1"/>
        <w:rPr>
          <w:noProof/>
        </w:rPr>
      </w:pPr>
      <w:r w:rsidRPr="0063514A">
        <w:rPr>
          <w:noProof/>
        </w:rPr>
        <w:t>1.</w:t>
      </w:r>
      <w:r w:rsidRPr="0063514A">
        <w:rPr>
          <w:noProof/>
        </w:rPr>
        <w:tab/>
      </w:r>
      <w:r w:rsidR="001A62D7" w:rsidRPr="008D462D">
        <w:rPr>
          <w:noProof/>
        </w:rPr>
        <w:t xml:space="preserve">The rules applicable to financial contributions from the European Globalisation Adjustment Fund </w:t>
      </w:r>
      <w:r w:rsidR="001A62D7">
        <w:rPr>
          <w:noProof/>
        </w:rPr>
        <w:t xml:space="preserve">for Displaced Workers </w:t>
      </w:r>
      <w:r w:rsidR="001A62D7" w:rsidRPr="008D462D">
        <w:rPr>
          <w:noProof/>
        </w:rPr>
        <w:t xml:space="preserve">(EGF) are laid down in </w:t>
      </w:r>
      <w:r w:rsidR="001A62D7" w:rsidRPr="00B6657B">
        <w:rPr>
          <w:noProof/>
        </w:rPr>
        <w:t>Regulation (EU) 2021/691</w:t>
      </w:r>
      <w:r w:rsidR="001A62D7">
        <w:rPr>
          <w:noProof/>
        </w:rPr>
        <w:t xml:space="preserve"> </w:t>
      </w:r>
      <w:r w:rsidR="001A62D7" w:rsidRPr="00B6657B">
        <w:rPr>
          <w:noProof/>
        </w:rPr>
        <w:t>of the European Parliament and of the Council of 28 April 2021 on the European Globalisation Adjustment Fund for Displaced Workers (EGF) and repealing Regulation (EU) No 1309/2013</w:t>
      </w:r>
      <w:r w:rsidR="001A62D7" w:rsidRPr="00B6657B">
        <w:rPr>
          <w:rStyle w:val="FootnoteReference"/>
          <w:noProof/>
        </w:rPr>
        <w:footnoteReference w:id="1"/>
      </w:r>
      <w:r w:rsidR="001A62D7" w:rsidRPr="008D462D">
        <w:rPr>
          <w:noProof/>
        </w:rPr>
        <w:t>.</w:t>
      </w:r>
    </w:p>
    <w:p w:rsidR="001A62D7" w:rsidRDefault="0063514A" w:rsidP="0063514A">
      <w:pPr>
        <w:pStyle w:val="ManualNumPar1"/>
        <w:rPr>
          <w:noProof/>
        </w:rPr>
      </w:pPr>
      <w:r w:rsidRPr="0063514A">
        <w:rPr>
          <w:noProof/>
        </w:rPr>
        <w:t>2.</w:t>
      </w:r>
      <w:r w:rsidRPr="0063514A">
        <w:rPr>
          <w:noProof/>
        </w:rPr>
        <w:tab/>
      </w:r>
      <w:r w:rsidR="001A62D7">
        <w:rPr>
          <w:noProof/>
        </w:rPr>
        <w:t xml:space="preserve">On </w:t>
      </w:r>
      <w:r w:rsidR="004D4DFA">
        <w:rPr>
          <w:noProof/>
        </w:rPr>
        <w:t>18 September 2025</w:t>
      </w:r>
      <w:r w:rsidR="001A62D7">
        <w:rPr>
          <w:noProof/>
        </w:rPr>
        <w:t xml:space="preserve">, </w:t>
      </w:r>
      <w:r w:rsidR="00A824CE">
        <w:rPr>
          <w:noProof/>
        </w:rPr>
        <w:t>Belgium</w:t>
      </w:r>
      <w:r w:rsidR="001A62D7">
        <w:rPr>
          <w:noProof/>
        </w:rPr>
        <w:t xml:space="preserve"> </w:t>
      </w:r>
      <w:r w:rsidR="001A62D7" w:rsidRPr="008D462D">
        <w:rPr>
          <w:noProof/>
        </w:rPr>
        <w:t xml:space="preserve">submitted </w:t>
      </w:r>
      <w:r w:rsidR="001A62D7">
        <w:rPr>
          <w:noProof/>
        </w:rPr>
        <w:t xml:space="preserve">an </w:t>
      </w:r>
      <w:r w:rsidR="001A62D7" w:rsidRPr="008D462D">
        <w:rPr>
          <w:noProof/>
        </w:rPr>
        <w:t>application EGF/</w:t>
      </w:r>
      <w:bookmarkStart w:id="1" w:name="EGF_Ref_Year"/>
      <w:r w:rsidR="00A824CE">
        <w:rPr>
          <w:noProof/>
        </w:rPr>
        <w:t>2025</w:t>
      </w:r>
      <w:bookmarkEnd w:id="1"/>
      <w:r w:rsidR="001A62D7" w:rsidRPr="008D462D">
        <w:rPr>
          <w:noProof/>
        </w:rPr>
        <w:t>/</w:t>
      </w:r>
      <w:bookmarkStart w:id="2" w:name="EGF_Ref_CaseNumber"/>
      <w:r w:rsidR="00A824CE">
        <w:rPr>
          <w:noProof/>
        </w:rPr>
        <w:t>006</w:t>
      </w:r>
      <w:bookmarkEnd w:id="2"/>
      <w:r w:rsidR="001A62D7">
        <w:rPr>
          <w:noProof/>
        </w:rPr>
        <w:t> </w:t>
      </w:r>
      <w:bookmarkStart w:id="3" w:name="MS_Code"/>
      <w:r w:rsidR="00A824CE">
        <w:rPr>
          <w:noProof/>
        </w:rPr>
        <w:t>BE</w:t>
      </w:r>
      <w:bookmarkEnd w:id="3"/>
      <w:r w:rsidR="001A62D7" w:rsidRPr="008D462D">
        <w:rPr>
          <w:noProof/>
        </w:rPr>
        <w:t>/</w:t>
      </w:r>
      <w:bookmarkStart w:id="4" w:name="EGF_Ref_CaseName"/>
      <w:r w:rsidR="00A824CE">
        <w:rPr>
          <w:noProof/>
        </w:rPr>
        <w:t>Audi</w:t>
      </w:r>
      <w:bookmarkEnd w:id="4"/>
      <w:r w:rsidR="001A62D7" w:rsidRPr="008D462D">
        <w:rPr>
          <w:noProof/>
        </w:rPr>
        <w:t xml:space="preserve"> for a financial contribution from the EGF, following</w:t>
      </w:r>
      <w:r w:rsidR="001A62D7">
        <w:rPr>
          <w:noProof/>
        </w:rPr>
        <w:t xml:space="preserve"> displacements </w:t>
      </w:r>
      <w:r w:rsidR="001A62D7" w:rsidRPr="009429ED">
        <w:rPr>
          <w:noProof/>
        </w:rPr>
        <w:t>in</w:t>
      </w:r>
      <w:r w:rsidR="001A62D7">
        <w:rPr>
          <w:noProof/>
        </w:rPr>
        <w:t xml:space="preserve"> </w:t>
      </w:r>
      <w:bookmarkStart w:id="5" w:name="PrimEnterprise_Name"/>
      <w:r w:rsidR="00A824CE">
        <w:rPr>
          <w:noProof/>
        </w:rPr>
        <w:t>Audi (</w:t>
      </w:r>
      <w:r w:rsidR="00A824CE" w:rsidRPr="00A824CE">
        <w:rPr>
          <w:noProof/>
        </w:rPr>
        <w:t>Audi Brussels S.A.:n.V.</w:t>
      </w:r>
      <w:r w:rsidR="00A824CE">
        <w:rPr>
          <w:noProof/>
        </w:rPr>
        <w:t>)</w:t>
      </w:r>
      <w:bookmarkEnd w:id="5"/>
      <w:r w:rsidR="001A62D7">
        <w:rPr>
          <w:noProof/>
        </w:rPr>
        <w:t xml:space="preserve"> </w:t>
      </w:r>
      <w:r w:rsidR="001A62D7" w:rsidRPr="00AC2755">
        <w:rPr>
          <w:noProof/>
        </w:rPr>
        <w:t>and</w:t>
      </w:r>
      <w:r w:rsidR="00830DD7">
        <w:rPr>
          <w:noProof/>
        </w:rPr>
        <w:t xml:space="preserve"> its</w:t>
      </w:r>
      <w:r w:rsidR="00285019" w:rsidRPr="00AC2755">
        <w:rPr>
          <w:noProof/>
        </w:rPr>
        <w:t xml:space="preserve"> </w:t>
      </w:r>
      <w:r w:rsidR="001A62D7" w:rsidRPr="00AC2755">
        <w:rPr>
          <w:noProof/>
        </w:rPr>
        <w:t>suppliers and dowstream producers</w:t>
      </w:r>
      <w:r w:rsidR="00285019" w:rsidRPr="00AC2755">
        <w:rPr>
          <w:noProof/>
        </w:rPr>
        <w:t xml:space="preserve"> </w:t>
      </w:r>
      <w:r w:rsidR="001A62D7" w:rsidRPr="00AC2755">
        <w:rPr>
          <w:noProof/>
        </w:rPr>
        <w:t xml:space="preserve">in </w:t>
      </w:r>
      <w:bookmarkStart w:id="6" w:name="MS_Name"/>
      <w:r w:rsidR="00A824CE">
        <w:rPr>
          <w:noProof/>
        </w:rPr>
        <w:t>Belgium</w:t>
      </w:r>
      <w:bookmarkEnd w:id="6"/>
      <w:r w:rsidR="001A62D7">
        <w:rPr>
          <w:noProof/>
        </w:rPr>
        <w:t>.</w:t>
      </w:r>
    </w:p>
    <w:p w:rsidR="001A62D7" w:rsidRPr="00B1325C" w:rsidRDefault="0063514A" w:rsidP="0063514A">
      <w:pPr>
        <w:pStyle w:val="ManualNumPar1"/>
        <w:rPr>
          <w:noProof/>
        </w:rPr>
      </w:pPr>
      <w:r w:rsidRPr="0063514A">
        <w:rPr>
          <w:noProof/>
        </w:rPr>
        <w:t>3.</w:t>
      </w:r>
      <w:r w:rsidRPr="0063514A">
        <w:rPr>
          <w:noProof/>
        </w:rPr>
        <w:tab/>
      </w:r>
      <w:r w:rsidR="001A62D7" w:rsidRPr="00B1325C">
        <w:rPr>
          <w:noProof/>
        </w:rPr>
        <w:t xml:space="preserve">Following its assessment of this application, the Commission has concluded, in accordance with all applicable provisions of </w:t>
      </w:r>
      <w:r w:rsidR="001A62D7">
        <w:rPr>
          <w:noProof/>
        </w:rPr>
        <w:t>Regulation (EU) 2021/691</w:t>
      </w:r>
      <w:r w:rsidR="001A62D7" w:rsidRPr="00B1325C">
        <w:rPr>
          <w:noProof/>
        </w:rPr>
        <w:t>, that the conditions for awarding a financial contribution from the EGF</w:t>
      </w:r>
      <w:r w:rsidR="001A62D7">
        <w:rPr>
          <w:noProof/>
        </w:rPr>
        <w:t xml:space="preserve"> are met. </w:t>
      </w:r>
    </w:p>
    <w:p w:rsidR="001A62D7" w:rsidRPr="006F770D" w:rsidRDefault="001A62D7" w:rsidP="001A62D7">
      <w:pPr>
        <w:pStyle w:val="ManualHeading1"/>
        <w:rPr>
          <w:noProof/>
        </w:rPr>
      </w:pPr>
      <w:r>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644"/>
        <w:gridCol w:w="4643"/>
      </w:tblGrid>
      <w:tr w:rsidR="001A62D7" w:rsidRPr="008D462D" w:rsidTr="00605885">
        <w:tc>
          <w:tcPr>
            <w:tcW w:w="4644" w:type="dxa"/>
            <w:shd w:val="clear" w:color="auto" w:fill="auto"/>
          </w:tcPr>
          <w:p w:rsidR="001A62D7" w:rsidRPr="008D462D" w:rsidRDefault="001A62D7" w:rsidP="001D5990">
            <w:pPr>
              <w:spacing w:before="60" w:after="60"/>
              <w:jc w:val="left"/>
              <w:rPr>
                <w:rFonts w:eastAsia="Calibri"/>
                <w:noProof/>
              </w:rPr>
            </w:pPr>
            <w:r w:rsidRPr="008D462D">
              <w:rPr>
                <w:noProof/>
              </w:rPr>
              <w:t>EGF application</w:t>
            </w:r>
          </w:p>
        </w:tc>
        <w:tc>
          <w:tcPr>
            <w:tcW w:w="4643" w:type="dxa"/>
            <w:shd w:val="clear" w:color="auto" w:fill="auto"/>
          </w:tcPr>
          <w:p w:rsidR="001A62D7" w:rsidRPr="008D462D" w:rsidRDefault="001A62D7" w:rsidP="001D5990">
            <w:pPr>
              <w:spacing w:before="60" w:after="60"/>
              <w:ind w:rightChars="192" w:right="461"/>
              <w:jc w:val="left"/>
              <w:rPr>
                <w:rFonts w:eastAsia="Calibri"/>
                <w:noProof/>
              </w:rPr>
            </w:pPr>
            <w:r w:rsidRPr="008D462D">
              <w:rPr>
                <w:noProof/>
              </w:rPr>
              <w:t>EGF/</w:t>
            </w:r>
            <w:r w:rsidR="00A824CE">
              <w:rPr>
                <w:noProof/>
              </w:rPr>
              <w:t>2025</w:t>
            </w:r>
            <w:r w:rsidRPr="008D462D">
              <w:rPr>
                <w:noProof/>
              </w:rPr>
              <w:t>/</w:t>
            </w:r>
            <w:r w:rsidR="00A824CE">
              <w:rPr>
                <w:noProof/>
              </w:rPr>
              <w:t>006</w:t>
            </w:r>
            <w:r w:rsidRPr="008D462D">
              <w:rPr>
                <w:noProof/>
              </w:rPr>
              <w:t xml:space="preserve"> </w:t>
            </w:r>
            <w:r w:rsidR="00A824CE">
              <w:rPr>
                <w:noProof/>
              </w:rPr>
              <w:t>BE</w:t>
            </w:r>
            <w:r w:rsidRPr="008D462D">
              <w:rPr>
                <w:noProof/>
              </w:rPr>
              <w:t>/</w:t>
            </w:r>
            <w:r w:rsidR="00A824CE">
              <w:rPr>
                <w:noProof/>
              </w:rPr>
              <w:t>Audi</w:t>
            </w:r>
          </w:p>
        </w:tc>
      </w:tr>
      <w:tr w:rsidR="001A62D7" w:rsidRPr="008D462D" w:rsidTr="00605885">
        <w:tc>
          <w:tcPr>
            <w:tcW w:w="4644" w:type="dxa"/>
            <w:shd w:val="clear" w:color="auto" w:fill="auto"/>
          </w:tcPr>
          <w:p w:rsidR="001A62D7" w:rsidRPr="008D462D" w:rsidRDefault="001A62D7" w:rsidP="001D5990">
            <w:pPr>
              <w:spacing w:before="60" w:after="60"/>
              <w:jc w:val="left"/>
              <w:rPr>
                <w:rFonts w:eastAsia="Calibri"/>
                <w:noProof/>
              </w:rPr>
            </w:pPr>
            <w:r>
              <w:rPr>
                <w:rFonts w:eastAsia="Calibri"/>
                <w:noProof/>
              </w:rPr>
              <w:t>Member State</w:t>
            </w:r>
          </w:p>
        </w:tc>
        <w:tc>
          <w:tcPr>
            <w:tcW w:w="4643" w:type="dxa"/>
            <w:shd w:val="clear" w:color="auto" w:fill="auto"/>
          </w:tcPr>
          <w:p w:rsidR="001A62D7" w:rsidRPr="008D462D" w:rsidRDefault="00A824CE" w:rsidP="001D5990">
            <w:pPr>
              <w:spacing w:before="60" w:after="60"/>
              <w:ind w:rightChars="192" w:right="461"/>
              <w:jc w:val="left"/>
              <w:rPr>
                <w:rFonts w:eastAsia="Calibri"/>
                <w:noProof/>
              </w:rPr>
            </w:pPr>
            <w:r>
              <w:rPr>
                <w:noProof/>
              </w:rPr>
              <w:t>Belgium</w:t>
            </w:r>
          </w:p>
        </w:tc>
      </w:tr>
      <w:tr w:rsidR="001A62D7" w:rsidRPr="009429ED" w:rsidTr="00605885">
        <w:tc>
          <w:tcPr>
            <w:tcW w:w="4644" w:type="dxa"/>
            <w:tcBorders>
              <w:bottom w:val="single"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Reg</w:t>
            </w:r>
            <w:r>
              <w:rPr>
                <w:rFonts w:eastAsia="Calibri"/>
                <w:noProof/>
              </w:rPr>
              <w:t>ion(s) concerned (NUTS</w:t>
            </w:r>
            <w:r w:rsidRPr="006927AB">
              <w:rPr>
                <w:rStyle w:val="FootnoteReference"/>
                <w:noProof/>
              </w:rPr>
              <w:footnoteReference w:id="2"/>
            </w:r>
            <w:r>
              <w:rPr>
                <w:rFonts w:eastAsia="Calibri"/>
                <w:noProof/>
              </w:rPr>
              <w:t xml:space="preserve"> level 2)</w:t>
            </w:r>
            <w:r w:rsidR="001C4425">
              <w:rPr>
                <w:rStyle w:val="FootnoteReference"/>
                <w:rFonts w:eastAsia="Calibri"/>
                <w:noProof/>
              </w:rPr>
              <w:footnoteReference w:id="3"/>
            </w:r>
          </w:p>
        </w:tc>
        <w:tc>
          <w:tcPr>
            <w:tcW w:w="4643" w:type="dxa"/>
            <w:tcBorders>
              <w:bottom w:val="single" w:sz="4" w:space="0" w:color="auto"/>
            </w:tcBorders>
            <w:shd w:val="clear" w:color="auto" w:fill="auto"/>
          </w:tcPr>
          <w:p w:rsidR="00605885" w:rsidRPr="00B7285B" w:rsidRDefault="00605885" w:rsidP="00605885">
            <w:pPr>
              <w:spacing w:before="0" w:after="0"/>
              <w:ind w:rightChars="192" w:right="461"/>
              <w:jc w:val="left"/>
              <w:rPr>
                <w:noProof/>
                <w:szCs w:val="24"/>
                <w:lang w:val="fr-FR"/>
              </w:rPr>
            </w:pPr>
            <w:r w:rsidRPr="00B7285B">
              <w:rPr>
                <w:noProof/>
                <w:szCs w:val="24"/>
                <w:lang w:val="fr-FR"/>
              </w:rPr>
              <w:t>Région de Bruxelles-Capitale/</w:t>
            </w:r>
          </w:p>
          <w:p w:rsidR="00605885" w:rsidRPr="00B7285B" w:rsidRDefault="00605885" w:rsidP="00605885">
            <w:pPr>
              <w:spacing w:before="0" w:after="0"/>
              <w:ind w:rightChars="192" w:right="461"/>
              <w:jc w:val="left"/>
              <w:rPr>
                <w:noProof/>
                <w:szCs w:val="24"/>
                <w:lang w:val="fr-FR"/>
              </w:rPr>
            </w:pPr>
            <w:r w:rsidRPr="00B7285B">
              <w:rPr>
                <w:noProof/>
                <w:szCs w:val="24"/>
                <w:lang w:val="fr-FR"/>
              </w:rPr>
              <w:t>Brussels Hoofdstedelijk Gewest (BE10),</w:t>
            </w:r>
          </w:p>
          <w:p w:rsidR="001A62D7" w:rsidRPr="00605885" w:rsidRDefault="0020128B" w:rsidP="00605885">
            <w:pPr>
              <w:spacing w:before="0" w:after="0"/>
              <w:ind w:rightChars="192" w:right="461"/>
              <w:jc w:val="left"/>
              <w:rPr>
                <w:noProof/>
                <w:szCs w:val="24"/>
                <w:lang w:val="en-IE"/>
              </w:rPr>
            </w:pPr>
            <w:bookmarkStart w:id="7" w:name="Region_1_Name"/>
            <w:r w:rsidRPr="00605885">
              <w:rPr>
                <w:noProof/>
                <w:szCs w:val="24"/>
                <w:lang w:val="en-IE"/>
              </w:rPr>
              <w:t xml:space="preserve">Provincie </w:t>
            </w:r>
            <w:r w:rsidR="002728AF" w:rsidRPr="002728AF">
              <w:rPr>
                <w:noProof/>
                <w:szCs w:val="24"/>
                <w:lang w:val="en-IE"/>
              </w:rPr>
              <w:t>Oost-Vlaanderen</w:t>
            </w:r>
            <w:bookmarkEnd w:id="7"/>
            <w:r w:rsidR="002728AF">
              <w:rPr>
                <w:noProof/>
                <w:szCs w:val="24"/>
                <w:lang w:val="en-IE"/>
              </w:rPr>
              <w:t xml:space="preserve"> (BE23</w:t>
            </w:r>
            <w:r w:rsidR="001A62D7" w:rsidRPr="00605885">
              <w:rPr>
                <w:noProof/>
                <w:szCs w:val="24"/>
                <w:lang w:val="en-IE"/>
              </w:rPr>
              <w:t>)</w:t>
            </w:r>
            <w:r w:rsidRPr="00605885">
              <w:rPr>
                <w:noProof/>
                <w:szCs w:val="24"/>
                <w:lang w:val="en-IE"/>
              </w:rPr>
              <w:t>,</w:t>
            </w:r>
            <w:r w:rsidR="00605885" w:rsidRPr="00605885">
              <w:rPr>
                <w:noProof/>
                <w:szCs w:val="24"/>
                <w:lang w:val="en-IE"/>
              </w:rPr>
              <w:t xml:space="preserve"> and</w:t>
            </w:r>
          </w:p>
          <w:p w:rsidR="001A62D7" w:rsidRPr="009429ED" w:rsidRDefault="00605885" w:rsidP="008D17F5">
            <w:pPr>
              <w:spacing w:before="0" w:after="0"/>
              <w:ind w:rightChars="192" w:right="461"/>
              <w:jc w:val="left"/>
              <w:rPr>
                <w:noProof/>
                <w:szCs w:val="24"/>
              </w:rPr>
            </w:pPr>
            <w:r w:rsidRPr="00B24D3D">
              <w:rPr>
                <w:noProof/>
                <w:szCs w:val="24"/>
                <w:lang w:val="en-IE"/>
              </w:rPr>
              <w:t>Province Hainaut</w:t>
            </w:r>
            <w:r w:rsidR="001A62D7" w:rsidRPr="00B24D3D">
              <w:rPr>
                <w:noProof/>
                <w:szCs w:val="24"/>
                <w:lang w:val="en-IE"/>
              </w:rPr>
              <w:t xml:space="preserve"> (</w:t>
            </w:r>
            <w:r w:rsidRPr="00B24D3D">
              <w:rPr>
                <w:noProof/>
                <w:szCs w:val="24"/>
                <w:lang w:val="en-IE"/>
              </w:rPr>
              <w:t>BE3</w:t>
            </w:r>
            <w:r w:rsidR="00B24D3D" w:rsidRPr="00B24D3D">
              <w:rPr>
                <w:noProof/>
                <w:szCs w:val="24"/>
                <w:lang w:val="en-IE"/>
              </w:rPr>
              <w:t>2</w:t>
            </w:r>
            <w:r w:rsidR="001A62D7" w:rsidRPr="00B24D3D">
              <w:rPr>
                <w:noProof/>
                <w:szCs w:val="24"/>
                <w:lang w:val="en-IE"/>
              </w:rPr>
              <w:t>)</w:t>
            </w:r>
          </w:p>
        </w:tc>
      </w:tr>
      <w:tr w:rsidR="001A62D7" w:rsidRPr="008D462D" w:rsidTr="00605885">
        <w:tc>
          <w:tcPr>
            <w:tcW w:w="4644" w:type="dxa"/>
            <w:tcBorders>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Date o</w:t>
            </w:r>
            <w:r>
              <w:rPr>
                <w:rFonts w:eastAsia="Calibri"/>
                <w:noProof/>
              </w:rPr>
              <w:t>f submission of the application</w:t>
            </w:r>
          </w:p>
        </w:tc>
        <w:tc>
          <w:tcPr>
            <w:tcW w:w="4643" w:type="dxa"/>
            <w:tcBorders>
              <w:bottom w:val="dotted" w:sz="4" w:space="0" w:color="auto"/>
            </w:tcBorders>
            <w:shd w:val="clear" w:color="auto" w:fill="auto"/>
          </w:tcPr>
          <w:p w:rsidR="001A62D7" w:rsidRPr="008D462D" w:rsidRDefault="00A824CE" w:rsidP="001D5990">
            <w:pPr>
              <w:spacing w:before="60" w:after="60"/>
              <w:ind w:rightChars="192" w:right="461"/>
              <w:jc w:val="left"/>
              <w:rPr>
                <w:rFonts w:eastAsia="Calibri"/>
                <w:noProof/>
              </w:rPr>
            </w:pPr>
            <w:r>
              <w:rPr>
                <w:noProof/>
              </w:rPr>
              <w:t>18 September 2025</w:t>
            </w:r>
          </w:p>
        </w:tc>
      </w:tr>
      <w:tr w:rsidR="001A62D7" w:rsidRPr="008D462D" w:rsidTr="00605885">
        <w:tc>
          <w:tcPr>
            <w:tcW w:w="4644"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Date of acknowledgemen</w:t>
            </w:r>
            <w:r>
              <w:rPr>
                <w:rFonts w:eastAsia="Calibri"/>
                <w:noProof/>
              </w:rPr>
              <w:t>t of receipt of the application</w:t>
            </w:r>
          </w:p>
        </w:tc>
        <w:tc>
          <w:tcPr>
            <w:tcW w:w="4643" w:type="dxa"/>
            <w:tcBorders>
              <w:top w:val="dotted" w:sz="4" w:space="0" w:color="auto"/>
              <w:bottom w:val="dotted" w:sz="4" w:space="0" w:color="auto"/>
            </w:tcBorders>
            <w:shd w:val="clear" w:color="auto" w:fill="auto"/>
          </w:tcPr>
          <w:p w:rsidR="001A62D7" w:rsidRPr="008D462D" w:rsidRDefault="007D1CC7" w:rsidP="001D5990">
            <w:pPr>
              <w:spacing w:before="60" w:after="60"/>
              <w:ind w:rightChars="192" w:right="461"/>
              <w:jc w:val="left"/>
              <w:rPr>
                <w:rFonts w:eastAsia="Calibri"/>
                <w:noProof/>
              </w:rPr>
            </w:pPr>
            <w:r>
              <w:rPr>
                <w:noProof/>
              </w:rPr>
              <w:t>18 September 2025</w:t>
            </w:r>
          </w:p>
        </w:tc>
      </w:tr>
      <w:tr w:rsidR="001A62D7" w:rsidRPr="008D462D" w:rsidTr="00605885">
        <w:tc>
          <w:tcPr>
            <w:tcW w:w="4644"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Date of req</w:t>
            </w:r>
            <w:r>
              <w:rPr>
                <w:rFonts w:eastAsia="Calibri"/>
                <w:noProof/>
              </w:rPr>
              <w:t>uest for additional information</w:t>
            </w:r>
          </w:p>
        </w:tc>
        <w:tc>
          <w:tcPr>
            <w:tcW w:w="4643" w:type="dxa"/>
            <w:tcBorders>
              <w:top w:val="dotted" w:sz="4" w:space="0" w:color="auto"/>
              <w:bottom w:val="dotted" w:sz="4" w:space="0" w:color="auto"/>
            </w:tcBorders>
            <w:shd w:val="clear" w:color="auto" w:fill="auto"/>
          </w:tcPr>
          <w:p w:rsidR="001A62D7" w:rsidRPr="008D462D" w:rsidRDefault="007D1CC7" w:rsidP="001D5990">
            <w:pPr>
              <w:spacing w:before="60" w:after="60"/>
              <w:ind w:rightChars="192" w:right="461"/>
              <w:jc w:val="left"/>
              <w:rPr>
                <w:rFonts w:eastAsia="Calibri"/>
                <w:noProof/>
              </w:rPr>
            </w:pPr>
            <w:r>
              <w:rPr>
                <w:noProof/>
              </w:rPr>
              <w:t>2 October 2025</w:t>
            </w:r>
          </w:p>
        </w:tc>
      </w:tr>
      <w:tr w:rsidR="001A62D7" w:rsidRPr="008D462D" w:rsidTr="00605885">
        <w:tc>
          <w:tcPr>
            <w:tcW w:w="4644"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Deadline</w:t>
            </w:r>
            <w:r>
              <w:rPr>
                <w:rFonts w:eastAsia="Calibri"/>
                <w:noProof/>
              </w:rPr>
              <w:t xml:space="preserve"> for</w:t>
            </w:r>
            <w:r w:rsidRPr="008D462D">
              <w:rPr>
                <w:rFonts w:eastAsia="Calibri"/>
                <w:noProof/>
              </w:rPr>
              <w:t xml:space="preserve"> provisio</w:t>
            </w:r>
            <w:r>
              <w:rPr>
                <w:rFonts w:eastAsia="Calibri"/>
                <w:noProof/>
              </w:rPr>
              <w:t>n of the additional information</w:t>
            </w:r>
          </w:p>
        </w:tc>
        <w:tc>
          <w:tcPr>
            <w:tcW w:w="4643" w:type="dxa"/>
            <w:tcBorders>
              <w:top w:val="dotted" w:sz="4" w:space="0" w:color="auto"/>
              <w:bottom w:val="dotted" w:sz="4" w:space="0" w:color="auto"/>
            </w:tcBorders>
            <w:shd w:val="clear" w:color="auto" w:fill="auto"/>
          </w:tcPr>
          <w:p w:rsidR="001A62D7" w:rsidRPr="008D462D" w:rsidRDefault="007D1CC7" w:rsidP="001D5990">
            <w:pPr>
              <w:spacing w:before="60" w:after="60"/>
              <w:ind w:rightChars="192" w:right="461"/>
              <w:jc w:val="left"/>
              <w:rPr>
                <w:rFonts w:eastAsia="Calibri"/>
                <w:noProof/>
              </w:rPr>
            </w:pPr>
            <w:r>
              <w:rPr>
                <w:noProof/>
              </w:rPr>
              <w:t>23 October 2025</w:t>
            </w:r>
          </w:p>
        </w:tc>
      </w:tr>
      <w:tr w:rsidR="001A62D7" w:rsidRPr="008D462D" w:rsidTr="00605885">
        <w:tc>
          <w:tcPr>
            <w:tcW w:w="4644" w:type="dxa"/>
            <w:tcBorders>
              <w:top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Deadline for the completion of the a</w:t>
            </w:r>
            <w:r>
              <w:rPr>
                <w:rFonts w:eastAsia="Calibri"/>
                <w:noProof/>
              </w:rPr>
              <w:t>ssessment</w:t>
            </w:r>
          </w:p>
        </w:tc>
        <w:tc>
          <w:tcPr>
            <w:tcW w:w="4643" w:type="dxa"/>
            <w:tcBorders>
              <w:top w:val="dotted" w:sz="4" w:space="0" w:color="auto"/>
            </w:tcBorders>
            <w:shd w:val="clear" w:color="auto" w:fill="auto"/>
          </w:tcPr>
          <w:p w:rsidR="001A62D7" w:rsidRPr="008D462D" w:rsidRDefault="007D1CC7" w:rsidP="001D5990">
            <w:pPr>
              <w:spacing w:before="60" w:after="60"/>
              <w:ind w:rightChars="192" w:right="461"/>
              <w:jc w:val="left"/>
              <w:rPr>
                <w:rFonts w:eastAsia="Calibri"/>
                <w:noProof/>
              </w:rPr>
            </w:pPr>
            <w:r>
              <w:rPr>
                <w:noProof/>
              </w:rPr>
              <w:t>1</w:t>
            </w:r>
            <w:r w:rsidR="006C598A">
              <w:rPr>
                <w:noProof/>
              </w:rPr>
              <w:t>3</w:t>
            </w:r>
            <w:r>
              <w:rPr>
                <w:noProof/>
              </w:rPr>
              <w:t xml:space="preserve"> January 2026</w:t>
            </w:r>
          </w:p>
        </w:tc>
      </w:tr>
      <w:tr w:rsidR="001A62D7" w:rsidRPr="008D462D" w:rsidTr="00605885">
        <w:tc>
          <w:tcPr>
            <w:tcW w:w="4644" w:type="dxa"/>
            <w:shd w:val="clear" w:color="auto" w:fill="auto"/>
          </w:tcPr>
          <w:p w:rsidR="001A62D7" w:rsidRPr="008D462D" w:rsidRDefault="001A62D7" w:rsidP="001D5990">
            <w:pPr>
              <w:spacing w:before="60" w:after="60"/>
              <w:jc w:val="left"/>
              <w:rPr>
                <w:rFonts w:eastAsia="Calibri"/>
                <w:noProof/>
              </w:rPr>
            </w:pPr>
            <w:r>
              <w:rPr>
                <w:rFonts w:eastAsia="Calibri"/>
                <w:noProof/>
              </w:rPr>
              <w:t>Intervention criterion</w:t>
            </w:r>
          </w:p>
        </w:tc>
        <w:tc>
          <w:tcPr>
            <w:tcW w:w="4643" w:type="dxa"/>
            <w:shd w:val="clear" w:color="auto" w:fill="auto"/>
          </w:tcPr>
          <w:p w:rsidR="001A62D7" w:rsidRPr="008D462D" w:rsidRDefault="001A62D7" w:rsidP="001D5990">
            <w:pPr>
              <w:spacing w:before="60" w:after="60"/>
              <w:ind w:rightChars="192" w:right="461"/>
              <w:jc w:val="left"/>
              <w:rPr>
                <w:rFonts w:eastAsia="Calibri"/>
                <w:noProof/>
              </w:rPr>
            </w:pPr>
            <w:r w:rsidRPr="008D462D">
              <w:rPr>
                <w:rFonts w:eastAsia="Calibri"/>
                <w:noProof/>
              </w:rPr>
              <w:t>Article </w:t>
            </w:r>
            <w:r>
              <w:rPr>
                <w:rFonts w:eastAsia="Calibri"/>
                <w:noProof/>
              </w:rPr>
              <w:t>4</w:t>
            </w:r>
            <w:r w:rsidRPr="008D462D">
              <w:rPr>
                <w:rFonts w:eastAsia="Calibri"/>
                <w:noProof/>
              </w:rPr>
              <w:t>(</w:t>
            </w:r>
            <w:r w:rsidR="00285019">
              <w:rPr>
                <w:rFonts w:eastAsia="Calibri"/>
                <w:noProof/>
              </w:rPr>
              <w:t>2</w:t>
            </w:r>
            <w:r w:rsidRPr="008D462D">
              <w:rPr>
                <w:rFonts w:eastAsia="Calibri"/>
                <w:noProof/>
              </w:rPr>
              <w:t>)</w:t>
            </w:r>
            <w:r>
              <w:rPr>
                <w:rFonts w:eastAsia="Calibri"/>
                <w:noProof/>
              </w:rPr>
              <w:t>, point (</w:t>
            </w:r>
            <w:r w:rsidR="00285019">
              <w:rPr>
                <w:rFonts w:eastAsia="Calibri"/>
                <w:noProof/>
              </w:rPr>
              <w:t>a</w:t>
            </w:r>
            <w:r w:rsidRPr="008D462D">
              <w:rPr>
                <w:rFonts w:eastAsia="Calibri"/>
                <w:noProof/>
              </w:rPr>
              <w:t>)</w:t>
            </w:r>
            <w:r>
              <w:rPr>
                <w:rFonts w:eastAsia="Calibri"/>
                <w:noProof/>
              </w:rPr>
              <w:t>,</w:t>
            </w:r>
            <w:r w:rsidRPr="008D462D">
              <w:rPr>
                <w:rFonts w:eastAsia="Calibri"/>
                <w:noProof/>
              </w:rPr>
              <w:t xml:space="preserve"> of </w:t>
            </w:r>
            <w:r>
              <w:rPr>
                <w:rFonts w:eastAsia="Calibri"/>
                <w:noProof/>
              </w:rPr>
              <w:t>Regulation (EU) 2021/691</w:t>
            </w:r>
          </w:p>
        </w:tc>
      </w:tr>
      <w:tr w:rsidR="001A62D7" w:rsidRPr="00046483" w:rsidTr="00605885">
        <w:tc>
          <w:tcPr>
            <w:tcW w:w="4644" w:type="dxa"/>
            <w:tcBorders>
              <w:top w:val="single" w:sz="4" w:space="0" w:color="auto"/>
              <w:bottom w:val="single" w:sz="4" w:space="0" w:color="auto"/>
              <w:right w:val="single" w:sz="4" w:space="0" w:color="auto"/>
            </w:tcBorders>
            <w:shd w:val="clear" w:color="auto" w:fill="auto"/>
          </w:tcPr>
          <w:p w:rsidR="001A62D7" w:rsidRPr="006927AB" w:rsidRDefault="001A62D7" w:rsidP="001D5990">
            <w:pPr>
              <w:spacing w:before="60" w:after="60"/>
              <w:jc w:val="left"/>
              <w:rPr>
                <w:rFonts w:eastAsia="Calibri"/>
                <w:noProof/>
              </w:rPr>
            </w:pPr>
            <w:r w:rsidRPr="006927AB">
              <w:rPr>
                <w:noProof/>
              </w:rPr>
              <w:br w:type="page"/>
            </w:r>
            <w:r w:rsidRPr="006927AB">
              <w:rPr>
                <w:rFonts w:eastAsia="Calibri"/>
                <w:noProof/>
              </w:rPr>
              <w:t>Primary enterprise</w:t>
            </w:r>
          </w:p>
        </w:tc>
        <w:tc>
          <w:tcPr>
            <w:tcW w:w="4643" w:type="dxa"/>
            <w:tcBorders>
              <w:top w:val="single" w:sz="4" w:space="0" w:color="auto"/>
              <w:left w:val="single" w:sz="4" w:space="0" w:color="auto"/>
              <w:bottom w:val="single" w:sz="4" w:space="0" w:color="auto"/>
            </w:tcBorders>
            <w:shd w:val="clear" w:color="auto" w:fill="auto"/>
          </w:tcPr>
          <w:p w:rsidR="001A62D7" w:rsidRPr="00830DD7" w:rsidRDefault="007D1CC7" w:rsidP="001D5990">
            <w:pPr>
              <w:spacing w:before="60" w:after="60"/>
              <w:ind w:rightChars="192" w:right="461"/>
              <w:jc w:val="left"/>
              <w:rPr>
                <w:noProof/>
                <w:szCs w:val="24"/>
                <w:lang w:val="fr-BE"/>
              </w:rPr>
            </w:pPr>
            <w:r w:rsidRPr="00830DD7">
              <w:rPr>
                <w:noProof/>
                <w:lang w:val="fr-BE"/>
              </w:rPr>
              <w:t>Audi (Audi Brussels S.A.:n.V.)</w:t>
            </w:r>
          </w:p>
        </w:tc>
      </w:tr>
      <w:tr w:rsidR="001A62D7" w:rsidRPr="005D6BC7" w:rsidTr="00605885">
        <w:tc>
          <w:tcPr>
            <w:tcW w:w="4644" w:type="dxa"/>
            <w:shd w:val="clear" w:color="auto" w:fill="auto"/>
          </w:tcPr>
          <w:p w:rsidR="001A62D7" w:rsidRDefault="001A62D7" w:rsidP="001D5990">
            <w:pPr>
              <w:spacing w:before="60" w:after="60"/>
              <w:jc w:val="left"/>
              <w:rPr>
                <w:rFonts w:eastAsia="Calibri"/>
                <w:noProof/>
              </w:rPr>
            </w:pPr>
            <w:r>
              <w:rPr>
                <w:rFonts w:eastAsia="Calibri"/>
                <w:noProof/>
              </w:rPr>
              <w:t>Sectors of economic activity</w:t>
            </w:r>
          </w:p>
          <w:p w:rsidR="001A62D7" w:rsidRPr="008D462D" w:rsidRDefault="001A62D7" w:rsidP="001D5990">
            <w:pPr>
              <w:spacing w:before="60" w:after="60"/>
              <w:jc w:val="left"/>
              <w:rPr>
                <w:rFonts w:eastAsia="Calibri"/>
                <w:noProof/>
              </w:rPr>
            </w:pPr>
            <w:r w:rsidRPr="008D462D">
              <w:rPr>
                <w:rFonts w:eastAsia="Calibri"/>
                <w:noProof/>
              </w:rPr>
              <w:t>(NACE Rev</w:t>
            </w:r>
            <w:r>
              <w:rPr>
                <w:rFonts w:eastAsia="Calibri"/>
                <w:noProof/>
              </w:rPr>
              <w:t>ision</w:t>
            </w:r>
            <w:r w:rsidRPr="008D462D">
              <w:rPr>
                <w:rFonts w:eastAsia="Calibri"/>
                <w:noProof/>
              </w:rPr>
              <w:t xml:space="preserve"> 2 </w:t>
            </w:r>
            <w:r>
              <w:rPr>
                <w:rFonts w:eastAsia="Calibri"/>
                <w:noProof/>
              </w:rPr>
              <w:t>d</w:t>
            </w:r>
            <w:r w:rsidRPr="008D462D">
              <w:rPr>
                <w:rFonts w:eastAsia="Calibri"/>
                <w:noProof/>
              </w:rPr>
              <w:t>ivision)</w:t>
            </w:r>
            <w:r>
              <w:rPr>
                <w:rStyle w:val="FootnoteReference"/>
                <w:noProof/>
                <w:szCs w:val="24"/>
              </w:rPr>
              <w:footnoteReference w:id="4"/>
            </w:r>
          </w:p>
        </w:tc>
        <w:tc>
          <w:tcPr>
            <w:tcW w:w="4643" w:type="dxa"/>
            <w:shd w:val="clear" w:color="auto" w:fill="auto"/>
          </w:tcPr>
          <w:p w:rsidR="001A62D7" w:rsidRPr="001C4425" w:rsidRDefault="001A62D7" w:rsidP="007D1CC7">
            <w:pPr>
              <w:spacing w:before="60" w:after="60"/>
              <w:ind w:rightChars="192" w:right="461"/>
              <w:jc w:val="left"/>
              <w:rPr>
                <w:rFonts w:eastAsia="Calibri"/>
                <w:noProof/>
                <w:lang w:val="en-IE"/>
              </w:rPr>
            </w:pPr>
            <w:r w:rsidRPr="007D1CC7">
              <w:rPr>
                <w:noProof/>
                <w:szCs w:val="24"/>
                <w:lang w:val="en-IE"/>
              </w:rPr>
              <w:t xml:space="preserve">Division </w:t>
            </w:r>
            <w:r w:rsidR="007D1CC7" w:rsidRPr="007D1CC7">
              <w:rPr>
                <w:noProof/>
                <w:szCs w:val="24"/>
                <w:lang w:val="en-IE"/>
              </w:rPr>
              <w:t>29</w:t>
            </w:r>
            <w:r w:rsidRPr="007D1CC7">
              <w:rPr>
                <w:noProof/>
                <w:szCs w:val="24"/>
                <w:lang w:val="en-IE"/>
              </w:rPr>
              <w:t xml:space="preserve"> (</w:t>
            </w:r>
            <w:r w:rsidR="007D1CC7" w:rsidRPr="007D1CC7">
              <w:rPr>
                <w:noProof/>
                <w:szCs w:val="24"/>
                <w:lang w:val="en-IE"/>
              </w:rPr>
              <w:t>Manufacture of motor vehicles, trailers and semi-trailers</w:t>
            </w:r>
            <w:r w:rsidRPr="007D1CC7">
              <w:rPr>
                <w:noProof/>
                <w:szCs w:val="24"/>
                <w:lang w:val="en-IE"/>
              </w:rPr>
              <w:t>)</w:t>
            </w:r>
            <w:r w:rsidR="00424B7A">
              <w:rPr>
                <w:noProof/>
                <w:szCs w:val="24"/>
                <w:lang w:val="en-IE"/>
              </w:rPr>
              <w:t>.</w:t>
            </w:r>
          </w:p>
        </w:tc>
      </w:tr>
      <w:tr w:rsidR="001A62D7" w:rsidRPr="008D462D" w:rsidTr="00605885">
        <w:tc>
          <w:tcPr>
            <w:tcW w:w="4644" w:type="dxa"/>
            <w:shd w:val="clear" w:color="auto" w:fill="auto"/>
          </w:tcPr>
          <w:p w:rsidR="001A62D7" w:rsidRPr="006927AB" w:rsidRDefault="001A62D7" w:rsidP="001D5990">
            <w:pPr>
              <w:spacing w:before="60" w:after="60"/>
              <w:jc w:val="left"/>
              <w:rPr>
                <w:rFonts w:eastAsia="Calibri"/>
                <w:noProof/>
              </w:rPr>
            </w:pPr>
            <w:r w:rsidRPr="001C4425">
              <w:rPr>
                <w:noProof/>
                <w:lang w:val="en-IE"/>
              </w:rPr>
              <w:br w:type="page"/>
            </w:r>
            <w:r w:rsidRPr="006927AB">
              <w:rPr>
                <w:rFonts w:eastAsia="Calibri"/>
                <w:noProof/>
              </w:rPr>
              <w:t>Number of subsidiaries, suppliers and downstream producers</w:t>
            </w:r>
          </w:p>
        </w:tc>
        <w:tc>
          <w:tcPr>
            <w:tcW w:w="4643" w:type="dxa"/>
            <w:shd w:val="clear" w:color="auto" w:fill="auto"/>
          </w:tcPr>
          <w:p w:rsidR="001A62D7" w:rsidRPr="006927AB" w:rsidRDefault="007D1CC7" w:rsidP="001D5990">
            <w:pPr>
              <w:spacing w:before="60" w:after="60"/>
              <w:ind w:rightChars="192" w:right="461"/>
              <w:jc w:val="left"/>
              <w:rPr>
                <w:rFonts w:eastAsia="Calibri"/>
                <w:noProof/>
              </w:rPr>
            </w:pPr>
            <w:r>
              <w:rPr>
                <w:rFonts w:eastAsia="Calibri"/>
                <w:noProof/>
              </w:rPr>
              <w:t>5</w:t>
            </w:r>
            <w:r w:rsidR="00424B7A">
              <w:rPr>
                <w:rStyle w:val="FootnoteReference"/>
                <w:rFonts w:eastAsia="Calibri"/>
                <w:noProof/>
              </w:rPr>
              <w:footnoteReference w:id="5"/>
            </w:r>
          </w:p>
        </w:tc>
      </w:tr>
      <w:tr w:rsidR="001A62D7" w:rsidRPr="008D462D" w:rsidTr="00605885">
        <w:tc>
          <w:tcPr>
            <w:tcW w:w="4644" w:type="dxa"/>
            <w:tcBorders>
              <w:bottom w:val="single" w:sz="4" w:space="0" w:color="auto"/>
            </w:tcBorders>
            <w:shd w:val="clear" w:color="auto" w:fill="auto"/>
          </w:tcPr>
          <w:p w:rsidR="001A62D7" w:rsidRPr="008D462D" w:rsidRDefault="001A62D7" w:rsidP="001D5990">
            <w:pPr>
              <w:spacing w:before="60" w:after="60"/>
              <w:jc w:val="left"/>
              <w:rPr>
                <w:rFonts w:eastAsia="Calibri"/>
                <w:noProof/>
              </w:rPr>
            </w:pPr>
            <w:r>
              <w:rPr>
                <w:rFonts w:eastAsia="Calibri"/>
                <w:noProof/>
              </w:rPr>
              <w:t>Reference period (</w:t>
            </w:r>
            <w:r w:rsidR="00285019">
              <w:rPr>
                <w:rFonts w:eastAsia="Calibri"/>
                <w:noProof/>
              </w:rPr>
              <w:t>four</w:t>
            </w:r>
            <w:r>
              <w:rPr>
                <w:rFonts w:eastAsia="Calibri"/>
                <w:noProof/>
              </w:rPr>
              <w:t xml:space="preserve"> months):</w:t>
            </w:r>
          </w:p>
        </w:tc>
        <w:tc>
          <w:tcPr>
            <w:tcW w:w="4643" w:type="dxa"/>
            <w:tcBorders>
              <w:bottom w:val="single" w:sz="4" w:space="0" w:color="auto"/>
            </w:tcBorders>
            <w:shd w:val="clear" w:color="auto" w:fill="auto"/>
          </w:tcPr>
          <w:p w:rsidR="001A62D7" w:rsidRPr="008D462D" w:rsidRDefault="007D1CC7" w:rsidP="001D5990">
            <w:pPr>
              <w:spacing w:before="60" w:after="60"/>
              <w:ind w:rightChars="192" w:right="461"/>
              <w:jc w:val="left"/>
              <w:rPr>
                <w:rFonts w:eastAsia="Calibri"/>
                <w:noProof/>
              </w:rPr>
            </w:pPr>
            <w:r>
              <w:rPr>
                <w:noProof/>
              </w:rPr>
              <w:t>28 February 2025</w:t>
            </w:r>
            <w:r w:rsidR="001A62D7" w:rsidRPr="008D462D">
              <w:rPr>
                <w:rFonts w:eastAsia="Calibri"/>
                <w:noProof/>
              </w:rPr>
              <w:t xml:space="preserve"> </w:t>
            </w:r>
            <w:r>
              <w:rPr>
                <w:rFonts w:eastAsia="Calibri"/>
                <w:noProof/>
              </w:rPr>
              <w:t>–</w:t>
            </w:r>
            <w:r w:rsidR="001A62D7" w:rsidRPr="008D462D">
              <w:rPr>
                <w:rFonts w:eastAsia="Calibri"/>
                <w:noProof/>
              </w:rPr>
              <w:t xml:space="preserve"> </w:t>
            </w:r>
            <w:r>
              <w:rPr>
                <w:noProof/>
              </w:rPr>
              <w:t>28 June 2025</w:t>
            </w:r>
          </w:p>
        </w:tc>
      </w:tr>
      <w:tr w:rsidR="001A62D7" w:rsidRPr="00DF2488" w:rsidTr="00605885">
        <w:tc>
          <w:tcPr>
            <w:tcW w:w="4644" w:type="dxa"/>
            <w:tcBorders>
              <w:bottom w:val="dotted" w:sz="4" w:space="0" w:color="auto"/>
            </w:tcBorders>
            <w:shd w:val="clear" w:color="auto" w:fill="auto"/>
          </w:tcPr>
          <w:p w:rsidR="001A62D7" w:rsidRPr="00DF2488" w:rsidRDefault="001A62D7" w:rsidP="001D5990">
            <w:pPr>
              <w:spacing w:before="60" w:after="60"/>
              <w:jc w:val="left"/>
              <w:rPr>
                <w:rFonts w:eastAsia="Calibri"/>
                <w:noProof/>
                <w:highlight w:val="magenta"/>
              </w:rPr>
            </w:pPr>
            <w:r w:rsidRPr="00E438FE">
              <w:rPr>
                <w:rFonts w:eastAsia="Calibri"/>
                <w:noProof/>
              </w:rPr>
              <w:t xml:space="preserve">Number of </w:t>
            </w:r>
            <w:r>
              <w:rPr>
                <w:rFonts w:eastAsia="Calibri"/>
                <w:noProof/>
              </w:rPr>
              <w:t>displacements</w:t>
            </w:r>
            <w:r w:rsidRPr="00E438FE">
              <w:rPr>
                <w:rFonts w:eastAsia="Calibri"/>
                <w:noProof/>
              </w:rPr>
              <w:t xml:space="preserve"> during the reference period (</w:t>
            </w:r>
            <w:r w:rsidRPr="00E438FE">
              <w:rPr>
                <w:rFonts w:eastAsia="Calibri"/>
                <w:i/>
                <w:noProof/>
              </w:rPr>
              <w:t>a</w:t>
            </w:r>
            <w:r w:rsidRPr="00E438FE">
              <w:rPr>
                <w:rFonts w:eastAsia="Calibri"/>
                <w:noProof/>
              </w:rPr>
              <w:t>)</w:t>
            </w:r>
          </w:p>
        </w:tc>
        <w:tc>
          <w:tcPr>
            <w:tcW w:w="4643" w:type="dxa"/>
            <w:tcBorders>
              <w:bottom w:val="dotted" w:sz="4" w:space="0" w:color="auto"/>
            </w:tcBorders>
            <w:shd w:val="clear" w:color="auto" w:fill="auto"/>
          </w:tcPr>
          <w:p w:rsidR="001A62D7" w:rsidRPr="00DF2488" w:rsidRDefault="007D1CC7" w:rsidP="001D5990">
            <w:pPr>
              <w:spacing w:before="60" w:after="60"/>
              <w:ind w:rightChars="192" w:right="461"/>
              <w:jc w:val="left"/>
              <w:rPr>
                <w:rFonts w:eastAsia="Calibri"/>
                <w:noProof/>
                <w:highlight w:val="magenta"/>
              </w:rPr>
            </w:pPr>
            <w:r>
              <w:rPr>
                <w:noProof/>
              </w:rPr>
              <w:t>3 148</w:t>
            </w:r>
          </w:p>
        </w:tc>
      </w:tr>
      <w:tr w:rsidR="001A62D7" w:rsidRPr="008D462D" w:rsidTr="00605885">
        <w:tc>
          <w:tcPr>
            <w:tcW w:w="4644" w:type="dxa"/>
            <w:tcBorders>
              <w:top w:val="dotted" w:sz="4" w:space="0" w:color="auto"/>
              <w:bottom w:val="dotted" w:sz="4" w:space="0" w:color="auto"/>
            </w:tcBorders>
            <w:shd w:val="clear" w:color="auto" w:fill="auto"/>
          </w:tcPr>
          <w:p w:rsidR="001A62D7" w:rsidRPr="00DF2488" w:rsidRDefault="001A62D7" w:rsidP="001D5990">
            <w:pPr>
              <w:spacing w:before="60" w:after="60"/>
              <w:jc w:val="left"/>
              <w:rPr>
                <w:rFonts w:eastAsia="Calibri"/>
                <w:noProof/>
                <w:highlight w:val="magenta"/>
              </w:rPr>
            </w:pPr>
            <w:r w:rsidRPr="00E438FE">
              <w:rPr>
                <w:rFonts w:eastAsia="Calibri"/>
                <w:noProof/>
              </w:rPr>
              <w:t xml:space="preserve">Number of </w:t>
            </w:r>
            <w:r>
              <w:rPr>
                <w:rFonts w:eastAsia="Calibri"/>
                <w:noProof/>
              </w:rPr>
              <w:t>displacements</w:t>
            </w:r>
            <w:r w:rsidRPr="00E438FE">
              <w:rPr>
                <w:rFonts w:eastAsia="Calibri"/>
                <w:noProof/>
              </w:rPr>
              <w:t xml:space="preserve"> before or after the reference period (</w:t>
            </w:r>
            <w:r w:rsidRPr="00E438FE">
              <w:rPr>
                <w:rFonts w:eastAsia="Calibri"/>
                <w:i/>
                <w:noProof/>
              </w:rPr>
              <w:t>b</w:t>
            </w:r>
            <w:r w:rsidRPr="00E438FE">
              <w:rPr>
                <w:rFonts w:eastAsia="Calibri"/>
                <w:noProof/>
              </w:rPr>
              <w:t>)</w:t>
            </w:r>
          </w:p>
        </w:tc>
        <w:tc>
          <w:tcPr>
            <w:tcW w:w="4643" w:type="dxa"/>
            <w:tcBorders>
              <w:top w:val="dotted" w:sz="4" w:space="0" w:color="auto"/>
              <w:bottom w:val="dotted" w:sz="4" w:space="0" w:color="auto"/>
            </w:tcBorders>
            <w:shd w:val="clear" w:color="auto" w:fill="auto"/>
          </w:tcPr>
          <w:p w:rsidR="001A62D7" w:rsidRPr="008D462D" w:rsidRDefault="007D1CC7" w:rsidP="001D5990">
            <w:pPr>
              <w:spacing w:before="60" w:after="60"/>
              <w:ind w:rightChars="192" w:right="461"/>
              <w:jc w:val="left"/>
              <w:rPr>
                <w:rFonts w:eastAsia="Calibri"/>
                <w:noProof/>
              </w:rPr>
            </w:pPr>
            <w:r>
              <w:rPr>
                <w:noProof/>
              </w:rPr>
              <w:t>266</w:t>
            </w:r>
          </w:p>
        </w:tc>
      </w:tr>
      <w:tr w:rsidR="001A62D7" w:rsidRPr="008D462D" w:rsidTr="00605885">
        <w:tc>
          <w:tcPr>
            <w:tcW w:w="4644" w:type="dxa"/>
            <w:tcBorders>
              <w:top w:val="dotted" w:sz="4" w:space="0" w:color="auto"/>
              <w:bottom w:val="single"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 xml:space="preserve">Total number of </w:t>
            </w:r>
            <w:r>
              <w:rPr>
                <w:rFonts w:eastAsia="Calibri"/>
                <w:noProof/>
              </w:rPr>
              <w:t>displacements</w:t>
            </w:r>
            <w:r w:rsidRPr="008D462D">
              <w:rPr>
                <w:rFonts w:eastAsia="Calibri"/>
                <w:noProof/>
              </w:rPr>
              <w:t xml:space="preserve"> </w:t>
            </w:r>
            <w:r w:rsidRPr="00E438FE">
              <w:rPr>
                <w:rFonts w:eastAsia="Calibri"/>
                <w:noProof/>
              </w:rPr>
              <w:t>(</w:t>
            </w:r>
            <w:r w:rsidRPr="00E438FE">
              <w:rPr>
                <w:rFonts w:eastAsia="Calibri"/>
                <w:i/>
                <w:noProof/>
              </w:rPr>
              <w:t>a</w:t>
            </w:r>
            <w:r w:rsidRPr="00E438FE">
              <w:rPr>
                <w:rFonts w:eastAsia="Calibri"/>
                <w:noProof/>
              </w:rPr>
              <w:t xml:space="preserve"> + </w:t>
            </w:r>
            <w:r w:rsidRPr="00E438FE">
              <w:rPr>
                <w:rFonts w:eastAsia="Calibri"/>
                <w:i/>
                <w:noProof/>
              </w:rPr>
              <w:t>b</w:t>
            </w:r>
            <w:r w:rsidRPr="00E438FE">
              <w:rPr>
                <w:rFonts w:eastAsia="Calibri"/>
                <w:noProof/>
              </w:rPr>
              <w:t>)</w:t>
            </w:r>
          </w:p>
        </w:tc>
        <w:tc>
          <w:tcPr>
            <w:tcW w:w="4643" w:type="dxa"/>
            <w:tcBorders>
              <w:top w:val="dotted" w:sz="4" w:space="0" w:color="auto"/>
              <w:bottom w:val="single" w:sz="4" w:space="0" w:color="auto"/>
            </w:tcBorders>
            <w:shd w:val="clear" w:color="auto" w:fill="auto"/>
          </w:tcPr>
          <w:p w:rsidR="001A62D7" w:rsidRPr="008D462D" w:rsidRDefault="007D1CC7" w:rsidP="001D5990">
            <w:pPr>
              <w:spacing w:before="60" w:after="60"/>
              <w:ind w:rightChars="192" w:right="461"/>
              <w:jc w:val="left"/>
              <w:rPr>
                <w:rFonts w:eastAsia="Calibri"/>
                <w:noProof/>
              </w:rPr>
            </w:pPr>
            <w:r>
              <w:rPr>
                <w:noProof/>
              </w:rPr>
              <w:t>3 414</w:t>
            </w:r>
          </w:p>
        </w:tc>
      </w:tr>
      <w:tr w:rsidR="001A62D7" w:rsidRPr="008D462D" w:rsidTr="00605885">
        <w:tc>
          <w:tcPr>
            <w:tcW w:w="4644" w:type="dxa"/>
            <w:tcBorders>
              <w:bottom w:val="dotted" w:sz="4" w:space="0" w:color="auto"/>
            </w:tcBorders>
            <w:shd w:val="clear" w:color="auto" w:fill="auto"/>
          </w:tcPr>
          <w:p w:rsidR="001A62D7" w:rsidRPr="008D462D" w:rsidRDefault="001A62D7" w:rsidP="001D5990">
            <w:pPr>
              <w:spacing w:before="60" w:after="60"/>
              <w:jc w:val="left"/>
              <w:rPr>
                <w:rFonts w:eastAsia="Calibri"/>
                <w:noProof/>
              </w:rPr>
            </w:pPr>
            <w:r>
              <w:rPr>
                <w:rFonts w:eastAsia="Calibri"/>
                <w:noProof/>
              </w:rPr>
              <w:t>Total number of eligible beneficiaries</w:t>
            </w:r>
          </w:p>
        </w:tc>
        <w:tc>
          <w:tcPr>
            <w:tcW w:w="4643" w:type="dxa"/>
            <w:tcBorders>
              <w:bottom w:val="dotted" w:sz="4" w:space="0" w:color="auto"/>
            </w:tcBorders>
            <w:shd w:val="clear" w:color="auto" w:fill="auto"/>
          </w:tcPr>
          <w:p w:rsidR="001A62D7" w:rsidRPr="008D462D" w:rsidRDefault="007D1CC7" w:rsidP="001D5990">
            <w:pPr>
              <w:spacing w:before="60" w:after="60"/>
              <w:ind w:rightChars="192" w:right="461"/>
              <w:jc w:val="left"/>
              <w:rPr>
                <w:rFonts w:eastAsia="Calibri"/>
                <w:noProof/>
              </w:rPr>
            </w:pPr>
            <w:r>
              <w:rPr>
                <w:noProof/>
              </w:rPr>
              <w:t>3 414</w:t>
            </w:r>
          </w:p>
        </w:tc>
      </w:tr>
      <w:tr w:rsidR="001A62D7" w:rsidRPr="008D462D" w:rsidTr="00605885">
        <w:tc>
          <w:tcPr>
            <w:tcW w:w="4644"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Pr>
                <w:rFonts w:eastAsia="Calibri"/>
                <w:noProof/>
              </w:rPr>
              <w:t>Total number of targeted beneficiaries</w:t>
            </w:r>
          </w:p>
        </w:tc>
        <w:tc>
          <w:tcPr>
            <w:tcW w:w="4643" w:type="dxa"/>
            <w:tcBorders>
              <w:top w:val="dotted" w:sz="4" w:space="0" w:color="auto"/>
              <w:bottom w:val="dotted" w:sz="4" w:space="0" w:color="auto"/>
            </w:tcBorders>
            <w:shd w:val="clear" w:color="auto" w:fill="auto"/>
          </w:tcPr>
          <w:p w:rsidR="001A62D7" w:rsidRPr="008D462D" w:rsidRDefault="007D1CC7" w:rsidP="001D5990">
            <w:pPr>
              <w:spacing w:before="60" w:after="60"/>
              <w:ind w:rightChars="192" w:right="461"/>
              <w:jc w:val="left"/>
              <w:rPr>
                <w:rFonts w:eastAsia="Calibri"/>
                <w:noProof/>
              </w:rPr>
            </w:pPr>
            <w:r>
              <w:rPr>
                <w:noProof/>
              </w:rPr>
              <w:t>3 414</w:t>
            </w:r>
          </w:p>
        </w:tc>
      </w:tr>
      <w:tr w:rsidR="001A62D7" w:rsidRPr="008D462D" w:rsidTr="00605885">
        <w:tc>
          <w:tcPr>
            <w:tcW w:w="4644" w:type="dxa"/>
            <w:tcBorders>
              <w:bottom w:val="dotted" w:sz="4" w:space="0" w:color="auto"/>
            </w:tcBorders>
            <w:shd w:val="clear" w:color="auto" w:fill="auto"/>
            <w:vAlign w:val="center"/>
          </w:tcPr>
          <w:p w:rsidR="001A62D7" w:rsidRPr="008D462D" w:rsidRDefault="001A62D7" w:rsidP="001D5990">
            <w:pPr>
              <w:spacing w:before="0" w:after="0"/>
              <w:jc w:val="left"/>
              <w:rPr>
                <w:noProof/>
              </w:rPr>
            </w:pPr>
            <w:r>
              <w:rPr>
                <w:noProof/>
              </w:rPr>
              <w:t xml:space="preserve">Budget </w:t>
            </w:r>
            <w:r w:rsidRPr="008D462D">
              <w:rPr>
                <w:noProof/>
              </w:rPr>
              <w:t>for personalised services (EUR)</w:t>
            </w:r>
          </w:p>
        </w:tc>
        <w:tc>
          <w:tcPr>
            <w:tcW w:w="4643" w:type="dxa"/>
            <w:tcBorders>
              <w:bottom w:val="dotted" w:sz="4" w:space="0" w:color="auto"/>
            </w:tcBorders>
            <w:shd w:val="clear" w:color="auto" w:fill="auto"/>
            <w:vAlign w:val="center"/>
          </w:tcPr>
          <w:p w:rsidR="001A62D7" w:rsidRPr="008D462D" w:rsidRDefault="00DC7444" w:rsidP="001D5990">
            <w:pPr>
              <w:spacing w:before="0" w:after="0"/>
              <w:ind w:rightChars="192" w:right="461"/>
              <w:jc w:val="left"/>
              <w:rPr>
                <w:noProof/>
              </w:rPr>
            </w:pPr>
            <w:r>
              <w:rPr>
                <w:noProof/>
              </w:rPr>
              <w:t>8 738 968</w:t>
            </w:r>
          </w:p>
        </w:tc>
      </w:tr>
      <w:tr w:rsidR="001A62D7" w:rsidRPr="008D462D" w:rsidTr="00605885">
        <w:tc>
          <w:tcPr>
            <w:tcW w:w="4644" w:type="dxa"/>
            <w:tcBorders>
              <w:top w:val="dotted" w:sz="4" w:space="0" w:color="auto"/>
              <w:bottom w:val="dotted" w:sz="4" w:space="0" w:color="auto"/>
            </w:tcBorders>
            <w:shd w:val="clear" w:color="auto" w:fill="auto"/>
            <w:vAlign w:val="center"/>
          </w:tcPr>
          <w:p w:rsidR="001A62D7" w:rsidRPr="008D462D" w:rsidRDefault="001A62D7" w:rsidP="001D5990">
            <w:pPr>
              <w:spacing w:before="0" w:after="0"/>
              <w:jc w:val="left"/>
              <w:rPr>
                <w:noProof/>
              </w:rPr>
            </w:pPr>
            <w:r>
              <w:rPr>
                <w:noProof/>
              </w:rPr>
              <w:t>Budget</w:t>
            </w:r>
            <w:r w:rsidRPr="008D462D">
              <w:rPr>
                <w:noProof/>
              </w:rPr>
              <w:t xml:space="preserve"> for implementing EGF</w:t>
            </w:r>
            <w:r>
              <w:rPr>
                <w:rStyle w:val="FootnoteReference"/>
                <w:noProof/>
              </w:rPr>
              <w:footnoteReference w:id="6"/>
            </w:r>
            <w:r w:rsidRPr="008D462D">
              <w:rPr>
                <w:noProof/>
              </w:rPr>
              <w:t xml:space="preserve"> (EUR)</w:t>
            </w:r>
          </w:p>
        </w:tc>
        <w:tc>
          <w:tcPr>
            <w:tcW w:w="4643" w:type="dxa"/>
            <w:tcBorders>
              <w:top w:val="dotted" w:sz="4" w:space="0" w:color="auto"/>
              <w:bottom w:val="dotted" w:sz="4" w:space="0" w:color="auto"/>
            </w:tcBorders>
            <w:shd w:val="clear" w:color="auto" w:fill="auto"/>
            <w:vAlign w:val="center"/>
          </w:tcPr>
          <w:p w:rsidR="001A62D7" w:rsidRPr="008D462D" w:rsidRDefault="00D6013C" w:rsidP="001D5990">
            <w:pPr>
              <w:spacing w:before="0" w:after="0"/>
              <w:ind w:rightChars="192" w:right="461"/>
              <w:jc w:val="left"/>
              <w:rPr>
                <w:noProof/>
              </w:rPr>
            </w:pPr>
            <w:r>
              <w:rPr>
                <w:noProof/>
              </w:rPr>
              <w:t>117 062</w:t>
            </w:r>
          </w:p>
        </w:tc>
      </w:tr>
      <w:tr w:rsidR="001A62D7" w:rsidRPr="008D462D" w:rsidTr="00605885">
        <w:tc>
          <w:tcPr>
            <w:tcW w:w="4644" w:type="dxa"/>
            <w:tcBorders>
              <w:top w:val="dotted" w:sz="4" w:space="0" w:color="auto"/>
              <w:bottom w:val="dotted" w:sz="4" w:space="0" w:color="auto"/>
            </w:tcBorders>
            <w:shd w:val="clear" w:color="auto" w:fill="auto"/>
            <w:vAlign w:val="center"/>
          </w:tcPr>
          <w:p w:rsidR="001A62D7" w:rsidRPr="008D462D" w:rsidRDefault="001A62D7" w:rsidP="001D5990">
            <w:pPr>
              <w:spacing w:before="0" w:after="0"/>
              <w:jc w:val="left"/>
              <w:rPr>
                <w:noProof/>
              </w:rPr>
            </w:pPr>
            <w:r w:rsidRPr="008D462D">
              <w:rPr>
                <w:noProof/>
              </w:rPr>
              <w:t>Total budget (EUR)</w:t>
            </w:r>
          </w:p>
        </w:tc>
        <w:tc>
          <w:tcPr>
            <w:tcW w:w="4643" w:type="dxa"/>
            <w:tcBorders>
              <w:top w:val="dotted" w:sz="4" w:space="0" w:color="auto"/>
              <w:bottom w:val="dotted" w:sz="4" w:space="0" w:color="auto"/>
            </w:tcBorders>
            <w:shd w:val="clear" w:color="auto" w:fill="auto"/>
            <w:vAlign w:val="center"/>
          </w:tcPr>
          <w:p w:rsidR="001A62D7" w:rsidRPr="008D462D" w:rsidRDefault="00DC7444" w:rsidP="001D5990">
            <w:pPr>
              <w:spacing w:before="0" w:after="0"/>
              <w:ind w:rightChars="192" w:right="461"/>
              <w:jc w:val="left"/>
              <w:rPr>
                <w:noProof/>
              </w:rPr>
            </w:pPr>
            <w:r>
              <w:rPr>
                <w:noProof/>
              </w:rPr>
              <w:t>8 856 030</w:t>
            </w:r>
          </w:p>
        </w:tc>
      </w:tr>
      <w:tr w:rsidR="001A62D7" w:rsidRPr="008D462D" w:rsidTr="00605885">
        <w:tc>
          <w:tcPr>
            <w:tcW w:w="4644" w:type="dxa"/>
            <w:tcBorders>
              <w:top w:val="dotted" w:sz="4" w:space="0" w:color="auto"/>
            </w:tcBorders>
            <w:shd w:val="clear" w:color="auto" w:fill="auto"/>
            <w:vAlign w:val="center"/>
          </w:tcPr>
          <w:p w:rsidR="001A62D7" w:rsidRPr="008D462D" w:rsidRDefault="001A62D7" w:rsidP="001D5990">
            <w:pPr>
              <w:spacing w:before="0" w:after="0"/>
              <w:jc w:val="left"/>
              <w:rPr>
                <w:noProof/>
              </w:rPr>
            </w:pPr>
            <w:r>
              <w:rPr>
                <w:noProof/>
              </w:rPr>
              <w:t>EGF contribution (</w:t>
            </w:r>
            <w:r w:rsidR="007D1CC7">
              <w:rPr>
                <w:noProof/>
              </w:rPr>
              <w:t>85</w:t>
            </w:r>
            <w:r>
              <w:rPr>
                <w:noProof/>
              </w:rPr>
              <w:t> %)</w:t>
            </w:r>
            <w:r w:rsidRPr="008D462D">
              <w:rPr>
                <w:noProof/>
              </w:rPr>
              <w:t xml:space="preserve"> (EUR)</w:t>
            </w:r>
          </w:p>
        </w:tc>
        <w:tc>
          <w:tcPr>
            <w:tcW w:w="4643" w:type="dxa"/>
            <w:tcBorders>
              <w:top w:val="dotted" w:sz="4" w:space="0" w:color="auto"/>
            </w:tcBorders>
            <w:shd w:val="clear" w:color="auto" w:fill="auto"/>
            <w:vAlign w:val="center"/>
          </w:tcPr>
          <w:p w:rsidR="001A62D7" w:rsidRPr="008D462D" w:rsidRDefault="00DC7444" w:rsidP="001D5990">
            <w:pPr>
              <w:spacing w:before="0" w:after="0"/>
              <w:ind w:rightChars="192" w:right="461"/>
              <w:jc w:val="left"/>
              <w:rPr>
                <w:noProof/>
              </w:rPr>
            </w:pPr>
            <w:r>
              <w:rPr>
                <w:noProof/>
              </w:rPr>
              <w:t>7 527 625</w:t>
            </w:r>
          </w:p>
        </w:tc>
      </w:tr>
    </w:tbl>
    <w:p w:rsidR="001A62D7" w:rsidRDefault="001A62D7" w:rsidP="001A62D7">
      <w:pPr>
        <w:pStyle w:val="ManualHeading1"/>
        <w:rPr>
          <w:noProof/>
        </w:rPr>
      </w:pPr>
      <w:r>
        <w:rPr>
          <w:noProof/>
        </w:rPr>
        <w:t>ASSESSMENT OF THE APPLICATION</w:t>
      </w:r>
    </w:p>
    <w:p w:rsidR="001A62D7" w:rsidRPr="00A824FA" w:rsidRDefault="001A62D7" w:rsidP="001A62D7">
      <w:pPr>
        <w:pStyle w:val="ManualHeading2"/>
        <w:rPr>
          <w:noProof/>
        </w:rPr>
      </w:pPr>
      <w:r>
        <w:rPr>
          <w:noProof/>
        </w:rPr>
        <w:t>Procedure</w:t>
      </w:r>
    </w:p>
    <w:p w:rsidR="001A62D7" w:rsidRPr="002A2C83" w:rsidRDefault="0063514A" w:rsidP="0063514A">
      <w:pPr>
        <w:pStyle w:val="ManualNumPar1"/>
        <w:rPr>
          <w:noProof/>
        </w:rPr>
      </w:pPr>
      <w:r w:rsidRPr="0063514A">
        <w:rPr>
          <w:noProof/>
        </w:rPr>
        <w:t>4.</w:t>
      </w:r>
      <w:r w:rsidRPr="0063514A">
        <w:rPr>
          <w:noProof/>
        </w:rPr>
        <w:tab/>
      </w:r>
      <w:r w:rsidR="007E0B4F">
        <w:rPr>
          <w:noProof/>
        </w:rPr>
        <w:t>Belgium</w:t>
      </w:r>
      <w:r w:rsidR="001A62D7" w:rsidRPr="002A2C83">
        <w:rPr>
          <w:noProof/>
        </w:rPr>
        <w:t xml:space="preserve"> submitted application EGF/</w:t>
      </w:r>
      <w:r w:rsidR="007E0B4F">
        <w:rPr>
          <w:noProof/>
        </w:rPr>
        <w:t>2025</w:t>
      </w:r>
      <w:r w:rsidR="001A62D7" w:rsidRPr="002A2C83">
        <w:rPr>
          <w:noProof/>
        </w:rPr>
        <w:t>/</w:t>
      </w:r>
      <w:r w:rsidR="007E0B4F">
        <w:rPr>
          <w:noProof/>
        </w:rPr>
        <w:t>006</w:t>
      </w:r>
      <w:r w:rsidR="001A62D7" w:rsidRPr="002A2C83">
        <w:rPr>
          <w:noProof/>
        </w:rPr>
        <w:t> </w:t>
      </w:r>
      <w:r w:rsidR="007E0B4F">
        <w:rPr>
          <w:noProof/>
        </w:rPr>
        <w:t>BE</w:t>
      </w:r>
      <w:r w:rsidR="001A62D7" w:rsidRPr="002A2C83">
        <w:rPr>
          <w:noProof/>
        </w:rPr>
        <w:t>/</w:t>
      </w:r>
      <w:r w:rsidR="007E0B4F">
        <w:rPr>
          <w:noProof/>
        </w:rPr>
        <w:t>Audi</w:t>
      </w:r>
      <w:r w:rsidR="001A62D7" w:rsidRPr="002A2C83">
        <w:rPr>
          <w:noProof/>
        </w:rPr>
        <w:t xml:space="preserve"> within 12 weeks of the date on which the intervention criteria set out in Article 4 </w:t>
      </w:r>
      <w:r w:rsidR="001A62D7" w:rsidRPr="002A2C83">
        <w:rPr>
          <w:rFonts w:eastAsia="Calibri"/>
          <w:noProof/>
        </w:rPr>
        <w:t>(</w:t>
      </w:r>
      <w:r w:rsidR="00285019" w:rsidRPr="002A2C83">
        <w:rPr>
          <w:rFonts w:eastAsia="Calibri"/>
          <w:noProof/>
        </w:rPr>
        <w:t>2</w:t>
      </w:r>
      <w:r w:rsidR="001A62D7" w:rsidRPr="002A2C83">
        <w:rPr>
          <w:rFonts w:eastAsia="Calibri"/>
          <w:noProof/>
        </w:rPr>
        <w:t>), point (</w:t>
      </w:r>
      <w:r w:rsidR="00285019" w:rsidRPr="002A2C83">
        <w:rPr>
          <w:rFonts w:eastAsia="Calibri"/>
          <w:noProof/>
        </w:rPr>
        <w:t>a</w:t>
      </w:r>
      <w:r w:rsidR="001A62D7" w:rsidRPr="002A2C83">
        <w:rPr>
          <w:rFonts w:eastAsia="Calibri"/>
          <w:noProof/>
        </w:rPr>
        <w:t>),</w:t>
      </w:r>
      <w:r w:rsidR="001A62D7" w:rsidRPr="002A2C83">
        <w:rPr>
          <w:noProof/>
        </w:rPr>
        <w:t xml:space="preserve"> of Regulation (EU) 2021/691 were met, on </w:t>
      </w:r>
      <w:r w:rsidR="007E0B4F">
        <w:rPr>
          <w:noProof/>
        </w:rPr>
        <w:t>18 September 2025</w:t>
      </w:r>
      <w:r w:rsidR="001A62D7" w:rsidRPr="002A2C83">
        <w:rPr>
          <w:noProof/>
        </w:rPr>
        <w:t xml:space="preserve">. The Commission acknowledged receipt of the application the same date and requested additional information from </w:t>
      </w:r>
      <w:r w:rsidR="007E0B4F">
        <w:rPr>
          <w:noProof/>
        </w:rPr>
        <w:t>Belgium</w:t>
      </w:r>
      <w:r w:rsidR="001A62D7" w:rsidRPr="002A2C83">
        <w:rPr>
          <w:noProof/>
        </w:rPr>
        <w:t xml:space="preserve"> on </w:t>
      </w:r>
      <w:r w:rsidR="007E0B4F">
        <w:rPr>
          <w:noProof/>
        </w:rPr>
        <w:t>2 October 2025</w:t>
      </w:r>
      <w:r w:rsidR="001A62D7" w:rsidRPr="002A2C83">
        <w:rPr>
          <w:noProof/>
        </w:rPr>
        <w:t>. Such additional information was provided within 15 working days</w:t>
      </w:r>
      <w:r w:rsidR="00285019" w:rsidRPr="002A2C83">
        <w:rPr>
          <w:noProof/>
        </w:rPr>
        <w:t xml:space="preserve"> </w:t>
      </w:r>
      <w:r w:rsidR="001A62D7" w:rsidRPr="002A2C83">
        <w:rPr>
          <w:noProof/>
        </w:rPr>
        <w:t>of the request</w:t>
      </w:r>
      <w:r w:rsidR="00285019" w:rsidRPr="002A2C83">
        <w:rPr>
          <w:noProof/>
        </w:rPr>
        <w:t>.</w:t>
      </w:r>
      <w:r w:rsidR="001A62D7" w:rsidRPr="002A2C83">
        <w:rPr>
          <w:noProof/>
        </w:rPr>
        <w:t xml:space="preserve"> The deadline of 50 working days of the receipt of the complete application within which the Commission should finalise its assessment of the application's compliance with the conditions for providing a financial contribution expires on </w:t>
      </w:r>
      <w:r w:rsidR="007E0B4F">
        <w:rPr>
          <w:noProof/>
        </w:rPr>
        <w:t>1</w:t>
      </w:r>
      <w:r w:rsidR="006C598A">
        <w:rPr>
          <w:noProof/>
        </w:rPr>
        <w:t>3</w:t>
      </w:r>
      <w:r w:rsidR="007E0B4F">
        <w:rPr>
          <w:noProof/>
        </w:rPr>
        <w:t xml:space="preserve"> January 2026</w:t>
      </w:r>
      <w:r w:rsidR="001A62D7" w:rsidRPr="002A2C83">
        <w:rPr>
          <w:noProof/>
        </w:rPr>
        <w:t xml:space="preserve">. </w:t>
      </w:r>
    </w:p>
    <w:p w:rsidR="001A62D7" w:rsidRPr="002A2C83" w:rsidRDefault="001A62D7" w:rsidP="001A62D7">
      <w:pPr>
        <w:pStyle w:val="ManualHeading2"/>
        <w:rPr>
          <w:noProof/>
        </w:rPr>
      </w:pPr>
      <w:r w:rsidRPr="002A2C83">
        <w:rPr>
          <w:noProof/>
        </w:rPr>
        <w:t>Eligibility of the application</w:t>
      </w:r>
    </w:p>
    <w:p w:rsidR="001A62D7" w:rsidRPr="002A2C83" w:rsidRDefault="001A62D7" w:rsidP="001A62D7">
      <w:pPr>
        <w:pStyle w:val="ManualHeading3"/>
        <w:rPr>
          <w:noProof/>
        </w:rPr>
      </w:pPr>
      <w:r w:rsidRPr="002A2C83">
        <w:rPr>
          <w:noProof/>
        </w:rPr>
        <w:t>Enterprises and beneficiaries concerned</w:t>
      </w:r>
    </w:p>
    <w:p w:rsidR="001A62D7" w:rsidRPr="00B24D3D" w:rsidRDefault="0063514A" w:rsidP="0063514A">
      <w:pPr>
        <w:pStyle w:val="ManualNumPar1"/>
        <w:rPr>
          <w:noProof/>
          <w:szCs w:val="24"/>
        </w:rPr>
      </w:pPr>
      <w:r w:rsidRPr="0063514A">
        <w:rPr>
          <w:noProof/>
        </w:rPr>
        <w:t>5.</w:t>
      </w:r>
      <w:r w:rsidRPr="0063514A">
        <w:rPr>
          <w:noProof/>
        </w:rPr>
        <w:tab/>
      </w:r>
      <w:r w:rsidR="001A62D7" w:rsidRPr="002A2C83">
        <w:rPr>
          <w:noProof/>
        </w:rPr>
        <w:t xml:space="preserve">The application relates to </w:t>
      </w:r>
      <w:r w:rsidR="005F3874">
        <w:rPr>
          <w:noProof/>
        </w:rPr>
        <w:t>3 148</w:t>
      </w:r>
      <w:r w:rsidR="001A62D7" w:rsidRPr="002A2C83">
        <w:rPr>
          <w:noProof/>
        </w:rPr>
        <w:t xml:space="preserve"> displaced workers whose activity has ceased in </w:t>
      </w:r>
      <w:r w:rsidR="005F3874" w:rsidRPr="005F3874">
        <w:rPr>
          <w:noProof/>
        </w:rPr>
        <w:t>Audi (Audi Brussels S.A.:n.V.)</w:t>
      </w:r>
      <w:r w:rsidR="001A62D7" w:rsidRPr="002A2C83">
        <w:rPr>
          <w:noProof/>
        </w:rPr>
        <w:t xml:space="preserve"> and </w:t>
      </w:r>
      <w:r w:rsidR="00B24D3D">
        <w:rPr>
          <w:noProof/>
        </w:rPr>
        <w:t>five</w:t>
      </w:r>
      <w:r w:rsidR="001A62D7" w:rsidRPr="002A2C83">
        <w:rPr>
          <w:noProof/>
        </w:rPr>
        <w:t xml:space="preserve"> suppliers and dowstream producers. The </w:t>
      </w:r>
      <w:r w:rsidR="00B24D3D" w:rsidRPr="002A2C83">
        <w:rPr>
          <w:noProof/>
        </w:rPr>
        <w:t>primary enterprise</w:t>
      </w:r>
      <w:r w:rsidR="001A62D7" w:rsidRPr="002A2C83">
        <w:rPr>
          <w:noProof/>
        </w:rPr>
        <w:t xml:space="preserve"> operated</w:t>
      </w:r>
      <w:r w:rsidR="00285019" w:rsidRPr="002A2C83">
        <w:rPr>
          <w:noProof/>
        </w:rPr>
        <w:t xml:space="preserve"> </w:t>
      </w:r>
      <w:r w:rsidR="001A62D7" w:rsidRPr="002A2C83">
        <w:rPr>
          <w:noProof/>
        </w:rPr>
        <w:t xml:space="preserve">in the economic sector classified under the NACE Revision 2 division </w:t>
      </w:r>
      <w:r w:rsidR="005F3874" w:rsidRPr="00B24D3D">
        <w:rPr>
          <w:noProof/>
          <w:szCs w:val="24"/>
        </w:rPr>
        <w:t>29</w:t>
      </w:r>
      <w:r w:rsidR="001A62D7" w:rsidRPr="00B24D3D">
        <w:rPr>
          <w:noProof/>
          <w:szCs w:val="24"/>
        </w:rPr>
        <w:t xml:space="preserve"> (</w:t>
      </w:r>
      <w:r w:rsidR="005F3874" w:rsidRPr="00B24D3D">
        <w:rPr>
          <w:noProof/>
          <w:szCs w:val="24"/>
        </w:rPr>
        <w:t>Manufacture of motor vehicles, trailers and semi-trailers</w:t>
      </w:r>
      <w:r w:rsidR="004540AE">
        <w:rPr>
          <w:noProof/>
          <w:szCs w:val="24"/>
        </w:rPr>
        <w:t>)</w:t>
      </w:r>
      <w:r w:rsidR="00285019" w:rsidRPr="00B24D3D">
        <w:rPr>
          <w:noProof/>
          <w:szCs w:val="24"/>
        </w:rPr>
        <w:t>.</w:t>
      </w:r>
      <w:r w:rsidR="001A62D7" w:rsidRPr="00B24D3D">
        <w:rPr>
          <w:noProof/>
          <w:szCs w:val="24"/>
        </w:rPr>
        <w:t xml:space="preserve"> </w:t>
      </w:r>
      <w:r w:rsidR="001A62D7" w:rsidRPr="002A2C83">
        <w:rPr>
          <w:noProof/>
        </w:rPr>
        <w:t>The redundancies made by the primary enterprise are mainly located in the NUTS 2 regions of</w:t>
      </w:r>
      <w:r w:rsidR="005F3874">
        <w:rPr>
          <w:noProof/>
        </w:rPr>
        <w:t xml:space="preserve"> </w:t>
      </w:r>
      <w:r w:rsidR="00B24D3D" w:rsidRPr="00B24D3D">
        <w:rPr>
          <w:noProof/>
          <w:szCs w:val="24"/>
        </w:rPr>
        <w:t>Région de Bruxelles-Capitale/Brussels Hoofdstedelijk Gewest</w:t>
      </w:r>
      <w:r w:rsidR="005F3874" w:rsidRPr="00B24D3D">
        <w:rPr>
          <w:noProof/>
          <w:szCs w:val="24"/>
        </w:rPr>
        <w:t xml:space="preserve"> (</w:t>
      </w:r>
      <w:r w:rsidR="00B24D3D" w:rsidRPr="00B24D3D">
        <w:rPr>
          <w:noProof/>
          <w:szCs w:val="24"/>
        </w:rPr>
        <w:t>BE10</w:t>
      </w:r>
      <w:r w:rsidR="005F3874" w:rsidRPr="00B24D3D">
        <w:rPr>
          <w:noProof/>
          <w:szCs w:val="24"/>
        </w:rPr>
        <w:t xml:space="preserve">), </w:t>
      </w:r>
      <w:r w:rsidR="00B24D3D" w:rsidRPr="00B24D3D">
        <w:rPr>
          <w:noProof/>
          <w:szCs w:val="24"/>
        </w:rPr>
        <w:t xml:space="preserve">Provincie </w:t>
      </w:r>
      <w:r w:rsidR="002728AF" w:rsidRPr="002728AF">
        <w:rPr>
          <w:noProof/>
          <w:szCs w:val="24"/>
        </w:rPr>
        <w:t>Oost-Vlaanderen (BE23),</w:t>
      </w:r>
      <w:r w:rsidR="002728AF">
        <w:rPr>
          <w:noProof/>
          <w:szCs w:val="24"/>
        </w:rPr>
        <w:t xml:space="preserve"> </w:t>
      </w:r>
      <w:r w:rsidR="001A62D7" w:rsidRPr="00B24D3D">
        <w:rPr>
          <w:noProof/>
          <w:szCs w:val="24"/>
        </w:rPr>
        <w:t xml:space="preserve">and </w:t>
      </w:r>
      <w:r w:rsidR="00B24D3D" w:rsidRPr="00B24D3D">
        <w:rPr>
          <w:noProof/>
          <w:szCs w:val="24"/>
        </w:rPr>
        <w:t>Province Hainaut</w:t>
      </w:r>
      <w:r w:rsidR="001A62D7" w:rsidRPr="00B24D3D">
        <w:rPr>
          <w:noProof/>
          <w:szCs w:val="24"/>
        </w:rPr>
        <w:t xml:space="preserve"> (</w:t>
      </w:r>
      <w:r w:rsidR="00B24D3D">
        <w:rPr>
          <w:noProof/>
          <w:szCs w:val="24"/>
        </w:rPr>
        <w:t>BE32</w:t>
      </w:r>
      <w:r w:rsidR="001A62D7" w:rsidRPr="00B24D3D">
        <w:rPr>
          <w:noProof/>
          <w:szCs w:val="24"/>
        </w:rPr>
        <w:t>).</w:t>
      </w:r>
    </w:p>
    <w:tbl>
      <w:tblPr>
        <w:tblW w:w="834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480"/>
        <w:gridCol w:w="360"/>
        <w:gridCol w:w="2940"/>
        <w:gridCol w:w="600"/>
        <w:gridCol w:w="600"/>
      </w:tblGrid>
      <w:tr w:rsidR="001A62D7" w:rsidRPr="002A2C83" w:rsidTr="001D5990">
        <w:trPr>
          <w:trHeight w:val="284"/>
          <w:tblHeader/>
        </w:trPr>
        <w:tc>
          <w:tcPr>
            <w:tcW w:w="8340" w:type="dxa"/>
            <w:gridSpan w:val="6"/>
            <w:shd w:val="clear" w:color="auto" w:fill="D9D9D9" w:themeFill="background1" w:themeFillShade="D9"/>
          </w:tcPr>
          <w:p w:rsidR="001A62D7" w:rsidRPr="002A2C83" w:rsidRDefault="001A62D7" w:rsidP="001D5990">
            <w:pPr>
              <w:spacing w:beforeLines="20" w:before="48" w:afterLines="20" w:after="48" w:line="276" w:lineRule="auto"/>
              <w:ind w:left="57"/>
              <w:jc w:val="center"/>
              <w:rPr>
                <w:rFonts w:eastAsia="Calibri"/>
                <w:noProof/>
                <w:szCs w:val="24"/>
              </w:rPr>
            </w:pPr>
            <w:r w:rsidRPr="002A2C83">
              <w:rPr>
                <w:rFonts w:eastAsia="Calibri"/>
                <w:b/>
                <w:noProof/>
                <w:szCs w:val="24"/>
              </w:rPr>
              <w:t>Enterprises and number of displacements within the reference period</w:t>
            </w:r>
          </w:p>
        </w:tc>
      </w:tr>
      <w:tr w:rsidR="001A62D7" w:rsidRPr="002A2C83" w:rsidTr="001D5990">
        <w:tc>
          <w:tcPr>
            <w:tcW w:w="3360" w:type="dxa"/>
            <w:tcBorders>
              <w:bottom w:val="nil"/>
              <w:right w:val="nil"/>
            </w:tcBorders>
            <w:shd w:val="clear" w:color="auto" w:fill="auto"/>
            <w:vAlign w:val="center"/>
          </w:tcPr>
          <w:p w:rsidR="001A62D7" w:rsidRPr="002A2C83" w:rsidRDefault="00A953FB" w:rsidP="001D5990">
            <w:pPr>
              <w:spacing w:before="0" w:after="0"/>
              <w:ind w:right="252"/>
              <w:jc w:val="left"/>
              <w:rPr>
                <w:noProof/>
                <w:sz w:val="20"/>
              </w:rPr>
            </w:pPr>
            <w:r>
              <w:rPr>
                <w:noProof/>
                <w:sz w:val="20"/>
              </w:rPr>
              <w:t>Audi</w:t>
            </w:r>
          </w:p>
        </w:tc>
        <w:tc>
          <w:tcPr>
            <w:tcW w:w="840" w:type="dxa"/>
            <w:gridSpan w:val="2"/>
            <w:tcBorders>
              <w:left w:val="nil"/>
              <w:bottom w:val="nil"/>
            </w:tcBorders>
            <w:shd w:val="clear" w:color="auto" w:fill="auto"/>
            <w:vAlign w:val="center"/>
          </w:tcPr>
          <w:p w:rsidR="001A62D7" w:rsidRPr="002A2C83" w:rsidRDefault="002421D0" w:rsidP="001D5990">
            <w:pPr>
              <w:spacing w:before="0" w:after="0"/>
              <w:ind w:left="-828"/>
              <w:jc w:val="right"/>
              <w:rPr>
                <w:noProof/>
                <w:sz w:val="20"/>
                <w:szCs w:val="20"/>
              </w:rPr>
            </w:pPr>
            <w:r>
              <w:rPr>
                <w:noProof/>
                <w:sz w:val="20"/>
                <w:szCs w:val="20"/>
              </w:rPr>
              <w:t>2 580</w:t>
            </w:r>
          </w:p>
        </w:tc>
        <w:tc>
          <w:tcPr>
            <w:tcW w:w="3540" w:type="dxa"/>
            <w:gridSpan w:val="2"/>
            <w:tcBorders>
              <w:bottom w:val="nil"/>
              <w:right w:val="nil"/>
            </w:tcBorders>
            <w:shd w:val="clear" w:color="auto" w:fill="auto"/>
            <w:vAlign w:val="center"/>
          </w:tcPr>
          <w:p w:rsidR="001A62D7" w:rsidRPr="002A2C83" w:rsidRDefault="00A953FB" w:rsidP="001D5990">
            <w:pPr>
              <w:spacing w:before="0" w:after="0"/>
              <w:jc w:val="left"/>
              <w:rPr>
                <w:noProof/>
                <w:sz w:val="20"/>
              </w:rPr>
            </w:pPr>
            <w:r w:rsidRPr="00A953FB">
              <w:rPr>
                <w:noProof/>
                <w:sz w:val="20"/>
              </w:rPr>
              <w:t>Imperial logistics</w:t>
            </w:r>
          </w:p>
        </w:tc>
        <w:tc>
          <w:tcPr>
            <w:tcW w:w="600" w:type="dxa"/>
            <w:tcBorders>
              <w:left w:val="nil"/>
              <w:bottom w:val="nil"/>
            </w:tcBorders>
            <w:shd w:val="clear" w:color="auto" w:fill="auto"/>
            <w:vAlign w:val="center"/>
          </w:tcPr>
          <w:p w:rsidR="001A62D7" w:rsidRPr="002A2C83" w:rsidRDefault="002421D0" w:rsidP="001D5990">
            <w:pPr>
              <w:spacing w:before="0" w:after="0"/>
              <w:ind w:left="-828"/>
              <w:jc w:val="right"/>
              <w:rPr>
                <w:noProof/>
                <w:sz w:val="20"/>
              </w:rPr>
            </w:pPr>
            <w:r>
              <w:rPr>
                <w:noProof/>
                <w:sz w:val="20"/>
                <w:szCs w:val="20"/>
              </w:rPr>
              <w:t>272</w:t>
            </w:r>
          </w:p>
        </w:tc>
      </w:tr>
      <w:tr w:rsidR="001A62D7" w:rsidRPr="002A2C83" w:rsidTr="001D5990">
        <w:trPr>
          <w:trHeight w:val="138"/>
        </w:trPr>
        <w:tc>
          <w:tcPr>
            <w:tcW w:w="3360" w:type="dxa"/>
            <w:tcBorders>
              <w:top w:val="nil"/>
              <w:bottom w:val="nil"/>
              <w:right w:val="nil"/>
            </w:tcBorders>
            <w:shd w:val="clear" w:color="auto" w:fill="auto"/>
            <w:vAlign w:val="center"/>
          </w:tcPr>
          <w:p w:rsidR="001A62D7" w:rsidRPr="002A2C83" w:rsidRDefault="00A953FB" w:rsidP="001D5990">
            <w:pPr>
              <w:spacing w:before="0" w:after="0"/>
              <w:jc w:val="left"/>
              <w:rPr>
                <w:noProof/>
                <w:sz w:val="20"/>
              </w:rPr>
            </w:pPr>
            <w:r w:rsidRPr="00A953FB">
              <w:rPr>
                <w:noProof/>
                <w:sz w:val="20"/>
              </w:rPr>
              <w:t xml:space="preserve">Lear corporation </w:t>
            </w:r>
          </w:p>
        </w:tc>
        <w:tc>
          <w:tcPr>
            <w:tcW w:w="840" w:type="dxa"/>
            <w:gridSpan w:val="2"/>
            <w:tcBorders>
              <w:top w:val="nil"/>
              <w:left w:val="nil"/>
              <w:bottom w:val="nil"/>
            </w:tcBorders>
            <w:shd w:val="clear" w:color="auto" w:fill="auto"/>
            <w:vAlign w:val="center"/>
          </w:tcPr>
          <w:p w:rsidR="001A62D7" w:rsidRPr="002A2C83" w:rsidRDefault="002421D0" w:rsidP="001D5990">
            <w:pPr>
              <w:spacing w:before="0" w:after="0"/>
              <w:ind w:left="-828"/>
              <w:jc w:val="right"/>
              <w:rPr>
                <w:noProof/>
                <w:sz w:val="20"/>
              </w:rPr>
            </w:pPr>
            <w:r>
              <w:rPr>
                <w:noProof/>
                <w:sz w:val="20"/>
                <w:szCs w:val="20"/>
              </w:rPr>
              <w:t>11</w:t>
            </w:r>
          </w:p>
        </w:tc>
        <w:tc>
          <w:tcPr>
            <w:tcW w:w="3540" w:type="dxa"/>
            <w:gridSpan w:val="2"/>
            <w:tcBorders>
              <w:top w:val="nil"/>
              <w:bottom w:val="nil"/>
              <w:right w:val="nil"/>
            </w:tcBorders>
            <w:shd w:val="clear" w:color="auto" w:fill="auto"/>
            <w:vAlign w:val="center"/>
          </w:tcPr>
          <w:p w:rsidR="001A62D7" w:rsidRPr="002A2C83" w:rsidRDefault="00A953FB" w:rsidP="001D5990">
            <w:pPr>
              <w:spacing w:before="0" w:after="0"/>
              <w:jc w:val="left"/>
              <w:rPr>
                <w:noProof/>
                <w:sz w:val="20"/>
              </w:rPr>
            </w:pPr>
            <w:r w:rsidRPr="00A953FB">
              <w:rPr>
                <w:noProof/>
                <w:sz w:val="20"/>
              </w:rPr>
              <w:t>Plastic Omnium</w:t>
            </w:r>
          </w:p>
        </w:tc>
        <w:tc>
          <w:tcPr>
            <w:tcW w:w="600" w:type="dxa"/>
            <w:tcBorders>
              <w:top w:val="nil"/>
              <w:left w:val="nil"/>
              <w:bottom w:val="nil"/>
            </w:tcBorders>
            <w:shd w:val="clear" w:color="auto" w:fill="auto"/>
            <w:vAlign w:val="center"/>
          </w:tcPr>
          <w:p w:rsidR="001A62D7" w:rsidRPr="002A2C83" w:rsidRDefault="002421D0" w:rsidP="001D5990">
            <w:pPr>
              <w:spacing w:before="0" w:after="0"/>
              <w:ind w:left="-828"/>
              <w:jc w:val="right"/>
              <w:rPr>
                <w:noProof/>
                <w:sz w:val="20"/>
              </w:rPr>
            </w:pPr>
            <w:r>
              <w:rPr>
                <w:noProof/>
                <w:sz w:val="20"/>
                <w:szCs w:val="20"/>
              </w:rPr>
              <w:t>69</w:t>
            </w:r>
          </w:p>
        </w:tc>
      </w:tr>
      <w:tr w:rsidR="001A62D7" w:rsidRPr="002A2C83" w:rsidTr="001D5990">
        <w:tc>
          <w:tcPr>
            <w:tcW w:w="3360" w:type="dxa"/>
            <w:tcBorders>
              <w:top w:val="nil"/>
              <w:bottom w:val="nil"/>
              <w:right w:val="nil"/>
            </w:tcBorders>
            <w:shd w:val="clear" w:color="auto" w:fill="auto"/>
            <w:vAlign w:val="center"/>
          </w:tcPr>
          <w:p w:rsidR="001A62D7" w:rsidRPr="002A2C83" w:rsidRDefault="00A953FB" w:rsidP="001D5990">
            <w:pPr>
              <w:spacing w:before="0" w:after="0"/>
              <w:jc w:val="left"/>
              <w:rPr>
                <w:noProof/>
                <w:sz w:val="20"/>
              </w:rPr>
            </w:pPr>
            <w:r w:rsidRPr="00A953FB">
              <w:rPr>
                <w:noProof/>
                <w:sz w:val="20"/>
              </w:rPr>
              <w:t>Rhenus automotive</w:t>
            </w:r>
          </w:p>
        </w:tc>
        <w:tc>
          <w:tcPr>
            <w:tcW w:w="840" w:type="dxa"/>
            <w:gridSpan w:val="2"/>
            <w:tcBorders>
              <w:top w:val="nil"/>
              <w:left w:val="nil"/>
              <w:bottom w:val="nil"/>
            </w:tcBorders>
            <w:shd w:val="clear" w:color="auto" w:fill="auto"/>
            <w:vAlign w:val="center"/>
          </w:tcPr>
          <w:p w:rsidR="001A62D7" w:rsidRPr="002A2C83" w:rsidRDefault="00A953FB" w:rsidP="001D5990">
            <w:pPr>
              <w:spacing w:before="0" w:after="0"/>
              <w:ind w:left="-828"/>
              <w:jc w:val="right"/>
              <w:rPr>
                <w:noProof/>
                <w:sz w:val="20"/>
              </w:rPr>
            </w:pPr>
            <w:r>
              <w:rPr>
                <w:noProof/>
                <w:sz w:val="20"/>
                <w:szCs w:val="20"/>
              </w:rPr>
              <w:t>121</w:t>
            </w:r>
          </w:p>
        </w:tc>
        <w:tc>
          <w:tcPr>
            <w:tcW w:w="3540" w:type="dxa"/>
            <w:gridSpan w:val="2"/>
            <w:tcBorders>
              <w:top w:val="nil"/>
              <w:bottom w:val="nil"/>
              <w:right w:val="nil"/>
            </w:tcBorders>
            <w:shd w:val="clear" w:color="auto" w:fill="auto"/>
            <w:vAlign w:val="center"/>
          </w:tcPr>
          <w:p w:rsidR="001A62D7" w:rsidRPr="002A2C83" w:rsidRDefault="00A953FB" w:rsidP="001D5990">
            <w:pPr>
              <w:spacing w:before="0" w:after="0"/>
              <w:jc w:val="left"/>
              <w:rPr>
                <w:noProof/>
                <w:sz w:val="20"/>
              </w:rPr>
            </w:pPr>
            <w:r w:rsidRPr="00A953FB">
              <w:rPr>
                <w:noProof/>
                <w:sz w:val="20"/>
              </w:rPr>
              <w:t>Snop automotive</w:t>
            </w:r>
          </w:p>
        </w:tc>
        <w:tc>
          <w:tcPr>
            <w:tcW w:w="600" w:type="dxa"/>
            <w:tcBorders>
              <w:top w:val="nil"/>
              <w:left w:val="nil"/>
              <w:bottom w:val="nil"/>
            </w:tcBorders>
            <w:shd w:val="clear" w:color="auto" w:fill="auto"/>
            <w:vAlign w:val="center"/>
          </w:tcPr>
          <w:p w:rsidR="001A62D7" w:rsidRPr="002A2C83" w:rsidRDefault="002421D0" w:rsidP="001D5990">
            <w:pPr>
              <w:spacing w:before="0" w:after="0"/>
              <w:ind w:left="-828"/>
              <w:jc w:val="right"/>
              <w:rPr>
                <w:noProof/>
                <w:sz w:val="20"/>
              </w:rPr>
            </w:pPr>
            <w:r>
              <w:rPr>
                <w:noProof/>
                <w:sz w:val="20"/>
                <w:szCs w:val="20"/>
              </w:rPr>
              <w:t>95</w:t>
            </w:r>
          </w:p>
        </w:tc>
      </w:tr>
      <w:tr w:rsidR="001A62D7" w:rsidRPr="002A2C83" w:rsidTr="001D5990">
        <w:trPr>
          <w:trHeight w:val="284"/>
        </w:trPr>
        <w:tc>
          <w:tcPr>
            <w:tcW w:w="3840" w:type="dxa"/>
            <w:gridSpan w:val="2"/>
            <w:tcBorders>
              <w:bottom w:val="nil"/>
              <w:right w:val="nil"/>
            </w:tcBorders>
            <w:shd w:val="clear" w:color="auto" w:fill="E6E6E6"/>
            <w:vAlign w:val="center"/>
          </w:tcPr>
          <w:p w:rsidR="001A62D7" w:rsidRPr="002A2C83" w:rsidRDefault="001A62D7" w:rsidP="001D5990">
            <w:pPr>
              <w:spacing w:beforeLines="20" w:before="48" w:afterLines="20" w:after="48" w:line="276" w:lineRule="auto"/>
              <w:ind w:left="57"/>
              <w:jc w:val="left"/>
              <w:rPr>
                <w:rFonts w:eastAsia="Calibri"/>
                <w:b/>
                <w:noProof/>
                <w:szCs w:val="24"/>
              </w:rPr>
            </w:pPr>
            <w:r w:rsidRPr="002A2C83">
              <w:rPr>
                <w:rFonts w:eastAsia="Calibri"/>
                <w:noProof/>
                <w:szCs w:val="24"/>
              </w:rPr>
              <w:br w:type="page"/>
            </w:r>
            <w:r w:rsidRPr="002A2C83">
              <w:rPr>
                <w:rFonts w:eastAsia="Calibri"/>
                <w:b/>
                <w:noProof/>
                <w:szCs w:val="24"/>
              </w:rPr>
              <w:t>Total no. of enterprises:</w:t>
            </w:r>
            <w:r w:rsidRPr="002A2C83">
              <w:rPr>
                <w:b/>
                <w:noProof/>
                <w:sz w:val="22"/>
              </w:rPr>
              <w:t xml:space="preserve"> </w:t>
            </w:r>
            <w:r w:rsidR="00AE5990">
              <w:rPr>
                <w:b/>
                <w:noProof/>
              </w:rPr>
              <w:t>6</w:t>
            </w:r>
          </w:p>
        </w:tc>
        <w:tc>
          <w:tcPr>
            <w:tcW w:w="3300" w:type="dxa"/>
            <w:gridSpan w:val="2"/>
            <w:tcBorders>
              <w:left w:val="nil"/>
              <w:bottom w:val="nil"/>
              <w:right w:val="nil"/>
            </w:tcBorders>
            <w:shd w:val="clear" w:color="auto" w:fill="E6E6E6"/>
            <w:vAlign w:val="center"/>
          </w:tcPr>
          <w:p w:rsidR="001A62D7" w:rsidRPr="002A2C83" w:rsidRDefault="001A62D7" w:rsidP="001D5990">
            <w:pPr>
              <w:spacing w:beforeLines="20" w:before="48" w:afterLines="20" w:after="48" w:line="276" w:lineRule="auto"/>
              <w:ind w:left="57" w:right="227"/>
              <w:jc w:val="left"/>
              <w:rPr>
                <w:rFonts w:eastAsia="Calibri"/>
                <w:b/>
                <w:noProof/>
                <w:szCs w:val="24"/>
              </w:rPr>
            </w:pPr>
            <w:r w:rsidRPr="002A2C83">
              <w:rPr>
                <w:rFonts w:eastAsia="Calibri"/>
                <w:b/>
                <w:noProof/>
                <w:szCs w:val="24"/>
              </w:rPr>
              <w:t>Total no. of displacements:</w:t>
            </w:r>
            <w:r w:rsidRPr="002A2C83">
              <w:rPr>
                <w:b/>
                <w:noProof/>
                <w:sz w:val="22"/>
              </w:rPr>
              <w:t xml:space="preserve"> </w:t>
            </w:r>
          </w:p>
        </w:tc>
        <w:tc>
          <w:tcPr>
            <w:tcW w:w="1200" w:type="dxa"/>
            <w:gridSpan w:val="2"/>
            <w:tcBorders>
              <w:left w:val="nil"/>
              <w:bottom w:val="nil"/>
            </w:tcBorders>
            <w:shd w:val="clear" w:color="auto" w:fill="E6E6E6"/>
            <w:vAlign w:val="center"/>
          </w:tcPr>
          <w:p w:rsidR="001A62D7" w:rsidRPr="002A2C83" w:rsidRDefault="00AE5990" w:rsidP="001D5990">
            <w:pPr>
              <w:spacing w:beforeLines="20" w:before="48" w:afterLines="20" w:after="48" w:line="276" w:lineRule="auto"/>
              <w:ind w:left="57" w:right="227"/>
              <w:jc w:val="left"/>
              <w:rPr>
                <w:rFonts w:eastAsia="Calibri"/>
                <w:b/>
                <w:noProof/>
                <w:szCs w:val="24"/>
              </w:rPr>
            </w:pPr>
            <w:r>
              <w:rPr>
                <w:b/>
                <w:noProof/>
              </w:rPr>
              <w:t>3 148</w:t>
            </w:r>
          </w:p>
        </w:tc>
      </w:tr>
      <w:tr w:rsidR="001A62D7" w:rsidRPr="002A2C83" w:rsidTr="001D5990">
        <w:trPr>
          <w:trHeight w:val="284"/>
        </w:trPr>
        <w:tc>
          <w:tcPr>
            <w:tcW w:w="7140" w:type="dxa"/>
            <w:gridSpan w:val="4"/>
            <w:tcBorders>
              <w:top w:val="nil"/>
              <w:right w:val="nil"/>
            </w:tcBorders>
            <w:shd w:val="clear" w:color="auto" w:fill="E6E6E6"/>
            <w:vAlign w:val="center"/>
          </w:tcPr>
          <w:p w:rsidR="001A62D7" w:rsidRPr="002A2C83" w:rsidRDefault="001A62D7" w:rsidP="001D5990">
            <w:pPr>
              <w:spacing w:beforeLines="20" w:before="48" w:afterLines="20" w:after="48" w:line="276" w:lineRule="auto"/>
              <w:ind w:left="57"/>
              <w:jc w:val="left"/>
              <w:rPr>
                <w:rFonts w:eastAsia="Calibri"/>
                <w:b/>
                <w:noProof/>
                <w:szCs w:val="24"/>
              </w:rPr>
            </w:pPr>
            <w:r w:rsidRPr="002A2C83">
              <w:rPr>
                <w:rFonts w:eastAsia="Calibri"/>
                <w:b/>
                <w:noProof/>
                <w:szCs w:val="24"/>
              </w:rPr>
              <w:t xml:space="preserve">Total no. of eligible workers: </w:t>
            </w:r>
          </w:p>
        </w:tc>
        <w:tc>
          <w:tcPr>
            <w:tcW w:w="1200" w:type="dxa"/>
            <w:gridSpan w:val="2"/>
            <w:tcBorders>
              <w:top w:val="nil"/>
              <w:left w:val="nil"/>
            </w:tcBorders>
            <w:shd w:val="clear" w:color="auto" w:fill="E6E6E6"/>
            <w:vAlign w:val="center"/>
          </w:tcPr>
          <w:p w:rsidR="001A62D7" w:rsidRPr="002A2C83" w:rsidRDefault="00AE5990" w:rsidP="001D5990">
            <w:pPr>
              <w:spacing w:beforeLines="20" w:before="48" w:afterLines="20" w:after="48" w:line="276" w:lineRule="auto"/>
              <w:ind w:left="57" w:right="227"/>
              <w:jc w:val="left"/>
              <w:rPr>
                <w:rFonts w:eastAsia="Calibri"/>
                <w:b/>
                <w:noProof/>
                <w:szCs w:val="24"/>
              </w:rPr>
            </w:pPr>
            <w:r>
              <w:rPr>
                <w:b/>
                <w:noProof/>
              </w:rPr>
              <w:t>3 148</w:t>
            </w:r>
          </w:p>
        </w:tc>
      </w:tr>
    </w:tbl>
    <w:p w:rsidR="001A62D7" w:rsidRPr="002A2C83" w:rsidRDefault="001A62D7" w:rsidP="001A62D7">
      <w:pPr>
        <w:pStyle w:val="ManualHeading3"/>
        <w:rPr>
          <w:noProof/>
        </w:rPr>
      </w:pPr>
      <w:r w:rsidRPr="002A2C83">
        <w:rPr>
          <w:noProof/>
        </w:rPr>
        <w:t>Intervention criteria</w:t>
      </w:r>
    </w:p>
    <w:p w:rsidR="001A62D7" w:rsidRPr="002A2C83" w:rsidRDefault="0063514A" w:rsidP="0063514A">
      <w:pPr>
        <w:pStyle w:val="ManualNumPar1"/>
        <w:rPr>
          <w:noProof/>
        </w:rPr>
      </w:pPr>
      <w:r w:rsidRPr="0063514A">
        <w:rPr>
          <w:noProof/>
        </w:rPr>
        <w:t>6.</w:t>
      </w:r>
      <w:r w:rsidRPr="0063514A">
        <w:rPr>
          <w:noProof/>
        </w:rPr>
        <w:tab/>
      </w:r>
      <w:r w:rsidR="00B24D3D">
        <w:rPr>
          <w:noProof/>
        </w:rPr>
        <w:t>Belgium</w:t>
      </w:r>
      <w:r w:rsidR="001A62D7" w:rsidRPr="002A2C83">
        <w:rPr>
          <w:noProof/>
        </w:rPr>
        <w:t xml:space="preserve"> submitted the application under the intervention criteria of </w:t>
      </w:r>
      <w:r w:rsidR="001A62D7" w:rsidRPr="002A2C83">
        <w:rPr>
          <w:rFonts w:eastAsia="Calibri"/>
          <w:noProof/>
        </w:rPr>
        <w:t>Article 4(</w:t>
      </w:r>
      <w:r w:rsidR="00285019" w:rsidRPr="002A2C83">
        <w:rPr>
          <w:rFonts w:eastAsia="Calibri"/>
          <w:noProof/>
        </w:rPr>
        <w:t>2</w:t>
      </w:r>
      <w:r w:rsidR="001A62D7" w:rsidRPr="002A2C83">
        <w:rPr>
          <w:rFonts w:eastAsia="Calibri"/>
          <w:noProof/>
        </w:rPr>
        <w:t>), point (</w:t>
      </w:r>
      <w:r w:rsidR="00285019" w:rsidRPr="002A2C83">
        <w:rPr>
          <w:rFonts w:eastAsia="Calibri"/>
          <w:noProof/>
        </w:rPr>
        <w:t>a</w:t>
      </w:r>
      <w:r w:rsidR="001A62D7" w:rsidRPr="002A2C83">
        <w:rPr>
          <w:rFonts w:eastAsia="Calibri"/>
          <w:noProof/>
        </w:rPr>
        <w:t>),</w:t>
      </w:r>
      <w:r w:rsidR="001A62D7" w:rsidRPr="002A2C83">
        <w:rPr>
          <w:noProof/>
        </w:rPr>
        <w:t xml:space="preserve"> of Regulation (EU) 2021/691, which requires the cessation of activity of at least 200 displaced workers over a reference period of four months</w:t>
      </w:r>
      <w:r w:rsidR="001A62D7" w:rsidRPr="002A2C83">
        <w:rPr>
          <w:noProof/>
          <w:lang w:val="en-IE"/>
        </w:rPr>
        <w:t xml:space="preserve"> in an enterprise in a Member State, including workers displaced in suppliers and downstream producers</w:t>
      </w:r>
      <w:r w:rsidR="002A2C83" w:rsidRPr="002A2C83">
        <w:rPr>
          <w:noProof/>
          <w:lang w:val="en-IE"/>
        </w:rPr>
        <w:t xml:space="preserve">. </w:t>
      </w:r>
    </w:p>
    <w:p w:rsidR="001A62D7" w:rsidRPr="002A2C83" w:rsidRDefault="0063514A" w:rsidP="0063514A">
      <w:pPr>
        <w:pStyle w:val="ManualNumPar1"/>
        <w:rPr>
          <w:noProof/>
        </w:rPr>
      </w:pPr>
      <w:bookmarkStart w:id="8" w:name="_Ref372189348"/>
      <w:r w:rsidRPr="0063514A">
        <w:rPr>
          <w:noProof/>
        </w:rPr>
        <w:t>7.</w:t>
      </w:r>
      <w:r w:rsidRPr="0063514A">
        <w:rPr>
          <w:noProof/>
        </w:rPr>
        <w:tab/>
      </w:r>
      <w:r w:rsidR="001A62D7" w:rsidRPr="002A2C83">
        <w:rPr>
          <w:noProof/>
        </w:rPr>
        <w:t xml:space="preserve">The reference period of </w:t>
      </w:r>
      <w:r w:rsidR="001A62D7" w:rsidRPr="002A2C83">
        <w:rPr>
          <w:rFonts w:eastAsia="Calibri"/>
          <w:noProof/>
        </w:rPr>
        <w:t>four</w:t>
      </w:r>
      <w:r w:rsidR="001A62D7" w:rsidRPr="002A2C83">
        <w:rPr>
          <w:noProof/>
        </w:rPr>
        <w:t xml:space="preserve"> months for the application runs from </w:t>
      </w:r>
      <w:r w:rsidR="00B24D3D">
        <w:rPr>
          <w:noProof/>
        </w:rPr>
        <w:t>28 February 2025</w:t>
      </w:r>
      <w:r w:rsidR="001A62D7" w:rsidRPr="002A2C83">
        <w:rPr>
          <w:noProof/>
        </w:rPr>
        <w:t xml:space="preserve"> to </w:t>
      </w:r>
      <w:bookmarkEnd w:id="8"/>
      <w:r w:rsidR="00B24D3D">
        <w:rPr>
          <w:noProof/>
        </w:rPr>
        <w:t>28 June 2025</w:t>
      </w:r>
      <w:r w:rsidR="001A62D7" w:rsidRPr="002A2C83">
        <w:rPr>
          <w:noProof/>
        </w:rPr>
        <w:t>.</w:t>
      </w:r>
    </w:p>
    <w:p w:rsidR="001A62D7" w:rsidRPr="002A2C83" w:rsidRDefault="0063514A" w:rsidP="0063514A">
      <w:pPr>
        <w:pStyle w:val="ManualNumPar1"/>
        <w:rPr>
          <w:noProof/>
        </w:rPr>
      </w:pPr>
      <w:r w:rsidRPr="0063514A">
        <w:rPr>
          <w:noProof/>
        </w:rPr>
        <w:t>8.</w:t>
      </w:r>
      <w:r w:rsidRPr="0063514A">
        <w:rPr>
          <w:noProof/>
        </w:rPr>
        <w:tab/>
      </w:r>
      <w:r w:rsidR="001A62D7" w:rsidRPr="002A2C83">
        <w:rPr>
          <w:noProof/>
        </w:rPr>
        <w:t>The cessation of activity during the reference period occurred as follows:</w:t>
      </w:r>
    </w:p>
    <w:p w:rsidR="001A62D7" w:rsidRPr="002A2C83" w:rsidRDefault="00B24D3D" w:rsidP="00F23005">
      <w:pPr>
        <w:pStyle w:val="Tiret1"/>
        <w:numPr>
          <w:ilvl w:val="0"/>
          <w:numId w:val="19"/>
        </w:numPr>
        <w:rPr>
          <w:noProof/>
        </w:rPr>
      </w:pPr>
      <w:r>
        <w:rPr>
          <w:noProof/>
        </w:rPr>
        <w:t>2 580</w:t>
      </w:r>
      <w:r w:rsidR="001A62D7" w:rsidRPr="002A2C83">
        <w:rPr>
          <w:noProof/>
        </w:rPr>
        <w:t xml:space="preserve"> displaced workers in </w:t>
      </w:r>
      <w:r>
        <w:rPr>
          <w:noProof/>
        </w:rPr>
        <w:t>Audi</w:t>
      </w:r>
      <w:r w:rsidR="001A62D7" w:rsidRPr="002A2C83">
        <w:rPr>
          <w:noProof/>
        </w:rPr>
        <w:t>,</w:t>
      </w:r>
      <w:r w:rsidR="002A2C83" w:rsidRPr="002A2C83">
        <w:rPr>
          <w:noProof/>
        </w:rPr>
        <w:t xml:space="preserve"> and</w:t>
      </w:r>
    </w:p>
    <w:p w:rsidR="001A62D7" w:rsidRPr="002A2C83" w:rsidRDefault="002757A1" w:rsidP="00F23005">
      <w:pPr>
        <w:pStyle w:val="Tiret1"/>
        <w:numPr>
          <w:ilvl w:val="0"/>
          <w:numId w:val="19"/>
        </w:numPr>
        <w:rPr>
          <w:noProof/>
        </w:rPr>
      </w:pPr>
      <w:r>
        <w:rPr>
          <w:noProof/>
        </w:rPr>
        <w:t>568</w:t>
      </w:r>
      <w:r w:rsidR="001A62D7" w:rsidRPr="002A2C83">
        <w:rPr>
          <w:noProof/>
        </w:rPr>
        <w:t xml:space="preserve"> displaced workers in the</w:t>
      </w:r>
      <w:r>
        <w:rPr>
          <w:noProof/>
        </w:rPr>
        <w:t xml:space="preserve"> five</w:t>
      </w:r>
      <w:r w:rsidR="001A62D7" w:rsidRPr="002A2C83">
        <w:rPr>
          <w:noProof/>
        </w:rPr>
        <w:t xml:space="preserve"> suppliers and dowstream producers of </w:t>
      </w:r>
      <w:r>
        <w:rPr>
          <w:noProof/>
        </w:rPr>
        <w:t>Audi</w:t>
      </w:r>
      <w:r w:rsidR="002A2C83" w:rsidRPr="002A2C83">
        <w:rPr>
          <w:noProof/>
        </w:rPr>
        <w:t>.</w:t>
      </w:r>
    </w:p>
    <w:p w:rsidR="001A62D7" w:rsidRPr="00BD440D" w:rsidRDefault="001A62D7" w:rsidP="001A62D7">
      <w:pPr>
        <w:pStyle w:val="ManualHeading3"/>
        <w:rPr>
          <w:noProof/>
        </w:rPr>
      </w:pPr>
      <w:r w:rsidRPr="00BD440D">
        <w:rPr>
          <w:noProof/>
        </w:rPr>
        <w:t xml:space="preserve">Calculation of </w:t>
      </w:r>
      <w:r>
        <w:rPr>
          <w:noProof/>
        </w:rPr>
        <w:t>displacements</w:t>
      </w:r>
      <w:r w:rsidRPr="00BD440D">
        <w:rPr>
          <w:noProof/>
        </w:rPr>
        <w:t xml:space="preserve"> and of cessation of activity</w:t>
      </w:r>
    </w:p>
    <w:p w:rsidR="001A62D7" w:rsidRPr="008D462D" w:rsidRDefault="0063514A" w:rsidP="0063514A">
      <w:pPr>
        <w:pStyle w:val="ManualNumPar1"/>
        <w:rPr>
          <w:noProof/>
        </w:rPr>
      </w:pPr>
      <w:r w:rsidRPr="0063514A">
        <w:rPr>
          <w:noProof/>
        </w:rPr>
        <w:t>9.</w:t>
      </w:r>
      <w:r w:rsidRPr="0063514A">
        <w:rPr>
          <w:noProof/>
        </w:rPr>
        <w:tab/>
      </w:r>
      <w:r w:rsidR="001A62D7">
        <w:rPr>
          <w:noProof/>
        </w:rPr>
        <w:t>Pursuant to Article 6, first paragraph, point (a), in conjunction with Article 5, first paragraph of Regulation (EU) 2021/691,</w:t>
      </w:r>
      <w:r w:rsidR="001A62D7" w:rsidRPr="00D53BB8" w:rsidDel="00991BDD">
        <w:rPr>
          <w:noProof/>
        </w:rPr>
        <w:t xml:space="preserve"> </w:t>
      </w:r>
      <w:r w:rsidR="001A62D7">
        <w:rPr>
          <w:noProof/>
        </w:rPr>
        <w:t>t</w:t>
      </w:r>
      <w:r w:rsidR="001A62D7" w:rsidRPr="008D462D">
        <w:rPr>
          <w:noProof/>
        </w:rPr>
        <w:t xml:space="preserve">he </w:t>
      </w:r>
      <w:r w:rsidR="001A62D7" w:rsidRPr="001D5AB0">
        <w:rPr>
          <w:noProof/>
        </w:rPr>
        <w:t xml:space="preserve">cessation of activities </w:t>
      </w:r>
      <w:r w:rsidR="001A62D7">
        <w:rPr>
          <w:noProof/>
        </w:rPr>
        <w:t xml:space="preserve">of </w:t>
      </w:r>
      <w:r w:rsidR="00F75DDC">
        <w:rPr>
          <w:noProof/>
        </w:rPr>
        <w:t xml:space="preserve">all </w:t>
      </w:r>
      <w:r w:rsidR="001A62D7">
        <w:rPr>
          <w:noProof/>
        </w:rPr>
        <w:t xml:space="preserve">the displaced workers during the reference period </w:t>
      </w:r>
      <w:r w:rsidR="001A62D7" w:rsidRPr="008D462D">
        <w:rPr>
          <w:noProof/>
        </w:rPr>
        <w:t>ha</w:t>
      </w:r>
      <w:r w:rsidR="001A62D7">
        <w:rPr>
          <w:noProof/>
        </w:rPr>
        <w:t>s</w:t>
      </w:r>
      <w:r w:rsidR="001A62D7" w:rsidRPr="008D462D">
        <w:rPr>
          <w:noProof/>
        </w:rPr>
        <w:t xml:space="preserve"> been calculated as</w:t>
      </w:r>
      <w:r w:rsidR="00F75DDC">
        <w:rPr>
          <w:noProof/>
        </w:rPr>
        <w:t xml:space="preserve"> </w:t>
      </w:r>
      <w:r w:rsidR="00F75DDC" w:rsidRPr="00F75DDC">
        <w:rPr>
          <w:noProof/>
        </w:rPr>
        <w:t>from the date of the de facto termination of the contract of employment or its expiry</w:t>
      </w:r>
      <w:r w:rsidR="00F75DDC">
        <w:rPr>
          <w:noProof/>
        </w:rPr>
        <w:t>.</w:t>
      </w:r>
      <w:r w:rsidR="001A62D7" w:rsidRPr="008D462D">
        <w:rPr>
          <w:noProof/>
        </w:rPr>
        <w:t xml:space="preserve"> </w:t>
      </w:r>
    </w:p>
    <w:p w:rsidR="001A62D7" w:rsidRPr="00BD440D" w:rsidRDefault="001A62D7" w:rsidP="001A62D7">
      <w:pPr>
        <w:pStyle w:val="ManualHeading3"/>
        <w:rPr>
          <w:noProof/>
        </w:rPr>
      </w:pPr>
      <w:r>
        <w:rPr>
          <w:noProof/>
        </w:rPr>
        <w:t>Eligible beneficiaries</w:t>
      </w:r>
    </w:p>
    <w:p w:rsidR="001A62D7" w:rsidRDefault="0063514A" w:rsidP="0063514A">
      <w:pPr>
        <w:pStyle w:val="ManualNumPar1"/>
        <w:rPr>
          <w:noProof/>
        </w:rPr>
      </w:pPr>
      <w:r w:rsidRPr="0063514A">
        <w:rPr>
          <w:noProof/>
        </w:rPr>
        <w:t>10.</w:t>
      </w:r>
      <w:r w:rsidRPr="0063514A">
        <w:rPr>
          <w:noProof/>
        </w:rPr>
        <w:tab/>
      </w:r>
      <w:r w:rsidR="001A62D7" w:rsidRPr="006001AF">
        <w:rPr>
          <w:noProof/>
        </w:rPr>
        <w:t xml:space="preserve">In addition to the </w:t>
      </w:r>
      <w:r w:rsidR="001A62D7">
        <w:rPr>
          <w:noProof/>
        </w:rPr>
        <w:t xml:space="preserve">workers </w:t>
      </w:r>
      <w:r w:rsidR="001A62D7" w:rsidRPr="006001AF">
        <w:rPr>
          <w:noProof/>
        </w:rPr>
        <w:t xml:space="preserve">already referred to, the eligible beneficiaries include </w:t>
      </w:r>
      <w:r w:rsidR="00F75DDC">
        <w:rPr>
          <w:noProof/>
        </w:rPr>
        <w:t>266</w:t>
      </w:r>
      <w:r w:rsidR="001A62D7" w:rsidRPr="006001AF">
        <w:rPr>
          <w:noProof/>
        </w:rPr>
        <w:t xml:space="preserve"> </w:t>
      </w:r>
      <w:r w:rsidR="001A62D7">
        <w:rPr>
          <w:noProof/>
        </w:rPr>
        <w:t xml:space="preserve">displaced </w:t>
      </w:r>
      <w:r w:rsidR="001A62D7" w:rsidRPr="006001AF">
        <w:rPr>
          <w:noProof/>
        </w:rPr>
        <w:t>workers</w:t>
      </w:r>
      <w:r w:rsidR="001A62D7">
        <w:rPr>
          <w:noProof/>
        </w:rPr>
        <w:t xml:space="preserve"> whose activity ceased </w:t>
      </w:r>
      <w:r w:rsidR="001A62D7" w:rsidRPr="006001AF">
        <w:rPr>
          <w:noProof/>
        </w:rPr>
        <w:t xml:space="preserve">before or after the reference period </w:t>
      </w:r>
      <w:r w:rsidR="001A62D7" w:rsidRPr="002A2C83">
        <w:rPr>
          <w:noProof/>
        </w:rPr>
        <w:t>of four</w:t>
      </w:r>
      <w:r w:rsidR="001A62D7" w:rsidRPr="006001AF">
        <w:rPr>
          <w:noProof/>
        </w:rPr>
        <w:t xml:space="preserve"> months. </w:t>
      </w:r>
      <w:r w:rsidR="001A62D7">
        <w:rPr>
          <w:noProof/>
        </w:rPr>
        <w:t>All t</w:t>
      </w:r>
      <w:r w:rsidR="001A62D7" w:rsidRPr="006001AF">
        <w:rPr>
          <w:noProof/>
        </w:rPr>
        <w:t xml:space="preserve">hese workers </w:t>
      </w:r>
      <w:r w:rsidR="001A62D7">
        <w:rPr>
          <w:noProof/>
        </w:rPr>
        <w:t>ceased their activity</w:t>
      </w:r>
      <w:r w:rsidR="001A62D7" w:rsidRPr="006001AF">
        <w:rPr>
          <w:noProof/>
        </w:rPr>
        <w:t xml:space="preserve"> </w:t>
      </w:r>
      <w:r w:rsidR="001A62D7">
        <w:rPr>
          <w:noProof/>
        </w:rPr>
        <w:t xml:space="preserve">within the six months before the start of the reference period </w:t>
      </w:r>
      <w:r w:rsidR="001A62D7" w:rsidRPr="006001AF">
        <w:rPr>
          <w:noProof/>
        </w:rPr>
        <w:t xml:space="preserve">on </w:t>
      </w:r>
      <w:r w:rsidR="00F75DDC">
        <w:rPr>
          <w:noProof/>
        </w:rPr>
        <w:t>28 February 2025</w:t>
      </w:r>
      <w:r w:rsidR="001A62D7">
        <w:rPr>
          <w:noProof/>
        </w:rPr>
        <w:t xml:space="preserve"> and/or between the end of the reference period and the day before the adoption of this proposal, pursuant to Article 6, first paragraph, point (b), of Regulation (EU) 2021/691,</w:t>
      </w:r>
      <w:r w:rsidR="001A62D7" w:rsidRPr="00BD1C02">
        <w:rPr>
          <w:noProof/>
        </w:rPr>
        <w:t xml:space="preserve"> </w:t>
      </w:r>
      <w:r w:rsidR="001A62D7">
        <w:rPr>
          <w:noProof/>
        </w:rPr>
        <w:t>as required by Article 6, second paragraph, of Regulation (EU) 2021/691</w:t>
      </w:r>
      <w:r w:rsidR="001A62D7" w:rsidRPr="006001AF">
        <w:rPr>
          <w:noProof/>
        </w:rPr>
        <w:t xml:space="preserve">. A clear causal link can be established with the event that triggered the </w:t>
      </w:r>
      <w:r w:rsidR="001A62D7">
        <w:rPr>
          <w:noProof/>
        </w:rPr>
        <w:t>cessations of activity of the displaced workers during the reference period as required by Article 6, second paragraph, of Regulation (EU)</w:t>
      </w:r>
      <w:r w:rsidR="00133927">
        <w:rPr>
          <w:noProof/>
        </w:rPr>
        <w:t> </w:t>
      </w:r>
      <w:r w:rsidR="001A62D7">
        <w:rPr>
          <w:noProof/>
        </w:rPr>
        <w:t>2021/691.</w:t>
      </w:r>
      <w:r w:rsidR="001A62D7" w:rsidRPr="007244BC">
        <w:rPr>
          <w:noProof/>
          <w:color w:val="FFFFFF" w:themeColor="background1"/>
        </w:rPr>
        <w:t>.</w:t>
      </w:r>
    </w:p>
    <w:p w:rsidR="001A62D7" w:rsidRPr="007D613D" w:rsidRDefault="0063514A" w:rsidP="0063514A">
      <w:pPr>
        <w:pStyle w:val="ManualNumPar1"/>
        <w:rPr>
          <w:noProof/>
        </w:rPr>
      </w:pPr>
      <w:r w:rsidRPr="0063514A">
        <w:rPr>
          <w:noProof/>
        </w:rPr>
        <w:t>11.</w:t>
      </w:r>
      <w:r w:rsidRPr="0063514A">
        <w:rPr>
          <w:noProof/>
        </w:rPr>
        <w:tab/>
      </w:r>
      <w:r w:rsidR="001A62D7">
        <w:rPr>
          <w:noProof/>
        </w:rPr>
        <w:t xml:space="preserve">The total number of eligible beneficiaries is </w:t>
      </w:r>
      <w:r w:rsidR="00F75DDC">
        <w:rPr>
          <w:noProof/>
        </w:rPr>
        <w:t>3 414</w:t>
      </w:r>
      <w:r w:rsidR="001A62D7">
        <w:rPr>
          <w:noProof/>
        </w:rPr>
        <w:t>.</w:t>
      </w:r>
    </w:p>
    <w:p w:rsidR="001A62D7" w:rsidRPr="009843DD" w:rsidRDefault="001A62D7" w:rsidP="001A62D7">
      <w:pPr>
        <w:pStyle w:val="ManualHeading3"/>
        <w:rPr>
          <w:noProof/>
        </w:rPr>
      </w:pPr>
      <w:r>
        <w:rPr>
          <w:noProof/>
        </w:rPr>
        <w:t>Description of the e</w:t>
      </w:r>
      <w:r w:rsidRPr="009843DD">
        <w:rPr>
          <w:noProof/>
        </w:rPr>
        <w:t xml:space="preserve">vents </w:t>
      </w:r>
      <w:r>
        <w:rPr>
          <w:noProof/>
        </w:rPr>
        <w:t>that led to the displacements</w:t>
      </w:r>
      <w:r w:rsidRPr="009843DD">
        <w:rPr>
          <w:noProof/>
        </w:rPr>
        <w:t xml:space="preserve"> and cessation of activity</w:t>
      </w:r>
    </w:p>
    <w:p w:rsidR="00B05808" w:rsidRDefault="0063514A" w:rsidP="0063514A">
      <w:pPr>
        <w:pStyle w:val="ManualNumPar1"/>
        <w:rPr>
          <w:noProof/>
        </w:rPr>
      </w:pPr>
      <w:r w:rsidRPr="0063514A">
        <w:rPr>
          <w:noProof/>
        </w:rPr>
        <w:t>12.</w:t>
      </w:r>
      <w:r w:rsidRPr="0063514A">
        <w:rPr>
          <w:noProof/>
        </w:rPr>
        <w:tab/>
      </w:r>
      <w:r w:rsidR="003479D0">
        <w:rPr>
          <w:noProof/>
        </w:rPr>
        <w:t>According to Belgian authorities, the global market for the production and sale of cars, particularly electric cars, is facing numerous challenges and economic pressures, such as rising global raw material costs, aggressive global competition, and reduced growth forecasts and declin</w:t>
      </w:r>
      <w:r w:rsidR="00B05808">
        <w:rPr>
          <w:noProof/>
        </w:rPr>
        <w:t>ing overall</w:t>
      </w:r>
      <w:r w:rsidR="003479D0">
        <w:rPr>
          <w:noProof/>
        </w:rPr>
        <w:t xml:space="preserve"> demand for electric cars in Europe.</w:t>
      </w:r>
    </w:p>
    <w:p w:rsidR="003479D0" w:rsidRDefault="0063514A" w:rsidP="0063514A">
      <w:pPr>
        <w:pStyle w:val="ManualNumPar1"/>
        <w:rPr>
          <w:noProof/>
        </w:rPr>
      </w:pPr>
      <w:r w:rsidRPr="0063514A">
        <w:rPr>
          <w:noProof/>
        </w:rPr>
        <w:t>13.</w:t>
      </w:r>
      <w:r w:rsidRPr="0063514A">
        <w:rPr>
          <w:noProof/>
        </w:rPr>
        <w:tab/>
      </w:r>
      <w:r w:rsidR="003479D0">
        <w:rPr>
          <w:noProof/>
        </w:rPr>
        <w:t xml:space="preserve">Following low sales of the Q8 e-tron, the only model produced at </w:t>
      </w:r>
      <w:r w:rsidR="000F3A25">
        <w:rPr>
          <w:noProof/>
        </w:rPr>
        <w:t>Audi's plant</w:t>
      </w:r>
      <w:r w:rsidR="003479D0">
        <w:rPr>
          <w:noProof/>
        </w:rPr>
        <w:t xml:space="preserve"> </w:t>
      </w:r>
      <w:r w:rsidR="000F3A25">
        <w:rPr>
          <w:noProof/>
        </w:rPr>
        <w:t xml:space="preserve">in </w:t>
      </w:r>
      <w:r w:rsidR="000F3A25" w:rsidRPr="000F3A25">
        <w:rPr>
          <w:noProof/>
        </w:rPr>
        <w:t>Brussels</w:t>
      </w:r>
      <w:r w:rsidR="000F3A25">
        <w:rPr>
          <w:noProof/>
        </w:rPr>
        <w:t xml:space="preserve"> </w:t>
      </w:r>
      <w:r w:rsidR="003479D0">
        <w:rPr>
          <w:noProof/>
        </w:rPr>
        <w:t xml:space="preserve">(Audi BXL), the end of </w:t>
      </w:r>
      <w:r w:rsidR="000F3A25">
        <w:rPr>
          <w:noProof/>
        </w:rPr>
        <w:t xml:space="preserve">its </w:t>
      </w:r>
      <w:r w:rsidR="003479D0">
        <w:rPr>
          <w:noProof/>
        </w:rPr>
        <w:t>production</w:t>
      </w:r>
      <w:r w:rsidR="00424B7A">
        <w:rPr>
          <w:noProof/>
        </w:rPr>
        <w:t>,</w:t>
      </w:r>
      <w:r w:rsidR="00433AE9">
        <w:rPr>
          <w:noProof/>
        </w:rPr>
        <w:t xml:space="preserve"> </w:t>
      </w:r>
      <w:r w:rsidR="000F3A25">
        <w:rPr>
          <w:noProof/>
        </w:rPr>
        <w:t>initi</w:t>
      </w:r>
      <w:r w:rsidR="003479D0">
        <w:rPr>
          <w:noProof/>
        </w:rPr>
        <w:t>ally planned for 2027</w:t>
      </w:r>
      <w:r w:rsidR="00424B7A">
        <w:rPr>
          <w:noProof/>
        </w:rPr>
        <w:t>,</w:t>
      </w:r>
      <w:r w:rsidR="003479D0">
        <w:rPr>
          <w:noProof/>
        </w:rPr>
        <w:t xml:space="preserve"> was </w:t>
      </w:r>
      <w:r w:rsidR="000F3A25" w:rsidRPr="000F3A25">
        <w:rPr>
          <w:noProof/>
        </w:rPr>
        <w:t xml:space="preserve">brought forward to </w:t>
      </w:r>
      <w:r w:rsidR="003479D0">
        <w:rPr>
          <w:noProof/>
        </w:rPr>
        <w:t xml:space="preserve">2025. Furthermore, </w:t>
      </w:r>
      <w:r w:rsidR="000F3A25">
        <w:rPr>
          <w:noProof/>
        </w:rPr>
        <w:t xml:space="preserve">due to </w:t>
      </w:r>
      <w:r w:rsidR="003479D0">
        <w:rPr>
          <w:noProof/>
        </w:rPr>
        <w:t xml:space="preserve">the shift in demand for </w:t>
      </w:r>
      <w:r w:rsidR="000F3A25" w:rsidRPr="000F3A25">
        <w:rPr>
          <w:noProof/>
        </w:rPr>
        <w:t>larger vehicles towards regions outside Europe, the successor to the Q8 e-tron w</w:t>
      </w:r>
      <w:r w:rsidR="00586FD3">
        <w:rPr>
          <w:noProof/>
        </w:rPr>
        <w:t xml:space="preserve">ould </w:t>
      </w:r>
      <w:r w:rsidR="000F3A25" w:rsidRPr="000F3A25">
        <w:rPr>
          <w:noProof/>
        </w:rPr>
        <w:t>not be produced at Audi BXL, but closer to markets with higher demand.</w:t>
      </w:r>
    </w:p>
    <w:p w:rsidR="001A62D7" w:rsidRDefault="0063514A" w:rsidP="0063514A">
      <w:pPr>
        <w:pStyle w:val="ManualNumPar1"/>
        <w:rPr>
          <w:noProof/>
        </w:rPr>
      </w:pPr>
      <w:r w:rsidRPr="0063514A">
        <w:rPr>
          <w:noProof/>
        </w:rPr>
        <w:t>14.</w:t>
      </w:r>
      <w:r w:rsidRPr="0063514A">
        <w:rPr>
          <w:noProof/>
        </w:rPr>
        <w:tab/>
      </w:r>
      <w:r w:rsidR="008F470C" w:rsidRPr="008F470C">
        <w:rPr>
          <w:noProof/>
        </w:rPr>
        <w:t>The</w:t>
      </w:r>
      <w:r w:rsidR="00586FD3">
        <w:rPr>
          <w:noProof/>
        </w:rPr>
        <w:t xml:space="preserve"> </w:t>
      </w:r>
      <w:r w:rsidR="00586FD3" w:rsidRPr="00586FD3">
        <w:rPr>
          <w:noProof/>
        </w:rPr>
        <w:t xml:space="preserve">production costs per vehicle </w:t>
      </w:r>
      <w:r w:rsidR="00586FD3">
        <w:rPr>
          <w:noProof/>
        </w:rPr>
        <w:t>at</w:t>
      </w:r>
      <w:r w:rsidR="008F470C" w:rsidRPr="008F470C">
        <w:rPr>
          <w:noProof/>
        </w:rPr>
        <w:t xml:space="preserve"> Audi BXL plant </w:t>
      </w:r>
      <w:r w:rsidR="00586FD3">
        <w:rPr>
          <w:noProof/>
        </w:rPr>
        <w:t>were</w:t>
      </w:r>
      <w:r w:rsidR="008F470C" w:rsidRPr="008F470C">
        <w:rPr>
          <w:noProof/>
        </w:rPr>
        <w:t xml:space="preserve"> higher than </w:t>
      </w:r>
      <w:r w:rsidR="00586FD3">
        <w:rPr>
          <w:noProof/>
        </w:rPr>
        <w:t xml:space="preserve">at </w:t>
      </w:r>
      <w:r w:rsidR="008F470C" w:rsidRPr="008F470C">
        <w:rPr>
          <w:noProof/>
        </w:rPr>
        <w:t>other Audi plants. Structural factors, such as its location in the Brussels metropolitan area, between a residential zone and a railway line, made it difficult to optimi</w:t>
      </w:r>
      <w:r w:rsidR="00133927">
        <w:rPr>
          <w:noProof/>
        </w:rPr>
        <w:t>s</w:t>
      </w:r>
      <w:r w:rsidR="008F470C" w:rsidRPr="008F470C">
        <w:rPr>
          <w:noProof/>
        </w:rPr>
        <w:t>e and adapt the facilities, resulting in higher costs. The absence of press lines</w:t>
      </w:r>
      <w:r w:rsidR="003479D0">
        <w:rPr>
          <w:rStyle w:val="FootnoteReference"/>
          <w:noProof/>
        </w:rPr>
        <w:footnoteReference w:id="7"/>
      </w:r>
      <w:r w:rsidR="008F470C">
        <w:rPr>
          <w:noProof/>
        </w:rPr>
        <w:t xml:space="preserve"> </w:t>
      </w:r>
      <w:r w:rsidR="008F470C" w:rsidRPr="008F470C">
        <w:rPr>
          <w:noProof/>
        </w:rPr>
        <w:t xml:space="preserve">and the lack of a nearby supplier network also contributed to the higher costs, especially in terms of logistics. </w:t>
      </w:r>
      <w:r w:rsidR="00250FCB" w:rsidRPr="00250FCB">
        <w:rPr>
          <w:noProof/>
        </w:rPr>
        <w:t>Therefore, no other model was planned to be produced at the Audi BXL plant to replace the Q8 e-tron, whose production was discontinued.</w:t>
      </w:r>
      <w:r w:rsidR="00250FCB">
        <w:rPr>
          <w:noProof/>
        </w:rPr>
        <w:t xml:space="preserve"> </w:t>
      </w:r>
      <w:r w:rsidR="008F470C" w:rsidRPr="008F470C">
        <w:rPr>
          <w:noProof/>
        </w:rPr>
        <w:t>This led to the cessation of operations and the closure of the plant, resulting in these displacements</w:t>
      </w:r>
      <w:r w:rsidR="003479D0">
        <w:rPr>
          <w:noProof/>
        </w:rPr>
        <w:t>.</w:t>
      </w:r>
    </w:p>
    <w:p w:rsidR="001A62D7" w:rsidRPr="00EF5C5A" w:rsidRDefault="001A62D7" w:rsidP="001A62D7">
      <w:pPr>
        <w:pStyle w:val="ManualHeading3"/>
        <w:tabs>
          <w:tab w:val="clear" w:pos="850"/>
          <w:tab w:val="left" w:pos="0"/>
        </w:tabs>
        <w:ind w:left="0" w:firstLine="0"/>
        <w:rPr>
          <w:noProof/>
        </w:rPr>
      </w:pPr>
      <w:r w:rsidRPr="00EF5C5A">
        <w:rPr>
          <w:noProof/>
        </w:rPr>
        <w:t xml:space="preserve">Expected impact of the </w:t>
      </w:r>
      <w:r>
        <w:rPr>
          <w:noProof/>
        </w:rPr>
        <w:t xml:space="preserve">displacements </w:t>
      </w:r>
      <w:r w:rsidRPr="00EF5C5A">
        <w:rPr>
          <w:noProof/>
        </w:rPr>
        <w:t>as regards the local, regional or national economy and employment</w:t>
      </w:r>
    </w:p>
    <w:p w:rsidR="00B26AFC" w:rsidRDefault="0063514A" w:rsidP="0063514A">
      <w:pPr>
        <w:pStyle w:val="ManualNumPar1"/>
        <w:rPr>
          <w:noProof/>
        </w:rPr>
      </w:pPr>
      <w:r w:rsidRPr="0063514A">
        <w:rPr>
          <w:noProof/>
        </w:rPr>
        <w:t>15.</w:t>
      </w:r>
      <w:r w:rsidRPr="0063514A">
        <w:rPr>
          <w:noProof/>
        </w:rPr>
        <w:tab/>
      </w:r>
      <w:r w:rsidR="00B26AFC">
        <w:rPr>
          <w:noProof/>
        </w:rPr>
        <w:t>Job creation in Belgium slowed in 2024. Only 13</w:t>
      </w:r>
      <w:r w:rsidR="00454A9D">
        <w:rPr>
          <w:noProof/>
        </w:rPr>
        <w:t> </w:t>
      </w:r>
      <w:r w:rsidR="00B26AFC">
        <w:rPr>
          <w:noProof/>
        </w:rPr>
        <w:t>400 jobs were created, a third of the jobs created in 2023</w:t>
      </w:r>
      <w:r w:rsidR="002B1CAD">
        <w:rPr>
          <w:rStyle w:val="FootnoteReference"/>
          <w:noProof/>
        </w:rPr>
        <w:footnoteReference w:id="8"/>
      </w:r>
      <w:r w:rsidR="00B26AFC">
        <w:rPr>
          <w:noProof/>
        </w:rPr>
        <w:t xml:space="preserve">. </w:t>
      </w:r>
      <w:r w:rsidR="007A5E19" w:rsidRPr="007A5E19">
        <w:rPr>
          <w:noProof/>
        </w:rPr>
        <w:t>Furthermore,</w:t>
      </w:r>
      <w:r w:rsidR="007A5E19">
        <w:rPr>
          <w:noProof/>
        </w:rPr>
        <w:t xml:space="preserve"> b</w:t>
      </w:r>
      <w:r w:rsidR="00B26AFC">
        <w:rPr>
          <w:noProof/>
        </w:rPr>
        <w:t>ankruptcies are on the rise since 2022. In 2024, more than 11</w:t>
      </w:r>
      <w:r w:rsidR="00F11701">
        <w:rPr>
          <w:noProof/>
        </w:rPr>
        <w:t> </w:t>
      </w:r>
      <w:r w:rsidR="00B26AFC">
        <w:rPr>
          <w:noProof/>
        </w:rPr>
        <w:t xml:space="preserve">000 enterprises were declared bankrupt, the highest </w:t>
      </w:r>
      <w:r w:rsidR="007A5E19">
        <w:rPr>
          <w:noProof/>
        </w:rPr>
        <w:t xml:space="preserve">figure </w:t>
      </w:r>
      <w:r w:rsidR="00B26AFC">
        <w:rPr>
          <w:noProof/>
        </w:rPr>
        <w:t>since 2013</w:t>
      </w:r>
      <w:r w:rsidR="00F11701">
        <w:rPr>
          <w:rStyle w:val="FootnoteReference"/>
          <w:noProof/>
        </w:rPr>
        <w:footnoteReference w:id="9"/>
      </w:r>
      <w:r w:rsidR="00B26AFC">
        <w:rPr>
          <w:noProof/>
        </w:rPr>
        <w:t>. This up</w:t>
      </w:r>
      <w:r w:rsidR="007A5E19">
        <w:rPr>
          <w:noProof/>
        </w:rPr>
        <w:t xml:space="preserve">ward </w:t>
      </w:r>
      <w:r w:rsidR="00B26AFC">
        <w:rPr>
          <w:noProof/>
        </w:rPr>
        <w:t xml:space="preserve">trend has continued, </w:t>
      </w:r>
      <w:r w:rsidR="007A5E19" w:rsidRPr="007A5E19">
        <w:rPr>
          <w:noProof/>
        </w:rPr>
        <w:t>8</w:t>
      </w:r>
      <w:r w:rsidR="007135A2">
        <w:rPr>
          <w:noProof/>
        </w:rPr>
        <w:t> </w:t>
      </w:r>
      <w:r w:rsidR="007A5E19" w:rsidRPr="007A5E19">
        <w:rPr>
          <w:noProof/>
        </w:rPr>
        <w:t>483 enterprises went bankrupt</w:t>
      </w:r>
      <w:r w:rsidR="007A5E19">
        <w:rPr>
          <w:noProof/>
        </w:rPr>
        <w:t xml:space="preserve"> </w:t>
      </w:r>
      <w:r w:rsidR="007A5E19" w:rsidRPr="007A5E19">
        <w:rPr>
          <w:noProof/>
        </w:rPr>
        <w:t>between January and September 2025</w:t>
      </w:r>
      <w:r w:rsidR="00F054C5">
        <w:rPr>
          <w:rStyle w:val="FootnoteReference"/>
          <w:noProof/>
        </w:rPr>
        <w:footnoteReference w:id="10"/>
      </w:r>
      <w:r w:rsidR="00B26AFC">
        <w:rPr>
          <w:noProof/>
        </w:rPr>
        <w:t>.</w:t>
      </w:r>
    </w:p>
    <w:p w:rsidR="007135A2" w:rsidRPr="007135A2" w:rsidRDefault="0063514A" w:rsidP="0063514A">
      <w:pPr>
        <w:pStyle w:val="ManualNumPar1"/>
        <w:rPr>
          <w:noProof/>
        </w:rPr>
      </w:pPr>
      <w:r w:rsidRPr="0063514A">
        <w:rPr>
          <w:noProof/>
        </w:rPr>
        <w:t>16.</w:t>
      </w:r>
      <w:r w:rsidRPr="0063514A">
        <w:rPr>
          <w:noProof/>
        </w:rPr>
        <w:tab/>
      </w:r>
      <w:r w:rsidR="00B26AFC">
        <w:rPr>
          <w:noProof/>
        </w:rPr>
        <w:t>In terms of employment, the number of workers affected by collective redundancies in 2024 increased by 68% year-on-year</w:t>
      </w:r>
      <w:r w:rsidR="00AD00C3">
        <w:rPr>
          <w:rStyle w:val="FootnoteReference"/>
          <w:noProof/>
        </w:rPr>
        <w:footnoteReference w:id="11"/>
      </w:r>
      <w:r w:rsidR="00B26AFC">
        <w:rPr>
          <w:noProof/>
        </w:rPr>
        <w:t>. The number of job</w:t>
      </w:r>
      <w:r w:rsidR="008E3775">
        <w:rPr>
          <w:noProof/>
        </w:rPr>
        <w:t>s</w:t>
      </w:r>
      <w:r w:rsidR="00B26AFC">
        <w:rPr>
          <w:noProof/>
        </w:rPr>
        <w:t xml:space="preserve"> los</w:t>
      </w:r>
      <w:r w:rsidR="007135A2">
        <w:rPr>
          <w:noProof/>
        </w:rPr>
        <w:t>t</w:t>
      </w:r>
      <w:r w:rsidR="00B26AFC">
        <w:rPr>
          <w:noProof/>
        </w:rPr>
        <w:t xml:space="preserve"> due to bankruptcies </w:t>
      </w:r>
      <w:r w:rsidR="007135A2">
        <w:rPr>
          <w:noProof/>
        </w:rPr>
        <w:t>reached</w:t>
      </w:r>
      <w:r w:rsidR="00B26AFC">
        <w:rPr>
          <w:noProof/>
        </w:rPr>
        <w:t xml:space="preserve"> </w:t>
      </w:r>
      <w:r w:rsidR="00C175FE">
        <w:rPr>
          <w:noProof/>
        </w:rPr>
        <w:t>32 566</w:t>
      </w:r>
      <w:r w:rsidR="00B26AFC">
        <w:rPr>
          <w:noProof/>
        </w:rPr>
        <w:t xml:space="preserve"> in 2024</w:t>
      </w:r>
      <w:r w:rsidR="00C175FE">
        <w:rPr>
          <w:noProof/>
        </w:rPr>
        <w:t xml:space="preserve"> (+18% year-on-year)</w:t>
      </w:r>
      <w:r w:rsidR="00217F8F">
        <w:rPr>
          <w:rStyle w:val="FootnoteReference"/>
          <w:noProof/>
        </w:rPr>
        <w:footnoteReference w:id="12"/>
      </w:r>
      <w:r w:rsidR="00B26AFC">
        <w:rPr>
          <w:noProof/>
        </w:rPr>
        <w:t>, and 22</w:t>
      </w:r>
      <w:r w:rsidR="00F054C5">
        <w:rPr>
          <w:noProof/>
        </w:rPr>
        <w:t> </w:t>
      </w:r>
      <w:r w:rsidR="00B26AFC">
        <w:rPr>
          <w:noProof/>
        </w:rPr>
        <w:t>500 in 2025 (January to September)</w:t>
      </w:r>
      <w:r w:rsidR="004C5360">
        <w:rPr>
          <w:rStyle w:val="FootnoteReference"/>
          <w:noProof/>
        </w:rPr>
        <w:footnoteReference w:id="13"/>
      </w:r>
      <w:r w:rsidR="00B26AFC">
        <w:rPr>
          <w:noProof/>
        </w:rPr>
        <w:t>. About 14% of these job losses happened in the industr</w:t>
      </w:r>
      <w:r w:rsidR="007135A2">
        <w:rPr>
          <w:noProof/>
        </w:rPr>
        <w:t>ial sector</w:t>
      </w:r>
      <w:r w:rsidR="00D95ACC">
        <w:rPr>
          <w:rStyle w:val="FootnoteReference"/>
          <w:noProof/>
        </w:rPr>
        <w:footnoteReference w:id="14"/>
      </w:r>
      <w:r w:rsidR="00B26AFC">
        <w:rPr>
          <w:noProof/>
        </w:rPr>
        <w:t>.</w:t>
      </w:r>
    </w:p>
    <w:p w:rsidR="00B424CD" w:rsidRDefault="0063514A" w:rsidP="0063514A">
      <w:pPr>
        <w:pStyle w:val="ManualNumPar1"/>
        <w:rPr>
          <w:noProof/>
        </w:rPr>
      </w:pPr>
      <w:r w:rsidRPr="0063514A">
        <w:rPr>
          <w:noProof/>
        </w:rPr>
        <w:t>17.</w:t>
      </w:r>
      <w:r w:rsidRPr="0063514A">
        <w:rPr>
          <w:noProof/>
        </w:rPr>
        <w:tab/>
      </w:r>
      <w:r w:rsidR="00964814">
        <w:rPr>
          <w:noProof/>
        </w:rPr>
        <w:t xml:space="preserve">The </w:t>
      </w:r>
      <w:r w:rsidR="00B424CD">
        <w:rPr>
          <w:noProof/>
        </w:rPr>
        <w:t>unemployment rate</w:t>
      </w:r>
      <w:r w:rsidR="00964814">
        <w:rPr>
          <w:noProof/>
        </w:rPr>
        <w:t xml:space="preserve"> in Belgium</w:t>
      </w:r>
      <w:r w:rsidR="00B424CD">
        <w:rPr>
          <w:noProof/>
        </w:rPr>
        <w:t xml:space="preserve"> is 5</w:t>
      </w:r>
      <w:r w:rsidR="00454A9D">
        <w:rPr>
          <w:noProof/>
        </w:rPr>
        <w:t>,</w:t>
      </w:r>
      <w:r w:rsidR="00B424CD">
        <w:rPr>
          <w:noProof/>
        </w:rPr>
        <w:t>9%</w:t>
      </w:r>
      <w:r w:rsidR="00583654">
        <w:rPr>
          <w:rStyle w:val="FootnoteReference"/>
          <w:noProof/>
        </w:rPr>
        <w:footnoteReference w:id="15"/>
      </w:r>
      <w:r w:rsidR="00964814">
        <w:rPr>
          <w:noProof/>
        </w:rPr>
        <w:t xml:space="preserve">, the same </w:t>
      </w:r>
      <w:r w:rsidR="00B424CD">
        <w:rPr>
          <w:noProof/>
        </w:rPr>
        <w:t>as the EU average</w:t>
      </w:r>
      <w:r w:rsidR="00583654">
        <w:rPr>
          <w:rStyle w:val="FootnoteReference"/>
          <w:noProof/>
        </w:rPr>
        <w:footnoteReference w:id="16"/>
      </w:r>
      <w:r w:rsidR="00B424CD">
        <w:rPr>
          <w:noProof/>
        </w:rPr>
        <w:t xml:space="preserve">. However, there are </w:t>
      </w:r>
      <w:r w:rsidR="007135A2">
        <w:rPr>
          <w:noProof/>
        </w:rPr>
        <w:t xml:space="preserve">significant </w:t>
      </w:r>
      <w:r w:rsidR="00B424CD">
        <w:rPr>
          <w:noProof/>
        </w:rPr>
        <w:t xml:space="preserve">differences </w:t>
      </w:r>
      <w:r w:rsidR="009C51E1">
        <w:rPr>
          <w:noProof/>
        </w:rPr>
        <w:t>between</w:t>
      </w:r>
      <w:r w:rsidR="00B424CD">
        <w:rPr>
          <w:noProof/>
        </w:rPr>
        <w:t xml:space="preserve"> regional labour markets. The unemployment rate </w:t>
      </w:r>
      <w:r w:rsidR="00964814">
        <w:rPr>
          <w:noProof/>
        </w:rPr>
        <w:t>in</w:t>
      </w:r>
      <w:r w:rsidR="00B424CD">
        <w:rPr>
          <w:noProof/>
        </w:rPr>
        <w:t xml:space="preserve"> Brussels is 11</w:t>
      </w:r>
      <w:r w:rsidR="00454A9D">
        <w:rPr>
          <w:noProof/>
        </w:rPr>
        <w:t>,</w:t>
      </w:r>
      <w:r w:rsidR="00B424CD">
        <w:rPr>
          <w:noProof/>
        </w:rPr>
        <w:t>9%, 6 percentage points (pp) higher than the national rate</w:t>
      </w:r>
      <w:r w:rsidR="00964814">
        <w:rPr>
          <w:noProof/>
        </w:rPr>
        <w:t>. In</w:t>
      </w:r>
      <w:r w:rsidR="00B424CD">
        <w:rPr>
          <w:noProof/>
        </w:rPr>
        <w:t xml:space="preserve"> Wallonia</w:t>
      </w:r>
      <w:r w:rsidR="00964814">
        <w:rPr>
          <w:noProof/>
        </w:rPr>
        <w:t>, it</w:t>
      </w:r>
      <w:r w:rsidR="00B424CD">
        <w:rPr>
          <w:noProof/>
        </w:rPr>
        <w:t xml:space="preserve"> is also higher (+2</w:t>
      </w:r>
      <w:r w:rsidR="00EC5375">
        <w:rPr>
          <w:noProof/>
        </w:rPr>
        <w:t> </w:t>
      </w:r>
      <w:r w:rsidR="00B424CD">
        <w:rPr>
          <w:noProof/>
        </w:rPr>
        <w:t>pp)</w:t>
      </w:r>
      <w:r w:rsidR="00964814">
        <w:rPr>
          <w:noProof/>
        </w:rPr>
        <w:t xml:space="preserve">, while in </w:t>
      </w:r>
      <w:r w:rsidR="00B424CD">
        <w:rPr>
          <w:noProof/>
        </w:rPr>
        <w:t>Flanders</w:t>
      </w:r>
      <w:r w:rsidR="00964814">
        <w:rPr>
          <w:noProof/>
        </w:rPr>
        <w:t xml:space="preserve"> </w:t>
      </w:r>
      <w:r w:rsidR="00964814" w:rsidRPr="00964814">
        <w:rPr>
          <w:noProof/>
        </w:rPr>
        <w:t>it is 2</w:t>
      </w:r>
      <w:r w:rsidR="00EC5375">
        <w:rPr>
          <w:noProof/>
        </w:rPr>
        <w:t> </w:t>
      </w:r>
      <w:r w:rsidR="00964814" w:rsidRPr="00964814">
        <w:rPr>
          <w:noProof/>
        </w:rPr>
        <w:t>pp lower</w:t>
      </w:r>
      <w:r w:rsidR="00583654">
        <w:rPr>
          <w:rStyle w:val="FootnoteReference"/>
          <w:noProof/>
        </w:rPr>
        <w:footnoteReference w:id="17"/>
      </w:r>
      <w:r w:rsidR="00B424CD">
        <w:rPr>
          <w:noProof/>
        </w:rPr>
        <w:t>.</w:t>
      </w:r>
    </w:p>
    <w:p w:rsidR="00DA1DDA" w:rsidRDefault="0063514A" w:rsidP="0063514A">
      <w:pPr>
        <w:pStyle w:val="ManualNumPar1"/>
        <w:rPr>
          <w:noProof/>
        </w:rPr>
      </w:pPr>
      <w:bookmarkStart w:id="9" w:name="_Hlk213166739"/>
      <w:r w:rsidRPr="0063514A">
        <w:rPr>
          <w:noProof/>
        </w:rPr>
        <w:t>18.</w:t>
      </w:r>
      <w:r w:rsidRPr="0063514A">
        <w:rPr>
          <w:noProof/>
        </w:rPr>
        <w:tab/>
      </w:r>
      <w:r w:rsidR="009C51E1">
        <w:rPr>
          <w:noProof/>
        </w:rPr>
        <w:t>Belgium</w:t>
      </w:r>
      <w:r w:rsidR="00EC5375">
        <w:rPr>
          <w:noProof/>
        </w:rPr>
        <w:t>,</w:t>
      </w:r>
      <w:r w:rsidR="009C51E1">
        <w:rPr>
          <w:noProof/>
        </w:rPr>
        <w:t xml:space="preserve"> citing figures</w:t>
      </w:r>
      <w:r w:rsidR="00EC5375">
        <w:rPr>
          <w:noProof/>
        </w:rPr>
        <w:t xml:space="preserve"> from Statbel</w:t>
      </w:r>
      <w:r w:rsidR="00982507">
        <w:rPr>
          <w:rStyle w:val="FootnoteReference"/>
          <w:noProof/>
        </w:rPr>
        <w:footnoteReference w:id="18"/>
      </w:r>
      <w:r w:rsidR="00EC5375">
        <w:rPr>
          <w:noProof/>
        </w:rPr>
        <w:t xml:space="preserve">, </w:t>
      </w:r>
      <w:r w:rsidR="006B47D4">
        <w:rPr>
          <w:noProof/>
        </w:rPr>
        <w:t xml:space="preserve">explains </w:t>
      </w:r>
      <w:r w:rsidR="009C51E1">
        <w:rPr>
          <w:noProof/>
        </w:rPr>
        <w:t xml:space="preserve">that </w:t>
      </w:r>
      <w:r w:rsidR="006B47D4">
        <w:rPr>
          <w:noProof/>
        </w:rPr>
        <w:t>t</w:t>
      </w:r>
      <w:r w:rsidR="006B47D4" w:rsidRPr="006B47D4">
        <w:rPr>
          <w:noProof/>
        </w:rPr>
        <w:t>he level of education</w:t>
      </w:r>
      <w:r w:rsidR="006B47D4">
        <w:rPr>
          <w:noProof/>
        </w:rPr>
        <w:t xml:space="preserve"> </w:t>
      </w:r>
      <w:r w:rsidR="00EC5375" w:rsidRPr="00EC5375">
        <w:rPr>
          <w:noProof/>
        </w:rPr>
        <w:t>significantly influences</w:t>
      </w:r>
      <w:r w:rsidR="00EC5375">
        <w:rPr>
          <w:noProof/>
        </w:rPr>
        <w:t xml:space="preserve"> </w:t>
      </w:r>
      <w:r w:rsidR="00B424CD">
        <w:rPr>
          <w:noProof/>
        </w:rPr>
        <w:t>the employment rate, with differences of around 20</w:t>
      </w:r>
      <w:r w:rsidR="00EC5375">
        <w:rPr>
          <w:noProof/>
        </w:rPr>
        <w:t> </w:t>
      </w:r>
      <w:r w:rsidR="0041705D">
        <w:rPr>
          <w:noProof/>
        </w:rPr>
        <w:t>pp between</w:t>
      </w:r>
      <w:r w:rsidR="00B424CD">
        <w:rPr>
          <w:noProof/>
        </w:rPr>
        <w:t xml:space="preserve"> the </w:t>
      </w:r>
      <w:r w:rsidR="00EC5375">
        <w:rPr>
          <w:noProof/>
        </w:rPr>
        <w:t xml:space="preserve">various </w:t>
      </w:r>
      <w:r w:rsidR="00B424CD">
        <w:rPr>
          <w:noProof/>
        </w:rPr>
        <w:t xml:space="preserve">groups. The employment rate for </w:t>
      </w:r>
      <w:r w:rsidR="00EC5375" w:rsidRPr="00EC5375">
        <w:rPr>
          <w:noProof/>
        </w:rPr>
        <w:t>people with low levels of education</w:t>
      </w:r>
      <w:r w:rsidR="00B424CD">
        <w:rPr>
          <w:noProof/>
        </w:rPr>
        <w:t xml:space="preserve"> is 47</w:t>
      </w:r>
      <w:r w:rsidR="00E85749">
        <w:rPr>
          <w:noProof/>
        </w:rPr>
        <w:t>,</w:t>
      </w:r>
      <w:r w:rsidR="00B424CD">
        <w:rPr>
          <w:noProof/>
        </w:rPr>
        <w:t xml:space="preserve">9%; </w:t>
      </w:r>
      <w:r w:rsidR="00EC5375" w:rsidRPr="00EC5375">
        <w:rPr>
          <w:noProof/>
        </w:rPr>
        <w:t>for those with medium and high levels</w:t>
      </w:r>
      <w:r w:rsidR="00EC5375">
        <w:rPr>
          <w:noProof/>
        </w:rPr>
        <w:t xml:space="preserve"> </w:t>
      </w:r>
      <w:r w:rsidR="00B424CD">
        <w:rPr>
          <w:noProof/>
        </w:rPr>
        <w:t>the rate is 67</w:t>
      </w:r>
      <w:r w:rsidR="00E85749">
        <w:rPr>
          <w:noProof/>
        </w:rPr>
        <w:t>,</w:t>
      </w:r>
      <w:r w:rsidR="00B424CD">
        <w:rPr>
          <w:noProof/>
        </w:rPr>
        <w:t>6% and 86</w:t>
      </w:r>
      <w:r w:rsidR="00E85749">
        <w:rPr>
          <w:noProof/>
        </w:rPr>
        <w:t>,</w:t>
      </w:r>
      <w:r w:rsidR="00B424CD">
        <w:rPr>
          <w:noProof/>
        </w:rPr>
        <w:t>5% respectively</w:t>
      </w:r>
      <w:r w:rsidR="0060192E">
        <w:rPr>
          <w:noProof/>
        </w:rPr>
        <w:t>.</w:t>
      </w:r>
      <w:r w:rsidR="00B424CD">
        <w:rPr>
          <w:noProof/>
        </w:rPr>
        <w:t xml:space="preserve"> </w:t>
      </w:r>
      <w:r w:rsidR="00DA1DDA" w:rsidRPr="00DA1DDA">
        <w:rPr>
          <w:noProof/>
        </w:rPr>
        <w:t>Gender also plays a role: men's unemployment is 1</w:t>
      </w:r>
      <w:r w:rsidR="00DA1DDA">
        <w:rPr>
          <w:noProof/>
        </w:rPr>
        <w:t>,</w:t>
      </w:r>
      <w:r w:rsidR="00DA1DDA" w:rsidRPr="00DA1DDA">
        <w:rPr>
          <w:noProof/>
        </w:rPr>
        <w:t>6</w:t>
      </w:r>
      <w:r w:rsidR="00EC5375">
        <w:rPr>
          <w:noProof/>
        </w:rPr>
        <w:t> </w:t>
      </w:r>
      <w:r w:rsidR="00DA1DDA" w:rsidRPr="00DA1DDA">
        <w:rPr>
          <w:noProof/>
        </w:rPr>
        <w:t>p</w:t>
      </w:r>
      <w:r w:rsidR="00DA1DDA">
        <w:rPr>
          <w:noProof/>
        </w:rPr>
        <w:t>p</w:t>
      </w:r>
      <w:r w:rsidR="00DA1DDA" w:rsidRPr="00DA1DDA">
        <w:rPr>
          <w:noProof/>
        </w:rPr>
        <w:t xml:space="preserve"> higher than women's (5%)</w:t>
      </w:r>
      <w:r w:rsidR="0041705D">
        <w:rPr>
          <w:rStyle w:val="FootnoteReference"/>
          <w:noProof/>
        </w:rPr>
        <w:footnoteReference w:id="19"/>
      </w:r>
      <w:r w:rsidR="00DA1DDA" w:rsidRPr="00DA1DDA">
        <w:rPr>
          <w:noProof/>
        </w:rPr>
        <w:t>.</w:t>
      </w:r>
      <w:r w:rsidR="002A1803">
        <w:rPr>
          <w:noProof/>
        </w:rPr>
        <w:t xml:space="preserve"> More than 90% </w:t>
      </w:r>
      <w:r w:rsidR="00422E71">
        <w:rPr>
          <w:noProof/>
        </w:rPr>
        <w:t>of</w:t>
      </w:r>
      <w:r w:rsidR="002A1803">
        <w:rPr>
          <w:noProof/>
        </w:rPr>
        <w:t xml:space="preserve"> the displaced workers are men.</w:t>
      </w:r>
    </w:p>
    <w:bookmarkEnd w:id="9"/>
    <w:p w:rsidR="00B424CD" w:rsidRDefault="0063514A" w:rsidP="0063514A">
      <w:pPr>
        <w:pStyle w:val="ManualNumPar1"/>
        <w:rPr>
          <w:noProof/>
        </w:rPr>
      </w:pPr>
      <w:r w:rsidRPr="0063514A">
        <w:rPr>
          <w:noProof/>
        </w:rPr>
        <w:t>19.</w:t>
      </w:r>
      <w:r w:rsidRPr="0063514A">
        <w:rPr>
          <w:noProof/>
        </w:rPr>
        <w:tab/>
      </w:r>
      <w:r w:rsidR="00B424CD" w:rsidRPr="00B424CD">
        <w:rPr>
          <w:noProof/>
        </w:rPr>
        <w:t xml:space="preserve">Although the </w:t>
      </w:r>
      <w:r w:rsidR="00EC5375">
        <w:rPr>
          <w:noProof/>
        </w:rPr>
        <w:t>displacement</w:t>
      </w:r>
      <w:r w:rsidR="004A23D7">
        <w:rPr>
          <w:noProof/>
        </w:rPr>
        <w:t>s</w:t>
      </w:r>
      <w:r w:rsidR="00EC5375">
        <w:rPr>
          <w:noProof/>
        </w:rPr>
        <w:t xml:space="preserve"> in Audi </w:t>
      </w:r>
      <w:r w:rsidR="00B424CD" w:rsidRPr="00B424CD">
        <w:rPr>
          <w:noProof/>
        </w:rPr>
        <w:t xml:space="preserve">concern </w:t>
      </w:r>
      <w:r w:rsidR="004A23D7">
        <w:rPr>
          <w:noProof/>
        </w:rPr>
        <w:t>all</w:t>
      </w:r>
      <w:r w:rsidR="00B424CD" w:rsidRPr="00B424CD">
        <w:rPr>
          <w:noProof/>
        </w:rPr>
        <w:t xml:space="preserve"> of Belgium, </w:t>
      </w:r>
      <w:r w:rsidR="00DA1DDA" w:rsidRPr="00DA1DDA">
        <w:rPr>
          <w:noProof/>
        </w:rPr>
        <w:t>7</w:t>
      </w:r>
      <w:r w:rsidR="004A23D7">
        <w:rPr>
          <w:noProof/>
        </w:rPr>
        <w:t>1</w:t>
      </w:r>
      <w:r w:rsidR="00DA1DDA" w:rsidRPr="00DA1DDA">
        <w:rPr>
          <w:noProof/>
        </w:rPr>
        <w:t>% of the redundan</w:t>
      </w:r>
      <w:r w:rsidR="004A23D7">
        <w:rPr>
          <w:noProof/>
        </w:rPr>
        <w:t xml:space="preserve">t workers </w:t>
      </w:r>
      <w:r w:rsidR="00AE2983">
        <w:rPr>
          <w:noProof/>
        </w:rPr>
        <w:t xml:space="preserve">are </w:t>
      </w:r>
      <w:r w:rsidR="00B424CD" w:rsidRPr="00B424CD">
        <w:rPr>
          <w:noProof/>
        </w:rPr>
        <w:t>concentrate</w:t>
      </w:r>
      <w:r w:rsidR="00AE2983">
        <w:rPr>
          <w:noProof/>
        </w:rPr>
        <w:t>d</w:t>
      </w:r>
      <w:r w:rsidR="00B424CD" w:rsidRPr="00B424CD">
        <w:rPr>
          <w:noProof/>
        </w:rPr>
        <w:t xml:space="preserve"> in three territories: Hainaut (36%), Brussels (</w:t>
      </w:r>
      <w:r w:rsidR="004A23D7">
        <w:rPr>
          <w:noProof/>
        </w:rPr>
        <w:t>18</w:t>
      </w:r>
      <w:r w:rsidR="00B424CD" w:rsidRPr="00B424CD">
        <w:rPr>
          <w:noProof/>
        </w:rPr>
        <w:t xml:space="preserve">%), and </w:t>
      </w:r>
      <w:r w:rsidR="000465C9">
        <w:rPr>
          <w:noProof/>
        </w:rPr>
        <w:t>East Flanders</w:t>
      </w:r>
      <w:r w:rsidR="00B424CD" w:rsidRPr="00B424CD">
        <w:rPr>
          <w:noProof/>
        </w:rPr>
        <w:t xml:space="preserve"> (1</w:t>
      </w:r>
      <w:r w:rsidR="000465C9">
        <w:rPr>
          <w:noProof/>
        </w:rPr>
        <w:t>7</w:t>
      </w:r>
      <w:r w:rsidR="00B424CD" w:rsidRPr="00B424CD">
        <w:rPr>
          <w:noProof/>
        </w:rPr>
        <w:t>%).</w:t>
      </w:r>
    </w:p>
    <w:p w:rsidR="007270A4" w:rsidRDefault="0063514A" w:rsidP="0063514A">
      <w:pPr>
        <w:pStyle w:val="ManualNumPar1"/>
        <w:rPr>
          <w:noProof/>
          <w:lang w:val="en-IE"/>
        </w:rPr>
      </w:pPr>
      <w:bookmarkStart w:id="10" w:name="_Hlk212817866"/>
      <w:r w:rsidRPr="0063514A">
        <w:rPr>
          <w:noProof/>
        </w:rPr>
        <w:t>20.</w:t>
      </w:r>
      <w:r w:rsidRPr="0063514A">
        <w:rPr>
          <w:noProof/>
        </w:rPr>
        <w:tab/>
      </w:r>
      <w:r w:rsidR="00364144" w:rsidRPr="007270A4">
        <w:rPr>
          <w:noProof/>
          <w:lang w:val="en-IE"/>
        </w:rPr>
        <w:t xml:space="preserve">Hainaut (Wallonia) and Brussels are </w:t>
      </w:r>
      <w:r w:rsidR="00AE2983">
        <w:rPr>
          <w:noProof/>
          <w:lang w:val="en-IE"/>
        </w:rPr>
        <w:t xml:space="preserve">disadvantaged </w:t>
      </w:r>
      <w:r w:rsidR="00364144" w:rsidRPr="007270A4">
        <w:rPr>
          <w:noProof/>
          <w:lang w:val="en-IE"/>
        </w:rPr>
        <w:t>labour markets where long-term unemployment is prevalent (67%</w:t>
      </w:r>
      <w:r w:rsidR="005E5B98">
        <w:rPr>
          <w:rStyle w:val="FootnoteReference"/>
          <w:noProof/>
          <w:lang w:val="en-IE"/>
        </w:rPr>
        <w:footnoteReference w:id="20"/>
      </w:r>
      <w:r w:rsidR="007944CE" w:rsidRPr="007270A4">
        <w:rPr>
          <w:noProof/>
          <w:lang w:val="en-IE"/>
        </w:rPr>
        <w:t xml:space="preserve"> and 62%</w:t>
      </w:r>
      <w:r w:rsidR="005E5B98">
        <w:rPr>
          <w:rStyle w:val="FootnoteReference"/>
          <w:noProof/>
          <w:lang w:val="en-IE"/>
        </w:rPr>
        <w:footnoteReference w:id="21"/>
      </w:r>
      <w:r w:rsidR="00364144" w:rsidRPr="007270A4">
        <w:rPr>
          <w:noProof/>
          <w:lang w:val="en-IE"/>
        </w:rPr>
        <w:t xml:space="preserve"> of the jobseekers</w:t>
      </w:r>
      <w:r w:rsidR="00AE2983">
        <w:rPr>
          <w:noProof/>
          <w:lang w:val="en-IE"/>
        </w:rPr>
        <w:t>,</w:t>
      </w:r>
      <w:r w:rsidR="00364144" w:rsidRPr="007270A4">
        <w:rPr>
          <w:noProof/>
          <w:lang w:val="en-IE"/>
        </w:rPr>
        <w:t xml:space="preserve"> </w:t>
      </w:r>
      <w:r w:rsidR="00AE2983" w:rsidRPr="00AE2983">
        <w:rPr>
          <w:noProof/>
          <w:lang w:val="en-IE"/>
        </w:rPr>
        <w:t>respectively</w:t>
      </w:r>
      <w:r w:rsidR="00AE2983">
        <w:rPr>
          <w:noProof/>
          <w:lang w:val="en-IE"/>
        </w:rPr>
        <w:t xml:space="preserve">, </w:t>
      </w:r>
      <w:r w:rsidR="00364144" w:rsidRPr="007270A4">
        <w:rPr>
          <w:noProof/>
          <w:lang w:val="en-IE"/>
        </w:rPr>
        <w:t xml:space="preserve">have been unemployed for more than </w:t>
      </w:r>
      <w:r w:rsidR="007944CE" w:rsidRPr="007270A4">
        <w:rPr>
          <w:noProof/>
          <w:lang w:val="en-IE"/>
        </w:rPr>
        <w:t>12 months</w:t>
      </w:r>
      <w:r w:rsidR="00364144" w:rsidRPr="007270A4">
        <w:rPr>
          <w:noProof/>
          <w:lang w:val="en-IE"/>
        </w:rPr>
        <w:t>)</w:t>
      </w:r>
      <w:r w:rsidR="00A45B96" w:rsidRPr="007270A4">
        <w:rPr>
          <w:noProof/>
          <w:lang w:val="en-IE"/>
        </w:rPr>
        <w:t>. Hainaut accounts for 41% of Walloon jobseekers</w:t>
      </w:r>
      <w:r w:rsidR="00831A99" w:rsidRPr="007270A4">
        <w:rPr>
          <w:noProof/>
          <w:lang w:val="en-IE"/>
        </w:rPr>
        <w:t>. Almost half of the</w:t>
      </w:r>
      <w:r w:rsidR="00A45B96" w:rsidRPr="007270A4">
        <w:rPr>
          <w:noProof/>
          <w:lang w:val="en-IE"/>
        </w:rPr>
        <w:t>se</w:t>
      </w:r>
      <w:r w:rsidR="00831A99" w:rsidRPr="007270A4">
        <w:rPr>
          <w:noProof/>
          <w:lang w:val="en-IE"/>
        </w:rPr>
        <w:t xml:space="preserve"> </w:t>
      </w:r>
      <w:r w:rsidR="00831A99" w:rsidRPr="003C1F9A">
        <w:rPr>
          <w:noProof/>
          <w:lang w:val="en-IE"/>
        </w:rPr>
        <w:t xml:space="preserve">jobseekers </w:t>
      </w:r>
      <w:r w:rsidR="00AE2983" w:rsidRPr="003C1F9A">
        <w:rPr>
          <w:noProof/>
          <w:lang w:val="en-IE"/>
        </w:rPr>
        <w:t xml:space="preserve">have low </w:t>
      </w:r>
      <w:r w:rsidR="00684CAB" w:rsidRPr="003C1F9A">
        <w:rPr>
          <w:noProof/>
          <w:lang w:val="en-IE"/>
        </w:rPr>
        <w:t xml:space="preserve">a </w:t>
      </w:r>
      <w:r w:rsidR="00AE2983" w:rsidRPr="003C1F9A">
        <w:rPr>
          <w:noProof/>
          <w:lang w:val="en-IE"/>
        </w:rPr>
        <w:t>level of education.</w:t>
      </w:r>
      <w:r w:rsidR="005C7561" w:rsidRPr="003C1F9A">
        <w:rPr>
          <w:rStyle w:val="FootnoteReference"/>
          <w:noProof/>
          <w:lang w:val="en-IE"/>
        </w:rPr>
        <w:footnoteReference w:id="22"/>
      </w:r>
      <w:r w:rsidR="00AE2983" w:rsidRPr="003C1F9A">
        <w:rPr>
          <w:noProof/>
          <w:lang w:val="en-IE"/>
        </w:rPr>
        <w:t xml:space="preserve">. </w:t>
      </w:r>
      <w:r w:rsidR="00684CAB" w:rsidRPr="003C1F9A">
        <w:rPr>
          <w:noProof/>
          <w:lang w:val="en-IE"/>
        </w:rPr>
        <w:t>As regards their</w:t>
      </w:r>
      <w:r w:rsidR="00AE2983" w:rsidRPr="003C1F9A">
        <w:rPr>
          <w:noProof/>
          <w:lang w:val="en-IE"/>
        </w:rPr>
        <w:t xml:space="preserve"> age, the</w:t>
      </w:r>
      <w:r w:rsidR="00831A99" w:rsidRPr="003C1F9A">
        <w:rPr>
          <w:noProof/>
          <w:lang w:val="en-IE"/>
        </w:rPr>
        <w:t xml:space="preserve"> group</w:t>
      </w:r>
      <w:r w:rsidR="00195CD1" w:rsidRPr="003C1F9A">
        <w:rPr>
          <w:noProof/>
          <w:lang w:val="en-IE"/>
        </w:rPr>
        <w:t xml:space="preserve"> </w:t>
      </w:r>
      <w:r w:rsidR="00684CAB" w:rsidRPr="003C1F9A">
        <w:rPr>
          <w:noProof/>
          <w:lang w:val="en-IE"/>
        </w:rPr>
        <w:t xml:space="preserve">of </w:t>
      </w:r>
      <w:r w:rsidR="00195CD1" w:rsidRPr="003C1F9A">
        <w:rPr>
          <w:noProof/>
          <w:lang w:val="en-IE"/>
        </w:rPr>
        <w:t>30-39 year</w:t>
      </w:r>
      <w:r w:rsidR="00195CD1" w:rsidRPr="007270A4">
        <w:rPr>
          <w:noProof/>
          <w:lang w:val="en-IE"/>
        </w:rPr>
        <w:t xml:space="preserve"> old</w:t>
      </w:r>
      <w:r w:rsidR="00831A99" w:rsidRPr="007270A4">
        <w:rPr>
          <w:noProof/>
          <w:lang w:val="en-IE"/>
        </w:rPr>
        <w:t xml:space="preserve"> </w:t>
      </w:r>
      <w:r w:rsidR="00A45B96" w:rsidRPr="007270A4">
        <w:rPr>
          <w:noProof/>
          <w:lang w:val="en-IE"/>
        </w:rPr>
        <w:t>accounts for t</w:t>
      </w:r>
      <w:r w:rsidR="00195CD1" w:rsidRPr="007270A4">
        <w:rPr>
          <w:noProof/>
          <w:lang w:val="en-IE"/>
        </w:rPr>
        <w:t>he</w:t>
      </w:r>
      <w:r w:rsidR="00831A99" w:rsidRPr="007270A4">
        <w:rPr>
          <w:noProof/>
          <w:lang w:val="en-IE"/>
        </w:rPr>
        <w:t xml:space="preserve"> </w:t>
      </w:r>
      <w:r w:rsidR="00AE2983">
        <w:rPr>
          <w:noProof/>
          <w:lang w:val="en-IE"/>
        </w:rPr>
        <w:t xml:space="preserve">largest </w:t>
      </w:r>
      <w:r w:rsidR="00831A99" w:rsidRPr="007270A4">
        <w:rPr>
          <w:noProof/>
          <w:lang w:val="en-IE"/>
        </w:rPr>
        <w:t>number of jobseekers</w:t>
      </w:r>
      <w:r w:rsidR="00A45B96" w:rsidRPr="007270A4">
        <w:rPr>
          <w:noProof/>
          <w:lang w:val="en-IE"/>
        </w:rPr>
        <w:t xml:space="preserve"> (24%)</w:t>
      </w:r>
      <w:r w:rsidR="00195CD1" w:rsidRPr="007270A4">
        <w:rPr>
          <w:noProof/>
          <w:lang w:val="en-IE"/>
        </w:rPr>
        <w:t>, followed by</w:t>
      </w:r>
      <w:r w:rsidR="00AE2983">
        <w:rPr>
          <w:noProof/>
          <w:lang w:val="en-IE"/>
        </w:rPr>
        <w:t xml:space="preserve"> the</w:t>
      </w:r>
      <w:r w:rsidR="00195CD1" w:rsidRPr="007270A4">
        <w:rPr>
          <w:noProof/>
          <w:lang w:val="en-IE"/>
        </w:rPr>
        <w:t xml:space="preserve"> over 50 year old</w:t>
      </w:r>
      <w:r w:rsidR="00AE2983">
        <w:rPr>
          <w:noProof/>
          <w:lang w:val="en-IE"/>
        </w:rPr>
        <w:t xml:space="preserve"> group</w:t>
      </w:r>
      <w:r w:rsidR="00831A99" w:rsidRPr="007270A4">
        <w:rPr>
          <w:noProof/>
          <w:lang w:val="en-IE"/>
        </w:rPr>
        <w:t xml:space="preserve"> (22%)</w:t>
      </w:r>
      <w:r w:rsidR="002D19DD">
        <w:rPr>
          <w:rStyle w:val="FootnoteReference"/>
          <w:noProof/>
          <w:lang w:val="en-IE"/>
        </w:rPr>
        <w:footnoteReference w:id="23"/>
      </w:r>
      <w:r w:rsidR="00831A99" w:rsidRPr="007270A4">
        <w:rPr>
          <w:noProof/>
          <w:lang w:val="en-IE"/>
        </w:rPr>
        <w:t xml:space="preserve">. </w:t>
      </w:r>
      <w:r w:rsidR="00A45B96" w:rsidRPr="007270A4">
        <w:rPr>
          <w:noProof/>
          <w:lang w:val="en-IE"/>
        </w:rPr>
        <w:t>In Brussels</w:t>
      </w:r>
      <w:r w:rsidR="00897326" w:rsidRPr="007270A4">
        <w:rPr>
          <w:noProof/>
          <w:lang w:val="en-IE"/>
        </w:rPr>
        <w:t>,</w:t>
      </w:r>
      <w:r w:rsidR="00A45B96" w:rsidRPr="007270A4">
        <w:rPr>
          <w:noProof/>
          <w:lang w:val="en-IE"/>
        </w:rPr>
        <w:t xml:space="preserve"> </w:t>
      </w:r>
      <w:r w:rsidR="00897326" w:rsidRPr="007270A4">
        <w:rPr>
          <w:noProof/>
          <w:lang w:val="en-IE"/>
        </w:rPr>
        <w:t xml:space="preserve">one </w:t>
      </w:r>
      <w:r w:rsidR="00AE2983">
        <w:rPr>
          <w:noProof/>
          <w:lang w:val="en-IE"/>
        </w:rPr>
        <w:t xml:space="preserve">in </w:t>
      </w:r>
      <w:r w:rsidR="00897326" w:rsidRPr="007270A4">
        <w:rPr>
          <w:noProof/>
          <w:lang w:val="en-IE"/>
        </w:rPr>
        <w:t xml:space="preserve">four jobseekers is </w:t>
      </w:r>
      <w:r w:rsidR="00AE2983">
        <w:rPr>
          <w:noProof/>
          <w:lang w:val="en-IE"/>
        </w:rPr>
        <w:t xml:space="preserve">over </w:t>
      </w:r>
      <w:r w:rsidR="00897326" w:rsidRPr="007270A4">
        <w:rPr>
          <w:noProof/>
          <w:lang w:val="en-IE"/>
        </w:rPr>
        <w:t>50 years old</w:t>
      </w:r>
      <w:r w:rsidR="00684CAB">
        <w:rPr>
          <w:noProof/>
          <w:lang w:val="en-IE"/>
        </w:rPr>
        <w:t>,</w:t>
      </w:r>
      <w:r w:rsidR="00897326" w:rsidRPr="007270A4">
        <w:rPr>
          <w:noProof/>
          <w:lang w:val="en-IE"/>
        </w:rPr>
        <w:t xml:space="preserve"> and </w:t>
      </w:r>
      <w:r w:rsidR="00AE2983" w:rsidRPr="00AE2983">
        <w:rPr>
          <w:noProof/>
          <w:lang w:val="en-IE"/>
        </w:rPr>
        <w:t>those with a low level of education</w:t>
      </w:r>
      <w:r w:rsidR="00897326" w:rsidRPr="007270A4">
        <w:rPr>
          <w:noProof/>
          <w:lang w:val="en-IE"/>
        </w:rPr>
        <w:t xml:space="preserve"> (</w:t>
      </w:r>
      <w:r w:rsidR="00AE2983" w:rsidRPr="00AE2983">
        <w:rPr>
          <w:noProof/>
          <w:lang w:val="en-IE"/>
        </w:rPr>
        <w:t>including those whose qualifications are not equivalent in Europe</w:t>
      </w:r>
      <w:r w:rsidR="00897326" w:rsidRPr="007270A4">
        <w:rPr>
          <w:noProof/>
          <w:lang w:val="en-IE"/>
        </w:rPr>
        <w:t>) account for 59% of the jobseekers</w:t>
      </w:r>
      <w:r w:rsidR="005E5B98">
        <w:rPr>
          <w:rStyle w:val="FootnoteReference"/>
          <w:noProof/>
          <w:lang w:val="en-IE"/>
        </w:rPr>
        <w:footnoteReference w:id="24"/>
      </w:r>
      <w:r w:rsidR="00897326" w:rsidRPr="007270A4">
        <w:rPr>
          <w:noProof/>
          <w:lang w:val="en-IE"/>
        </w:rPr>
        <w:t xml:space="preserve">. </w:t>
      </w:r>
      <w:r w:rsidR="007270A4" w:rsidRPr="007270A4">
        <w:rPr>
          <w:noProof/>
          <w:lang w:val="en-IE"/>
        </w:rPr>
        <w:t xml:space="preserve">Technically qualified workers </w:t>
      </w:r>
      <w:r w:rsidR="00AE2983">
        <w:rPr>
          <w:noProof/>
          <w:lang w:val="en-IE"/>
        </w:rPr>
        <w:t xml:space="preserve">are </w:t>
      </w:r>
      <w:r w:rsidR="007270A4" w:rsidRPr="007270A4">
        <w:rPr>
          <w:noProof/>
          <w:lang w:val="en-IE"/>
        </w:rPr>
        <w:t>re</w:t>
      </w:r>
      <w:r w:rsidR="00AE2983">
        <w:rPr>
          <w:noProof/>
          <w:lang w:val="en-IE"/>
        </w:rPr>
        <w:t xml:space="preserve">-entering the labour market </w:t>
      </w:r>
      <w:r w:rsidR="007270A4" w:rsidRPr="007270A4">
        <w:rPr>
          <w:noProof/>
          <w:lang w:val="en-IE"/>
        </w:rPr>
        <w:t xml:space="preserve">relatively quickly in East Flanders. However, older workers have far fewer opportunities </w:t>
      </w:r>
      <w:r w:rsidR="003335D5">
        <w:rPr>
          <w:noProof/>
          <w:lang w:val="en-IE"/>
        </w:rPr>
        <w:t>to find new jobs</w:t>
      </w:r>
      <w:r w:rsidR="007270A4" w:rsidRPr="007270A4">
        <w:rPr>
          <w:noProof/>
          <w:lang w:val="en-IE"/>
        </w:rPr>
        <w:t>. One in two former Audi workers residing in East Flanders is over 50 years old.</w:t>
      </w:r>
      <w:bookmarkEnd w:id="10"/>
    </w:p>
    <w:p w:rsidR="001A62D7" w:rsidRDefault="0063514A" w:rsidP="0063514A">
      <w:pPr>
        <w:pStyle w:val="ManualNumPar1"/>
        <w:rPr>
          <w:noProof/>
        </w:rPr>
      </w:pPr>
      <w:r w:rsidRPr="0063514A">
        <w:rPr>
          <w:noProof/>
        </w:rPr>
        <w:t>21.</w:t>
      </w:r>
      <w:r w:rsidRPr="0063514A">
        <w:rPr>
          <w:noProof/>
        </w:rPr>
        <w:tab/>
      </w:r>
      <w:r w:rsidR="003335D5">
        <w:rPr>
          <w:noProof/>
        </w:rPr>
        <w:t>Therefore, according to Belgian authorities, t</w:t>
      </w:r>
      <w:r w:rsidR="00B26AFC">
        <w:rPr>
          <w:noProof/>
        </w:rPr>
        <w:t xml:space="preserve">he impact of the displacements in Audi and its suppliers and downstream producers is expected to further </w:t>
      </w:r>
      <w:r w:rsidR="003335D5">
        <w:rPr>
          <w:noProof/>
        </w:rPr>
        <w:t>aggravate</w:t>
      </w:r>
      <w:r w:rsidR="00B26AFC">
        <w:rPr>
          <w:noProof/>
        </w:rPr>
        <w:t xml:space="preserve"> the situation </w:t>
      </w:r>
      <w:r w:rsidR="003335D5">
        <w:rPr>
          <w:noProof/>
        </w:rPr>
        <w:t>in</w:t>
      </w:r>
      <w:r w:rsidR="00B26AFC">
        <w:rPr>
          <w:noProof/>
        </w:rPr>
        <w:t xml:space="preserve"> these labour markets</w:t>
      </w:r>
      <w:r w:rsidR="003335D5">
        <w:rPr>
          <w:noProof/>
        </w:rPr>
        <w:t>.</w:t>
      </w:r>
      <w:r w:rsidR="00B26AFC">
        <w:rPr>
          <w:noProof/>
        </w:rPr>
        <w:t xml:space="preserve"> </w:t>
      </w:r>
    </w:p>
    <w:p w:rsidR="001A62D7" w:rsidRDefault="001A62D7" w:rsidP="001A62D7">
      <w:pPr>
        <w:pStyle w:val="ManualHeading2"/>
        <w:rPr>
          <w:noProof/>
        </w:rPr>
      </w:pPr>
      <w:r w:rsidRPr="001B069C">
        <w:rPr>
          <w:noProof/>
        </w:rPr>
        <w:t>Application of the EU Quality Framework for anticipation of change and restructuring (QFR)</w:t>
      </w:r>
    </w:p>
    <w:p w:rsidR="00986887" w:rsidRDefault="0063514A" w:rsidP="0063514A">
      <w:pPr>
        <w:pStyle w:val="ManualNumPar1"/>
        <w:rPr>
          <w:noProof/>
        </w:rPr>
      </w:pPr>
      <w:r w:rsidRPr="0063514A">
        <w:rPr>
          <w:noProof/>
        </w:rPr>
        <w:t>22.</w:t>
      </w:r>
      <w:r w:rsidRPr="0063514A">
        <w:rPr>
          <w:noProof/>
        </w:rPr>
        <w:tab/>
      </w:r>
      <w:r w:rsidR="00964E26">
        <w:rPr>
          <w:noProof/>
        </w:rPr>
        <w:t>Belgium</w:t>
      </w:r>
      <w:r w:rsidR="001A62D7">
        <w:rPr>
          <w:noProof/>
        </w:rPr>
        <w:t xml:space="preserve"> </w:t>
      </w:r>
      <w:r w:rsidR="001A62D7" w:rsidRPr="001B069C">
        <w:rPr>
          <w:noProof/>
        </w:rPr>
        <w:t xml:space="preserve">has described how the recommendations set out in the EU Quality Framework for anticipation of change and restructuring have been </w:t>
      </w:r>
      <w:r w:rsidR="00986887" w:rsidRPr="001B069C">
        <w:rPr>
          <w:noProof/>
        </w:rPr>
        <w:t>considered</w:t>
      </w:r>
      <w:r w:rsidR="00986887">
        <w:rPr>
          <w:noProof/>
        </w:rPr>
        <w:t>.</w:t>
      </w:r>
    </w:p>
    <w:p w:rsidR="00B57F16" w:rsidRDefault="0063514A" w:rsidP="0063514A">
      <w:pPr>
        <w:pStyle w:val="ManualNumPar1"/>
        <w:rPr>
          <w:noProof/>
        </w:rPr>
      </w:pPr>
      <w:r w:rsidRPr="0063514A">
        <w:rPr>
          <w:noProof/>
        </w:rPr>
        <w:t>23.</w:t>
      </w:r>
      <w:r w:rsidRPr="0063514A">
        <w:rPr>
          <w:noProof/>
        </w:rPr>
        <w:tab/>
      </w:r>
      <w:r w:rsidR="00B57F16" w:rsidRPr="00B57F16">
        <w:rPr>
          <w:noProof/>
        </w:rPr>
        <w:t>The dismissing enterprises complied with Belgian law on collective redundancies, which establishes a mandatory procedure for informing and consulting workers' representatives. The procedure makes it possible to explore any possibility of avoiding or reducing the number of redundancies. It also seeks to mitigate the consequences of job loss through complementary social measures, such as support for redeployment or retraining of redundant workers.</w:t>
      </w:r>
      <w:r w:rsidR="000F624B">
        <w:rPr>
          <w:noProof/>
        </w:rPr>
        <w:t xml:space="preserve"> </w:t>
      </w:r>
    </w:p>
    <w:p w:rsidR="001A62D7" w:rsidRDefault="0063514A" w:rsidP="0063514A">
      <w:pPr>
        <w:pStyle w:val="ManualNumPar1"/>
        <w:rPr>
          <w:noProof/>
        </w:rPr>
      </w:pPr>
      <w:r w:rsidRPr="0063514A">
        <w:rPr>
          <w:noProof/>
        </w:rPr>
        <w:t>24.</w:t>
      </w:r>
      <w:r w:rsidRPr="0063514A">
        <w:rPr>
          <w:noProof/>
        </w:rPr>
        <w:tab/>
      </w:r>
      <w:r w:rsidR="00986887" w:rsidRPr="00986887">
        <w:rPr>
          <w:noProof/>
        </w:rPr>
        <w:t>Belgium reported that national labour law</w:t>
      </w:r>
      <w:r w:rsidR="0041089B">
        <w:rPr>
          <w:rStyle w:val="FootnoteReference"/>
          <w:noProof/>
        </w:rPr>
        <w:footnoteReference w:id="25"/>
      </w:r>
      <w:r w:rsidR="00D50317">
        <w:rPr>
          <w:noProof/>
        </w:rPr>
        <w:t xml:space="preserve"> </w:t>
      </w:r>
      <w:r w:rsidR="00986887" w:rsidRPr="00986887">
        <w:rPr>
          <w:noProof/>
        </w:rPr>
        <w:t>on the active management of restructuring requires enterprises undergoing restructuring to provide workers laid off in the context of collective redundancies with 30 hours of outplacement services in a period of three months (60 hours in six months for workers aged 45+)</w:t>
      </w:r>
      <w:r w:rsidR="000F624B">
        <w:rPr>
          <w:noProof/>
        </w:rPr>
        <w:t xml:space="preserve">. </w:t>
      </w:r>
      <w:r w:rsidR="000F624B" w:rsidRPr="000F624B">
        <w:rPr>
          <w:noProof/>
        </w:rPr>
        <w:t>The negotiations secured a specific budget of EUR</w:t>
      </w:r>
      <w:r w:rsidR="00133927">
        <w:rPr>
          <w:noProof/>
        </w:rPr>
        <w:t> </w:t>
      </w:r>
      <w:r w:rsidR="000F624B">
        <w:rPr>
          <w:noProof/>
        </w:rPr>
        <w:t>1 500 000</w:t>
      </w:r>
      <w:r w:rsidR="000F624B" w:rsidRPr="000F624B">
        <w:rPr>
          <w:noProof/>
        </w:rPr>
        <w:t xml:space="preserve"> to cover for retraining costs</w:t>
      </w:r>
      <w:r w:rsidR="001A62D7">
        <w:rPr>
          <w:noProof/>
        </w:rPr>
        <w:t>.</w:t>
      </w:r>
    </w:p>
    <w:p w:rsidR="001A62D7" w:rsidRPr="00AE1620" w:rsidRDefault="0063514A" w:rsidP="0063514A">
      <w:pPr>
        <w:pStyle w:val="ManualNumPar1"/>
        <w:rPr>
          <w:noProof/>
        </w:rPr>
      </w:pPr>
      <w:r w:rsidRPr="0063514A">
        <w:rPr>
          <w:noProof/>
        </w:rPr>
        <w:t>25.</w:t>
      </w:r>
      <w:r w:rsidRPr="0063514A">
        <w:rPr>
          <w:noProof/>
        </w:rPr>
        <w:tab/>
      </w:r>
      <w:r w:rsidR="001A62D7" w:rsidRPr="006C785D">
        <w:rPr>
          <w:noProof/>
        </w:rPr>
        <w:t>Regarding the activities undertaken to assist the displaced workers</w:t>
      </w:r>
      <w:r w:rsidR="001A62D7">
        <w:rPr>
          <w:noProof/>
        </w:rPr>
        <w:t>,</w:t>
      </w:r>
      <w:r w:rsidR="001A62D7" w:rsidRPr="009610D2">
        <w:rPr>
          <w:noProof/>
        </w:rPr>
        <w:t xml:space="preserve"> </w:t>
      </w:r>
      <w:r w:rsidR="00712C3A">
        <w:rPr>
          <w:noProof/>
        </w:rPr>
        <w:t>Belgium</w:t>
      </w:r>
      <w:r w:rsidR="001A62D7" w:rsidRPr="00C96520">
        <w:rPr>
          <w:noProof/>
        </w:rPr>
        <w:t xml:space="preserve"> has </w:t>
      </w:r>
      <w:r w:rsidR="001A62D7">
        <w:rPr>
          <w:noProof/>
        </w:rPr>
        <w:t>reported</w:t>
      </w:r>
      <w:r w:rsidR="001A62D7" w:rsidRPr="00C96520">
        <w:rPr>
          <w:noProof/>
        </w:rPr>
        <w:t xml:space="preserve"> that </w:t>
      </w:r>
      <w:r w:rsidR="00362E82">
        <w:rPr>
          <w:noProof/>
        </w:rPr>
        <w:t>t</w:t>
      </w:r>
      <w:r w:rsidR="0041089B">
        <w:rPr>
          <w:noProof/>
        </w:rPr>
        <w:t xml:space="preserve">he </w:t>
      </w:r>
      <w:r w:rsidR="00A6765B">
        <w:rPr>
          <w:noProof/>
        </w:rPr>
        <w:t xml:space="preserve">EGF </w:t>
      </w:r>
      <w:r w:rsidR="0041089B" w:rsidRPr="0041089B">
        <w:rPr>
          <w:noProof/>
        </w:rPr>
        <w:t xml:space="preserve">measures </w:t>
      </w:r>
      <w:r w:rsidR="00C62D7F" w:rsidRPr="00C62D7F">
        <w:rPr>
          <w:noProof/>
        </w:rPr>
        <w:t xml:space="preserve">like vocational counselling and guidance </w:t>
      </w:r>
      <w:r w:rsidR="0041089B" w:rsidRPr="0041089B">
        <w:rPr>
          <w:noProof/>
        </w:rPr>
        <w:t>that build upon the outplacement services</w:t>
      </w:r>
      <w:r w:rsidR="00C62D7F">
        <w:rPr>
          <w:noProof/>
        </w:rPr>
        <w:t xml:space="preserve"> already mentioned</w:t>
      </w:r>
      <w:r w:rsidR="0041089B" w:rsidRPr="0041089B">
        <w:rPr>
          <w:noProof/>
        </w:rPr>
        <w:t>, started after the outplacement ended</w:t>
      </w:r>
      <w:r w:rsidR="00362E82">
        <w:rPr>
          <w:noProof/>
        </w:rPr>
        <w:t>. A</w:t>
      </w:r>
      <w:r w:rsidR="00362E82" w:rsidRPr="00362E82">
        <w:rPr>
          <w:noProof/>
        </w:rPr>
        <w:t xml:space="preserve"> job-search event ('job day') focusing on technical profiles available in 77 enterprises was held on 3 April 2025</w:t>
      </w:r>
      <w:r w:rsidR="001A62D7" w:rsidRPr="00C96520">
        <w:rPr>
          <w:noProof/>
        </w:rPr>
        <w:t xml:space="preserve">. </w:t>
      </w:r>
    </w:p>
    <w:p w:rsidR="001A62D7" w:rsidRDefault="001A62D7" w:rsidP="001A62D7">
      <w:pPr>
        <w:pStyle w:val="ManualHeading3"/>
        <w:rPr>
          <w:noProof/>
        </w:rPr>
      </w:pPr>
      <w:r w:rsidRPr="00EC1BA4">
        <w:rPr>
          <w:noProof/>
        </w:rPr>
        <w:t>Complementarity with actions funded by national or Union funds</w:t>
      </w:r>
    </w:p>
    <w:p w:rsidR="001A62D7" w:rsidRDefault="0063514A" w:rsidP="0063514A">
      <w:pPr>
        <w:pStyle w:val="ManualNumPar1"/>
        <w:rPr>
          <w:noProof/>
        </w:rPr>
      </w:pPr>
      <w:r w:rsidRPr="0063514A">
        <w:rPr>
          <w:noProof/>
        </w:rPr>
        <w:t>26.</w:t>
      </w:r>
      <w:r w:rsidRPr="0063514A">
        <w:rPr>
          <w:noProof/>
        </w:rPr>
        <w:tab/>
      </w:r>
      <w:r w:rsidR="00F85DF2">
        <w:rPr>
          <w:noProof/>
        </w:rPr>
        <w:t>Belgium</w:t>
      </w:r>
      <w:r w:rsidR="001A62D7">
        <w:rPr>
          <w:noProof/>
        </w:rPr>
        <w:t xml:space="preserve"> has confirmed that the measures described </w:t>
      </w:r>
      <w:r w:rsidR="001A62D7" w:rsidRPr="003D0D69">
        <w:rPr>
          <w:noProof/>
        </w:rPr>
        <w:t>below</w:t>
      </w:r>
      <w:r w:rsidR="001A62D7">
        <w:rPr>
          <w:noProof/>
        </w:rPr>
        <w:t xml:space="preserve"> receiving a financial contribution from the EGF will not also receive financial contributions from other Union financial instruments.</w:t>
      </w:r>
    </w:p>
    <w:p w:rsidR="001A62D7" w:rsidRPr="001535C9" w:rsidRDefault="0063514A" w:rsidP="0063514A">
      <w:pPr>
        <w:pStyle w:val="ManualNumPar1"/>
        <w:rPr>
          <w:noProof/>
        </w:rPr>
      </w:pPr>
      <w:r w:rsidRPr="0063514A">
        <w:rPr>
          <w:noProof/>
        </w:rPr>
        <w:t>27.</w:t>
      </w:r>
      <w:r w:rsidRPr="0063514A">
        <w:rPr>
          <w:noProof/>
        </w:rPr>
        <w:tab/>
      </w:r>
      <w:r w:rsidR="001A62D7">
        <w:rPr>
          <w:noProof/>
        </w:rPr>
        <w:t>T</w:t>
      </w:r>
      <w:r w:rsidR="001A62D7" w:rsidRPr="001535C9">
        <w:rPr>
          <w:noProof/>
        </w:rPr>
        <w:t xml:space="preserve">he </w:t>
      </w:r>
      <w:r w:rsidR="001A62D7">
        <w:rPr>
          <w:noProof/>
        </w:rPr>
        <w:t>coordinated package of personalised services complements actions funded by other national or EU funds</w:t>
      </w:r>
      <w:r w:rsidR="001A62D7" w:rsidRPr="006F0687">
        <w:rPr>
          <w:noProof/>
        </w:rPr>
        <w:t>.</w:t>
      </w:r>
    </w:p>
    <w:p w:rsidR="001A62D7" w:rsidRDefault="001A62D7" w:rsidP="001A62D7">
      <w:pPr>
        <w:pStyle w:val="ManualHeading3"/>
        <w:tabs>
          <w:tab w:val="clear" w:pos="850"/>
          <w:tab w:val="left" w:pos="0"/>
        </w:tabs>
        <w:ind w:left="0" w:firstLine="0"/>
        <w:rPr>
          <w:noProof/>
          <w:u w:val="single"/>
        </w:rPr>
      </w:pPr>
      <w:r w:rsidRPr="00A144B7">
        <w:rPr>
          <w:noProof/>
        </w:rPr>
        <w:t>Procedures for consulting the targeted beneficiaries or their representatives or the social partners as well as local and regional authorities</w:t>
      </w:r>
    </w:p>
    <w:p w:rsidR="001A62D7" w:rsidRDefault="0063514A" w:rsidP="0063514A">
      <w:pPr>
        <w:pStyle w:val="ManualNumPar1"/>
        <w:rPr>
          <w:noProof/>
        </w:rPr>
      </w:pPr>
      <w:r w:rsidRPr="0063514A">
        <w:rPr>
          <w:noProof/>
        </w:rPr>
        <w:t>28.</w:t>
      </w:r>
      <w:r w:rsidRPr="0063514A">
        <w:rPr>
          <w:noProof/>
        </w:rPr>
        <w:tab/>
      </w:r>
      <w:r w:rsidR="0043443B">
        <w:rPr>
          <w:noProof/>
        </w:rPr>
        <w:t>Belgium</w:t>
      </w:r>
      <w:r w:rsidR="001A62D7">
        <w:rPr>
          <w:noProof/>
        </w:rPr>
        <w:t xml:space="preserve"> has indicated that the co-ordinated package of personalised services has been drawn up in consultation with the social partners, in compliance with Article 7(4) of Regulation (EU) 2021/691. </w:t>
      </w:r>
      <w:r w:rsidR="0043443B" w:rsidRPr="0043443B">
        <w:rPr>
          <w:noProof/>
        </w:rPr>
        <w:t xml:space="preserve">Between </w:t>
      </w:r>
      <w:r w:rsidR="00CB515D">
        <w:rPr>
          <w:noProof/>
        </w:rPr>
        <w:t>November</w:t>
      </w:r>
      <w:r w:rsidR="0043443B" w:rsidRPr="0043443B">
        <w:rPr>
          <w:noProof/>
        </w:rPr>
        <w:t xml:space="preserve"> 2024 and March 2025, the public employment services of Brussels</w:t>
      </w:r>
      <w:r w:rsidR="001C15E0">
        <w:rPr>
          <w:rStyle w:val="FootnoteReference"/>
          <w:noProof/>
        </w:rPr>
        <w:footnoteReference w:id="26"/>
      </w:r>
      <w:r w:rsidR="0043443B" w:rsidRPr="0043443B">
        <w:rPr>
          <w:noProof/>
        </w:rPr>
        <w:t>, Flanders</w:t>
      </w:r>
      <w:r w:rsidR="001C15E0">
        <w:rPr>
          <w:rStyle w:val="FootnoteReference"/>
          <w:noProof/>
        </w:rPr>
        <w:footnoteReference w:id="27"/>
      </w:r>
      <w:r w:rsidR="0043443B" w:rsidRPr="0043443B">
        <w:rPr>
          <w:noProof/>
        </w:rPr>
        <w:t xml:space="preserve"> and Wallonia</w:t>
      </w:r>
      <w:r w:rsidR="001C15E0">
        <w:rPr>
          <w:rStyle w:val="FootnoteReference"/>
          <w:noProof/>
        </w:rPr>
        <w:footnoteReference w:id="28"/>
      </w:r>
      <w:r w:rsidR="0043443B" w:rsidRPr="0043443B">
        <w:rPr>
          <w:noProof/>
        </w:rPr>
        <w:t xml:space="preserve"> met the </w:t>
      </w:r>
      <w:r w:rsidR="0043443B">
        <w:rPr>
          <w:noProof/>
        </w:rPr>
        <w:t xml:space="preserve">trade </w:t>
      </w:r>
      <w:r w:rsidR="0043443B" w:rsidRPr="0043443B">
        <w:rPr>
          <w:noProof/>
        </w:rPr>
        <w:t>unions</w:t>
      </w:r>
      <w:r w:rsidR="00A6604A">
        <w:rPr>
          <w:rStyle w:val="FootnoteReference"/>
          <w:noProof/>
        </w:rPr>
        <w:footnoteReference w:id="29"/>
      </w:r>
      <w:r w:rsidR="00041EE2">
        <w:rPr>
          <w:noProof/>
        </w:rPr>
        <w:t xml:space="preserve"> </w:t>
      </w:r>
      <w:r w:rsidR="0043443B" w:rsidRPr="0043443B">
        <w:rPr>
          <w:noProof/>
        </w:rPr>
        <w:t>several times</w:t>
      </w:r>
      <w:r w:rsidR="005F3E79">
        <w:rPr>
          <w:rStyle w:val="FootnoteReference"/>
          <w:noProof/>
        </w:rPr>
        <w:footnoteReference w:id="30"/>
      </w:r>
      <w:r w:rsidR="0043443B" w:rsidRPr="0043443B">
        <w:rPr>
          <w:noProof/>
        </w:rPr>
        <w:t xml:space="preserve"> to discuss suitable measures to support the former Audi workers in their transition to new jobs. Audi workers were also consulted on 20 February 2025. </w:t>
      </w:r>
    </w:p>
    <w:p w:rsidR="001A62D7" w:rsidRDefault="001A62D7" w:rsidP="001A62D7">
      <w:pPr>
        <w:pStyle w:val="ManualHeading2"/>
        <w:rPr>
          <w:noProof/>
        </w:rPr>
      </w:pPr>
      <w:r w:rsidRPr="00EF5C5A">
        <w:rPr>
          <w:noProof/>
        </w:rPr>
        <w:t xml:space="preserve">Targeted beneficiaries and proposed </w:t>
      </w:r>
      <w:r>
        <w:rPr>
          <w:noProof/>
        </w:rPr>
        <w:t>measures</w:t>
      </w:r>
    </w:p>
    <w:p w:rsidR="001A62D7" w:rsidRPr="00EF5C5A" w:rsidRDefault="001A62D7" w:rsidP="001A62D7">
      <w:pPr>
        <w:pStyle w:val="ManualHeading3"/>
        <w:rPr>
          <w:noProof/>
        </w:rPr>
      </w:pPr>
      <w:r w:rsidRPr="00EF5C5A">
        <w:rPr>
          <w:noProof/>
        </w:rPr>
        <w:t>Targeted beneficiaries</w:t>
      </w:r>
    </w:p>
    <w:p w:rsidR="001A62D7" w:rsidRDefault="0063514A" w:rsidP="0063514A">
      <w:pPr>
        <w:pStyle w:val="ManualNumPar1"/>
        <w:rPr>
          <w:noProof/>
        </w:rPr>
      </w:pPr>
      <w:r w:rsidRPr="0063514A">
        <w:rPr>
          <w:noProof/>
        </w:rPr>
        <w:t>29.</w:t>
      </w:r>
      <w:r w:rsidRPr="0063514A">
        <w:rPr>
          <w:noProof/>
        </w:rPr>
        <w:tab/>
      </w:r>
      <w:r w:rsidR="001A62D7">
        <w:rPr>
          <w:noProof/>
        </w:rPr>
        <w:t xml:space="preserve">The estimated number of </w:t>
      </w:r>
      <w:r w:rsidR="001A62D7" w:rsidRPr="003E3994">
        <w:rPr>
          <w:noProof/>
        </w:rPr>
        <w:t>displaced workers</w:t>
      </w:r>
      <w:r w:rsidR="001A62D7">
        <w:rPr>
          <w:noProof/>
        </w:rPr>
        <w:t xml:space="preserve"> expected to participate in the measures is </w:t>
      </w:r>
      <w:r w:rsidR="00F85DF2">
        <w:rPr>
          <w:noProof/>
        </w:rPr>
        <w:t>3 414</w:t>
      </w:r>
      <w:r w:rsidR="001A62D7">
        <w:rPr>
          <w:noProof/>
        </w:rPr>
        <w:t xml:space="preserve">. Pursuant to Article 8(7), point (f), of Regulation (EU) 2021/691, the provided breakdown of these </w:t>
      </w:r>
      <w:r w:rsidR="001A62D7" w:rsidRPr="003E3994">
        <w:rPr>
          <w:noProof/>
        </w:rPr>
        <w:t>workers</w:t>
      </w:r>
      <w:r w:rsidR="001A62D7">
        <w:rPr>
          <w:noProof/>
        </w:rPr>
        <w:t xml:space="preserve"> by gender, age group and educational level is as follows:</w:t>
      </w:r>
    </w:p>
    <w:tbl>
      <w:tblPr>
        <w:tblW w:w="0" w:type="auto"/>
        <w:jc w:val="center"/>
        <w:tblLook w:val="04A0" w:firstRow="1" w:lastRow="0" w:firstColumn="1" w:lastColumn="0" w:noHBand="0" w:noVBand="1"/>
      </w:tblPr>
      <w:tblGrid>
        <w:gridCol w:w="1496"/>
        <w:gridCol w:w="2063"/>
        <w:gridCol w:w="1176"/>
        <w:gridCol w:w="1176"/>
      </w:tblGrid>
      <w:tr w:rsidR="001A62D7" w:rsidTr="001D5990">
        <w:trPr>
          <w:jc w:val="center"/>
        </w:trPr>
        <w:tc>
          <w:tcPr>
            <w:tcW w:w="3559" w:type="dxa"/>
            <w:gridSpan w:val="2"/>
            <w:tcBorders>
              <w:top w:val="single" w:sz="4" w:space="0" w:color="auto"/>
              <w:left w:val="nil"/>
              <w:bottom w:val="single" w:sz="4" w:space="0" w:color="auto"/>
              <w:right w:val="nil"/>
            </w:tcBorders>
            <w:hideMark/>
          </w:tcPr>
          <w:p w:rsidR="001A62D7" w:rsidRDefault="001A62D7" w:rsidP="001D5990">
            <w:pPr>
              <w:spacing w:before="60" w:after="60"/>
              <w:jc w:val="center"/>
              <w:rPr>
                <w:noProof/>
              </w:rPr>
            </w:pPr>
            <w:r>
              <w:rPr>
                <w:noProof/>
              </w:rPr>
              <w:t>Category</w:t>
            </w:r>
          </w:p>
        </w:tc>
        <w:tc>
          <w:tcPr>
            <w:tcW w:w="2352" w:type="dxa"/>
            <w:gridSpan w:val="2"/>
            <w:tcBorders>
              <w:top w:val="single" w:sz="4" w:space="0" w:color="auto"/>
              <w:left w:val="nil"/>
              <w:bottom w:val="single" w:sz="4" w:space="0" w:color="auto"/>
              <w:right w:val="nil"/>
            </w:tcBorders>
            <w:hideMark/>
          </w:tcPr>
          <w:p w:rsidR="001A62D7" w:rsidRDefault="001A62D7" w:rsidP="001D5990">
            <w:pPr>
              <w:spacing w:before="60" w:after="60"/>
              <w:jc w:val="center"/>
              <w:rPr>
                <w:noProof/>
              </w:rPr>
            </w:pPr>
            <w:r>
              <w:rPr>
                <w:noProof/>
              </w:rPr>
              <w:t xml:space="preserve">Number of </w:t>
            </w:r>
            <w:r>
              <w:rPr>
                <w:noProof/>
              </w:rPr>
              <w:br/>
              <w:t>expected beneficiaries</w:t>
            </w:r>
          </w:p>
        </w:tc>
      </w:tr>
      <w:tr w:rsidR="001A62D7" w:rsidTr="001D5990">
        <w:trPr>
          <w:jc w:val="center"/>
        </w:trPr>
        <w:tc>
          <w:tcPr>
            <w:tcW w:w="1496" w:type="dxa"/>
            <w:tcBorders>
              <w:top w:val="single" w:sz="4" w:space="0" w:color="auto"/>
              <w:left w:val="nil"/>
              <w:right w:val="nil"/>
            </w:tcBorders>
            <w:hideMark/>
          </w:tcPr>
          <w:p w:rsidR="001A62D7" w:rsidRDefault="001A62D7" w:rsidP="001D5990">
            <w:pPr>
              <w:spacing w:before="60" w:after="60"/>
              <w:rPr>
                <w:noProof/>
              </w:rPr>
            </w:pPr>
            <w:r>
              <w:rPr>
                <w:noProof/>
              </w:rPr>
              <w:t>Gender:</w:t>
            </w:r>
          </w:p>
        </w:tc>
        <w:tc>
          <w:tcPr>
            <w:tcW w:w="2063" w:type="dxa"/>
            <w:tcBorders>
              <w:top w:val="single" w:sz="4" w:space="0" w:color="auto"/>
              <w:left w:val="nil"/>
              <w:right w:val="nil"/>
            </w:tcBorders>
            <w:hideMark/>
          </w:tcPr>
          <w:p w:rsidR="001A62D7" w:rsidRDefault="001A62D7" w:rsidP="001D5990">
            <w:pPr>
              <w:spacing w:before="60" w:after="60"/>
              <w:rPr>
                <w:noProof/>
              </w:rPr>
            </w:pPr>
            <w:r>
              <w:rPr>
                <w:noProof/>
              </w:rPr>
              <w:t>Men:</w:t>
            </w:r>
          </w:p>
        </w:tc>
        <w:tc>
          <w:tcPr>
            <w:tcW w:w="1176" w:type="dxa"/>
            <w:tcBorders>
              <w:top w:val="single" w:sz="4" w:space="0" w:color="auto"/>
              <w:left w:val="nil"/>
              <w:right w:val="nil"/>
            </w:tcBorders>
            <w:hideMark/>
          </w:tcPr>
          <w:p w:rsidR="001A62D7" w:rsidRDefault="00F055E2" w:rsidP="001D5990">
            <w:pPr>
              <w:spacing w:before="60" w:after="60"/>
              <w:jc w:val="right"/>
              <w:rPr>
                <w:noProof/>
              </w:rPr>
            </w:pPr>
            <w:r>
              <w:rPr>
                <w:noProof/>
              </w:rPr>
              <w:t>3 145</w:t>
            </w:r>
          </w:p>
        </w:tc>
        <w:tc>
          <w:tcPr>
            <w:tcW w:w="1176" w:type="dxa"/>
            <w:tcBorders>
              <w:top w:val="single" w:sz="4" w:space="0" w:color="auto"/>
              <w:left w:val="nil"/>
              <w:right w:val="nil"/>
            </w:tcBorders>
            <w:hideMark/>
          </w:tcPr>
          <w:p w:rsidR="001A62D7" w:rsidRDefault="001A62D7" w:rsidP="001D5990">
            <w:pPr>
              <w:spacing w:before="60" w:after="60"/>
              <w:jc w:val="right"/>
              <w:rPr>
                <w:noProof/>
              </w:rPr>
            </w:pPr>
            <w:r>
              <w:rPr>
                <w:rFonts w:eastAsia="Calibri"/>
                <w:noProof/>
              </w:rPr>
              <w:t>(</w:t>
            </w:r>
            <w:r w:rsidR="00F055E2">
              <w:rPr>
                <w:noProof/>
              </w:rPr>
              <w:t>92.1</w:t>
            </w:r>
            <w:r>
              <w:rPr>
                <w:rFonts w:eastAsia="Calibri"/>
                <w:noProof/>
              </w:rPr>
              <w:t> %)</w:t>
            </w:r>
          </w:p>
        </w:tc>
      </w:tr>
      <w:tr w:rsidR="001A62D7" w:rsidTr="001D5990">
        <w:trPr>
          <w:jc w:val="center"/>
        </w:trPr>
        <w:tc>
          <w:tcPr>
            <w:tcW w:w="1496" w:type="dxa"/>
            <w:tcBorders>
              <w:top w:val="nil"/>
              <w:left w:val="nil"/>
              <w:right w:val="nil"/>
            </w:tcBorders>
          </w:tcPr>
          <w:p w:rsidR="001A62D7" w:rsidRDefault="001A62D7" w:rsidP="001D5990">
            <w:pPr>
              <w:spacing w:before="60" w:after="60"/>
              <w:rPr>
                <w:noProof/>
              </w:rPr>
            </w:pPr>
          </w:p>
        </w:tc>
        <w:tc>
          <w:tcPr>
            <w:tcW w:w="2063" w:type="dxa"/>
            <w:tcBorders>
              <w:top w:val="nil"/>
              <w:left w:val="nil"/>
              <w:right w:val="nil"/>
            </w:tcBorders>
          </w:tcPr>
          <w:p w:rsidR="001A62D7" w:rsidRDefault="001A62D7" w:rsidP="001D5990">
            <w:pPr>
              <w:spacing w:before="60" w:after="60"/>
              <w:rPr>
                <w:rFonts w:eastAsia="Calibri"/>
                <w:noProof/>
              </w:rPr>
            </w:pPr>
            <w:r>
              <w:rPr>
                <w:rFonts w:eastAsia="Calibri"/>
                <w:noProof/>
              </w:rPr>
              <w:t>W</w:t>
            </w:r>
            <w:r>
              <w:rPr>
                <w:noProof/>
              </w:rPr>
              <w:t>omen:</w:t>
            </w:r>
          </w:p>
        </w:tc>
        <w:tc>
          <w:tcPr>
            <w:tcW w:w="1176" w:type="dxa"/>
          </w:tcPr>
          <w:p w:rsidR="001A62D7" w:rsidRDefault="00F055E2" w:rsidP="001D5990">
            <w:pPr>
              <w:spacing w:before="60" w:after="60"/>
              <w:jc w:val="right"/>
              <w:rPr>
                <w:noProof/>
              </w:rPr>
            </w:pPr>
            <w:r>
              <w:rPr>
                <w:noProof/>
              </w:rPr>
              <w:t>269</w:t>
            </w:r>
          </w:p>
        </w:tc>
        <w:tc>
          <w:tcPr>
            <w:tcW w:w="1176" w:type="dxa"/>
          </w:tcPr>
          <w:p w:rsidR="001A62D7" w:rsidRDefault="001A62D7" w:rsidP="001D5990">
            <w:pPr>
              <w:spacing w:before="60" w:after="60"/>
              <w:jc w:val="right"/>
              <w:rPr>
                <w:rFonts w:eastAsia="Calibri"/>
                <w:noProof/>
              </w:rPr>
            </w:pPr>
            <w:r>
              <w:rPr>
                <w:rFonts w:eastAsia="Calibri"/>
                <w:noProof/>
              </w:rPr>
              <w:t>(</w:t>
            </w:r>
            <w:r w:rsidR="00F055E2">
              <w:rPr>
                <w:noProof/>
              </w:rPr>
              <w:t>7.9</w:t>
            </w:r>
            <w:r>
              <w:rPr>
                <w:rFonts w:eastAsia="Calibri"/>
                <w:noProof/>
              </w:rPr>
              <w:t> %)</w:t>
            </w:r>
          </w:p>
        </w:tc>
      </w:tr>
      <w:tr w:rsidR="001A62D7" w:rsidTr="001D5990">
        <w:trPr>
          <w:jc w:val="center"/>
        </w:trPr>
        <w:tc>
          <w:tcPr>
            <w:tcW w:w="1496" w:type="dxa"/>
            <w:tcBorders>
              <w:left w:val="nil"/>
              <w:bottom w:val="single" w:sz="4" w:space="0" w:color="auto"/>
              <w:right w:val="nil"/>
            </w:tcBorders>
          </w:tcPr>
          <w:p w:rsidR="001A62D7" w:rsidRDefault="001A62D7" w:rsidP="001D5990">
            <w:pPr>
              <w:spacing w:before="60" w:after="60"/>
              <w:rPr>
                <w:noProof/>
              </w:rPr>
            </w:pPr>
          </w:p>
        </w:tc>
        <w:tc>
          <w:tcPr>
            <w:tcW w:w="2063" w:type="dxa"/>
            <w:tcBorders>
              <w:left w:val="nil"/>
              <w:bottom w:val="single" w:sz="4" w:space="0" w:color="auto"/>
              <w:right w:val="nil"/>
            </w:tcBorders>
          </w:tcPr>
          <w:p w:rsidR="001A62D7" w:rsidRDefault="001A62D7" w:rsidP="001D5990">
            <w:pPr>
              <w:spacing w:before="60" w:after="60"/>
              <w:rPr>
                <w:noProof/>
              </w:rPr>
            </w:pPr>
            <w:r>
              <w:rPr>
                <w:rFonts w:eastAsia="Calibri"/>
                <w:noProof/>
              </w:rPr>
              <w:t>Non-binary</w:t>
            </w:r>
          </w:p>
        </w:tc>
        <w:tc>
          <w:tcPr>
            <w:tcW w:w="1176" w:type="dxa"/>
            <w:tcBorders>
              <w:bottom w:val="single" w:sz="4" w:space="0" w:color="auto"/>
            </w:tcBorders>
            <w:hideMark/>
          </w:tcPr>
          <w:p w:rsidR="001A62D7" w:rsidRDefault="00F055E2" w:rsidP="001D5990">
            <w:pPr>
              <w:spacing w:before="60" w:after="60"/>
              <w:jc w:val="right"/>
              <w:rPr>
                <w:noProof/>
              </w:rPr>
            </w:pPr>
            <w:r>
              <w:rPr>
                <w:noProof/>
              </w:rPr>
              <w:t>0</w:t>
            </w:r>
          </w:p>
        </w:tc>
        <w:tc>
          <w:tcPr>
            <w:tcW w:w="1176" w:type="dxa"/>
            <w:tcBorders>
              <w:bottom w:val="single" w:sz="4" w:space="0" w:color="auto"/>
            </w:tcBorders>
            <w:hideMark/>
          </w:tcPr>
          <w:p w:rsidR="001A62D7" w:rsidRDefault="001A62D7" w:rsidP="001D5990">
            <w:pPr>
              <w:spacing w:before="60" w:after="60"/>
              <w:jc w:val="right"/>
              <w:rPr>
                <w:noProof/>
              </w:rPr>
            </w:pPr>
            <w:r>
              <w:rPr>
                <w:rFonts w:eastAsia="Calibri"/>
                <w:noProof/>
              </w:rPr>
              <w:t>(</w:t>
            </w:r>
            <w:r w:rsidR="00F055E2">
              <w:rPr>
                <w:noProof/>
              </w:rPr>
              <w:t>0.0</w:t>
            </w:r>
            <w:r>
              <w:rPr>
                <w:rFonts w:eastAsia="Calibri"/>
                <w:noProof/>
              </w:rPr>
              <w:t> %)</w:t>
            </w:r>
          </w:p>
        </w:tc>
      </w:tr>
      <w:tr w:rsidR="001A62D7" w:rsidTr="001D5990">
        <w:trPr>
          <w:jc w:val="center"/>
        </w:trPr>
        <w:tc>
          <w:tcPr>
            <w:tcW w:w="1496" w:type="dxa"/>
            <w:tcBorders>
              <w:top w:val="single" w:sz="4" w:space="0" w:color="auto"/>
              <w:left w:val="nil"/>
              <w:bottom w:val="nil"/>
              <w:right w:val="nil"/>
            </w:tcBorders>
            <w:hideMark/>
          </w:tcPr>
          <w:p w:rsidR="001A62D7" w:rsidRDefault="001A62D7" w:rsidP="001D5990">
            <w:pPr>
              <w:spacing w:before="60" w:after="60"/>
              <w:rPr>
                <w:noProof/>
              </w:rPr>
            </w:pPr>
            <w:r>
              <w:rPr>
                <w:noProof/>
              </w:rPr>
              <w:t>Age group:</w:t>
            </w:r>
          </w:p>
        </w:tc>
        <w:tc>
          <w:tcPr>
            <w:tcW w:w="2063" w:type="dxa"/>
            <w:tcBorders>
              <w:top w:val="single" w:sz="4" w:space="0" w:color="auto"/>
              <w:left w:val="nil"/>
              <w:bottom w:val="nil"/>
              <w:right w:val="nil"/>
            </w:tcBorders>
            <w:hideMark/>
          </w:tcPr>
          <w:p w:rsidR="001A62D7" w:rsidRDefault="001A62D7" w:rsidP="001D5990">
            <w:pPr>
              <w:spacing w:before="60" w:after="60"/>
              <w:rPr>
                <w:noProof/>
              </w:rPr>
            </w:pPr>
            <w:r>
              <w:rPr>
                <w:noProof/>
              </w:rPr>
              <w:t>Below 30 years:</w:t>
            </w:r>
          </w:p>
        </w:tc>
        <w:tc>
          <w:tcPr>
            <w:tcW w:w="1176" w:type="dxa"/>
            <w:tcBorders>
              <w:top w:val="single" w:sz="4" w:space="0" w:color="auto"/>
            </w:tcBorders>
            <w:hideMark/>
          </w:tcPr>
          <w:p w:rsidR="001A62D7" w:rsidRDefault="00F055E2" w:rsidP="001D5990">
            <w:pPr>
              <w:spacing w:before="60" w:after="60"/>
              <w:jc w:val="right"/>
              <w:rPr>
                <w:noProof/>
              </w:rPr>
            </w:pPr>
            <w:r>
              <w:rPr>
                <w:noProof/>
              </w:rPr>
              <w:t>323</w:t>
            </w:r>
          </w:p>
        </w:tc>
        <w:tc>
          <w:tcPr>
            <w:tcW w:w="1176" w:type="dxa"/>
            <w:tcBorders>
              <w:top w:val="single" w:sz="4" w:space="0" w:color="auto"/>
            </w:tcBorders>
            <w:hideMark/>
          </w:tcPr>
          <w:p w:rsidR="001A62D7" w:rsidRDefault="001A62D7" w:rsidP="001D5990">
            <w:pPr>
              <w:spacing w:before="60" w:after="60"/>
              <w:jc w:val="right"/>
              <w:rPr>
                <w:noProof/>
              </w:rPr>
            </w:pPr>
            <w:r>
              <w:rPr>
                <w:rFonts w:eastAsia="Calibri"/>
                <w:noProof/>
              </w:rPr>
              <w:t>(</w:t>
            </w:r>
            <w:r w:rsidR="00F055E2">
              <w:rPr>
                <w:noProof/>
              </w:rPr>
              <w:t>9.5</w:t>
            </w:r>
            <w:r>
              <w:rPr>
                <w:rFonts w:eastAsia="Calibri"/>
                <w:noProof/>
              </w:rPr>
              <w:t> %)</w:t>
            </w:r>
          </w:p>
        </w:tc>
      </w:tr>
      <w:tr w:rsidR="001A62D7" w:rsidTr="001D5990">
        <w:trPr>
          <w:jc w:val="center"/>
        </w:trPr>
        <w:tc>
          <w:tcPr>
            <w:tcW w:w="1496" w:type="dxa"/>
          </w:tcPr>
          <w:p w:rsidR="001A62D7" w:rsidRDefault="001A62D7" w:rsidP="001D5990">
            <w:pPr>
              <w:spacing w:before="60" w:after="60"/>
              <w:rPr>
                <w:noProof/>
              </w:rPr>
            </w:pPr>
          </w:p>
        </w:tc>
        <w:tc>
          <w:tcPr>
            <w:tcW w:w="2063" w:type="dxa"/>
            <w:hideMark/>
          </w:tcPr>
          <w:p w:rsidR="001A62D7" w:rsidRDefault="001A62D7" w:rsidP="001D5990">
            <w:pPr>
              <w:spacing w:before="60" w:after="60"/>
              <w:rPr>
                <w:noProof/>
              </w:rPr>
            </w:pPr>
            <w:r>
              <w:rPr>
                <w:rFonts w:eastAsia="Calibri"/>
                <w:noProof/>
              </w:rPr>
              <w:t>30-54 years:</w:t>
            </w:r>
          </w:p>
        </w:tc>
        <w:tc>
          <w:tcPr>
            <w:tcW w:w="1176" w:type="dxa"/>
            <w:hideMark/>
          </w:tcPr>
          <w:p w:rsidR="001A62D7" w:rsidRDefault="00F055E2" w:rsidP="001D5990">
            <w:pPr>
              <w:spacing w:before="60" w:after="60"/>
              <w:jc w:val="right"/>
              <w:rPr>
                <w:noProof/>
              </w:rPr>
            </w:pPr>
            <w:r>
              <w:rPr>
                <w:noProof/>
              </w:rPr>
              <w:t>2 263</w:t>
            </w:r>
          </w:p>
        </w:tc>
        <w:tc>
          <w:tcPr>
            <w:tcW w:w="1176" w:type="dxa"/>
            <w:hideMark/>
          </w:tcPr>
          <w:p w:rsidR="001A62D7" w:rsidRDefault="001A62D7" w:rsidP="001D5990">
            <w:pPr>
              <w:spacing w:before="60" w:after="60"/>
              <w:jc w:val="right"/>
              <w:rPr>
                <w:noProof/>
              </w:rPr>
            </w:pPr>
            <w:r>
              <w:rPr>
                <w:rFonts w:eastAsia="Calibri"/>
                <w:noProof/>
              </w:rPr>
              <w:t>(</w:t>
            </w:r>
            <w:r w:rsidR="00F055E2">
              <w:rPr>
                <w:noProof/>
              </w:rPr>
              <w:t>66.3</w:t>
            </w:r>
            <w:r>
              <w:rPr>
                <w:rFonts w:eastAsia="Calibri"/>
                <w:noProof/>
              </w:rPr>
              <w:t> %)</w:t>
            </w:r>
          </w:p>
        </w:tc>
      </w:tr>
      <w:tr w:rsidR="001A62D7" w:rsidTr="001D5990">
        <w:trPr>
          <w:jc w:val="center"/>
        </w:trPr>
        <w:tc>
          <w:tcPr>
            <w:tcW w:w="1496" w:type="dxa"/>
          </w:tcPr>
          <w:p w:rsidR="001A62D7" w:rsidRDefault="001A62D7" w:rsidP="001D5990">
            <w:pPr>
              <w:spacing w:before="60" w:after="60"/>
              <w:rPr>
                <w:noProof/>
              </w:rPr>
            </w:pPr>
          </w:p>
        </w:tc>
        <w:tc>
          <w:tcPr>
            <w:tcW w:w="2063" w:type="dxa"/>
            <w:hideMark/>
          </w:tcPr>
          <w:p w:rsidR="001A62D7" w:rsidRDefault="001A62D7" w:rsidP="001D5990">
            <w:pPr>
              <w:spacing w:before="60" w:after="60"/>
              <w:jc w:val="left"/>
              <w:rPr>
                <w:noProof/>
              </w:rPr>
            </w:pPr>
            <w:r>
              <w:rPr>
                <w:noProof/>
              </w:rPr>
              <w:t>Over 54 years:</w:t>
            </w:r>
          </w:p>
        </w:tc>
        <w:tc>
          <w:tcPr>
            <w:tcW w:w="1176" w:type="dxa"/>
            <w:hideMark/>
          </w:tcPr>
          <w:p w:rsidR="001A62D7" w:rsidRDefault="00F055E2" w:rsidP="001D5990">
            <w:pPr>
              <w:spacing w:before="60" w:after="60"/>
              <w:jc w:val="right"/>
              <w:rPr>
                <w:noProof/>
              </w:rPr>
            </w:pPr>
            <w:r>
              <w:rPr>
                <w:noProof/>
              </w:rPr>
              <w:t>828</w:t>
            </w:r>
          </w:p>
        </w:tc>
        <w:tc>
          <w:tcPr>
            <w:tcW w:w="1176" w:type="dxa"/>
            <w:hideMark/>
          </w:tcPr>
          <w:p w:rsidR="001A62D7" w:rsidRDefault="001A62D7" w:rsidP="001D5990">
            <w:pPr>
              <w:spacing w:before="60" w:after="60"/>
              <w:jc w:val="right"/>
              <w:rPr>
                <w:noProof/>
              </w:rPr>
            </w:pPr>
            <w:r>
              <w:rPr>
                <w:rFonts w:eastAsia="Calibri"/>
                <w:noProof/>
              </w:rPr>
              <w:t>(</w:t>
            </w:r>
            <w:r w:rsidR="00F055E2">
              <w:rPr>
                <w:noProof/>
              </w:rPr>
              <w:t>24.3</w:t>
            </w:r>
            <w:r>
              <w:rPr>
                <w:rFonts w:eastAsia="Calibri"/>
                <w:noProof/>
              </w:rPr>
              <w:t> %)</w:t>
            </w:r>
          </w:p>
        </w:tc>
      </w:tr>
      <w:tr w:rsidR="001A62D7" w:rsidTr="001D5990">
        <w:trPr>
          <w:jc w:val="center"/>
        </w:trPr>
        <w:tc>
          <w:tcPr>
            <w:tcW w:w="1496" w:type="dxa"/>
            <w:tcBorders>
              <w:top w:val="single" w:sz="4" w:space="0" w:color="auto"/>
              <w:left w:val="nil"/>
              <w:bottom w:val="nil"/>
              <w:right w:val="nil"/>
            </w:tcBorders>
          </w:tcPr>
          <w:p w:rsidR="001A62D7" w:rsidRDefault="001A62D7" w:rsidP="001D5990">
            <w:pPr>
              <w:spacing w:before="60" w:after="60"/>
              <w:rPr>
                <w:noProof/>
              </w:rPr>
            </w:pPr>
            <w:r>
              <w:rPr>
                <w:noProof/>
              </w:rPr>
              <w:t>Educational level</w:t>
            </w:r>
          </w:p>
        </w:tc>
        <w:tc>
          <w:tcPr>
            <w:tcW w:w="2063" w:type="dxa"/>
            <w:tcBorders>
              <w:top w:val="single" w:sz="4" w:space="0" w:color="auto"/>
              <w:left w:val="nil"/>
              <w:bottom w:val="nil"/>
              <w:right w:val="nil"/>
            </w:tcBorders>
          </w:tcPr>
          <w:p w:rsidR="001A62D7" w:rsidRDefault="001A62D7" w:rsidP="001D5990">
            <w:pPr>
              <w:spacing w:before="60" w:after="60"/>
              <w:rPr>
                <w:noProof/>
              </w:rPr>
            </w:pPr>
            <w:r>
              <w:rPr>
                <w:noProof/>
              </w:rPr>
              <w:t>Lower secondary education or less</w:t>
            </w:r>
            <w:r>
              <w:rPr>
                <w:rStyle w:val="FootnoteReference"/>
                <w:noProof/>
              </w:rPr>
              <w:footnoteReference w:id="31"/>
            </w:r>
            <w:r>
              <w:rPr>
                <w:noProof/>
              </w:rPr>
              <w:t xml:space="preserve"> </w:t>
            </w:r>
          </w:p>
        </w:tc>
        <w:tc>
          <w:tcPr>
            <w:tcW w:w="1176" w:type="dxa"/>
            <w:tcBorders>
              <w:top w:val="single" w:sz="4" w:space="0" w:color="auto"/>
              <w:left w:val="nil"/>
              <w:bottom w:val="nil"/>
              <w:right w:val="nil"/>
            </w:tcBorders>
          </w:tcPr>
          <w:p w:rsidR="001A62D7" w:rsidRDefault="00F055E2" w:rsidP="001D5990">
            <w:pPr>
              <w:spacing w:before="60" w:after="60"/>
              <w:jc w:val="right"/>
              <w:rPr>
                <w:noProof/>
              </w:rPr>
            </w:pPr>
            <w:r>
              <w:rPr>
                <w:noProof/>
              </w:rPr>
              <w:t>951</w:t>
            </w:r>
          </w:p>
        </w:tc>
        <w:tc>
          <w:tcPr>
            <w:tcW w:w="1176" w:type="dxa"/>
            <w:tcBorders>
              <w:top w:val="single" w:sz="4" w:space="0" w:color="auto"/>
              <w:left w:val="nil"/>
              <w:bottom w:val="nil"/>
              <w:right w:val="nil"/>
            </w:tcBorders>
          </w:tcPr>
          <w:p w:rsidR="001A62D7" w:rsidRDefault="001A62D7" w:rsidP="001D5990">
            <w:pPr>
              <w:spacing w:before="60" w:after="60"/>
              <w:jc w:val="right"/>
              <w:rPr>
                <w:rFonts w:eastAsia="Calibri"/>
                <w:noProof/>
              </w:rPr>
            </w:pPr>
            <w:r>
              <w:rPr>
                <w:rFonts w:eastAsia="Calibri"/>
                <w:noProof/>
              </w:rPr>
              <w:t>(</w:t>
            </w:r>
            <w:r w:rsidR="00F055E2">
              <w:rPr>
                <w:noProof/>
              </w:rPr>
              <w:t>27.9</w:t>
            </w:r>
            <w:r>
              <w:rPr>
                <w:rFonts w:eastAsia="Calibri"/>
                <w:noProof/>
              </w:rPr>
              <w:t> %)</w:t>
            </w:r>
          </w:p>
        </w:tc>
      </w:tr>
      <w:tr w:rsidR="001A62D7" w:rsidTr="001D5990">
        <w:trPr>
          <w:jc w:val="center"/>
        </w:trPr>
        <w:tc>
          <w:tcPr>
            <w:tcW w:w="1496" w:type="dxa"/>
            <w:tcBorders>
              <w:top w:val="nil"/>
              <w:left w:val="nil"/>
              <w:right w:val="nil"/>
            </w:tcBorders>
          </w:tcPr>
          <w:p w:rsidR="001A62D7" w:rsidRDefault="001A62D7" w:rsidP="001D5990">
            <w:pPr>
              <w:spacing w:before="60" w:after="60"/>
              <w:rPr>
                <w:noProof/>
              </w:rPr>
            </w:pPr>
          </w:p>
        </w:tc>
        <w:tc>
          <w:tcPr>
            <w:tcW w:w="2063" w:type="dxa"/>
            <w:tcBorders>
              <w:top w:val="nil"/>
              <w:left w:val="nil"/>
              <w:right w:val="nil"/>
            </w:tcBorders>
          </w:tcPr>
          <w:p w:rsidR="001A62D7" w:rsidRDefault="001A62D7" w:rsidP="001D5990">
            <w:pPr>
              <w:spacing w:before="60" w:after="60"/>
              <w:rPr>
                <w:noProof/>
              </w:rPr>
            </w:pPr>
            <w:r>
              <w:rPr>
                <w:noProof/>
              </w:rPr>
              <w:t>Upper secondary</w:t>
            </w:r>
            <w:r>
              <w:rPr>
                <w:rStyle w:val="FootnoteReference"/>
                <w:noProof/>
              </w:rPr>
              <w:footnoteReference w:id="32"/>
            </w:r>
            <w:r>
              <w:rPr>
                <w:noProof/>
              </w:rPr>
              <w:t xml:space="preserve"> or post-secondary education</w:t>
            </w:r>
            <w:r>
              <w:rPr>
                <w:rStyle w:val="FootnoteReference"/>
                <w:noProof/>
              </w:rPr>
              <w:footnoteReference w:id="33"/>
            </w:r>
          </w:p>
        </w:tc>
        <w:tc>
          <w:tcPr>
            <w:tcW w:w="1176" w:type="dxa"/>
            <w:tcBorders>
              <w:top w:val="nil"/>
              <w:left w:val="nil"/>
              <w:right w:val="nil"/>
            </w:tcBorders>
          </w:tcPr>
          <w:p w:rsidR="001A62D7" w:rsidRDefault="00F055E2" w:rsidP="001D5990">
            <w:pPr>
              <w:spacing w:before="60" w:after="60"/>
              <w:jc w:val="right"/>
              <w:rPr>
                <w:noProof/>
              </w:rPr>
            </w:pPr>
            <w:r>
              <w:rPr>
                <w:noProof/>
              </w:rPr>
              <w:t>1 889</w:t>
            </w:r>
          </w:p>
        </w:tc>
        <w:tc>
          <w:tcPr>
            <w:tcW w:w="1176" w:type="dxa"/>
            <w:tcBorders>
              <w:top w:val="nil"/>
              <w:left w:val="nil"/>
              <w:right w:val="nil"/>
            </w:tcBorders>
          </w:tcPr>
          <w:p w:rsidR="001A62D7" w:rsidRDefault="001A62D7" w:rsidP="001D5990">
            <w:pPr>
              <w:spacing w:before="60" w:after="60"/>
              <w:jc w:val="right"/>
              <w:rPr>
                <w:rFonts w:eastAsia="Calibri"/>
                <w:noProof/>
              </w:rPr>
            </w:pPr>
            <w:r>
              <w:rPr>
                <w:rFonts w:eastAsia="Calibri"/>
                <w:noProof/>
              </w:rPr>
              <w:t>(</w:t>
            </w:r>
            <w:r w:rsidR="00F055E2">
              <w:rPr>
                <w:noProof/>
              </w:rPr>
              <w:t>55.3</w:t>
            </w:r>
            <w:r>
              <w:rPr>
                <w:rFonts w:eastAsia="Calibri"/>
                <w:noProof/>
              </w:rPr>
              <w:t> %)</w:t>
            </w:r>
          </w:p>
        </w:tc>
      </w:tr>
      <w:tr w:rsidR="001A62D7" w:rsidTr="001D5990">
        <w:trPr>
          <w:jc w:val="center"/>
        </w:trPr>
        <w:tc>
          <w:tcPr>
            <w:tcW w:w="1496" w:type="dxa"/>
            <w:tcBorders>
              <w:top w:val="nil"/>
              <w:left w:val="nil"/>
              <w:bottom w:val="single" w:sz="4" w:space="0" w:color="auto"/>
              <w:right w:val="nil"/>
            </w:tcBorders>
          </w:tcPr>
          <w:p w:rsidR="001A62D7" w:rsidRDefault="001A62D7" w:rsidP="001D5990">
            <w:pPr>
              <w:spacing w:before="60" w:after="60"/>
              <w:rPr>
                <w:noProof/>
              </w:rPr>
            </w:pPr>
          </w:p>
        </w:tc>
        <w:tc>
          <w:tcPr>
            <w:tcW w:w="2063" w:type="dxa"/>
            <w:tcBorders>
              <w:top w:val="nil"/>
              <w:left w:val="nil"/>
              <w:bottom w:val="single" w:sz="4" w:space="0" w:color="auto"/>
              <w:right w:val="nil"/>
            </w:tcBorders>
          </w:tcPr>
          <w:p w:rsidR="001A62D7" w:rsidRDefault="001A62D7" w:rsidP="001D5990">
            <w:pPr>
              <w:spacing w:before="60" w:after="60"/>
              <w:rPr>
                <w:noProof/>
              </w:rPr>
            </w:pPr>
            <w:r>
              <w:rPr>
                <w:noProof/>
              </w:rPr>
              <w:t>Tertiary education</w:t>
            </w:r>
            <w:r>
              <w:rPr>
                <w:rStyle w:val="FootnoteReference"/>
                <w:noProof/>
              </w:rPr>
              <w:footnoteReference w:id="34"/>
            </w:r>
          </w:p>
        </w:tc>
        <w:tc>
          <w:tcPr>
            <w:tcW w:w="1176" w:type="dxa"/>
            <w:tcBorders>
              <w:top w:val="nil"/>
              <w:left w:val="nil"/>
              <w:bottom w:val="single" w:sz="4" w:space="0" w:color="auto"/>
              <w:right w:val="nil"/>
            </w:tcBorders>
          </w:tcPr>
          <w:p w:rsidR="001A62D7" w:rsidRDefault="00F055E2" w:rsidP="001D5990">
            <w:pPr>
              <w:spacing w:before="60" w:after="60"/>
              <w:jc w:val="right"/>
              <w:rPr>
                <w:noProof/>
              </w:rPr>
            </w:pPr>
            <w:r>
              <w:rPr>
                <w:noProof/>
              </w:rPr>
              <w:t>574</w:t>
            </w:r>
          </w:p>
        </w:tc>
        <w:tc>
          <w:tcPr>
            <w:tcW w:w="1176" w:type="dxa"/>
            <w:tcBorders>
              <w:top w:val="nil"/>
              <w:left w:val="nil"/>
              <w:bottom w:val="single" w:sz="4" w:space="0" w:color="auto"/>
              <w:right w:val="nil"/>
            </w:tcBorders>
          </w:tcPr>
          <w:p w:rsidR="001A62D7" w:rsidRDefault="001A62D7" w:rsidP="001D5990">
            <w:pPr>
              <w:spacing w:before="60" w:after="60"/>
              <w:jc w:val="right"/>
              <w:rPr>
                <w:rFonts w:eastAsia="Calibri"/>
                <w:noProof/>
              </w:rPr>
            </w:pPr>
            <w:r>
              <w:rPr>
                <w:rFonts w:eastAsia="Calibri"/>
                <w:noProof/>
              </w:rPr>
              <w:t>(</w:t>
            </w:r>
            <w:r w:rsidR="00F055E2">
              <w:rPr>
                <w:noProof/>
              </w:rPr>
              <w:t>16.8</w:t>
            </w:r>
            <w:r>
              <w:rPr>
                <w:rFonts w:eastAsia="Calibri"/>
                <w:noProof/>
              </w:rPr>
              <w:t> %)</w:t>
            </w:r>
          </w:p>
        </w:tc>
      </w:tr>
    </w:tbl>
    <w:p w:rsidR="001A62D7" w:rsidRDefault="001A62D7" w:rsidP="001A62D7">
      <w:pPr>
        <w:pStyle w:val="ManualHeading3"/>
        <w:rPr>
          <w:noProof/>
          <w:u w:val="single"/>
        </w:rPr>
      </w:pPr>
      <w:r>
        <w:rPr>
          <w:noProof/>
        </w:rPr>
        <w:t>P</w:t>
      </w:r>
      <w:r w:rsidRPr="007F7A40">
        <w:rPr>
          <w:noProof/>
        </w:rPr>
        <w:t xml:space="preserve">roposed </w:t>
      </w:r>
      <w:r>
        <w:rPr>
          <w:noProof/>
        </w:rPr>
        <w:t>measures</w:t>
      </w:r>
    </w:p>
    <w:p w:rsidR="001A62D7" w:rsidRDefault="0063514A" w:rsidP="0063514A">
      <w:pPr>
        <w:pStyle w:val="ManualNumPar1"/>
        <w:rPr>
          <w:noProof/>
        </w:rPr>
      </w:pPr>
      <w:bookmarkStart w:id="11" w:name="_Ref372214239"/>
      <w:r w:rsidRPr="0063514A">
        <w:rPr>
          <w:noProof/>
        </w:rPr>
        <w:t>30.</w:t>
      </w:r>
      <w:r w:rsidRPr="0063514A">
        <w:rPr>
          <w:noProof/>
        </w:rPr>
        <w:tab/>
      </w:r>
      <w:r w:rsidR="001A62D7">
        <w:rPr>
          <w:noProof/>
        </w:rPr>
        <w:t>Pursuant to Article 8(7), point (h) of Regulation (EU) 2021/691, t</w:t>
      </w:r>
      <w:r w:rsidR="001A62D7" w:rsidRPr="00D53BB8">
        <w:rPr>
          <w:noProof/>
        </w:rPr>
        <w:t xml:space="preserve">he </w:t>
      </w:r>
      <w:r w:rsidR="001A62D7">
        <w:rPr>
          <w:noProof/>
        </w:rPr>
        <w:t xml:space="preserve">personalised coordinated package to be provided to </w:t>
      </w:r>
      <w:r w:rsidR="001A62D7" w:rsidRPr="003E3994">
        <w:rPr>
          <w:noProof/>
        </w:rPr>
        <w:t>displaced workers</w:t>
      </w:r>
      <w:r w:rsidR="002A2C83">
        <w:rPr>
          <w:noProof/>
        </w:rPr>
        <w:t xml:space="preserve"> c</w:t>
      </w:r>
      <w:r w:rsidR="001A62D7">
        <w:rPr>
          <w:noProof/>
        </w:rPr>
        <w:t xml:space="preserve">onsists of the following measures: </w:t>
      </w:r>
      <w:bookmarkEnd w:id="11"/>
    </w:p>
    <w:p w:rsidR="001A62D7" w:rsidRDefault="006534C4" w:rsidP="006534C4">
      <w:pPr>
        <w:pStyle w:val="Tiret1"/>
        <w:rPr>
          <w:noProof/>
        </w:rPr>
      </w:pPr>
      <w:r w:rsidRPr="006534C4">
        <w:rPr>
          <w:noProof/>
          <w:u w:val="single"/>
        </w:rPr>
        <w:tab/>
        <w:t xml:space="preserve">Information services, </w:t>
      </w:r>
      <w:r w:rsidR="003E496C">
        <w:rPr>
          <w:noProof/>
          <w:u w:val="single"/>
        </w:rPr>
        <w:t xml:space="preserve">vocational counselling and </w:t>
      </w:r>
      <w:r w:rsidRPr="006534C4">
        <w:rPr>
          <w:noProof/>
          <w:u w:val="single"/>
        </w:rPr>
        <w:t>guidance</w:t>
      </w:r>
      <w:r w:rsidR="00A6765B">
        <w:rPr>
          <w:noProof/>
          <w:u w:val="single"/>
        </w:rPr>
        <w:t>,</w:t>
      </w:r>
      <w:r w:rsidRPr="006534C4">
        <w:rPr>
          <w:noProof/>
          <w:u w:val="single"/>
        </w:rPr>
        <w:t xml:space="preserve"> and placement </w:t>
      </w:r>
      <w:r w:rsidR="003E496C">
        <w:rPr>
          <w:noProof/>
          <w:u w:val="single"/>
        </w:rPr>
        <w:t>services</w:t>
      </w:r>
      <w:r w:rsidR="001A62D7">
        <w:rPr>
          <w:noProof/>
        </w:rPr>
        <w:t xml:space="preserve">: </w:t>
      </w:r>
      <w:r>
        <w:rPr>
          <w:noProof/>
        </w:rPr>
        <w:t xml:space="preserve">This measure builds on the outplacement services referred to in paragraph </w:t>
      </w:r>
      <w:r w:rsidR="00857E8C">
        <w:rPr>
          <w:noProof/>
        </w:rPr>
        <w:t xml:space="preserve">24 </w:t>
      </w:r>
      <w:r>
        <w:rPr>
          <w:noProof/>
        </w:rPr>
        <w:t xml:space="preserve">and includes </w:t>
      </w:r>
      <w:r w:rsidR="001A3D9D">
        <w:rPr>
          <w:noProof/>
        </w:rPr>
        <w:t xml:space="preserve">information sessions, </w:t>
      </w:r>
      <w:r>
        <w:rPr>
          <w:noProof/>
        </w:rPr>
        <w:t>profiling of the worker</w:t>
      </w:r>
      <w:r w:rsidR="001A3D9D">
        <w:rPr>
          <w:noProof/>
        </w:rPr>
        <w:t>s</w:t>
      </w:r>
      <w:r>
        <w:rPr>
          <w:noProof/>
        </w:rPr>
        <w:t xml:space="preserve">, individual coaching and support to job-search in the form of active job-search and job-matching, </w:t>
      </w:r>
      <w:r w:rsidR="00422E71">
        <w:rPr>
          <w:noProof/>
        </w:rPr>
        <w:t>workshops</w:t>
      </w:r>
      <w:r>
        <w:rPr>
          <w:noProof/>
        </w:rPr>
        <w:t xml:space="preserve"> on </w:t>
      </w:r>
      <w:r w:rsidRPr="00F37278">
        <w:rPr>
          <w:noProof/>
        </w:rPr>
        <w:t xml:space="preserve">preparing job applications, </w:t>
      </w:r>
      <w:r w:rsidR="00684CAB" w:rsidRPr="00F37278">
        <w:rPr>
          <w:noProof/>
        </w:rPr>
        <w:t xml:space="preserve">and </w:t>
      </w:r>
      <w:r w:rsidRPr="00F37278">
        <w:rPr>
          <w:noProof/>
        </w:rPr>
        <w:t>look</w:t>
      </w:r>
      <w:r w:rsidR="00684CAB" w:rsidRPr="00F37278">
        <w:rPr>
          <w:noProof/>
        </w:rPr>
        <w:t xml:space="preserve">ing </w:t>
      </w:r>
      <w:r w:rsidRPr="00F37278">
        <w:rPr>
          <w:noProof/>
        </w:rPr>
        <w:t xml:space="preserve"> for jobs</w:t>
      </w:r>
      <w:r>
        <w:rPr>
          <w:noProof/>
        </w:rPr>
        <w:t xml:space="preserve"> using social networks</w:t>
      </w:r>
      <w:r w:rsidR="00133927">
        <w:rPr>
          <w:noProof/>
        </w:rPr>
        <w:t>. I</w:t>
      </w:r>
      <w:r w:rsidR="003E496C">
        <w:rPr>
          <w:noProof/>
        </w:rPr>
        <w:t>nformation sessions on</w:t>
      </w:r>
      <w:r>
        <w:rPr>
          <w:noProof/>
        </w:rPr>
        <w:t xml:space="preserve"> other relevant topic</w:t>
      </w:r>
      <w:r w:rsidR="003E496C">
        <w:rPr>
          <w:noProof/>
        </w:rPr>
        <w:t xml:space="preserve">s such as </w:t>
      </w:r>
      <w:r w:rsidR="00DA22A3">
        <w:rPr>
          <w:noProof/>
        </w:rPr>
        <w:t xml:space="preserve">taxation or </w:t>
      </w:r>
      <w:r w:rsidR="003E496C">
        <w:rPr>
          <w:noProof/>
        </w:rPr>
        <w:t xml:space="preserve">how to </w:t>
      </w:r>
      <w:r w:rsidR="00422E71">
        <w:rPr>
          <w:noProof/>
        </w:rPr>
        <w:t>avoid</w:t>
      </w:r>
      <w:r w:rsidR="003E496C">
        <w:rPr>
          <w:noProof/>
        </w:rPr>
        <w:t xml:space="preserve"> </w:t>
      </w:r>
      <w:r w:rsidR="00422E71">
        <w:rPr>
          <w:noProof/>
        </w:rPr>
        <w:t>running</w:t>
      </w:r>
      <w:r w:rsidR="003E496C">
        <w:rPr>
          <w:noProof/>
        </w:rPr>
        <w:t xml:space="preserve"> into </w:t>
      </w:r>
      <w:r w:rsidR="003E496C" w:rsidRPr="003E496C">
        <w:rPr>
          <w:noProof/>
        </w:rPr>
        <w:t>over-indebtedness</w:t>
      </w:r>
      <w:r w:rsidR="003E496C">
        <w:rPr>
          <w:noProof/>
        </w:rPr>
        <w:t xml:space="preserve"> </w:t>
      </w:r>
      <w:r w:rsidR="00133927">
        <w:rPr>
          <w:noProof/>
        </w:rPr>
        <w:t>will also be provided</w:t>
      </w:r>
      <w:r w:rsidR="003E496C">
        <w:rPr>
          <w:noProof/>
        </w:rPr>
        <w:t xml:space="preserve">. </w:t>
      </w:r>
      <w:r w:rsidR="003E496C" w:rsidRPr="003E496C">
        <w:rPr>
          <w:noProof/>
        </w:rPr>
        <w:t>Special attention is paid to the psychological impact of dismissal</w:t>
      </w:r>
      <w:r w:rsidR="001A62D7">
        <w:rPr>
          <w:noProof/>
        </w:rPr>
        <w:t>.</w:t>
      </w:r>
    </w:p>
    <w:p w:rsidR="002A2C83" w:rsidRDefault="00843A99" w:rsidP="002A2C83">
      <w:pPr>
        <w:pStyle w:val="Tiret1"/>
        <w:rPr>
          <w:noProof/>
        </w:rPr>
      </w:pPr>
      <w:r w:rsidRPr="00362E82">
        <w:rPr>
          <w:noProof/>
          <w:u w:val="single"/>
        </w:rPr>
        <w:t>Training and retraining</w:t>
      </w:r>
      <w:r w:rsidR="001A62D7">
        <w:rPr>
          <w:noProof/>
        </w:rPr>
        <w:t xml:space="preserve">: </w:t>
      </w:r>
      <w:r w:rsidRPr="00843A99">
        <w:rPr>
          <w:noProof/>
        </w:rPr>
        <w:t>After the workers profiling and agreement of individual projects with the vocational counsellors, specific training will be offered to cater for the identified needs</w:t>
      </w:r>
      <w:r w:rsidR="002A2C83">
        <w:rPr>
          <w:noProof/>
        </w:rPr>
        <w:t>.</w:t>
      </w:r>
    </w:p>
    <w:p w:rsidR="002A2C83" w:rsidRDefault="00035265" w:rsidP="002A2C83">
      <w:pPr>
        <w:pStyle w:val="Tiret1"/>
        <w:rPr>
          <w:noProof/>
        </w:rPr>
      </w:pPr>
      <w:r>
        <w:rPr>
          <w:noProof/>
          <w:u w:val="single"/>
        </w:rPr>
        <w:t>Job day</w:t>
      </w:r>
      <w:r w:rsidR="002A2C83">
        <w:rPr>
          <w:noProof/>
        </w:rPr>
        <w:t xml:space="preserve">: </w:t>
      </w:r>
      <w:r>
        <w:rPr>
          <w:noProof/>
        </w:rPr>
        <w:t xml:space="preserve">This </w:t>
      </w:r>
      <w:r w:rsidRPr="00035265">
        <w:rPr>
          <w:noProof/>
        </w:rPr>
        <w:t xml:space="preserve">job-search event </w:t>
      </w:r>
      <w:r w:rsidR="008B539E">
        <w:rPr>
          <w:noProof/>
        </w:rPr>
        <w:t>bring</w:t>
      </w:r>
      <w:r w:rsidR="003F5354">
        <w:rPr>
          <w:noProof/>
        </w:rPr>
        <w:t>s</w:t>
      </w:r>
      <w:r w:rsidR="008B539E">
        <w:rPr>
          <w:noProof/>
        </w:rPr>
        <w:t xml:space="preserve"> </w:t>
      </w:r>
      <w:r w:rsidRPr="00035265">
        <w:rPr>
          <w:noProof/>
        </w:rPr>
        <w:t>together jobseekers and employers that seek to fill their vacancies. Before attending the event, counselling sessions help to prepare the meeting with potential employers</w:t>
      </w:r>
      <w:r w:rsidR="002A2C83">
        <w:rPr>
          <w:noProof/>
        </w:rPr>
        <w:t>.</w:t>
      </w:r>
    </w:p>
    <w:p w:rsidR="002A2C83" w:rsidRDefault="006534C4" w:rsidP="002A2C83">
      <w:pPr>
        <w:pStyle w:val="Tiret1"/>
        <w:rPr>
          <w:noProof/>
        </w:rPr>
      </w:pPr>
      <w:r>
        <w:rPr>
          <w:noProof/>
          <w:u w:val="single"/>
        </w:rPr>
        <w:t>Promotion of enterpreneurship</w:t>
      </w:r>
      <w:r w:rsidR="002A2C83">
        <w:rPr>
          <w:noProof/>
        </w:rPr>
        <w:t xml:space="preserve">: </w:t>
      </w:r>
      <w:r w:rsidRPr="006534C4">
        <w:rPr>
          <w:noProof/>
        </w:rPr>
        <w:t>The measure aims at workers who wish to launch their own business. It will include a diagnosis and guidance phase, awareness-raising actions on entrepreneurship, information sessions on the potential for business creation through territorial economic diagnoses and networking with relevant entrepreneurs and with certified coaches in business creation.</w:t>
      </w:r>
    </w:p>
    <w:p w:rsidR="002A2C83" w:rsidRDefault="00261BA9" w:rsidP="002A2C83">
      <w:pPr>
        <w:pStyle w:val="Tiret1"/>
        <w:rPr>
          <w:noProof/>
        </w:rPr>
      </w:pPr>
      <w:r w:rsidRPr="00261BA9">
        <w:rPr>
          <w:noProof/>
          <w:u w:val="single"/>
        </w:rPr>
        <w:t xml:space="preserve">Contribution to business </w:t>
      </w:r>
      <w:r w:rsidR="006B152D">
        <w:rPr>
          <w:noProof/>
          <w:u w:val="single"/>
        </w:rPr>
        <w:t>start-up</w:t>
      </w:r>
      <w:r w:rsidR="002A2C83">
        <w:rPr>
          <w:noProof/>
        </w:rPr>
        <w:t xml:space="preserve">: </w:t>
      </w:r>
      <w:r w:rsidRPr="00261BA9">
        <w:rPr>
          <w:noProof/>
        </w:rPr>
        <w:t>The workers who start a business or a</w:t>
      </w:r>
      <w:r w:rsidR="006B152D">
        <w:rPr>
          <w:noProof/>
        </w:rPr>
        <w:t xml:space="preserve"> self-employed</w:t>
      </w:r>
      <w:r w:rsidRPr="00261BA9">
        <w:rPr>
          <w:noProof/>
        </w:rPr>
        <w:t xml:space="preserve"> activity will receive a contribution up to EUR</w:t>
      </w:r>
      <w:r w:rsidR="006B152D">
        <w:rPr>
          <w:noProof/>
        </w:rPr>
        <w:t> </w:t>
      </w:r>
      <w:r w:rsidRPr="00261BA9">
        <w:rPr>
          <w:noProof/>
        </w:rPr>
        <w:t>15</w:t>
      </w:r>
      <w:r w:rsidR="006B152D">
        <w:rPr>
          <w:noProof/>
        </w:rPr>
        <w:t> </w:t>
      </w:r>
      <w:r w:rsidRPr="00261BA9">
        <w:rPr>
          <w:noProof/>
        </w:rPr>
        <w:t xml:space="preserve">000. The contribution will be paid in two </w:t>
      </w:r>
      <w:r w:rsidR="00843A99" w:rsidRPr="00261BA9">
        <w:rPr>
          <w:noProof/>
        </w:rPr>
        <w:t>instalments</w:t>
      </w:r>
      <w:r w:rsidRPr="00261BA9">
        <w:rPr>
          <w:noProof/>
        </w:rPr>
        <w:t>, after proving the start and development of the business activity with supporting documents</w:t>
      </w:r>
      <w:r w:rsidR="002A2C83">
        <w:rPr>
          <w:noProof/>
        </w:rPr>
        <w:t>.</w:t>
      </w:r>
    </w:p>
    <w:p w:rsidR="002A2C83" w:rsidRDefault="004C617C" w:rsidP="001A62D7">
      <w:pPr>
        <w:pStyle w:val="Tiret1"/>
        <w:rPr>
          <w:noProof/>
        </w:rPr>
      </w:pPr>
      <w:r w:rsidRPr="004C617C">
        <w:rPr>
          <w:noProof/>
          <w:u w:val="single"/>
        </w:rPr>
        <w:t>Incentives and allowances</w:t>
      </w:r>
      <w:r w:rsidR="002A2C83">
        <w:rPr>
          <w:noProof/>
        </w:rPr>
        <w:t xml:space="preserve">: </w:t>
      </w:r>
      <w:r w:rsidRPr="004C617C">
        <w:rPr>
          <w:b/>
          <w:bCs/>
          <w:noProof/>
        </w:rPr>
        <w:t>(1)</w:t>
      </w:r>
      <w:r>
        <w:rPr>
          <w:b/>
          <w:bCs/>
          <w:noProof/>
        </w:rPr>
        <w:t> </w:t>
      </w:r>
      <w:r w:rsidRPr="004C617C">
        <w:rPr>
          <w:b/>
          <w:bCs/>
          <w:noProof/>
        </w:rPr>
        <w:t>Job-search allowances.</w:t>
      </w:r>
      <w:r w:rsidRPr="004C617C">
        <w:rPr>
          <w:noProof/>
        </w:rPr>
        <w:t xml:space="preserve"> Workers will receive EUR</w:t>
      </w:r>
      <w:r>
        <w:rPr>
          <w:noProof/>
        </w:rPr>
        <w:t> </w:t>
      </w:r>
      <w:r w:rsidRPr="004C617C">
        <w:rPr>
          <w:noProof/>
        </w:rPr>
        <w:t xml:space="preserve">2 per hour of effective participation in certain job-search activities entitled to the allowance. </w:t>
      </w:r>
      <w:r w:rsidRPr="004C617C">
        <w:rPr>
          <w:b/>
          <w:bCs/>
          <w:noProof/>
        </w:rPr>
        <w:t>(2)</w:t>
      </w:r>
      <w:r>
        <w:rPr>
          <w:b/>
          <w:bCs/>
          <w:noProof/>
        </w:rPr>
        <w:t> </w:t>
      </w:r>
      <w:r w:rsidRPr="004C617C">
        <w:rPr>
          <w:b/>
          <w:bCs/>
          <w:noProof/>
        </w:rPr>
        <w:t>Bonus for improving IT skills.</w:t>
      </w:r>
      <w:r w:rsidRPr="004C617C">
        <w:rPr>
          <w:noProof/>
        </w:rPr>
        <w:t xml:space="preserve"> Workers who follow both the module for access to and </w:t>
      </w:r>
      <w:r w:rsidR="00DA22A3">
        <w:rPr>
          <w:noProof/>
        </w:rPr>
        <w:t xml:space="preserve">the one to </w:t>
      </w:r>
      <w:r w:rsidRPr="004C617C">
        <w:rPr>
          <w:noProof/>
        </w:rPr>
        <w:t>strengthen digital autonomy will receive a lump sum of EUR</w:t>
      </w:r>
      <w:r>
        <w:rPr>
          <w:noProof/>
        </w:rPr>
        <w:t> </w:t>
      </w:r>
      <w:r w:rsidRPr="004C617C">
        <w:rPr>
          <w:noProof/>
        </w:rPr>
        <w:t xml:space="preserve">700 conditional on their active participation and completion of the training. The bonus aims to reduce digital illiteracy by encouraging workers to improve their IT skills. </w:t>
      </w:r>
      <w:r w:rsidRPr="004C617C">
        <w:rPr>
          <w:b/>
          <w:bCs/>
          <w:noProof/>
        </w:rPr>
        <w:t>(3)</w:t>
      </w:r>
      <w:r>
        <w:rPr>
          <w:b/>
          <w:bCs/>
          <w:noProof/>
        </w:rPr>
        <w:t> </w:t>
      </w:r>
      <w:r w:rsidRPr="004C617C">
        <w:rPr>
          <w:b/>
          <w:bCs/>
          <w:noProof/>
        </w:rPr>
        <w:t>Return-to-school allowance.</w:t>
      </w:r>
      <w:r w:rsidRPr="004C617C">
        <w:rPr>
          <w:noProof/>
        </w:rPr>
        <w:t xml:space="preserve"> A monthly allowance of EUR</w:t>
      </w:r>
      <w:r>
        <w:rPr>
          <w:noProof/>
        </w:rPr>
        <w:t> </w:t>
      </w:r>
      <w:r w:rsidRPr="004C617C">
        <w:rPr>
          <w:noProof/>
        </w:rPr>
        <w:t xml:space="preserve">350 will be granted to workers who embark on full-time secondary </w:t>
      </w:r>
      <w:r>
        <w:rPr>
          <w:noProof/>
        </w:rPr>
        <w:t>or</w:t>
      </w:r>
      <w:r w:rsidRPr="004C617C">
        <w:rPr>
          <w:noProof/>
        </w:rPr>
        <w:t xml:space="preserve"> tertiary studies, or qualifying training related to acquire the necessary skills for jobs that are in demand and for which recruiting is difficult or linked to critical functions</w:t>
      </w:r>
      <w:r>
        <w:rPr>
          <w:rStyle w:val="FootnoteReference"/>
          <w:noProof/>
        </w:rPr>
        <w:footnoteReference w:id="35"/>
      </w:r>
      <w:r w:rsidRPr="004C617C">
        <w:rPr>
          <w:noProof/>
        </w:rPr>
        <w:t xml:space="preserve">. </w:t>
      </w:r>
      <w:r w:rsidRPr="004C617C">
        <w:rPr>
          <w:b/>
          <w:bCs/>
          <w:noProof/>
        </w:rPr>
        <w:t>(4)</w:t>
      </w:r>
      <w:r>
        <w:rPr>
          <w:b/>
          <w:bCs/>
          <w:noProof/>
        </w:rPr>
        <w:t> </w:t>
      </w:r>
      <w:r w:rsidRPr="004C617C">
        <w:rPr>
          <w:b/>
          <w:bCs/>
          <w:noProof/>
        </w:rPr>
        <w:t>Allowance towards business creation.</w:t>
      </w:r>
      <w:r w:rsidRPr="004C617C">
        <w:rPr>
          <w:noProof/>
        </w:rPr>
        <w:t xml:space="preserve"> To support workers during setting up</w:t>
      </w:r>
      <w:r w:rsidR="00DA22A3">
        <w:rPr>
          <w:noProof/>
        </w:rPr>
        <w:t xml:space="preserve"> </w:t>
      </w:r>
      <w:r w:rsidR="00DA22A3" w:rsidRPr="004C617C">
        <w:rPr>
          <w:noProof/>
        </w:rPr>
        <w:t>business</w:t>
      </w:r>
      <w:r w:rsidRPr="004C617C">
        <w:rPr>
          <w:noProof/>
        </w:rPr>
        <w:t>, a monthly allowance of EUR</w:t>
      </w:r>
      <w:r>
        <w:rPr>
          <w:noProof/>
        </w:rPr>
        <w:t> </w:t>
      </w:r>
      <w:r w:rsidRPr="004C617C">
        <w:rPr>
          <w:noProof/>
        </w:rPr>
        <w:t>350 will be granted for a maximum of 12 months or up to 18 months under certain conditions</w:t>
      </w:r>
      <w:r w:rsidR="002A2C83">
        <w:rPr>
          <w:noProof/>
        </w:rPr>
        <w:t>.</w:t>
      </w:r>
    </w:p>
    <w:p w:rsidR="001A62D7" w:rsidRPr="00C96520" w:rsidRDefault="0063514A" w:rsidP="0063514A">
      <w:pPr>
        <w:pStyle w:val="ManualNumPar1"/>
        <w:rPr>
          <w:noProof/>
        </w:rPr>
      </w:pPr>
      <w:r w:rsidRPr="0063514A">
        <w:rPr>
          <w:noProof/>
        </w:rPr>
        <w:t>31.</w:t>
      </w:r>
      <w:r w:rsidRPr="0063514A">
        <w:rPr>
          <w:noProof/>
        </w:rPr>
        <w:tab/>
      </w:r>
      <w:r w:rsidR="00362E82" w:rsidRPr="00362E82">
        <w:rPr>
          <w:noProof/>
        </w:rPr>
        <w:t>The ICT training and additional support foreseen within vocational guidance services and some of the trainings on offer</w:t>
      </w:r>
      <w:r w:rsidR="002C2B9C">
        <w:rPr>
          <w:noProof/>
        </w:rPr>
        <w:t xml:space="preserve"> and related allowances</w:t>
      </w:r>
      <w:r w:rsidR="00362E82" w:rsidRPr="00362E82">
        <w:rPr>
          <w:noProof/>
        </w:rPr>
        <w:t xml:space="preserve"> </w:t>
      </w:r>
      <w:bookmarkStart w:id="12" w:name="_Hlk211865922"/>
      <w:r w:rsidR="001A62D7" w:rsidRPr="00C946EF">
        <w:rPr>
          <w:noProof/>
        </w:rPr>
        <w:t xml:space="preserve">cater for </w:t>
      </w:r>
      <w:r w:rsidR="001A62D7">
        <w:rPr>
          <w:noProof/>
        </w:rPr>
        <w:t>the dissemination of the skills required in the digital industrial age and in a resource-efficient economy, as required by Article 7(2)</w:t>
      </w:r>
      <w:r w:rsidR="001A62D7" w:rsidRPr="00C946EF">
        <w:rPr>
          <w:noProof/>
        </w:rPr>
        <w:t xml:space="preserve"> of </w:t>
      </w:r>
      <w:r w:rsidR="001A62D7">
        <w:rPr>
          <w:noProof/>
        </w:rPr>
        <w:t>Regulation (EU) 2021/691</w:t>
      </w:r>
      <w:bookmarkEnd w:id="12"/>
      <w:r w:rsidR="001A62D7">
        <w:rPr>
          <w:noProof/>
        </w:rPr>
        <w:t xml:space="preserve">. </w:t>
      </w:r>
    </w:p>
    <w:p w:rsidR="001A62D7" w:rsidRPr="00C96520" w:rsidRDefault="0063514A" w:rsidP="0063514A">
      <w:pPr>
        <w:pStyle w:val="ManualNumPar1"/>
        <w:rPr>
          <w:noProof/>
        </w:rPr>
      </w:pPr>
      <w:bookmarkStart w:id="13" w:name="_Ref372214242"/>
      <w:r w:rsidRPr="0063514A">
        <w:rPr>
          <w:noProof/>
        </w:rPr>
        <w:t>32.</w:t>
      </w:r>
      <w:r w:rsidRPr="0063514A">
        <w:rPr>
          <w:noProof/>
        </w:rPr>
        <w:tab/>
      </w:r>
      <w:r w:rsidR="001A62D7" w:rsidRPr="00C96520">
        <w:rPr>
          <w:noProof/>
        </w:rPr>
        <w:t>The proposed</w:t>
      </w:r>
      <w:r w:rsidR="001A62D7">
        <w:rPr>
          <w:noProof/>
        </w:rPr>
        <w:t xml:space="preserve"> actions</w:t>
      </w:r>
      <w:r w:rsidR="001A62D7" w:rsidRPr="00C96520">
        <w:rPr>
          <w:noProof/>
        </w:rPr>
        <w:t xml:space="preserve">, here described, </w:t>
      </w:r>
      <w:r w:rsidR="001A62D7">
        <w:rPr>
          <w:noProof/>
        </w:rPr>
        <w:t>constitute</w:t>
      </w:r>
      <w:r w:rsidR="001A62D7" w:rsidRPr="00C96520">
        <w:rPr>
          <w:noProof/>
        </w:rPr>
        <w:t xml:space="preserve"> active labour market </w:t>
      </w:r>
      <w:r w:rsidR="001A62D7">
        <w:rPr>
          <w:noProof/>
        </w:rPr>
        <w:t xml:space="preserve">policy </w:t>
      </w:r>
      <w:r w:rsidR="001A62D7" w:rsidRPr="00C96520">
        <w:rPr>
          <w:noProof/>
        </w:rPr>
        <w:t xml:space="preserve">measures within the eligible </w:t>
      </w:r>
      <w:r w:rsidR="001A62D7">
        <w:rPr>
          <w:noProof/>
        </w:rPr>
        <w:t>actions</w:t>
      </w:r>
      <w:r w:rsidR="001A62D7" w:rsidRPr="00C96520">
        <w:rPr>
          <w:noProof/>
        </w:rPr>
        <w:t xml:space="preserve"> set out in Article 7 of </w:t>
      </w:r>
      <w:r w:rsidR="001A62D7">
        <w:rPr>
          <w:noProof/>
        </w:rPr>
        <w:t>Regulation (EU) 2021/691</w:t>
      </w:r>
      <w:r w:rsidR="001A62D7" w:rsidRPr="00C96520">
        <w:rPr>
          <w:noProof/>
        </w:rPr>
        <w:t xml:space="preserve">. </w:t>
      </w:r>
      <w:r w:rsidR="001A62D7">
        <w:rPr>
          <w:noProof/>
        </w:rPr>
        <w:t>These actions</w:t>
      </w:r>
      <w:r w:rsidR="001A62D7" w:rsidRPr="00C96520">
        <w:rPr>
          <w:noProof/>
        </w:rPr>
        <w:t xml:space="preserve"> do not substitute passive social protection measures. </w:t>
      </w:r>
    </w:p>
    <w:p w:rsidR="001A62D7" w:rsidRDefault="0063514A" w:rsidP="0063514A">
      <w:pPr>
        <w:pStyle w:val="ManualNumPar1"/>
        <w:rPr>
          <w:noProof/>
        </w:rPr>
      </w:pPr>
      <w:r w:rsidRPr="0063514A">
        <w:rPr>
          <w:noProof/>
        </w:rPr>
        <w:t>33.</w:t>
      </w:r>
      <w:r w:rsidRPr="0063514A">
        <w:rPr>
          <w:noProof/>
        </w:rPr>
        <w:tab/>
      </w:r>
      <w:r w:rsidR="00A6765B">
        <w:rPr>
          <w:noProof/>
        </w:rPr>
        <w:t>Belgium</w:t>
      </w:r>
      <w:r w:rsidR="001A62D7">
        <w:rPr>
          <w:noProof/>
        </w:rPr>
        <w:t xml:space="preserve"> has provided the required information on measures that are mandatory for the enterprise concerned by virtue of national law or pursuant to collective agreements. In accordance with Article 9(1) of Regulation (EU) 2021/691, </w:t>
      </w:r>
      <w:r w:rsidR="00A6765B">
        <w:rPr>
          <w:noProof/>
        </w:rPr>
        <w:t>Belgium</w:t>
      </w:r>
      <w:r w:rsidR="001A62D7">
        <w:rPr>
          <w:noProof/>
        </w:rPr>
        <w:t xml:space="preserve"> has confirmed that a financial contribution from the EGF will not replace such measures.</w:t>
      </w:r>
      <w:bookmarkEnd w:id="13"/>
    </w:p>
    <w:p w:rsidR="001A62D7" w:rsidRPr="002730E5" w:rsidRDefault="001A62D7" w:rsidP="001A62D7">
      <w:pPr>
        <w:pStyle w:val="ManualHeading3"/>
        <w:rPr>
          <w:noProof/>
        </w:rPr>
      </w:pPr>
      <w:r w:rsidRPr="002730E5">
        <w:rPr>
          <w:noProof/>
        </w:rPr>
        <w:t>Estimated budget</w:t>
      </w:r>
    </w:p>
    <w:p w:rsidR="001A62D7" w:rsidRDefault="0063514A" w:rsidP="0063514A">
      <w:pPr>
        <w:pStyle w:val="ManualNumPar1"/>
        <w:rPr>
          <w:noProof/>
        </w:rPr>
      </w:pPr>
      <w:r w:rsidRPr="0063514A">
        <w:rPr>
          <w:noProof/>
        </w:rPr>
        <w:t>34.</w:t>
      </w:r>
      <w:r w:rsidRPr="0063514A">
        <w:rPr>
          <w:noProof/>
        </w:rPr>
        <w:tab/>
      </w:r>
      <w:r w:rsidR="001A62D7">
        <w:rPr>
          <w:noProof/>
        </w:rPr>
        <w:t>The estimated total costs are EUR </w:t>
      </w:r>
      <w:r w:rsidR="00DC7444">
        <w:rPr>
          <w:noProof/>
        </w:rPr>
        <w:t>8 856 030</w:t>
      </w:r>
      <w:r w:rsidR="001A62D7">
        <w:rPr>
          <w:noProof/>
        </w:rPr>
        <w:t>, comprising expenditure for personalised services of EUR </w:t>
      </w:r>
      <w:r w:rsidR="00DC7444">
        <w:rPr>
          <w:noProof/>
        </w:rPr>
        <w:t>8 738 968</w:t>
      </w:r>
      <w:r w:rsidR="001A62D7">
        <w:rPr>
          <w:rFonts w:eastAsia="Calibri"/>
          <w:noProof/>
        </w:rPr>
        <w:t xml:space="preserve"> </w:t>
      </w:r>
      <w:r w:rsidR="001A62D7">
        <w:rPr>
          <w:noProof/>
        </w:rPr>
        <w:t>and expenditure for preparatory, management, information and publicity, control and reporting activities of EUR </w:t>
      </w:r>
      <w:r w:rsidR="00D6013C">
        <w:rPr>
          <w:noProof/>
        </w:rPr>
        <w:t>117 062</w:t>
      </w:r>
      <w:r w:rsidR="001A62D7">
        <w:rPr>
          <w:noProof/>
        </w:rPr>
        <w:t>.</w:t>
      </w:r>
    </w:p>
    <w:p w:rsidR="001A62D7" w:rsidRDefault="0063514A" w:rsidP="0063514A">
      <w:pPr>
        <w:pStyle w:val="ManualNumPar1"/>
        <w:rPr>
          <w:noProof/>
        </w:rPr>
      </w:pPr>
      <w:bookmarkStart w:id="14" w:name="_Ref372550770"/>
      <w:r w:rsidRPr="0063514A">
        <w:rPr>
          <w:noProof/>
        </w:rPr>
        <w:t>35.</w:t>
      </w:r>
      <w:r w:rsidRPr="0063514A">
        <w:rPr>
          <w:noProof/>
        </w:rPr>
        <w:tab/>
      </w:r>
      <w:r w:rsidR="001A62D7">
        <w:rPr>
          <w:noProof/>
        </w:rPr>
        <w:t>The total financial contribution requested from the EGF is EUR </w:t>
      </w:r>
      <w:r w:rsidR="00DC7444">
        <w:rPr>
          <w:noProof/>
        </w:rPr>
        <w:t>7 527 625</w:t>
      </w:r>
      <w:r w:rsidR="001A62D7">
        <w:rPr>
          <w:noProof/>
        </w:rPr>
        <w:t xml:space="preserve"> (</w:t>
      </w:r>
      <w:r w:rsidR="00D6013C">
        <w:rPr>
          <w:noProof/>
        </w:rPr>
        <w:t>85</w:t>
      </w:r>
      <w:r w:rsidR="001A62D7">
        <w:rPr>
          <w:noProof/>
        </w:rPr>
        <w:t> % of total costs).</w:t>
      </w:r>
      <w:bookmarkEnd w:id="14"/>
    </w:p>
    <w:p w:rsidR="001A62D7" w:rsidRPr="007F59AB" w:rsidRDefault="0063514A" w:rsidP="0063514A">
      <w:pPr>
        <w:pStyle w:val="ManualNumPar1"/>
        <w:rPr>
          <w:noProof/>
        </w:rPr>
      </w:pPr>
      <w:r w:rsidRPr="0063514A">
        <w:rPr>
          <w:noProof/>
        </w:rPr>
        <w:t>36.</w:t>
      </w:r>
      <w:r w:rsidRPr="0063514A">
        <w:rPr>
          <w:noProof/>
        </w:rPr>
        <w:tab/>
      </w:r>
      <w:r w:rsidR="001A62D7" w:rsidRPr="00281459">
        <w:rPr>
          <w:noProof/>
        </w:rPr>
        <w:t>Pursuant to Article 8(7), point (m),</w:t>
      </w:r>
      <w:r w:rsidR="001A62D7">
        <w:rPr>
          <w:noProof/>
        </w:rPr>
        <w:t xml:space="preserve"> of Regulation (EU) 2021/691,</w:t>
      </w:r>
      <w:r w:rsidR="001A62D7" w:rsidRPr="00281459">
        <w:rPr>
          <w:noProof/>
        </w:rPr>
        <w:t xml:space="preserve"> </w:t>
      </w:r>
      <w:r w:rsidR="00AD6693">
        <w:rPr>
          <w:noProof/>
        </w:rPr>
        <w:t>Belgium</w:t>
      </w:r>
      <w:r w:rsidR="001A62D7" w:rsidRPr="00281459">
        <w:rPr>
          <w:noProof/>
        </w:rPr>
        <w:t xml:space="preserve"> has specified that the </w:t>
      </w:r>
      <w:r w:rsidR="001A62D7" w:rsidRPr="00C20132">
        <w:rPr>
          <w:noProof/>
        </w:rPr>
        <w:t xml:space="preserve">national pre-financing </w:t>
      </w:r>
      <w:r w:rsidR="001A62D7">
        <w:rPr>
          <w:noProof/>
        </w:rPr>
        <w:t>and</w:t>
      </w:r>
      <w:r w:rsidR="001A62D7" w:rsidRPr="00C20132">
        <w:rPr>
          <w:noProof/>
        </w:rPr>
        <w:t xml:space="preserve"> co-funding </w:t>
      </w:r>
      <w:r w:rsidR="001A62D7">
        <w:rPr>
          <w:noProof/>
        </w:rPr>
        <w:t xml:space="preserve">is provided by </w:t>
      </w:r>
      <w:r w:rsidR="00A6765B">
        <w:rPr>
          <w:noProof/>
        </w:rPr>
        <w:t>Actiris, Le Forem</w:t>
      </w:r>
      <w:r w:rsidR="002C2B9C">
        <w:rPr>
          <w:noProof/>
        </w:rPr>
        <w:t>,</w:t>
      </w:r>
      <w:r w:rsidR="00A6765B">
        <w:rPr>
          <w:noProof/>
        </w:rPr>
        <w:t xml:space="preserve"> and </w:t>
      </w:r>
      <w:r w:rsidR="00DF579A" w:rsidRPr="00DF579A">
        <w:rPr>
          <w:noProof/>
        </w:rPr>
        <w:t>Vlaamse Dienst voor Arbeidsbemiddeling en Beroepsopleiding</w:t>
      </w:r>
      <w:r w:rsidR="001A62D7">
        <w:rPr>
          <w:noProof/>
        </w:rPr>
        <w: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6E2470" w:rsidTr="001D5990">
        <w:tc>
          <w:tcPr>
            <w:tcW w:w="4644" w:type="dxa"/>
            <w:shd w:val="clear" w:color="auto" w:fill="auto"/>
            <w:vAlign w:val="center"/>
          </w:tcPr>
          <w:p w:rsidR="001A62D7" w:rsidRPr="006E2470" w:rsidRDefault="001A62D7" w:rsidP="001D5990">
            <w:pPr>
              <w:spacing w:before="60" w:after="60"/>
              <w:jc w:val="center"/>
              <w:rPr>
                <w:rFonts w:eastAsia="Times New Roman"/>
                <w:noProof/>
                <w:sz w:val="22"/>
              </w:rPr>
            </w:pPr>
            <w:bookmarkStart w:id="15" w:name="_Hlk213835031"/>
            <w:r>
              <w:rPr>
                <w:rFonts w:eastAsia="Times New Roman"/>
                <w:noProof/>
                <w:sz w:val="22"/>
              </w:rPr>
              <w:t>Measures</w:t>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number of participants</w:t>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cost per participant</w:t>
            </w:r>
            <w:r w:rsidRPr="006E2470">
              <w:rPr>
                <w:rFonts w:eastAsia="Times New Roman"/>
                <w:noProof/>
                <w:sz w:val="22"/>
              </w:rPr>
              <w:br/>
            </w:r>
            <w:r w:rsidRPr="006E2470">
              <w:rPr>
                <w:rFonts w:eastAsia="Times New Roman"/>
                <w:i/>
                <w:noProof/>
                <w:sz w:val="22"/>
              </w:rPr>
              <w:t>(EUR)</w:t>
            </w:r>
            <w:r>
              <w:rPr>
                <w:rStyle w:val="FootnoteReference"/>
                <w:rFonts w:eastAsia="Times New Roman"/>
                <w:i/>
                <w:noProof/>
                <w:sz w:val="22"/>
              </w:rPr>
              <w:footnoteReference w:id="36"/>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total costs</w:t>
            </w:r>
          </w:p>
          <w:p w:rsidR="001A62D7" w:rsidRPr="006E2470" w:rsidRDefault="001A62D7" w:rsidP="001D5990">
            <w:pPr>
              <w:spacing w:before="60" w:after="60"/>
              <w:jc w:val="center"/>
              <w:rPr>
                <w:rFonts w:eastAsia="Times New Roman"/>
                <w:noProof/>
                <w:sz w:val="22"/>
              </w:rPr>
            </w:pPr>
            <w:r w:rsidRPr="006E2470">
              <w:rPr>
                <w:rFonts w:eastAsia="Times New Roman"/>
                <w:i/>
                <w:noProof/>
                <w:sz w:val="22"/>
              </w:rPr>
              <w:t>(EUR)</w:t>
            </w:r>
            <w:r>
              <w:rPr>
                <w:rStyle w:val="FootnoteReference"/>
                <w:rFonts w:eastAsia="Times New Roman"/>
                <w:i/>
                <w:noProof/>
                <w:sz w:val="22"/>
              </w:rPr>
              <w:footnoteReference w:id="37"/>
            </w:r>
            <w:r w:rsidRPr="006E2470">
              <w:rPr>
                <w:rFonts w:eastAsia="Times New Roman"/>
                <w:i/>
                <w:noProof/>
                <w:sz w:val="22"/>
              </w:rPr>
              <w:t xml:space="preserve"> </w:t>
            </w:r>
          </w:p>
        </w:tc>
      </w:tr>
      <w:tr w:rsidR="001A62D7" w:rsidRPr="006E2470" w:rsidTr="001D5990">
        <w:tc>
          <w:tcPr>
            <w:tcW w:w="9288" w:type="dxa"/>
            <w:gridSpan w:val="4"/>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Personalised services (</w:t>
            </w:r>
            <w:r>
              <w:rPr>
                <w:rFonts w:eastAsia="Times New Roman"/>
                <w:noProof/>
                <w:sz w:val="22"/>
              </w:rPr>
              <w:t>measures</w:t>
            </w:r>
            <w:r w:rsidRPr="006E2470">
              <w:rPr>
                <w:rFonts w:eastAsia="Times New Roman"/>
                <w:noProof/>
                <w:sz w:val="22"/>
              </w:rPr>
              <w:t xml:space="preserve"> under Article</w:t>
            </w:r>
            <w:r>
              <w:rPr>
                <w:rFonts w:eastAsia="Times New Roman"/>
                <w:noProof/>
                <w:sz w:val="22"/>
              </w:rPr>
              <w:t> 7(2</w:t>
            </w:r>
            <w:r w:rsidRPr="006E2470">
              <w:rPr>
                <w:rFonts w:eastAsia="Times New Roman"/>
                <w:noProof/>
                <w:sz w:val="22"/>
              </w:rPr>
              <w:t>)</w:t>
            </w:r>
            <w:r>
              <w:rPr>
                <w:rFonts w:eastAsia="Times New Roman"/>
                <w:noProof/>
                <w:sz w:val="22"/>
              </w:rPr>
              <w:t xml:space="preserve">, </w:t>
            </w:r>
            <w:r>
              <w:rPr>
                <w:noProof/>
              </w:rPr>
              <w:t>second subparagraph</w:t>
            </w:r>
            <w:r>
              <w:rPr>
                <w:rFonts w:eastAsia="Times New Roman"/>
                <w:noProof/>
                <w:sz w:val="22"/>
              </w:rPr>
              <w:t xml:space="preserve">, point </w:t>
            </w:r>
            <w:r w:rsidRPr="006E2470">
              <w:rPr>
                <w:rFonts w:eastAsia="Times New Roman"/>
                <w:noProof/>
                <w:sz w:val="22"/>
              </w:rPr>
              <w:t>(a)</w:t>
            </w:r>
            <w:r>
              <w:rPr>
                <w:rFonts w:eastAsia="Times New Roman"/>
                <w:noProof/>
                <w:sz w:val="22"/>
              </w:rPr>
              <w:t>,</w:t>
            </w:r>
            <w:r w:rsidRPr="006E2470">
              <w:rPr>
                <w:rFonts w:eastAsia="Times New Roman"/>
                <w:noProof/>
                <w:sz w:val="22"/>
              </w:rPr>
              <w:t xml:space="preserve"> of </w:t>
            </w:r>
            <w:r>
              <w:rPr>
                <w:rFonts w:eastAsia="Times New Roman"/>
                <w:noProof/>
                <w:sz w:val="22"/>
              </w:rPr>
              <w:t>Regulation (EU) 2021/691</w:t>
            </w:r>
            <w:r w:rsidRPr="006E2470">
              <w:rPr>
                <w:rFonts w:eastAsia="Times New Roman"/>
                <w:noProof/>
                <w:sz w:val="22"/>
              </w:rPr>
              <w:t>)</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A6765B" w:rsidP="006534C4">
            <w:pPr>
              <w:spacing w:before="60" w:after="60"/>
              <w:jc w:val="left"/>
              <w:rPr>
                <w:noProof/>
              </w:rPr>
            </w:pPr>
            <w:r w:rsidRPr="00A6765B">
              <w:rPr>
                <w:noProof/>
              </w:rPr>
              <w:t>Information services, vocational counselling and guidance, and placement services</w:t>
            </w:r>
            <w:r w:rsidR="006534C4">
              <w:rPr>
                <w:noProof/>
              </w:rPr>
              <w:br/>
              <w:t>(</w:t>
            </w:r>
            <w:r w:rsidR="006534C4" w:rsidRPr="006534C4">
              <w:rPr>
                <w:i/>
                <w:iCs/>
                <w:noProof/>
              </w:rPr>
              <w:t>assistance, orientation, and mobilisation / Link / taskforce</w:t>
            </w:r>
            <w:r w:rsidR="001A3D9D">
              <w:rPr>
                <w:i/>
                <w:iCs/>
                <w:noProof/>
              </w:rPr>
              <w:t>, coaching and job placement</w:t>
            </w:r>
            <w:r w:rsidR="006534C4" w:rsidRPr="006534C4">
              <w:rPr>
                <w:i/>
                <w:iCs/>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857E8C" w:rsidP="001D5990">
            <w:pPr>
              <w:spacing w:before="60" w:after="60"/>
              <w:jc w:val="center"/>
              <w:rPr>
                <w:noProof/>
              </w:rPr>
            </w:pPr>
            <w:r>
              <w:rPr>
                <w:noProof/>
              </w:rPr>
              <w:t>2 851</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857E8C" w:rsidP="001D5990">
            <w:pPr>
              <w:spacing w:before="60" w:after="60"/>
              <w:jc w:val="center"/>
              <w:rPr>
                <w:noProof/>
              </w:rPr>
            </w:pPr>
            <w:r>
              <w:rPr>
                <w:noProof/>
              </w:rPr>
              <w:t>1 789</w:t>
            </w:r>
          </w:p>
        </w:tc>
        <w:tc>
          <w:tcPr>
            <w:tcW w:w="1548" w:type="dxa"/>
            <w:tcBorders>
              <w:top w:val="single" w:sz="4" w:space="0" w:color="auto"/>
              <w:left w:val="single" w:sz="4" w:space="0" w:color="auto"/>
              <w:bottom w:val="single" w:sz="4" w:space="0" w:color="auto"/>
              <w:right w:val="nil"/>
            </w:tcBorders>
            <w:vAlign w:val="center"/>
            <w:hideMark/>
          </w:tcPr>
          <w:p w:rsidR="001A62D7" w:rsidRDefault="00857E8C" w:rsidP="001D5990">
            <w:pPr>
              <w:spacing w:before="60" w:after="60"/>
              <w:jc w:val="center"/>
              <w:rPr>
                <w:noProof/>
              </w:rPr>
            </w:pPr>
            <w:r>
              <w:rPr>
                <w:noProof/>
              </w:rPr>
              <w:t>5 099 122</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684CAB" w:rsidP="001D5990">
            <w:pPr>
              <w:spacing w:before="60" w:after="60"/>
              <w:jc w:val="left"/>
              <w:rPr>
                <w:noProof/>
              </w:rPr>
            </w:pPr>
            <w:r>
              <w:rPr>
                <w:noProof/>
              </w:rPr>
              <w:t>T</w:t>
            </w:r>
            <w:r w:rsidR="00843A99">
              <w:rPr>
                <w:noProof/>
              </w:rPr>
              <w:t>raining an</w:t>
            </w:r>
            <w:r w:rsidR="00857E8C">
              <w:rPr>
                <w:noProof/>
              </w:rPr>
              <w:t>d</w:t>
            </w:r>
            <w:r w:rsidR="00843A99">
              <w:rPr>
                <w:noProof/>
              </w:rPr>
              <w:t xml:space="preserve"> retraining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857E8C" w:rsidP="001D5990">
            <w:pPr>
              <w:spacing w:before="60" w:after="60"/>
              <w:jc w:val="center"/>
              <w:rPr>
                <w:noProof/>
              </w:rPr>
            </w:pPr>
            <w:r>
              <w:rPr>
                <w:noProof/>
              </w:rPr>
              <w:t>900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857E8C" w:rsidP="001D5990">
            <w:pPr>
              <w:spacing w:before="60" w:after="60"/>
              <w:jc w:val="center"/>
              <w:rPr>
                <w:noProof/>
              </w:rPr>
            </w:pPr>
            <w:r>
              <w:rPr>
                <w:noProof/>
              </w:rPr>
              <w:t>2 417</w:t>
            </w:r>
          </w:p>
        </w:tc>
        <w:tc>
          <w:tcPr>
            <w:tcW w:w="1548" w:type="dxa"/>
            <w:tcBorders>
              <w:top w:val="single" w:sz="4" w:space="0" w:color="auto"/>
              <w:left w:val="single" w:sz="4" w:space="0" w:color="auto"/>
              <w:bottom w:val="single" w:sz="4" w:space="0" w:color="auto"/>
              <w:right w:val="nil"/>
            </w:tcBorders>
            <w:vAlign w:val="center"/>
            <w:hideMark/>
          </w:tcPr>
          <w:p w:rsidR="001A62D7" w:rsidRDefault="00857E8C" w:rsidP="001D5990">
            <w:pPr>
              <w:spacing w:before="60" w:after="60"/>
              <w:jc w:val="center"/>
              <w:rPr>
                <w:noProof/>
              </w:rPr>
            </w:pPr>
            <w:r>
              <w:rPr>
                <w:noProof/>
              </w:rPr>
              <w:t>2 175 495</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857E8C" w:rsidP="001D5990">
            <w:pPr>
              <w:spacing w:before="60" w:after="60"/>
              <w:jc w:val="left"/>
              <w:rPr>
                <w:noProof/>
              </w:rPr>
            </w:pPr>
            <w:r>
              <w:rPr>
                <w:noProof/>
              </w:rPr>
              <w:t>Job day</w:t>
            </w:r>
            <w:r w:rsidR="001A62D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857E8C" w:rsidP="001D5990">
            <w:pPr>
              <w:spacing w:before="60" w:after="60"/>
              <w:jc w:val="center"/>
              <w:rPr>
                <w:noProof/>
              </w:rPr>
            </w:pPr>
            <w:r>
              <w:rPr>
                <w:noProof/>
              </w:rPr>
              <w:t>1 181</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857E8C" w:rsidP="001D5990">
            <w:pPr>
              <w:spacing w:before="60" w:after="60"/>
              <w:jc w:val="center"/>
              <w:rPr>
                <w:noProof/>
              </w:rPr>
            </w:pPr>
            <w:r>
              <w:rPr>
                <w:noProof/>
              </w:rPr>
              <w:t>83</w:t>
            </w:r>
          </w:p>
        </w:tc>
        <w:tc>
          <w:tcPr>
            <w:tcW w:w="1548" w:type="dxa"/>
            <w:tcBorders>
              <w:top w:val="single" w:sz="4" w:space="0" w:color="auto"/>
              <w:left w:val="single" w:sz="4" w:space="0" w:color="auto"/>
              <w:bottom w:val="single" w:sz="4" w:space="0" w:color="auto"/>
              <w:right w:val="nil"/>
            </w:tcBorders>
            <w:vAlign w:val="center"/>
            <w:hideMark/>
          </w:tcPr>
          <w:p w:rsidR="001A62D7" w:rsidRDefault="00857E8C" w:rsidP="001D5990">
            <w:pPr>
              <w:spacing w:before="60" w:after="60"/>
              <w:jc w:val="center"/>
              <w:rPr>
                <w:noProof/>
              </w:rPr>
            </w:pPr>
            <w:r>
              <w:rPr>
                <w:noProof/>
              </w:rPr>
              <w:t>97 881</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857E8C" w:rsidP="001D5990">
            <w:pPr>
              <w:spacing w:before="60" w:after="60"/>
              <w:jc w:val="left"/>
              <w:rPr>
                <w:noProof/>
              </w:rPr>
            </w:pPr>
            <w:r w:rsidRPr="00857E8C">
              <w:rPr>
                <w:noProof/>
              </w:rPr>
              <w:t>Promotion of enterpreneurship</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EF7B8C" w:rsidP="001D5990">
            <w:pPr>
              <w:spacing w:before="60" w:after="60"/>
              <w:jc w:val="center"/>
              <w:rPr>
                <w:noProof/>
              </w:rPr>
            </w:pPr>
            <w:r>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EF7B8C" w:rsidP="001D5990">
            <w:pPr>
              <w:spacing w:before="60" w:after="60"/>
              <w:jc w:val="center"/>
              <w:rPr>
                <w:noProof/>
              </w:rPr>
            </w:pPr>
            <w:r>
              <w:rPr>
                <w:noProof/>
              </w:rPr>
              <w:t>2 </w:t>
            </w:r>
            <w:r w:rsidR="00B4707B">
              <w:rPr>
                <w:noProof/>
              </w:rPr>
              <w:t>55</w:t>
            </w:r>
            <w:r>
              <w:rPr>
                <w:noProof/>
              </w:rPr>
              <w:t>7</w:t>
            </w:r>
          </w:p>
        </w:tc>
        <w:tc>
          <w:tcPr>
            <w:tcW w:w="1548" w:type="dxa"/>
            <w:tcBorders>
              <w:top w:val="single" w:sz="4" w:space="0" w:color="auto"/>
              <w:left w:val="single" w:sz="4" w:space="0" w:color="auto"/>
              <w:bottom w:val="single" w:sz="4" w:space="0" w:color="auto"/>
              <w:right w:val="nil"/>
            </w:tcBorders>
            <w:vAlign w:val="center"/>
            <w:hideMark/>
          </w:tcPr>
          <w:p w:rsidR="001A62D7" w:rsidRDefault="00EF7B8C" w:rsidP="001D5990">
            <w:pPr>
              <w:spacing w:before="60" w:after="60"/>
              <w:jc w:val="center"/>
              <w:rPr>
                <w:noProof/>
              </w:rPr>
            </w:pPr>
            <w:r>
              <w:rPr>
                <w:noProof/>
              </w:rPr>
              <w:t>127 840</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857E8C" w:rsidP="001D5990">
            <w:pPr>
              <w:spacing w:before="60" w:after="60"/>
              <w:jc w:val="left"/>
              <w:rPr>
                <w:noProof/>
              </w:rPr>
            </w:pPr>
            <w:r w:rsidRPr="00857E8C">
              <w:rPr>
                <w:noProof/>
              </w:rPr>
              <w:t>Contribution to business start-up</w:t>
            </w:r>
            <w:r w:rsidR="001A62D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857E8C" w:rsidP="001D5990">
            <w:pPr>
              <w:spacing w:before="60" w:after="60"/>
              <w:jc w:val="center"/>
              <w:rPr>
                <w:noProof/>
              </w:rPr>
            </w:pPr>
            <w:r>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857E8C" w:rsidP="001D5990">
            <w:pPr>
              <w:spacing w:before="60" w:after="60"/>
              <w:jc w:val="center"/>
              <w:rPr>
                <w:noProof/>
              </w:rPr>
            </w:pPr>
            <w:r>
              <w:rPr>
                <w:noProof/>
              </w:rPr>
              <w:t>10 000</w:t>
            </w:r>
          </w:p>
        </w:tc>
        <w:tc>
          <w:tcPr>
            <w:tcW w:w="1548" w:type="dxa"/>
            <w:tcBorders>
              <w:top w:val="single" w:sz="4" w:space="0" w:color="auto"/>
              <w:left w:val="single" w:sz="4" w:space="0" w:color="auto"/>
              <w:bottom w:val="single" w:sz="4" w:space="0" w:color="auto"/>
              <w:right w:val="nil"/>
            </w:tcBorders>
            <w:vAlign w:val="center"/>
            <w:hideMark/>
          </w:tcPr>
          <w:p w:rsidR="001A62D7" w:rsidRDefault="00857E8C" w:rsidP="001D5990">
            <w:pPr>
              <w:spacing w:before="60" w:after="60"/>
              <w:jc w:val="center"/>
              <w:rPr>
                <w:noProof/>
              </w:rPr>
            </w:pPr>
            <w:r>
              <w:rPr>
                <w:noProof/>
              </w:rPr>
              <w:t>500 000</w:t>
            </w:r>
          </w:p>
        </w:tc>
      </w:tr>
      <w:tr w:rsidR="001A62D7" w:rsidRPr="006E2470" w:rsidTr="001D5990">
        <w:trPr>
          <w:trHeight w:val="398"/>
        </w:trPr>
        <w:tc>
          <w:tcPr>
            <w:tcW w:w="4644" w:type="dxa"/>
            <w:vMerge w:val="restart"/>
            <w:shd w:val="clear" w:color="auto" w:fill="auto"/>
            <w:vAlign w:val="center"/>
          </w:tcPr>
          <w:p w:rsidR="001A62D7" w:rsidRPr="006E2470" w:rsidRDefault="001A62D7" w:rsidP="001D5990">
            <w:pPr>
              <w:spacing w:before="60" w:after="60"/>
              <w:jc w:val="right"/>
              <w:rPr>
                <w:rFonts w:eastAsia="Times New Roman"/>
                <w:noProof/>
                <w:sz w:val="22"/>
              </w:rPr>
            </w:pPr>
            <w:r w:rsidRPr="006E2470">
              <w:rPr>
                <w:rFonts w:eastAsia="Times New Roman"/>
                <w:noProof/>
                <w:sz w:val="22"/>
              </w:rPr>
              <w:t>Sub-total (a):</w:t>
            </w:r>
          </w:p>
          <w:p w:rsidR="001A62D7" w:rsidRPr="006E2470" w:rsidRDefault="001A62D7" w:rsidP="001D5990">
            <w:pPr>
              <w:spacing w:before="60" w:after="60"/>
              <w:jc w:val="right"/>
              <w:rPr>
                <w:rFonts w:eastAsia="Times New Roman"/>
                <w:noProof/>
                <w:sz w:val="22"/>
              </w:rPr>
            </w:pPr>
            <w:r w:rsidRPr="006E2470">
              <w:rPr>
                <w:rFonts w:eastAsia="Times New Roman"/>
                <w:noProof/>
                <w:sz w:val="22"/>
              </w:rPr>
              <w:t>Percentage of the package of personalised services</w:t>
            </w:r>
            <w:r w:rsidR="00D86FB6">
              <w:rPr>
                <w:rFonts w:eastAsia="Times New Roman"/>
                <w:noProof/>
                <w:sz w:val="22"/>
              </w:rPr>
              <w:t>:</w:t>
            </w:r>
          </w:p>
        </w:tc>
        <w:tc>
          <w:tcPr>
            <w:tcW w:w="3096" w:type="dxa"/>
            <w:gridSpan w:val="2"/>
            <w:vMerge w:val="restart"/>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tcBorders>
              <w:bottom w:val="nil"/>
            </w:tcBorders>
            <w:shd w:val="clear" w:color="auto" w:fill="auto"/>
            <w:vAlign w:val="center"/>
          </w:tcPr>
          <w:p w:rsidR="001A62D7" w:rsidRPr="006E2470" w:rsidRDefault="00754A08" w:rsidP="001D5990">
            <w:pPr>
              <w:spacing w:before="60" w:after="60"/>
              <w:jc w:val="center"/>
              <w:rPr>
                <w:rFonts w:eastAsia="Times New Roman"/>
                <w:noProof/>
                <w:sz w:val="22"/>
              </w:rPr>
            </w:pPr>
            <w:r>
              <w:rPr>
                <w:noProof/>
              </w:rPr>
              <w:t>8 000 338</w:t>
            </w:r>
          </w:p>
        </w:tc>
      </w:tr>
      <w:tr w:rsidR="001A62D7" w:rsidRPr="006E2470" w:rsidTr="001D5990">
        <w:trPr>
          <w:trHeight w:val="397"/>
        </w:trPr>
        <w:tc>
          <w:tcPr>
            <w:tcW w:w="4644" w:type="dxa"/>
            <w:vMerge/>
            <w:shd w:val="clear" w:color="auto" w:fill="auto"/>
            <w:vAlign w:val="center"/>
          </w:tcPr>
          <w:p w:rsidR="001A62D7" w:rsidRPr="006E2470"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6E2470"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r w:rsidR="00754A08">
              <w:rPr>
                <w:noProof/>
              </w:rPr>
              <w:t>91,55</w:t>
            </w:r>
            <w:r>
              <w:rPr>
                <w:noProof/>
              </w:rPr>
              <w:t> </w:t>
            </w:r>
            <w:r w:rsidRPr="006E2470">
              <w:rPr>
                <w:rFonts w:eastAsia="Times New Roman"/>
                <w:noProof/>
                <w:sz w:val="22"/>
              </w:rPr>
              <w:t>%)</w:t>
            </w:r>
          </w:p>
        </w:tc>
      </w:tr>
      <w:tr w:rsidR="001A62D7" w:rsidRPr="006E2470" w:rsidTr="001D5990">
        <w:tc>
          <w:tcPr>
            <w:tcW w:w="9288" w:type="dxa"/>
            <w:gridSpan w:val="4"/>
            <w:shd w:val="clear" w:color="auto" w:fill="auto"/>
            <w:vAlign w:val="center"/>
          </w:tcPr>
          <w:p w:rsidR="001A62D7" w:rsidRPr="006E2470" w:rsidRDefault="001A62D7" w:rsidP="001D5990">
            <w:pPr>
              <w:spacing w:before="60" w:after="60"/>
              <w:jc w:val="left"/>
              <w:rPr>
                <w:noProof/>
                <w:sz w:val="22"/>
              </w:rPr>
            </w:pPr>
            <w:r w:rsidRPr="006E2470">
              <w:rPr>
                <w:rFonts w:eastAsia="Times New Roman"/>
                <w:noProof/>
                <w:sz w:val="22"/>
              </w:rPr>
              <w:t>Allowances and incentives (</w:t>
            </w:r>
            <w:r>
              <w:rPr>
                <w:rFonts w:eastAsia="Times New Roman"/>
                <w:noProof/>
                <w:sz w:val="22"/>
              </w:rPr>
              <w:t>measures</w:t>
            </w:r>
            <w:r w:rsidRPr="006E2470">
              <w:rPr>
                <w:rFonts w:eastAsia="Times New Roman"/>
                <w:noProof/>
                <w:sz w:val="22"/>
              </w:rPr>
              <w:t xml:space="preserve"> under Article</w:t>
            </w:r>
            <w:r>
              <w:rPr>
                <w:rFonts w:eastAsia="Times New Roman"/>
                <w:noProof/>
                <w:sz w:val="22"/>
              </w:rPr>
              <w:t> 7(2</w:t>
            </w:r>
            <w:r w:rsidRPr="006E2470">
              <w:rPr>
                <w:rFonts w:eastAsia="Times New Roman"/>
                <w:noProof/>
                <w:sz w:val="22"/>
              </w:rPr>
              <w:t>)</w:t>
            </w:r>
            <w:r>
              <w:rPr>
                <w:rFonts w:eastAsia="Times New Roman"/>
                <w:noProof/>
                <w:sz w:val="22"/>
              </w:rPr>
              <w:t xml:space="preserve">, </w:t>
            </w:r>
            <w:r>
              <w:rPr>
                <w:noProof/>
              </w:rPr>
              <w:t>second subparagraph</w:t>
            </w:r>
            <w:r>
              <w:rPr>
                <w:rFonts w:eastAsia="Times New Roman"/>
                <w:noProof/>
                <w:sz w:val="22"/>
              </w:rPr>
              <w:t xml:space="preserve">, point </w:t>
            </w:r>
            <w:r w:rsidRPr="006E2470">
              <w:rPr>
                <w:rFonts w:eastAsia="Times New Roman"/>
                <w:noProof/>
                <w:sz w:val="22"/>
              </w:rPr>
              <w:t>(b)</w:t>
            </w:r>
            <w:r>
              <w:rPr>
                <w:rFonts w:eastAsia="Times New Roman"/>
                <w:noProof/>
                <w:sz w:val="22"/>
              </w:rPr>
              <w:t>,</w:t>
            </w:r>
            <w:r w:rsidRPr="006E2470">
              <w:rPr>
                <w:rFonts w:eastAsia="Times New Roman"/>
                <w:noProof/>
                <w:sz w:val="22"/>
              </w:rPr>
              <w:t xml:space="preserve"> of </w:t>
            </w:r>
            <w:r>
              <w:rPr>
                <w:rFonts w:eastAsia="Times New Roman"/>
                <w:noProof/>
                <w:sz w:val="22"/>
              </w:rPr>
              <w:t>Regulation (EU) 2021/691</w:t>
            </w:r>
            <w:r w:rsidRPr="006E2470">
              <w:rPr>
                <w:rFonts w:eastAsia="Times New Roman"/>
                <w:noProof/>
                <w:sz w:val="22"/>
              </w:rPr>
              <w:t>)</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63350A" w:rsidP="001D5990">
            <w:pPr>
              <w:spacing w:before="60" w:after="60"/>
              <w:jc w:val="left"/>
              <w:rPr>
                <w:noProof/>
              </w:rPr>
            </w:pPr>
            <w:r>
              <w:rPr>
                <w:noProof/>
              </w:rPr>
              <w:t>Incentives and allowances</w:t>
            </w:r>
            <w:r>
              <w:rPr>
                <w:noProof/>
              </w:rPr>
              <w:br/>
              <w:t>(</w:t>
            </w:r>
            <w:r w:rsidRPr="0063350A">
              <w:rPr>
                <w:i/>
                <w:iCs/>
                <w:noProof/>
              </w:rPr>
              <w:t>job-serch allowance, bonus for improving IT skills, allowance towards business creation, and return to school allowance)</w:t>
            </w:r>
            <w:r w:rsidR="001A62D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857E8C" w:rsidP="001D5990">
            <w:pPr>
              <w:spacing w:before="60" w:after="60"/>
              <w:jc w:val="center"/>
              <w:rPr>
                <w:noProof/>
              </w:rPr>
            </w:pPr>
            <w:r>
              <w:rPr>
                <w:noProof/>
              </w:rPr>
              <w:t>1 367</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B72603" w:rsidP="001D5990">
            <w:pPr>
              <w:spacing w:before="60" w:after="60"/>
              <w:jc w:val="center"/>
              <w:rPr>
                <w:noProof/>
              </w:rPr>
            </w:pPr>
            <w:r>
              <w:rPr>
                <w:noProof/>
              </w:rPr>
              <w:t>540</w:t>
            </w:r>
          </w:p>
        </w:tc>
        <w:tc>
          <w:tcPr>
            <w:tcW w:w="1548" w:type="dxa"/>
            <w:tcBorders>
              <w:top w:val="single" w:sz="4" w:space="0" w:color="auto"/>
              <w:left w:val="single" w:sz="4" w:space="0" w:color="auto"/>
              <w:bottom w:val="single" w:sz="4" w:space="0" w:color="auto"/>
              <w:right w:val="nil"/>
            </w:tcBorders>
            <w:vAlign w:val="center"/>
            <w:hideMark/>
          </w:tcPr>
          <w:p w:rsidR="001A62D7" w:rsidRDefault="00B72603" w:rsidP="001D5990">
            <w:pPr>
              <w:spacing w:before="60" w:after="60"/>
              <w:jc w:val="center"/>
              <w:rPr>
                <w:noProof/>
              </w:rPr>
            </w:pPr>
            <w:r>
              <w:rPr>
                <w:noProof/>
              </w:rPr>
              <w:t>738 630</w:t>
            </w:r>
          </w:p>
        </w:tc>
      </w:tr>
      <w:tr w:rsidR="001A62D7" w:rsidRPr="006E2470" w:rsidTr="001D5990">
        <w:trPr>
          <w:trHeight w:val="203"/>
        </w:trPr>
        <w:tc>
          <w:tcPr>
            <w:tcW w:w="4644" w:type="dxa"/>
            <w:vMerge w:val="restart"/>
            <w:shd w:val="clear" w:color="auto" w:fill="auto"/>
            <w:vAlign w:val="center"/>
          </w:tcPr>
          <w:p w:rsidR="001A62D7" w:rsidRPr="006E2470" w:rsidRDefault="001A62D7" w:rsidP="001D5990">
            <w:pPr>
              <w:spacing w:before="60" w:after="60"/>
              <w:jc w:val="right"/>
              <w:rPr>
                <w:rFonts w:eastAsia="Times New Roman"/>
                <w:noProof/>
                <w:sz w:val="22"/>
              </w:rPr>
            </w:pPr>
            <w:r w:rsidRPr="006E2470">
              <w:rPr>
                <w:rFonts w:eastAsia="Times New Roman"/>
                <w:noProof/>
                <w:sz w:val="22"/>
              </w:rPr>
              <w:t>Sub-total (b):</w:t>
            </w:r>
          </w:p>
          <w:p w:rsidR="001A62D7" w:rsidRPr="006E2470" w:rsidRDefault="001A62D7" w:rsidP="001D5990">
            <w:pPr>
              <w:spacing w:before="60" w:after="60"/>
              <w:jc w:val="right"/>
              <w:rPr>
                <w:rFonts w:eastAsia="Times New Roman"/>
                <w:noProof/>
                <w:sz w:val="22"/>
              </w:rPr>
            </w:pPr>
            <w:r w:rsidRPr="006E2470">
              <w:rPr>
                <w:rFonts w:eastAsia="Times New Roman"/>
                <w:noProof/>
                <w:sz w:val="22"/>
              </w:rPr>
              <w:t>Percentage of the package of personalised services:</w:t>
            </w:r>
          </w:p>
        </w:tc>
        <w:tc>
          <w:tcPr>
            <w:tcW w:w="3096" w:type="dxa"/>
            <w:gridSpan w:val="2"/>
            <w:vMerge w:val="restart"/>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tcBorders>
              <w:bottom w:val="nil"/>
            </w:tcBorders>
            <w:shd w:val="clear" w:color="auto" w:fill="auto"/>
            <w:vAlign w:val="center"/>
          </w:tcPr>
          <w:p w:rsidR="001A62D7" w:rsidRPr="006E2470" w:rsidRDefault="00B72603" w:rsidP="001D5990">
            <w:pPr>
              <w:spacing w:before="60" w:after="60"/>
              <w:jc w:val="center"/>
              <w:rPr>
                <w:rFonts w:eastAsia="Times New Roman"/>
                <w:noProof/>
                <w:sz w:val="22"/>
              </w:rPr>
            </w:pPr>
            <w:r>
              <w:rPr>
                <w:noProof/>
              </w:rPr>
              <w:t>738 630</w:t>
            </w:r>
          </w:p>
        </w:tc>
      </w:tr>
      <w:tr w:rsidR="001A62D7" w:rsidRPr="006E2470" w:rsidTr="001D5990">
        <w:trPr>
          <w:trHeight w:val="202"/>
        </w:trPr>
        <w:tc>
          <w:tcPr>
            <w:tcW w:w="4644" w:type="dxa"/>
            <w:vMerge/>
            <w:shd w:val="clear" w:color="auto" w:fill="auto"/>
            <w:vAlign w:val="center"/>
          </w:tcPr>
          <w:p w:rsidR="001A62D7" w:rsidRPr="006E2470"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6E2470"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r w:rsidR="0021052B">
              <w:rPr>
                <w:noProof/>
              </w:rPr>
              <w:t>8,45</w:t>
            </w:r>
            <w:r>
              <w:rPr>
                <w:noProof/>
              </w:rPr>
              <w:t> </w:t>
            </w:r>
            <w:r w:rsidRPr="006E2470">
              <w:rPr>
                <w:rFonts w:eastAsia="Times New Roman"/>
                <w:noProof/>
                <w:sz w:val="22"/>
              </w:rPr>
              <w:t>%)</w:t>
            </w:r>
          </w:p>
        </w:tc>
      </w:tr>
      <w:tr w:rsidR="001A62D7" w:rsidRPr="006E2470" w:rsidTr="001D5990">
        <w:tc>
          <w:tcPr>
            <w:tcW w:w="9288" w:type="dxa"/>
            <w:gridSpan w:val="4"/>
            <w:shd w:val="clear" w:color="auto" w:fill="auto"/>
            <w:vAlign w:val="center"/>
          </w:tcPr>
          <w:p w:rsidR="001A62D7" w:rsidRPr="006E2470" w:rsidRDefault="001A62D7" w:rsidP="001D5990">
            <w:pPr>
              <w:spacing w:before="60" w:after="60"/>
              <w:jc w:val="left"/>
              <w:rPr>
                <w:rFonts w:eastAsia="Times New Roman"/>
                <w:noProof/>
                <w:sz w:val="22"/>
              </w:rPr>
            </w:pPr>
            <w:r>
              <w:rPr>
                <w:rFonts w:eastAsia="Times New Roman"/>
                <w:noProof/>
                <w:sz w:val="22"/>
              </w:rPr>
              <w:t xml:space="preserve">Activities </w:t>
            </w:r>
            <w:r w:rsidRPr="006E2470">
              <w:rPr>
                <w:rFonts w:eastAsia="Times New Roman"/>
                <w:noProof/>
                <w:sz w:val="22"/>
              </w:rPr>
              <w:t>under Article</w:t>
            </w:r>
            <w:r>
              <w:rPr>
                <w:rFonts w:eastAsia="Times New Roman"/>
                <w:noProof/>
                <w:sz w:val="22"/>
              </w:rPr>
              <w:t> 7(5</w:t>
            </w:r>
            <w:r w:rsidRPr="006E2470">
              <w:rPr>
                <w:rFonts w:eastAsia="Times New Roman"/>
                <w:noProof/>
                <w:sz w:val="22"/>
              </w:rPr>
              <w:t xml:space="preserve">) of </w:t>
            </w:r>
            <w:r>
              <w:rPr>
                <w:rFonts w:eastAsia="Times New Roman"/>
                <w:noProof/>
                <w:sz w:val="22"/>
              </w:rPr>
              <w:t>Regulation (EU) 2021/691</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1. Preparatory activities</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21052B" w:rsidP="001D5990">
            <w:pPr>
              <w:spacing w:before="60" w:after="60"/>
              <w:jc w:val="center"/>
              <w:rPr>
                <w:rFonts w:eastAsia="Times New Roman"/>
                <w:noProof/>
                <w:sz w:val="22"/>
              </w:rPr>
            </w:pPr>
            <w:r>
              <w:rPr>
                <w:noProof/>
              </w:rPr>
              <w:t>0</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2. Management</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21052B" w:rsidP="001D5990">
            <w:pPr>
              <w:spacing w:before="60" w:after="60"/>
              <w:jc w:val="center"/>
              <w:rPr>
                <w:rFonts w:eastAsia="Times New Roman"/>
                <w:noProof/>
                <w:sz w:val="22"/>
              </w:rPr>
            </w:pPr>
            <w:r>
              <w:rPr>
                <w:noProof/>
              </w:rPr>
              <w:t>45 760</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3. Information and publicity</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21052B" w:rsidP="001D5990">
            <w:pPr>
              <w:spacing w:before="60" w:after="60"/>
              <w:jc w:val="center"/>
              <w:rPr>
                <w:rFonts w:eastAsia="Times New Roman"/>
                <w:noProof/>
                <w:sz w:val="22"/>
              </w:rPr>
            </w:pPr>
            <w:r>
              <w:rPr>
                <w:noProof/>
              </w:rPr>
              <w:t>5 500</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4. Control and reporting</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tcBorders>
              <w:bottom w:val="single" w:sz="4" w:space="0" w:color="auto"/>
            </w:tcBorders>
            <w:shd w:val="clear" w:color="auto" w:fill="auto"/>
          </w:tcPr>
          <w:p w:rsidR="001A62D7" w:rsidRPr="006E2470" w:rsidRDefault="0021052B" w:rsidP="001D5990">
            <w:pPr>
              <w:spacing w:before="60" w:after="60"/>
              <w:jc w:val="center"/>
              <w:rPr>
                <w:rFonts w:eastAsia="Times New Roman"/>
                <w:noProof/>
                <w:sz w:val="22"/>
              </w:rPr>
            </w:pPr>
            <w:r>
              <w:rPr>
                <w:noProof/>
              </w:rPr>
              <w:t>65 802</w:t>
            </w:r>
          </w:p>
        </w:tc>
      </w:tr>
      <w:tr w:rsidR="001A62D7" w:rsidRPr="006E2470" w:rsidTr="001D5990">
        <w:trPr>
          <w:trHeight w:val="203"/>
        </w:trPr>
        <w:tc>
          <w:tcPr>
            <w:tcW w:w="4644" w:type="dxa"/>
            <w:vMerge w:val="restart"/>
            <w:shd w:val="clear" w:color="auto" w:fill="auto"/>
            <w:vAlign w:val="center"/>
          </w:tcPr>
          <w:p w:rsidR="001A62D7" w:rsidRPr="006E2470" w:rsidRDefault="001A62D7" w:rsidP="001D5990">
            <w:pPr>
              <w:spacing w:before="60" w:after="60"/>
              <w:jc w:val="right"/>
              <w:rPr>
                <w:rFonts w:eastAsia="Times New Roman"/>
                <w:noProof/>
                <w:sz w:val="22"/>
              </w:rPr>
            </w:pPr>
            <w:r w:rsidRPr="006E2470">
              <w:rPr>
                <w:rFonts w:eastAsia="Times New Roman"/>
                <w:noProof/>
                <w:sz w:val="22"/>
              </w:rPr>
              <w:t>Sub-total (c):</w:t>
            </w:r>
          </w:p>
          <w:p w:rsidR="001A62D7" w:rsidRPr="006E2470" w:rsidRDefault="001A62D7" w:rsidP="001D5990">
            <w:pPr>
              <w:spacing w:before="60" w:after="60"/>
              <w:jc w:val="right"/>
              <w:rPr>
                <w:rFonts w:eastAsia="Times New Roman"/>
                <w:noProof/>
                <w:sz w:val="22"/>
              </w:rPr>
            </w:pPr>
            <w:r w:rsidRPr="006E2470">
              <w:rPr>
                <w:rFonts w:eastAsia="Times New Roman"/>
                <w:noProof/>
                <w:sz w:val="22"/>
              </w:rPr>
              <w:t>Percentage of the total costs:</w:t>
            </w:r>
          </w:p>
        </w:tc>
        <w:tc>
          <w:tcPr>
            <w:tcW w:w="3096" w:type="dxa"/>
            <w:gridSpan w:val="2"/>
            <w:vMerge w:val="restart"/>
            <w:shd w:val="clear" w:color="auto" w:fill="D9D9D9"/>
            <w:vAlign w:val="center"/>
          </w:tcPr>
          <w:p w:rsidR="001A62D7" w:rsidRPr="006E2470" w:rsidRDefault="001A62D7" w:rsidP="001D5990">
            <w:pPr>
              <w:spacing w:before="0" w:after="0"/>
              <w:jc w:val="center"/>
              <w:rPr>
                <w:rFonts w:eastAsia="Times New Roman"/>
                <w:noProof/>
                <w:sz w:val="22"/>
              </w:rPr>
            </w:pPr>
            <w:r w:rsidRPr="006E2470">
              <w:rPr>
                <w:rFonts w:eastAsia="Times New Roman"/>
                <w:noProof/>
                <w:sz w:val="22"/>
              </w:rPr>
              <w:t>–</w:t>
            </w:r>
          </w:p>
        </w:tc>
        <w:tc>
          <w:tcPr>
            <w:tcW w:w="1548" w:type="dxa"/>
            <w:tcBorders>
              <w:bottom w:val="nil"/>
            </w:tcBorders>
            <w:shd w:val="clear" w:color="auto" w:fill="auto"/>
            <w:vAlign w:val="center"/>
          </w:tcPr>
          <w:p w:rsidR="001A62D7" w:rsidRPr="006E2470" w:rsidRDefault="00D6013C" w:rsidP="001D5990">
            <w:pPr>
              <w:spacing w:before="60" w:after="60"/>
              <w:jc w:val="center"/>
              <w:rPr>
                <w:rFonts w:eastAsia="Times New Roman"/>
                <w:noProof/>
                <w:sz w:val="22"/>
              </w:rPr>
            </w:pPr>
            <w:r>
              <w:rPr>
                <w:noProof/>
              </w:rPr>
              <w:t>117 062</w:t>
            </w:r>
          </w:p>
        </w:tc>
      </w:tr>
      <w:tr w:rsidR="001A62D7" w:rsidRPr="006E2470" w:rsidTr="001D5990">
        <w:trPr>
          <w:trHeight w:val="202"/>
        </w:trPr>
        <w:tc>
          <w:tcPr>
            <w:tcW w:w="4644" w:type="dxa"/>
            <w:vMerge/>
            <w:shd w:val="clear" w:color="auto" w:fill="auto"/>
          </w:tcPr>
          <w:p w:rsidR="001A62D7" w:rsidRPr="006E2470"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6E2470"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r w:rsidR="0021052B">
              <w:rPr>
                <w:noProof/>
              </w:rPr>
              <w:t>1,32</w:t>
            </w:r>
            <w:r>
              <w:rPr>
                <w:noProof/>
              </w:rPr>
              <w:t> </w:t>
            </w:r>
            <w:r w:rsidRPr="006E2470">
              <w:rPr>
                <w:rFonts w:eastAsia="Times New Roman"/>
                <w:noProof/>
                <w:sz w:val="22"/>
              </w:rPr>
              <w:t>%)</w:t>
            </w:r>
          </w:p>
        </w:tc>
      </w:tr>
      <w:tr w:rsidR="001A62D7" w:rsidRPr="006E2470" w:rsidTr="001D5990">
        <w:tc>
          <w:tcPr>
            <w:tcW w:w="4644" w:type="dxa"/>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Total costs (a + b + c):</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DC7444" w:rsidP="001D5990">
            <w:pPr>
              <w:spacing w:before="60" w:after="60"/>
              <w:jc w:val="center"/>
              <w:rPr>
                <w:noProof/>
                <w:sz w:val="22"/>
              </w:rPr>
            </w:pPr>
            <w:r>
              <w:rPr>
                <w:noProof/>
              </w:rPr>
              <w:t>8 856 030</w:t>
            </w:r>
          </w:p>
        </w:tc>
      </w:tr>
      <w:tr w:rsidR="001A62D7" w:rsidRPr="006E2470" w:rsidTr="001D5990">
        <w:tc>
          <w:tcPr>
            <w:tcW w:w="4644" w:type="dxa"/>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EGF contribution (</w:t>
            </w:r>
            <w:r w:rsidR="007D1CC7">
              <w:rPr>
                <w:noProof/>
              </w:rPr>
              <w:t>85</w:t>
            </w:r>
            <w:r>
              <w:rPr>
                <w:rFonts w:eastAsia="Times New Roman"/>
                <w:noProof/>
                <w:sz w:val="22"/>
              </w:rPr>
              <w:t> </w:t>
            </w:r>
            <w:r w:rsidRPr="006E2470">
              <w:rPr>
                <w:rFonts w:eastAsia="Times New Roman"/>
                <w:noProof/>
                <w:sz w:val="22"/>
              </w:rPr>
              <w:t>% of total costs)</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DC7444" w:rsidP="001D5990">
            <w:pPr>
              <w:spacing w:before="60" w:after="60"/>
              <w:jc w:val="center"/>
              <w:rPr>
                <w:rFonts w:eastAsia="Times New Roman"/>
                <w:noProof/>
                <w:sz w:val="22"/>
              </w:rPr>
            </w:pPr>
            <w:r w:rsidRPr="00DC7444">
              <w:rPr>
                <w:noProof/>
              </w:rPr>
              <w:t>7 527 625</w:t>
            </w:r>
          </w:p>
        </w:tc>
      </w:tr>
    </w:tbl>
    <w:bookmarkEnd w:id="15"/>
    <w:p w:rsidR="001A62D7" w:rsidRDefault="0063514A" w:rsidP="0063514A">
      <w:pPr>
        <w:pStyle w:val="ManualNumPar1"/>
        <w:rPr>
          <w:noProof/>
          <w:szCs w:val="20"/>
        </w:rPr>
      </w:pPr>
      <w:r w:rsidRPr="0063514A">
        <w:rPr>
          <w:noProof/>
        </w:rPr>
        <w:t>37.</w:t>
      </w:r>
      <w:r w:rsidRPr="0063514A">
        <w:rPr>
          <w:noProof/>
        </w:rPr>
        <w:tab/>
      </w:r>
      <w:r w:rsidR="001A62D7">
        <w:rPr>
          <w:noProof/>
        </w:rPr>
        <w:t xml:space="preserve">The costs of the measures identified in the table above as measures under Article 7(2), second subparagraph, point (b), of Regulation (EU) 2021/691 do not exceed 35 % of the total costs for the coordinated package of personalised services. </w:t>
      </w:r>
      <w:r w:rsidR="007D1CC7">
        <w:rPr>
          <w:noProof/>
        </w:rPr>
        <w:t>Belgium</w:t>
      </w:r>
      <w:r w:rsidR="001A62D7">
        <w:rPr>
          <w:noProof/>
        </w:rPr>
        <w:t xml:space="preserve"> confirmed that these measures are conditional on the active participation of the targeted beneficiaries in job-search or training activities.</w:t>
      </w:r>
    </w:p>
    <w:p w:rsidR="001A62D7" w:rsidRPr="00042BF2" w:rsidRDefault="0063514A" w:rsidP="0063514A">
      <w:pPr>
        <w:pStyle w:val="ManualNumPar1"/>
        <w:rPr>
          <w:noProof/>
        </w:rPr>
      </w:pPr>
      <w:r w:rsidRPr="0063514A">
        <w:rPr>
          <w:noProof/>
        </w:rPr>
        <w:t>38.</w:t>
      </w:r>
      <w:r w:rsidRPr="0063514A">
        <w:rPr>
          <w:noProof/>
        </w:rPr>
        <w:tab/>
      </w:r>
      <w:r w:rsidR="001A62D7">
        <w:rPr>
          <w:noProof/>
        </w:rPr>
        <w:t xml:space="preserve">In accordance with Article 7(2), fourth subparagraph, of Regulation (EU) 2021/691, </w:t>
      </w:r>
      <w:r w:rsidR="007D1CC7">
        <w:rPr>
          <w:noProof/>
        </w:rPr>
        <w:t>Belgium</w:t>
      </w:r>
      <w:r w:rsidR="001A62D7" w:rsidRPr="00042BF2">
        <w:rPr>
          <w:noProof/>
        </w:rPr>
        <w:t xml:space="preserve"> confirmed that the costs of investments for self-employment, business start-ups and employee take-overs will not exceed EUR </w:t>
      </w:r>
      <w:r w:rsidR="001A62D7">
        <w:rPr>
          <w:noProof/>
        </w:rPr>
        <w:t>22</w:t>
      </w:r>
      <w:r w:rsidR="001A62D7" w:rsidRPr="00042BF2">
        <w:rPr>
          <w:noProof/>
        </w:rPr>
        <w:t> 000 per beneficiary</w:t>
      </w:r>
      <w:r w:rsidR="002A2C83">
        <w:rPr>
          <w:noProof/>
        </w:rPr>
        <w:t>.</w:t>
      </w:r>
    </w:p>
    <w:p w:rsidR="001A62D7" w:rsidRPr="002A2C83" w:rsidRDefault="001A62D7" w:rsidP="001A62D7">
      <w:pPr>
        <w:pStyle w:val="ManualHeading3"/>
        <w:rPr>
          <w:noProof/>
        </w:rPr>
      </w:pPr>
      <w:r w:rsidRPr="002A2C83">
        <w:rPr>
          <w:noProof/>
        </w:rPr>
        <w:t>Period of eligibility of expenditure</w:t>
      </w:r>
    </w:p>
    <w:p w:rsidR="001A62D7" w:rsidRPr="002A2C83" w:rsidRDefault="0063514A" w:rsidP="0063514A">
      <w:pPr>
        <w:pStyle w:val="ManualNumPar1"/>
        <w:rPr>
          <w:noProof/>
        </w:rPr>
      </w:pPr>
      <w:r w:rsidRPr="0063514A">
        <w:rPr>
          <w:noProof/>
        </w:rPr>
        <w:t>39.</w:t>
      </w:r>
      <w:r w:rsidRPr="0063514A">
        <w:rPr>
          <w:noProof/>
        </w:rPr>
        <w:tab/>
      </w:r>
      <w:r w:rsidR="007D1CC7">
        <w:rPr>
          <w:noProof/>
        </w:rPr>
        <w:t>Belgium</w:t>
      </w:r>
      <w:r w:rsidR="001A62D7" w:rsidRPr="002A2C83">
        <w:rPr>
          <w:noProof/>
        </w:rPr>
        <w:t xml:space="preserve"> started</w:t>
      </w:r>
      <w:r w:rsidR="002A2C83" w:rsidRPr="002A2C83">
        <w:rPr>
          <w:noProof/>
        </w:rPr>
        <w:t xml:space="preserve"> </w:t>
      </w:r>
      <w:r w:rsidR="001A62D7" w:rsidRPr="002A2C83">
        <w:rPr>
          <w:noProof/>
        </w:rPr>
        <w:t xml:space="preserve">providing the personalised services to the targeted beneficiaries on </w:t>
      </w:r>
      <w:r w:rsidR="00AD6693">
        <w:rPr>
          <w:noProof/>
        </w:rPr>
        <w:t>17 February 2025</w:t>
      </w:r>
      <w:r w:rsidR="002A2C83" w:rsidRPr="002A2C83">
        <w:rPr>
          <w:noProof/>
        </w:rPr>
        <w:t xml:space="preserve">. </w:t>
      </w:r>
      <w:r w:rsidR="001A62D7" w:rsidRPr="002A2C83">
        <w:rPr>
          <w:noProof/>
        </w:rPr>
        <w:t xml:space="preserve">The expenditure on the measures will therefore be eligible for a financial contribution from the EGF from </w:t>
      </w:r>
      <w:r w:rsidR="00AD6693">
        <w:rPr>
          <w:noProof/>
        </w:rPr>
        <w:t>17 February 2025</w:t>
      </w:r>
      <w:r w:rsidR="001A62D7" w:rsidRPr="002A2C83">
        <w:rPr>
          <w:noProof/>
        </w:rPr>
        <w:t xml:space="preserve"> until 24 months after the date of the entry into force of the Financing Decision.</w:t>
      </w:r>
    </w:p>
    <w:p w:rsidR="001A62D7" w:rsidRPr="002A2C83" w:rsidRDefault="0063514A" w:rsidP="0063514A">
      <w:pPr>
        <w:pStyle w:val="ManualNumPar1"/>
        <w:rPr>
          <w:noProof/>
        </w:rPr>
      </w:pPr>
      <w:r w:rsidRPr="0063514A">
        <w:rPr>
          <w:noProof/>
        </w:rPr>
        <w:t>40.</w:t>
      </w:r>
      <w:r w:rsidRPr="0063514A">
        <w:rPr>
          <w:noProof/>
        </w:rPr>
        <w:tab/>
      </w:r>
      <w:r w:rsidR="00AD6693">
        <w:rPr>
          <w:noProof/>
        </w:rPr>
        <w:t>Belgium</w:t>
      </w:r>
      <w:r w:rsidR="001A62D7" w:rsidRPr="002A2C83">
        <w:rPr>
          <w:noProof/>
        </w:rPr>
        <w:t xml:space="preserve"> started incurring the administrative expenditure to implement the EGF on </w:t>
      </w:r>
      <w:r w:rsidR="00F31E6B">
        <w:rPr>
          <w:noProof/>
        </w:rPr>
        <w:t>9 </w:t>
      </w:r>
      <w:r w:rsidR="003674C6">
        <w:rPr>
          <w:noProof/>
        </w:rPr>
        <w:t>July 2024</w:t>
      </w:r>
      <w:r w:rsidR="001A62D7" w:rsidRPr="002A2C83">
        <w:rPr>
          <w:noProof/>
        </w:rPr>
        <w:t xml:space="preserve">. The expenditure for preparatory, management, information and publicity, control and reporting activities shall therefore be eligible for a financial contribution from the EGF from </w:t>
      </w:r>
      <w:r w:rsidR="00AD6693">
        <w:rPr>
          <w:noProof/>
        </w:rPr>
        <w:t>9 July 2024</w:t>
      </w:r>
      <w:r w:rsidR="001A62D7" w:rsidRPr="002A2C83">
        <w:rPr>
          <w:noProof/>
        </w:rPr>
        <w:t xml:space="preserve"> until 31 months after the date of the entry into force of the Financing Decision. </w:t>
      </w:r>
    </w:p>
    <w:p w:rsidR="001A62D7" w:rsidRPr="00441C9E" w:rsidRDefault="001A62D7" w:rsidP="001A62D7">
      <w:pPr>
        <w:pStyle w:val="ManualHeading2"/>
        <w:rPr>
          <w:noProof/>
        </w:rPr>
      </w:pPr>
      <w:r w:rsidRPr="00585A93">
        <w:rPr>
          <w:noProof/>
        </w:rPr>
        <w:t>Management and control systems</w:t>
      </w:r>
    </w:p>
    <w:p w:rsidR="001A62D7" w:rsidRDefault="0063514A" w:rsidP="0063514A">
      <w:pPr>
        <w:pStyle w:val="ManualNumPar1"/>
        <w:rPr>
          <w:noProof/>
        </w:rPr>
      </w:pPr>
      <w:r w:rsidRPr="0063514A">
        <w:rPr>
          <w:noProof/>
        </w:rPr>
        <w:t>41.</w:t>
      </w:r>
      <w:r w:rsidRPr="0063514A">
        <w:rPr>
          <w:noProof/>
        </w:rPr>
        <w:tab/>
      </w:r>
      <w:r w:rsidR="001A62D7">
        <w:rPr>
          <w:noProof/>
        </w:rPr>
        <w:t xml:space="preserve">The application contains a description of the management and control system required under Article 23 of Regulation (EU) 2021/691, which specifies the responsibilities of the bodies involved. </w:t>
      </w:r>
      <w:r w:rsidR="00C5578F">
        <w:rPr>
          <w:noProof/>
        </w:rPr>
        <w:t>Belgium</w:t>
      </w:r>
      <w:r w:rsidR="001A62D7">
        <w:rPr>
          <w:noProof/>
        </w:rPr>
        <w:t xml:space="preserve"> has notified the Commission that the financial contribution </w:t>
      </w:r>
      <w:r w:rsidR="005D558F">
        <w:rPr>
          <w:noProof/>
        </w:rPr>
        <w:t xml:space="preserve">in Brussels and Wallonia </w:t>
      </w:r>
      <w:r w:rsidR="001A62D7">
        <w:rPr>
          <w:noProof/>
        </w:rPr>
        <w:t xml:space="preserve">will be </w:t>
      </w:r>
      <w:r w:rsidR="00C5578F">
        <w:rPr>
          <w:noProof/>
        </w:rPr>
        <w:t>managed</w:t>
      </w:r>
      <w:r w:rsidR="005D558F">
        <w:rPr>
          <w:noProof/>
        </w:rPr>
        <w:t xml:space="preserve"> </w:t>
      </w:r>
      <w:r w:rsidR="005D558F" w:rsidRPr="005D558F">
        <w:rPr>
          <w:noProof/>
        </w:rPr>
        <w:t>by the same bodies that manage and control the ESF+.</w:t>
      </w:r>
      <w:r w:rsidR="005D558F">
        <w:rPr>
          <w:noProof/>
        </w:rPr>
        <w:t xml:space="preserve"> </w:t>
      </w:r>
      <w:r w:rsidR="007159FF">
        <w:rPr>
          <w:noProof/>
        </w:rPr>
        <w:t xml:space="preserve">In Flanders </w:t>
      </w:r>
      <w:r w:rsidR="005D558F">
        <w:rPr>
          <w:noProof/>
        </w:rPr>
        <w:t xml:space="preserve">it will be managed </w:t>
      </w:r>
      <w:r w:rsidR="007159FF" w:rsidRPr="007159FF">
        <w:rPr>
          <w:noProof/>
        </w:rPr>
        <w:t>by VDAB. The payments will be made by VDAB’s financial service. The Department of Finance and Budget - Audit Unit of the Flemish Audit Authority for the European Structural Funds is the audit authority for the EGF</w:t>
      </w:r>
      <w:r w:rsidR="00BD11CB">
        <w:rPr>
          <w:noProof/>
        </w:rPr>
        <w:t xml:space="preserve"> in Flanders</w:t>
      </w:r>
      <w:r w:rsidR="007159FF">
        <w:rPr>
          <w:noProof/>
        </w:rPr>
        <w:t>.</w:t>
      </w:r>
    </w:p>
    <w:p w:rsidR="001A62D7" w:rsidRDefault="001A62D7" w:rsidP="001A62D7">
      <w:pPr>
        <w:pStyle w:val="ManualHeading2"/>
        <w:rPr>
          <w:noProof/>
        </w:rPr>
      </w:pPr>
      <w:r w:rsidRPr="00A144B7">
        <w:rPr>
          <w:noProof/>
        </w:rPr>
        <w:t>Commitments provided by the Member State concerned</w:t>
      </w:r>
    </w:p>
    <w:p w:rsidR="001A62D7" w:rsidRDefault="0063514A" w:rsidP="0063514A">
      <w:pPr>
        <w:pStyle w:val="ManualNumPar1"/>
        <w:rPr>
          <w:noProof/>
        </w:rPr>
      </w:pPr>
      <w:r w:rsidRPr="0063514A">
        <w:rPr>
          <w:noProof/>
        </w:rPr>
        <w:t>42.</w:t>
      </w:r>
      <w:r w:rsidRPr="0063514A">
        <w:rPr>
          <w:noProof/>
        </w:rPr>
        <w:tab/>
      </w:r>
      <w:r w:rsidR="00A36A1D">
        <w:rPr>
          <w:noProof/>
        </w:rPr>
        <w:t>Belgium</w:t>
      </w:r>
      <w:r w:rsidR="001A62D7">
        <w:rPr>
          <w:noProof/>
        </w:rPr>
        <w:t xml:space="preserve"> has provided all necessary assurances regarding the following: </w:t>
      </w:r>
    </w:p>
    <w:p w:rsidR="001A62D7" w:rsidRDefault="001A62D7" w:rsidP="001A62D7">
      <w:pPr>
        <w:pStyle w:val="Tiret1"/>
        <w:rPr>
          <w:noProof/>
        </w:rPr>
      </w:pPr>
      <w:r>
        <w:rPr>
          <w:noProof/>
        </w:rPr>
        <w:t>the principles of equality of treatment and non-discrimination will be respected in access to the proposed measures and their implementation,</w:t>
      </w:r>
    </w:p>
    <w:p w:rsidR="001A62D7" w:rsidRDefault="001A62D7" w:rsidP="001A62D7">
      <w:pPr>
        <w:pStyle w:val="Tiret1"/>
        <w:rPr>
          <w:noProof/>
        </w:rPr>
      </w:pPr>
      <w:r>
        <w:rPr>
          <w:noProof/>
        </w:rPr>
        <w:t>the requirements laid down in national and EU legislation concerning collective redundancies have been complied with,</w:t>
      </w:r>
    </w:p>
    <w:p w:rsidR="001A62D7" w:rsidRPr="00A36A1D" w:rsidRDefault="00A36A1D" w:rsidP="001A62D7">
      <w:pPr>
        <w:pStyle w:val="Tiret1"/>
        <w:rPr>
          <w:noProof/>
        </w:rPr>
      </w:pPr>
      <w:r>
        <w:rPr>
          <w:noProof/>
        </w:rPr>
        <w:t xml:space="preserve">Audi </w:t>
      </w:r>
      <w:r w:rsidR="001A62D7" w:rsidRPr="00A36A1D">
        <w:rPr>
          <w:noProof/>
        </w:rPr>
        <w:t>has</w:t>
      </w:r>
      <w:r w:rsidR="001F093E" w:rsidRPr="00A36A1D">
        <w:rPr>
          <w:noProof/>
        </w:rPr>
        <w:t xml:space="preserve"> </w:t>
      </w:r>
      <w:r w:rsidR="001A62D7" w:rsidRPr="00A36A1D">
        <w:rPr>
          <w:noProof/>
        </w:rPr>
        <w:t>complied with its</w:t>
      </w:r>
      <w:r w:rsidRPr="00A36A1D">
        <w:rPr>
          <w:noProof/>
        </w:rPr>
        <w:t xml:space="preserve"> </w:t>
      </w:r>
      <w:r w:rsidR="001A62D7" w:rsidRPr="00A36A1D">
        <w:rPr>
          <w:noProof/>
        </w:rPr>
        <w:t>legal obligations and provided for its workers accordingly,</w:t>
      </w:r>
    </w:p>
    <w:p w:rsidR="001A62D7" w:rsidRDefault="001A62D7" w:rsidP="001A62D7">
      <w:pPr>
        <w:pStyle w:val="Tiret1"/>
        <w:rPr>
          <w:noProof/>
        </w:rPr>
      </w:pPr>
      <w:r>
        <w:rPr>
          <w:noProof/>
        </w:rPr>
        <w:t>any double financing will be prevented,</w:t>
      </w:r>
    </w:p>
    <w:p w:rsidR="001A62D7" w:rsidRDefault="001A62D7" w:rsidP="001A62D7">
      <w:pPr>
        <w:pStyle w:val="Tiret1"/>
        <w:rPr>
          <w:noProof/>
        </w:rPr>
      </w:pPr>
      <w:r>
        <w:rPr>
          <w:noProof/>
        </w:rPr>
        <w:t>the financial contribution from the EGF will comply with the procedural and material Union rules on State aid.</w:t>
      </w:r>
    </w:p>
    <w:p w:rsidR="001A62D7" w:rsidRPr="006F770D" w:rsidRDefault="001A62D7" w:rsidP="001A62D7">
      <w:pPr>
        <w:pStyle w:val="ManualHeading1"/>
        <w:rPr>
          <w:noProof/>
        </w:rPr>
      </w:pPr>
      <w:r>
        <w:rPr>
          <w:noProof/>
        </w:rPr>
        <w:t>BUDGETARY IMPLICATION</w:t>
      </w:r>
    </w:p>
    <w:p w:rsidR="001A62D7" w:rsidRDefault="001A62D7" w:rsidP="001A62D7">
      <w:pPr>
        <w:pStyle w:val="ManualHeading2"/>
        <w:rPr>
          <w:noProof/>
        </w:rPr>
      </w:pPr>
      <w:r w:rsidRPr="00FD7C2F">
        <w:rPr>
          <w:noProof/>
        </w:rPr>
        <w:t>Budgetary proposal</w:t>
      </w:r>
    </w:p>
    <w:p w:rsidR="001A62D7" w:rsidRPr="0096300F" w:rsidRDefault="0063514A" w:rsidP="0063514A">
      <w:pPr>
        <w:pStyle w:val="ManualNumPar1"/>
        <w:rPr>
          <w:noProof/>
        </w:rPr>
      </w:pPr>
      <w:r w:rsidRPr="0063514A">
        <w:rPr>
          <w:noProof/>
        </w:rPr>
        <w:t>43.</w:t>
      </w:r>
      <w:r w:rsidRPr="0063514A">
        <w:rPr>
          <w:noProof/>
        </w:rPr>
        <w:tab/>
      </w:r>
      <w:r w:rsidR="001A62D7">
        <w:rPr>
          <w:noProof/>
        </w:rPr>
        <w:t xml:space="preserve">The EGF shall not exceed a maximum annual amount of </w:t>
      </w:r>
      <w:r w:rsidR="001A62D7" w:rsidRPr="00B43DF2">
        <w:rPr>
          <w:noProof/>
        </w:rPr>
        <w:t>EUR </w:t>
      </w:r>
      <w:r w:rsidR="001A62D7">
        <w:rPr>
          <w:noProof/>
        </w:rPr>
        <w:t>30</w:t>
      </w:r>
      <w:r w:rsidR="001A62D7" w:rsidRPr="00B43DF2">
        <w:rPr>
          <w:noProof/>
        </w:rPr>
        <w:t xml:space="preserve"> million </w:t>
      </w:r>
      <w:r w:rsidR="001A62D7" w:rsidRPr="0089670E">
        <w:rPr>
          <w:noProof/>
        </w:rPr>
        <w:t>(in 2018 prices)</w:t>
      </w:r>
      <w:r w:rsidR="001A62D7">
        <w:rPr>
          <w:noProof/>
        </w:rPr>
        <w:t xml:space="preserve">, as laid down in Article 8 of </w:t>
      </w:r>
      <w:r w:rsidR="001A62D7" w:rsidRPr="0089670E">
        <w:rPr>
          <w:noProof/>
        </w:rPr>
        <w:t>Council Regulation (EU, Euratom) 2020/2093 of 17 December 2020 laying down the multiannual financial framework for the years 2021 to 2027</w:t>
      </w:r>
      <w:r w:rsidR="001A62D7">
        <w:rPr>
          <w:rStyle w:val="FootnoteReference"/>
          <w:noProof/>
        </w:rPr>
        <w:footnoteReference w:id="38"/>
      </w:r>
      <w:r w:rsidR="001A62D7">
        <w:rPr>
          <w:noProof/>
        </w:rPr>
        <w:t xml:space="preserve"> amended by Council Regulation (EU, Euratom) 2024/765 of 29 February 2024</w:t>
      </w:r>
      <w:r w:rsidR="001A62D7">
        <w:rPr>
          <w:rStyle w:val="FootnoteReference"/>
          <w:noProof/>
        </w:rPr>
        <w:footnoteReference w:id="39"/>
      </w:r>
      <w:r w:rsidR="001A62D7" w:rsidRPr="00B43DF2">
        <w:rPr>
          <w:noProof/>
        </w:rPr>
        <w:t>.</w:t>
      </w:r>
    </w:p>
    <w:p w:rsidR="001A62D7" w:rsidRDefault="0063514A" w:rsidP="0063514A">
      <w:pPr>
        <w:pStyle w:val="ManualNumPar1"/>
        <w:rPr>
          <w:rFonts w:eastAsia="Calibri"/>
          <w:noProof/>
        </w:rPr>
      </w:pPr>
      <w:r w:rsidRPr="0063514A">
        <w:rPr>
          <w:noProof/>
        </w:rPr>
        <w:t>44.</w:t>
      </w:r>
      <w:r w:rsidRPr="0063514A">
        <w:rPr>
          <w:noProof/>
        </w:rPr>
        <w:tab/>
      </w:r>
      <w:r w:rsidR="001A62D7">
        <w:rPr>
          <w:noProof/>
        </w:rPr>
        <w:t>Having examined the application in respect of the conditions set out in Article 13(1) and (2) of Regulation (EU) 2021/691, and having taken into account the number of targeted beneficiaries, the proposed measures and the estimated costs, the Commission proposes to mobilise the EGF for the amount of EUR </w:t>
      </w:r>
      <w:r w:rsidR="00DC7444">
        <w:rPr>
          <w:noProof/>
        </w:rPr>
        <w:t>7 527 625</w:t>
      </w:r>
      <w:r w:rsidR="001A62D7">
        <w:rPr>
          <w:rFonts w:eastAsia="Calibri"/>
          <w:noProof/>
        </w:rPr>
        <w:t xml:space="preserve">, representing </w:t>
      </w:r>
      <w:r w:rsidR="00D6013C">
        <w:rPr>
          <w:noProof/>
        </w:rPr>
        <w:t>85</w:t>
      </w:r>
      <w:r w:rsidR="001A62D7">
        <w:rPr>
          <w:rFonts w:eastAsia="Calibri"/>
          <w:noProof/>
        </w:rPr>
        <w:t> % of the total costs of the proposed measures,</w:t>
      </w:r>
      <w:r w:rsidR="001A62D7">
        <w:rPr>
          <w:noProof/>
        </w:rPr>
        <w:t xml:space="preserve"> </w:t>
      </w:r>
      <w:r w:rsidR="001A62D7">
        <w:rPr>
          <w:rFonts w:eastAsia="Calibri"/>
          <w:noProof/>
        </w:rPr>
        <w:t>in order to provide a financial contribution for the application.</w:t>
      </w:r>
    </w:p>
    <w:p w:rsidR="001A62D7" w:rsidRPr="00C370E1" w:rsidRDefault="0063514A" w:rsidP="0063514A">
      <w:pPr>
        <w:pStyle w:val="ManualNumPar1"/>
        <w:rPr>
          <w:rFonts w:eastAsia="Times New Roman"/>
          <w:noProof/>
        </w:rPr>
      </w:pPr>
      <w:r w:rsidRPr="0063514A">
        <w:rPr>
          <w:noProof/>
        </w:rPr>
        <w:t>45.</w:t>
      </w:r>
      <w:r w:rsidRPr="0063514A">
        <w:rPr>
          <w:noProof/>
        </w:rPr>
        <w:tab/>
      </w:r>
      <w:r w:rsidR="001A62D7">
        <w:rPr>
          <w:noProof/>
        </w:rPr>
        <w:t xml:space="preserve">The proposed decision to mobilise the EGF will be taken jointly by the European Parliament and the Council pursuant to Article 15(1), first subparagraph, second sentence, of Regulation (EU) 2021/691 and, as laid down in point 9 of the </w:t>
      </w:r>
      <w:r w:rsidR="001A62D7" w:rsidRPr="00E544E0">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sidR="001A62D7">
        <w:rPr>
          <w:rStyle w:val="FootnoteReference"/>
          <w:noProof/>
        </w:rPr>
        <w:footnoteReference w:id="40"/>
      </w:r>
      <w:r w:rsidR="001A62D7">
        <w:rPr>
          <w:noProof/>
        </w:rPr>
        <w:t>.</w:t>
      </w:r>
    </w:p>
    <w:p w:rsidR="001A62D7" w:rsidRDefault="001A62D7" w:rsidP="001A62D7">
      <w:pPr>
        <w:pStyle w:val="ManualHeading2"/>
        <w:rPr>
          <w:noProof/>
        </w:rPr>
      </w:pPr>
      <w:r w:rsidRPr="00C850D7">
        <w:rPr>
          <w:noProof/>
        </w:rPr>
        <w:t>Related acts</w:t>
      </w:r>
    </w:p>
    <w:p w:rsidR="001A62D7" w:rsidRPr="00E544E0" w:rsidRDefault="0063514A" w:rsidP="0063514A">
      <w:pPr>
        <w:pStyle w:val="ManualNumPar1"/>
        <w:rPr>
          <w:noProof/>
        </w:rPr>
      </w:pPr>
      <w:r w:rsidRPr="0063514A">
        <w:rPr>
          <w:noProof/>
        </w:rPr>
        <w:t>46.</w:t>
      </w:r>
      <w:r w:rsidRPr="0063514A">
        <w:rPr>
          <w:noProof/>
        </w:rPr>
        <w:tab/>
      </w:r>
      <w:r w:rsidR="001A62D7">
        <w:rPr>
          <w:noProof/>
        </w:rPr>
        <w:t>At the same time as it presents this proposal for a decision to mobilise the EGF, the Commission will present to the European Parliament and to the Council a proposal to transfer to the relevant budgetary line the amount of EUR </w:t>
      </w:r>
      <w:r w:rsidR="00DC7444">
        <w:rPr>
          <w:noProof/>
        </w:rPr>
        <w:t>7 527 625</w:t>
      </w:r>
      <w:r w:rsidR="001A62D7">
        <w:rPr>
          <w:noProof/>
        </w:rPr>
        <w:t>.</w:t>
      </w:r>
    </w:p>
    <w:p w:rsidR="001A62D7" w:rsidRPr="00BB42D9" w:rsidRDefault="0063514A" w:rsidP="0063514A">
      <w:pPr>
        <w:pStyle w:val="ManualNumPar1"/>
        <w:rPr>
          <w:noProof/>
        </w:rPr>
      </w:pPr>
      <w:r w:rsidRPr="0063514A">
        <w:rPr>
          <w:noProof/>
        </w:rPr>
        <w:t>47.</w:t>
      </w:r>
      <w:r w:rsidRPr="0063514A">
        <w:rPr>
          <w:noProof/>
        </w:rPr>
        <w:tab/>
      </w:r>
      <w:r w:rsidR="001A62D7">
        <w:rPr>
          <w:noProof/>
        </w:rPr>
        <w:t xml:space="preserve">At the same time as it adopted this proposal for a decision to mobilise the EGF, the Commission adopted a decision on a financial contribution </w:t>
      </w:r>
      <w:r w:rsidR="001A62D7" w:rsidRPr="00E90B72">
        <w:rPr>
          <w:noProof/>
        </w:rPr>
        <w:t>that constitutes a financing decision within the mea</w:t>
      </w:r>
      <w:r w:rsidR="001A62D7">
        <w:rPr>
          <w:noProof/>
        </w:rPr>
        <w:t>ning</w:t>
      </w:r>
      <w:r w:rsidR="001A62D7" w:rsidRPr="00E90B72">
        <w:rPr>
          <w:noProof/>
        </w:rPr>
        <w:t xml:space="preserve"> of Article 110 of </w:t>
      </w:r>
      <w:r w:rsidR="001A62D7" w:rsidRPr="00B54269">
        <w:rPr>
          <w:noProof/>
        </w:rPr>
        <w:t>Regulation (EU, Euratom) 2024/2509</w:t>
      </w:r>
      <w:r w:rsidR="001A62D7">
        <w:rPr>
          <w:rStyle w:val="FootnoteReference"/>
          <w:noProof/>
        </w:rPr>
        <w:footnoteReference w:id="41"/>
      </w:r>
      <w:r w:rsidR="001A62D7">
        <w:rPr>
          <w:noProof/>
        </w:rPr>
        <w:t>. T</w:t>
      </w:r>
      <w:r w:rsidR="001A62D7" w:rsidRPr="00853BB7">
        <w:rPr>
          <w:noProof/>
        </w:rPr>
        <w:t xml:space="preserve">hat </w:t>
      </w:r>
      <w:r w:rsidR="001A62D7">
        <w:rPr>
          <w:noProof/>
        </w:rPr>
        <w:t xml:space="preserve">financing </w:t>
      </w:r>
      <w:r w:rsidR="001A62D7" w:rsidRPr="00853BB7">
        <w:rPr>
          <w:noProof/>
        </w:rPr>
        <w:t xml:space="preserve">decision </w:t>
      </w:r>
      <w:r w:rsidR="001A62D7">
        <w:rPr>
          <w:noProof/>
        </w:rPr>
        <w:t>will enter into force on the date on which the Commission is notified of the approval of the budgetary transfer by the European Parliament and the Council pursuant to Article 15(2), first subparagraph, of Regulation (EU) 2021/691.</w:t>
      </w:r>
    </w:p>
    <w:p w:rsidR="001A62D7" w:rsidRPr="00A9097A" w:rsidRDefault="001A62D7" w:rsidP="001A62D7">
      <w:pPr>
        <w:rPr>
          <w:noProof/>
        </w:rPr>
        <w:sectPr w:rsidR="001A62D7" w:rsidRPr="00A9097A" w:rsidSect="00DB47D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B1732E" w:rsidRDefault="0063514A">
      <w:pPr>
        <w:pStyle w:val="Rfrenceinterinstitutionnelle"/>
        <w:rPr>
          <w:noProof/>
        </w:rPr>
      </w:pPr>
      <w:r>
        <w:rPr>
          <w:noProof/>
        </w:rPr>
        <w:t>2026/0001 (BUD)</w:t>
      </w:r>
    </w:p>
    <w:p w:rsidR="001A62D7" w:rsidRPr="00A9097A" w:rsidRDefault="0055684C" w:rsidP="0055684C">
      <w:pPr>
        <w:pStyle w:val="Statut"/>
        <w:rPr>
          <w:noProof/>
        </w:rPr>
      </w:pPr>
      <w:r w:rsidRPr="0055684C">
        <w:rPr>
          <w:noProof/>
        </w:rPr>
        <w:t>Proposal for a</w:t>
      </w:r>
    </w:p>
    <w:p w:rsidR="001A62D7" w:rsidRPr="00A9097A" w:rsidRDefault="0055684C" w:rsidP="0055684C">
      <w:pPr>
        <w:pStyle w:val="Typedudocument"/>
        <w:rPr>
          <w:noProof/>
        </w:rPr>
      </w:pPr>
      <w:r w:rsidRPr="0055684C">
        <w:rPr>
          <w:noProof/>
        </w:rPr>
        <w:t>DECISION OF THE EUROPEAN PARLIAMENT AND OF THE COUNCIL</w:t>
      </w:r>
    </w:p>
    <w:p w:rsidR="001A62D7" w:rsidRPr="00A9097A" w:rsidRDefault="0055684C" w:rsidP="0055684C">
      <w:pPr>
        <w:pStyle w:val="Titreobjet"/>
        <w:rPr>
          <w:noProof/>
        </w:rPr>
      </w:pPr>
      <w:r w:rsidRPr="0055684C">
        <w:rPr>
          <w:noProof/>
        </w:rPr>
        <w:t>on the mobilisation of the European Globalisation Adjustment Fund for Displaced Workers following an application from Belgium – EGF/2025/006 BE/ Audi</w:t>
      </w:r>
    </w:p>
    <w:p w:rsidR="001A62D7" w:rsidRDefault="001A62D7" w:rsidP="001A62D7">
      <w:pPr>
        <w:pStyle w:val="Institutionquiagit"/>
        <w:rPr>
          <w:noProof/>
        </w:rPr>
      </w:pPr>
      <w:r>
        <w:rPr>
          <w:noProof/>
        </w:rPr>
        <w:t>THE EUROPEAN PARLIAMENT AND THE COUNCIL OF THE EUROPEAN UNION,</w:t>
      </w:r>
    </w:p>
    <w:p w:rsidR="001A62D7" w:rsidRDefault="001A62D7" w:rsidP="001A62D7">
      <w:pPr>
        <w:rPr>
          <w:noProof/>
        </w:rPr>
      </w:pPr>
      <w:r>
        <w:rPr>
          <w:noProof/>
        </w:rPr>
        <w:t>Having regard to the Treaty on the Functioning of the European Union,</w:t>
      </w:r>
    </w:p>
    <w:p w:rsidR="001A62D7" w:rsidRDefault="001A62D7" w:rsidP="001A62D7">
      <w:pPr>
        <w:rPr>
          <w:noProof/>
        </w:rPr>
      </w:pPr>
      <w:r w:rsidRPr="00973296">
        <w:rPr>
          <w:noProof/>
        </w:rPr>
        <w:t>Having regard to Regulation (EU) 2021/691 of the European Parliament and of the Council of 28 April 2021 on the European Globalisation Adjustment Fund for Displaced Workers (EGF) and repealing Regulation (EU) No 1309/2013</w:t>
      </w:r>
      <w:r w:rsidRPr="00973296">
        <w:rPr>
          <w:rStyle w:val="FootnoteReference"/>
          <w:noProof/>
        </w:rPr>
        <w:footnoteReference w:id="42"/>
      </w:r>
      <w:r w:rsidRPr="00973296">
        <w:rPr>
          <w:noProof/>
        </w:rPr>
        <w:t>, and in particular Article 15(1)</w:t>
      </w:r>
      <w:r>
        <w:rPr>
          <w:noProof/>
        </w:rPr>
        <w:t>, first subparagraph,</w:t>
      </w:r>
      <w:r w:rsidRPr="00973296">
        <w:rPr>
          <w:noProof/>
        </w:rPr>
        <w:t xml:space="preserve"> thereof,</w:t>
      </w:r>
    </w:p>
    <w:p w:rsidR="001A62D7" w:rsidRDefault="001A62D7" w:rsidP="001A62D7">
      <w:pPr>
        <w:rPr>
          <w:noProof/>
        </w:rPr>
      </w:pPr>
      <w:r w:rsidRPr="006C1641">
        <w:rPr>
          <w:noProof/>
        </w:rPr>
        <w:t xml:space="preserve">Having regard to the </w:t>
      </w:r>
      <w:r w:rsidRPr="008238DD">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43"/>
      </w:r>
      <w:r>
        <w:rPr>
          <w:noProof/>
        </w:rPr>
        <w:t xml:space="preserve">, </w:t>
      </w:r>
      <w:r w:rsidRPr="006C1641">
        <w:rPr>
          <w:noProof/>
        </w:rPr>
        <w:t xml:space="preserve">and in particular point </w:t>
      </w:r>
      <w:r>
        <w:rPr>
          <w:noProof/>
        </w:rPr>
        <w:t>9</w:t>
      </w:r>
      <w:r w:rsidRPr="006C1641">
        <w:rPr>
          <w:noProof/>
        </w:rPr>
        <w:t xml:space="preserve"> thereof,</w:t>
      </w:r>
    </w:p>
    <w:p w:rsidR="001A62D7" w:rsidRDefault="001A62D7" w:rsidP="001A62D7">
      <w:pPr>
        <w:rPr>
          <w:noProof/>
        </w:rPr>
      </w:pPr>
      <w:r>
        <w:rPr>
          <w:noProof/>
        </w:rPr>
        <w:t>Having regard to the proposal from the European Commission,</w:t>
      </w:r>
    </w:p>
    <w:p w:rsidR="001A62D7" w:rsidRDefault="001A62D7" w:rsidP="001A62D7">
      <w:pPr>
        <w:rPr>
          <w:noProof/>
        </w:rPr>
      </w:pPr>
      <w:r>
        <w:rPr>
          <w:noProof/>
        </w:rPr>
        <w:t>Whereas:</w:t>
      </w:r>
    </w:p>
    <w:p w:rsidR="001A62D7" w:rsidRDefault="0063514A" w:rsidP="0063514A">
      <w:pPr>
        <w:pStyle w:val="ManualConsidrant"/>
        <w:rPr>
          <w:noProof/>
        </w:rPr>
      </w:pPr>
      <w:r w:rsidRPr="0063514A">
        <w:rPr>
          <w:noProof/>
        </w:rPr>
        <w:t>(1)</w:t>
      </w:r>
      <w:r w:rsidRPr="0063514A">
        <w:rPr>
          <w:noProof/>
        </w:rPr>
        <w:tab/>
      </w:r>
      <w:r w:rsidR="001A62D7">
        <w:rPr>
          <w:noProof/>
        </w:rPr>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1A62D7" w:rsidRDefault="0063514A" w:rsidP="0063514A">
      <w:pPr>
        <w:pStyle w:val="ManualConsidrant"/>
        <w:rPr>
          <w:noProof/>
        </w:rPr>
      </w:pPr>
      <w:r w:rsidRPr="0063514A">
        <w:rPr>
          <w:noProof/>
        </w:rPr>
        <w:t>(2)</w:t>
      </w:r>
      <w:r w:rsidRPr="0063514A">
        <w:rPr>
          <w:noProof/>
        </w:rPr>
        <w:tab/>
      </w:r>
      <w:r w:rsidR="001A62D7" w:rsidRPr="008D462D">
        <w:rPr>
          <w:noProof/>
        </w:rPr>
        <w:t xml:space="preserve">The EGF </w:t>
      </w:r>
      <w:r w:rsidR="001A62D7">
        <w:rPr>
          <w:noProof/>
        </w:rPr>
        <w:t>is</w:t>
      </w:r>
      <w:r w:rsidR="001A62D7" w:rsidRPr="008D462D">
        <w:rPr>
          <w:noProof/>
        </w:rPr>
        <w:t xml:space="preserve"> not </w:t>
      </w:r>
      <w:r w:rsidR="001A62D7">
        <w:rPr>
          <w:noProof/>
        </w:rPr>
        <w:t xml:space="preserve">to </w:t>
      </w:r>
      <w:r w:rsidR="001A62D7" w:rsidRPr="008D462D">
        <w:rPr>
          <w:noProof/>
        </w:rPr>
        <w:t xml:space="preserve">exceed a maximum annual amount of </w:t>
      </w:r>
      <w:r w:rsidR="001A62D7" w:rsidRPr="00B43DF2">
        <w:rPr>
          <w:noProof/>
        </w:rPr>
        <w:t>EUR </w:t>
      </w:r>
      <w:r w:rsidR="001A62D7">
        <w:rPr>
          <w:noProof/>
        </w:rPr>
        <w:t>30</w:t>
      </w:r>
      <w:r w:rsidR="001A62D7" w:rsidRPr="00B43DF2">
        <w:rPr>
          <w:noProof/>
        </w:rPr>
        <w:t xml:space="preserve"> million </w:t>
      </w:r>
      <w:r w:rsidR="001A62D7" w:rsidRPr="00270F9D">
        <w:rPr>
          <w:noProof/>
        </w:rPr>
        <w:t>(in 2018 prices), as laid down in Article 8 of Council Reg</w:t>
      </w:r>
      <w:r w:rsidR="001A62D7">
        <w:rPr>
          <w:noProof/>
        </w:rPr>
        <w:t>ulation (EU, Euratom) 2020/2093</w:t>
      </w:r>
      <w:r w:rsidR="001A62D7" w:rsidRPr="008D462D">
        <w:rPr>
          <w:rStyle w:val="FootnoteReference"/>
          <w:noProof/>
        </w:rPr>
        <w:footnoteReference w:id="44"/>
      </w:r>
      <w:r w:rsidR="001A62D7">
        <w:rPr>
          <w:noProof/>
        </w:rPr>
        <w:t xml:space="preserve"> amended by Council Regulation (EU, Euratom) 2024/765</w:t>
      </w:r>
      <w:r w:rsidR="001A62D7">
        <w:rPr>
          <w:rStyle w:val="FootnoteReference"/>
          <w:noProof/>
        </w:rPr>
        <w:footnoteReference w:id="45"/>
      </w:r>
      <w:r w:rsidR="001A62D7">
        <w:rPr>
          <w:noProof/>
        </w:rPr>
        <w:t>, and Article 16 of Regulation (EU) 2021/691</w:t>
      </w:r>
      <w:r w:rsidR="001A62D7" w:rsidRPr="00D53BB8">
        <w:rPr>
          <w:noProof/>
        </w:rPr>
        <w:t>.</w:t>
      </w:r>
    </w:p>
    <w:p w:rsidR="001A62D7" w:rsidRPr="001D4700" w:rsidRDefault="0063514A" w:rsidP="0063514A">
      <w:pPr>
        <w:pStyle w:val="ManualConsidrant"/>
        <w:rPr>
          <w:noProof/>
        </w:rPr>
      </w:pPr>
      <w:r w:rsidRPr="0063514A">
        <w:rPr>
          <w:noProof/>
        </w:rPr>
        <w:t>(3)</w:t>
      </w:r>
      <w:r w:rsidRPr="0063514A">
        <w:rPr>
          <w:noProof/>
        </w:rPr>
        <w:tab/>
      </w:r>
      <w:r w:rsidR="001A62D7">
        <w:rPr>
          <w:noProof/>
        </w:rPr>
        <w:t xml:space="preserve">On </w:t>
      </w:r>
      <w:r w:rsidR="00DC7444">
        <w:rPr>
          <w:noProof/>
        </w:rPr>
        <w:t>18 September 2025</w:t>
      </w:r>
      <w:r w:rsidR="001A62D7">
        <w:rPr>
          <w:noProof/>
        </w:rPr>
        <w:t xml:space="preserve">, </w:t>
      </w:r>
      <w:r w:rsidR="00DC7444">
        <w:rPr>
          <w:noProof/>
        </w:rPr>
        <w:t>Belgium</w:t>
      </w:r>
      <w:r w:rsidR="001A62D7">
        <w:rPr>
          <w:noProof/>
        </w:rPr>
        <w:t xml:space="preserve"> </w:t>
      </w:r>
      <w:r w:rsidR="001A62D7" w:rsidRPr="008D462D">
        <w:rPr>
          <w:noProof/>
        </w:rPr>
        <w:t xml:space="preserve">submitted </w:t>
      </w:r>
      <w:r w:rsidR="001A62D7">
        <w:rPr>
          <w:noProof/>
        </w:rPr>
        <w:t xml:space="preserve">an </w:t>
      </w:r>
      <w:r w:rsidR="001A62D7" w:rsidRPr="008D462D">
        <w:rPr>
          <w:noProof/>
        </w:rPr>
        <w:t xml:space="preserve">application </w:t>
      </w:r>
      <w:r w:rsidR="001A62D7">
        <w:rPr>
          <w:noProof/>
        </w:rPr>
        <w:t xml:space="preserve">to mobilise </w:t>
      </w:r>
      <w:r w:rsidR="001A62D7" w:rsidRPr="008D462D">
        <w:rPr>
          <w:noProof/>
        </w:rPr>
        <w:t>the EGF</w:t>
      </w:r>
      <w:r w:rsidR="001A62D7">
        <w:rPr>
          <w:noProof/>
        </w:rPr>
        <w:t xml:space="preserve"> in accordance with Article 8(1) of Regulation (EU) 2021/691</w:t>
      </w:r>
      <w:r w:rsidR="001A62D7" w:rsidRPr="008D462D">
        <w:rPr>
          <w:noProof/>
        </w:rPr>
        <w:t xml:space="preserve">, </w:t>
      </w:r>
      <w:r w:rsidR="001A62D7">
        <w:rPr>
          <w:noProof/>
        </w:rPr>
        <w:t>in respect of</w:t>
      </w:r>
      <w:r w:rsidR="001A62D7" w:rsidRPr="008D462D">
        <w:rPr>
          <w:noProof/>
        </w:rPr>
        <w:t xml:space="preserve"> </w:t>
      </w:r>
      <w:r w:rsidR="001A62D7">
        <w:rPr>
          <w:noProof/>
        </w:rPr>
        <w:t xml:space="preserve">worker’s displacements </w:t>
      </w:r>
      <w:r w:rsidR="001A62D7" w:rsidRPr="009429ED">
        <w:rPr>
          <w:noProof/>
        </w:rPr>
        <w:t>in</w:t>
      </w:r>
      <w:r w:rsidR="001A62D7">
        <w:rPr>
          <w:noProof/>
        </w:rPr>
        <w:t xml:space="preserve"> </w:t>
      </w:r>
      <w:r w:rsidR="00DC7444" w:rsidRPr="00DC7444">
        <w:rPr>
          <w:noProof/>
        </w:rPr>
        <w:t>Audi</w:t>
      </w:r>
      <w:r w:rsidR="00DC7444">
        <w:rPr>
          <w:noProof/>
        </w:rPr>
        <w:t xml:space="preserve"> Brussels S.A.:n.V.</w:t>
      </w:r>
      <w:r w:rsidR="001A62D7">
        <w:rPr>
          <w:noProof/>
        </w:rPr>
        <w:t xml:space="preserve"> </w:t>
      </w:r>
      <w:r w:rsidR="002A2C83">
        <w:rPr>
          <w:noProof/>
        </w:rPr>
        <w:t>and</w:t>
      </w:r>
      <w:r w:rsidR="00DC7444">
        <w:rPr>
          <w:noProof/>
        </w:rPr>
        <w:t xml:space="preserve"> five</w:t>
      </w:r>
      <w:r w:rsidR="00EF7B8C">
        <w:rPr>
          <w:noProof/>
        </w:rPr>
        <w:t xml:space="preserve"> of its</w:t>
      </w:r>
      <w:r w:rsidR="001A62D7">
        <w:rPr>
          <w:noProof/>
        </w:rPr>
        <w:t xml:space="preserve"> </w:t>
      </w:r>
      <w:r w:rsidR="001A62D7" w:rsidRPr="002A2C83">
        <w:rPr>
          <w:noProof/>
        </w:rPr>
        <w:t>suppliers and dowstream producers</w:t>
      </w:r>
      <w:r w:rsidR="001A62D7" w:rsidRPr="002A2C83">
        <w:rPr>
          <w:noProof/>
          <w:color w:val="FFFFFF" w:themeColor="background1"/>
          <w:u w:val="single"/>
        </w:rPr>
        <w:t xml:space="preserve"> </w:t>
      </w:r>
      <w:r w:rsidR="001A62D7" w:rsidRPr="002A2C83">
        <w:rPr>
          <w:noProof/>
        </w:rPr>
        <w:t xml:space="preserve">in </w:t>
      </w:r>
      <w:r w:rsidR="00DC7444">
        <w:rPr>
          <w:noProof/>
        </w:rPr>
        <w:t>Belgium</w:t>
      </w:r>
      <w:r w:rsidR="001A62D7" w:rsidRPr="002A2C83">
        <w:rPr>
          <w:noProof/>
        </w:rPr>
        <w:t>. It was supplemented by additional information provided in accordance with Article 8(5) of Regulation (EU) 2021/691. That application</w:t>
      </w:r>
      <w:r w:rsidR="001A62D7">
        <w:rPr>
          <w:noProof/>
        </w:rPr>
        <w:t xml:space="preserve"> </w:t>
      </w:r>
      <w:r w:rsidR="001A62D7" w:rsidRPr="001D4700">
        <w:rPr>
          <w:iCs/>
          <w:noProof/>
        </w:rPr>
        <w:t xml:space="preserve">is considered to comply </w:t>
      </w:r>
      <w:r w:rsidR="001A62D7" w:rsidRPr="001D4700">
        <w:rPr>
          <w:noProof/>
        </w:rPr>
        <w:t xml:space="preserve">with the conditions for </w:t>
      </w:r>
      <w:r w:rsidR="001A62D7" w:rsidRPr="001D4700">
        <w:rPr>
          <w:iCs/>
          <w:noProof/>
        </w:rPr>
        <w:t xml:space="preserve">providing </w:t>
      </w:r>
      <w:r w:rsidR="001A62D7" w:rsidRPr="001D4700">
        <w:rPr>
          <w:noProof/>
        </w:rPr>
        <w:t xml:space="preserve">a financial contribution from the EGF as laid down in Article 13 of Regulation (EU) 2021/691, </w:t>
      </w:r>
      <w:r w:rsidR="001A62D7" w:rsidRPr="001D4700">
        <w:rPr>
          <w:iCs/>
          <w:noProof/>
        </w:rPr>
        <w:t>on the basis of the assessment made by the Commission in the Proposal for a mobilisation decision of the European Parliament and of the Council</w:t>
      </w:r>
      <w:r w:rsidR="001A62D7">
        <w:rPr>
          <w:rStyle w:val="FootnoteReference"/>
          <w:iCs/>
          <w:noProof/>
        </w:rPr>
        <w:footnoteReference w:id="46"/>
      </w:r>
      <w:r w:rsidR="001A62D7" w:rsidRPr="001D4700">
        <w:rPr>
          <w:iCs/>
          <w:noProof/>
        </w:rPr>
        <w:t xml:space="preserve">. </w:t>
      </w:r>
    </w:p>
    <w:p w:rsidR="001A62D7" w:rsidRDefault="0063514A" w:rsidP="0063514A">
      <w:pPr>
        <w:pStyle w:val="ManualConsidrant"/>
        <w:rPr>
          <w:noProof/>
        </w:rPr>
      </w:pPr>
      <w:r w:rsidRPr="0063514A">
        <w:rPr>
          <w:noProof/>
        </w:rPr>
        <w:t>(4)</w:t>
      </w:r>
      <w:r w:rsidRPr="0063514A">
        <w:rPr>
          <w:noProof/>
        </w:rPr>
        <w:tab/>
      </w:r>
      <w:r w:rsidR="001A62D7">
        <w:rPr>
          <w:noProof/>
        </w:rPr>
        <w:t>The EGF should, therefore, be mobilised to provide a financial contribution of EUR </w:t>
      </w:r>
      <w:r w:rsidR="00DC7444">
        <w:rPr>
          <w:noProof/>
        </w:rPr>
        <w:t>7 527 625</w:t>
      </w:r>
      <w:r w:rsidR="001A62D7">
        <w:rPr>
          <w:noProof/>
        </w:rPr>
        <w:t xml:space="preserve"> in respect of the application submitted by </w:t>
      </w:r>
      <w:r w:rsidR="00D6013C">
        <w:rPr>
          <w:noProof/>
        </w:rPr>
        <w:t>Belgium</w:t>
      </w:r>
      <w:r w:rsidR="001A62D7">
        <w:rPr>
          <w:noProof/>
        </w:rPr>
        <w:t>.</w:t>
      </w:r>
    </w:p>
    <w:p w:rsidR="001A62D7" w:rsidRDefault="0063514A" w:rsidP="0063514A">
      <w:pPr>
        <w:pStyle w:val="ManualConsidrant"/>
        <w:rPr>
          <w:noProof/>
        </w:rPr>
      </w:pPr>
      <w:r w:rsidRPr="0063514A">
        <w:rPr>
          <w:noProof/>
        </w:rPr>
        <w:t>(5)</w:t>
      </w:r>
      <w:r w:rsidRPr="0063514A">
        <w:rPr>
          <w:noProof/>
        </w:rPr>
        <w:tab/>
      </w:r>
      <w:r w:rsidR="001A62D7" w:rsidRPr="00370985">
        <w:rPr>
          <w:noProof/>
        </w:rPr>
        <w:t>In order to minimise the time taken to mobilise the EGF, this decision should apply from the date of its adoption</w:t>
      </w:r>
      <w:r w:rsidR="001A62D7">
        <w:rPr>
          <w:noProof/>
        </w:rPr>
        <w:t>,</w:t>
      </w:r>
    </w:p>
    <w:p w:rsidR="001A62D7" w:rsidRDefault="001A62D7" w:rsidP="001A62D7">
      <w:pPr>
        <w:pStyle w:val="Formuledadoption"/>
        <w:rPr>
          <w:noProof/>
        </w:rPr>
      </w:pPr>
      <w:r>
        <w:rPr>
          <w:noProof/>
        </w:rPr>
        <w:t xml:space="preserve">HAVE ADOPTED THIS DECISION: </w:t>
      </w:r>
    </w:p>
    <w:p w:rsidR="001A62D7" w:rsidRDefault="001A62D7" w:rsidP="001A62D7">
      <w:pPr>
        <w:pStyle w:val="Titrearticle"/>
        <w:rPr>
          <w:noProof/>
        </w:rPr>
      </w:pPr>
      <w:r>
        <w:rPr>
          <w:noProof/>
        </w:rPr>
        <w:t>Article 1</w:t>
      </w:r>
    </w:p>
    <w:p w:rsidR="001A62D7" w:rsidRDefault="001A62D7" w:rsidP="001A62D7">
      <w:pPr>
        <w:rPr>
          <w:noProof/>
        </w:rPr>
      </w:pPr>
      <w:r>
        <w:rPr>
          <w:noProof/>
        </w:rPr>
        <w:t xml:space="preserve">For the general budget of the Union for the financial year </w:t>
      </w:r>
      <w:r w:rsidR="00D6013C">
        <w:rPr>
          <w:noProof/>
        </w:rPr>
        <w:t>2026</w:t>
      </w:r>
      <w:r>
        <w:rPr>
          <w:noProof/>
        </w:rPr>
        <w:t>, the European Globalisation Adjustment Fund for Displaced Workers shall be mobilised to provide the amount of EUR </w:t>
      </w:r>
      <w:r w:rsidR="00DC7444">
        <w:rPr>
          <w:noProof/>
        </w:rPr>
        <w:t>7 527 625</w:t>
      </w:r>
      <w:r>
        <w:rPr>
          <w:noProof/>
        </w:rPr>
        <w:t xml:space="preserve"> in commitment and payment appropriations.</w:t>
      </w:r>
    </w:p>
    <w:p w:rsidR="001A62D7" w:rsidRDefault="001A62D7" w:rsidP="0030397F">
      <w:pPr>
        <w:pStyle w:val="Titrearticle"/>
        <w:rPr>
          <w:noProof/>
        </w:rPr>
      </w:pPr>
      <w:r>
        <w:rPr>
          <w:noProof/>
        </w:rPr>
        <w:t>Article 2</w:t>
      </w:r>
    </w:p>
    <w:p w:rsidR="001A62D7" w:rsidRDefault="001A62D7" w:rsidP="001A62D7">
      <w:pPr>
        <w:keepNext/>
        <w:keepLines/>
        <w:rPr>
          <w:noProof/>
        </w:rPr>
      </w:pPr>
      <w:r w:rsidRPr="001B05DF">
        <w:rPr>
          <w:noProof/>
        </w:rPr>
        <w:t xml:space="preserve">This Decision shall enter into force on </w:t>
      </w:r>
      <w:r>
        <w:rPr>
          <w:noProof/>
        </w:rPr>
        <w:t xml:space="preserve">the day of its </w:t>
      </w:r>
      <w:r w:rsidRPr="00370985">
        <w:rPr>
          <w:noProof/>
        </w:rPr>
        <w:t>publication in the Officia</w:t>
      </w:r>
      <w:r>
        <w:rPr>
          <w:noProof/>
        </w:rPr>
        <w:t xml:space="preserve">l Journal of the European Union. </w:t>
      </w:r>
      <w:r w:rsidRPr="00FE2101">
        <w:rPr>
          <w:noProof/>
        </w:rPr>
        <w:t xml:space="preserve">It shall apply from </w:t>
      </w:r>
      <w:r w:rsidRPr="00855ED0">
        <w:rPr>
          <w:noProof/>
          <w:color w:val="FF0000"/>
        </w:rPr>
        <w:t>[</w:t>
      </w:r>
      <w:r w:rsidRPr="00855ED0">
        <w:rPr>
          <w:i/>
          <w:noProof/>
          <w:color w:val="FF0000"/>
        </w:rPr>
        <w:t>the date of its adoption</w:t>
      </w:r>
      <w:r w:rsidRPr="00855ED0">
        <w:rPr>
          <w:noProof/>
          <w:color w:val="FF0000"/>
        </w:rPr>
        <w:t>]</w:t>
      </w:r>
      <w:r w:rsidR="00D2113F">
        <w:rPr>
          <w:rStyle w:val="FootnoteReference"/>
          <w:noProof/>
          <w:color w:val="FF0000"/>
        </w:rPr>
        <w:footnoteReference w:customMarkFollows="1" w:id="47"/>
        <w:t>*</w:t>
      </w:r>
      <w:r w:rsidRPr="00FE2101">
        <w:rPr>
          <w:noProof/>
        </w:rPr>
        <w:t>.</w:t>
      </w:r>
    </w:p>
    <w:p w:rsidR="001A62D7" w:rsidRDefault="0055684C" w:rsidP="0030397F">
      <w:pPr>
        <w:pStyle w:val="Fait"/>
        <w:rPr>
          <w:noProof/>
        </w:rPr>
      </w:pPr>
      <w:r>
        <w:rPr>
          <w:noProof/>
        </w:rPr>
        <w:t>Done at Brussels,</w:t>
      </w:r>
    </w:p>
    <w:p w:rsidR="001A62D7" w:rsidRDefault="001A62D7" w:rsidP="0030397F">
      <w:pPr>
        <w:pStyle w:val="Institutionquisigne"/>
        <w:rPr>
          <w:noProof/>
        </w:rPr>
      </w:pPr>
      <w:r>
        <w:rPr>
          <w:noProof/>
        </w:rPr>
        <w:t>For the European Parliament</w:t>
      </w:r>
      <w:r>
        <w:rPr>
          <w:noProof/>
        </w:rPr>
        <w:tab/>
        <w:t>For the Council</w:t>
      </w:r>
    </w:p>
    <w:p w:rsidR="001A62D7" w:rsidRPr="00D12B65" w:rsidRDefault="001A62D7" w:rsidP="001A62D7">
      <w:pPr>
        <w:pStyle w:val="Personnequisigne"/>
        <w:rPr>
          <w:noProof/>
        </w:rPr>
      </w:pPr>
      <w:r>
        <w:rPr>
          <w:noProof/>
        </w:rPr>
        <w:t>The President</w:t>
      </w:r>
      <w:r>
        <w:rPr>
          <w:noProof/>
        </w:rPr>
        <w:tab/>
        <w:t>The President</w:t>
      </w:r>
      <w:r>
        <w:rPr>
          <w:noProof/>
        </w:rPr>
        <w:br/>
      </w:r>
    </w:p>
    <w:sectPr w:rsidR="001A62D7" w:rsidRPr="00D12B65" w:rsidSect="00DB47D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227" w:rsidRDefault="00243227" w:rsidP="001A62D7">
      <w:pPr>
        <w:spacing w:before="0" w:after="0"/>
      </w:pPr>
      <w:r>
        <w:separator/>
      </w:r>
    </w:p>
  </w:endnote>
  <w:endnote w:type="continuationSeparator" w:id="0">
    <w:p w:rsidR="00243227" w:rsidRDefault="00243227"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7D8" w:rsidRPr="00DB47D8" w:rsidRDefault="00DB47D8" w:rsidP="00DB47D8">
    <w:pPr>
      <w:pStyle w:val="Footer"/>
      <w:rPr>
        <w:rFonts w:ascii="Arial" w:hAnsi="Arial" w:cs="Arial"/>
        <w:b/>
        <w:sz w:val="48"/>
      </w:rPr>
    </w:pPr>
    <w:r w:rsidRPr="00DB47D8">
      <w:rPr>
        <w:rFonts w:ascii="Arial" w:hAnsi="Arial" w:cs="Arial"/>
        <w:b/>
        <w:sz w:val="48"/>
      </w:rPr>
      <w:t>EN</w:t>
    </w:r>
    <w:r w:rsidRPr="00DB47D8">
      <w:rPr>
        <w:rFonts w:ascii="Arial" w:hAnsi="Arial" w:cs="Arial"/>
        <w:b/>
        <w:sz w:val="48"/>
      </w:rPr>
      <w:tab/>
    </w:r>
    <w:r w:rsidRPr="00DB47D8">
      <w:rPr>
        <w:rFonts w:ascii="Arial" w:hAnsi="Arial" w:cs="Arial"/>
        <w:b/>
        <w:sz w:val="48"/>
      </w:rPr>
      <w:tab/>
    </w:r>
    <w:r w:rsidRPr="00DB47D8">
      <w:tab/>
    </w:r>
    <w:r w:rsidRPr="00DB47D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7D8" w:rsidRPr="00DB47D8" w:rsidRDefault="00DB47D8" w:rsidP="00DB47D8">
    <w:pPr>
      <w:pStyle w:val="Footer"/>
      <w:rPr>
        <w:rFonts w:ascii="Arial" w:hAnsi="Arial" w:cs="Arial"/>
        <w:b/>
        <w:sz w:val="48"/>
      </w:rPr>
    </w:pPr>
    <w:r w:rsidRPr="00DB47D8">
      <w:rPr>
        <w:rFonts w:ascii="Arial" w:hAnsi="Arial" w:cs="Arial"/>
        <w:b/>
        <w:sz w:val="48"/>
      </w:rPr>
      <w:t>EN</w:t>
    </w:r>
    <w:r w:rsidRPr="00DB47D8">
      <w:rPr>
        <w:rFonts w:ascii="Arial" w:hAnsi="Arial" w:cs="Arial"/>
        <w:b/>
        <w:sz w:val="48"/>
      </w:rPr>
      <w:tab/>
    </w:r>
    <w:r w:rsidRPr="00DB47D8">
      <w:rPr>
        <w:rFonts w:ascii="Arial" w:hAnsi="Arial" w:cs="Arial"/>
        <w:b/>
        <w:sz w:val="48"/>
      </w:rPr>
      <w:tab/>
    </w:r>
    <w:r w:rsidRPr="00DB47D8">
      <w:tab/>
    </w:r>
    <w:r w:rsidRPr="00DB47D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7D8" w:rsidRDefault="00DB47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7D8" w:rsidRPr="00DB47D8" w:rsidRDefault="00DB47D8" w:rsidP="00DB47D8">
    <w:pPr>
      <w:pStyle w:val="Footer"/>
      <w:rPr>
        <w:rFonts w:ascii="Arial" w:hAnsi="Arial" w:cs="Arial"/>
        <w:b/>
        <w:sz w:val="48"/>
      </w:rPr>
    </w:pPr>
    <w:r w:rsidRPr="00DB47D8">
      <w:rPr>
        <w:rFonts w:ascii="Arial" w:hAnsi="Arial" w:cs="Arial"/>
        <w:b/>
        <w:sz w:val="48"/>
      </w:rPr>
      <w:t>EN</w:t>
    </w:r>
    <w:r w:rsidRPr="00DB47D8">
      <w:rPr>
        <w:rFonts w:ascii="Arial" w:hAnsi="Arial" w:cs="Arial"/>
        <w:b/>
        <w:sz w:val="48"/>
      </w:rPr>
      <w:tab/>
    </w:r>
    <w:r>
      <w:fldChar w:fldCharType="begin"/>
    </w:r>
    <w:r>
      <w:instrText xml:space="preserve"> PAGE  \* MERGEFORMAT </w:instrText>
    </w:r>
    <w:r>
      <w:fldChar w:fldCharType="separate"/>
    </w:r>
    <w:r w:rsidR="0030397F">
      <w:rPr>
        <w:noProof/>
      </w:rPr>
      <w:t>13</w:t>
    </w:r>
    <w:r>
      <w:fldChar w:fldCharType="end"/>
    </w:r>
    <w:r>
      <w:tab/>
    </w:r>
    <w:r w:rsidRPr="00DB47D8">
      <w:tab/>
    </w:r>
    <w:r w:rsidRPr="00DB47D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7D8" w:rsidRDefault="00DB47D8" w:rsidP="00DB47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227" w:rsidRDefault="00243227" w:rsidP="001A62D7">
      <w:pPr>
        <w:spacing w:before="0" w:after="0"/>
      </w:pPr>
      <w:r>
        <w:separator/>
      </w:r>
    </w:p>
  </w:footnote>
  <w:footnote w:type="continuationSeparator" w:id="0">
    <w:p w:rsidR="00243227" w:rsidRDefault="00243227" w:rsidP="001A62D7">
      <w:pPr>
        <w:spacing w:before="0" w:after="0"/>
      </w:pPr>
      <w:r>
        <w:continuationSeparator/>
      </w:r>
    </w:p>
  </w:footnote>
  <w:footnote w:id="1">
    <w:p w:rsidR="001A62D7" w:rsidRPr="00BE109D" w:rsidRDefault="001A62D7" w:rsidP="001A62D7">
      <w:pPr>
        <w:pStyle w:val="FootnoteText"/>
      </w:pPr>
      <w:r w:rsidRPr="00872F86">
        <w:rPr>
          <w:rStyle w:val="FootnoteReference"/>
        </w:rPr>
        <w:footnoteRef/>
      </w:r>
      <w:r w:rsidRPr="00BE109D">
        <w:tab/>
      </w:r>
      <w:r w:rsidRPr="00295349">
        <w:t>OJ L 153, 3.5.2021, p. 48</w:t>
      </w:r>
      <w:r w:rsidRPr="00BE109D">
        <w:t>.</w:t>
      </w:r>
    </w:p>
  </w:footnote>
  <w:footnote w:id="2">
    <w:p w:rsidR="001A62D7" w:rsidRPr="002308DE" w:rsidRDefault="001A62D7" w:rsidP="001A62D7">
      <w:pPr>
        <w:pStyle w:val="FootnoteText"/>
      </w:pPr>
      <w:r>
        <w:rPr>
          <w:rStyle w:val="FootnoteReference"/>
        </w:rPr>
        <w:footnoteRef/>
      </w:r>
      <w:r w:rsidRPr="002308DE">
        <w:tab/>
      </w:r>
      <w:r w:rsidRPr="003D4C12">
        <w:t>Commission Delegated Regulation 2019/1755 of 8 August 2019 amending the Annexes to Regulation (EC) No 1059/2003 of the European Parliament and of the Council on the establishment of a common classification of territorial units for statistics (NUTS). OJ L 270, 24.10.2019, p. 1–56</w:t>
      </w:r>
      <w:r>
        <w:t>.</w:t>
      </w:r>
    </w:p>
  </w:footnote>
  <w:footnote w:id="3">
    <w:p w:rsidR="001C4425" w:rsidRPr="001C4425" w:rsidRDefault="001C4425">
      <w:pPr>
        <w:pStyle w:val="FootnoteText"/>
        <w:rPr>
          <w:lang w:val="en-IE"/>
        </w:rPr>
      </w:pPr>
      <w:r>
        <w:rPr>
          <w:rStyle w:val="FootnoteReference"/>
        </w:rPr>
        <w:footnoteRef/>
      </w:r>
      <w:r w:rsidRPr="001C4425">
        <w:rPr>
          <w:lang w:val="en-IE"/>
        </w:rPr>
        <w:tab/>
        <w:t>R</w:t>
      </w:r>
      <w:r>
        <w:rPr>
          <w:lang w:val="en-IE"/>
        </w:rPr>
        <w:t>egions most affected, as r</w:t>
      </w:r>
      <w:r w:rsidRPr="001C4425">
        <w:rPr>
          <w:lang w:val="en-IE"/>
        </w:rPr>
        <w:t>edundancies are spread over t</w:t>
      </w:r>
      <w:r>
        <w:rPr>
          <w:lang w:val="en-IE"/>
        </w:rPr>
        <w:t xml:space="preserve">he whole of Belgium. </w:t>
      </w:r>
    </w:p>
  </w:footnote>
  <w:footnote w:id="4">
    <w:p w:rsidR="001A62D7" w:rsidRPr="00A50D50" w:rsidRDefault="001A62D7" w:rsidP="001A62D7">
      <w:pPr>
        <w:pStyle w:val="FootnoteText"/>
      </w:pPr>
      <w:r w:rsidRPr="009B1FDB">
        <w:rPr>
          <w:rStyle w:val="FootnoteReference"/>
        </w:rPr>
        <w:footnoteRef/>
      </w:r>
      <w:r>
        <w:tab/>
      </w:r>
      <w:r w:rsidRPr="00A50D50">
        <w:t>OJ L 393, 30.12.2006, p. 1.</w:t>
      </w:r>
    </w:p>
  </w:footnote>
  <w:footnote w:id="5">
    <w:p w:rsidR="00424B7A" w:rsidRPr="008D17F5" w:rsidRDefault="00424B7A">
      <w:pPr>
        <w:pStyle w:val="FootnoteText"/>
        <w:rPr>
          <w:lang w:val="en-IE"/>
        </w:rPr>
      </w:pPr>
      <w:r>
        <w:rPr>
          <w:rStyle w:val="FootnoteReference"/>
        </w:rPr>
        <w:footnoteRef/>
      </w:r>
      <w:r w:rsidRPr="008D17F5">
        <w:rPr>
          <w:lang w:val="en-IE"/>
        </w:rPr>
        <w:tab/>
        <w:t>The sector of economic a</w:t>
      </w:r>
      <w:r>
        <w:rPr>
          <w:lang w:val="en-IE"/>
        </w:rPr>
        <w:t xml:space="preserve">ctivity </w:t>
      </w:r>
      <w:r w:rsidR="006C598A">
        <w:rPr>
          <w:lang w:val="en-IE"/>
        </w:rPr>
        <w:t xml:space="preserve">of </w:t>
      </w:r>
      <w:r>
        <w:rPr>
          <w:lang w:val="en-IE"/>
        </w:rPr>
        <w:t xml:space="preserve">two </w:t>
      </w:r>
      <w:r w:rsidRPr="0010215C">
        <w:rPr>
          <w:lang w:val="en-IE"/>
        </w:rPr>
        <w:t>A</w:t>
      </w:r>
      <w:r>
        <w:rPr>
          <w:lang w:val="en-IE"/>
        </w:rPr>
        <w:t xml:space="preserve">udi’s suppliers and downstream producers (Imperial logistics and Rhenus automotive) is </w:t>
      </w:r>
      <w:r w:rsidRPr="00424B7A">
        <w:rPr>
          <w:lang w:val="en-IE"/>
        </w:rPr>
        <w:t>Division 52 (Warehousing, storage and support activities for transportation)</w:t>
      </w:r>
      <w:r>
        <w:rPr>
          <w:lang w:val="en-IE"/>
        </w:rPr>
        <w:t>.</w:t>
      </w:r>
    </w:p>
  </w:footnote>
  <w:footnote w:id="6">
    <w:p w:rsidR="001A62D7" w:rsidRPr="00A50D50" w:rsidRDefault="001A62D7" w:rsidP="001A62D7">
      <w:pPr>
        <w:pStyle w:val="FootnoteText"/>
        <w:rPr>
          <w:lang w:val="en-US"/>
        </w:rPr>
      </w:pPr>
      <w:r w:rsidRPr="009B1FDB">
        <w:rPr>
          <w:rStyle w:val="FootnoteReference"/>
        </w:rPr>
        <w:footnoteRef/>
      </w:r>
      <w:r>
        <w:tab/>
      </w:r>
      <w:r w:rsidRPr="00A50D50">
        <w:t>In accordance with Article</w:t>
      </w:r>
      <w:r>
        <w:t> 7(5)</w:t>
      </w:r>
      <w:r w:rsidRPr="00A50D50">
        <w:t xml:space="preserve"> of Regulation </w:t>
      </w:r>
      <w:r w:rsidRPr="0063277E">
        <w:t>(EU) 2021/691.</w:t>
      </w:r>
    </w:p>
  </w:footnote>
  <w:footnote w:id="7">
    <w:p w:rsidR="003479D0" w:rsidRPr="003479D0" w:rsidRDefault="003479D0">
      <w:pPr>
        <w:pStyle w:val="FootnoteText"/>
        <w:rPr>
          <w:lang w:val="en-IE"/>
        </w:rPr>
      </w:pPr>
      <w:r>
        <w:rPr>
          <w:rStyle w:val="FootnoteReference"/>
        </w:rPr>
        <w:footnoteRef/>
      </w:r>
      <w:r w:rsidRPr="003479D0">
        <w:rPr>
          <w:lang w:val="en-IE"/>
        </w:rPr>
        <w:tab/>
      </w:r>
      <w:r>
        <w:rPr>
          <w:lang w:val="en-IE"/>
        </w:rPr>
        <w:t xml:space="preserve">A </w:t>
      </w:r>
      <w:r w:rsidRPr="003479D0">
        <w:rPr>
          <w:lang w:val="en-IE"/>
        </w:rPr>
        <w:t>press line is a set of stamping and forming machines designed to mass produce metal parts such as chassis and car body panels</w:t>
      </w:r>
      <w:r w:rsidR="0015242A">
        <w:rPr>
          <w:lang w:val="en-IE"/>
        </w:rPr>
        <w:t>.</w:t>
      </w:r>
    </w:p>
  </w:footnote>
  <w:footnote w:id="8">
    <w:p w:rsidR="002B1CAD" w:rsidRPr="00135FA1" w:rsidRDefault="002B1CAD">
      <w:pPr>
        <w:pStyle w:val="FootnoteText"/>
        <w:rPr>
          <w:lang w:val="en-IE"/>
        </w:rPr>
      </w:pPr>
      <w:r>
        <w:rPr>
          <w:rStyle w:val="FootnoteReference"/>
        </w:rPr>
        <w:footnoteRef/>
      </w:r>
      <w:r w:rsidRPr="00135FA1">
        <w:rPr>
          <w:lang w:val="en-IE"/>
        </w:rPr>
        <w:tab/>
      </w:r>
      <w:r w:rsidR="00135FA1" w:rsidRPr="00135FA1">
        <w:rPr>
          <w:lang w:val="en-IE"/>
        </w:rPr>
        <w:t>National Bank of Belgium Economic Review 2024, p.18</w:t>
      </w:r>
      <w:r w:rsidR="00135FA1">
        <w:rPr>
          <w:lang w:val="en-IE"/>
        </w:rPr>
        <w:t>.</w:t>
      </w:r>
    </w:p>
  </w:footnote>
  <w:footnote w:id="9">
    <w:p w:rsidR="00F11701" w:rsidRPr="00135FA1" w:rsidRDefault="00F11701">
      <w:pPr>
        <w:pStyle w:val="FootnoteText"/>
        <w:rPr>
          <w:lang w:val="en-IE"/>
        </w:rPr>
      </w:pPr>
      <w:r>
        <w:rPr>
          <w:rStyle w:val="FootnoteReference"/>
        </w:rPr>
        <w:footnoteRef/>
      </w:r>
      <w:r w:rsidRPr="00135FA1">
        <w:rPr>
          <w:lang w:val="en-IE"/>
        </w:rPr>
        <w:tab/>
      </w:r>
      <w:hyperlink r:id="rId1" w:history="1">
        <w:r w:rsidR="00135FA1" w:rsidRPr="00CA758A">
          <w:rPr>
            <w:rStyle w:val="Hyperlink"/>
            <w:lang w:val="en-IE"/>
          </w:rPr>
          <w:t>Statbel (</w:t>
        </w:r>
        <w:r w:rsidR="00135FA1" w:rsidRPr="00CA758A">
          <w:rPr>
            <w:rStyle w:val="Hyperlink"/>
          </w:rPr>
          <w:t>bankrupt</w:t>
        </w:r>
        <w:r w:rsidR="00DC1E0A">
          <w:rPr>
            <w:rStyle w:val="Hyperlink"/>
          </w:rPr>
          <w:t>c</w:t>
        </w:r>
        <w:r w:rsidR="00135FA1" w:rsidRPr="00CA758A">
          <w:rPr>
            <w:rStyle w:val="Hyperlink"/>
          </w:rPr>
          <w:t>ies in 2024)</w:t>
        </w:r>
      </w:hyperlink>
      <w:r w:rsidR="00135FA1">
        <w:t>.</w:t>
      </w:r>
    </w:p>
  </w:footnote>
  <w:footnote w:id="10">
    <w:p w:rsidR="00F054C5" w:rsidRPr="00135FA1" w:rsidRDefault="00F054C5">
      <w:pPr>
        <w:pStyle w:val="FootnoteText"/>
        <w:rPr>
          <w:lang w:val="en-IE"/>
        </w:rPr>
      </w:pPr>
      <w:r>
        <w:rPr>
          <w:rStyle w:val="FootnoteReference"/>
        </w:rPr>
        <w:footnoteRef/>
      </w:r>
      <w:r w:rsidRPr="00135FA1">
        <w:rPr>
          <w:lang w:val="en-IE"/>
        </w:rPr>
        <w:tab/>
      </w:r>
      <w:hyperlink r:id="rId2" w:anchor="figures" w:history="1">
        <w:r w:rsidR="00135FA1" w:rsidRPr="00FD5FB1">
          <w:rPr>
            <w:rStyle w:val="Hyperlink"/>
            <w:lang w:val="en-IE"/>
          </w:rPr>
          <w:t>Statbel (monthly bankrup</w:t>
        </w:r>
        <w:r w:rsidR="00135FA1">
          <w:rPr>
            <w:rStyle w:val="Hyperlink"/>
            <w:lang w:val="en-IE"/>
          </w:rPr>
          <w:t>t</w:t>
        </w:r>
        <w:r w:rsidR="00135FA1" w:rsidRPr="00FD5FB1">
          <w:rPr>
            <w:rStyle w:val="Hyperlink"/>
            <w:lang w:val="en-IE"/>
          </w:rPr>
          <w:t>cies)</w:t>
        </w:r>
      </w:hyperlink>
      <w:r w:rsidR="00135FA1">
        <w:t>.</w:t>
      </w:r>
    </w:p>
  </w:footnote>
  <w:footnote w:id="11">
    <w:p w:rsidR="00AD00C3" w:rsidRPr="00135FA1" w:rsidRDefault="00AD00C3">
      <w:pPr>
        <w:pStyle w:val="FootnoteText"/>
        <w:rPr>
          <w:lang w:val="fr-FR"/>
        </w:rPr>
      </w:pPr>
      <w:r>
        <w:rPr>
          <w:rStyle w:val="FootnoteReference"/>
        </w:rPr>
        <w:footnoteRef/>
      </w:r>
      <w:r w:rsidRPr="00135FA1">
        <w:rPr>
          <w:lang w:val="fr-FR"/>
        </w:rPr>
        <w:tab/>
      </w:r>
      <w:r w:rsidR="00135FA1" w:rsidRPr="00135FA1">
        <w:rPr>
          <w:lang w:val="fr-FR"/>
        </w:rPr>
        <w:t>Le Forem, Tendances et c</w:t>
      </w:r>
      <w:r w:rsidR="00135FA1">
        <w:rPr>
          <w:lang w:val="fr-FR"/>
        </w:rPr>
        <w:t>onjoncture, février 2025, p. 10</w:t>
      </w:r>
    </w:p>
  </w:footnote>
  <w:footnote w:id="12">
    <w:p w:rsidR="00217F8F" w:rsidRPr="00DC1E0A" w:rsidRDefault="00217F8F">
      <w:pPr>
        <w:pStyle w:val="FootnoteText"/>
      </w:pPr>
      <w:r>
        <w:rPr>
          <w:rStyle w:val="FootnoteReference"/>
        </w:rPr>
        <w:footnoteRef/>
      </w:r>
      <w:r w:rsidRPr="00DC1E0A">
        <w:rPr>
          <w:lang w:val="en-IE"/>
        </w:rPr>
        <w:tab/>
      </w:r>
      <w:hyperlink r:id="rId3" w:history="1">
        <w:r w:rsidR="00C175FE" w:rsidRPr="00CA758A">
          <w:rPr>
            <w:rStyle w:val="Hyperlink"/>
            <w:lang w:val="en-IE"/>
          </w:rPr>
          <w:t>Statbel (</w:t>
        </w:r>
        <w:r w:rsidR="00C175FE" w:rsidRPr="00CA758A">
          <w:rPr>
            <w:rStyle w:val="Hyperlink"/>
          </w:rPr>
          <w:t>bankrupt</w:t>
        </w:r>
        <w:r w:rsidR="00C175FE">
          <w:rPr>
            <w:rStyle w:val="Hyperlink"/>
          </w:rPr>
          <w:t>c</w:t>
        </w:r>
        <w:r w:rsidR="00C175FE" w:rsidRPr="00CA758A">
          <w:rPr>
            <w:rStyle w:val="Hyperlink"/>
          </w:rPr>
          <w:t>ies in 2024)</w:t>
        </w:r>
      </w:hyperlink>
      <w:r w:rsidR="00C175FE">
        <w:t>.</w:t>
      </w:r>
    </w:p>
  </w:footnote>
  <w:footnote w:id="13">
    <w:p w:rsidR="004C5360" w:rsidRPr="00DA42B0" w:rsidRDefault="004C5360">
      <w:pPr>
        <w:pStyle w:val="FootnoteText"/>
        <w:rPr>
          <w:lang w:val="en-IE"/>
        </w:rPr>
      </w:pPr>
      <w:r>
        <w:rPr>
          <w:rStyle w:val="FootnoteReference"/>
        </w:rPr>
        <w:footnoteRef/>
      </w:r>
      <w:r w:rsidRPr="00DA42B0">
        <w:rPr>
          <w:lang w:val="en-IE"/>
        </w:rPr>
        <w:tab/>
      </w:r>
      <w:r w:rsidR="00DA42B0" w:rsidRPr="00FD5FB1">
        <w:rPr>
          <w:lang w:val="en-IE"/>
        </w:rPr>
        <w:t>Statbel (</w:t>
      </w:r>
      <w:hyperlink r:id="rId4" w:history="1">
        <w:r w:rsidR="00DA42B0" w:rsidRPr="00FD5FB1">
          <w:rPr>
            <w:rStyle w:val="Hyperlink"/>
            <w:lang w:val="en-IE"/>
          </w:rPr>
          <w:t>Bankruptcies and job losses in Belgium by month</w:t>
        </w:r>
      </w:hyperlink>
      <w:r w:rsidR="00DA42B0" w:rsidRPr="00FD5FB1">
        <w:rPr>
          <w:lang w:val="en-IE"/>
        </w:rPr>
        <w:t>)</w:t>
      </w:r>
      <w:r w:rsidR="00DA42B0">
        <w:rPr>
          <w:lang w:val="en-IE"/>
        </w:rPr>
        <w:t>.</w:t>
      </w:r>
      <w:r w:rsidR="00DA42B0" w:rsidRPr="00FD5FB1">
        <w:rPr>
          <w:lang w:val="en-IE"/>
        </w:rPr>
        <w:t xml:space="preserve">  </w:t>
      </w:r>
    </w:p>
  </w:footnote>
  <w:footnote w:id="14">
    <w:p w:rsidR="00D95ACC" w:rsidRPr="00F62472" w:rsidRDefault="00D95ACC">
      <w:pPr>
        <w:pStyle w:val="FootnoteText"/>
        <w:rPr>
          <w:lang w:val="en-IE"/>
        </w:rPr>
      </w:pPr>
      <w:r>
        <w:rPr>
          <w:rStyle w:val="FootnoteReference"/>
        </w:rPr>
        <w:footnoteRef/>
      </w:r>
      <w:r w:rsidRPr="00F62472">
        <w:rPr>
          <w:lang w:val="en-IE"/>
        </w:rPr>
        <w:tab/>
      </w:r>
      <w:r w:rsidR="00F62472" w:rsidRPr="00F62472">
        <w:rPr>
          <w:lang w:val="en-IE"/>
        </w:rPr>
        <w:t>Statbel (</w:t>
      </w:r>
      <w:hyperlink r:id="rId5" w:history="1">
        <w:r w:rsidR="00F62472" w:rsidRPr="00F62472">
          <w:rPr>
            <w:rStyle w:val="Hyperlink"/>
            <w:lang w:val="en-IE"/>
          </w:rPr>
          <w:t>Bankruptcies and job losses by economic activity in Belgium by month</w:t>
        </w:r>
      </w:hyperlink>
      <w:r w:rsidR="00F62472" w:rsidRPr="00F62472">
        <w:rPr>
          <w:lang w:val="en-IE"/>
        </w:rPr>
        <w:t>)</w:t>
      </w:r>
      <w:r w:rsidR="00583654">
        <w:rPr>
          <w:lang w:val="en-IE"/>
        </w:rPr>
        <w:t>.</w:t>
      </w:r>
      <w:r w:rsidR="00F62472" w:rsidRPr="00F62472">
        <w:rPr>
          <w:lang w:val="en-IE"/>
        </w:rPr>
        <w:t xml:space="preserve">  </w:t>
      </w:r>
    </w:p>
  </w:footnote>
  <w:footnote w:id="15">
    <w:p w:rsidR="00583654" w:rsidRPr="00583654" w:rsidRDefault="00583654">
      <w:pPr>
        <w:pStyle w:val="FootnoteText"/>
        <w:rPr>
          <w:lang w:val="en-IE"/>
        </w:rPr>
      </w:pPr>
      <w:r>
        <w:rPr>
          <w:rStyle w:val="FootnoteReference"/>
        </w:rPr>
        <w:footnoteRef/>
      </w:r>
      <w:r w:rsidRPr="00583654">
        <w:rPr>
          <w:lang w:val="en-IE"/>
        </w:rPr>
        <w:tab/>
        <w:t>Statbel (</w:t>
      </w:r>
      <w:hyperlink r:id="rId6" w:anchor="figures" w:history="1">
        <w:r w:rsidRPr="00583654">
          <w:rPr>
            <w:rStyle w:val="Hyperlink"/>
            <w:lang w:val="en-IE"/>
          </w:rPr>
          <w:t>Employment and unemployment</w:t>
        </w:r>
      </w:hyperlink>
      <w:r w:rsidRPr="00583654">
        <w:rPr>
          <w:lang w:val="en-IE"/>
        </w:rPr>
        <w:t>)</w:t>
      </w:r>
      <w:r>
        <w:rPr>
          <w:lang w:val="en-IE"/>
        </w:rPr>
        <w:t>.</w:t>
      </w:r>
    </w:p>
  </w:footnote>
  <w:footnote w:id="16">
    <w:p w:rsidR="00583654" w:rsidRPr="00583654" w:rsidRDefault="00583654">
      <w:pPr>
        <w:pStyle w:val="FootnoteText"/>
        <w:rPr>
          <w:lang w:val="en-IE"/>
        </w:rPr>
      </w:pPr>
      <w:r>
        <w:rPr>
          <w:rStyle w:val="FootnoteReference"/>
        </w:rPr>
        <w:footnoteRef/>
      </w:r>
      <w:r w:rsidRPr="00583654">
        <w:rPr>
          <w:lang w:val="en-IE"/>
        </w:rPr>
        <w:tab/>
        <w:t xml:space="preserve">Eurostat, </w:t>
      </w:r>
      <w:hyperlink r:id="rId7" w:anchor=":~:text=The%20EU%20unemployment%20rate%20was,were%20unemployed%20in%20August%202025." w:history="1">
        <w:r w:rsidRPr="00583654">
          <w:rPr>
            <w:rStyle w:val="Hyperlink"/>
            <w:lang w:val="en-IE"/>
          </w:rPr>
          <w:t>Euro indicators</w:t>
        </w:r>
      </w:hyperlink>
      <w:r w:rsidRPr="00583654">
        <w:rPr>
          <w:lang w:val="en-IE"/>
        </w:rPr>
        <w:t>.</w:t>
      </w:r>
    </w:p>
  </w:footnote>
  <w:footnote w:id="17">
    <w:p w:rsidR="00583654" w:rsidRPr="007270A4" w:rsidRDefault="00583654">
      <w:pPr>
        <w:pStyle w:val="FootnoteText"/>
        <w:rPr>
          <w:lang w:val="en-IE"/>
        </w:rPr>
      </w:pPr>
      <w:r>
        <w:rPr>
          <w:rStyle w:val="FootnoteReference"/>
        </w:rPr>
        <w:footnoteRef/>
      </w:r>
      <w:r w:rsidRPr="007270A4">
        <w:rPr>
          <w:lang w:val="en-IE"/>
        </w:rPr>
        <w:tab/>
      </w:r>
      <w:r w:rsidRPr="00583654">
        <w:rPr>
          <w:lang w:val="en-IE"/>
        </w:rPr>
        <w:t>Statbel (</w:t>
      </w:r>
      <w:hyperlink r:id="rId8" w:anchor="figures" w:history="1">
        <w:r w:rsidRPr="00583654">
          <w:rPr>
            <w:rStyle w:val="Hyperlink"/>
            <w:lang w:val="en-IE"/>
          </w:rPr>
          <w:t>Employment and unemployment</w:t>
        </w:r>
      </w:hyperlink>
      <w:r w:rsidRPr="00583654">
        <w:rPr>
          <w:lang w:val="en-IE"/>
        </w:rPr>
        <w:t>)</w:t>
      </w:r>
      <w:r>
        <w:rPr>
          <w:lang w:val="en-IE"/>
        </w:rPr>
        <w:t>.</w:t>
      </w:r>
    </w:p>
  </w:footnote>
  <w:footnote w:id="18">
    <w:p w:rsidR="00982507" w:rsidRPr="00982507" w:rsidRDefault="00982507">
      <w:pPr>
        <w:pStyle w:val="FootnoteText"/>
        <w:rPr>
          <w:lang w:val="en-IE"/>
        </w:rPr>
      </w:pPr>
      <w:r>
        <w:rPr>
          <w:rStyle w:val="FootnoteReference"/>
        </w:rPr>
        <w:footnoteRef/>
      </w:r>
      <w:r w:rsidRPr="00982507">
        <w:rPr>
          <w:lang w:val="en-IE"/>
        </w:rPr>
        <w:tab/>
      </w:r>
      <w:r w:rsidRPr="00583654">
        <w:rPr>
          <w:lang w:val="en-IE"/>
        </w:rPr>
        <w:t>Statbel (</w:t>
      </w:r>
      <w:hyperlink r:id="rId9" w:history="1">
        <w:r w:rsidRPr="00982507">
          <w:rPr>
            <w:rStyle w:val="Hyperlink"/>
            <w:lang w:val="en-IE"/>
          </w:rPr>
          <w:t>Employment and unemployment</w:t>
        </w:r>
      </w:hyperlink>
      <w:r w:rsidRPr="00583654">
        <w:rPr>
          <w:lang w:val="en-IE"/>
        </w:rPr>
        <w:t>)</w:t>
      </w:r>
      <w:r>
        <w:rPr>
          <w:lang w:val="en-IE"/>
        </w:rPr>
        <w:t>.</w:t>
      </w:r>
    </w:p>
  </w:footnote>
  <w:footnote w:id="19">
    <w:p w:rsidR="0041705D" w:rsidRPr="00982507" w:rsidRDefault="0041705D">
      <w:pPr>
        <w:pStyle w:val="FootnoteText"/>
        <w:rPr>
          <w:lang w:val="en-IE"/>
        </w:rPr>
      </w:pPr>
      <w:r>
        <w:rPr>
          <w:rStyle w:val="FootnoteReference"/>
        </w:rPr>
        <w:footnoteRef/>
      </w:r>
      <w:r w:rsidRPr="00982507">
        <w:rPr>
          <w:lang w:val="en-IE"/>
        </w:rPr>
        <w:tab/>
      </w:r>
      <w:r w:rsidRPr="00583654">
        <w:rPr>
          <w:lang w:val="en-IE"/>
        </w:rPr>
        <w:t>Statbel (</w:t>
      </w:r>
      <w:hyperlink r:id="rId10" w:anchor="panel-11" w:history="1">
        <w:r w:rsidRPr="0041705D">
          <w:rPr>
            <w:rStyle w:val="Hyperlink"/>
            <w:lang w:val="en-IE"/>
          </w:rPr>
          <w:t>Employment and unemployment</w:t>
        </w:r>
      </w:hyperlink>
      <w:r w:rsidRPr="00583654">
        <w:rPr>
          <w:lang w:val="en-IE"/>
        </w:rPr>
        <w:t>)</w:t>
      </w:r>
      <w:r w:rsidR="00982507">
        <w:rPr>
          <w:lang w:val="en-IE"/>
        </w:rPr>
        <w:t>.</w:t>
      </w:r>
    </w:p>
  </w:footnote>
  <w:footnote w:id="20">
    <w:p w:rsidR="005E5B98" w:rsidRPr="007270A4" w:rsidRDefault="005E5B98">
      <w:pPr>
        <w:pStyle w:val="FootnoteText"/>
        <w:rPr>
          <w:lang w:val="fr-FR"/>
        </w:rPr>
      </w:pPr>
      <w:r>
        <w:rPr>
          <w:rStyle w:val="FootnoteReference"/>
        </w:rPr>
        <w:footnoteRef/>
      </w:r>
      <w:r w:rsidRPr="00B05808">
        <w:rPr>
          <w:lang w:val="en-IE"/>
        </w:rPr>
        <w:tab/>
        <w:t xml:space="preserve">Le Forem. </w:t>
      </w:r>
      <w:r w:rsidRPr="002D19DD">
        <w:rPr>
          <w:lang w:val="fr-FR"/>
        </w:rPr>
        <w:t>P</w:t>
      </w:r>
      <w:r>
        <w:rPr>
          <w:lang w:val="fr-FR"/>
        </w:rPr>
        <w:t>hoto locale de la demande d’emploi. Janvier 2025.</w:t>
      </w:r>
    </w:p>
  </w:footnote>
  <w:footnote w:id="21">
    <w:p w:rsidR="005E5B98" w:rsidRDefault="005E5B98">
      <w:pPr>
        <w:pStyle w:val="FootnoteText"/>
        <w:rPr>
          <w:lang w:val="fr-BE"/>
        </w:rPr>
      </w:pPr>
      <w:r>
        <w:rPr>
          <w:rStyle w:val="FootnoteReference"/>
        </w:rPr>
        <w:footnoteRef/>
      </w:r>
      <w:r w:rsidRPr="005E5B98">
        <w:rPr>
          <w:lang w:val="fr-FR"/>
        </w:rPr>
        <w:tab/>
      </w:r>
      <w:hyperlink r:id="rId11" w:history="1">
        <w:r w:rsidRPr="005E5B98">
          <w:rPr>
            <w:rStyle w:val="Hyperlink"/>
            <w:lang w:val="fr-FR"/>
          </w:rPr>
          <w:t xml:space="preserve">Région de Bruxelles-Capitale.  </w:t>
        </w:r>
        <w:r>
          <w:rPr>
            <w:rStyle w:val="Hyperlink"/>
            <w:lang w:val="fr-BE"/>
          </w:rPr>
          <w:t>Demande d’emploi - Septembre 2025.</w:t>
        </w:r>
      </w:hyperlink>
    </w:p>
  </w:footnote>
  <w:footnote w:id="22">
    <w:p w:rsidR="005C7561" w:rsidRDefault="005C7561">
      <w:pPr>
        <w:pStyle w:val="FootnoteText"/>
        <w:rPr>
          <w:lang w:val="fr-BE"/>
        </w:rPr>
      </w:pPr>
      <w:r>
        <w:rPr>
          <w:rStyle w:val="FootnoteReference"/>
        </w:rPr>
        <w:footnoteRef/>
      </w:r>
      <w:r>
        <w:rPr>
          <w:lang w:val="fr-BE"/>
        </w:rPr>
        <w:tab/>
        <w:t xml:space="preserve">Medium secondary school or less. </w:t>
      </w:r>
    </w:p>
  </w:footnote>
  <w:footnote w:id="23">
    <w:p w:rsidR="002D19DD" w:rsidRPr="002D19DD" w:rsidRDefault="002D19DD">
      <w:pPr>
        <w:pStyle w:val="FootnoteText"/>
        <w:rPr>
          <w:lang w:val="fr-FR"/>
        </w:rPr>
      </w:pPr>
      <w:r>
        <w:rPr>
          <w:rStyle w:val="FootnoteReference"/>
        </w:rPr>
        <w:footnoteRef/>
      </w:r>
      <w:r>
        <w:rPr>
          <w:lang w:val="fr-BE"/>
        </w:rPr>
        <w:tab/>
        <w:t xml:space="preserve">Le Forem. </w:t>
      </w:r>
      <w:r w:rsidRPr="002D19DD">
        <w:rPr>
          <w:lang w:val="fr-FR"/>
        </w:rPr>
        <w:t>P</w:t>
      </w:r>
      <w:r>
        <w:rPr>
          <w:lang w:val="fr-FR"/>
        </w:rPr>
        <w:t>hoto locale de la demande d’emploi. Janvier 2025.</w:t>
      </w:r>
    </w:p>
  </w:footnote>
  <w:footnote w:id="24">
    <w:p w:rsidR="005E5B98" w:rsidRPr="00994C7F" w:rsidRDefault="005E5B98">
      <w:pPr>
        <w:pStyle w:val="FootnoteText"/>
        <w:rPr>
          <w:lang w:val="en-IE"/>
        </w:rPr>
      </w:pPr>
      <w:r>
        <w:rPr>
          <w:rStyle w:val="FootnoteReference"/>
        </w:rPr>
        <w:footnoteRef/>
      </w:r>
      <w:r w:rsidRPr="005E5B98">
        <w:rPr>
          <w:lang w:val="fr-FR"/>
        </w:rPr>
        <w:tab/>
      </w:r>
      <w:hyperlink r:id="rId12" w:history="1">
        <w:r w:rsidRPr="005E5B98">
          <w:rPr>
            <w:rStyle w:val="Hyperlink"/>
            <w:lang w:val="fr-FR"/>
          </w:rPr>
          <w:t xml:space="preserve">Région de Bruxelles-Capitale.  </w:t>
        </w:r>
        <w:r w:rsidRPr="00994C7F">
          <w:rPr>
            <w:rStyle w:val="Hyperlink"/>
            <w:lang w:val="en-IE"/>
          </w:rPr>
          <w:t>Demande d’emploi - Septembre 2025.</w:t>
        </w:r>
      </w:hyperlink>
    </w:p>
  </w:footnote>
  <w:footnote w:id="25">
    <w:p w:rsidR="0041089B" w:rsidRPr="0041089B" w:rsidRDefault="0041089B">
      <w:pPr>
        <w:pStyle w:val="FootnoteText"/>
        <w:rPr>
          <w:lang w:val="en-IE"/>
        </w:rPr>
      </w:pPr>
      <w:r>
        <w:rPr>
          <w:rStyle w:val="FootnoteReference"/>
        </w:rPr>
        <w:footnoteRef/>
      </w:r>
      <w:r w:rsidRPr="0041089B">
        <w:rPr>
          <w:lang w:val="en-IE"/>
        </w:rPr>
        <w:tab/>
        <w:t>The Royal Decree of 10 November 2006 amending the Royal Decree of 9 March 2006.</w:t>
      </w:r>
      <w:r w:rsidRPr="0041089B">
        <w:rPr>
          <w:lang w:val="en-IE"/>
        </w:rPr>
        <w:tab/>
      </w:r>
    </w:p>
  </w:footnote>
  <w:footnote w:id="26">
    <w:p w:rsidR="001C15E0" w:rsidRPr="008D17F5" w:rsidRDefault="001C15E0">
      <w:pPr>
        <w:pStyle w:val="FootnoteText"/>
        <w:rPr>
          <w:lang w:val="nl-BE"/>
        </w:rPr>
      </w:pPr>
      <w:r>
        <w:rPr>
          <w:rStyle w:val="FootnoteReference"/>
        </w:rPr>
        <w:footnoteRef/>
      </w:r>
      <w:r w:rsidRPr="008D17F5">
        <w:rPr>
          <w:lang w:val="nl-BE"/>
        </w:rPr>
        <w:tab/>
      </w:r>
      <w:r w:rsidR="00A6604A" w:rsidRPr="008D17F5">
        <w:rPr>
          <w:lang w:val="nl-BE"/>
        </w:rPr>
        <w:t>Actiris.</w:t>
      </w:r>
    </w:p>
  </w:footnote>
  <w:footnote w:id="27">
    <w:p w:rsidR="001C15E0" w:rsidRPr="008D17F5" w:rsidRDefault="001C15E0">
      <w:pPr>
        <w:pStyle w:val="FootnoteText"/>
        <w:rPr>
          <w:lang w:val="nl-BE"/>
        </w:rPr>
      </w:pPr>
      <w:r>
        <w:rPr>
          <w:rStyle w:val="FootnoteReference"/>
        </w:rPr>
        <w:footnoteRef/>
      </w:r>
      <w:r w:rsidRPr="008D17F5">
        <w:rPr>
          <w:lang w:val="nl-BE"/>
        </w:rPr>
        <w:tab/>
      </w:r>
      <w:r w:rsidR="003B4F9E" w:rsidRPr="008D17F5">
        <w:rPr>
          <w:lang w:val="nl-BE"/>
        </w:rPr>
        <w:t>Vlaamse Dienst voor Arbeidsbemiddeling en Beroepsopleiding (VDAB)</w:t>
      </w:r>
      <w:r w:rsidR="00A6604A" w:rsidRPr="008D17F5">
        <w:rPr>
          <w:lang w:val="nl-BE"/>
        </w:rPr>
        <w:t>.</w:t>
      </w:r>
    </w:p>
  </w:footnote>
  <w:footnote w:id="28">
    <w:p w:rsidR="001C15E0" w:rsidRPr="00A6604A" w:rsidRDefault="001C15E0">
      <w:pPr>
        <w:pStyle w:val="FootnoteText"/>
        <w:rPr>
          <w:lang w:val="en-IE"/>
        </w:rPr>
      </w:pPr>
      <w:r>
        <w:rPr>
          <w:rStyle w:val="FootnoteReference"/>
        </w:rPr>
        <w:footnoteRef/>
      </w:r>
      <w:r w:rsidRPr="00A6604A">
        <w:rPr>
          <w:lang w:val="en-IE"/>
        </w:rPr>
        <w:tab/>
      </w:r>
      <w:r w:rsidR="00A6604A" w:rsidRPr="00A6604A">
        <w:rPr>
          <w:lang w:val="en-IE"/>
        </w:rPr>
        <w:t>Le Forem</w:t>
      </w:r>
    </w:p>
  </w:footnote>
  <w:footnote w:id="29">
    <w:p w:rsidR="00A6604A" w:rsidRPr="00A6604A" w:rsidRDefault="00A6604A">
      <w:pPr>
        <w:pStyle w:val="FootnoteText"/>
        <w:rPr>
          <w:lang w:val="en-IE"/>
        </w:rPr>
      </w:pPr>
      <w:r>
        <w:rPr>
          <w:rStyle w:val="FootnoteReference"/>
        </w:rPr>
        <w:footnoteRef/>
      </w:r>
      <w:r w:rsidRPr="00A6604A">
        <w:rPr>
          <w:lang w:val="en-IE"/>
        </w:rPr>
        <w:tab/>
        <w:t>Confederation of Christian Trade Unions (ACV-CSC), General Labour Federation of Belgium (ABVV-FGTB), General Confederation of Liberal Trade Unions of Belgium (ACLVB-CGSLB)</w:t>
      </w:r>
      <w:r>
        <w:rPr>
          <w:lang w:val="en-IE"/>
        </w:rPr>
        <w:t>.</w:t>
      </w:r>
    </w:p>
  </w:footnote>
  <w:footnote w:id="30">
    <w:p w:rsidR="005F3E79" w:rsidRPr="005F3E79" w:rsidRDefault="005F3E79">
      <w:pPr>
        <w:pStyle w:val="FootnoteText"/>
        <w:rPr>
          <w:lang w:val="en-IE"/>
        </w:rPr>
      </w:pPr>
      <w:r>
        <w:rPr>
          <w:rStyle w:val="FootnoteReference"/>
        </w:rPr>
        <w:footnoteRef/>
      </w:r>
      <w:r w:rsidRPr="005F3E79">
        <w:rPr>
          <w:lang w:val="en-IE"/>
        </w:rPr>
        <w:tab/>
        <w:t>On 4 November and 11 December 2024, 29 January and 10 March 2025 (non-exhaustive list).</w:t>
      </w:r>
    </w:p>
  </w:footnote>
  <w:footnote w:id="31">
    <w:p w:rsidR="001A62D7" w:rsidRPr="00A31F0E" w:rsidRDefault="001A62D7" w:rsidP="001A62D7">
      <w:pPr>
        <w:pStyle w:val="FootnoteText"/>
      </w:pPr>
      <w:r>
        <w:rPr>
          <w:rStyle w:val="FootnoteReference"/>
        </w:rPr>
        <w:footnoteRef/>
      </w:r>
      <w:r w:rsidRPr="007244BC">
        <w:tab/>
      </w:r>
      <w:r>
        <w:t>ISCED 0-2</w:t>
      </w:r>
    </w:p>
  </w:footnote>
  <w:footnote w:id="32">
    <w:p w:rsidR="001A62D7" w:rsidRPr="00A31F0E" w:rsidRDefault="001A62D7" w:rsidP="001A62D7">
      <w:pPr>
        <w:pStyle w:val="FootnoteText"/>
      </w:pPr>
      <w:r>
        <w:rPr>
          <w:rStyle w:val="FootnoteReference"/>
        </w:rPr>
        <w:footnoteRef/>
      </w:r>
      <w:r w:rsidRPr="007244BC">
        <w:tab/>
        <w:t>ISCED 3</w:t>
      </w:r>
    </w:p>
  </w:footnote>
  <w:footnote w:id="33">
    <w:p w:rsidR="001A62D7" w:rsidRPr="00A31F0E" w:rsidRDefault="001A62D7" w:rsidP="001A62D7">
      <w:pPr>
        <w:pStyle w:val="FootnoteText"/>
      </w:pPr>
      <w:r>
        <w:rPr>
          <w:rStyle w:val="FootnoteReference"/>
        </w:rPr>
        <w:footnoteRef/>
      </w:r>
      <w:r w:rsidRPr="007244BC">
        <w:tab/>
        <w:t>ISCED 4</w:t>
      </w:r>
    </w:p>
  </w:footnote>
  <w:footnote w:id="34">
    <w:p w:rsidR="001A62D7" w:rsidRPr="00A31F0E" w:rsidRDefault="001A62D7" w:rsidP="001A62D7">
      <w:pPr>
        <w:pStyle w:val="FootnoteText"/>
      </w:pPr>
      <w:r>
        <w:rPr>
          <w:rStyle w:val="FootnoteReference"/>
        </w:rPr>
        <w:footnoteRef/>
      </w:r>
      <w:r w:rsidRPr="007244BC">
        <w:tab/>
        <w:t>ISCED 5-8</w:t>
      </w:r>
    </w:p>
  </w:footnote>
  <w:footnote w:id="35">
    <w:p w:rsidR="004C617C" w:rsidRPr="001F093E" w:rsidRDefault="004C617C">
      <w:pPr>
        <w:pStyle w:val="FootnoteText"/>
        <w:rPr>
          <w:lang w:val="en-IE"/>
        </w:rPr>
      </w:pPr>
      <w:r>
        <w:rPr>
          <w:rStyle w:val="FootnoteReference"/>
        </w:rPr>
        <w:footnoteRef/>
      </w:r>
      <w:r w:rsidRPr="004C617C">
        <w:rPr>
          <w:lang w:val="en-IE"/>
        </w:rPr>
        <w:tab/>
      </w:r>
      <w:hyperlink r:id="rId13" w:history="1">
        <w:r w:rsidRPr="00E94497">
          <w:rPr>
            <w:rStyle w:val="Hyperlink"/>
          </w:rPr>
          <w:t xml:space="preserve">List of jobs in demand and difficult to be covered or linked to critical functions. </w:t>
        </w:r>
        <w:r w:rsidRPr="00E94497">
          <w:rPr>
            <w:rStyle w:val="Hyperlink"/>
            <w:lang w:val="fr-FR"/>
          </w:rPr>
          <w:t xml:space="preserve">« Métiers en tension de recrutement en Wallonie. Liste des métiers/fonctions critiques et en pénurie ». </w:t>
        </w:r>
        <w:r w:rsidRPr="00E94497">
          <w:rPr>
            <w:rStyle w:val="Hyperlink"/>
          </w:rPr>
          <w:t>Le Forem 2025</w:t>
        </w:r>
      </w:hyperlink>
      <w:r>
        <w:rPr>
          <w:rStyle w:val="Hyperlink"/>
        </w:rPr>
        <w:t>.</w:t>
      </w:r>
      <w:r w:rsidRPr="001F093E">
        <w:rPr>
          <w:lang w:val="en-IE"/>
        </w:rPr>
        <w:tab/>
      </w:r>
    </w:p>
  </w:footnote>
  <w:footnote w:id="36">
    <w:p w:rsidR="001A62D7" w:rsidRPr="00A31F0E" w:rsidRDefault="001A62D7" w:rsidP="001A62D7">
      <w:pPr>
        <w:pStyle w:val="FootnoteText"/>
      </w:pPr>
      <w:r>
        <w:rPr>
          <w:rStyle w:val="FootnoteReference"/>
        </w:rPr>
        <w:footnoteRef/>
      </w:r>
      <w:r w:rsidRPr="007244BC">
        <w:tab/>
        <w:t>To avoid decimals, the estimated costs per worker have been rounded. However, the rounding has no impact on the total cost of each measure, which remains as in the application submitted by</w:t>
      </w:r>
      <w:r w:rsidR="00AC2755">
        <w:t xml:space="preserve"> Belgium</w:t>
      </w:r>
      <w:r w:rsidRPr="00AC2755">
        <w:t>.</w:t>
      </w:r>
    </w:p>
  </w:footnote>
  <w:footnote w:id="37">
    <w:p w:rsidR="001A62D7" w:rsidRPr="002060F6" w:rsidRDefault="001A62D7" w:rsidP="001A62D7">
      <w:pPr>
        <w:pStyle w:val="FootnoteText"/>
      </w:pPr>
      <w:r>
        <w:rPr>
          <w:rStyle w:val="FootnoteReference"/>
        </w:rPr>
        <w:footnoteRef/>
      </w:r>
      <w:r w:rsidRPr="007244BC">
        <w:tab/>
        <w:t>Totals do not tally due to rounding.</w:t>
      </w:r>
    </w:p>
  </w:footnote>
  <w:footnote w:id="38">
    <w:p w:rsidR="001A62D7" w:rsidRDefault="001A62D7" w:rsidP="001A62D7">
      <w:pPr>
        <w:pStyle w:val="FootnoteText"/>
        <w:rPr>
          <w:lang w:val="pl-PL"/>
        </w:rPr>
      </w:pPr>
      <w:r>
        <w:rPr>
          <w:rStyle w:val="FootnoteReference"/>
        </w:rPr>
        <w:footnoteRef/>
      </w:r>
      <w:r>
        <w:rPr>
          <w:lang w:val="pl-PL"/>
        </w:rPr>
        <w:tab/>
        <w:t>OJ L </w:t>
      </w:r>
      <w:r w:rsidRPr="0089670E">
        <w:rPr>
          <w:lang w:val="pl-PL"/>
        </w:rPr>
        <w:t>433</w:t>
      </w:r>
      <w:r>
        <w:rPr>
          <w:lang w:val="pl-PL"/>
        </w:rPr>
        <w:t xml:space="preserve"> I, 22.12.2020, p. 11.</w:t>
      </w:r>
    </w:p>
  </w:footnote>
  <w:footnote w:id="39">
    <w:p w:rsidR="001A62D7" w:rsidRPr="00B54269" w:rsidRDefault="001A62D7" w:rsidP="001A62D7">
      <w:pPr>
        <w:pStyle w:val="FootnoteText"/>
        <w:rPr>
          <w:lang w:val="it-IT"/>
        </w:rPr>
      </w:pPr>
      <w:r>
        <w:rPr>
          <w:rStyle w:val="FootnoteReference"/>
        </w:rPr>
        <w:footnoteRef/>
      </w:r>
      <w:r w:rsidRPr="00B54269">
        <w:rPr>
          <w:lang w:val="it-IT"/>
        </w:rPr>
        <w:tab/>
      </w:r>
      <w:r w:rsidRPr="00A43A82">
        <w:rPr>
          <w:lang w:val="it-IT"/>
        </w:rPr>
        <w:t>OJ L</w:t>
      </w:r>
      <w:r w:rsidR="00842DE2">
        <w:rPr>
          <w:lang w:val="it-IT"/>
        </w:rPr>
        <w:t>,</w:t>
      </w:r>
      <w:r w:rsidRPr="00A43A82">
        <w:rPr>
          <w:lang w:val="it-IT"/>
        </w:rPr>
        <w:t> 2024/765, 29.2.2024,</w:t>
      </w:r>
      <w:r w:rsidR="00B5507D">
        <w:rPr>
          <w:lang w:val="it-IT"/>
        </w:rPr>
        <w:t xml:space="preserve"> </w:t>
      </w:r>
      <w:r w:rsidR="00B5507D" w:rsidRPr="0096077B">
        <w:rPr>
          <w:lang w:val="it-IT"/>
        </w:rPr>
        <w:t>ELI: http://data.europa.eu/eli/reg/2024/765/oj</w:t>
      </w:r>
      <w:r>
        <w:rPr>
          <w:lang w:val="it-IT"/>
        </w:rPr>
        <w:t>.</w:t>
      </w:r>
      <w:r w:rsidRPr="00A43A82">
        <w:rPr>
          <w:lang w:val="it-IT"/>
        </w:rPr>
        <w:t xml:space="preserve"> </w:t>
      </w:r>
    </w:p>
  </w:footnote>
  <w:footnote w:id="40">
    <w:p w:rsidR="001A62D7" w:rsidRDefault="001A62D7" w:rsidP="001A62D7">
      <w:pPr>
        <w:pStyle w:val="FootnoteText"/>
        <w:rPr>
          <w:lang w:val="pl-PL"/>
        </w:rPr>
      </w:pPr>
      <w:r>
        <w:rPr>
          <w:rStyle w:val="FootnoteReference"/>
        </w:rPr>
        <w:footnoteRef/>
      </w:r>
      <w:r>
        <w:rPr>
          <w:lang w:val="pl-PL"/>
        </w:rPr>
        <w:tab/>
        <w:t>OJ L 433 I, 22.12.2020, p. 28.</w:t>
      </w:r>
    </w:p>
  </w:footnote>
  <w:footnote w:id="41">
    <w:p w:rsidR="001A62D7" w:rsidRPr="00E76684" w:rsidRDefault="001A62D7" w:rsidP="001A62D7">
      <w:pPr>
        <w:pStyle w:val="FootnoteText"/>
      </w:pPr>
      <w:r>
        <w:rPr>
          <w:rStyle w:val="FootnoteReference"/>
        </w:rPr>
        <w:footnoteRef/>
      </w:r>
      <w:r w:rsidRPr="00E76684">
        <w:tab/>
      </w:r>
      <w:r w:rsidRPr="00B54269">
        <w:t>Regulation (EU, Euratom) 2024/2509 of the European Parliament and of the Council of 23 September 2024 on the financial rules applicable to the general budget of the Union (recast), OJ L, 2024/2509, 26.9.2024</w:t>
      </w:r>
      <w:r w:rsidR="00F86D96">
        <w:t xml:space="preserve">, </w:t>
      </w:r>
      <w:r w:rsidR="00F86D96" w:rsidRPr="00C054F9">
        <w:t>ELI: http://data.europa.eu/eli/reg/2024/2509/oj</w:t>
      </w:r>
      <w:r w:rsidR="00F86D96" w:rsidRPr="00B54269">
        <w:t>.</w:t>
      </w:r>
      <w:r w:rsidRPr="00B54269">
        <w:t>.</w:t>
      </w:r>
    </w:p>
  </w:footnote>
  <w:footnote w:id="42">
    <w:p w:rsidR="001A62D7" w:rsidRDefault="001A62D7" w:rsidP="001A62D7">
      <w:pPr>
        <w:pStyle w:val="FootnoteText"/>
        <w:rPr>
          <w:lang w:val="pl-PL"/>
        </w:rPr>
      </w:pPr>
      <w:r>
        <w:rPr>
          <w:rStyle w:val="FootnoteReference"/>
        </w:rPr>
        <w:footnoteRef/>
      </w:r>
      <w:r>
        <w:rPr>
          <w:lang w:val="pl-PL"/>
        </w:rPr>
        <w:tab/>
      </w:r>
      <w:r w:rsidRPr="00640DB0">
        <w:rPr>
          <w:lang w:val="pl-PL"/>
        </w:rPr>
        <w:t>OJ L 153, 3.5.2021, p. 48.</w:t>
      </w:r>
    </w:p>
  </w:footnote>
  <w:footnote w:id="43">
    <w:p w:rsidR="001A62D7" w:rsidRPr="00973296" w:rsidRDefault="001A62D7" w:rsidP="001A62D7">
      <w:pPr>
        <w:pStyle w:val="FootnoteText"/>
      </w:pPr>
      <w:r>
        <w:rPr>
          <w:rStyle w:val="FootnoteReference"/>
        </w:rPr>
        <w:footnoteRef/>
      </w:r>
      <w:r w:rsidRPr="00973296">
        <w:tab/>
        <w:t>OJ L 433</w:t>
      </w:r>
      <w:r>
        <w:t xml:space="preserve"> I</w:t>
      </w:r>
      <w:r w:rsidRPr="00973296">
        <w:t xml:space="preserve">, 22.12.2020, p. </w:t>
      </w:r>
      <w:r>
        <w:t>28</w:t>
      </w:r>
    </w:p>
  </w:footnote>
  <w:footnote w:id="44">
    <w:p w:rsidR="001A62D7" w:rsidRPr="009F7C73" w:rsidRDefault="001A62D7" w:rsidP="001A62D7">
      <w:pPr>
        <w:pStyle w:val="FootnoteText"/>
      </w:pPr>
      <w:r w:rsidRPr="00872F86">
        <w:rPr>
          <w:rStyle w:val="FootnoteReference"/>
        </w:rPr>
        <w:footnoteRef/>
      </w:r>
      <w:r w:rsidRPr="009F7C73">
        <w:tab/>
      </w:r>
      <w:r w:rsidRPr="00270F9D">
        <w:t>Council Regulation (EU, Euratom) 2020/2093 of 17 December 2020 laying down the multiannual financial framework for the years 2021 to 2027</w:t>
      </w:r>
      <w:r>
        <w:t xml:space="preserve"> (</w:t>
      </w:r>
      <w:r>
        <w:rPr>
          <w:lang w:val="pl-PL"/>
        </w:rPr>
        <w:t>OJ L </w:t>
      </w:r>
      <w:r w:rsidRPr="0089670E">
        <w:rPr>
          <w:lang w:val="pl-PL"/>
        </w:rPr>
        <w:t>433</w:t>
      </w:r>
      <w:r>
        <w:rPr>
          <w:lang w:val="pl-PL"/>
        </w:rPr>
        <w:t xml:space="preserve"> I, 22.12.2020, p. 11).</w:t>
      </w:r>
    </w:p>
  </w:footnote>
  <w:footnote w:id="45">
    <w:p w:rsidR="001A62D7" w:rsidRPr="00B54269" w:rsidRDefault="001A62D7" w:rsidP="001A62D7">
      <w:pPr>
        <w:pStyle w:val="FootnoteText"/>
        <w:rPr>
          <w:lang w:val="en-IE"/>
        </w:rPr>
      </w:pPr>
      <w:r>
        <w:rPr>
          <w:rStyle w:val="FootnoteReference"/>
        </w:rPr>
        <w:footnoteRef/>
      </w:r>
      <w:r w:rsidRPr="00B54269">
        <w:rPr>
          <w:lang w:val="en-IE"/>
        </w:rPr>
        <w:tab/>
      </w:r>
      <w:r w:rsidRPr="00BB0126">
        <w:rPr>
          <w:lang w:val="en-IE"/>
        </w:rPr>
        <w:t>OJ L</w:t>
      </w:r>
      <w:r w:rsidR="00842DE2">
        <w:rPr>
          <w:lang w:val="en-IE"/>
        </w:rPr>
        <w:t>,</w:t>
      </w:r>
      <w:r w:rsidRPr="00BB0126">
        <w:rPr>
          <w:lang w:val="en-IE"/>
        </w:rPr>
        <w:t> 2024/765, 29.2.2024</w:t>
      </w:r>
      <w:r w:rsidR="00150372">
        <w:rPr>
          <w:lang w:val="en-IE"/>
        </w:rPr>
        <w:t xml:space="preserve">, </w:t>
      </w:r>
      <w:r w:rsidR="00150372" w:rsidRPr="0096077B">
        <w:rPr>
          <w:lang w:val="en-IE"/>
        </w:rPr>
        <w:t>ELI: http://data.europa.eu/eli/reg/2024/765/oj</w:t>
      </w:r>
      <w:r>
        <w:rPr>
          <w:lang w:val="en-IE"/>
        </w:rPr>
        <w:t>.</w:t>
      </w:r>
    </w:p>
  </w:footnote>
  <w:footnote w:id="46">
    <w:p w:rsidR="001A62D7" w:rsidRPr="0097092E" w:rsidRDefault="001A62D7" w:rsidP="001A62D7">
      <w:pPr>
        <w:pStyle w:val="FootnoteText"/>
      </w:pPr>
      <w:r>
        <w:rPr>
          <w:rStyle w:val="FootnoteReference"/>
        </w:rPr>
        <w:footnoteRef/>
      </w:r>
      <w:r w:rsidRPr="0097092E">
        <w:rPr>
          <w:lang w:val="en-IE"/>
        </w:rPr>
        <w:tab/>
      </w:r>
      <w:r w:rsidR="00AC2755">
        <w:rPr>
          <w:lang w:val="en-IE"/>
        </w:rPr>
        <w:t>COM(2026) 2</w:t>
      </w:r>
    </w:p>
  </w:footnote>
  <w:footnote w:id="47">
    <w:p w:rsidR="00D2113F" w:rsidRPr="00D2113F" w:rsidRDefault="00D2113F">
      <w:pPr>
        <w:pStyle w:val="FootnoteText"/>
        <w:rPr>
          <w:lang w:val="en-IE"/>
        </w:rPr>
      </w:pPr>
      <w:r>
        <w:rPr>
          <w:rStyle w:val="FootnoteReference"/>
        </w:rPr>
        <w:t>*</w:t>
      </w:r>
      <w:r>
        <w:tab/>
      </w:r>
      <w:r w:rsidRPr="00855ED0">
        <w:rPr>
          <w:color w:val="FF0000"/>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7D8" w:rsidRDefault="00DB47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7D8" w:rsidRDefault="00DB4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12-04 18:55: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90BA7AFC-B438-44BE-9280-B7C5B1545501"/>
    <w:docVar w:name="LW_COVERPAGE_TYPE" w:val="1"/>
    <w:docVar w:name="LW_CreatedUtc" w:val="2025-02-03T12:09:04.7855178Z"/>
    <w:docVar w:name="LW_CROSSREFERENCE" w:val="&lt;UNUSED&gt;"/>
    <w:docVar w:name="LW_DocType" w:val="COM"/>
    <w:docVar w:name="LW_EMISSION" w:val="9.1.2026"/>
    <w:docVar w:name="LW_EMISSION_ISODATE" w:val="2026-01-09"/>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001"/>
    <w:docVar w:name="LW_REF.II.NEW.CP_YEAR" w:val="2026"/>
    <w:docVar w:name="LW_REF.INST.NEW" w:val="COM"/>
    <w:docVar w:name="LW_REF.INST.NEW_ADOPTED" w:val="final"/>
    <w:docVar w:name="LW_REF.INST.NEW_TEXT" w:val="(2026) 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following an application from Belgium \u8211? EGF/2025/006 BE/ Audi"/>
    <w:docVar w:name="LW_TYPE.DOC.CP" w:val="DECISION OF THE EUROPEAN PARLIAMENT AND OF THE COUNCIL"/>
    <w:docVar w:name="LwApiVersions" w:val="LW4CoDe 1.24.5.0; LW 9.2, Build 20251112"/>
  </w:docVars>
  <w:rsids>
    <w:rsidRoot w:val="001A62D7"/>
    <w:rsid w:val="0002035E"/>
    <w:rsid w:val="00035265"/>
    <w:rsid w:val="00041EE2"/>
    <w:rsid w:val="000431AA"/>
    <w:rsid w:val="00046483"/>
    <w:rsid w:val="000465C9"/>
    <w:rsid w:val="00051192"/>
    <w:rsid w:val="0007649A"/>
    <w:rsid w:val="0009358F"/>
    <w:rsid w:val="000965FD"/>
    <w:rsid w:val="000A20B8"/>
    <w:rsid w:val="000C3E89"/>
    <w:rsid w:val="000E2AF2"/>
    <w:rsid w:val="000F3A25"/>
    <w:rsid w:val="000F624B"/>
    <w:rsid w:val="000F6514"/>
    <w:rsid w:val="0010215C"/>
    <w:rsid w:val="001065F5"/>
    <w:rsid w:val="00106798"/>
    <w:rsid w:val="001238EF"/>
    <w:rsid w:val="00133178"/>
    <w:rsid w:val="00133927"/>
    <w:rsid w:val="00135FA1"/>
    <w:rsid w:val="00150372"/>
    <w:rsid w:val="0015242A"/>
    <w:rsid w:val="0016297B"/>
    <w:rsid w:val="00182793"/>
    <w:rsid w:val="00195CD1"/>
    <w:rsid w:val="00196248"/>
    <w:rsid w:val="00197613"/>
    <w:rsid w:val="001A3D9D"/>
    <w:rsid w:val="001A62D7"/>
    <w:rsid w:val="001C15E0"/>
    <w:rsid w:val="001C4425"/>
    <w:rsid w:val="001C6315"/>
    <w:rsid w:val="001E27D2"/>
    <w:rsid w:val="001F093E"/>
    <w:rsid w:val="001F1407"/>
    <w:rsid w:val="0020128B"/>
    <w:rsid w:val="0021052B"/>
    <w:rsid w:val="00213ED6"/>
    <w:rsid w:val="00217E05"/>
    <w:rsid w:val="00217F8F"/>
    <w:rsid w:val="002334D5"/>
    <w:rsid w:val="00233DC7"/>
    <w:rsid w:val="00241826"/>
    <w:rsid w:val="002421D0"/>
    <w:rsid w:val="00243227"/>
    <w:rsid w:val="00247779"/>
    <w:rsid w:val="00250FCB"/>
    <w:rsid w:val="00251F0D"/>
    <w:rsid w:val="002544E5"/>
    <w:rsid w:val="002572FE"/>
    <w:rsid w:val="00261BA9"/>
    <w:rsid w:val="002728AF"/>
    <w:rsid w:val="002757A1"/>
    <w:rsid w:val="00281D79"/>
    <w:rsid w:val="00282153"/>
    <w:rsid w:val="00283349"/>
    <w:rsid w:val="00285019"/>
    <w:rsid w:val="00285BEE"/>
    <w:rsid w:val="0029533F"/>
    <w:rsid w:val="002A1803"/>
    <w:rsid w:val="002A20BC"/>
    <w:rsid w:val="002A2C83"/>
    <w:rsid w:val="002A46E8"/>
    <w:rsid w:val="002B1CAD"/>
    <w:rsid w:val="002B30AF"/>
    <w:rsid w:val="002C2B9C"/>
    <w:rsid w:val="002D19DD"/>
    <w:rsid w:val="002F071E"/>
    <w:rsid w:val="002F7A1F"/>
    <w:rsid w:val="0030397F"/>
    <w:rsid w:val="00325D32"/>
    <w:rsid w:val="0033344A"/>
    <w:rsid w:val="003335D5"/>
    <w:rsid w:val="003479D0"/>
    <w:rsid w:val="003514A3"/>
    <w:rsid w:val="00362E82"/>
    <w:rsid w:val="00364144"/>
    <w:rsid w:val="003674C6"/>
    <w:rsid w:val="003B4F9E"/>
    <w:rsid w:val="003C1F9A"/>
    <w:rsid w:val="003C451D"/>
    <w:rsid w:val="003D33B0"/>
    <w:rsid w:val="003D53E7"/>
    <w:rsid w:val="003E496C"/>
    <w:rsid w:val="003E7923"/>
    <w:rsid w:val="003F5354"/>
    <w:rsid w:val="003F5FE1"/>
    <w:rsid w:val="0041089B"/>
    <w:rsid w:val="0041705D"/>
    <w:rsid w:val="00417C38"/>
    <w:rsid w:val="00422E71"/>
    <w:rsid w:val="00424B7A"/>
    <w:rsid w:val="0042648E"/>
    <w:rsid w:val="0043125E"/>
    <w:rsid w:val="00433AE9"/>
    <w:rsid w:val="0043443B"/>
    <w:rsid w:val="004417F8"/>
    <w:rsid w:val="00450845"/>
    <w:rsid w:val="004522B1"/>
    <w:rsid w:val="004540AE"/>
    <w:rsid w:val="00454A9D"/>
    <w:rsid w:val="0045576F"/>
    <w:rsid w:val="00480004"/>
    <w:rsid w:val="00490F22"/>
    <w:rsid w:val="004936D2"/>
    <w:rsid w:val="004A23D7"/>
    <w:rsid w:val="004B74E8"/>
    <w:rsid w:val="004C5360"/>
    <w:rsid w:val="004C617C"/>
    <w:rsid w:val="004D4DFA"/>
    <w:rsid w:val="004F0139"/>
    <w:rsid w:val="004F5528"/>
    <w:rsid w:val="004F643D"/>
    <w:rsid w:val="00505F1A"/>
    <w:rsid w:val="0051455F"/>
    <w:rsid w:val="005337C2"/>
    <w:rsid w:val="00537022"/>
    <w:rsid w:val="005439D5"/>
    <w:rsid w:val="005535A5"/>
    <w:rsid w:val="0055684C"/>
    <w:rsid w:val="0056417C"/>
    <w:rsid w:val="00583654"/>
    <w:rsid w:val="00584778"/>
    <w:rsid w:val="00585A93"/>
    <w:rsid w:val="00586FD3"/>
    <w:rsid w:val="005A77B5"/>
    <w:rsid w:val="005B1EB6"/>
    <w:rsid w:val="005C49BF"/>
    <w:rsid w:val="005C7561"/>
    <w:rsid w:val="005D558F"/>
    <w:rsid w:val="005D6BC7"/>
    <w:rsid w:val="005E047F"/>
    <w:rsid w:val="005E0B3D"/>
    <w:rsid w:val="005E5B98"/>
    <w:rsid w:val="005F232F"/>
    <w:rsid w:val="005F3874"/>
    <w:rsid w:val="005F3E79"/>
    <w:rsid w:val="005F6711"/>
    <w:rsid w:val="0060192E"/>
    <w:rsid w:val="00605200"/>
    <w:rsid w:val="00605885"/>
    <w:rsid w:val="00624E2F"/>
    <w:rsid w:val="0062657D"/>
    <w:rsid w:val="0063350A"/>
    <w:rsid w:val="0063514A"/>
    <w:rsid w:val="0064310A"/>
    <w:rsid w:val="006534C4"/>
    <w:rsid w:val="006648E4"/>
    <w:rsid w:val="00684CAB"/>
    <w:rsid w:val="006A0752"/>
    <w:rsid w:val="006B152D"/>
    <w:rsid w:val="006B47D4"/>
    <w:rsid w:val="006C598A"/>
    <w:rsid w:val="007038F8"/>
    <w:rsid w:val="007119A9"/>
    <w:rsid w:val="00712C3A"/>
    <w:rsid w:val="007135A2"/>
    <w:rsid w:val="007159FF"/>
    <w:rsid w:val="007270A4"/>
    <w:rsid w:val="00731699"/>
    <w:rsid w:val="00754A08"/>
    <w:rsid w:val="00773331"/>
    <w:rsid w:val="0077564B"/>
    <w:rsid w:val="0077654C"/>
    <w:rsid w:val="007810AF"/>
    <w:rsid w:val="00782CAE"/>
    <w:rsid w:val="00785F4C"/>
    <w:rsid w:val="0078717C"/>
    <w:rsid w:val="007932EF"/>
    <w:rsid w:val="007944CE"/>
    <w:rsid w:val="00795754"/>
    <w:rsid w:val="007A08F4"/>
    <w:rsid w:val="007A5E19"/>
    <w:rsid w:val="007B4D4B"/>
    <w:rsid w:val="007C1489"/>
    <w:rsid w:val="007D1CC7"/>
    <w:rsid w:val="007E05B0"/>
    <w:rsid w:val="007E0B4F"/>
    <w:rsid w:val="00823720"/>
    <w:rsid w:val="00830A1D"/>
    <w:rsid w:val="00830DD7"/>
    <w:rsid w:val="00831A99"/>
    <w:rsid w:val="00835FF4"/>
    <w:rsid w:val="008376F2"/>
    <w:rsid w:val="00837BE9"/>
    <w:rsid w:val="00842DE2"/>
    <w:rsid w:val="00843A99"/>
    <w:rsid w:val="00857E8C"/>
    <w:rsid w:val="00874D22"/>
    <w:rsid w:val="00893C3D"/>
    <w:rsid w:val="00897326"/>
    <w:rsid w:val="008A2914"/>
    <w:rsid w:val="008A33BE"/>
    <w:rsid w:val="008A6DC5"/>
    <w:rsid w:val="008B539E"/>
    <w:rsid w:val="008D17F5"/>
    <w:rsid w:val="008D2433"/>
    <w:rsid w:val="008E3775"/>
    <w:rsid w:val="008E4D8E"/>
    <w:rsid w:val="008F470C"/>
    <w:rsid w:val="008F4FFB"/>
    <w:rsid w:val="008F52BF"/>
    <w:rsid w:val="0090677B"/>
    <w:rsid w:val="0096077B"/>
    <w:rsid w:val="00964814"/>
    <w:rsid w:val="00964E26"/>
    <w:rsid w:val="00967CC8"/>
    <w:rsid w:val="00975BF3"/>
    <w:rsid w:val="00982507"/>
    <w:rsid w:val="00986887"/>
    <w:rsid w:val="00992A7A"/>
    <w:rsid w:val="00994035"/>
    <w:rsid w:val="00994C7F"/>
    <w:rsid w:val="009A476A"/>
    <w:rsid w:val="009C4599"/>
    <w:rsid w:val="009C51E1"/>
    <w:rsid w:val="00A22B77"/>
    <w:rsid w:val="00A23C53"/>
    <w:rsid w:val="00A253DC"/>
    <w:rsid w:val="00A3016B"/>
    <w:rsid w:val="00A36A1D"/>
    <w:rsid w:val="00A45B96"/>
    <w:rsid w:val="00A6604A"/>
    <w:rsid w:val="00A6765B"/>
    <w:rsid w:val="00A76D71"/>
    <w:rsid w:val="00A824CE"/>
    <w:rsid w:val="00A86986"/>
    <w:rsid w:val="00A953FB"/>
    <w:rsid w:val="00AC2755"/>
    <w:rsid w:val="00AC5354"/>
    <w:rsid w:val="00AD00C3"/>
    <w:rsid w:val="00AD6693"/>
    <w:rsid w:val="00AD7ABD"/>
    <w:rsid w:val="00AE2983"/>
    <w:rsid w:val="00AE3D98"/>
    <w:rsid w:val="00AE5990"/>
    <w:rsid w:val="00B04C27"/>
    <w:rsid w:val="00B05808"/>
    <w:rsid w:val="00B136C9"/>
    <w:rsid w:val="00B1732E"/>
    <w:rsid w:val="00B17A60"/>
    <w:rsid w:val="00B17C77"/>
    <w:rsid w:val="00B24AA0"/>
    <w:rsid w:val="00B24D3D"/>
    <w:rsid w:val="00B25421"/>
    <w:rsid w:val="00B26AFC"/>
    <w:rsid w:val="00B271C1"/>
    <w:rsid w:val="00B424CD"/>
    <w:rsid w:val="00B4707B"/>
    <w:rsid w:val="00B520B6"/>
    <w:rsid w:val="00B5507D"/>
    <w:rsid w:val="00B57F16"/>
    <w:rsid w:val="00B72603"/>
    <w:rsid w:val="00B7285B"/>
    <w:rsid w:val="00BB0216"/>
    <w:rsid w:val="00BB7F54"/>
    <w:rsid w:val="00BD11CB"/>
    <w:rsid w:val="00C0220E"/>
    <w:rsid w:val="00C12301"/>
    <w:rsid w:val="00C175FE"/>
    <w:rsid w:val="00C5578F"/>
    <w:rsid w:val="00C62D7F"/>
    <w:rsid w:val="00C7109E"/>
    <w:rsid w:val="00C71177"/>
    <w:rsid w:val="00C77112"/>
    <w:rsid w:val="00C97618"/>
    <w:rsid w:val="00CA5E33"/>
    <w:rsid w:val="00CA7EE1"/>
    <w:rsid w:val="00CB4373"/>
    <w:rsid w:val="00CB515D"/>
    <w:rsid w:val="00D13666"/>
    <w:rsid w:val="00D20381"/>
    <w:rsid w:val="00D2113F"/>
    <w:rsid w:val="00D30E9E"/>
    <w:rsid w:val="00D31B2F"/>
    <w:rsid w:val="00D50317"/>
    <w:rsid w:val="00D54F1D"/>
    <w:rsid w:val="00D55F3A"/>
    <w:rsid w:val="00D576A9"/>
    <w:rsid w:val="00D6013C"/>
    <w:rsid w:val="00D66A21"/>
    <w:rsid w:val="00D86FB6"/>
    <w:rsid w:val="00D95ACC"/>
    <w:rsid w:val="00DA1DDA"/>
    <w:rsid w:val="00DA22A3"/>
    <w:rsid w:val="00DA42B0"/>
    <w:rsid w:val="00DB47D8"/>
    <w:rsid w:val="00DC1E0A"/>
    <w:rsid w:val="00DC7444"/>
    <w:rsid w:val="00DE2B18"/>
    <w:rsid w:val="00DF579A"/>
    <w:rsid w:val="00E1163B"/>
    <w:rsid w:val="00E13FA6"/>
    <w:rsid w:val="00E346FB"/>
    <w:rsid w:val="00E42E65"/>
    <w:rsid w:val="00E85749"/>
    <w:rsid w:val="00EB30C1"/>
    <w:rsid w:val="00EC5375"/>
    <w:rsid w:val="00EC5587"/>
    <w:rsid w:val="00EE7945"/>
    <w:rsid w:val="00EF48E9"/>
    <w:rsid w:val="00EF7B8C"/>
    <w:rsid w:val="00F054C5"/>
    <w:rsid w:val="00F055E2"/>
    <w:rsid w:val="00F11701"/>
    <w:rsid w:val="00F23005"/>
    <w:rsid w:val="00F27159"/>
    <w:rsid w:val="00F31E6B"/>
    <w:rsid w:val="00F37278"/>
    <w:rsid w:val="00F62472"/>
    <w:rsid w:val="00F63FCE"/>
    <w:rsid w:val="00F66666"/>
    <w:rsid w:val="00F75DDC"/>
    <w:rsid w:val="00F85DF2"/>
    <w:rsid w:val="00F86D96"/>
    <w:rsid w:val="00F910BC"/>
    <w:rsid w:val="00F91B0D"/>
    <w:rsid w:val="00FB1365"/>
    <w:rsid w:val="00FB7812"/>
    <w:rsid w:val="00FC050F"/>
    <w:rsid w:val="00FC1243"/>
    <w:rsid w:val="00FC3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val="fr-FR" w:eastAsia="en-GB"/>
    </w:rPr>
  </w:style>
  <w:style w:type="paragraph" w:styleId="ListBullet2">
    <w:name w:val="List Bullet 2"/>
    <w:basedOn w:val="Normal"/>
    <w:uiPriority w:val="99"/>
    <w:rsid w:val="001A62D7"/>
    <w:pPr>
      <w:numPr>
        <w:numId w:val="8"/>
      </w:numPr>
    </w:pPr>
    <w:rPr>
      <w:rFonts w:eastAsia="Times New Roman"/>
      <w:lang w:val="fr-FR" w:eastAsia="en-GB"/>
    </w:rPr>
  </w:style>
  <w:style w:type="paragraph" w:styleId="ListBullet3">
    <w:name w:val="List Bullet 3"/>
    <w:basedOn w:val="Normal"/>
    <w:uiPriority w:val="99"/>
    <w:rsid w:val="001A62D7"/>
    <w:pPr>
      <w:numPr>
        <w:numId w:val="9"/>
      </w:numPr>
    </w:pPr>
    <w:rPr>
      <w:rFonts w:eastAsia="Times New Roman"/>
      <w:lang w:val="fr-FR" w:eastAsia="en-GB"/>
    </w:rPr>
  </w:style>
  <w:style w:type="paragraph" w:styleId="ListNumber2">
    <w:name w:val="List Number 2"/>
    <w:basedOn w:val="Normal"/>
    <w:uiPriority w:val="99"/>
    <w:rsid w:val="001A62D7"/>
    <w:pPr>
      <w:numPr>
        <w:numId w:val="13"/>
      </w:numPr>
    </w:pPr>
    <w:rPr>
      <w:rFonts w:eastAsia="Times New Roman"/>
      <w:lang w:val="fr-FR" w:eastAsia="en-GB"/>
    </w:rPr>
  </w:style>
  <w:style w:type="paragraph" w:styleId="ListNumber3">
    <w:name w:val="List Number 3"/>
    <w:basedOn w:val="Normal"/>
    <w:uiPriority w:val="99"/>
    <w:rsid w:val="001A62D7"/>
    <w:pPr>
      <w:numPr>
        <w:numId w:val="14"/>
      </w:numPr>
    </w:pPr>
    <w:rPr>
      <w:rFonts w:eastAsia="Times New Roman"/>
      <w:lang w:val="fr-FR" w:eastAsia="en-GB"/>
    </w:rPr>
  </w:style>
  <w:style w:type="paragraph" w:styleId="ListNumber4">
    <w:name w:val="List Number 4"/>
    <w:basedOn w:val="Normal"/>
    <w:uiPriority w:val="99"/>
    <w:rsid w:val="001A62D7"/>
    <w:pPr>
      <w:numPr>
        <w:numId w:val="15"/>
      </w:numPr>
    </w:pPr>
    <w:rPr>
      <w:rFonts w:eastAsia="Times New Roman"/>
      <w:lang w:val="fr-FR" w:eastAsia="en-GB"/>
    </w:rPr>
  </w:style>
  <w:style w:type="paragraph" w:customStyle="1" w:styleId="ListDash3">
    <w:name w:val="List Dash 3"/>
    <w:basedOn w:val="Normal"/>
    <w:rsid w:val="001A62D7"/>
    <w:pPr>
      <w:numPr>
        <w:numId w:val="10"/>
      </w:numPr>
    </w:pPr>
    <w:rPr>
      <w:rFonts w:eastAsia="Times New Roman"/>
      <w:lang w:val="fr-FR" w:eastAsia="en-GB"/>
    </w:rPr>
  </w:style>
  <w:style w:type="paragraph" w:customStyle="1" w:styleId="ListDash4">
    <w:name w:val="List Dash 4"/>
    <w:basedOn w:val="Normal"/>
    <w:rsid w:val="001A62D7"/>
    <w:pPr>
      <w:numPr>
        <w:numId w:val="11"/>
      </w:numPr>
    </w:pPr>
    <w:rPr>
      <w:rFonts w:eastAsia="Times New Roman"/>
      <w:lang w:val="fr-FR" w:eastAsia="en-GB"/>
    </w:rPr>
  </w:style>
  <w:style w:type="paragraph" w:customStyle="1" w:styleId="ListNumber1">
    <w:name w:val="List Number 1"/>
    <w:basedOn w:val="Text1"/>
    <w:rsid w:val="001A62D7"/>
    <w:pPr>
      <w:numPr>
        <w:numId w:val="12"/>
      </w:numPr>
    </w:pPr>
    <w:rPr>
      <w:rFonts w:eastAsia="Times New Roman"/>
      <w:lang w:val="fr-FR" w:eastAsia="en-GB"/>
    </w:rPr>
  </w:style>
  <w:style w:type="paragraph" w:customStyle="1" w:styleId="ListNumber1Level2">
    <w:name w:val="List Number 1 (Level 2)"/>
    <w:basedOn w:val="Text1"/>
    <w:rsid w:val="001A62D7"/>
    <w:pPr>
      <w:numPr>
        <w:ilvl w:val="1"/>
        <w:numId w:val="12"/>
      </w:numPr>
    </w:pPr>
    <w:rPr>
      <w:rFonts w:eastAsia="Times New Roman"/>
      <w:lang w:val="fr-FR" w:eastAsia="en-GB"/>
    </w:rPr>
  </w:style>
  <w:style w:type="paragraph" w:customStyle="1" w:styleId="ListNumber2Level2">
    <w:name w:val="List Number 2 (Level 2)"/>
    <w:basedOn w:val="Text2"/>
    <w:rsid w:val="001A62D7"/>
    <w:pPr>
      <w:numPr>
        <w:ilvl w:val="1"/>
        <w:numId w:val="13"/>
      </w:numPr>
    </w:pPr>
    <w:rPr>
      <w:rFonts w:eastAsia="Times New Roman"/>
      <w:lang w:val="fr-FR" w:eastAsia="en-GB"/>
    </w:rPr>
  </w:style>
  <w:style w:type="paragraph" w:customStyle="1" w:styleId="ListNumber3Level2">
    <w:name w:val="List Number 3 (Level 2)"/>
    <w:basedOn w:val="Text3"/>
    <w:rsid w:val="001A62D7"/>
    <w:pPr>
      <w:numPr>
        <w:ilvl w:val="1"/>
        <w:numId w:val="14"/>
      </w:numPr>
    </w:pPr>
    <w:rPr>
      <w:rFonts w:eastAsia="Times New Roman"/>
      <w:lang w:val="fr-FR" w:eastAsia="en-GB"/>
    </w:rPr>
  </w:style>
  <w:style w:type="paragraph" w:customStyle="1" w:styleId="ListNumber4Level2">
    <w:name w:val="List Number 4 (Level 2)"/>
    <w:basedOn w:val="Text4"/>
    <w:rsid w:val="001A62D7"/>
    <w:pPr>
      <w:numPr>
        <w:ilvl w:val="1"/>
        <w:numId w:val="15"/>
      </w:numPr>
    </w:pPr>
    <w:rPr>
      <w:rFonts w:eastAsia="Times New Roman"/>
      <w:lang w:val="fr-FR" w:eastAsia="en-GB"/>
    </w:rPr>
  </w:style>
  <w:style w:type="paragraph" w:customStyle="1" w:styleId="ListNumber1Level3">
    <w:name w:val="List Number 1 (Level 3)"/>
    <w:basedOn w:val="Text1"/>
    <w:rsid w:val="001A62D7"/>
    <w:pPr>
      <w:numPr>
        <w:ilvl w:val="2"/>
        <w:numId w:val="12"/>
      </w:numPr>
    </w:pPr>
    <w:rPr>
      <w:rFonts w:eastAsia="Times New Roman"/>
      <w:lang w:val="fr-FR" w:eastAsia="en-GB"/>
    </w:rPr>
  </w:style>
  <w:style w:type="paragraph" w:customStyle="1" w:styleId="ListNumber2Level3">
    <w:name w:val="List Number 2 (Level 3)"/>
    <w:basedOn w:val="Text2"/>
    <w:rsid w:val="001A62D7"/>
    <w:pPr>
      <w:numPr>
        <w:ilvl w:val="2"/>
        <w:numId w:val="13"/>
      </w:numPr>
    </w:pPr>
    <w:rPr>
      <w:rFonts w:eastAsia="Times New Roman"/>
      <w:lang w:val="fr-FR" w:eastAsia="en-GB"/>
    </w:rPr>
  </w:style>
  <w:style w:type="paragraph" w:customStyle="1" w:styleId="ListNumber3Level3">
    <w:name w:val="List Number 3 (Level 3)"/>
    <w:basedOn w:val="Text3"/>
    <w:rsid w:val="001A62D7"/>
    <w:pPr>
      <w:numPr>
        <w:ilvl w:val="2"/>
        <w:numId w:val="14"/>
      </w:numPr>
    </w:pPr>
    <w:rPr>
      <w:rFonts w:eastAsia="Times New Roman"/>
      <w:lang w:val="fr-FR" w:eastAsia="en-GB"/>
    </w:rPr>
  </w:style>
  <w:style w:type="paragraph" w:customStyle="1" w:styleId="ListNumber4Level3">
    <w:name w:val="List Number 4 (Level 3)"/>
    <w:basedOn w:val="Text4"/>
    <w:rsid w:val="001A62D7"/>
    <w:pPr>
      <w:numPr>
        <w:ilvl w:val="2"/>
        <w:numId w:val="15"/>
      </w:numPr>
    </w:pPr>
    <w:rPr>
      <w:rFonts w:eastAsia="Times New Roman"/>
      <w:lang w:val="fr-FR" w:eastAsia="en-GB"/>
    </w:rPr>
  </w:style>
  <w:style w:type="paragraph" w:customStyle="1" w:styleId="ListNumber1Level4">
    <w:name w:val="List Number 1 (Level 4)"/>
    <w:basedOn w:val="Text1"/>
    <w:rsid w:val="001A62D7"/>
    <w:pPr>
      <w:numPr>
        <w:ilvl w:val="3"/>
        <w:numId w:val="12"/>
      </w:numPr>
    </w:pPr>
    <w:rPr>
      <w:rFonts w:eastAsia="Times New Roman"/>
      <w:lang w:val="fr-FR" w:eastAsia="en-GB"/>
    </w:rPr>
  </w:style>
  <w:style w:type="paragraph" w:customStyle="1" w:styleId="ListNumber2Level4">
    <w:name w:val="List Number 2 (Level 4)"/>
    <w:basedOn w:val="Text2"/>
    <w:rsid w:val="001A62D7"/>
    <w:pPr>
      <w:numPr>
        <w:ilvl w:val="3"/>
        <w:numId w:val="13"/>
      </w:numPr>
    </w:pPr>
    <w:rPr>
      <w:rFonts w:eastAsia="Times New Roman"/>
      <w:lang w:val="fr-FR" w:eastAsia="en-GB"/>
    </w:rPr>
  </w:style>
  <w:style w:type="paragraph" w:customStyle="1" w:styleId="ListNumber3Level4">
    <w:name w:val="List Number 3 (Level 4)"/>
    <w:basedOn w:val="Text3"/>
    <w:rsid w:val="001A62D7"/>
    <w:pPr>
      <w:numPr>
        <w:ilvl w:val="3"/>
        <w:numId w:val="14"/>
      </w:numPr>
    </w:pPr>
    <w:rPr>
      <w:rFonts w:eastAsia="Times New Roman"/>
      <w:lang w:val="fr-FR" w:eastAsia="en-GB"/>
    </w:rPr>
  </w:style>
  <w:style w:type="paragraph" w:customStyle="1" w:styleId="ListNumber4Level4">
    <w:name w:val="List Number 4 (Level 4)"/>
    <w:basedOn w:val="Text4"/>
    <w:rsid w:val="001A62D7"/>
    <w:pPr>
      <w:numPr>
        <w:ilvl w:val="3"/>
        <w:numId w:val="15"/>
      </w:numPr>
    </w:pPr>
    <w:rPr>
      <w:rFonts w:eastAsia="Times New Roman"/>
      <w:lang w:val="fr-FR" w:eastAsia="en-GB"/>
    </w:rPr>
  </w:style>
  <w:style w:type="paragraph" w:customStyle="1" w:styleId="Annexetitreacte">
    <w:name w:val="Annexe titre (acte)"/>
    <w:basedOn w:val="Normal"/>
    <w:next w:val="Normal"/>
    <w:rsid w:val="001A62D7"/>
    <w:pPr>
      <w:jc w:val="center"/>
    </w:pPr>
    <w:rPr>
      <w:rFonts w:eastAsia="Times New Roman"/>
      <w:b/>
      <w:u w:val="single"/>
      <w:lang w:val="fr-FR" w:eastAsia="en-GB"/>
    </w:rPr>
  </w:style>
  <w:style w:type="paragraph" w:customStyle="1" w:styleId="Annexetitreexposglobal">
    <w:name w:val="Annexe titre (exposé global)"/>
    <w:basedOn w:val="Normal"/>
    <w:next w:val="Normal"/>
    <w:rsid w:val="001A62D7"/>
    <w:pPr>
      <w:jc w:val="center"/>
    </w:pPr>
    <w:rPr>
      <w:rFonts w:eastAsia="Times New Roman"/>
      <w:b/>
      <w:u w:val="single"/>
      <w:lang w:val="fr-FR" w:eastAsia="en-GB"/>
    </w:rPr>
  </w:style>
  <w:style w:type="paragraph" w:customStyle="1" w:styleId="Annexetitrefichefinacte">
    <w:name w:val="Annexe titre (fiche fin. acte)"/>
    <w:basedOn w:val="Normal"/>
    <w:next w:val="Normal"/>
    <w:rsid w:val="001A62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val="fr-FR" w:eastAsia="en-GB"/>
    </w:rPr>
  </w:style>
  <w:style w:type="paragraph" w:customStyle="1" w:styleId="Annexetitreglobale">
    <w:name w:val="Annexe titre (globale)"/>
    <w:basedOn w:val="Normal"/>
    <w:next w:val="Normal"/>
    <w:rsid w:val="001A62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val="fr-FR" w:eastAsia="en-GB"/>
    </w:rPr>
  </w:style>
  <w:style w:type="paragraph" w:customStyle="1" w:styleId="Langueoriginale">
    <w:name w:val="Langue originale"/>
    <w:basedOn w:val="Normal"/>
    <w:rsid w:val="001A62D7"/>
    <w:pPr>
      <w:spacing w:before="360"/>
      <w:jc w:val="center"/>
    </w:pPr>
    <w:rPr>
      <w:rFonts w:eastAsia="Times New Roman"/>
      <w:caps/>
      <w:lang w:val="fr-FR" w:eastAsia="en-GB"/>
    </w:rPr>
  </w:style>
  <w:style w:type="paragraph" w:customStyle="1" w:styleId="Phrasefinale">
    <w:name w:val="Phrase finale"/>
    <w:basedOn w:val="Normal"/>
    <w:next w:val="Normal"/>
    <w:rsid w:val="001A62D7"/>
    <w:pPr>
      <w:spacing w:before="360" w:after="0"/>
      <w:jc w:val="center"/>
    </w:pPr>
    <w:rPr>
      <w:rFonts w:eastAsia="Times New Roman"/>
      <w:lang w:val="fr-FR" w:eastAsia="en-GB"/>
    </w:rPr>
  </w:style>
  <w:style w:type="paragraph" w:customStyle="1" w:styleId="Prliminairetitre">
    <w:name w:val="Préliminaire titre"/>
    <w:basedOn w:val="Normal"/>
    <w:next w:val="Normal"/>
    <w:rsid w:val="001A62D7"/>
    <w:pPr>
      <w:spacing w:before="360" w:after="360"/>
      <w:jc w:val="center"/>
    </w:pPr>
    <w:rPr>
      <w:rFonts w:eastAsia="Times New Roman"/>
      <w:b/>
      <w:lang w:val="fr-FR" w:eastAsia="en-GB"/>
    </w:rPr>
  </w:style>
  <w:style w:type="paragraph" w:customStyle="1" w:styleId="Prliminairetype">
    <w:name w:val="Préliminaire type"/>
    <w:basedOn w:val="Normal"/>
    <w:next w:val="Normal"/>
    <w:rsid w:val="001A62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A62D7"/>
    <w:pPr>
      <w:spacing w:before="0" w:after="0"/>
      <w:jc w:val="center"/>
    </w:pPr>
    <w:rPr>
      <w:rFonts w:eastAsia="Times New Roman"/>
      <w:b/>
      <w:lang w:val="fr-FR" w:eastAsia="en-GB"/>
    </w:rPr>
  </w:style>
  <w:style w:type="paragraph" w:customStyle="1" w:styleId="Statutprliminaire">
    <w:name w:val="Statut (préliminaire)"/>
    <w:basedOn w:val="Normal"/>
    <w:next w:val="Normal"/>
    <w:rsid w:val="001A62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val="fr-FR"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val="fr-FR" w:eastAsia="en-GB"/>
    </w:rPr>
  </w:style>
  <w:style w:type="paragraph" w:styleId="TableofFigures">
    <w:name w:val="table of figures"/>
    <w:basedOn w:val="Normal"/>
    <w:next w:val="Normal"/>
    <w:uiPriority w:val="99"/>
    <w:rsid w:val="001A62D7"/>
    <w:rPr>
      <w:rFonts w:eastAsia="Times New Roman"/>
      <w:lang w:val="fr-FR"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en-GB"/>
    </w:rPr>
  </w:style>
  <w:style w:type="character" w:customStyle="1" w:styleId="FooterCoverPageChar">
    <w:name w:val="Footer Cover Page Char"/>
    <w:link w:val="FooterCoverPage"/>
    <w:rsid w:val="001A62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en-GB" w:eastAsia="en-GB"/>
    </w:rPr>
  </w:style>
  <w:style w:type="character" w:customStyle="1" w:styleId="FooterSensitivityChar">
    <w:name w:val="Footer Sensitivity Char"/>
    <w:rsid w:val="001A62D7"/>
    <w:rPr>
      <w:rFonts w:ascii="Times New Roman" w:hAnsi="Times New Roman" w:cs="Times New Roman"/>
      <w:b/>
      <w:sz w:val="32"/>
      <w:lang w:val="en-GB"/>
    </w:rPr>
  </w:style>
  <w:style w:type="character" w:customStyle="1" w:styleId="HeaderSensitivityChar">
    <w:name w:val="Header Sensitivity Char"/>
    <w:rsid w:val="001A62D7"/>
    <w:rPr>
      <w:rFonts w:ascii="Times New Roman" w:hAnsi="Times New Roman" w:cs="Times New Roman"/>
      <w:b/>
      <w:sz w:val="32"/>
      <w:lang w:val="en-GB"/>
    </w:rPr>
  </w:style>
  <w:style w:type="character" w:customStyle="1" w:styleId="HeaderSensitivityRightChar">
    <w:name w:val="Header Sensitivity Right Char"/>
    <w:rsid w:val="001A62D7"/>
    <w:rPr>
      <w:rFonts w:ascii="Times New Roman" w:hAnsi="Times New Roman" w:cs="Times New Roman"/>
      <w:sz w:val="28"/>
      <w:lang w:val="en-GB"/>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DB47D8"/>
    <w:rPr>
      <w:rFonts w:ascii="Times New Roman" w:hAnsi="Times New Roman" w:cs="Times New Roman"/>
      <w:sz w:val="24"/>
      <w:lang w:val="en-GB"/>
    </w:rPr>
  </w:style>
  <w:style w:type="character" w:customStyle="1" w:styleId="FooterChar">
    <w:name w:val="Footer Char"/>
    <w:basedOn w:val="DefaultParagraphFont"/>
    <w:link w:val="Footer"/>
    <w:uiPriority w:val="99"/>
    <w:rsid w:val="00DB47D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B47D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B47D8"/>
    <w:pPr>
      <w:spacing w:before="0"/>
      <w:jc w:val="right"/>
    </w:pPr>
    <w:rPr>
      <w:sz w:val="28"/>
    </w:rPr>
  </w:style>
  <w:style w:type="paragraph" w:customStyle="1" w:styleId="FooterSensitivity">
    <w:name w:val="Footer Sensitivity"/>
    <w:basedOn w:val="Normal"/>
    <w:rsid w:val="00DB47D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B47D8"/>
    <w:pPr>
      <w:tabs>
        <w:tab w:val="center" w:pos="4535"/>
        <w:tab w:val="right" w:pos="9071"/>
      </w:tabs>
      <w:spacing w:before="0"/>
    </w:pPr>
  </w:style>
  <w:style w:type="paragraph" w:customStyle="1" w:styleId="HeaderLandscape">
    <w:name w:val="HeaderLandscape"/>
    <w:basedOn w:val="Normal"/>
    <w:rsid w:val="00DB47D8"/>
    <w:pPr>
      <w:tabs>
        <w:tab w:val="center" w:pos="7285"/>
        <w:tab w:val="right" w:pos="14003"/>
      </w:tabs>
      <w:spacing w:before="0"/>
    </w:pPr>
  </w:style>
  <w:style w:type="paragraph" w:styleId="Footer">
    <w:name w:val="footer"/>
    <w:basedOn w:val="Normal"/>
    <w:link w:val="FooterChar"/>
    <w:uiPriority w:val="99"/>
    <w:unhideWhenUsed/>
    <w:rsid w:val="00DB47D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B47D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statbel.fgov.be/en/themes/work-training/labour-market/employment-and-unemployment" TargetMode="External"/><Relationship Id="rId13" Type="http://schemas.openxmlformats.org/officeDocument/2006/relationships/hyperlink" Target="https://www.leforem.be/documents/citoyens/penuries-liste-metiers.pdf" TargetMode="External"/><Relationship Id="rId3" Type="http://schemas.openxmlformats.org/officeDocument/2006/relationships/hyperlink" Target="https://statbel.fgov.be/en/news/11067-bankruptcies-2024-mixed-results-regional-level" TargetMode="External"/><Relationship Id="rId7" Type="http://schemas.openxmlformats.org/officeDocument/2006/relationships/hyperlink" Target="https://ec.europa.eu/eurostat/web/products-euro-indicators/w/3-02102025-ap" TargetMode="External"/><Relationship Id="rId12" Type="http://schemas.openxmlformats.org/officeDocument/2006/relationships/hyperlink" Target="https://viewstat.actiris.brussels/viewstat_werkloosheid_basisstatistieken.html" TargetMode="External"/><Relationship Id="rId2" Type="http://schemas.openxmlformats.org/officeDocument/2006/relationships/hyperlink" Target="https://statbel.fgov.be/fr/themes/entreprises/faillites/faillites-mensuelles" TargetMode="External"/><Relationship Id="rId1" Type="http://schemas.openxmlformats.org/officeDocument/2006/relationships/hyperlink" Target="https://statbel.fgov.be/en/news/11067-bankruptcies-2024-mixed-results-regional-level" TargetMode="External"/><Relationship Id="rId6" Type="http://schemas.openxmlformats.org/officeDocument/2006/relationships/hyperlink" Target="https://statbel.fgov.be/en/themes/work-training/labour-market/employment-and-unemployment" TargetMode="External"/><Relationship Id="rId11" Type="http://schemas.openxmlformats.org/officeDocument/2006/relationships/hyperlink" Target="https://viewstat.actiris.brussels/viewstat_werkloosheid_basisstatistieken.html" TargetMode="External"/><Relationship Id="rId5" Type="http://schemas.openxmlformats.org/officeDocument/2006/relationships/hyperlink" Target="https://bestat.statbel.fgov.be/bestat/crosstable.xhtml?view=bf348576-546f-4008-8a02-48c1736adcd0" TargetMode="External"/><Relationship Id="rId10" Type="http://schemas.openxmlformats.org/officeDocument/2006/relationships/hyperlink" Target="https://statbel.fgov.be/en/themes/work-training/labour-market/employment-and-unemployment" TargetMode="External"/><Relationship Id="rId4" Type="http://schemas.openxmlformats.org/officeDocument/2006/relationships/hyperlink" Target="https://bestat.statbel.fgov.be/bestat/crosstable.xhtml?view=bf348576-546f-4008-8a02-48c1736adcd0" TargetMode="External"/><Relationship Id="rId9" Type="http://schemas.openxmlformats.org/officeDocument/2006/relationships/hyperlink" Target="https://bestat.statbel.fgov.be/bestat/crosstable.xhtml?view=4beb6e55-ffd5-471e-a8ba-094d942559a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D98F6-00EA-48BE-BF8F-6F8707EF0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11</Pages>
  <Words>4070</Words>
  <Characters>23199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2026-01-05T17:00:00Z</dcterms:created>
  <dcterms:modified xsi:type="dcterms:W3CDTF">2026-01-08T14:43:00Z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