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62D7" w:rsidRPr="002E0F34" w:rsidRDefault="00B63B13" w:rsidP="00B63B13">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6D7EAED-B7F4-413B-9B67-85B969E9817B" style="width:455.25pt;height:357.75pt">
            <v:imagedata r:id="rId8" o:title=""/>
          </v:shape>
        </w:pict>
      </w:r>
    </w:p>
    <w:p w:rsidR="001A62D7" w:rsidRPr="002E0F34" w:rsidRDefault="001A62D7" w:rsidP="001A62D7">
      <w:pPr>
        <w:rPr>
          <w:noProof/>
        </w:rPr>
        <w:sectPr w:rsidR="001A62D7" w:rsidRPr="002E0F34" w:rsidSect="00B63B13">
          <w:footerReference w:type="even" r:id="rId9"/>
          <w:footerReference w:type="default" r:id="rId10"/>
          <w:pgSz w:w="11907" w:h="16839"/>
          <w:pgMar w:top="1134" w:right="1417" w:bottom="1134" w:left="1417" w:header="709" w:footer="709" w:gutter="0"/>
          <w:pgNumType w:start="0"/>
          <w:cols w:space="720"/>
          <w:docGrid w:linePitch="360"/>
        </w:sectPr>
      </w:pPr>
    </w:p>
    <w:p w:rsidR="001A62D7" w:rsidRPr="002E0F34" w:rsidRDefault="001A62D7" w:rsidP="001A62D7">
      <w:pPr>
        <w:pStyle w:val="Exposdesmotifstitre"/>
        <w:rPr>
          <w:noProof/>
        </w:rPr>
      </w:pPr>
      <w:bookmarkStart w:id="0" w:name="_GoBack"/>
      <w:bookmarkEnd w:id="0"/>
      <w:r w:rsidRPr="002E0F34">
        <w:rPr>
          <w:noProof/>
        </w:rPr>
        <w:lastRenderedPageBreak/>
        <w:t>EXPOSÉ DES MOTIFS</w:t>
      </w:r>
    </w:p>
    <w:p w:rsidR="001A62D7" w:rsidRPr="002E0F34" w:rsidRDefault="001A62D7" w:rsidP="001A62D7">
      <w:pPr>
        <w:pStyle w:val="ManualHeading1"/>
        <w:rPr>
          <w:noProof/>
        </w:rPr>
      </w:pPr>
      <w:r w:rsidRPr="002E0F34">
        <w:rPr>
          <w:noProof/>
        </w:rPr>
        <w:t>CONTEXTE DE LA PROPOSITION</w:t>
      </w:r>
    </w:p>
    <w:p w:rsidR="001A62D7" w:rsidRPr="002E0F34" w:rsidRDefault="00D204AC" w:rsidP="00D204AC">
      <w:pPr>
        <w:pStyle w:val="ManualNumPar1"/>
        <w:rPr>
          <w:noProof/>
        </w:rPr>
      </w:pPr>
      <w:r w:rsidRPr="00D204AC">
        <w:rPr>
          <w:noProof/>
        </w:rPr>
        <w:t>1.</w:t>
      </w:r>
      <w:r w:rsidRPr="00D204AC">
        <w:rPr>
          <w:noProof/>
        </w:rPr>
        <w:tab/>
      </w:r>
      <w:r w:rsidR="001A62D7" w:rsidRPr="002E0F34">
        <w:rPr>
          <w:noProof/>
        </w:rPr>
        <w:t>Les règles régissant les contributions financières du Fonds européen d’ajustement à la mondialisation en faveur des travailleurs licenciés (FEM) sont définies dans le règlement (UE) 2021/691 du Parlement européen et du Conseil du 28 avril 2021 relatif au Fonds européen d’ajustement à la mondialisation en faveur des travailleurs licenciés (FEM) et abrogeant le règlement (UE) nº 1309/2013</w:t>
      </w:r>
      <w:r w:rsidR="001A62D7" w:rsidRPr="002E0F34">
        <w:rPr>
          <w:rStyle w:val="FootnoteReference"/>
          <w:noProof/>
        </w:rPr>
        <w:footnoteReference w:id="1"/>
      </w:r>
      <w:r w:rsidR="001A62D7" w:rsidRPr="002E0F34">
        <w:rPr>
          <w:noProof/>
        </w:rPr>
        <w:t>.</w:t>
      </w:r>
    </w:p>
    <w:p w:rsidR="001A62D7" w:rsidRPr="002E0F34" w:rsidRDefault="00D204AC" w:rsidP="00D204AC">
      <w:pPr>
        <w:pStyle w:val="ManualNumPar1"/>
        <w:rPr>
          <w:noProof/>
        </w:rPr>
      </w:pPr>
      <w:r w:rsidRPr="00D204AC">
        <w:rPr>
          <w:noProof/>
        </w:rPr>
        <w:t>2.</w:t>
      </w:r>
      <w:r w:rsidRPr="00D204AC">
        <w:rPr>
          <w:noProof/>
        </w:rPr>
        <w:tab/>
      </w:r>
      <w:r w:rsidR="001A62D7" w:rsidRPr="002E0F34">
        <w:rPr>
          <w:noProof/>
        </w:rPr>
        <w:t>Le 18 septembre 2025, les autorités belges ont introduit la demande EGF/</w:t>
      </w:r>
      <w:bookmarkStart w:id="1" w:name="EGF_Ref_Year"/>
      <w:r w:rsidR="001A62D7" w:rsidRPr="002E0F34">
        <w:rPr>
          <w:noProof/>
        </w:rPr>
        <w:t>2025</w:t>
      </w:r>
      <w:bookmarkEnd w:id="1"/>
      <w:r w:rsidR="001A62D7" w:rsidRPr="002E0F34">
        <w:rPr>
          <w:noProof/>
        </w:rPr>
        <w:t>/</w:t>
      </w:r>
      <w:bookmarkStart w:id="2" w:name="EGF_Ref_CaseNumber"/>
      <w:r w:rsidR="001A62D7" w:rsidRPr="002E0F34">
        <w:rPr>
          <w:noProof/>
        </w:rPr>
        <w:t>006</w:t>
      </w:r>
      <w:bookmarkEnd w:id="2"/>
      <w:r w:rsidR="001A62D7" w:rsidRPr="002E0F34">
        <w:rPr>
          <w:noProof/>
        </w:rPr>
        <w:t> </w:t>
      </w:r>
      <w:bookmarkStart w:id="3" w:name="MS_Code"/>
      <w:r w:rsidR="001A62D7" w:rsidRPr="002E0F34">
        <w:rPr>
          <w:noProof/>
        </w:rPr>
        <w:t>BE</w:t>
      </w:r>
      <w:bookmarkEnd w:id="3"/>
      <w:r w:rsidR="001A62D7" w:rsidRPr="002E0F34">
        <w:rPr>
          <w:noProof/>
        </w:rPr>
        <w:t>/</w:t>
      </w:r>
      <w:bookmarkStart w:id="4" w:name="EGF_Ref_CaseName"/>
      <w:r w:rsidR="001A62D7" w:rsidRPr="002E0F34">
        <w:rPr>
          <w:noProof/>
        </w:rPr>
        <w:t>Audi</w:t>
      </w:r>
      <w:bookmarkEnd w:id="4"/>
      <w:r w:rsidR="001A62D7" w:rsidRPr="002E0F34">
        <w:rPr>
          <w:noProof/>
        </w:rPr>
        <w:t xml:space="preserve"> en vue d’obtenir une contribution financière du FEM, à la suite de licenciements au sein de </w:t>
      </w:r>
      <w:bookmarkStart w:id="5" w:name="PrimEnterprise_Name"/>
      <w:r w:rsidR="001A62D7" w:rsidRPr="002E0F34">
        <w:rPr>
          <w:noProof/>
        </w:rPr>
        <w:t>Audi (Audi Brussels S.A.:n.V.)</w:t>
      </w:r>
      <w:bookmarkEnd w:id="5"/>
      <w:r w:rsidR="001A62D7" w:rsidRPr="002E0F34">
        <w:rPr>
          <w:noProof/>
        </w:rPr>
        <w:t xml:space="preserve"> et de ses fournisseurs et producteurs en aval </w:t>
      </w:r>
      <w:bookmarkStart w:id="6" w:name="MS_Name"/>
      <w:r w:rsidR="001A62D7" w:rsidRPr="002E0F34">
        <w:rPr>
          <w:noProof/>
        </w:rPr>
        <w:t>en Belgique</w:t>
      </w:r>
      <w:bookmarkEnd w:id="6"/>
      <w:r w:rsidR="001A62D7" w:rsidRPr="002E0F34">
        <w:rPr>
          <w:noProof/>
        </w:rPr>
        <w:t>.</w:t>
      </w:r>
    </w:p>
    <w:p w:rsidR="001A62D7" w:rsidRPr="002E0F34" w:rsidRDefault="00D204AC" w:rsidP="00D204AC">
      <w:pPr>
        <w:pStyle w:val="ManualNumPar1"/>
        <w:rPr>
          <w:noProof/>
        </w:rPr>
      </w:pPr>
      <w:r w:rsidRPr="00D204AC">
        <w:rPr>
          <w:noProof/>
        </w:rPr>
        <w:t>3.</w:t>
      </w:r>
      <w:r w:rsidRPr="00D204AC">
        <w:rPr>
          <w:noProof/>
        </w:rPr>
        <w:tab/>
      </w:r>
      <w:r w:rsidR="001A62D7" w:rsidRPr="002E0F34">
        <w:rPr>
          <w:noProof/>
        </w:rPr>
        <w:t>Au terme de l’évaluation de cette demande, la Commission a conclu, conformément à l’ensemble des dispositions applicables du règlement (UE) 2021/691, que les conditions d’octroi d’une contribution financière du FEM étaient remplies.</w:t>
      </w:r>
    </w:p>
    <w:p w:rsidR="001A62D7" w:rsidRPr="002E0F34" w:rsidRDefault="001A62D7" w:rsidP="001A62D7">
      <w:pPr>
        <w:pStyle w:val="ManualHeading1"/>
        <w:rPr>
          <w:noProof/>
        </w:rPr>
      </w:pPr>
      <w:r w:rsidRPr="002E0F34">
        <w:rPr>
          <w:noProof/>
        </w:rPr>
        <w:t>SYNTHÈSE DE LA DEMANDE</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644"/>
        <w:gridCol w:w="4643"/>
      </w:tblGrid>
      <w:tr w:rsidR="001A62D7" w:rsidRPr="002E0F34" w:rsidTr="00605885">
        <w:tc>
          <w:tcPr>
            <w:tcW w:w="4644" w:type="dxa"/>
            <w:shd w:val="clear" w:color="auto" w:fill="auto"/>
          </w:tcPr>
          <w:p w:rsidR="001A62D7" w:rsidRPr="002E0F34" w:rsidRDefault="001A62D7" w:rsidP="001D5990">
            <w:pPr>
              <w:spacing w:before="60" w:after="60"/>
              <w:jc w:val="left"/>
              <w:rPr>
                <w:rFonts w:eastAsia="Calibri"/>
                <w:noProof/>
              </w:rPr>
            </w:pPr>
            <w:r w:rsidRPr="002E0F34">
              <w:rPr>
                <w:noProof/>
              </w:rPr>
              <w:t>Numéro de la demande FEM</w:t>
            </w:r>
          </w:p>
        </w:tc>
        <w:tc>
          <w:tcPr>
            <w:tcW w:w="4643" w:type="dxa"/>
            <w:shd w:val="clear" w:color="auto" w:fill="auto"/>
          </w:tcPr>
          <w:p w:rsidR="001A62D7" w:rsidRPr="002E0F34" w:rsidRDefault="001A62D7" w:rsidP="001D5990">
            <w:pPr>
              <w:spacing w:before="60" w:after="60"/>
              <w:ind w:rightChars="192" w:right="461"/>
              <w:jc w:val="left"/>
              <w:rPr>
                <w:rFonts w:eastAsia="Calibri"/>
                <w:noProof/>
              </w:rPr>
            </w:pPr>
            <w:r w:rsidRPr="002E0F34">
              <w:rPr>
                <w:noProof/>
              </w:rPr>
              <w:t>EGF/2025/006 BE/Audi</w:t>
            </w:r>
          </w:p>
        </w:tc>
      </w:tr>
      <w:tr w:rsidR="001A62D7" w:rsidRPr="002E0F34" w:rsidTr="00605885">
        <w:tc>
          <w:tcPr>
            <w:tcW w:w="4644" w:type="dxa"/>
            <w:shd w:val="clear" w:color="auto" w:fill="auto"/>
          </w:tcPr>
          <w:p w:rsidR="001A62D7" w:rsidRPr="002E0F34" w:rsidRDefault="001A62D7" w:rsidP="001D5990">
            <w:pPr>
              <w:spacing w:before="60" w:after="60"/>
              <w:jc w:val="left"/>
              <w:rPr>
                <w:rFonts w:eastAsia="Calibri"/>
                <w:noProof/>
              </w:rPr>
            </w:pPr>
            <w:r w:rsidRPr="002E0F34">
              <w:rPr>
                <w:noProof/>
              </w:rPr>
              <w:t>État membre</w:t>
            </w:r>
          </w:p>
        </w:tc>
        <w:tc>
          <w:tcPr>
            <w:tcW w:w="4643" w:type="dxa"/>
            <w:shd w:val="clear" w:color="auto" w:fill="auto"/>
          </w:tcPr>
          <w:p w:rsidR="001A62D7" w:rsidRPr="002E0F34" w:rsidRDefault="00A824CE" w:rsidP="001D5990">
            <w:pPr>
              <w:spacing w:before="60" w:after="60"/>
              <w:ind w:rightChars="192" w:right="461"/>
              <w:jc w:val="left"/>
              <w:rPr>
                <w:rFonts w:eastAsia="Calibri"/>
                <w:noProof/>
              </w:rPr>
            </w:pPr>
            <w:r w:rsidRPr="002E0F34">
              <w:rPr>
                <w:noProof/>
              </w:rPr>
              <w:t>Belgique</w:t>
            </w:r>
          </w:p>
        </w:tc>
      </w:tr>
      <w:tr w:rsidR="001A62D7" w:rsidRPr="002E0F34" w:rsidTr="00605885">
        <w:tc>
          <w:tcPr>
            <w:tcW w:w="4644" w:type="dxa"/>
            <w:tcBorders>
              <w:bottom w:val="single" w:sz="4" w:space="0" w:color="auto"/>
            </w:tcBorders>
            <w:shd w:val="clear" w:color="auto" w:fill="auto"/>
          </w:tcPr>
          <w:p w:rsidR="001A62D7" w:rsidRPr="002E0F34" w:rsidRDefault="001A62D7" w:rsidP="001D5990">
            <w:pPr>
              <w:spacing w:before="60" w:after="60"/>
              <w:jc w:val="left"/>
              <w:rPr>
                <w:rFonts w:eastAsia="Calibri"/>
                <w:noProof/>
              </w:rPr>
            </w:pPr>
            <w:r w:rsidRPr="002E0F34">
              <w:rPr>
                <w:noProof/>
              </w:rPr>
              <w:t>Région(s) concernée(s) (niveau NUTS 2</w:t>
            </w:r>
            <w:r w:rsidRPr="002E0F34">
              <w:rPr>
                <w:rStyle w:val="FootnoteReference"/>
                <w:noProof/>
              </w:rPr>
              <w:footnoteReference w:id="2"/>
            </w:r>
            <w:r w:rsidRPr="002E0F34">
              <w:rPr>
                <w:noProof/>
              </w:rPr>
              <w:t>)</w:t>
            </w:r>
            <w:r w:rsidRPr="002E0F34">
              <w:rPr>
                <w:rStyle w:val="FootnoteReference"/>
                <w:rFonts w:eastAsia="Calibri"/>
                <w:noProof/>
              </w:rPr>
              <w:footnoteReference w:id="3"/>
            </w:r>
            <w:r w:rsidRPr="002E0F34">
              <w:rPr>
                <w:noProof/>
              </w:rPr>
              <w:t>.</w:t>
            </w:r>
          </w:p>
        </w:tc>
        <w:tc>
          <w:tcPr>
            <w:tcW w:w="4643" w:type="dxa"/>
            <w:tcBorders>
              <w:bottom w:val="single" w:sz="4" w:space="0" w:color="auto"/>
            </w:tcBorders>
            <w:shd w:val="clear" w:color="auto" w:fill="auto"/>
          </w:tcPr>
          <w:p w:rsidR="00605885" w:rsidRPr="002E0F34" w:rsidRDefault="00605885" w:rsidP="00605885">
            <w:pPr>
              <w:spacing w:before="0" w:after="0"/>
              <w:ind w:rightChars="192" w:right="461"/>
              <w:jc w:val="left"/>
              <w:rPr>
                <w:noProof/>
                <w:szCs w:val="24"/>
              </w:rPr>
            </w:pPr>
            <w:r w:rsidRPr="002E0F34">
              <w:rPr>
                <w:noProof/>
              </w:rPr>
              <w:t>Région-de-Bruxelles-capitale</w:t>
            </w:r>
          </w:p>
          <w:p w:rsidR="00605885" w:rsidRPr="002E0F34" w:rsidRDefault="00605885" w:rsidP="00605885">
            <w:pPr>
              <w:spacing w:before="0" w:after="0"/>
              <w:ind w:rightChars="192" w:right="461"/>
              <w:jc w:val="left"/>
              <w:rPr>
                <w:noProof/>
                <w:szCs w:val="24"/>
              </w:rPr>
            </w:pPr>
            <w:r w:rsidRPr="002E0F34">
              <w:rPr>
                <w:noProof/>
              </w:rPr>
              <w:t>Brussels Hoofdstedelijk Gewest (BE10),</w:t>
            </w:r>
          </w:p>
          <w:p w:rsidR="001A62D7" w:rsidRPr="002E0F34" w:rsidRDefault="0020128B" w:rsidP="00605885">
            <w:pPr>
              <w:spacing w:before="0" w:after="0"/>
              <w:ind w:rightChars="192" w:right="461"/>
              <w:jc w:val="left"/>
              <w:rPr>
                <w:noProof/>
                <w:szCs w:val="24"/>
              </w:rPr>
            </w:pPr>
            <w:bookmarkStart w:id="7" w:name="Region_1_Name"/>
            <w:r w:rsidRPr="002E0F34">
              <w:rPr>
                <w:noProof/>
              </w:rPr>
              <w:t>Provincie Oost-Vlaanderen</w:t>
            </w:r>
            <w:bookmarkEnd w:id="7"/>
            <w:r w:rsidRPr="002E0F34">
              <w:rPr>
                <w:noProof/>
              </w:rPr>
              <w:t xml:space="preserve"> (BE23), et</w:t>
            </w:r>
          </w:p>
          <w:p w:rsidR="001A62D7" w:rsidRPr="002E0F34" w:rsidRDefault="00605885" w:rsidP="008D17F5">
            <w:pPr>
              <w:spacing w:before="0" w:after="0"/>
              <w:ind w:rightChars="192" w:right="461"/>
              <w:jc w:val="left"/>
              <w:rPr>
                <w:noProof/>
                <w:szCs w:val="24"/>
              </w:rPr>
            </w:pPr>
            <w:r w:rsidRPr="002E0F34">
              <w:rPr>
                <w:noProof/>
              </w:rPr>
              <w:t>Province du Hainaut (BE32)</w:t>
            </w:r>
          </w:p>
        </w:tc>
      </w:tr>
      <w:tr w:rsidR="001A62D7" w:rsidRPr="002E0F34" w:rsidTr="00605885">
        <w:tc>
          <w:tcPr>
            <w:tcW w:w="4644" w:type="dxa"/>
            <w:tcBorders>
              <w:bottom w:val="dotted" w:sz="4" w:space="0" w:color="auto"/>
            </w:tcBorders>
            <w:shd w:val="clear" w:color="auto" w:fill="auto"/>
          </w:tcPr>
          <w:p w:rsidR="001A62D7" w:rsidRPr="002E0F34" w:rsidRDefault="001A62D7" w:rsidP="001D5990">
            <w:pPr>
              <w:spacing w:before="60" w:after="60"/>
              <w:jc w:val="left"/>
              <w:rPr>
                <w:rFonts w:eastAsia="Calibri"/>
                <w:noProof/>
              </w:rPr>
            </w:pPr>
            <w:r w:rsidRPr="002E0F34">
              <w:rPr>
                <w:noProof/>
              </w:rPr>
              <w:t>Date de dépôt de la demande</w:t>
            </w:r>
          </w:p>
        </w:tc>
        <w:tc>
          <w:tcPr>
            <w:tcW w:w="4643" w:type="dxa"/>
            <w:tcBorders>
              <w:bottom w:val="dotted" w:sz="4" w:space="0" w:color="auto"/>
            </w:tcBorders>
            <w:shd w:val="clear" w:color="auto" w:fill="auto"/>
          </w:tcPr>
          <w:p w:rsidR="001A62D7" w:rsidRPr="002E0F34" w:rsidRDefault="00A824CE" w:rsidP="001D5990">
            <w:pPr>
              <w:spacing w:before="60" w:after="60"/>
              <w:ind w:rightChars="192" w:right="461"/>
              <w:jc w:val="left"/>
              <w:rPr>
                <w:rFonts w:eastAsia="Calibri"/>
                <w:noProof/>
              </w:rPr>
            </w:pPr>
            <w:r w:rsidRPr="002E0F34">
              <w:rPr>
                <w:noProof/>
              </w:rPr>
              <w:t>18 septembre 2025</w:t>
            </w:r>
          </w:p>
        </w:tc>
      </w:tr>
      <w:tr w:rsidR="001A62D7" w:rsidRPr="002E0F34" w:rsidTr="00605885">
        <w:tc>
          <w:tcPr>
            <w:tcW w:w="4644" w:type="dxa"/>
            <w:tcBorders>
              <w:top w:val="dotted" w:sz="4" w:space="0" w:color="auto"/>
              <w:bottom w:val="dotted" w:sz="4" w:space="0" w:color="auto"/>
            </w:tcBorders>
            <w:shd w:val="clear" w:color="auto" w:fill="auto"/>
          </w:tcPr>
          <w:p w:rsidR="001A62D7" w:rsidRPr="002E0F34" w:rsidRDefault="001A62D7" w:rsidP="001D5990">
            <w:pPr>
              <w:spacing w:before="60" w:after="60"/>
              <w:jc w:val="left"/>
              <w:rPr>
                <w:rFonts w:eastAsia="Calibri"/>
                <w:noProof/>
              </w:rPr>
            </w:pPr>
            <w:r w:rsidRPr="002E0F34">
              <w:rPr>
                <w:noProof/>
              </w:rPr>
              <w:t>Date d’accusé de réception de la demande</w:t>
            </w:r>
          </w:p>
        </w:tc>
        <w:tc>
          <w:tcPr>
            <w:tcW w:w="4643" w:type="dxa"/>
            <w:tcBorders>
              <w:top w:val="dotted" w:sz="4" w:space="0" w:color="auto"/>
              <w:bottom w:val="dotted" w:sz="4" w:space="0" w:color="auto"/>
            </w:tcBorders>
            <w:shd w:val="clear" w:color="auto" w:fill="auto"/>
          </w:tcPr>
          <w:p w:rsidR="001A62D7" w:rsidRPr="002E0F34" w:rsidRDefault="007D1CC7" w:rsidP="001D5990">
            <w:pPr>
              <w:spacing w:before="60" w:after="60"/>
              <w:ind w:rightChars="192" w:right="461"/>
              <w:jc w:val="left"/>
              <w:rPr>
                <w:rFonts w:eastAsia="Calibri"/>
                <w:noProof/>
              </w:rPr>
            </w:pPr>
            <w:r w:rsidRPr="002E0F34">
              <w:rPr>
                <w:noProof/>
              </w:rPr>
              <w:t>18 septembre 2025</w:t>
            </w:r>
          </w:p>
        </w:tc>
      </w:tr>
      <w:tr w:rsidR="001A62D7" w:rsidRPr="002E0F34" w:rsidTr="00605885">
        <w:tc>
          <w:tcPr>
            <w:tcW w:w="4644" w:type="dxa"/>
            <w:tcBorders>
              <w:top w:val="dotted" w:sz="4" w:space="0" w:color="auto"/>
              <w:bottom w:val="dotted" w:sz="4" w:space="0" w:color="auto"/>
            </w:tcBorders>
            <w:shd w:val="clear" w:color="auto" w:fill="auto"/>
          </w:tcPr>
          <w:p w:rsidR="001A62D7" w:rsidRPr="002E0F34" w:rsidRDefault="001A62D7" w:rsidP="001D5990">
            <w:pPr>
              <w:spacing w:before="60" w:after="60"/>
              <w:jc w:val="left"/>
              <w:rPr>
                <w:rFonts w:eastAsia="Calibri"/>
                <w:noProof/>
              </w:rPr>
            </w:pPr>
            <w:r w:rsidRPr="002E0F34">
              <w:rPr>
                <w:noProof/>
              </w:rPr>
              <w:t>Date de demande d’informations complémentaires</w:t>
            </w:r>
          </w:p>
        </w:tc>
        <w:tc>
          <w:tcPr>
            <w:tcW w:w="4643" w:type="dxa"/>
            <w:tcBorders>
              <w:top w:val="dotted" w:sz="4" w:space="0" w:color="auto"/>
              <w:bottom w:val="dotted" w:sz="4" w:space="0" w:color="auto"/>
            </w:tcBorders>
            <w:shd w:val="clear" w:color="auto" w:fill="auto"/>
          </w:tcPr>
          <w:p w:rsidR="001A62D7" w:rsidRPr="002E0F34" w:rsidRDefault="007D1CC7" w:rsidP="001D5990">
            <w:pPr>
              <w:spacing w:before="60" w:after="60"/>
              <w:ind w:rightChars="192" w:right="461"/>
              <w:jc w:val="left"/>
              <w:rPr>
                <w:rFonts w:eastAsia="Calibri"/>
                <w:noProof/>
              </w:rPr>
            </w:pPr>
            <w:r w:rsidRPr="002E0F34">
              <w:rPr>
                <w:noProof/>
              </w:rPr>
              <w:t>2 octobre 2025</w:t>
            </w:r>
          </w:p>
        </w:tc>
      </w:tr>
      <w:tr w:rsidR="001A62D7" w:rsidRPr="002E0F34" w:rsidTr="00605885">
        <w:tc>
          <w:tcPr>
            <w:tcW w:w="4644" w:type="dxa"/>
            <w:tcBorders>
              <w:top w:val="dotted" w:sz="4" w:space="0" w:color="auto"/>
              <w:bottom w:val="dotted" w:sz="4" w:space="0" w:color="auto"/>
            </w:tcBorders>
            <w:shd w:val="clear" w:color="auto" w:fill="auto"/>
          </w:tcPr>
          <w:p w:rsidR="001A62D7" w:rsidRPr="002E0F34" w:rsidRDefault="001A62D7" w:rsidP="001D5990">
            <w:pPr>
              <w:spacing w:before="60" w:after="60"/>
              <w:jc w:val="left"/>
              <w:rPr>
                <w:rFonts w:eastAsia="Calibri"/>
                <w:noProof/>
              </w:rPr>
            </w:pPr>
            <w:r w:rsidRPr="002E0F34">
              <w:rPr>
                <w:noProof/>
              </w:rPr>
              <w:t>Date limite pour la communication des informations complémentaires</w:t>
            </w:r>
          </w:p>
        </w:tc>
        <w:tc>
          <w:tcPr>
            <w:tcW w:w="4643" w:type="dxa"/>
            <w:tcBorders>
              <w:top w:val="dotted" w:sz="4" w:space="0" w:color="auto"/>
              <w:bottom w:val="dotted" w:sz="4" w:space="0" w:color="auto"/>
            </w:tcBorders>
            <w:shd w:val="clear" w:color="auto" w:fill="auto"/>
          </w:tcPr>
          <w:p w:rsidR="001A62D7" w:rsidRPr="002E0F34" w:rsidRDefault="007D1CC7" w:rsidP="001D5990">
            <w:pPr>
              <w:spacing w:before="60" w:after="60"/>
              <w:ind w:rightChars="192" w:right="461"/>
              <w:jc w:val="left"/>
              <w:rPr>
                <w:rFonts w:eastAsia="Calibri"/>
                <w:noProof/>
              </w:rPr>
            </w:pPr>
            <w:r w:rsidRPr="002E0F34">
              <w:rPr>
                <w:noProof/>
              </w:rPr>
              <w:t>23 octobre 2025</w:t>
            </w:r>
          </w:p>
        </w:tc>
      </w:tr>
      <w:tr w:rsidR="001A62D7" w:rsidRPr="002E0F34" w:rsidTr="00605885">
        <w:tc>
          <w:tcPr>
            <w:tcW w:w="4644" w:type="dxa"/>
            <w:tcBorders>
              <w:top w:val="dotted" w:sz="4" w:space="0" w:color="auto"/>
            </w:tcBorders>
            <w:shd w:val="clear" w:color="auto" w:fill="auto"/>
          </w:tcPr>
          <w:p w:rsidR="001A62D7" w:rsidRPr="002E0F34" w:rsidRDefault="001A62D7" w:rsidP="001D5990">
            <w:pPr>
              <w:spacing w:before="60" w:after="60"/>
              <w:jc w:val="left"/>
              <w:rPr>
                <w:rFonts w:eastAsia="Calibri"/>
                <w:noProof/>
              </w:rPr>
            </w:pPr>
            <w:r w:rsidRPr="002E0F34">
              <w:rPr>
                <w:noProof/>
              </w:rPr>
              <w:t>Date limite pour la réalisation de l’évaluation</w:t>
            </w:r>
          </w:p>
        </w:tc>
        <w:tc>
          <w:tcPr>
            <w:tcW w:w="4643" w:type="dxa"/>
            <w:tcBorders>
              <w:top w:val="dotted" w:sz="4" w:space="0" w:color="auto"/>
            </w:tcBorders>
            <w:shd w:val="clear" w:color="auto" w:fill="auto"/>
          </w:tcPr>
          <w:p w:rsidR="001A62D7" w:rsidRPr="002E0F34" w:rsidRDefault="007D1CC7" w:rsidP="001D5990">
            <w:pPr>
              <w:spacing w:before="60" w:after="60"/>
              <w:ind w:rightChars="192" w:right="461"/>
              <w:jc w:val="left"/>
              <w:rPr>
                <w:rFonts w:eastAsia="Calibri"/>
                <w:noProof/>
              </w:rPr>
            </w:pPr>
            <w:r w:rsidRPr="002E0F34">
              <w:rPr>
                <w:noProof/>
              </w:rPr>
              <w:t>13 janvier 2026</w:t>
            </w:r>
          </w:p>
        </w:tc>
      </w:tr>
      <w:tr w:rsidR="001A62D7" w:rsidRPr="002E0F34" w:rsidTr="00605885">
        <w:tc>
          <w:tcPr>
            <w:tcW w:w="4644" w:type="dxa"/>
            <w:shd w:val="clear" w:color="auto" w:fill="auto"/>
          </w:tcPr>
          <w:p w:rsidR="001A62D7" w:rsidRPr="002E0F34" w:rsidRDefault="001A62D7" w:rsidP="001D5990">
            <w:pPr>
              <w:spacing w:before="60" w:after="60"/>
              <w:jc w:val="left"/>
              <w:rPr>
                <w:rFonts w:eastAsia="Calibri"/>
                <w:noProof/>
              </w:rPr>
            </w:pPr>
            <w:r w:rsidRPr="002E0F34">
              <w:rPr>
                <w:noProof/>
              </w:rPr>
              <w:t>Critère d’intervention</w:t>
            </w:r>
          </w:p>
        </w:tc>
        <w:tc>
          <w:tcPr>
            <w:tcW w:w="4643" w:type="dxa"/>
            <w:shd w:val="clear" w:color="auto" w:fill="auto"/>
          </w:tcPr>
          <w:p w:rsidR="001A62D7" w:rsidRPr="002E0F34" w:rsidRDefault="001A62D7" w:rsidP="001D5990">
            <w:pPr>
              <w:spacing w:before="60" w:after="60"/>
              <w:ind w:rightChars="192" w:right="461"/>
              <w:jc w:val="left"/>
              <w:rPr>
                <w:rFonts w:eastAsia="Calibri"/>
                <w:noProof/>
              </w:rPr>
            </w:pPr>
            <w:r w:rsidRPr="002E0F34">
              <w:rPr>
                <w:noProof/>
              </w:rPr>
              <w:t>Article 4, paragraphe 2, point a), du règlement (UE) 2021/691</w:t>
            </w:r>
          </w:p>
        </w:tc>
      </w:tr>
      <w:tr w:rsidR="001A62D7" w:rsidRPr="002E0F34" w:rsidTr="00605885">
        <w:tc>
          <w:tcPr>
            <w:tcW w:w="4644" w:type="dxa"/>
            <w:tcBorders>
              <w:top w:val="single" w:sz="4" w:space="0" w:color="auto"/>
              <w:bottom w:val="single" w:sz="4" w:space="0" w:color="auto"/>
              <w:right w:val="single" w:sz="4" w:space="0" w:color="auto"/>
            </w:tcBorders>
            <w:shd w:val="clear" w:color="auto" w:fill="auto"/>
          </w:tcPr>
          <w:p w:rsidR="001A62D7" w:rsidRPr="002E0F34" w:rsidRDefault="001A62D7" w:rsidP="001D5990">
            <w:pPr>
              <w:spacing w:before="60" w:after="60"/>
              <w:jc w:val="left"/>
              <w:rPr>
                <w:rFonts w:eastAsia="Calibri"/>
                <w:noProof/>
              </w:rPr>
            </w:pPr>
            <w:r w:rsidRPr="002E0F34">
              <w:rPr>
                <w:noProof/>
              </w:rPr>
              <w:br w:type="page"/>
              <w:t>Entreprise principale concernée</w:t>
            </w:r>
          </w:p>
        </w:tc>
        <w:tc>
          <w:tcPr>
            <w:tcW w:w="4643" w:type="dxa"/>
            <w:tcBorders>
              <w:top w:val="single" w:sz="4" w:space="0" w:color="auto"/>
              <w:left w:val="single" w:sz="4" w:space="0" w:color="auto"/>
              <w:bottom w:val="single" w:sz="4" w:space="0" w:color="auto"/>
            </w:tcBorders>
            <w:shd w:val="clear" w:color="auto" w:fill="auto"/>
          </w:tcPr>
          <w:p w:rsidR="001A62D7" w:rsidRPr="002E0F34" w:rsidRDefault="007D1CC7" w:rsidP="001D5990">
            <w:pPr>
              <w:spacing w:before="60" w:after="60"/>
              <w:ind w:rightChars="192" w:right="461"/>
              <w:jc w:val="left"/>
              <w:rPr>
                <w:noProof/>
                <w:szCs w:val="24"/>
              </w:rPr>
            </w:pPr>
            <w:r w:rsidRPr="002E0F34">
              <w:rPr>
                <w:noProof/>
              </w:rPr>
              <w:t>Audi (Audi Brussels S.A.: n.V.)</w:t>
            </w:r>
          </w:p>
        </w:tc>
      </w:tr>
      <w:tr w:rsidR="001A62D7" w:rsidRPr="002E0F34" w:rsidTr="00605885">
        <w:tc>
          <w:tcPr>
            <w:tcW w:w="4644" w:type="dxa"/>
            <w:shd w:val="clear" w:color="auto" w:fill="auto"/>
          </w:tcPr>
          <w:p w:rsidR="001A62D7" w:rsidRPr="002E0F34" w:rsidRDefault="001A62D7" w:rsidP="001D5990">
            <w:pPr>
              <w:spacing w:before="60" w:after="60"/>
              <w:jc w:val="left"/>
              <w:rPr>
                <w:rFonts w:eastAsia="Calibri"/>
                <w:noProof/>
              </w:rPr>
            </w:pPr>
            <w:r w:rsidRPr="002E0F34">
              <w:rPr>
                <w:noProof/>
              </w:rPr>
              <w:t>Secteurs d'activité économique</w:t>
            </w:r>
          </w:p>
          <w:p w:rsidR="001A62D7" w:rsidRPr="002E0F34" w:rsidRDefault="001A62D7" w:rsidP="001D5990">
            <w:pPr>
              <w:spacing w:before="60" w:after="60"/>
              <w:jc w:val="left"/>
              <w:rPr>
                <w:rFonts w:eastAsia="Calibri"/>
                <w:noProof/>
              </w:rPr>
            </w:pPr>
            <w:r w:rsidRPr="002E0F34">
              <w:rPr>
                <w:noProof/>
              </w:rPr>
              <w:t>(division de la NACE Rév. 2)</w:t>
            </w:r>
            <w:r w:rsidRPr="002E0F34">
              <w:rPr>
                <w:rStyle w:val="FootnoteReference"/>
                <w:noProof/>
                <w:szCs w:val="24"/>
              </w:rPr>
              <w:footnoteReference w:id="4"/>
            </w:r>
          </w:p>
        </w:tc>
        <w:tc>
          <w:tcPr>
            <w:tcW w:w="4643" w:type="dxa"/>
            <w:shd w:val="clear" w:color="auto" w:fill="auto"/>
          </w:tcPr>
          <w:p w:rsidR="001A62D7" w:rsidRPr="002E0F34" w:rsidRDefault="001A62D7" w:rsidP="007D1CC7">
            <w:pPr>
              <w:spacing w:before="60" w:after="60"/>
              <w:ind w:rightChars="192" w:right="461"/>
              <w:jc w:val="left"/>
              <w:rPr>
                <w:rFonts w:eastAsia="Calibri"/>
                <w:noProof/>
              </w:rPr>
            </w:pPr>
            <w:r w:rsidRPr="002E0F34">
              <w:rPr>
                <w:noProof/>
              </w:rPr>
              <w:t>Division 29 (Industrie automobile)</w:t>
            </w:r>
          </w:p>
        </w:tc>
      </w:tr>
      <w:tr w:rsidR="001A62D7" w:rsidRPr="002E0F34" w:rsidTr="00605885">
        <w:tc>
          <w:tcPr>
            <w:tcW w:w="4644" w:type="dxa"/>
            <w:shd w:val="clear" w:color="auto" w:fill="auto"/>
          </w:tcPr>
          <w:p w:rsidR="001A62D7" w:rsidRPr="002E0F34" w:rsidRDefault="001A62D7" w:rsidP="001D5990">
            <w:pPr>
              <w:spacing w:before="60" w:after="60"/>
              <w:jc w:val="left"/>
              <w:rPr>
                <w:rFonts w:eastAsia="Calibri"/>
                <w:noProof/>
              </w:rPr>
            </w:pPr>
            <w:r w:rsidRPr="002E0F34">
              <w:rPr>
                <w:noProof/>
              </w:rPr>
              <w:br w:type="page"/>
              <w:t>Nombre de filiales, fournisseurs et producteurs en aval concernés</w:t>
            </w:r>
          </w:p>
        </w:tc>
        <w:tc>
          <w:tcPr>
            <w:tcW w:w="4643" w:type="dxa"/>
            <w:shd w:val="clear" w:color="auto" w:fill="auto"/>
          </w:tcPr>
          <w:p w:rsidR="001A62D7" w:rsidRPr="002E0F34" w:rsidRDefault="007D1CC7" w:rsidP="001D5990">
            <w:pPr>
              <w:spacing w:before="60" w:after="60"/>
              <w:ind w:rightChars="192" w:right="461"/>
              <w:jc w:val="left"/>
              <w:rPr>
                <w:rFonts w:eastAsia="Calibri"/>
                <w:noProof/>
              </w:rPr>
            </w:pPr>
            <w:r w:rsidRPr="002E0F34">
              <w:rPr>
                <w:noProof/>
              </w:rPr>
              <w:t>5</w:t>
            </w:r>
            <w:r w:rsidRPr="002E0F34">
              <w:rPr>
                <w:rStyle w:val="FootnoteReference"/>
                <w:rFonts w:eastAsia="Calibri"/>
                <w:noProof/>
              </w:rPr>
              <w:footnoteReference w:id="5"/>
            </w:r>
          </w:p>
        </w:tc>
      </w:tr>
      <w:tr w:rsidR="001A62D7" w:rsidRPr="002E0F34" w:rsidTr="00605885">
        <w:tc>
          <w:tcPr>
            <w:tcW w:w="4644" w:type="dxa"/>
            <w:tcBorders>
              <w:bottom w:val="single" w:sz="4" w:space="0" w:color="auto"/>
            </w:tcBorders>
            <w:shd w:val="clear" w:color="auto" w:fill="auto"/>
          </w:tcPr>
          <w:p w:rsidR="001A62D7" w:rsidRPr="002E0F34" w:rsidRDefault="001A62D7" w:rsidP="001D5990">
            <w:pPr>
              <w:spacing w:before="60" w:after="60"/>
              <w:jc w:val="left"/>
              <w:rPr>
                <w:rFonts w:eastAsia="Calibri"/>
                <w:noProof/>
              </w:rPr>
            </w:pPr>
            <w:r w:rsidRPr="002E0F34">
              <w:rPr>
                <w:noProof/>
              </w:rPr>
              <w:t>Période de référence (quatre mois):</w:t>
            </w:r>
          </w:p>
        </w:tc>
        <w:tc>
          <w:tcPr>
            <w:tcW w:w="4643" w:type="dxa"/>
            <w:tcBorders>
              <w:bottom w:val="single" w:sz="4" w:space="0" w:color="auto"/>
            </w:tcBorders>
            <w:shd w:val="clear" w:color="auto" w:fill="auto"/>
          </w:tcPr>
          <w:p w:rsidR="001A62D7" w:rsidRPr="002E0F34" w:rsidRDefault="007D1CC7" w:rsidP="001D5990">
            <w:pPr>
              <w:spacing w:before="60" w:after="60"/>
              <w:ind w:rightChars="192" w:right="461"/>
              <w:jc w:val="left"/>
              <w:rPr>
                <w:rFonts w:eastAsia="Calibri"/>
                <w:noProof/>
              </w:rPr>
            </w:pPr>
            <w:r w:rsidRPr="002E0F34">
              <w:rPr>
                <w:noProof/>
              </w:rPr>
              <w:t>28 février 2025 – 28 juin 2025</w:t>
            </w:r>
          </w:p>
        </w:tc>
      </w:tr>
      <w:tr w:rsidR="001A62D7" w:rsidRPr="002E0F34" w:rsidTr="00605885">
        <w:tc>
          <w:tcPr>
            <w:tcW w:w="4644" w:type="dxa"/>
            <w:tcBorders>
              <w:bottom w:val="dotted" w:sz="4" w:space="0" w:color="auto"/>
            </w:tcBorders>
            <w:shd w:val="clear" w:color="auto" w:fill="auto"/>
          </w:tcPr>
          <w:p w:rsidR="001A62D7" w:rsidRPr="002E0F34" w:rsidRDefault="001A62D7" w:rsidP="001D5990">
            <w:pPr>
              <w:spacing w:before="60" w:after="60"/>
              <w:jc w:val="left"/>
              <w:rPr>
                <w:rFonts w:eastAsia="Calibri"/>
                <w:noProof/>
                <w:highlight w:val="magenta"/>
              </w:rPr>
            </w:pPr>
            <w:r w:rsidRPr="002E0F34">
              <w:rPr>
                <w:noProof/>
              </w:rPr>
              <w:t>Nombre de licenciements pendant la période de référence (a)</w:t>
            </w:r>
          </w:p>
        </w:tc>
        <w:tc>
          <w:tcPr>
            <w:tcW w:w="4643" w:type="dxa"/>
            <w:tcBorders>
              <w:bottom w:val="dotted" w:sz="4" w:space="0" w:color="auto"/>
            </w:tcBorders>
            <w:shd w:val="clear" w:color="auto" w:fill="auto"/>
          </w:tcPr>
          <w:p w:rsidR="001A62D7" w:rsidRPr="002E0F34" w:rsidRDefault="007D1CC7" w:rsidP="001D5990">
            <w:pPr>
              <w:spacing w:before="60" w:after="60"/>
              <w:ind w:rightChars="192" w:right="461"/>
              <w:jc w:val="left"/>
              <w:rPr>
                <w:rFonts w:eastAsia="Calibri"/>
                <w:noProof/>
                <w:highlight w:val="magenta"/>
              </w:rPr>
            </w:pPr>
            <w:r w:rsidRPr="002E0F34">
              <w:rPr>
                <w:noProof/>
              </w:rPr>
              <w:t>3 148</w:t>
            </w:r>
          </w:p>
        </w:tc>
      </w:tr>
      <w:tr w:rsidR="001A62D7" w:rsidRPr="002E0F34" w:rsidTr="00605885">
        <w:tc>
          <w:tcPr>
            <w:tcW w:w="4644" w:type="dxa"/>
            <w:tcBorders>
              <w:top w:val="dotted" w:sz="4" w:space="0" w:color="auto"/>
              <w:bottom w:val="dotted" w:sz="4" w:space="0" w:color="auto"/>
            </w:tcBorders>
            <w:shd w:val="clear" w:color="auto" w:fill="auto"/>
          </w:tcPr>
          <w:p w:rsidR="001A62D7" w:rsidRPr="002E0F34" w:rsidRDefault="001A62D7" w:rsidP="001D5990">
            <w:pPr>
              <w:spacing w:before="60" w:after="60"/>
              <w:jc w:val="left"/>
              <w:rPr>
                <w:rFonts w:eastAsia="Calibri"/>
                <w:noProof/>
                <w:highlight w:val="magenta"/>
              </w:rPr>
            </w:pPr>
            <w:r w:rsidRPr="002E0F34">
              <w:rPr>
                <w:noProof/>
              </w:rPr>
              <w:t>Nombre de licenciements avant ou après la période de référence (b)</w:t>
            </w:r>
          </w:p>
        </w:tc>
        <w:tc>
          <w:tcPr>
            <w:tcW w:w="4643" w:type="dxa"/>
            <w:tcBorders>
              <w:top w:val="dotted" w:sz="4" w:space="0" w:color="auto"/>
              <w:bottom w:val="dotted" w:sz="4" w:space="0" w:color="auto"/>
            </w:tcBorders>
            <w:shd w:val="clear" w:color="auto" w:fill="auto"/>
          </w:tcPr>
          <w:p w:rsidR="001A62D7" w:rsidRPr="002E0F34" w:rsidRDefault="007D1CC7" w:rsidP="001D5990">
            <w:pPr>
              <w:spacing w:before="60" w:after="60"/>
              <w:ind w:rightChars="192" w:right="461"/>
              <w:jc w:val="left"/>
              <w:rPr>
                <w:rFonts w:eastAsia="Calibri"/>
                <w:noProof/>
              </w:rPr>
            </w:pPr>
            <w:r w:rsidRPr="002E0F34">
              <w:rPr>
                <w:noProof/>
              </w:rPr>
              <w:t>266</w:t>
            </w:r>
          </w:p>
        </w:tc>
      </w:tr>
      <w:tr w:rsidR="001A62D7" w:rsidRPr="002E0F34" w:rsidTr="00605885">
        <w:tc>
          <w:tcPr>
            <w:tcW w:w="4644" w:type="dxa"/>
            <w:tcBorders>
              <w:top w:val="dotted" w:sz="4" w:space="0" w:color="auto"/>
              <w:bottom w:val="single" w:sz="4" w:space="0" w:color="auto"/>
            </w:tcBorders>
            <w:shd w:val="clear" w:color="auto" w:fill="auto"/>
          </w:tcPr>
          <w:p w:rsidR="001A62D7" w:rsidRPr="002E0F34" w:rsidRDefault="001A62D7" w:rsidP="001D5990">
            <w:pPr>
              <w:spacing w:before="60" w:after="60"/>
              <w:jc w:val="left"/>
              <w:rPr>
                <w:rFonts w:eastAsia="Calibri"/>
                <w:noProof/>
              </w:rPr>
            </w:pPr>
            <w:r w:rsidRPr="002E0F34">
              <w:rPr>
                <w:noProof/>
              </w:rPr>
              <w:t>Nombre total de licenciements (</w:t>
            </w:r>
            <w:r w:rsidRPr="002E0F34">
              <w:rPr>
                <w:i/>
                <w:noProof/>
              </w:rPr>
              <w:t>a</w:t>
            </w:r>
            <w:r w:rsidRPr="002E0F34">
              <w:rPr>
                <w:noProof/>
              </w:rPr>
              <w:t xml:space="preserve"> + </w:t>
            </w:r>
            <w:r w:rsidRPr="002E0F34">
              <w:rPr>
                <w:i/>
                <w:noProof/>
              </w:rPr>
              <w:t>b</w:t>
            </w:r>
            <w:r w:rsidRPr="002E0F34">
              <w:rPr>
                <w:noProof/>
              </w:rPr>
              <w:t>)</w:t>
            </w:r>
          </w:p>
        </w:tc>
        <w:tc>
          <w:tcPr>
            <w:tcW w:w="4643" w:type="dxa"/>
            <w:tcBorders>
              <w:top w:val="dotted" w:sz="4" w:space="0" w:color="auto"/>
              <w:bottom w:val="single" w:sz="4" w:space="0" w:color="auto"/>
            </w:tcBorders>
            <w:shd w:val="clear" w:color="auto" w:fill="auto"/>
          </w:tcPr>
          <w:p w:rsidR="001A62D7" w:rsidRPr="002E0F34" w:rsidRDefault="007D1CC7" w:rsidP="001D5990">
            <w:pPr>
              <w:spacing w:before="60" w:after="60"/>
              <w:ind w:rightChars="192" w:right="461"/>
              <w:jc w:val="left"/>
              <w:rPr>
                <w:rFonts w:eastAsia="Calibri"/>
                <w:noProof/>
              </w:rPr>
            </w:pPr>
            <w:r w:rsidRPr="002E0F34">
              <w:rPr>
                <w:noProof/>
              </w:rPr>
              <w:t>3 414</w:t>
            </w:r>
          </w:p>
        </w:tc>
      </w:tr>
      <w:tr w:rsidR="001A62D7" w:rsidRPr="002E0F34" w:rsidTr="00605885">
        <w:tc>
          <w:tcPr>
            <w:tcW w:w="4644" w:type="dxa"/>
            <w:tcBorders>
              <w:bottom w:val="dotted" w:sz="4" w:space="0" w:color="auto"/>
            </w:tcBorders>
            <w:shd w:val="clear" w:color="auto" w:fill="auto"/>
          </w:tcPr>
          <w:p w:rsidR="001A62D7" w:rsidRPr="002E0F34" w:rsidRDefault="001A62D7" w:rsidP="001D5990">
            <w:pPr>
              <w:spacing w:before="60" w:after="60"/>
              <w:jc w:val="left"/>
              <w:rPr>
                <w:rFonts w:eastAsia="Calibri"/>
                <w:noProof/>
              </w:rPr>
            </w:pPr>
            <w:r w:rsidRPr="002E0F34">
              <w:rPr>
                <w:noProof/>
              </w:rPr>
              <w:t>Nombre total de bénéficiaires admissibles</w:t>
            </w:r>
          </w:p>
        </w:tc>
        <w:tc>
          <w:tcPr>
            <w:tcW w:w="4643" w:type="dxa"/>
            <w:tcBorders>
              <w:bottom w:val="dotted" w:sz="4" w:space="0" w:color="auto"/>
            </w:tcBorders>
            <w:shd w:val="clear" w:color="auto" w:fill="auto"/>
          </w:tcPr>
          <w:p w:rsidR="001A62D7" w:rsidRPr="002E0F34" w:rsidRDefault="007D1CC7" w:rsidP="001D5990">
            <w:pPr>
              <w:spacing w:before="60" w:after="60"/>
              <w:ind w:rightChars="192" w:right="461"/>
              <w:jc w:val="left"/>
              <w:rPr>
                <w:rFonts w:eastAsia="Calibri"/>
                <w:noProof/>
              </w:rPr>
            </w:pPr>
            <w:r w:rsidRPr="002E0F34">
              <w:rPr>
                <w:noProof/>
              </w:rPr>
              <w:t>3 414</w:t>
            </w:r>
          </w:p>
        </w:tc>
      </w:tr>
      <w:tr w:rsidR="001A62D7" w:rsidRPr="002E0F34" w:rsidTr="00605885">
        <w:tc>
          <w:tcPr>
            <w:tcW w:w="4644" w:type="dxa"/>
            <w:tcBorders>
              <w:top w:val="dotted" w:sz="4" w:space="0" w:color="auto"/>
              <w:bottom w:val="dotted" w:sz="4" w:space="0" w:color="auto"/>
            </w:tcBorders>
            <w:shd w:val="clear" w:color="auto" w:fill="auto"/>
          </w:tcPr>
          <w:p w:rsidR="001A62D7" w:rsidRPr="002E0F34" w:rsidRDefault="001A62D7" w:rsidP="001D5990">
            <w:pPr>
              <w:spacing w:before="60" w:after="60"/>
              <w:jc w:val="left"/>
              <w:rPr>
                <w:rFonts w:eastAsia="Calibri"/>
                <w:noProof/>
              </w:rPr>
            </w:pPr>
            <w:r w:rsidRPr="002E0F34">
              <w:rPr>
                <w:noProof/>
              </w:rPr>
              <w:t>Nombre total de bénéficiaires visés</w:t>
            </w:r>
          </w:p>
        </w:tc>
        <w:tc>
          <w:tcPr>
            <w:tcW w:w="4643" w:type="dxa"/>
            <w:tcBorders>
              <w:top w:val="dotted" w:sz="4" w:space="0" w:color="auto"/>
              <w:bottom w:val="dotted" w:sz="4" w:space="0" w:color="auto"/>
            </w:tcBorders>
            <w:shd w:val="clear" w:color="auto" w:fill="auto"/>
          </w:tcPr>
          <w:p w:rsidR="001A62D7" w:rsidRPr="002E0F34" w:rsidRDefault="007D1CC7" w:rsidP="001D5990">
            <w:pPr>
              <w:spacing w:before="60" w:after="60"/>
              <w:ind w:rightChars="192" w:right="461"/>
              <w:jc w:val="left"/>
              <w:rPr>
                <w:rFonts w:eastAsia="Calibri"/>
                <w:noProof/>
              </w:rPr>
            </w:pPr>
            <w:r w:rsidRPr="002E0F34">
              <w:rPr>
                <w:noProof/>
              </w:rPr>
              <w:t>3 414</w:t>
            </w:r>
          </w:p>
        </w:tc>
      </w:tr>
      <w:tr w:rsidR="001A62D7" w:rsidRPr="002E0F34" w:rsidTr="00605885">
        <w:tc>
          <w:tcPr>
            <w:tcW w:w="4644" w:type="dxa"/>
            <w:tcBorders>
              <w:bottom w:val="dotted" w:sz="4" w:space="0" w:color="auto"/>
            </w:tcBorders>
            <w:shd w:val="clear" w:color="auto" w:fill="auto"/>
            <w:vAlign w:val="center"/>
          </w:tcPr>
          <w:p w:rsidR="001A62D7" w:rsidRPr="002E0F34" w:rsidRDefault="001A62D7" w:rsidP="001D5990">
            <w:pPr>
              <w:spacing w:before="0" w:after="0"/>
              <w:jc w:val="left"/>
              <w:rPr>
                <w:noProof/>
              </w:rPr>
            </w:pPr>
            <w:r w:rsidRPr="002E0F34">
              <w:rPr>
                <w:noProof/>
              </w:rPr>
              <w:t>Budget pour les services personnalisés (en EUR)</w:t>
            </w:r>
          </w:p>
        </w:tc>
        <w:tc>
          <w:tcPr>
            <w:tcW w:w="4643" w:type="dxa"/>
            <w:tcBorders>
              <w:bottom w:val="dotted" w:sz="4" w:space="0" w:color="auto"/>
            </w:tcBorders>
            <w:shd w:val="clear" w:color="auto" w:fill="auto"/>
            <w:vAlign w:val="center"/>
          </w:tcPr>
          <w:p w:rsidR="001A62D7" w:rsidRPr="002E0F34" w:rsidRDefault="00DC7444" w:rsidP="001D5990">
            <w:pPr>
              <w:spacing w:before="0" w:after="0"/>
              <w:ind w:rightChars="192" w:right="461"/>
              <w:jc w:val="left"/>
              <w:rPr>
                <w:noProof/>
              </w:rPr>
            </w:pPr>
            <w:r w:rsidRPr="002E0F34">
              <w:rPr>
                <w:noProof/>
              </w:rPr>
              <w:t>8 738 968</w:t>
            </w:r>
          </w:p>
        </w:tc>
      </w:tr>
      <w:tr w:rsidR="001A62D7" w:rsidRPr="002E0F34" w:rsidTr="00605885">
        <w:tc>
          <w:tcPr>
            <w:tcW w:w="4644" w:type="dxa"/>
            <w:tcBorders>
              <w:top w:val="dotted" w:sz="4" w:space="0" w:color="auto"/>
              <w:bottom w:val="dotted" w:sz="4" w:space="0" w:color="auto"/>
            </w:tcBorders>
            <w:shd w:val="clear" w:color="auto" w:fill="auto"/>
            <w:vAlign w:val="center"/>
          </w:tcPr>
          <w:p w:rsidR="001A62D7" w:rsidRPr="002E0F34" w:rsidRDefault="001A62D7" w:rsidP="001D5990">
            <w:pPr>
              <w:spacing w:before="0" w:after="0"/>
              <w:jc w:val="left"/>
              <w:rPr>
                <w:noProof/>
              </w:rPr>
            </w:pPr>
            <w:r w:rsidRPr="002E0F34">
              <w:rPr>
                <w:noProof/>
              </w:rPr>
              <w:t>Budget pour la mise en œuvre du FEM</w:t>
            </w:r>
            <w:r w:rsidRPr="002E0F34">
              <w:rPr>
                <w:rStyle w:val="FootnoteReference"/>
                <w:noProof/>
              </w:rPr>
              <w:footnoteReference w:id="6"/>
            </w:r>
            <w:r w:rsidRPr="002E0F34">
              <w:rPr>
                <w:noProof/>
              </w:rPr>
              <w:t xml:space="preserve"> (en EUR)</w:t>
            </w:r>
          </w:p>
        </w:tc>
        <w:tc>
          <w:tcPr>
            <w:tcW w:w="4643" w:type="dxa"/>
            <w:tcBorders>
              <w:top w:val="dotted" w:sz="4" w:space="0" w:color="auto"/>
              <w:bottom w:val="dotted" w:sz="4" w:space="0" w:color="auto"/>
            </w:tcBorders>
            <w:shd w:val="clear" w:color="auto" w:fill="auto"/>
            <w:vAlign w:val="center"/>
          </w:tcPr>
          <w:p w:rsidR="001A62D7" w:rsidRPr="002E0F34" w:rsidRDefault="00D6013C" w:rsidP="001D5990">
            <w:pPr>
              <w:spacing w:before="0" w:after="0"/>
              <w:ind w:rightChars="192" w:right="461"/>
              <w:jc w:val="left"/>
              <w:rPr>
                <w:noProof/>
              </w:rPr>
            </w:pPr>
            <w:r w:rsidRPr="002E0F34">
              <w:rPr>
                <w:noProof/>
              </w:rPr>
              <w:t>117 062</w:t>
            </w:r>
          </w:p>
        </w:tc>
      </w:tr>
      <w:tr w:rsidR="001A62D7" w:rsidRPr="002E0F34" w:rsidTr="00605885">
        <w:tc>
          <w:tcPr>
            <w:tcW w:w="4644" w:type="dxa"/>
            <w:tcBorders>
              <w:top w:val="dotted" w:sz="4" w:space="0" w:color="auto"/>
              <w:bottom w:val="dotted" w:sz="4" w:space="0" w:color="auto"/>
            </w:tcBorders>
            <w:shd w:val="clear" w:color="auto" w:fill="auto"/>
            <w:vAlign w:val="center"/>
          </w:tcPr>
          <w:p w:rsidR="001A62D7" w:rsidRPr="002E0F34" w:rsidRDefault="001A62D7" w:rsidP="001D5990">
            <w:pPr>
              <w:spacing w:before="0" w:after="0"/>
              <w:jc w:val="left"/>
              <w:rPr>
                <w:noProof/>
              </w:rPr>
            </w:pPr>
            <w:r w:rsidRPr="002E0F34">
              <w:rPr>
                <w:noProof/>
              </w:rPr>
              <w:t>Budget total (en EUR)</w:t>
            </w:r>
          </w:p>
        </w:tc>
        <w:tc>
          <w:tcPr>
            <w:tcW w:w="4643" w:type="dxa"/>
            <w:tcBorders>
              <w:top w:val="dotted" w:sz="4" w:space="0" w:color="auto"/>
              <w:bottom w:val="dotted" w:sz="4" w:space="0" w:color="auto"/>
            </w:tcBorders>
            <w:shd w:val="clear" w:color="auto" w:fill="auto"/>
            <w:vAlign w:val="center"/>
          </w:tcPr>
          <w:p w:rsidR="001A62D7" w:rsidRPr="002E0F34" w:rsidRDefault="00DC7444" w:rsidP="001D5990">
            <w:pPr>
              <w:spacing w:before="0" w:after="0"/>
              <w:ind w:rightChars="192" w:right="461"/>
              <w:jc w:val="left"/>
              <w:rPr>
                <w:noProof/>
              </w:rPr>
            </w:pPr>
            <w:r w:rsidRPr="002E0F34">
              <w:rPr>
                <w:noProof/>
              </w:rPr>
              <w:t>8 856 030</w:t>
            </w:r>
          </w:p>
        </w:tc>
      </w:tr>
      <w:tr w:rsidR="001A62D7" w:rsidRPr="002E0F34" w:rsidTr="00605885">
        <w:tc>
          <w:tcPr>
            <w:tcW w:w="4644" w:type="dxa"/>
            <w:tcBorders>
              <w:top w:val="dotted" w:sz="4" w:space="0" w:color="auto"/>
            </w:tcBorders>
            <w:shd w:val="clear" w:color="auto" w:fill="auto"/>
            <w:vAlign w:val="center"/>
          </w:tcPr>
          <w:p w:rsidR="001A62D7" w:rsidRPr="002E0F34" w:rsidRDefault="001A62D7" w:rsidP="001D5990">
            <w:pPr>
              <w:spacing w:before="0" w:after="0"/>
              <w:jc w:val="left"/>
              <w:rPr>
                <w:noProof/>
              </w:rPr>
            </w:pPr>
            <w:r w:rsidRPr="002E0F34">
              <w:rPr>
                <w:noProof/>
              </w:rPr>
              <w:t>Contribution du FEM (85 %) (en EUR)</w:t>
            </w:r>
          </w:p>
        </w:tc>
        <w:tc>
          <w:tcPr>
            <w:tcW w:w="4643" w:type="dxa"/>
            <w:tcBorders>
              <w:top w:val="dotted" w:sz="4" w:space="0" w:color="auto"/>
            </w:tcBorders>
            <w:shd w:val="clear" w:color="auto" w:fill="auto"/>
            <w:vAlign w:val="center"/>
          </w:tcPr>
          <w:p w:rsidR="001A62D7" w:rsidRPr="002E0F34" w:rsidRDefault="00DC7444" w:rsidP="001D5990">
            <w:pPr>
              <w:spacing w:before="0" w:after="0"/>
              <w:ind w:rightChars="192" w:right="461"/>
              <w:jc w:val="left"/>
              <w:rPr>
                <w:noProof/>
              </w:rPr>
            </w:pPr>
            <w:r w:rsidRPr="002E0F34">
              <w:rPr>
                <w:noProof/>
              </w:rPr>
              <w:t>7 527 625</w:t>
            </w:r>
          </w:p>
        </w:tc>
      </w:tr>
    </w:tbl>
    <w:p w:rsidR="001A62D7" w:rsidRPr="002E0F34" w:rsidRDefault="001A62D7" w:rsidP="001A62D7">
      <w:pPr>
        <w:pStyle w:val="ManualHeading1"/>
        <w:rPr>
          <w:noProof/>
        </w:rPr>
      </w:pPr>
      <w:r w:rsidRPr="002E0F34">
        <w:rPr>
          <w:noProof/>
        </w:rPr>
        <w:t>ÉVALUATION DE LA DEMANDE</w:t>
      </w:r>
    </w:p>
    <w:p w:rsidR="001A62D7" w:rsidRPr="002E0F34" w:rsidRDefault="001A62D7" w:rsidP="001A62D7">
      <w:pPr>
        <w:pStyle w:val="ManualHeading2"/>
        <w:rPr>
          <w:noProof/>
        </w:rPr>
      </w:pPr>
      <w:r w:rsidRPr="002E0F34">
        <w:rPr>
          <w:noProof/>
        </w:rPr>
        <w:t>Procédure</w:t>
      </w:r>
    </w:p>
    <w:p w:rsidR="001A62D7" w:rsidRPr="002E0F34" w:rsidRDefault="00D204AC" w:rsidP="00D204AC">
      <w:pPr>
        <w:pStyle w:val="ManualNumPar1"/>
        <w:rPr>
          <w:noProof/>
        </w:rPr>
      </w:pPr>
      <w:r w:rsidRPr="00D204AC">
        <w:rPr>
          <w:noProof/>
        </w:rPr>
        <w:t>4.</w:t>
      </w:r>
      <w:r w:rsidRPr="00D204AC">
        <w:rPr>
          <w:noProof/>
        </w:rPr>
        <w:tab/>
      </w:r>
      <w:r w:rsidR="007E0B4F" w:rsidRPr="002E0F34">
        <w:rPr>
          <w:noProof/>
        </w:rPr>
        <w:t>La Belgique a présenté la demande EGF/2025/006 BE/Audi le 18 septembre 2025, dans le délai de 12 semaines à compter de la date à laquelle les critères d’intervention précisés à l’article 4, paragraphe 2, point a), du règlement (UE) 2021/691 ont été remplis. La Commission a accusé réception de la demande à la même date et demandé des informations complémentaires à la Belgique le 2 octobre 2025. Ces informations complémentaires ont été fournies dans les 15 jours ouvrables qui ont suivi la demande. Le délai de 50 jours ouvrables suivant la réception de la demande complète dont dispose la Commission pour achever son évaluation de la conformité de la demande avec les conditions d’octroi d’une contribution financière expire le 13 janvier 2026.</w:t>
      </w:r>
    </w:p>
    <w:p w:rsidR="001A62D7" w:rsidRPr="002E0F34" w:rsidRDefault="001A62D7" w:rsidP="001A62D7">
      <w:pPr>
        <w:pStyle w:val="ManualHeading2"/>
        <w:rPr>
          <w:noProof/>
        </w:rPr>
      </w:pPr>
      <w:r w:rsidRPr="002E0F34">
        <w:rPr>
          <w:noProof/>
        </w:rPr>
        <w:t>Admissibilité de la demande</w:t>
      </w:r>
    </w:p>
    <w:p w:rsidR="001A62D7" w:rsidRPr="002E0F34" w:rsidRDefault="001A62D7" w:rsidP="001A62D7">
      <w:pPr>
        <w:pStyle w:val="ManualHeading3"/>
        <w:rPr>
          <w:noProof/>
        </w:rPr>
      </w:pPr>
      <w:r w:rsidRPr="002E0F34">
        <w:rPr>
          <w:noProof/>
        </w:rPr>
        <w:t>Entreprises et bénéficiaires concernés</w:t>
      </w:r>
    </w:p>
    <w:p w:rsidR="001A62D7" w:rsidRPr="002E0F34" w:rsidRDefault="00D204AC" w:rsidP="00D204AC">
      <w:pPr>
        <w:pStyle w:val="ManualNumPar1"/>
        <w:rPr>
          <w:noProof/>
          <w:szCs w:val="24"/>
        </w:rPr>
      </w:pPr>
      <w:r w:rsidRPr="00D204AC">
        <w:rPr>
          <w:noProof/>
        </w:rPr>
        <w:t>5.</w:t>
      </w:r>
      <w:r w:rsidRPr="00D204AC">
        <w:rPr>
          <w:noProof/>
        </w:rPr>
        <w:tab/>
      </w:r>
      <w:r w:rsidR="001A62D7" w:rsidRPr="002E0F34">
        <w:rPr>
          <w:noProof/>
        </w:rPr>
        <w:t>La demande concerne 3 148 travailleurs licenciés ayant cessé leur activité chez Audi (Audi Brussels S.A.: n.V.) et cinq fournisseurs et producteurs en aval. L’entreprise principale concernée exerce ses activités dans le secteur économique relevant de la division 29 de la NACE Rév. 2 (Industrie automobile). Les licenciements effectués par l’entreprise principale ont eu lieu principalement dans les régions NUTS 2 de la Région de Bruxelles-Capitale/Brussels Hoofdstedelijk Gewest (BE10), de la Provincie Oost-Vlaanderen (BE23) et de la Province du Hainaut (BE32).</w:t>
      </w:r>
    </w:p>
    <w:tbl>
      <w:tblPr>
        <w:tblW w:w="8340" w:type="dxa"/>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0"/>
        <w:gridCol w:w="480"/>
        <w:gridCol w:w="360"/>
        <w:gridCol w:w="2940"/>
        <w:gridCol w:w="600"/>
        <w:gridCol w:w="600"/>
      </w:tblGrid>
      <w:tr w:rsidR="001A62D7" w:rsidRPr="002E0F34" w:rsidTr="001D5990">
        <w:trPr>
          <w:trHeight w:val="284"/>
          <w:tblHeader/>
        </w:trPr>
        <w:tc>
          <w:tcPr>
            <w:tcW w:w="8340" w:type="dxa"/>
            <w:gridSpan w:val="6"/>
            <w:shd w:val="clear" w:color="auto" w:fill="D9D9D9" w:themeFill="background1" w:themeFillShade="D9"/>
          </w:tcPr>
          <w:p w:rsidR="001A62D7" w:rsidRPr="002E0F34" w:rsidRDefault="001A62D7" w:rsidP="001D5990">
            <w:pPr>
              <w:spacing w:beforeLines="20" w:before="48" w:afterLines="20" w:after="48" w:line="276" w:lineRule="auto"/>
              <w:ind w:left="57"/>
              <w:jc w:val="center"/>
              <w:rPr>
                <w:rFonts w:eastAsia="Calibri"/>
                <w:noProof/>
                <w:szCs w:val="24"/>
              </w:rPr>
            </w:pPr>
            <w:r w:rsidRPr="002E0F34">
              <w:rPr>
                <w:b/>
                <w:noProof/>
              </w:rPr>
              <w:t>Entreprises et nombre de licenciements pendant la période de référence</w:t>
            </w:r>
          </w:p>
        </w:tc>
      </w:tr>
      <w:tr w:rsidR="001A62D7" w:rsidRPr="002E0F34" w:rsidTr="001D5990">
        <w:tc>
          <w:tcPr>
            <w:tcW w:w="3360" w:type="dxa"/>
            <w:tcBorders>
              <w:bottom w:val="nil"/>
              <w:right w:val="nil"/>
            </w:tcBorders>
            <w:shd w:val="clear" w:color="auto" w:fill="auto"/>
            <w:vAlign w:val="center"/>
          </w:tcPr>
          <w:p w:rsidR="001A62D7" w:rsidRPr="002E0F34" w:rsidRDefault="00A953FB" w:rsidP="001D5990">
            <w:pPr>
              <w:spacing w:before="0" w:after="0"/>
              <w:ind w:right="252"/>
              <w:jc w:val="left"/>
              <w:rPr>
                <w:noProof/>
                <w:sz w:val="20"/>
              </w:rPr>
            </w:pPr>
            <w:r w:rsidRPr="002E0F34">
              <w:rPr>
                <w:noProof/>
                <w:sz w:val="20"/>
              </w:rPr>
              <w:t>Audi</w:t>
            </w:r>
          </w:p>
        </w:tc>
        <w:tc>
          <w:tcPr>
            <w:tcW w:w="840" w:type="dxa"/>
            <w:gridSpan w:val="2"/>
            <w:tcBorders>
              <w:left w:val="nil"/>
              <w:bottom w:val="nil"/>
            </w:tcBorders>
            <w:shd w:val="clear" w:color="auto" w:fill="auto"/>
            <w:vAlign w:val="center"/>
          </w:tcPr>
          <w:p w:rsidR="001A62D7" w:rsidRPr="002E0F34" w:rsidRDefault="002421D0" w:rsidP="001D5990">
            <w:pPr>
              <w:spacing w:before="0" w:after="0"/>
              <w:ind w:left="-828"/>
              <w:jc w:val="right"/>
              <w:rPr>
                <w:noProof/>
                <w:sz w:val="20"/>
                <w:szCs w:val="20"/>
              </w:rPr>
            </w:pPr>
            <w:r w:rsidRPr="002E0F34">
              <w:rPr>
                <w:noProof/>
                <w:sz w:val="20"/>
              </w:rPr>
              <w:t>2 580</w:t>
            </w:r>
          </w:p>
        </w:tc>
        <w:tc>
          <w:tcPr>
            <w:tcW w:w="3540" w:type="dxa"/>
            <w:gridSpan w:val="2"/>
            <w:tcBorders>
              <w:bottom w:val="nil"/>
              <w:right w:val="nil"/>
            </w:tcBorders>
            <w:shd w:val="clear" w:color="auto" w:fill="auto"/>
            <w:vAlign w:val="center"/>
          </w:tcPr>
          <w:p w:rsidR="001A62D7" w:rsidRPr="002E0F34" w:rsidRDefault="00A953FB" w:rsidP="001D5990">
            <w:pPr>
              <w:spacing w:before="0" w:after="0"/>
              <w:jc w:val="left"/>
              <w:rPr>
                <w:noProof/>
                <w:sz w:val="20"/>
              </w:rPr>
            </w:pPr>
            <w:r w:rsidRPr="002E0F34">
              <w:rPr>
                <w:noProof/>
                <w:sz w:val="20"/>
              </w:rPr>
              <w:t>Imperial logistics</w:t>
            </w:r>
          </w:p>
        </w:tc>
        <w:tc>
          <w:tcPr>
            <w:tcW w:w="600" w:type="dxa"/>
            <w:tcBorders>
              <w:left w:val="nil"/>
              <w:bottom w:val="nil"/>
            </w:tcBorders>
            <w:shd w:val="clear" w:color="auto" w:fill="auto"/>
            <w:vAlign w:val="center"/>
          </w:tcPr>
          <w:p w:rsidR="001A62D7" w:rsidRPr="002E0F34" w:rsidRDefault="002421D0" w:rsidP="001D5990">
            <w:pPr>
              <w:spacing w:before="0" w:after="0"/>
              <w:ind w:left="-828"/>
              <w:jc w:val="right"/>
              <w:rPr>
                <w:noProof/>
                <w:sz w:val="20"/>
              </w:rPr>
            </w:pPr>
            <w:r w:rsidRPr="002E0F34">
              <w:rPr>
                <w:noProof/>
                <w:sz w:val="20"/>
              </w:rPr>
              <w:t>272</w:t>
            </w:r>
          </w:p>
        </w:tc>
      </w:tr>
      <w:tr w:rsidR="001A62D7" w:rsidRPr="002E0F34" w:rsidTr="001D5990">
        <w:trPr>
          <w:trHeight w:val="138"/>
        </w:trPr>
        <w:tc>
          <w:tcPr>
            <w:tcW w:w="3360" w:type="dxa"/>
            <w:tcBorders>
              <w:top w:val="nil"/>
              <w:bottom w:val="nil"/>
              <w:right w:val="nil"/>
            </w:tcBorders>
            <w:shd w:val="clear" w:color="auto" w:fill="auto"/>
            <w:vAlign w:val="center"/>
          </w:tcPr>
          <w:p w:rsidR="001A62D7" w:rsidRPr="002E0F34" w:rsidRDefault="00A953FB" w:rsidP="001D5990">
            <w:pPr>
              <w:spacing w:before="0" w:after="0"/>
              <w:jc w:val="left"/>
              <w:rPr>
                <w:noProof/>
                <w:sz w:val="20"/>
              </w:rPr>
            </w:pPr>
            <w:r w:rsidRPr="002E0F34">
              <w:rPr>
                <w:noProof/>
                <w:sz w:val="20"/>
              </w:rPr>
              <w:t>Lear corporation</w:t>
            </w:r>
          </w:p>
        </w:tc>
        <w:tc>
          <w:tcPr>
            <w:tcW w:w="840" w:type="dxa"/>
            <w:gridSpan w:val="2"/>
            <w:tcBorders>
              <w:top w:val="nil"/>
              <w:left w:val="nil"/>
              <w:bottom w:val="nil"/>
            </w:tcBorders>
            <w:shd w:val="clear" w:color="auto" w:fill="auto"/>
            <w:vAlign w:val="center"/>
          </w:tcPr>
          <w:p w:rsidR="001A62D7" w:rsidRPr="002E0F34" w:rsidRDefault="002421D0" w:rsidP="001D5990">
            <w:pPr>
              <w:spacing w:before="0" w:after="0"/>
              <w:ind w:left="-828"/>
              <w:jc w:val="right"/>
              <w:rPr>
                <w:noProof/>
                <w:sz w:val="20"/>
              </w:rPr>
            </w:pPr>
            <w:r w:rsidRPr="002E0F34">
              <w:rPr>
                <w:noProof/>
                <w:sz w:val="20"/>
              </w:rPr>
              <w:t>11</w:t>
            </w:r>
          </w:p>
        </w:tc>
        <w:tc>
          <w:tcPr>
            <w:tcW w:w="3540" w:type="dxa"/>
            <w:gridSpan w:val="2"/>
            <w:tcBorders>
              <w:top w:val="nil"/>
              <w:bottom w:val="nil"/>
              <w:right w:val="nil"/>
            </w:tcBorders>
            <w:shd w:val="clear" w:color="auto" w:fill="auto"/>
            <w:vAlign w:val="center"/>
          </w:tcPr>
          <w:p w:rsidR="001A62D7" w:rsidRPr="002E0F34" w:rsidRDefault="00A953FB" w:rsidP="001D5990">
            <w:pPr>
              <w:spacing w:before="0" w:after="0"/>
              <w:jc w:val="left"/>
              <w:rPr>
                <w:noProof/>
                <w:sz w:val="20"/>
              </w:rPr>
            </w:pPr>
            <w:r w:rsidRPr="002E0F34">
              <w:rPr>
                <w:noProof/>
                <w:sz w:val="20"/>
              </w:rPr>
              <w:t>Plastic Omnium</w:t>
            </w:r>
          </w:p>
        </w:tc>
        <w:tc>
          <w:tcPr>
            <w:tcW w:w="600" w:type="dxa"/>
            <w:tcBorders>
              <w:top w:val="nil"/>
              <w:left w:val="nil"/>
              <w:bottom w:val="nil"/>
            </w:tcBorders>
            <w:shd w:val="clear" w:color="auto" w:fill="auto"/>
            <w:vAlign w:val="center"/>
          </w:tcPr>
          <w:p w:rsidR="001A62D7" w:rsidRPr="002E0F34" w:rsidRDefault="002421D0" w:rsidP="001D5990">
            <w:pPr>
              <w:spacing w:before="0" w:after="0"/>
              <w:ind w:left="-828"/>
              <w:jc w:val="right"/>
              <w:rPr>
                <w:noProof/>
                <w:sz w:val="20"/>
              </w:rPr>
            </w:pPr>
            <w:r w:rsidRPr="002E0F34">
              <w:rPr>
                <w:noProof/>
                <w:sz w:val="20"/>
              </w:rPr>
              <w:t>69</w:t>
            </w:r>
          </w:p>
        </w:tc>
      </w:tr>
      <w:tr w:rsidR="001A62D7" w:rsidRPr="002E0F34" w:rsidTr="001D5990">
        <w:tc>
          <w:tcPr>
            <w:tcW w:w="3360" w:type="dxa"/>
            <w:tcBorders>
              <w:top w:val="nil"/>
              <w:bottom w:val="nil"/>
              <w:right w:val="nil"/>
            </w:tcBorders>
            <w:shd w:val="clear" w:color="auto" w:fill="auto"/>
            <w:vAlign w:val="center"/>
          </w:tcPr>
          <w:p w:rsidR="001A62D7" w:rsidRPr="002E0F34" w:rsidRDefault="00A953FB" w:rsidP="001D5990">
            <w:pPr>
              <w:spacing w:before="0" w:after="0"/>
              <w:jc w:val="left"/>
              <w:rPr>
                <w:noProof/>
                <w:sz w:val="20"/>
              </w:rPr>
            </w:pPr>
            <w:r w:rsidRPr="002E0F34">
              <w:rPr>
                <w:noProof/>
                <w:sz w:val="20"/>
              </w:rPr>
              <w:t>Rhenus automotive</w:t>
            </w:r>
          </w:p>
        </w:tc>
        <w:tc>
          <w:tcPr>
            <w:tcW w:w="840" w:type="dxa"/>
            <w:gridSpan w:val="2"/>
            <w:tcBorders>
              <w:top w:val="nil"/>
              <w:left w:val="nil"/>
              <w:bottom w:val="nil"/>
            </w:tcBorders>
            <w:shd w:val="clear" w:color="auto" w:fill="auto"/>
            <w:vAlign w:val="center"/>
          </w:tcPr>
          <w:p w:rsidR="001A62D7" w:rsidRPr="002E0F34" w:rsidRDefault="00A953FB" w:rsidP="001D5990">
            <w:pPr>
              <w:spacing w:before="0" w:after="0"/>
              <w:ind w:left="-828"/>
              <w:jc w:val="right"/>
              <w:rPr>
                <w:noProof/>
                <w:sz w:val="20"/>
              </w:rPr>
            </w:pPr>
            <w:r w:rsidRPr="002E0F34">
              <w:rPr>
                <w:noProof/>
                <w:sz w:val="20"/>
              </w:rPr>
              <w:t>121</w:t>
            </w:r>
          </w:p>
        </w:tc>
        <w:tc>
          <w:tcPr>
            <w:tcW w:w="3540" w:type="dxa"/>
            <w:gridSpan w:val="2"/>
            <w:tcBorders>
              <w:top w:val="nil"/>
              <w:bottom w:val="nil"/>
              <w:right w:val="nil"/>
            </w:tcBorders>
            <w:shd w:val="clear" w:color="auto" w:fill="auto"/>
            <w:vAlign w:val="center"/>
          </w:tcPr>
          <w:p w:rsidR="001A62D7" w:rsidRPr="002E0F34" w:rsidRDefault="00A953FB" w:rsidP="001D5990">
            <w:pPr>
              <w:spacing w:before="0" w:after="0"/>
              <w:jc w:val="left"/>
              <w:rPr>
                <w:noProof/>
                <w:sz w:val="20"/>
              </w:rPr>
            </w:pPr>
            <w:r w:rsidRPr="002E0F34">
              <w:rPr>
                <w:noProof/>
                <w:sz w:val="20"/>
              </w:rPr>
              <w:t>Snop automotive</w:t>
            </w:r>
          </w:p>
        </w:tc>
        <w:tc>
          <w:tcPr>
            <w:tcW w:w="600" w:type="dxa"/>
            <w:tcBorders>
              <w:top w:val="nil"/>
              <w:left w:val="nil"/>
              <w:bottom w:val="nil"/>
            </w:tcBorders>
            <w:shd w:val="clear" w:color="auto" w:fill="auto"/>
            <w:vAlign w:val="center"/>
          </w:tcPr>
          <w:p w:rsidR="001A62D7" w:rsidRPr="002E0F34" w:rsidRDefault="002421D0" w:rsidP="001D5990">
            <w:pPr>
              <w:spacing w:before="0" w:after="0"/>
              <w:ind w:left="-828"/>
              <w:jc w:val="right"/>
              <w:rPr>
                <w:noProof/>
                <w:sz w:val="20"/>
              </w:rPr>
            </w:pPr>
            <w:r w:rsidRPr="002E0F34">
              <w:rPr>
                <w:noProof/>
                <w:sz w:val="20"/>
              </w:rPr>
              <w:t>95</w:t>
            </w:r>
          </w:p>
        </w:tc>
      </w:tr>
      <w:tr w:rsidR="001A62D7" w:rsidRPr="002E0F34" w:rsidTr="001D5990">
        <w:trPr>
          <w:trHeight w:val="284"/>
        </w:trPr>
        <w:tc>
          <w:tcPr>
            <w:tcW w:w="3840" w:type="dxa"/>
            <w:gridSpan w:val="2"/>
            <w:tcBorders>
              <w:bottom w:val="nil"/>
              <w:right w:val="nil"/>
            </w:tcBorders>
            <w:shd w:val="clear" w:color="auto" w:fill="E6E6E6"/>
            <w:vAlign w:val="center"/>
          </w:tcPr>
          <w:p w:rsidR="001A62D7" w:rsidRPr="002E0F34" w:rsidRDefault="001A62D7" w:rsidP="001D5990">
            <w:pPr>
              <w:spacing w:beforeLines="20" w:before="48" w:afterLines="20" w:after="48" w:line="276" w:lineRule="auto"/>
              <w:ind w:left="57"/>
              <w:jc w:val="left"/>
              <w:rPr>
                <w:rFonts w:eastAsia="Calibri"/>
                <w:b/>
                <w:noProof/>
                <w:szCs w:val="24"/>
              </w:rPr>
            </w:pPr>
            <w:r w:rsidRPr="002E0F34">
              <w:rPr>
                <w:noProof/>
              </w:rPr>
              <w:br w:type="page"/>
            </w:r>
            <w:r w:rsidRPr="002E0F34">
              <w:rPr>
                <w:b/>
                <w:noProof/>
              </w:rPr>
              <w:t>Nombre total d’entreprises:</w:t>
            </w:r>
            <w:r w:rsidRPr="002E0F34">
              <w:rPr>
                <w:b/>
                <w:noProof/>
                <w:sz w:val="22"/>
              </w:rPr>
              <w:t xml:space="preserve"> </w:t>
            </w:r>
            <w:r w:rsidRPr="002E0F34">
              <w:rPr>
                <w:b/>
                <w:noProof/>
              </w:rPr>
              <w:t>6</w:t>
            </w:r>
          </w:p>
        </w:tc>
        <w:tc>
          <w:tcPr>
            <w:tcW w:w="3300" w:type="dxa"/>
            <w:gridSpan w:val="2"/>
            <w:tcBorders>
              <w:left w:val="nil"/>
              <w:bottom w:val="nil"/>
              <w:right w:val="nil"/>
            </w:tcBorders>
            <w:shd w:val="clear" w:color="auto" w:fill="E6E6E6"/>
            <w:vAlign w:val="center"/>
          </w:tcPr>
          <w:p w:rsidR="001A62D7" w:rsidRPr="002E0F34" w:rsidRDefault="001A62D7" w:rsidP="001D5990">
            <w:pPr>
              <w:spacing w:beforeLines="20" w:before="48" w:afterLines="20" w:after="48" w:line="276" w:lineRule="auto"/>
              <w:ind w:left="57" w:right="227"/>
              <w:jc w:val="left"/>
              <w:rPr>
                <w:rFonts w:eastAsia="Calibri"/>
                <w:b/>
                <w:noProof/>
                <w:szCs w:val="24"/>
              </w:rPr>
            </w:pPr>
            <w:r w:rsidRPr="002E0F34">
              <w:rPr>
                <w:b/>
                <w:noProof/>
              </w:rPr>
              <w:t>Nombre total de licenciements:</w:t>
            </w:r>
          </w:p>
        </w:tc>
        <w:tc>
          <w:tcPr>
            <w:tcW w:w="1200" w:type="dxa"/>
            <w:gridSpan w:val="2"/>
            <w:tcBorders>
              <w:left w:val="nil"/>
              <w:bottom w:val="nil"/>
            </w:tcBorders>
            <w:shd w:val="clear" w:color="auto" w:fill="E6E6E6"/>
            <w:vAlign w:val="center"/>
          </w:tcPr>
          <w:p w:rsidR="001A62D7" w:rsidRPr="002E0F34" w:rsidRDefault="00AE5990" w:rsidP="001D5990">
            <w:pPr>
              <w:spacing w:beforeLines="20" w:before="48" w:afterLines="20" w:after="48" w:line="276" w:lineRule="auto"/>
              <w:ind w:left="57" w:right="227"/>
              <w:jc w:val="left"/>
              <w:rPr>
                <w:rFonts w:eastAsia="Calibri"/>
                <w:b/>
                <w:noProof/>
                <w:szCs w:val="24"/>
              </w:rPr>
            </w:pPr>
            <w:r w:rsidRPr="002E0F34">
              <w:rPr>
                <w:b/>
                <w:noProof/>
              </w:rPr>
              <w:t>3 148</w:t>
            </w:r>
          </w:p>
        </w:tc>
      </w:tr>
      <w:tr w:rsidR="001A62D7" w:rsidRPr="002E0F34" w:rsidTr="001D5990">
        <w:trPr>
          <w:trHeight w:val="284"/>
        </w:trPr>
        <w:tc>
          <w:tcPr>
            <w:tcW w:w="7140" w:type="dxa"/>
            <w:gridSpan w:val="4"/>
            <w:tcBorders>
              <w:top w:val="nil"/>
              <w:right w:val="nil"/>
            </w:tcBorders>
            <w:shd w:val="clear" w:color="auto" w:fill="E6E6E6"/>
            <w:vAlign w:val="center"/>
          </w:tcPr>
          <w:p w:rsidR="001A62D7" w:rsidRPr="002E0F34" w:rsidRDefault="001A62D7" w:rsidP="001D5990">
            <w:pPr>
              <w:spacing w:beforeLines="20" w:before="48" w:afterLines="20" w:after="48" w:line="276" w:lineRule="auto"/>
              <w:ind w:left="57"/>
              <w:jc w:val="left"/>
              <w:rPr>
                <w:rFonts w:eastAsia="Calibri"/>
                <w:b/>
                <w:noProof/>
                <w:szCs w:val="24"/>
              </w:rPr>
            </w:pPr>
            <w:r w:rsidRPr="002E0F34">
              <w:rPr>
                <w:b/>
                <w:noProof/>
              </w:rPr>
              <w:t>Nombre total de travailleurs admissibles:</w:t>
            </w:r>
          </w:p>
        </w:tc>
        <w:tc>
          <w:tcPr>
            <w:tcW w:w="1200" w:type="dxa"/>
            <w:gridSpan w:val="2"/>
            <w:tcBorders>
              <w:top w:val="nil"/>
              <w:left w:val="nil"/>
            </w:tcBorders>
            <w:shd w:val="clear" w:color="auto" w:fill="E6E6E6"/>
            <w:vAlign w:val="center"/>
          </w:tcPr>
          <w:p w:rsidR="001A62D7" w:rsidRPr="002E0F34" w:rsidRDefault="00AE5990" w:rsidP="001D5990">
            <w:pPr>
              <w:spacing w:beforeLines="20" w:before="48" w:afterLines="20" w:after="48" w:line="276" w:lineRule="auto"/>
              <w:ind w:left="57" w:right="227"/>
              <w:jc w:val="left"/>
              <w:rPr>
                <w:rFonts w:eastAsia="Calibri"/>
                <w:b/>
                <w:noProof/>
                <w:szCs w:val="24"/>
              </w:rPr>
            </w:pPr>
            <w:r w:rsidRPr="002E0F34">
              <w:rPr>
                <w:b/>
                <w:noProof/>
              </w:rPr>
              <w:t>3 148</w:t>
            </w:r>
          </w:p>
        </w:tc>
      </w:tr>
    </w:tbl>
    <w:p w:rsidR="001A62D7" w:rsidRPr="002E0F34" w:rsidRDefault="001A62D7" w:rsidP="001A62D7">
      <w:pPr>
        <w:pStyle w:val="ManualHeading3"/>
        <w:rPr>
          <w:noProof/>
        </w:rPr>
      </w:pPr>
      <w:r w:rsidRPr="002E0F34">
        <w:rPr>
          <w:noProof/>
        </w:rPr>
        <w:t>Critères d’intervention</w:t>
      </w:r>
    </w:p>
    <w:p w:rsidR="001A62D7" w:rsidRPr="002E0F34" w:rsidRDefault="00D204AC" w:rsidP="00D204AC">
      <w:pPr>
        <w:pStyle w:val="ManualNumPar1"/>
        <w:rPr>
          <w:noProof/>
        </w:rPr>
      </w:pPr>
      <w:r w:rsidRPr="00D204AC">
        <w:rPr>
          <w:noProof/>
        </w:rPr>
        <w:t>6.</w:t>
      </w:r>
      <w:r w:rsidRPr="00D204AC">
        <w:rPr>
          <w:noProof/>
        </w:rPr>
        <w:tab/>
      </w:r>
      <w:r w:rsidR="00B24D3D" w:rsidRPr="002E0F34">
        <w:rPr>
          <w:noProof/>
        </w:rPr>
        <w:t>La Belgique a présenté la demande au titre du critère d’intervention énoncé à l’article 4, paragraphe 2, point a), du règlement (UE) 2021/691, qui exige la cessation d’activité d’au moins 200 travailleurs licenciés sur une période de référence de quatre mois, dans une entreprise d’un État membre, y compris lorsque cette cessation d’activité concerne des travailleurs licenciés chez des fournisseurs ou producteurs en aval.</w:t>
      </w:r>
    </w:p>
    <w:p w:rsidR="001A62D7" w:rsidRPr="002E0F34" w:rsidRDefault="00D204AC" w:rsidP="00D204AC">
      <w:pPr>
        <w:pStyle w:val="ManualNumPar1"/>
        <w:rPr>
          <w:noProof/>
        </w:rPr>
      </w:pPr>
      <w:bookmarkStart w:id="8" w:name="_Ref372189348"/>
      <w:r w:rsidRPr="00D204AC">
        <w:rPr>
          <w:noProof/>
        </w:rPr>
        <w:t>7.</w:t>
      </w:r>
      <w:r w:rsidRPr="00D204AC">
        <w:rPr>
          <w:noProof/>
        </w:rPr>
        <w:tab/>
      </w:r>
      <w:r w:rsidR="001A62D7" w:rsidRPr="002E0F34">
        <w:rPr>
          <w:noProof/>
        </w:rPr>
        <w:t xml:space="preserve">La période de référence de quatre mois pour la demande s’étend du 28 février 2025 au </w:t>
      </w:r>
      <w:bookmarkEnd w:id="8"/>
      <w:r w:rsidR="001A62D7" w:rsidRPr="002E0F34">
        <w:rPr>
          <w:noProof/>
        </w:rPr>
        <w:t>28 juin 2025.</w:t>
      </w:r>
    </w:p>
    <w:p w:rsidR="001A62D7" w:rsidRPr="002E0F34" w:rsidRDefault="00D204AC" w:rsidP="00D204AC">
      <w:pPr>
        <w:pStyle w:val="ManualNumPar1"/>
        <w:rPr>
          <w:noProof/>
        </w:rPr>
      </w:pPr>
      <w:r w:rsidRPr="00D204AC">
        <w:rPr>
          <w:noProof/>
        </w:rPr>
        <w:t>8.</w:t>
      </w:r>
      <w:r w:rsidRPr="00D204AC">
        <w:rPr>
          <w:noProof/>
        </w:rPr>
        <w:tab/>
      </w:r>
      <w:r w:rsidR="001A62D7" w:rsidRPr="002E0F34">
        <w:rPr>
          <w:noProof/>
        </w:rPr>
        <w:t>La cessation d’activité au cours de la période de référence est décrite au paragraphe suivant.</w:t>
      </w:r>
    </w:p>
    <w:p w:rsidR="001A62D7" w:rsidRPr="002E0F34" w:rsidRDefault="00B24D3D" w:rsidP="00F23005">
      <w:pPr>
        <w:pStyle w:val="Tiret1"/>
        <w:numPr>
          <w:ilvl w:val="0"/>
          <w:numId w:val="19"/>
        </w:numPr>
        <w:rPr>
          <w:noProof/>
        </w:rPr>
      </w:pPr>
      <w:r w:rsidRPr="002E0F34">
        <w:rPr>
          <w:noProof/>
        </w:rPr>
        <w:t>2 580 travailleurs licenciés à Audi, et</w:t>
      </w:r>
    </w:p>
    <w:p w:rsidR="001A62D7" w:rsidRPr="002E0F34" w:rsidRDefault="002757A1" w:rsidP="00F23005">
      <w:pPr>
        <w:pStyle w:val="Tiret1"/>
        <w:numPr>
          <w:ilvl w:val="0"/>
          <w:numId w:val="19"/>
        </w:numPr>
        <w:rPr>
          <w:noProof/>
        </w:rPr>
      </w:pPr>
      <w:r w:rsidRPr="002E0F34">
        <w:rPr>
          <w:noProof/>
        </w:rPr>
        <w:t>568 travailleurs licenciés chez cinq fournisseurs et producteurs en aval de Audi.</w:t>
      </w:r>
    </w:p>
    <w:p w:rsidR="001A62D7" w:rsidRPr="002E0F34" w:rsidRDefault="001A62D7" w:rsidP="001A62D7">
      <w:pPr>
        <w:pStyle w:val="ManualHeading3"/>
        <w:rPr>
          <w:noProof/>
        </w:rPr>
      </w:pPr>
      <w:r w:rsidRPr="002E0F34">
        <w:rPr>
          <w:noProof/>
        </w:rPr>
        <w:t>Calcul des licenciements et de la cessation d’activité</w:t>
      </w:r>
    </w:p>
    <w:p w:rsidR="001A62D7" w:rsidRPr="002E0F34" w:rsidRDefault="00D204AC" w:rsidP="00D204AC">
      <w:pPr>
        <w:pStyle w:val="ManualNumPar1"/>
        <w:rPr>
          <w:noProof/>
        </w:rPr>
      </w:pPr>
      <w:r w:rsidRPr="00D204AC">
        <w:rPr>
          <w:noProof/>
        </w:rPr>
        <w:t>9.</w:t>
      </w:r>
      <w:r w:rsidRPr="00D204AC">
        <w:rPr>
          <w:noProof/>
        </w:rPr>
        <w:tab/>
      </w:r>
      <w:r w:rsidR="001A62D7" w:rsidRPr="002E0F34">
        <w:rPr>
          <w:noProof/>
        </w:rPr>
        <w:t>Conformément à l’article 6, premier alinéa, point a), en liaison avec l’article 5, premier alinéa, du règlement (UE) 2021/691, la cessation des activités des travailleurs licenciés au cours de la période de référence a été calculée à partir de la date de la résiliation de fait du contrat de travail ou de son expiration.</w:t>
      </w:r>
    </w:p>
    <w:p w:rsidR="001A62D7" w:rsidRPr="002E0F34" w:rsidRDefault="001A62D7" w:rsidP="001A62D7">
      <w:pPr>
        <w:pStyle w:val="ManualHeading3"/>
        <w:rPr>
          <w:noProof/>
        </w:rPr>
      </w:pPr>
      <w:r w:rsidRPr="002E0F34">
        <w:rPr>
          <w:noProof/>
        </w:rPr>
        <w:t>Bénéficiaires éligibles</w:t>
      </w:r>
    </w:p>
    <w:p w:rsidR="001A62D7" w:rsidRPr="002E0F34" w:rsidRDefault="00D204AC" w:rsidP="00D204AC">
      <w:pPr>
        <w:pStyle w:val="ManualNumPar1"/>
        <w:rPr>
          <w:noProof/>
        </w:rPr>
      </w:pPr>
      <w:r w:rsidRPr="00D204AC">
        <w:rPr>
          <w:noProof/>
        </w:rPr>
        <w:t>10.</w:t>
      </w:r>
      <w:r w:rsidRPr="00D204AC">
        <w:rPr>
          <w:noProof/>
        </w:rPr>
        <w:tab/>
      </w:r>
      <w:r w:rsidR="001A62D7" w:rsidRPr="002E0F34">
        <w:rPr>
          <w:noProof/>
        </w:rPr>
        <w:t>Outre les travailleurs déjà évoqués, les bénéficiaires éligibles comprennent 266 travailleurs licenciés dont l’activité a cessé avant ou après la période de référence de quatre mois. Tous ces travailleurs ont cessé leur activité six mois avant le début de la période de référence, le 28 février 2025, ou entre la fin de la période de référence et le jour précédant l’adoption de la présente proposition conformément à l’article 6, premier alinéa, point b), du règlement (UE) 2021/691, comme prévu à l’article 6, deuxième alinéa, du règlement (UE) 2021/691. Un lien de causalité clair peut être établi avec l’événement qui a déclenché la cessation d’activité des travailleurs licenciés au cours de la période de référence, comme l’exige l’article 6, deuxième alinéa, du règlement (UE) 2021/691.</w:t>
      </w:r>
    </w:p>
    <w:p w:rsidR="001A62D7" w:rsidRPr="002E0F34" w:rsidRDefault="00D204AC" w:rsidP="00D204AC">
      <w:pPr>
        <w:pStyle w:val="ManualNumPar1"/>
        <w:rPr>
          <w:noProof/>
        </w:rPr>
      </w:pPr>
      <w:r w:rsidRPr="00D204AC">
        <w:rPr>
          <w:noProof/>
        </w:rPr>
        <w:t>11.</w:t>
      </w:r>
      <w:r w:rsidRPr="00D204AC">
        <w:rPr>
          <w:noProof/>
        </w:rPr>
        <w:tab/>
      </w:r>
      <w:r w:rsidR="001A62D7" w:rsidRPr="002E0F34">
        <w:rPr>
          <w:noProof/>
        </w:rPr>
        <w:t>Le nombre total de bénéficiaires éligibles s’élève à 3 414.</w:t>
      </w:r>
    </w:p>
    <w:p w:rsidR="001A62D7" w:rsidRPr="002E0F34" w:rsidRDefault="001A62D7" w:rsidP="001A62D7">
      <w:pPr>
        <w:pStyle w:val="ManualHeading3"/>
        <w:rPr>
          <w:noProof/>
        </w:rPr>
      </w:pPr>
      <w:r w:rsidRPr="002E0F34">
        <w:rPr>
          <w:noProof/>
        </w:rPr>
        <w:t>Description des événements ayant conduit aux licenciements et à la cessation d’activité</w:t>
      </w:r>
    </w:p>
    <w:p w:rsidR="00B05808" w:rsidRPr="002E0F34" w:rsidRDefault="00D204AC" w:rsidP="00D204AC">
      <w:pPr>
        <w:pStyle w:val="ManualNumPar1"/>
        <w:rPr>
          <w:noProof/>
        </w:rPr>
      </w:pPr>
      <w:r w:rsidRPr="00D204AC">
        <w:rPr>
          <w:noProof/>
        </w:rPr>
        <w:t>12.</w:t>
      </w:r>
      <w:r w:rsidRPr="00D204AC">
        <w:rPr>
          <w:noProof/>
        </w:rPr>
        <w:tab/>
      </w:r>
      <w:r w:rsidR="003479D0" w:rsidRPr="002E0F34">
        <w:rPr>
          <w:noProof/>
        </w:rPr>
        <w:t>Selon les autorités belges, le marché mondial de la production et de la vente de voitures, en particulier de voitures électriques, est confronté à de nombreux défis et pressions économiques, tels que la hausse des coûts mondiaux des matières premières, la concurrence mondiale agressive, la baisse des prévisions de croissance et le recul de la demande globale de voitures électriques en Europe.</w:t>
      </w:r>
    </w:p>
    <w:p w:rsidR="003479D0" w:rsidRPr="002E0F34" w:rsidRDefault="00D204AC" w:rsidP="00D204AC">
      <w:pPr>
        <w:pStyle w:val="ManualNumPar1"/>
        <w:rPr>
          <w:noProof/>
        </w:rPr>
      </w:pPr>
      <w:r w:rsidRPr="00D204AC">
        <w:rPr>
          <w:noProof/>
        </w:rPr>
        <w:t>13.</w:t>
      </w:r>
      <w:r w:rsidRPr="00D204AC">
        <w:rPr>
          <w:noProof/>
        </w:rPr>
        <w:tab/>
      </w:r>
      <w:r w:rsidR="003479D0" w:rsidRPr="002E0F34">
        <w:rPr>
          <w:noProof/>
        </w:rPr>
        <w:t>Compte tenu du faible volume des ventes de la Q8 e-tron, seul modèle produit dans l’usine d’Audi à Bruxelles (Audi BXL), l’arrêt de sa production, initialement prévu pour 2027, a été avancé à 2025. En outre, en raison de la réorientation de la demande de véhicules de grande taille vers des régions situées en dehors de l’Europe, le successeur du Q8 e-tron ne sera pas produit à Audi BXL, mais plus près des marchés où la demande est plus élevée.</w:t>
      </w:r>
    </w:p>
    <w:p w:rsidR="001A62D7" w:rsidRPr="002E0F34" w:rsidRDefault="00D204AC" w:rsidP="00D204AC">
      <w:pPr>
        <w:pStyle w:val="ManualNumPar1"/>
        <w:rPr>
          <w:noProof/>
        </w:rPr>
      </w:pPr>
      <w:r w:rsidRPr="00D204AC">
        <w:rPr>
          <w:noProof/>
        </w:rPr>
        <w:t>14.</w:t>
      </w:r>
      <w:r w:rsidRPr="00D204AC">
        <w:rPr>
          <w:noProof/>
        </w:rPr>
        <w:tab/>
      </w:r>
      <w:r w:rsidR="008F470C" w:rsidRPr="002E0F34">
        <w:rPr>
          <w:noProof/>
        </w:rPr>
        <w:t>Les coûts de production par véhicule à l’usine Audi BXL étaient plus élevés que dans d’autres usines Audi. Des facteurs structurels, tels que sa localisation dans la zone métropolitaine bruxelloise, entre une zone résidentielle et une ligne ferroviaire, ont rendu plus difficiles l’optimisation et l’adaptation des installations, ce qui s’est traduit par des coûts plus élevés. L’absence de lignes de presse</w:t>
      </w:r>
      <w:r w:rsidR="008F470C" w:rsidRPr="002E0F34">
        <w:rPr>
          <w:rStyle w:val="FootnoteReference"/>
          <w:noProof/>
        </w:rPr>
        <w:footnoteReference w:id="7"/>
      </w:r>
      <w:r w:rsidR="008F470C" w:rsidRPr="002E0F34">
        <w:rPr>
          <w:noProof/>
        </w:rPr>
        <w:t xml:space="preserve"> et la non-disponibilité d’un réseau de fournisseurs à proximité ont également contribué au niveau de coûts plus élevé, notamment en termes de logistique. Par conséquent, il n’était pas prévu de construire un autre modèle à l’usine Audi BXL en remplacement de la Q8 e-tron dont la production a été arrêtée, ce qui a conduit à la cessation des activités et la fermeture de l’usine et donc aux licenciements.</w:t>
      </w:r>
    </w:p>
    <w:p w:rsidR="001A62D7" w:rsidRPr="002E0F34" w:rsidRDefault="001A62D7" w:rsidP="001A62D7">
      <w:pPr>
        <w:pStyle w:val="ManualHeading3"/>
        <w:tabs>
          <w:tab w:val="clear" w:pos="850"/>
          <w:tab w:val="left" w:pos="0"/>
        </w:tabs>
        <w:ind w:left="0" w:firstLine="0"/>
        <w:rPr>
          <w:noProof/>
        </w:rPr>
      </w:pPr>
      <w:r w:rsidRPr="002E0F34">
        <w:rPr>
          <w:noProof/>
        </w:rPr>
        <w:t>Effets attendus des licenciements sur l’économie et l’emploi au niveau local, régional ou national</w:t>
      </w:r>
    </w:p>
    <w:p w:rsidR="00B26AFC" w:rsidRPr="002E0F34" w:rsidRDefault="00D204AC" w:rsidP="00D204AC">
      <w:pPr>
        <w:pStyle w:val="ManualNumPar1"/>
        <w:rPr>
          <w:noProof/>
        </w:rPr>
      </w:pPr>
      <w:r w:rsidRPr="00D204AC">
        <w:rPr>
          <w:noProof/>
        </w:rPr>
        <w:t>15.</w:t>
      </w:r>
      <w:r w:rsidRPr="00D204AC">
        <w:rPr>
          <w:noProof/>
        </w:rPr>
        <w:tab/>
      </w:r>
      <w:r w:rsidR="00B26AFC" w:rsidRPr="002E0F34">
        <w:rPr>
          <w:noProof/>
        </w:rPr>
        <w:t>La création d’emplois en Belgique s’est ralentie en 2024. Seuls 13 400 emplois ont été créés, soit un tiers du nombre d’emplois créés en 2023</w:t>
      </w:r>
      <w:r w:rsidR="00B26AFC" w:rsidRPr="002E0F34">
        <w:rPr>
          <w:rStyle w:val="FootnoteReference"/>
          <w:noProof/>
        </w:rPr>
        <w:footnoteReference w:id="8"/>
      </w:r>
      <w:r w:rsidR="00B26AFC" w:rsidRPr="002E0F34">
        <w:rPr>
          <w:noProof/>
        </w:rPr>
        <w:t>. De plus, les faillites sont en hausse depuis 2022. En 2024, plus de 11 000 entreprises ont été déclarées en faillite, soit le chiffre le plus élevé depuis 2013</w:t>
      </w:r>
      <w:r w:rsidR="00B26AFC" w:rsidRPr="002E0F34">
        <w:rPr>
          <w:rStyle w:val="FootnoteReference"/>
          <w:noProof/>
        </w:rPr>
        <w:footnoteReference w:id="9"/>
      </w:r>
      <w:r w:rsidR="00B26AFC" w:rsidRPr="002E0F34">
        <w:rPr>
          <w:noProof/>
        </w:rPr>
        <w:t>. Cette tendance à la hausse s’est poursuivie, 8 483 entreprises ayant fait faillite entre janvier et septembre 2025</w:t>
      </w:r>
      <w:r w:rsidR="00B26AFC" w:rsidRPr="002E0F34">
        <w:rPr>
          <w:rStyle w:val="FootnoteReference"/>
          <w:noProof/>
        </w:rPr>
        <w:footnoteReference w:id="10"/>
      </w:r>
      <w:r w:rsidR="00B26AFC" w:rsidRPr="002E0F34">
        <w:rPr>
          <w:noProof/>
        </w:rPr>
        <w:t>.</w:t>
      </w:r>
    </w:p>
    <w:p w:rsidR="007135A2" w:rsidRPr="002E0F34" w:rsidRDefault="00D204AC" w:rsidP="00D204AC">
      <w:pPr>
        <w:pStyle w:val="ManualNumPar1"/>
        <w:rPr>
          <w:noProof/>
        </w:rPr>
      </w:pPr>
      <w:r w:rsidRPr="00D204AC">
        <w:rPr>
          <w:noProof/>
        </w:rPr>
        <w:t>16.</w:t>
      </w:r>
      <w:r w:rsidRPr="00D204AC">
        <w:rPr>
          <w:noProof/>
        </w:rPr>
        <w:tab/>
      </w:r>
      <w:r w:rsidR="00B26AFC" w:rsidRPr="002E0F34">
        <w:rPr>
          <w:noProof/>
        </w:rPr>
        <w:t>En termes d’emploi, le nombre de travailleurs touchés par des licenciements collectifs en 2024 a augmenté de 68 % en glissement annuel</w:t>
      </w:r>
      <w:r w:rsidR="00B26AFC" w:rsidRPr="002E0F34">
        <w:rPr>
          <w:rStyle w:val="FootnoteReference"/>
          <w:noProof/>
        </w:rPr>
        <w:footnoteReference w:id="11"/>
      </w:r>
      <w:r w:rsidR="00B26AFC" w:rsidRPr="002E0F34">
        <w:rPr>
          <w:noProof/>
        </w:rPr>
        <w:t>. Le nombre d’emplois perdus en raison de faillites a atteint 32 566 en 2024 (+ 18 % en glissement annuel)</w:t>
      </w:r>
      <w:r w:rsidR="00B26AFC" w:rsidRPr="002E0F34">
        <w:rPr>
          <w:rStyle w:val="FootnoteReference"/>
          <w:noProof/>
        </w:rPr>
        <w:footnoteReference w:id="12"/>
      </w:r>
      <w:r w:rsidR="00B26AFC" w:rsidRPr="002E0F34">
        <w:rPr>
          <w:noProof/>
        </w:rPr>
        <w:t xml:space="preserve"> et 22 500 en 2025 (entre janvier et septembre)</w:t>
      </w:r>
      <w:r w:rsidR="00B26AFC" w:rsidRPr="002E0F34">
        <w:rPr>
          <w:rStyle w:val="FootnoteReference"/>
          <w:noProof/>
        </w:rPr>
        <w:footnoteReference w:id="13"/>
      </w:r>
      <w:r w:rsidR="00B26AFC" w:rsidRPr="002E0F34">
        <w:rPr>
          <w:noProof/>
        </w:rPr>
        <w:t>. Environ 14 % de ces pertes d’emplois ont eu lieu dans le secteur industriel</w:t>
      </w:r>
      <w:r w:rsidR="00B26AFC" w:rsidRPr="002E0F34">
        <w:rPr>
          <w:rStyle w:val="FootnoteReference"/>
          <w:noProof/>
        </w:rPr>
        <w:footnoteReference w:id="14"/>
      </w:r>
      <w:r w:rsidR="00B26AFC" w:rsidRPr="002E0F34">
        <w:rPr>
          <w:noProof/>
        </w:rPr>
        <w:t>.</w:t>
      </w:r>
    </w:p>
    <w:p w:rsidR="00B424CD" w:rsidRPr="002E0F34" w:rsidRDefault="00D204AC" w:rsidP="00D204AC">
      <w:pPr>
        <w:pStyle w:val="ManualNumPar1"/>
        <w:rPr>
          <w:noProof/>
        </w:rPr>
      </w:pPr>
      <w:r w:rsidRPr="00D204AC">
        <w:rPr>
          <w:noProof/>
        </w:rPr>
        <w:t>17.</w:t>
      </w:r>
      <w:r w:rsidRPr="00D204AC">
        <w:rPr>
          <w:noProof/>
        </w:rPr>
        <w:tab/>
      </w:r>
      <w:r w:rsidR="00964814" w:rsidRPr="002E0F34">
        <w:rPr>
          <w:noProof/>
        </w:rPr>
        <w:t>Le taux de chômage en Belgique est de 5,9 %</w:t>
      </w:r>
      <w:r w:rsidR="00964814" w:rsidRPr="002E0F34">
        <w:rPr>
          <w:rStyle w:val="FootnoteReference"/>
          <w:noProof/>
        </w:rPr>
        <w:footnoteReference w:id="15"/>
      </w:r>
      <w:r w:rsidR="00964814" w:rsidRPr="002E0F34">
        <w:rPr>
          <w:noProof/>
        </w:rPr>
        <w:t>, ce qui correspond à la moyenne de l’UE</w:t>
      </w:r>
      <w:r w:rsidR="00964814" w:rsidRPr="002E0F34">
        <w:rPr>
          <w:rStyle w:val="FootnoteReference"/>
          <w:noProof/>
        </w:rPr>
        <w:footnoteReference w:id="16"/>
      </w:r>
      <w:r w:rsidR="00964814" w:rsidRPr="002E0F34">
        <w:rPr>
          <w:noProof/>
        </w:rPr>
        <w:t>. Il existe toutefois des différences importantes entre les marchés du travail régionaux. Le taux de chômage à Bruxelles est de 11,9 %, soit 6 points de pourcentage de plus que le taux national. En Wallonie, il est également plus élevé (+ 2 pp), tandis qu’en Flandre, il est inférieur de 2 pp</w:t>
      </w:r>
      <w:r w:rsidR="00964814" w:rsidRPr="002E0F34">
        <w:rPr>
          <w:rStyle w:val="FootnoteReference"/>
          <w:noProof/>
        </w:rPr>
        <w:footnoteReference w:id="17"/>
      </w:r>
      <w:r w:rsidR="00964814" w:rsidRPr="002E0F34">
        <w:rPr>
          <w:noProof/>
        </w:rPr>
        <w:t>.</w:t>
      </w:r>
    </w:p>
    <w:p w:rsidR="00DA1DDA" w:rsidRPr="002E0F34" w:rsidRDefault="00D204AC" w:rsidP="00D204AC">
      <w:pPr>
        <w:pStyle w:val="ManualNumPar1"/>
        <w:rPr>
          <w:noProof/>
        </w:rPr>
      </w:pPr>
      <w:bookmarkStart w:id="9" w:name="_Hlk213166739"/>
      <w:r w:rsidRPr="00D204AC">
        <w:rPr>
          <w:noProof/>
        </w:rPr>
        <w:t>18.</w:t>
      </w:r>
      <w:r w:rsidRPr="00D204AC">
        <w:rPr>
          <w:noProof/>
        </w:rPr>
        <w:tab/>
      </w:r>
      <w:r w:rsidR="009C51E1" w:rsidRPr="002E0F34">
        <w:rPr>
          <w:noProof/>
        </w:rPr>
        <w:t>La Belgique, citant les chiffres de Statbel</w:t>
      </w:r>
      <w:r w:rsidR="009C51E1" w:rsidRPr="002E0F34">
        <w:rPr>
          <w:rStyle w:val="FootnoteReference"/>
          <w:noProof/>
        </w:rPr>
        <w:footnoteReference w:id="18"/>
      </w:r>
      <w:r w:rsidR="009C51E1" w:rsidRPr="002E0F34">
        <w:rPr>
          <w:noProof/>
        </w:rPr>
        <w:t>, explique que le niveau d’éducation influence considérablement le taux d’emploi, avec des différences d’environ 20 pp entre les différents groupes. Le taux d’emploi des personnes ayant un faible niveau d’éducation est de 47,9 %; pour ceux dont les niveaux sont moyens ou élevés, le taux est respectivement de 67,6 % et de 86,5 %. Le genre joue également un rôle: le chômage des hommes est supérieur de 1,6 point de pourcentage à celui des femmes (5 %)</w:t>
      </w:r>
      <w:r w:rsidR="009C51E1" w:rsidRPr="002E0F34">
        <w:rPr>
          <w:rStyle w:val="FootnoteReference"/>
          <w:noProof/>
        </w:rPr>
        <w:footnoteReference w:id="19"/>
      </w:r>
      <w:r w:rsidR="009C51E1" w:rsidRPr="002E0F34">
        <w:rPr>
          <w:noProof/>
        </w:rPr>
        <w:t>. Plus de 90 % des travailleurs licenciés sont des hommes.</w:t>
      </w:r>
    </w:p>
    <w:bookmarkEnd w:id="9"/>
    <w:p w:rsidR="00B424CD" w:rsidRPr="002E0F34" w:rsidRDefault="00D204AC" w:rsidP="00D204AC">
      <w:pPr>
        <w:pStyle w:val="ManualNumPar1"/>
        <w:rPr>
          <w:noProof/>
        </w:rPr>
      </w:pPr>
      <w:r w:rsidRPr="00D204AC">
        <w:rPr>
          <w:noProof/>
        </w:rPr>
        <w:t>19.</w:t>
      </w:r>
      <w:r w:rsidRPr="00D204AC">
        <w:rPr>
          <w:noProof/>
        </w:rPr>
        <w:tab/>
      </w:r>
      <w:r w:rsidR="00B424CD" w:rsidRPr="002E0F34">
        <w:rPr>
          <w:noProof/>
        </w:rPr>
        <w:t>Bien que les licenciements à Audi concernent l’ensemble de la Belgique, 71 % des travailleurs licenciés sont concentrés sur trois territoires: Le Hainaut (36 %), Bruxelles (18 %) et la Flandre orientale (17 %).</w:t>
      </w:r>
    </w:p>
    <w:p w:rsidR="007270A4" w:rsidRPr="002E0F34" w:rsidRDefault="00D204AC" w:rsidP="00D204AC">
      <w:pPr>
        <w:pStyle w:val="ManualNumPar1"/>
        <w:rPr>
          <w:noProof/>
        </w:rPr>
      </w:pPr>
      <w:bookmarkStart w:id="10" w:name="_Hlk212817866"/>
      <w:r w:rsidRPr="00D204AC">
        <w:rPr>
          <w:noProof/>
        </w:rPr>
        <w:t>20.</w:t>
      </w:r>
      <w:r w:rsidRPr="00D204AC">
        <w:rPr>
          <w:noProof/>
        </w:rPr>
        <w:tab/>
      </w:r>
      <w:r w:rsidR="00364144" w:rsidRPr="002E0F34">
        <w:rPr>
          <w:noProof/>
        </w:rPr>
        <w:t>Le Hainaut (Wallonie) et Bruxelles sont des marchés du travail défavorisés où le chômage de longue durée est prédominant (respectivement 67 %</w:t>
      </w:r>
      <w:r w:rsidR="00364144" w:rsidRPr="002E0F34">
        <w:rPr>
          <w:rStyle w:val="FootnoteReference"/>
          <w:noProof/>
        </w:rPr>
        <w:footnoteReference w:id="20"/>
      </w:r>
      <w:r w:rsidR="00364144" w:rsidRPr="002E0F34">
        <w:rPr>
          <w:noProof/>
        </w:rPr>
        <w:t xml:space="preserve"> et 62 %</w:t>
      </w:r>
      <w:r w:rsidR="00364144" w:rsidRPr="002E0F34">
        <w:rPr>
          <w:rStyle w:val="FootnoteReference"/>
          <w:noProof/>
        </w:rPr>
        <w:footnoteReference w:id="21"/>
      </w:r>
      <w:r w:rsidR="00364144" w:rsidRPr="002E0F34">
        <w:rPr>
          <w:noProof/>
        </w:rPr>
        <w:t xml:space="preserve"> des demandeurs d’emploi sont au chômage depuis plus de 12 mois). Le Hainaut compte pour 41 % des demandeurs d’emploi wallons. Près de la moitié de ces demandeurs d’emploi ont un faible niveau d’éducation</w:t>
      </w:r>
      <w:r w:rsidR="00364144" w:rsidRPr="002E0F34">
        <w:rPr>
          <w:rStyle w:val="FootnoteReference"/>
          <w:noProof/>
        </w:rPr>
        <w:footnoteReference w:id="22"/>
      </w:r>
      <w:r w:rsidR="00364144" w:rsidRPr="002E0F34">
        <w:rPr>
          <w:noProof/>
        </w:rPr>
        <w:t>. En ce qui concerne l'âge, le groupe des 30-39 ans représente le plus grand nombre de demandeurs d’emploi (24 %), suivi par celui des plus de 50 ans (22 %)</w:t>
      </w:r>
      <w:r w:rsidR="00364144" w:rsidRPr="002E0F34">
        <w:rPr>
          <w:rStyle w:val="FootnoteReference"/>
          <w:noProof/>
        </w:rPr>
        <w:footnoteReference w:id="23"/>
      </w:r>
      <w:r w:rsidR="00364144" w:rsidRPr="002E0F34">
        <w:rPr>
          <w:noProof/>
        </w:rPr>
        <w:t>. À Bruxelles, un demandeur d’emploi sur quatre est âgé de plus de 50 ans, et les personnes ayant un faible niveau d’éducation (y compris celles dont les qualifications ne sont pas équivalentes en Europe) représentent 59 % des demandeurs d’emploi</w:t>
      </w:r>
      <w:r w:rsidR="00364144" w:rsidRPr="002E0F34">
        <w:rPr>
          <w:rStyle w:val="FootnoteReference"/>
          <w:noProof/>
        </w:rPr>
        <w:footnoteReference w:id="24"/>
      </w:r>
      <w:r w:rsidR="00364144" w:rsidRPr="002E0F34">
        <w:rPr>
          <w:noProof/>
        </w:rPr>
        <w:t>. Les travailleurs ayant des qualifications techniques réintègrent relativement rapidement le marché du travail en Flandre orientale. Toutefois, les travailleurs âgés ont beaucoup moins de possibilités de trouver un nouvel emploi. Un ancien travailleur Audi sur deux résidant en Flandre orientale a plus de 50 ans.</w:t>
      </w:r>
      <w:bookmarkEnd w:id="10"/>
    </w:p>
    <w:p w:rsidR="001A62D7" w:rsidRPr="002E0F34" w:rsidRDefault="00D204AC" w:rsidP="00D204AC">
      <w:pPr>
        <w:pStyle w:val="ManualNumPar1"/>
        <w:rPr>
          <w:noProof/>
        </w:rPr>
      </w:pPr>
      <w:r w:rsidRPr="00D204AC">
        <w:rPr>
          <w:noProof/>
        </w:rPr>
        <w:t>21.</w:t>
      </w:r>
      <w:r w:rsidRPr="00D204AC">
        <w:rPr>
          <w:noProof/>
        </w:rPr>
        <w:tab/>
      </w:r>
      <w:r w:rsidR="003335D5" w:rsidRPr="002E0F34">
        <w:rPr>
          <w:noProof/>
        </w:rPr>
        <w:t>Par conséquent, selon les autorités belges, l’incidence des licenciements chez Audi et chez ses fournisseurs et producteurs en aval devrait encore aggraver la situation sur ces marchés du travail.</w:t>
      </w:r>
    </w:p>
    <w:p w:rsidR="001A62D7" w:rsidRPr="002E0F34" w:rsidRDefault="001A62D7" w:rsidP="001A62D7">
      <w:pPr>
        <w:pStyle w:val="ManualHeading2"/>
        <w:rPr>
          <w:noProof/>
        </w:rPr>
      </w:pPr>
      <w:r w:rsidRPr="002E0F34">
        <w:rPr>
          <w:noProof/>
        </w:rPr>
        <w:t>Mise en œuvre du cadre de qualité de l’Union européenne pour l’anticipation des changements et des restructurations</w:t>
      </w:r>
    </w:p>
    <w:p w:rsidR="00986887" w:rsidRPr="002E0F34" w:rsidRDefault="00D204AC" w:rsidP="00D204AC">
      <w:pPr>
        <w:pStyle w:val="ManualNumPar1"/>
        <w:rPr>
          <w:noProof/>
        </w:rPr>
      </w:pPr>
      <w:r w:rsidRPr="00D204AC">
        <w:rPr>
          <w:noProof/>
        </w:rPr>
        <w:t>22.</w:t>
      </w:r>
      <w:r w:rsidRPr="00D204AC">
        <w:rPr>
          <w:noProof/>
        </w:rPr>
        <w:tab/>
      </w:r>
      <w:r w:rsidR="00964E26" w:rsidRPr="002E0F34">
        <w:rPr>
          <w:noProof/>
        </w:rPr>
        <w:t>La Belgique a décrit la manière dont les recommandations formulées dans le cadre de qualité de l’UE pour l’anticipation des changements et des restructurations ont été prises en compte:</w:t>
      </w:r>
    </w:p>
    <w:p w:rsidR="00B57F16" w:rsidRPr="002E0F34" w:rsidRDefault="00D204AC" w:rsidP="00D204AC">
      <w:pPr>
        <w:pStyle w:val="ManualNumPar1"/>
        <w:rPr>
          <w:noProof/>
        </w:rPr>
      </w:pPr>
      <w:r w:rsidRPr="00D204AC">
        <w:rPr>
          <w:noProof/>
        </w:rPr>
        <w:t>23.</w:t>
      </w:r>
      <w:r w:rsidRPr="00D204AC">
        <w:rPr>
          <w:noProof/>
        </w:rPr>
        <w:tab/>
      </w:r>
      <w:r w:rsidR="00B57F16" w:rsidRPr="002E0F34">
        <w:rPr>
          <w:noProof/>
        </w:rPr>
        <w:t>Les entreprises à l’origine des licenciements se sont conformées à la législation belge sur les licenciements collectifs, qui impose une procédure obligatoire d’information et de consultation des représentants des travailleurs. La procédure permet d’explorer toute possibilité d’éviter ou de réduire le nombre de licenciements. Elle vise également à atténuer les conséquences de la perte d’emploi au moyen de mesures sociales complémentaires, telles que le soutien à la reconversion et au recyclage des travailleurs licenciés.</w:t>
      </w:r>
    </w:p>
    <w:p w:rsidR="001A62D7" w:rsidRPr="002E0F34" w:rsidRDefault="00D204AC" w:rsidP="00D204AC">
      <w:pPr>
        <w:pStyle w:val="ManualNumPar1"/>
        <w:rPr>
          <w:noProof/>
        </w:rPr>
      </w:pPr>
      <w:r w:rsidRPr="00D204AC">
        <w:rPr>
          <w:noProof/>
        </w:rPr>
        <w:t>24.</w:t>
      </w:r>
      <w:r w:rsidRPr="00D204AC">
        <w:rPr>
          <w:noProof/>
        </w:rPr>
        <w:tab/>
      </w:r>
      <w:r w:rsidR="00986887" w:rsidRPr="002E0F34">
        <w:rPr>
          <w:noProof/>
        </w:rPr>
        <w:t>La Belgique a indiqué que le droit national du travail</w:t>
      </w:r>
      <w:r w:rsidR="00986887" w:rsidRPr="002E0F34">
        <w:rPr>
          <w:rStyle w:val="FootnoteReference"/>
          <w:noProof/>
        </w:rPr>
        <w:footnoteReference w:id="25"/>
      </w:r>
      <w:r w:rsidR="00986887" w:rsidRPr="002E0F34">
        <w:rPr>
          <w:noProof/>
        </w:rPr>
        <w:t xml:space="preserve"> relatif à la gestion active des restructurations exige des entreprises en cours de restructuration qu’elles fournissent aux travailleurs licenciés dans le cadre de licenciements collectifs 30 heures de services de reclassement sur une période de trois mois (60 heures sur six mois pour les travailleurs âgés de 45 ans et plus). Les négociations ont permis d’obtenir un budget spécifique de 1 500 000 EUR pour couvrir les coûts de reconversion.</w:t>
      </w:r>
    </w:p>
    <w:p w:rsidR="001A62D7" w:rsidRPr="002E0F34" w:rsidRDefault="00D204AC" w:rsidP="00D204AC">
      <w:pPr>
        <w:pStyle w:val="ManualNumPar1"/>
        <w:rPr>
          <w:noProof/>
        </w:rPr>
      </w:pPr>
      <w:r w:rsidRPr="00D204AC">
        <w:rPr>
          <w:noProof/>
        </w:rPr>
        <w:t>25.</w:t>
      </w:r>
      <w:r w:rsidRPr="00D204AC">
        <w:rPr>
          <w:noProof/>
        </w:rPr>
        <w:tab/>
      </w:r>
      <w:r w:rsidR="001A62D7" w:rsidRPr="002E0F34">
        <w:rPr>
          <w:noProof/>
        </w:rPr>
        <w:t>En ce qui concerne les activités mises en place pour aider les travailleurs licenciés, la Belgique a indiqué que les mesures du FEM, telles que le conseil et l’orientation professionnels, qui s’appuient sur les services de reclassement externe déjà mentionnés, ont débuté après la fin du reclassement externe. Un événement de recherche d’emploi («journée de l’emploi») axé sur les profils techniques disponibles dans 77 entreprises s’est tenu le 3 avril 2025.</w:t>
      </w:r>
    </w:p>
    <w:p w:rsidR="001A62D7" w:rsidRPr="002E0F34" w:rsidRDefault="001A62D7" w:rsidP="001A62D7">
      <w:pPr>
        <w:pStyle w:val="ManualHeading3"/>
        <w:rPr>
          <w:noProof/>
        </w:rPr>
      </w:pPr>
      <w:r w:rsidRPr="002E0F34">
        <w:rPr>
          <w:noProof/>
        </w:rPr>
        <w:t>Complémentarité avec les actions financées par des fonds nationaux ou de l’Union</w:t>
      </w:r>
    </w:p>
    <w:p w:rsidR="001A62D7" w:rsidRPr="002E0F34" w:rsidRDefault="00D204AC" w:rsidP="00D204AC">
      <w:pPr>
        <w:pStyle w:val="ManualNumPar1"/>
        <w:rPr>
          <w:noProof/>
        </w:rPr>
      </w:pPr>
      <w:r w:rsidRPr="00D204AC">
        <w:rPr>
          <w:noProof/>
        </w:rPr>
        <w:t>26.</w:t>
      </w:r>
      <w:r w:rsidRPr="00D204AC">
        <w:rPr>
          <w:noProof/>
        </w:rPr>
        <w:tab/>
      </w:r>
      <w:r w:rsidR="00F85DF2" w:rsidRPr="002E0F34">
        <w:rPr>
          <w:noProof/>
        </w:rPr>
        <w:t>La Belgique a confirmé que les mesures décrites ci-dessous bénéficiant d’une contribution financière du FEM ne recevront pas d’aide au titre d’autres instruments financiers de l’Union.</w:t>
      </w:r>
    </w:p>
    <w:p w:rsidR="001A62D7" w:rsidRPr="002E0F34" w:rsidRDefault="00D204AC" w:rsidP="00D204AC">
      <w:pPr>
        <w:pStyle w:val="ManualNumPar1"/>
        <w:rPr>
          <w:noProof/>
        </w:rPr>
      </w:pPr>
      <w:r w:rsidRPr="00D204AC">
        <w:rPr>
          <w:noProof/>
        </w:rPr>
        <w:t>27.</w:t>
      </w:r>
      <w:r w:rsidRPr="00D204AC">
        <w:rPr>
          <w:noProof/>
        </w:rPr>
        <w:tab/>
      </w:r>
      <w:r w:rsidR="001A62D7" w:rsidRPr="002E0F34">
        <w:rPr>
          <w:noProof/>
        </w:rPr>
        <w:t>L’ensemble coordonné de services personnalisés complète les actions financées par d’autres fonds nationaux ou de l’UE.</w:t>
      </w:r>
    </w:p>
    <w:p w:rsidR="001A62D7" w:rsidRPr="002E0F34" w:rsidRDefault="001A62D7" w:rsidP="001A62D7">
      <w:pPr>
        <w:pStyle w:val="ManualHeading3"/>
        <w:tabs>
          <w:tab w:val="clear" w:pos="850"/>
          <w:tab w:val="left" w:pos="0"/>
        </w:tabs>
        <w:ind w:left="0" w:firstLine="0"/>
        <w:rPr>
          <w:noProof/>
          <w:u w:val="single"/>
        </w:rPr>
      </w:pPr>
      <w:r w:rsidRPr="002E0F34">
        <w:rPr>
          <w:noProof/>
        </w:rPr>
        <w:t>Procédures suivies pour la consultation des bénéficiaires visés ou de leurs représentants, des partenaires sociaux et des collectivités locales et régionales</w:t>
      </w:r>
    </w:p>
    <w:p w:rsidR="001A62D7" w:rsidRPr="002E0F34" w:rsidRDefault="00D204AC" w:rsidP="00D204AC">
      <w:pPr>
        <w:pStyle w:val="ManualNumPar1"/>
        <w:rPr>
          <w:noProof/>
        </w:rPr>
      </w:pPr>
      <w:r w:rsidRPr="00D204AC">
        <w:rPr>
          <w:noProof/>
        </w:rPr>
        <w:t>28.</w:t>
      </w:r>
      <w:r w:rsidRPr="00D204AC">
        <w:rPr>
          <w:noProof/>
        </w:rPr>
        <w:tab/>
      </w:r>
      <w:r w:rsidR="0043443B" w:rsidRPr="002E0F34">
        <w:rPr>
          <w:noProof/>
        </w:rPr>
        <w:t>La Belgique a indiqué que l’ensemble coordonné de services personnalisés avait été établi en concertation avec les partenaires sociaux, conformément à l’article 7, paragraphe 4, du règlement (UE) 2021/691. Entre novembre 2024 et mars 2025, les services publics de l’emploi de Bruxelles</w:t>
      </w:r>
      <w:r w:rsidR="0043443B" w:rsidRPr="002E0F34">
        <w:rPr>
          <w:rStyle w:val="FootnoteReference"/>
          <w:noProof/>
        </w:rPr>
        <w:footnoteReference w:id="26"/>
      </w:r>
      <w:r w:rsidR="0043443B" w:rsidRPr="002E0F34">
        <w:rPr>
          <w:noProof/>
        </w:rPr>
        <w:t>, de Flandre</w:t>
      </w:r>
      <w:r w:rsidR="0043443B" w:rsidRPr="002E0F34">
        <w:rPr>
          <w:rStyle w:val="FootnoteReference"/>
          <w:noProof/>
        </w:rPr>
        <w:footnoteReference w:id="27"/>
      </w:r>
      <w:r w:rsidR="0043443B" w:rsidRPr="002E0F34">
        <w:rPr>
          <w:noProof/>
        </w:rPr>
        <w:t xml:space="preserve"> et de Wallonie</w:t>
      </w:r>
      <w:r w:rsidR="0043443B" w:rsidRPr="002E0F34">
        <w:rPr>
          <w:rStyle w:val="FootnoteReference"/>
          <w:noProof/>
        </w:rPr>
        <w:footnoteReference w:id="28"/>
      </w:r>
      <w:r w:rsidR="0043443B" w:rsidRPr="002E0F34">
        <w:rPr>
          <w:noProof/>
        </w:rPr>
        <w:t xml:space="preserve"> ont rencontré les syndicats</w:t>
      </w:r>
      <w:r w:rsidR="0043443B" w:rsidRPr="002E0F34">
        <w:rPr>
          <w:rStyle w:val="FootnoteReference"/>
          <w:noProof/>
        </w:rPr>
        <w:footnoteReference w:id="29"/>
      </w:r>
      <w:r w:rsidR="0043443B" w:rsidRPr="002E0F34">
        <w:rPr>
          <w:noProof/>
        </w:rPr>
        <w:t xml:space="preserve"> à plusieurs reprises</w:t>
      </w:r>
      <w:r w:rsidR="0043443B" w:rsidRPr="002E0F34">
        <w:rPr>
          <w:rStyle w:val="FootnoteReference"/>
          <w:noProof/>
        </w:rPr>
        <w:footnoteReference w:id="30"/>
      </w:r>
      <w:r w:rsidR="0043443B" w:rsidRPr="002E0F34">
        <w:rPr>
          <w:noProof/>
        </w:rPr>
        <w:t xml:space="preserve"> afin de discuter des mesures appropriées pour soutenir les anciens travailleurs d’Audi dans leur transition vers de nouveaux emplois. Les travailleurs d’Audi ont également été consultés le 20 février 2025.</w:t>
      </w:r>
    </w:p>
    <w:p w:rsidR="001A62D7" w:rsidRPr="002E0F34" w:rsidRDefault="001A62D7" w:rsidP="001A62D7">
      <w:pPr>
        <w:pStyle w:val="ManualHeading2"/>
        <w:rPr>
          <w:noProof/>
        </w:rPr>
      </w:pPr>
      <w:r w:rsidRPr="002E0F34">
        <w:rPr>
          <w:noProof/>
        </w:rPr>
        <w:t>Bénéficiaires visés et mesures proposées</w:t>
      </w:r>
    </w:p>
    <w:p w:rsidR="001A62D7" w:rsidRPr="002E0F34" w:rsidRDefault="001A62D7" w:rsidP="001A62D7">
      <w:pPr>
        <w:pStyle w:val="ManualHeading3"/>
        <w:rPr>
          <w:noProof/>
        </w:rPr>
      </w:pPr>
      <w:r w:rsidRPr="002E0F34">
        <w:rPr>
          <w:noProof/>
        </w:rPr>
        <w:t>Bénéficiaires visés</w:t>
      </w:r>
    </w:p>
    <w:p w:rsidR="001A62D7" w:rsidRPr="002E0F34" w:rsidRDefault="00D204AC" w:rsidP="00D204AC">
      <w:pPr>
        <w:pStyle w:val="ManualNumPar1"/>
        <w:rPr>
          <w:noProof/>
        </w:rPr>
      </w:pPr>
      <w:r w:rsidRPr="00D204AC">
        <w:rPr>
          <w:noProof/>
        </w:rPr>
        <w:t>29.</w:t>
      </w:r>
      <w:r w:rsidRPr="00D204AC">
        <w:rPr>
          <w:noProof/>
        </w:rPr>
        <w:tab/>
      </w:r>
      <w:r w:rsidR="001A62D7" w:rsidRPr="002E0F34">
        <w:rPr>
          <w:noProof/>
        </w:rPr>
        <w:t>On estime à 3 414 le nombre de travailleurs licenciés qui devraient participer aux mesures. Conformément à l’article 8, paragraphe 7, point f), du règlement (UE) 2021/691, la ventilation par genre, groupe d’âge et niveau d’éducation qui a été fournie pour ces travailleurs est la suivante:</w:t>
      </w:r>
    </w:p>
    <w:tbl>
      <w:tblPr>
        <w:tblW w:w="0" w:type="auto"/>
        <w:jc w:val="center"/>
        <w:tblLook w:val="04A0" w:firstRow="1" w:lastRow="0" w:firstColumn="1" w:lastColumn="0" w:noHBand="0" w:noVBand="1"/>
      </w:tblPr>
      <w:tblGrid>
        <w:gridCol w:w="1496"/>
        <w:gridCol w:w="2063"/>
        <w:gridCol w:w="1176"/>
        <w:gridCol w:w="1176"/>
      </w:tblGrid>
      <w:tr w:rsidR="001A62D7" w:rsidRPr="002E0F34" w:rsidTr="001D5990">
        <w:trPr>
          <w:jc w:val="center"/>
        </w:trPr>
        <w:tc>
          <w:tcPr>
            <w:tcW w:w="3559" w:type="dxa"/>
            <w:gridSpan w:val="2"/>
            <w:tcBorders>
              <w:top w:val="single" w:sz="4" w:space="0" w:color="auto"/>
              <w:left w:val="nil"/>
              <w:bottom w:val="single" w:sz="4" w:space="0" w:color="auto"/>
              <w:right w:val="nil"/>
            </w:tcBorders>
            <w:hideMark/>
          </w:tcPr>
          <w:p w:rsidR="001A62D7" w:rsidRPr="002E0F34" w:rsidRDefault="001A62D7" w:rsidP="001D5990">
            <w:pPr>
              <w:spacing w:before="60" w:after="60"/>
              <w:jc w:val="center"/>
              <w:rPr>
                <w:noProof/>
              </w:rPr>
            </w:pPr>
            <w:r w:rsidRPr="002E0F34">
              <w:rPr>
                <w:noProof/>
              </w:rPr>
              <w:t>Catégorie</w:t>
            </w:r>
          </w:p>
        </w:tc>
        <w:tc>
          <w:tcPr>
            <w:tcW w:w="2352" w:type="dxa"/>
            <w:gridSpan w:val="2"/>
            <w:tcBorders>
              <w:top w:val="single" w:sz="4" w:space="0" w:color="auto"/>
              <w:left w:val="nil"/>
              <w:bottom w:val="single" w:sz="4" w:space="0" w:color="auto"/>
              <w:right w:val="nil"/>
            </w:tcBorders>
            <w:hideMark/>
          </w:tcPr>
          <w:p w:rsidR="001A62D7" w:rsidRPr="002E0F34" w:rsidRDefault="001A62D7" w:rsidP="001D5990">
            <w:pPr>
              <w:spacing w:before="60" w:after="60"/>
              <w:jc w:val="center"/>
              <w:rPr>
                <w:noProof/>
              </w:rPr>
            </w:pPr>
            <w:r w:rsidRPr="002E0F34">
              <w:rPr>
                <w:noProof/>
              </w:rPr>
              <w:t xml:space="preserve">Nombre de </w:t>
            </w:r>
            <w:r w:rsidRPr="002E0F34">
              <w:rPr>
                <w:noProof/>
              </w:rPr>
              <w:br/>
              <w:t>bénéficiaires escomptés</w:t>
            </w:r>
          </w:p>
        </w:tc>
      </w:tr>
      <w:tr w:rsidR="001A62D7" w:rsidRPr="002E0F34" w:rsidTr="001D5990">
        <w:trPr>
          <w:jc w:val="center"/>
        </w:trPr>
        <w:tc>
          <w:tcPr>
            <w:tcW w:w="1496" w:type="dxa"/>
            <w:tcBorders>
              <w:top w:val="single" w:sz="4" w:space="0" w:color="auto"/>
              <w:left w:val="nil"/>
              <w:right w:val="nil"/>
            </w:tcBorders>
            <w:hideMark/>
          </w:tcPr>
          <w:p w:rsidR="001A62D7" w:rsidRPr="002E0F34" w:rsidRDefault="001A62D7" w:rsidP="001D5990">
            <w:pPr>
              <w:spacing w:before="60" w:after="60"/>
              <w:rPr>
                <w:noProof/>
              </w:rPr>
            </w:pPr>
            <w:r w:rsidRPr="002E0F34">
              <w:rPr>
                <w:noProof/>
              </w:rPr>
              <w:t>Genre:</w:t>
            </w:r>
          </w:p>
        </w:tc>
        <w:tc>
          <w:tcPr>
            <w:tcW w:w="2063" w:type="dxa"/>
            <w:tcBorders>
              <w:top w:val="single" w:sz="4" w:space="0" w:color="auto"/>
              <w:left w:val="nil"/>
              <w:right w:val="nil"/>
            </w:tcBorders>
            <w:hideMark/>
          </w:tcPr>
          <w:p w:rsidR="001A62D7" w:rsidRPr="002E0F34" w:rsidRDefault="001A62D7" w:rsidP="001D5990">
            <w:pPr>
              <w:spacing w:before="60" w:after="60"/>
              <w:rPr>
                <w:noProof/>
              </w:rPr>
            </w:pPr>
            <w:r w:rsidRPr="002E0F34">
              <w:rPr>
                <w:noProof/>
              </w:rPr>
              <w:t>Hommes:</w:t>
            </w:r>
          </w:p>
        </w:tc>
        <w:tc>
          <w:tcPr>
            <w:tcW w:w="1176" w:type="dxa"/>
            <w:tcBorders>
              <w:top w:val="single" w:sz="4" w:space="0" w:color="auto"/>
              <w:left w:val="nil"/>
              <w:right w:val="nil"/>
            </w:tcBorders>
            <w:hideMark/>
          </w:tcPr>
          <w:p w:rsidR="001A62D7" w:rsidRPr="002E0F34" w:rsidRDefault="00F055E2" w:rsidP="001D5990">
            <w:pPr>
              <w:spacing w:before="60" w:after="60"/>
              <w:jc w:val="right"/>
              <w:rPr>
                <w:noProof/>
              </w:rPr>
            </w:pPr>
            <w:r w:rsidRPr="002E0F34">
              <w:rPr>
                <w:noProof/>
              </w:rPr>
              <w:t>3 145</w:t>
            </w:r>
          </w:p>
        </w:tc>
        <w:tc>
          <w:tcPr>
            <w:tcW w:w="1176" w:type="dxa"/>
            <w:tcBorders>
              <w:top w:val="single" w:sz="4" w:space="0" w:color="auto"/>
              <w:left w:val="nil"/>
              <w:right w:val="nil"/>
            </w:tcBorders>
            <w:hideMark/>
          </w:tcPr>
          <w:p w:rsidR="001A62D7" w:rsidRPr="002E0F34" w:rsidRDefault="001A62D7" w:rsidP="001D5990">
            <w:pPr>
              <w:spacing w:before="60" w:after="60"/>
              <w:jc w:val="right"/>
              <w:rPr>
                <w:noProof/>
              </w:rPr>
            </w:pPr>
            <w:r w:rsidRPr="002E0F34">
              <w:rPr>
                <w:noProof/>
              </w:rPr>
              <w:t>(92,1 %)</w:t>
            </w:r>
          </w:p>
        </w:tc>
      </w:tr>
      <w:tr w:rsidR="001A62D7" w:rsidRPr="002E0F34" w:rsidTr="001D5990">
        <w:trPr>
          <w:jc w:val="center"/>
        </w:trPr>
        <w:tc>
          <w:tcPr>
            <w:tcW w:w="1496" w:type="dxa"/>
            <w:tcBorders>
              <w:top w:val="nil"/>
              <w:left w:val="nil"/>
              <w:right w:val="nil"/>
            </w:tcBorders>
          </w:tcPr>
          <w:p w:rsidR="001A62D7" w:rsidRPr="002E0F34" w:rsidRDefault="001A62D7" w:rsidP="001D5990">
            <w:pPr>
              <w:spacing w:before="60" w:after="60"/>
              <w:rPr>
                <w:noProof/>
              </w:rPr>
            </w:pPr>
          </w:p>
        </w:tc>
        <w:tc>
          <w:tcPr>
            <w:tcW w:w="2063" w:type="dxa"/>
            <w:tcBorders>
              <w:top w:val="nil"/>
              <w:left w:val="nil"/>
              <w:right w:val="nil"/>
            </w:tcBorders>
          </w:tcPr>
          <w:p w:rsidR="001A62D7" w:rsidRPr="002E0F34" w:rsidRDefault="001A62D7" w:rsidP="001D5990">
            <w:pPr>
              <w:spacing w:before="60" w:after="60"/>
              <w:rPr>
                <w:rFonts w:eastAsia="Calibri"/>
                <w:noProof/>
              </w:rPr>
            </w:pPr>
            <w:r w:rsidRPr="002E0F34">
              <w:rPr>
                <w:noProof/>
              </w:rPr>
              <w:t>Femmes:</w:t>
            </w:r>
          </w:p>
        </w:tc>
        <w:tc>
          <w:tcPr>
            <w:tcW w:w="1176" w:type="dxa"/>
          </w:tcPr>
          <w:p w:rsidR="001A62D7" w:rsidRPr="002E0F34" w:rsidRDefault="00F055E2" w:rsidP="001D5990">
            <w:pPr>
              <w:spacing w:before="60" w:after="60"/>
              <w:jc w:val="right"/>
              <w:rPr>
                <w:noProof/>
              </w:rPr>
            </w:pPr>
            <w:r w:rsidRPr="002E0F34">
              <w:rPr>
                <w:noProof/>
              </w:rPr>
              <w:t>269</w:t>
            </w:r>
          </w:p>
        </w:tc>
        <w:tc>
          <w:tcPr>
            <w:tcW w:w="1176" w:type="dxa"/>
          </w:tcPr>
          <w:p w:rsidR="001A62D7" w:rsidRPr="002E0F34" w:rsidRDefault="001A62D7" w:rsidP="001D5990">
            <w:pPr>
              <w:spacing w:before="60" w:after="60"/>
              <w:jc w:val="right"/>
              <w:rPr>
                <w:rFonts w:eastAsia="Calibri"/>
                <w:noProof/>
              </w:rPr>
            </w:pPr>
            <w:r w:rsidRPr="002E0F34">
              <w:rPr>
                <w:noProof/>
              </w:rPr>
              <w:t>(7,9 %)</w:t>
            </w:r>
          </w:p>
        </w:tc>
      </w:tr>
      <w:tr w:rsidR="001A62D7" w:rsidRPr="002E0F34" w:rsidTr="001D5990">
        <w:trPr>
          <w:jc w:val="center"/>
        </w:trPr>
        <w:tc>
          <w:tcPr>
            <w:tcW w:w="1496" w:type="dxa"/>
            <w:tcBorders>
              <w:left w:val="nil"/>
              <w:bottom w:val="single" w:sz="4" w:space="0" w:color="auto"/>
              <w:right w:val="nil"/>
            </w:tcBorders>
          </w:tcPr>
          <w:p w:rsidR="001A62D7" w:rsidRPr="002E0F34" w:rsidRDefault="001A62D7" w:rsidP="001D5990">
            <w:pPr>
              <w:spacing w:before="60" w:after="60"/>
              <w:rPr>
                <w:noProof/>
              </w:rPr>
            </w:pPr>
          </w:p>
        </w:tc>
        <w:tc>
          <w:tcPr>
            <w:tcW w:w="2063" w:type="dxa"/>
            <w:tcBorders>
              <w:left w:val="nil"/>
              <w:bottom w:val="single" w:sz="4" w:space="0" w:color="auto"/>
              <w:right w:val="nil"/>
            </w:tcBorders>
          </w:tcPr>
          <w:p w:rsidR="001A62D7" w:rsidRPr="002E0F34" w:rsidRDefault="001A62D7" w:rsidP="001D5990">
            <w:pPr>
              <w:spacing w:before="60" w:after="60"/>
              <w:rPr>
                <w:noProof/>
              </w:rPr>
            </w:pPr>
            <w:r w:rsidRPr="002E0F34">
              <w:rPr>
                <w:noProof/>
              </w:rPr>
              <w:t>Non binaire</w:t>
            </w:r>
          </w:p>
        </w:tc>
        <w:tc>
          <w:tcPr>
            <w:tcW w:w="1176" w:type="dxa"/>
            <w:tcBorders>
              <w:bottom w:val="single" w:sz="4" w:space="0" w:color="auto"/>
            </w:tcBorders>
            <w:hideMark/>
          </w:tcPr>
          <w:p w:rsidR="001A62D7" w:rsidRPr="002E0F34" w:rsidRDefault="00F055E2" w:rsidP="001D5990">
            <w:pPr>
              <w:spacing w:before="60" w:after="60"/>
              <w:jc w:val="right"/>
              <w:rPr>
                <w:noProof/>
              </w:rPr>
            </w:pPr>
            <w:r w:rsidRPr="002E0F34">
              <w:rPr>
                <w:noProof/>
              </w:rPr>
              <w:t>0</w:t>
            </w:r>
          </w:p>
        </w:tc>
        <w:tc>
          <w:tcPr>
            <w:tcW w:w="1176" w:type="dxa"/>
            <w:tcBorders>
              <w:bottom w:val="single" w:sz="4" w:space="0" w:color="auto"/>
            </w:tcBorders>
            <w:hideMark/>
          </w:tcPr>
          <w:p w:rsidR="001A62D7" w:rsidRPr="002E0F34" w:rsidRDefault="001A62D7" w:rsidP="001D5990">
            <w:pPr>
              <w:spacing w:before="60" w:after="60"/>
              <w:jc w:val="right"/>
              <w:rPr>
                <w:noProof/>
              </w:rPr>
            </w:pPr>
            <w:r w:rsidRPr="002E0F34">
              <w:rPr>
                <w:noProof/>
              </w:rPr>
              <w:t>(0,0 %)</w:t>
            </w:r>
          </w:p>
        </w:tc>
      </w:tr>
      <w:tr w:rsidR="001A62D7" w:rsidRPr="002E0F34" w:rsidTr="001D5990">
        <w:trPr>
          <w:jc w:val="center"/>
        </w:trPr>
        <w:tc>
          <w:tcPr>
            <w:tcW w:w="1496" w:type="dxa"/>
            <w:tcBorders>
              <w:top w:val="single" w:sz="4" w:space="0" w:color="auto"/>
              <w:left w:val="nil"/>
              <w:bottom w:val="nil"/>
              <w:right w:val="nil"/>
            </w:tcBorders>
            <w:hideMark/>
          </w:tcPr>
          <w:p w:rsidR="001A62D7" w:rsidRPr="002E0F34" w:rsidRDefault="001A62D7" w:rsidP="001D5990">
            <w:pPr>
              <w:spacing w:before="60" w:after="60"/>
              <w:rPr>
                <w:noProof/>
              </w:rPr>
            </w:pPr>
            <w:r w:rsidRPr="002E0F34">
              <w:rPr>
                <w:noProof/>
              </w:rPr>
              <w:t>Classe d’âge:</w:t>
            </w:r>
          </w:p>
        </w:tc>
        <w:tc>
          <w:tcPr>
            <w:tcW w:w="2063" w:type="dxa"/>
            <w:tcBorders>
              <w:top w:val="single" w:sz="4" w:space="0" w:color="auto"/>
              <w:left w:val="nil"/>
              <w:bottom w:val="nil"/>
              <w:right w:val="nil"/>
            </w:tcBorders>
            <w:hideMark/>
          </w:tcPr>
          <w:p w:rsidR="001A62D7" w:rsidRPr="002E0F34" w:rsidRDefault="001A62D7" w:rsidP="001D5990">
            <w:pPr>
              <w:spacing w:before="60" w:after="60"/>
              <w:rPr>
                <w:noProof/>
              </w:rPr>
            </w:pPr>
            <w:r w:rsidRPr="002E0F34">
              <w:rPr>
                <w:noProof/>
              </w:rPr>
              <w:t>Moins de 30 ans:</w:t>
            </w:r>
          </w:p>
        </w:tc>
        <w:tc>
          <w:tcPr>
            <w:tcW w:w="1176" w:type="dxa"/>
            <w:tcBorders>
              <w:top w:val="single" w:sz="4" w:space="0" w:color="auto"/>
            </w:tcBorders>
            <w:hideMark/>
          </w:tcPr>
          <w:p w:rsidR="001A62D7" w:rsidRPr="002E0F34" w:rsidRDefault="00F055E2" w:rsidP="001D5990">
            <w:pPr>
              <w:spacing w:before="60" w:after="60"/>
              <w:jc w:val="right"/>
              <w:rPr>
                <w:noProof/>
              </w:rPr>
            </w:pPr>
            <w:r w:rsidRPr="002E0F34">
              <w:rPr>
                <w:noProof/>
              </w:rPr>
              <w:t>323</w:t>
            </w:r>
          </w:p>
        </w:tc>
        <w:tc>
          <w:tcPr>
            <w:tcW w:w="1176" w:type="dxa"/>
            <w:tcBorders>
              <w:top w:val="single" w:sz="4" w:space="0" w:color="auto"/>
            </w:tcBorders>
            <w:hideMark/>
          </w:tcPr>
          <w:p w:rsidR="001A62D7" w:rsidRPr="002E0F34" w:rsidRDefault="001A62D7" w:rsidP="001D5990">
            <w:pPr>
              <w:spacing w:before="60" w:after="60"/>
              <w:jc w:val="right"/>
              <w:rPr>
                <w:noProof/>
              </w:rPr>
            </w:pPr>
            <w:r w:rsidRPr="002E0F34">
              <w:rPr>
                <w:noProof/>
              </w:rPr>
              <w:t>(9,5 %)</w:t>
            </w:r>
          </w:p>
        </w:tc>
      </w:tr>
      <w:tr w:rsidR="001A62D7" w:rsidRPr="002E0F34" w:rsidTr="001D5990">
        <w:trPr>
          <w:jc w:val="center"/>
        </w:trPr>
        <w:tc>
          <w:tcPr>
            <w:tcW w:w="1496" w:type="dxa"/>
          </w:tcPr>
          <w:p w:rsidR="001A62D7" w:rsidRPr="002E0F34" w:rsidRDefault="001A62D7" w:rsidP="001D5990">
            <w:pPr>
              <w:spacing w:before="60" w:after="60"/>
              <w:rPr>
                <w:noProof/>
              </w:rPr>
            </w:pPr>
          </w:p>
        </w:tc>
        <w:tc>
          <w:tcPr>
            <w:tcW w:w="2063" w:type="dxa"/>
            <w:hideMark/>
          </w:tcPr>
          <w:p w:rsidR="001A62D7" w:rsidRPr="002E0F34" w:rsidRDefault="001A62D7" w:rsidP="001D5990">
            <w:pPr>
              <w:spacing w:before="60" w:after="60"/>
              <w:rPr>
                <w:noProof/>
              </w:rPr>
            </w:pPr>
            <w:r w:rsidRPr="002E0F34">
              <w:rPr>
                <w:noProof/>
              </w:rPr>
              <w:t>30-54 ans:</w:t>
            </w:r>
          </w:p>
        </w:tc>
        <w:tc>
          <w:tcPr>
            <w:tcW w:w="1176" w:type="dxa"/>
            <w:hideMark/>
          </w:tcPr>
          <w:p w:rsidR="001A62D7" w:rsidRPr="002E0F34" w:rsidRDefault="00F055E2" w:rsidP="001D5990">
            <w:pPr>
              <w:spacing w:before="60" w:after="60"/>
              <w:jc w:val="right"/>
              <w:rPr>
                <w:noProof/>
              </w:rPr>
            </w:pPr>
            <w:r w:rsidRPr="002E0F34">
              <w:rPr>
                <w:noProof/>
              </w:rPr>
              <w:t>2 263</w:t>
            </w:r>
          </w:p>
        </w:tc>
        <w:tc>
          <w:tcPr>
            <w:tcW w:w="1176" w:type="dxa"/>
            <w:hideMark/>
          </w:tcPr>
          <w:p w:rsidR="001A62D7" w:rsidRPr="002E0F34" w:rsidRDefault="001A62D7" w:rsidP="001D5990">
            <w:pPr>
              <w:spacing w:before="60" w:after="60"/>
              <w:jc w:val="right"/>
              <w:rPr>
                <w:noProof/>
              </w:rPr>
            </w:pPr>
            <w:r w:rsidRPr="002E0F34">
              <w:rPr>
                <w:noProof/>
              </w:rPr>
              <w:t>(66,3 %)</w:t>
            </w:r>
          </w:p>
        </w:tc>
      </w:tr>
      <w:tr w:rsidR="001A62D7" w:rsidRPr="002E0F34" w:rsidTr="001D5990">
        <w:trPr>
          <w:jc w:val="center"/>
        </w:trPr>
        <w:tc>
          <w:tcPr>
            <w:tcW w:w="1496" w:type="dxa"/>
          </w:tcPr>
          <w:p w:rsidR="001A62D7" w:rsidRPr="002E0F34" w:rsidRDefault="001A62D7" w:rsidP="001D5990">
            <w:pPr>
              <w:spacing w:before="60" w:after="60"/>
              <w:rPr>
                <w:noProof/>
              </w:rPr>
            </w:pPr>
          </w:p>
        </w:tc>
        <w:tc>
          <w:tcPr>
            <w:tcW w:w="2063" w:type="dxa"/>
            <w:hideMark/>
          </w:tcPr>
          <w:p w:rsidR="001A62D7" w:rsidRPr="002E0F34" w:rsidRDefault="001A62D7" w:rsidP="001D5990">
            <w:pPr>
              <w:spacing w:before="60" w:after="60"/>
              <w:jc w:val="left"/>
              <w:rPr>
                <w:noProof/>
              </w:rPr>
            </w:pPr>
            <w:r w:rsidRPr="002E0F34">
              <w:rPr>
                <w:noProof/>
              </w:rPr>
              <w:t>Plus de 54 ans:</w:t>
            </w:r>
          </w:p>
        </w:tc>
        <w:tc>
          <w:tcPr>
            <w:tcW w:w="1176" w:type="dxa"/>
            <w:hideMark/>
          </w:tcPr>
          <w:p w:rsidR="001A62D7" w:rsidRPr="002E0F34" w:rsidRDefault="00F055E2" w:rsidP="001D5990">
            <w:pPr>
              <w:spacing w:before="60" w:after="60"/>
              <w:jc w:val="right"/>
              <w:rPr>
                <w:noProof/>
              </w:rPr>
            </w:pPr>
            <w:r w:rsidRPr="002E0F34">
              <w:rPr>
                <w:noProof/>
              </w:rPr>
              <w:t>828</w:t>
            </w:r>
          </w:p>
        </w:tc>
        <w:tc>
          <w:tcPr>
            <w:tcW w:w="1176" w:type="dxa"/>
            <w:hideMark/>
          </w:tcPr>
          <w:p w:rsidR="001A62D7" w:rsidRPr="002E0F34" w:rsidRDefault="001A62D7" w:rsidP="001D5990">
            <w:pPr>
              <w:spacing w:before="60" w:after="60"/>
              <w:jc w:val="right"/>
              <w:rPr>
                <w:noProof/>
              </w:rPr>
            </w:pPr>
            <w:r w:rsidRPr="002E0F34">
              <w:rPr>
                <w:noProof/>
              </w:rPr>
              <w:t>(24,3 %)</w:t>
            </w:r>
          </w:p>
        </w:tc>
      </w:tr>
      <w:tr w:rsidR="001A62D7" w:rsidRPr="002E0F34" w:rsidTr="001D5990">
        <w:trPr>
          <w:jc w:val="center"/>
        </w:trPr>
        <w:tc>
          <w:tcPr>
            <w:tcW w:w="1496" w:type="dxa"/>
            <w:tcBorders>
              <w:top w:val="single" w:sz="4" w:space="0" w:color="auto"/>
              <w:left w:val="nil"/>
              <w:bottom w:val="nil"/>
              <w:right w:val="nil"/>
            </w:tcBorders>
          </w:tcPr>
          <w:p w:rsidR="001A62D7" w:rsidRPr="002E0F34" w:rsidRDefault="001A62D7" w:rsidP="001D5990">
            <w:pPr>
              <w:spacing w:before="60" w:after="60"/>
              <w:rPr>
                <w:noProof/>
              </w:rPr>
            </w:pPr>
            <w:r w:rsidRPr="002E0F34">
              <w:rPr>
                <w:noProof/>
              </w:rPr>
              <w:t>Niveau d’éducation</w:t>
            </w:r>
          </w:p>
        </w:tc>
        <w:tc>
          <w:tcPr>
            <w:tcW w:w="2063" w:type="dxa"/>
            <w:tcBorders>
              <w:top w:val="single" w:sz="4" w:space="0" w:color="auto"/>
              <w:left w:val="nil"/>
              <w:bottom w:val="nil"/>
              <w:right w:val="nil"/>
            </w:tcBorders>
          </w:tcPr>
          <w:p w:rsidR="001A62D7" w:rsidRPr="002E0F34" w:rsidRDefault="001A62D7" w:rsidP="001D5990">
            <w:pPr>
              <w:spacing w:before="60" w:after="60"/>
              <w:rPr>
                <w:noProof/>
              </w:rPr>
            </w:pPr>
            <w:r w:rsidRPr="002E0F34">
              <w:rPr>
                <w:noProof/>
              </w:rPr>
              <w:t>Premier cycle du secondaire ou inférieur</w:t>
            </w:r>
            <w:r w:rsidRPr="002E0F34">
              <w:rPr>
                <w:rStyle w:val="FootnoteReference"/>
                <w:noProof/>
              </w:rPr>
              <w:footnoteReference w:id="31"/>
            </w:r>
          </w:p>
        </w:tc>
        <w:tc>
          <w:tcPr>
            <w:tcW w:w="1176" w:type="dxa"/>
            <w:tcBorders>
              <w:top w:val="single" w:sz="4" w:space="0" w:color="auto"/>
              <w:left w:val="nil"/>
              <w:bottom w:val="nil"/>
              <w:right w:val="nil"/>
            </w:tcBorders>
          </w:tcPr>
          <w:p w:rsidR="001A62D7" w:rsidRPr="002E0F34" w:rsidRDefault="00F055E2" w:rsidP="001D5990">
            <w:pPr>
              <w:spacing w:before="60" w:after="60"/>
              <w:jc w:val="right"/>
              <w:rPr>
                <w:noProof/>
              </w:rPr>
            </w:pPr>
            <w:r w:rsidRPr="002E0F34">
              <w:rPr>
                <w:noProof/>
              </w:rPr>
              <w:t>951</w:t>
            </w:r>
          </w:p>
        </w:tc>
        <w:tc>
          <w:tcPr>
            <w:tcW w:w="1176" w:type="dxa"/>
            <w:tcBorders>
              <w:top w:val="single" w:sz="4" w:space="0" w:color="auto"/>
              <w:left w:val="nil"/>
              <w:bottom w:val="nil"/>
              <w:right w:val="nil"/>
            </w:tcBorders>
          </w:tcPr>
          <w:p w:rsidR="001A62D7" w:rsidRPr="002E0F34" w:rsidRDefault="001A62D7" w:rsidP="001D5990">
            <w:pPr>
              <w:spacing w:before="60" w:after="60"/>
              <w:jc w:val="right"/>
              <w:rPr>
                <w:rFonts w:eastAsia="Calibri"/>
                <w:noProof/>
              </w:rPr>
            </w:pPr>
            <w:r w:rsidRPr="002E0F34">
              <w:rPr>
                <w:noProof/>
              </w:rPr>
              <w:t>(27,9 %)</w:t>
            </w:r>
          </w:p>
        </w:tc>
      </w:tr>
      <w:tr w:rsidR="001A62D7" w:rsidRPr="002E0F34" w:rsidTr="001D5990">
        <w:trPr>
          <w:jc w:val="center"/>
        </w:trPr>
        <w:tc>
          <w:tcPr>
            <w:tcW w:w="1496" w:type="dxa"/>
            <w:tcBorders>
              <w:top w:val="nil"/>
              <w:left w:val="nil"/>
              <w:right w:val="nil"/>
            </w:tcBorders>
          </w:tcPr>
          <w:p w:rsidR="001A62D7" w:rsidRPr="002E0F34" w:rsidRDefault="001A62D7" w:rsidP="001D5990">
            <w:pPr>
              <w:spacing w:before="60" w:after="60"/>
              <w:rPr>
                <w:noProof/>
              </w:rPr>
            </w:pPr>
          </w:p>
        </w:tc>
        <w:tc>
          <w:tcPr>
            <w:tcW w:w="2063" w:type="dxa"/>
            <w:tcBorders>
              <w:top w:val="nil"/>
              <w:left w:val="nil"/>
              <w:right w:val="nil"/>
            </w:tcBorders>
          </w:tcPr>
          <w:p w:rsidR="001A62D7" w:rsidRPr="002E0F34" w:rsidRDefault="001A62D7" w:rsidP="001D5990">
            <w:pPr>
              <w:spacing w:before="60" w:after="60"/>
              <w:rPr>
                <w:noProof/>
              </w:rPr>
            </w:pPr>
            <w:r w:rsidRPr="002E0F34">
              <w:rPr>
                <w:noProof/>
              </w:rPr>
              <w:t>Deuxième cycle du secondaire</w:t>
            </w:r>
            <w:r w:rsidRPr="002E0F34">
              <w:rPr>
                <w:rStyle w:val="FootnoteReference"/>
                <w:noProof/>
              </w:rPr>
              <w:footnoteReference w:id="32"/>
            </w:r>
            <w:r w:rsidRPr="002E0F34">
              <w:rPr>
                <w:noProof/>
              </w:rPr>
              <w:t xml:space="preserve"> ou post-secondaire non supérieur</w:t>
            </w:r>
            <w:r w:rsidRPr="002E0F34">
              <w:rPr>
                <w:rStyle w:val="FootnoteReference"/>
                <w:noProof/>
              </w:rPr>
              <w:footnoteReference w:id="33"/>
            </w:r>
          </w:p>
        </w:tc>
        <w:tc>
          <w:tcPr>
            <w:tcW w:w="1176" w:type="dxa"/>
            <w:tcBorders>
              <w:top w:val="nil"/>
              <w:left w:val="nil"/>
              <w:right w:val="nil"/>
            </w:tcBorders>
          </w:tcPr>
          <w:p w:rsidR="001A62D7" w:rsidRPr="002E0F34" w:rsidRDefault="00F055E2" w:rsidP="001D5990">
            <w:pPr>
              <w:spacing w:before="60" w:after="60"/>
              <w:jc w:val="right"/>
              <w:rPr>
                <w:noProof/>
              </w:rPr>
            </w:pPr>
            <w:r w:rsidRPr="002E0F34">
              <w:rPr>
                <w:noProof/>
              </w:rPr>
              <w:t>1 889</w:t>
            </w:r>
          </w:p>
        </w:tc>
        <w:tc>
          <w:tcPr>
            <w:tcW w:w="1176" w:type="dxa"/>
            <w:tcBorders>
              <w:top w:val="nil"/>
              <w:left w:val="nil"/>
              <w:right w:val="nil"/>
            </w:tcBorders>
          </w:tcPr>
          <w:p w:rsidR="001A62D7" w:rsidRPr="002E0F34" w:rsidRDefault="001A62D7" w:rsidP="001D5990">
            <w:pPr>
              <w:spacing w:before="60" w:after="60"/>
              <w:jc w:val="right"/>
              <w:rPr>
                <w:rFonts w:eastAsia="Calibri"/>
                <w:noProof/>
              </w:rPr>
            </w:pPr>
            <w:r w:rsidRPr="002E0F34">
              <w:rPr>
                <w:noProof/>
              </w:rPr>
              <w:t>(55,3 %)</w:t>
            </w:r>
          </w:p>
        </w:tc>
      </w:tr>
      <w:tr w:rsidR="001A62D7" w:rsidRPr="002E0F34" w:rsidTr="001D5990">
        <w:trPr>
          <w:jc w:val="center"/>
        </w:trPr>
        <w:tc>
          <w:tcPr>
            <w:tcW w:w="1496" w:type="dxa"/>
            <w:tcBorders>
              <w:top w:val="nil"/>
              <w:left w:val="nil"/>
              <w:bottom w:val="single" w:sz="4" w:space="0" w:color="auto"/>
              <w:right w:val="nil"/>
            </w:tcBorders>
          </w:tcPr>
          <w:p w:rsidR="001A62D7" w:rsidRPr="002E0F34" w:rsidRDefault="001A62D7" w:rsidP="001D5990">
            <w:pPr>
              <w:spacing w:before="60" w:after="60"/>
              <w:rPr>
                <w:noProof/>
              </w:rPr>
            </w:pPr>
          </w:p>
        </w:tc>
        <w:tc>
          <w:tcPr>
            <w:tcW w:w="2063" w:type="dxa"/>
            <w:tcBorders>
              <w:top w:val="nil"/>
              <w:left w:val="nil"/>
              <w:bottom w:val="single" w:sz="4" w:space="0" w:color="auto"/>
              <w:right w:val="nil"/>
            </w:tcBorders>
          </w:tcPr>
          <w:p w:rsidR="001A62D7" w:rsidRPr="002E0F34" w:rsidRDefault="001A62D7" w:rsidP="001D5990">
            <w:pPr>
              <w:spacing w:before="60" w:after="60"/>
              <w:rPr>
                <w:noProof/>
              </w:rPr>
            </w:pPr>
            <w:r w:rsidRPr="002E0F34">
              <w:rPr>
                <w:noProof/>
              </w:rPr>
              <w:t>Enseignement supérieur</w:t>
            </w:r>
            <w:r w:rsidRPr="002E0F34">
              <w:rPr>
                <w:rStyle w:val="FootnoteReference"/>
                <w:noProof/>
              </w:rPr>
              <w:footnoteReference w:id="34"/>
            </w:r>
          </w:p>
        </w:tc>
        <w:tc>
          <w:tcPr>
            <w:tcW w:w="1176" w:type="dxa"/>
            <w:tcBorders>
              <w:top w:val="nil"/>
              <w:left w:val="nil"/>
              <w:bottom w:val="single" w:sz="4" w:space="0" w:color="auto"/>
              <w:right w:val="nil"/>
            </w:tcBorders>
          </w:tcPr>
          <w:p w:rsidR="001A62D7" w:rsidRPr="002E0F34" w:rsidRDefault="00F055E2" w:rsidP="001D5990">
            <w:pPr>
              <w:spacing w:before="60" w:after="60"/>
              <w:jc w:val="right"/>
              <w:rPr>
                <w:noProof/>
              </w:rPr>
            </w:pPr>
            <w:r w:rsidRPr="002E0F34">
              <w:rPr>
                <w:noProof/>
              </w:rPr>
              <w:t>574</w:t>
            </w:r>
          </w:p>
        </w:tc>
        <w:tc>
          <w:tcPr>
            <w:tcW w:w="1176" w:type="dxa"/>
            <w:tcBorders>
              <w:top w:val="nil"/>
              <w:left w:val="nil"/>
              <w:bottom w:val="single" w:sz="4" w:space="0" w:color="auto"/>
              <w:right w:val="nil"/>
            </w:tcBorders>
          </w:tcPr>
          <w:p w:rsidR="001A62D7" w:rsidRPr="002E0F34" w:rsidRDefault="001A62D7" w:rsidP="001D5990">
            <w:pPr>
              <w:spacing w:before="60" w:after="60"/>
              <w:jc w:val="right"/>
              <w:rPr>
                <w:rFonts w:eastAsia="Calibri"/>
                <w:noProof/>
              </w:rPr>
            </w:pPr>
            <w:r w:rsidRPr="002E0F34">
              <w:rPr>
                <w:noProof/>
              </w:rPr>
              <w:t>(16,8 %)</w:t>
            </w:r>
          </w:p>
        </w:tc>
      </w:tr>
    </w:tbl>
    <w:p w:rsidR="001A62D7" w:rsidRPr="002E0F34" w:rsidRDefault="001A62D7" w:rsidP="001A62D7">
      <w:pPr>
        <w:pStyle w:val="ManualHeading3"/>
        <w:rPr>
          <w:noProof/>
          <w:u w:val="single"/>
        </w:rPr>
      </w:pPr>
      <w:r w:rsidRPr="002E0F34">
        <w:rPr>
          <w:noProof/>
        </w:rPr>
        <w:t>Mesures proposées</w:t>
      </w:r>
    </w:p>
    <w:p w:rsidR="001A62D7" w:rsidRPr="002E0F34" w:rsidRDefault="00D204AC" w:rsidP="00D204AC">
      <w:pPr>
        <w:pStyle w:val="ManualNumPar1"/>
        <w:rPr>
          <w:noProof/>
        </w:rPr>
      </w:pPr>
      <w:bookmarkStart w:id="11" w:name="_Ref372214239"/>
      <w:r w:rsidRPr="00D204AC">
        <w:rPr>
          <w:noProof/>
        </w:rPr>
        <w:t>30.</w:t>
      </w:r>
      <w:r w:rsidRPr="00D204AC">
        <w:rPr>
          <w:noProof/>
        </w:rPr>
        <w:tab/>
      </w:r>
      <w:r w:rsidR="001A62D7" w:rsidRPr="002E0F34">
        <w:rPr>
          <w:noProof/>
        </w:rPr>
        <w:t>Conformément à l’article 8, paragraphe 7, point h), du règlement (UE) 2021/691, l’ensemble coordonné personnalisé à fournir aux travailleurs licenciés comprend les mesures suivantes:</w:t>
      </w:r>
      <w:bookmarkEnd w:id="11"/>
    </w:p>
    <w:p w:rsidR="001A62D7" w:rsidRPr="002E0F34" w:rsidRDefault="006534C4" w:rsidP="006534C4">
      <w:pPr>
        <w:pStyle w:val="Tiret1"/>
        <w:rPr>
          <w:noProof/>
        </w:rPr>
      </w:pPr>
      <w:r w:rsidRPr="002E0F34">
        <w:rPr>
          <w:noProof/>
        </w:rPr>
        <w:tab/>
      </w:r>
      <w:r w:rsidRPr="002E0F34">
        <w:rPr>
          <w:noProof/>
          <w:u w:val="single"/>
        </w:rPr>
        <w:t>Services d’information, de conseil et d’orientation professionnels et services de placement:</w:t>
      </w:r>
      <w:r w:rsidRPr="002E0F34">
        <w:rPr>
          <w:noProof/>
        </w:rPr>
        <w:t xml:space="preserve"> Cette mesure s’appuie sur les services de reclassement externe visés au paragraphe 24 et comprend des séances d’information, un profilage des travailleurs, un accompagnement individuel et un soutien à la recherche d’emploi (recherche active d’emploi et mise en correspondance des offres et des demandes d’emploi), des ateliers sur la rédaction de candidatures et la recherche d’emploi à l’aide des réseaux sociaux. Des séances d’information sur d’autres sujets pertinents, tels que la fiscalité ou la manière d’éviter le surendettement, seront également organisées. Une attention particulière est accordée aux conséquences psychologiques du licenciement.</w:t>
      </w:r>
    </w:p>
    <w:p w:rsidR="002A2C83" w:rsidRPr="002E0F34" w:rsidRDefault="00843A99" w:rsidP="002A2C83">
      <w:pPr>
        <w:pStyle w:val="Tiret1"/>
        <w:rPr>
          <w:noProof/>
        </w:rPr>
      </w:pPr>
      <w:r w:rsidRPr="002E0F34">
        <w:rPr>
          <w:noProof/>
          <w:u w:val="single"/>
        </w:rPr>
        <w:t>Formation et recyclage</w:t>
      </w:r>
      <w:r w:rsidRPr="002E0F34">
        <w:rPr>
          <w:noProof/>
        </w:rPr>
        <w:t>: Après l’établissement de profils et de projets individuels avec les conseillers professionnels, les travailleurs pourront bénéficier d’une formation spécifique afin d’acquérir les compétences nécessaires.</w:t>
      </w:r>
    </w:p>
    <w:p w:rsidR="002A2C83" w:rsidRPr="002E0F34" w:rsidRDefault="00035265" w:rsidP="002A2C83">
      <w:pPr>
        <w:pStyle w:val="Tiret1"/>
        <w:rPr>
          <w:noProof/>
        </w:rPr>
      </w:pPr>
      <w:r w:rsidRPr="002E0F34">
        <w:rPr>
          <w:noProof/>
          <w:u w:val="single"/>
        </w:rPr>
        <w:t>Journée de l’emploi:</w:t>
      </w:r>
      <w:r w:rsidRPr="002E0F34">
        <w:rPr>
          <w:noProof/>
        </w:rPr>
        <w:t xml:space="preserve"> Cet événement de recherche d’emploi réunit les demandeurs d’emploi et les employeurs qui cherchent à pourvoir des postes vacants. Avant de participer à l’événement, des séances de conseil contribuent à préparer la réunion avec les employeurs potentiels.</w:t>
      </w:r>
    </w:p>
    <w:p w:rsidR="002A2C83" w:rsidRPr="002E0F34" w:rsidRDefault="006534C4" w:rsidP="002A2C83">
      <w:pPr>
        <w:pStyle w:val="Tiret1"/>
        <w:rPr>
          <w:noProof/>
        </w:rPr>
      </w:pPr>
      <w:r w:rsidRPr="002E0F34">
        <w:rPr>
          <w:noProof/>
          <w:u w:val="single"/>
        </w:rPr>
        <w:t>Promotion de l’entrepreneuriat</w:t>
      </w:r>
      <w:r w:rsidRPr="002E0F34">
        <w:rPr>
          <w:noProof/>
        </w:rPr>
        <w:t>: La mesure s’adresse aux travailleurs qui souhaitent créer leur propre entreprise. Elle comprendra une phase de diagnostic et d’orientation, des actions de sensibilisation à l’esprit d’entreprise, des séances d’information sur le potentiel de création d’entreprise grâce à des diagnostics économiques territoriaux et à la mise en réseau avec des entrepreneurs appropriés et des accompagnants certifiés dans le domaine de la création d’entreprise.</w:t>
      </w:r>
    </w:p>
    <w:p w:rsidR="002A2C83" w:rsidRPr="002E0F34" w:rsidRDefault="00261BA9" w:rsidP="002A2C83">
      <w:pPr>
        <w:pStyle w:val="Tiret1"/>
        <w:rPr>
          <w:noProof/>
        </w:rPr>
      </w:pPr>
      <w:r w:rsidRPr="002E0F34">
        <w:rPr>
          <w:noProof/>
          <w:u w:val="single"/>
        </w:rPr>
        <w:t>Contribution à la création d’entreprise:</w:t>
      </w:r>
      <w:r w:rsidRPr="002E0F34">
        <w:rPr>
          <w:noProof/>
        </w:rPr>
        <w:t xml:space="preserve"> Les travailleurs qui créent une entreprise ou démarrent une activité indépendante recevront une contribution allant jusqu’à 15 000 EUR. La contribution sera versée en deux tranches, dès lors que le démarrage et le développement de l’activité commerciale auront été prouvés par des pièces justificatives.</w:t>
      </w:r>
    </w:p>
    <w:p w:rsidR="002A2C83" w:rsidRPr="002E0F34" w:rsidRDefault="004C617C" w:rsidP="001A62D7">
      <w:pPr>
        <w:pStyle w:val="Tiret1"/>
        <w:rPr>
          <w:noProof/>
        </w:rPr>
      </w:pPr>
      <w:r w:rsidRPr="002E0F34">
        <w:rPr>
          <w:noProof/>
          <w:u w:val="single"/>
        </w:rPr>
        <w:t>Mesures d’incitation et allocations</w:t>
      </w:r>
      <w:r w:rsidRPr="002E0F34">
        <w:rPr>
          <w:noProof/>
        </w:rPr>
        <w:t xml:space="preserve">: </w:t>
      </w:r>
      <w:r w:rsidRPr="002E0F34">
        <w:rPr>
          <w:b/>
          <w:noProof/>
        </w:rPr>
        <w:t>1) Allocations de recherche d’emploi</w:t>
      </w:r>
      <w:r w:rsidRPr="002E0F34">
        <w:rPr>
          <w:noProof/>
        </w:rPr>
        <w:t xml:space="preserve"> Les travailleurs recevront 2 EUR pour chaque heure de participation effective à certaines activités de recherche d’emploi pouvant bénéficier de l’allocation. 2) </w:t>
      </w:r>
      <w:r w:rsidRPr="002E0F34">
        <w:rPr>
          <w:b/>
          <w:bCs/>
          <w:noProof/>
        </w:rPr>
        <w:t>Prime pour l’amélioration des compétences informatiques</w:t>
      </w:r>
      <w:r w:rsidRPr="002E0F34">
        <w:rPr>
          <w:noProof/>
        </w:rPr>
        <w:t xml:space="preserve"> Les travailleurs qui suivent à la fois le module d’accès à l’autonomie numérique et le module de renforcement de l’autonomie numérique recevront une somme forfaitaire de 700 EUR, sous réserve de leur participation active et de l’achèvement de la formation. La prime vise à réduire l’analphabétisme numérique en encourageant les travailleurs à améliorer leurs compétences informatiques. </w:t>
      </w:r>
      <w:r w:rsidRPr="002E0F34">
        <w:rPr>
          <w:b/>
          <w:noProof/>
        </w:rPr>
        <w:t>3) Allocation de reprise des études</w:t>
      </w:r>
      <w:r w:rsidRPr="002E0F34">
        <w:rPr>
          <w:noProof/>
        </w:rPr>
        <w:t xml:space="preserve"> Une allocation mensuelle de 350 EUR sera accordée aux travailleurs qui entreprennent des études secondaires ou tertiaires à temps plein, ou une formation qualifiante liée à l’acquisition des compétences nécessaires pour des emplois pour lesquels il existe des besoins et pour lesquels le recrutement est difficile ou lié à des fonctions critiques</w:t>
      </w:r>
      <w:r w:rsidRPr="002E0F34">
        <w:rPr>
          <w:rStyle w:val="FootnoteReference"/>
          <w:noProof/>
        </w:rPr>
        <w:footnoteReference w:id="35"/>
      </w:r>
      <w:r w:rsidRPr="002E0F34">
        <w:rPr>
          <w:noProof/>
        </w:rPr>
        <w:t xml:space="preserve">. </w:t>
      </w:r>
      <w:r w:rsidRPr="002E0F34">
        <w:rPr>
          <w:b/>
          <w:noProof/>
        </w:rPr>
        <w:t>4) Aide à la création d’entreprise</w:t>
      </w:r>
      <w:r w:rsidRPr="002E0F34">
        <w:rPr>
          <w:noProof/>
        </w:rPr>
        <w:t xml:space="preserve"> Afin de soutenir les travailleurs lors de la création d’une entreprise, une allocation mensuelle de 350 EUR sera accordée pour une durée maximale de 12 mois, qui pourra aller jusqu’à 18 mois sous certaines conditions.</w:t>
      </w:r>
    </w:p>
    <w:p w:rsidR="001A62D7" w:rsidRPr="002E0F34" w:rsidRDefault="00D204AC" w:rsidP="00D204AC">
      <w:pPr>
        <w:pStyle w:val="ManualNumPar1"/>
        <w:rPr>
          <w:noProof/>
        </w:rPr>
      </w:pPr>
      <w:r w:rsidRPr="00D204AC">
        <w:rPr>
          <w:noProof/>
        </w:rPr>
        <w:t>31.</w:t>
      </w:r>
      <w:r w:rsidRPr="00D204AC">
        <w:rPr>
          <w:noProof/>
        </w:rPr>
        <w:tab/>
      </w:r>
      <w:r w:rsidR="00362E82" w:rsidRPr="002E0F34">
        <w:rPr>
          <w:noProof/>
        </w:rPr>
        <w:t xml:space="preserve">La formation en TIC et le soutien additionnel prévus dans le cadre des services d’orientation professionnelle et certaines des formations proposées ainsi que les allocations liées </w:t>
      </w:r>
      <w:bookmarkStart w:id="12" w:name="_Hlk211865922"/>
      <w:r w:rsidR="00362E82" w:rsidRPr="002E0F34">
        <w:rPr>
          <w:noProof/>
        </w:rPr>
        <w:t>permettront de diffuser les compétences requises à l’ère numérique et dans une économie efficace dans l’utilisation des ressources, conformément à l’article 7, paragraphe 2, du règlement (UE) 2021/691</w:t>
      </w:r>
      <w:bookmarkEnd w:id="12"/>
      <w:r w:rsidR="00362E82" w:rsidRPr="002E0F34">
        <w:rPr>
          <w:noProof/>
        </w:rPr>
        <w:t>.</w:t>
      </w:r>
    </w:p>
    <w:p w:rsidR="001A62D7" w:rsidRPr="002E0F34" w:rsidRDefault="00D204AC" w:rsidP="00D204AC">
      <w:pPr>
        <w:pStyle w:val="ManualNumPar1"/>
        <w:rPr>
          <w:noProof/>
        </w:rPr>
      </w:pPr>
      <w:bookmarkStart w:id="13" w:name="_Ref372214242"/>
      <w:r w:rsidRPr="00D204AC">
        <w:rPr>
          <w:noProof/>
        </w:rPr>
        <w:t>32.</w:t>
      </w:r>
      <w:r w:rsidRPr="00D204AC">
        <w:rPr>
          <w:noProof/>
        </w:rPr>
        <w:tab/>
      </w:r>
      <w:r w:rsidR="001A62D7" w:rsidRPr="002E0F34">
        <w:rPr>
          <w:noProof/>
        </w:rPr>
        <w:t>Les actions proposées, décrites ici, constituent des mesures actives du marché du travail entrant dans le cadre des mesures éligibles prévues à l’article 7 du règlement (UE) 2021/691. Elles ne se substituent pas à des mesures passives de protection sociale.</w:t>
      </w:r>
    </w:p>
    <w:p w:rsidR="001A62D7" w:rsidRPr="002E0F34" w:rsidRDefault="00D204AC" w:rsidP="00D204AC">
      <w:pPr>
        <w:pStyle w:val="ManualNumPar1"/>
        <w:rPr>
          <w:noProof/>
        </w:rPr>
      </w:pPr>
      <w:r w:rsidRPr="00D204AC">
        <w:rPr>
          <w:noProof/>
        </w:rPr>
        <w:t>33.</w:t>
      </w:r>
      <w:r w:rsidRPr="00D204AC">
        <w:rPr>
          <w:noProof/>
        </w:rPr>
        <w:tab/>
      </w:r>
      <w:r w:rsidR="00A6765B" w:rsidRPr="002E0F34">
        <w:rPr>
          <w:noProof/>
        </w:rPr>
        <w:t>La Belgique a fourni les informations requises sur les mesures revêtant un caractère obligatoire pour l’entreprise concernée en vertu du droit national ou de conventions collectives. Conformément à l’article 9, paragraphe 1, du règlement (UE) 2021/691, la Belgique a confirmé que la contribution financière du FEM ne se substituerait pas à ces mesures.</w:t>
      </w:r>
      <w:bookmarkEnd w:id="13"/>
    </w:p>
    <w:p w:rsidR="001A62D7" w:rsidRPr="002E0F34" w:rsidRDefault="001A62D7" w:rsidP="001A62D7">
      <w:pPr>
        <w:pStyle w:val="ManualHeading3"/>
        <w:rPr>
          <w:noProof/>
        </w:rPr>
      </w:pPr>
      <w:r w:rsidRPr="002E0F34">
        <w:rPr>
          <w:noProof/>
        </w:rPr>
        <w:t>Estimation du budget</w:t>
      </w:r>
    </w:p>
    <w:p w:rsidR="001A62D7" w:rsidRPr="002E0F34" w:rsidRDefault="00D204AC" w:rsidP="00D204AC">
      <w:pPr>
        <w:pStyle w:val="ManualNumPar1"/>
        <w:rPr>
          <w:noProof/>
        </w:rPr>
      </w:pPr>
      <w:r w:rsidRPr="00D204AC">
        <w:rPr>
          <w:noProof/>
        </w:rPr>
        <w:t>34.</w:t>
      </w:r>
      <w:r w:rsidRPr="00D204AC">
        <w:rPr>
          <w:noProof/>
        </w:rPr>
        <w:tab/>
      </w:r>
      <w:r w:rsidR="001A62D7" w:rsidRPr="002E0F34">
        <w:rPr>
          <w:noProof/>
        </w:rPr>
        <w:t>Le coût total estimé s’élève à 8 856 030 EUR; il correspond aux dépenses pour les services personnalisés à hauteur de 8 738 968 EUR et aux dépenses pour financer les activités de préparation, de gestion, d’information et de publicité, ainsi que les activités de contrôle et de rapport, pour un montant de 117 062 EUR.</w:t>
      </w:r>
    </w:p>
    <w:p w:rsidR="001A62D7" w:rsidRPr="002E0F34" w:rsidRDefault="00D204AC" w:rsidP="00D204AC">
      <w:pPr>
        <w:pStyle w:val="ManualNumPar1"/>
        <w:rPr>
          <w:noProof/>
        </w:rPr>
      </w:pPr>
      <w:bookmarkStart w:id="14" w:name="_Ref372550770"/>
      <w:r w:rsidRPr="00D204AC">
        <w:rPr>
          <w:noProof/>
        </w:rPr>
        <w:t>35.</w:t>
      </w:r>
      <w:r w:rsidRPr="00D204AC">
        <w:rPr>
          <w:noProof/>
        </w:rPr>
        <w:tab/>
      </w:r>
      <w:r w:rsidR="001A62D7" w:rsidRPr="002E0F34">
        <w:rPr>
          <w:noProof/>
        </w:rPr>
        <w:t>La contribution financière totale demandée au FEM s’élève à 7 527 625 EUR (85 % du coût total).</w:t>
      </w:r>
      <w:bookmarkEnd w:id="14"/>
    </w:p>
    <w:p w:rsidR="001A62D7" w:rsidRPr="002E0F34" w:rsidRDefault="00D204AC" w:rsidP="00D204AC">
      <w:pPr>
        <w:pStyle w:val="ManualNumPar1"/>
        <w:rPr>
          <w:noProof/>
        </w:rPr>
      </w:pPr>
      <w:r w:rsidRPr="00D204AC">
        <w:rPr>
          <w:noProof/>
        </w:rPr>
        <w:t>36.</w:t>
      </w:r>
      <w:r w:rsidRPr="00D204AC">
        <w:rPr>
          <w:noProof/>
        </w:rPr>
        <w:tab/>
      </w:r>
      <w:r w:rsidR="001A62D7" w:rsidRPr="002E0F34">
        <w:rPr>
          <w:noProof/>
        </w:rPr>
        <w:t>Conformément à l’article 8, paragraphe 7, point m), du règlement (UE) 2021/691, la Belgique a précisé que le préfinancement et le cofinancement nationaux seraient assurés par Actiris, Le Forem, et Vlaamse Dienst voor Arbeidsbemiddeling en Beroepsopleiding.</w:t>
      </w: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4644"/>
        <w:gridCol w:w="1548"/>
        <w:gridCol w:w="1548"/>
        <w:gridCol w:w="1548"/>
      </w:tblGrid>
      <w:tr w:rsidR="001A62D7" w:rsidRPr="002E0F34" w:rsidTr="001D5990">
        <w:tc>
          <w:tcPr>
            <w:tcW w:w="4644" w:type="dxa"/>
            <w:shd w:val="clear" w:color="auto" w:fill="auto"/>
            <w:vAlign w:val="center"/>
          </w:tcPr>
          <w:p w:rsidR="001A62D7" w:rsidRPr="002E0F34" w:rsidRDefault="001A62D7" w:rsidP="001D5990">
            <w:pPr>
              <w:spacing w:before="60" w:after="60"/>
              <w:jc w:val="center"/>
              <w:rPr>
                <w:rFonts w:eastAsia="Times New Roman"/>
                <w:noProof/>
                <w:sz w:val="22"/>
              </w:rPr>
            </w:pPr>
            <w:bookmarkStart w:id="15" w:name="_Hlk213835031"/>
            <w:r w:rsidRPr="002E0F34">
              <w:rPr>
                <w:noProof/>
                <w:sz w:val="22"/>
              </w:rPr>
              <w:t>Mesures</w:t>
            </w:r>
          </w:p>
        </w:tc>
        <w:tc>
          <w:tcPr>
            <w:tcW w:w="1548" w:type="dxa"/>
            <w:shd w:val="clear" w:color="auto" w:fill="auto"/>
            <w:vAlign w:val="center"/>
          </w:tcPr>
          <w:p w:rsidR="001A62D7" w:rsidRPr="002E0F34" w:rsidRDefault="001A62D7" w:rsidP="001D5990">
            <w:pPr>
              <w:spacing w:before="60" w:after="60"/>
              <w:jc w:val="center"/>
              <w:rPr>
                <w:rFonts w:eastAsia="Times New Roman"/>
                <w:noProof/>
                <w:sz w:val="22"/>
              </w:rPr>
            </w:pPr>
            <w:r w:rsidRPr="002E0F34">
              <w:rPr>
                <w:noProof/>
                <w:sz w:val="22"/>
              </w:rPr>
              <w:t>Estimation du nombre de participants</w:t>
            </w:r>
          </w:p>
        </w:tc>
        <w:tc>
          <w:tcPr>
            <w:tcW w:w="1548" w:type="dxa"/>
            <w:shd w:val="clear" w:color="auto" w:fill="auto"/>
            <w:vAlign w:val="center"/>
          </w:tcPr>
          <w:p w:rsidR="001A62D7" w:rsidRPr="002E0F34" w:rsidRDefault="001A62D7" w:rsidP="001D5990">
            <w:pPr>
              <w:spacing w:before="60" w:after="60"/>
              <w:jc w:val="center"/>
              <w:rPr>
                <w:rFonts w:eastAsia="Times New Roman"/>
                <w:noProof/>
                <w:sz w:val="22"/>
              </w:rPr>
            </w:pPr>
            <w:r w:rsidRPr="002E0F34">
              <w:rPr>
                <w:noProof/>
                <w:sz w:val="22"/>
              </w:rPr>
              <w:t>Coût estimé par participant</w:t>
            </w:r>
            <w:r w:rsidRPr="002E0F34">
              <w:rPr>
                <w:noProof/>
              </w:rPr>
              <w:t xml:space="preserve"> </w:t>
            </w:r>
            <w:r w:rsidRPr="002E0F34">
              <w:rPr>
                <w:noProof/>
              </w:rPr>
              <w:br/>
            </w:r>
            <w:r w:rsidRPr="002E0F34">
              <w:rPr>
                <w:i/>
                <w:noProof/>
                <w:sz w:val="22"/>
              </w:rPr>
              <w:t>(en EUR)</w:t>
            </w:r>
            <w:r w:rsidRPr="002E0F34">
              <w:rPr>
                <w:rStyle w:val="FootnoteReference"/>
                <w:rFonts w:eastAsia="Times New Roman"/>
                <w:i/>
                <w:noProof/>
                <w:sz w:val="22"/>
              </w:rPr>
              <w:footnoteReference w:id="36"/>
            </w:r>
          </w:p>
        </w:tc>
        <w:tc>
          <w:tcPr>
            <w:tcW w:w="1548" w:type="dxa"/>
            <w:shd w:val="clear" w:color="auto" w:fill="auto"/>
            <w:vAlign w:val="center"/>
          </w:tcPr>
          <w:p w:rsidR="001A62D7" w:rsidRPr="002E0F34" w:rsidRDefault="001A62D7" w:rsidP="001D5990">
            <w:pPr>
              <w:spacing w:before="60" w:after="60"/>
              <w:jc w:val="center"/>
              <w:rPr>
                <w:rFonts w:eastAsia="Times New Roman"/>
                <w:noProof/>
                <w:sz w:val="22"/>
              </w:rPr>
            </w:pPr>
            <w:r w:rsidRPr="002E0F34">
              <w:rPr>
                <w:noProof/>
                <w:sz w:val="22"/>
              </w:rPr>
              <w:t>Estimation du coût total</w:t>
            </w:r>
          </w:p>
          <w:p w:rsidR="001A62D7" w:rsidRPr="002E0F34" w:rsidRDefault="001A62D7" w:rsidP="001D5990">
            <w:pPr>
              <w:spacing w:before="60" w:after="60"/>
              <w:jc w:val="center"/>
              <w:rPr>
                <w:rFonts w:eastAsia="Times New Roman"/>
                <w:noProof/>
                <w:sz w:val="22"/>
              </w:rPr>
            </w:pPr>
            <w:r w:rsidRPr="002E0F34">
              <w:rPr>
                <w:i/>
                <w:noProof/>
                <w:sz w:val="22"/>
              </w:rPr>
              <w:t>(en EUR)</w:t>
            </w:r>
            <w:r w:rsidRPr="002E0F34">
              <w:rPr>
                <w:rStyle w:val="FootnoteReference"/>
                <w:rFonts w:eastAsia="Times New Roman"/>
                <w:i/>
                <w:noProof/>
                <w:sz w:val="22"/>
              </w:rPr>
              <w:footnoteReference w:id="37"/>
            </w:r>
          </w:p>
        </w:tc>
      </w:tr>
      <w:tr w:rsidR="001A62D7" w:rsidRPr="002E0F34" w:rsidTr="001D5990">
        <w:tc>
          <w:tcPr>
            <w:tcW w:w="9288" w:type="dxa"/>
            <w:gridSpan w:val="4"/>
            <w:shd w:val="clear" w:color="auto" w:fill="auto"/>
          </w:tcPr>
          <w:p w:rsidR="001A62D7" w:rsidRPr="002E0F34" w:rsidRDefault="001A62D7" w:rsidP="001D5990">
            <w:pPr>
              <w:spacing w:before="60" w:after="60"/>
              <w:jc w:val="left"/>
              <w:rPr>
                <w:rFonts w:eastAsia="Times New Roman"/>
                <w:noProof/>
                <w:sz w:val="22"/>
              </w:rPr>
            </w:pPr>
            <w:r w:rsidRPr="002E0F34">
              <w:rPr>
                <w:noProof/>
              </w:rPr>
              <w:t>Services personnalisés [mesures au titre de l’article 7, paragraphe 2, deuxième alinéa, point a), du règlement (UE) 2021/691]</w:t>
            </w:r>
          </w:p>
        </w:tc>
      </w:tr>
      <w:tr w:rsidR="001A62D7" w:rsidRPr="002E0F34"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2E0F34" w:rsidRDefault="00A6765B" w:rsidP="006534C4">
            <w:pPr>
              <w:spacing w:before="60" w:after="60"/>
              <w:jc w:val="left"/>
              <w:rPr>
                <w:noProof/>
              </w:rPr>
            </w:pPr>
            <w:r w:rsidRPr="002E0F34">
              <w:rPr>
                <w:noProof/>
              </w:rPr>
              <w:t xml:space="preserve">Services d’information, de conseil et d’orientation professionnels et services de placement: </w:t>
            </w:r>
            <w:r w:rsidRPr="002E0F34">
              <w:rPr>
                <w:noProof/>
              </w:rPr>
              <w:br/>
              <w:t>(</w:t>
            </w:r>
            <w:r w:rsidRPr="002E0F34">
              <w:rPr>
                <w:i/>
                <w:noProof/>
              </w:rPr>
              <w:t>assistance, orientation et mobilisation/lien/task-force, coaching et placement professionnel</w:t>
            </w:r>
            <w:r w:rsidRPr="002E0F34">
              <w:rPr>
                <w:noProof/>
              </w:rPr>
              <w:t>)</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2E0F34" w:rsidRDefault="00857E8C" w:rsidP="001D5990">
            <w:pPr>
              <w:spacing w:before="60" w:after="60"/>
              <w:jc w:val="center"/>
              <w:rPr>
                <w:noProof/>
              </w:rPr>
            </w:pPr>
            <w:r w:rsidRPr="002E0F34">
              <w:rPr>
                <w:noProof/>
              </w:rPr>
              <w:t>2 851</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2E0F34" w:rsidRDefault="00857E8C" w:rsidP="001D5990">
            <w:pPr>
              <w:spacing w:before="60" w:after="60"/>
              <w:jc w:val="center"/>
              <w:rPr>
                <w:noProof/>
              </w:rPr>
            </w:pPr>
            <w:r w:rsidRPr="002E0F34">
              <w:rPr>
                <w:noProof/>
              </w:rPr>
              <w:t>1 789</w:t>
            </w:r>
          </w:p>
        </w:tc>
        <w:tc>
          <w:tcPr>
            <w:tcW w:w="1548" w:type="dxa"/>
            <w:tcBorders>
              <w:top w:val="single" w:sz="4" w:space="0" w:color="auto"/>
              <w:left w:val="single" w:sz="4" w:space="0" w:color="auto"/>
              <w:bottom w:val="single" w:sz="4" w:space="0" w:color="auto"/>
              <w:right w:val="nil"/>
            </w:tcBorders>
            <w:vAlign w:val="center"/>
            <w:hideMark/>
          </w:tcPr>
          <w:p w:rsidR="001A62D7" w:rsidRPr="002E0F34" w:rsidRDefault="00857E8C" w:rsidP="001D5990">
            <w:pPr>
              <w:spacing w:before="60" w:after="60"/>
              <w:jc w:val="center"/>
              <w:rPr>
                <w:noProof/>
              </w:rPr>
            </w:pPr>
            <w:r w:rsidRPr="002E0F34">
              <w:rPr>
                <w:noProof/>
              </w:rPr>
              <w:t>5 099 122</w:t>
            </w:r>
          </w:p>
        </w:tc>
      </w:tr>
      <w:tr w:rsidR="001A62D7" w:rsidRPr="002E0F34"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2E0F34" w:rsidRDefault="00684CAB" w:rsidP="001D5990">
            <w:pPr>
              <w:spacing w:before="60" w:after="60"/>
              <w:jc w:val="left"/>
              <w:rPr>
                <w:noProof/>
              </w:rPr>
            </w:pPr>
            <w:r w:rsidRPr="002E0F34">
              <w:rPr>
                <w:noProof/>
              </w:rPr>
              <w:t>Formation et reconversion</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2E0F34" w:rsidRDefault="00857E8C" w:rsidP="001D5990">
            <w:pPr>
              <w:spacing w:before="60" w:after="60"/>
              <w:jc w:val="center"/>
              <w:rPr>
                <w:noProof/>
              </w:rPr>
            </w:pPr>
            <w:r w:rsidRPr="002E0F34">
              <w:rPr>
                <w:noProof/>
              </w:rPr>
              <w:t>900</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2E0F34" w:rsidRDefault="00857E8C" w:rsidP="001D5990">
            <w:pPr>
              <w:spacing w:before="60" w:after="60"/>
              <w:jc w:val="center"/>
              <w:rPr>
                <w:noProof/>
              </w:rPr>
            </w:pPr>
            <w:r w:rsidRPr="002E0F34">
              <w:rPr>
                <w:noProof/>
              </w:rPr>
              <w:t>2 417</w:t>
            </w:r>
          </w:p>
        </w:tc>
        <w:tc>
          <w:tcPr>
            <w:tcW w:w="1548" w:type="dxa"/>
            <w:tcBorders>
              <w:top w:val="single" w:sz="4" w:space="0" w:color="auto"/>
              <w:left w:val="single" w:sz="4" w:space="0" w:color="auto"/>
              <w:bottom w:val="single" w:sz="4" w:space="0" w:color="auto"/>
              <w:right w:val="nil"/>
            </w:tcBorders>
            <w:vAlign w:val="center"/>
            <w:hideMark/>
          </w:tcPr>
          <w:p w:rsidR="001A62D7" w:rsidRPr="002E0F34" w:rsidRDefault="00857E8C" w:rsidP="001D5990">
            <w:pPr>
              <w:spacing w:before="60" w:after="60"/>
              <w:jc w:val="center"/>
              <w:rPr>
                <w:noProof/>
              </w:rPr>
            </w:pPr>
            <w:r w:rsidRPr="002E0F34">
              <w:rPr>
                <w:noProof/>
              </w:rPr>
              <w:t>2 175 495</w:t>
            </w:r>
          </w:p>
        </w:tc>
      </w:tr>
      <w:tr w:rsidR="001A62D7" w:rsidRPr="002E0F34"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2E0F34" w:rsidRDefault="00857E8C" w:rsidP="001D5990">
            <w:pPr>
              <w:spacing w:before="60" w:after="60"/>
              <w:jc w:val="left"/>
              <w:rPr>
                <w:noProof/>
              </w:rPr>
            </w:pPr>
            <w:r w:rsidRPr="002E0F34">
              <w:rPr>
                <w:noProof/>
              </w:rPr>
              <w:t>Journée de l’emploi</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2E0F34" w:rsidRDefault="00857E8C" w:rsidP="001D5990">
            <w:pPr>
              <w:spacing w:before="60" w:after="60"/>
              <w:jc w:val="center"/>
              <w:rPr>
                <w:noProof/>
              </w:rPr>
            </w:pPr>
            <w:r w:rsidRPr="002E0F34">
              <w:rPr>
                <w:noProof/>
              </w:rPr>
              <w:t>1 181</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2E0F34" w:rsidRDefault="00857E8C" w:rsidP="001D5990">
            <w:pPr>
              <w:spacing w:before="60" w:after="60"/>
              <w:jc w:val="center"/>
              <w:rPr>
                <w:noProof/>
              </w:rPr>
            </w:pPr>
            <w:r w:rsidRPr="002E0F34">
              <w:rPr>
                <w:noProof/>
              </w:rPr>
              <w:t>83</w:t>
            </w:r>
          </w:p>
        </w:tc>
        <w:tc>
          <w:tcPr>
            <w:tcW w:w="1548" w:type="dxa"/>
            <w:tcBorders>
              <w:top w:val="single" w:sz="4" w:space="0" w:color="auto"/>
              <w:left w:val="single" w:sz="4" w:space="0" w:color="auto"/>
              <w:bottom w:val="single" w:sz="4" w:space="0" w:color="auto"/>
              <w:right w:val="nil"/>
            </w:tcBorders>
            <w:vAlign w:val="center"/>
            <w:hideMark/>
          </w:tcPr>
          <w:p w:rsidR="001A62D7" w:rsidRPr="002E0F34" w:rsidRDefault="00857E8C" w:rsidP="001D5990">
            <w:pPr>
              <w:spacing w:before="60" w:after="60"/>
              <w:jc w:val="center"/>
              <w:rPr>
                <w:noProof/>
              </w:rPr>
            </w:pPr>
            <w:r w:rsidRPr="002E0F34">
              <w:rPr>
                <w:noProof/>
              </w:rPr>
              <w:t>97 881</w:t>
            </w:r>
          </w:p>
        </w:tc>
      </w:tr>
      <w:tr w:rsidR="001A62D7" w:rsidRPr="002E0F34"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2E0F34" w:rsidRDefault="00857E8C" w:rsidP="001D5990">
            <w:pPr>
              <w:spacing w:before="60" w:after="60"/>
              <w:jc w:val="left"/>
              <w:rPr>
                <w:noProof/>
              </w:rPr>
            </w:pPr>
            <w:r w:rsidRPr="002E0F34">
              <w:rPr>
                <w:noProof/>
              </w:rPr>
              <w:t>Promotion de l’entrepreneuriat</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2E0F34" w:rsidRDefault="00EF7B8C" w:rsidP="001D5990">
            <w:pPr>
              <w:spacing w:before="60" w:after="60"/>
              <w:jc w:val="center"/>
              <w:rPr>
                <w:noProof/>
              </w:rPr>
            </w:pPr>
            <w:r w:rsidRPr="002E0F34">
              <w:rPr>
                <w:noProof/>
              </w:rPr>
              <w:t>50</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2E0F34" w:rsidRDefault="00EF7B8C" w:rsidP="001D5990">
            <w:pPr>
              <w:spacing w:before="60" w:after="60"/>
              <w:jc w:val="center"/>
              <w:rPr>
                <w:noProof/>
              </w:rPr>
            </w:pPr>
            <w:r w:rsidRPr="002E0F34">
              <w:rPr>
                <w:noProof/>
              </w:rPr>
              <w:t>2 557</w:t>
            </w:r>
          </w:p>
        </w:tc>
        <w:tc>
          <w:tcPr>
            <w:tcW w:w="1548" w:type="dxa"/>
            <w:tcBorders>
              <w:top w:val="single" w:sz="4" w:space="0" w:color="auto"/>
              <w:left w:val="single" w:sz="4" w:space="0" w:color="auto"/>
              <w:bottom w:val="single" w:sz="4" w:space="0" w:color="auto"/>
              <w:right w:val="nil"/>
            </w:tcBorders>
            <w:vAlign w:val="center"/>
            <w:hideMark/>
          </w:tcPr>
          <w:p w:rsidR="001A62D7" w:rsidRPr="002E0F34" w:rsidRDefault="00EF7B8C" w:rsidP="001D5990">
            <w:pPr>
              <w:spacing w:before="60" w:after="60"/>
              <w:jc w:val="center"/>
              <w:rPr>
                <w:noProof/>
              </w:rPr>
            </w:pPr>
            <w:r w:rsidRPr="002E0F34">
              <w:rPr>
                <w:noProof/>
              </w:rPr>
              <w:t>127 840</w:t>
            </w:r>
          </w:p>
        </w:tc>
      </w:tr>
      <w:tr w:rsidR="001A62D7" w:rsidRPr="002E0F34"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2E0F34" w:rsidRDefault="00857E8C" w:rsidP="001D5990">
            <w:pPr>
              <w:spacing w:before="60" w:after="60"/>
              <w:jc w:val="left"/>
              <w:rPr>
                <w:noProof/>
              </w:rPr>
            </w:pPr>
            <w:r w:rsidRPr="002E0F34">
              <w:rPr>
                <w:noProof/>
              </w:rPr>
              <w:t>Contribution à la création d’entreprise</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2E0F34" w:rsidRDefault="00857E8C" w:rsidP="001D5990">
            <w:pPr>
              <w:spacing w:before="60" w:after="60"/>
              <w:jc w:val="center"/>
              <w:rPr>
                <w:noProof/>
              </w:rPr>
            </w:pPr>
            <w:r w:rsidRPr="002E0F34">
              <w:rPr>
                <w:noProof/>
              </w:rPr>
              <w:t>50</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2E0F34" w:rsidRDefault="00857E8C" w:rsidP="001D5990">
            <w:pPr>
              <w:spacing w:before="60" w:after="60"/>
              <w:jc w:val="center"/>
              <w:rPr>
                <w:noProof/>
              </w:rPr>
            </w:pPr>
            <w:r w:rsidRPr="002E0F34">
              <w:rPr>
                <w:noProof/>
              </w:rPr>
              <w:t>10 000</w:t>
            </w:r>
          </w:p>
        </w:tc>
        <w:tc>
          <w:tcPr>
            <w:tcW w:w="1548" w:type="dxa"/>
            <w:tcBorders>
              <w:top w:val="single" w:sz="4" w:space="0" w:color="auto"/>
              <w:left w:val="single" w:sz="4" w:space="0" w:color="auto"/>
              <w:bottom w:val="single" w:sz="4" w:space="0" w:color="auto"/>
              <w:right w:val="nil"/>
            </w:tcBorders>
            <w:vAlign w:val="center"/>
            <w:hideMark/>
          </w:tcPr>
          <w:p w:rsidR="001A62D7" w:rsidRPr="002E0F34" w:rsidRDefault="00857E8C" w:rsidP="001D5990">
            <w:pPr>
              <w:spacing w:before="60" w:after="60"/>
              <w:jc w:val="center"/>
              <w:rPr>
                <w:noProof/>
              </w:rPr>
            </w:pPr>
            <w:r w:rsidRPr="002E0F34">
              <w:rPr>
                <w:noProof/>
              </w:rPr>
              <w:t>500 000</w:t>
            </w:r>
          </w:p>
        </w:tc>
      </w:tr>
      <w:tr w:rsidR="001A62D7" w:rsidRPr="002E0F34" w:rsidTr="001D5990">
        <w:trPr>
          <w:trHeight w:val="398"/>
        </w:trPr>
        <w:tc>
          <w:tcPr>
            <w:tcW w:w="4644" w:type="dxa"/>
            <w:vMerge w:val="restart"/>
            <w:shd w:val="clear" w:color="auto" w:fill="auto"/>
            <w:vAlign w:val="center"/>
          </w:tcPr>
          <w:p w:rsidR="001A62D7" w:rsidRPr="002E0F34" w:rsidRDefault="001A62D7" w:rsidP="001D5990">
            <w:pPr>
              <w:spacing w:before="60" w:after="60"/>
              <w:jc w:val="right"/>
              <w:rPr>
                <w:rFonts w:eastAsia="Times New Roman"/>
                <w:noProof/>
                <w:sz w:val="22"/>
              </w:rPr>
            </w:pPr>
            <w:r w:rsidRPr="002E0F34">
              <w:rPr>
                <w:noProof/>
                <w:sz w:val="22"/>
              </w:rPr>
              <w:t>Sous-total a):</w:t>
            </w:r>
          </w:p>
          <w:p w:rsidR="001A62D7" w:rsidRPr="002E0F34" w:rsidRDefault="001A62D7" w:rsidP="001D5990">
            <w:pPr>
              <w:spacing w:before="60" w:after="60"/>
              <w:jc w:val="right"/>
              <w:rPr>
                <w:rFonts w:eastAsia="Times New Roman"/>
                <w:noProof/>
                <w:sz w:val="22"/>
              </w:rPr>
            </w:pPr>
            <w:r w:rsidRPr="002E0F34">
              <w:rPr>
                <w:noProof/>
                <w:sz w:val="22"/>
              </w:rPr>
              <w:t>Pourcentage de l’ensemble coordonné de services personnalisés:</w:t>
            </w:r>
          </w:p>
        </w:tc>
        <w:tc>
          <w:tcPr>
            <w:tcW w:w="3096" w:type="dxa"/>
            <w:gridSpan w:val="2"/>
            <w:vMerge w:val="restart"/>
            <w:shd w:val="clear" w:color="auto" w:fill="D9D9D9"/>
            <w:vAlign w:val="center"/>
          </w:tcPr>
          <w:p w:rsidR="001A62D7" w:rsidRPr="002E0F34" w:rsidRDefault="001A62D7" w:rsidP="001D5990">
            <w:pPr>
              <w:spacing w:before="60" w:after="60"/>
              <w:jc w:val="center"/>
              <w:rPr>
                <w:rFonts w:eastAsia="Times New Roman"/>
                <w:noProof/>
                <w:sz w:val="22"/>
              </w:rPr>
            </w:pPr>
            <w:r w:rsidRPr="002E0F34">
              <w:rPr>
                <w:noProof/>
                <w:sz w:val="22"/>
              </w:rPr>
              <w:t>–</w:t>
            </w:r>
          </w:p>
        </w:tc>
        <w:tc>
          <w:tcPr>
            <w:tcW w:w="1548" w:type="dxa"/>
            <w:tcBorders>
              <w:bottom w:val="nil"/>
            </w:tcBorders>
            <w:shd w:val="clear" w:color="auto" w:fill="auto"/>
            <w:vAlign w:val="center"/>
          </w:tcPr>
          <w:p w:rsidR="001A62D7" w:rsidRPr="002E0F34" w:rsidRDefault="00754A08" w:rsidP="001D5990">
            <w:pPr>
              <w:spacing w:before="60" w:after="60"/>
              <w:jc w:val="center"/>
              <w:rPr>
                <w:rFonts w:eastAsia="Times New Roman"/>
                <w:noProof/>
                <w:sz w:val="22"/>
              </w:rPr>
            </w:pPr>
            <w:r w:rsidRPr="002E0F34">
              <w:rPr>
                <w:noProof/>
              </w:rPr>
              <w:t>8 000 338</w:t>
            </w:r>
          </w:p>
        </w:tc>
      </w:tr>
      <w:tr w:rsidR="001A62D7" w:rsidRPr="002E0F34" w:rsidTr="001D5990">
        <w:trPr>
          <w:trHeight w:val="397"/>
        </w:trPr>
        <w:tc>
          <w:tcPr>
            <w:tcW w:w="4644" w:type="dxa"/>
            <w:vMerge/>
            <w:shd w:val="clear" w:color="auto" w:fill="auto"/>
            <w:vAlign w:val="center"/>
          </w:tcPr>
          <w:p w:rsidR="001A62D7" w:rsidRPr="002E0F34" w:rsidRDefault="001A62D7" w:rsidP="001D5990">
            <w:pPr>
              <w:spacing w:before="60" w:after="60"/>
              <w:jc w:val="right"/>
              <w:rPr>
                <w:rFonts w:eastAsia="Times New Roman"/>
                <w:noProof/>
                <w:sz w:val="22"/>
              </w:rPr>
            </w:pPr>
          </w:p>
        </w:tc>
        <w:tc>
          <w:tcPr>
            <w:tcW w:w="3096" w:type="dxa"/>
            <w:gridSpan w:val="2"/>
            <w:vMerge/>
            <w:shd w:val="clear" w:color="auto" w:fill="D9D9D9"/>
            <w:vAlign w:val="center"/>
          </w:tcPr>
          <w:p w:rsidR="001A62D7" w:rsidRPr="002E0F34" w:rsidRDefault="001A62D7" w:rsidP="001D5990">
            <w:pPr>
              <w:spacing w:before="60" w:after="60"/>
              <w:jc w:val="center"/>
              <w:rPr>
                <w:rFonts w:eastAsia="Times New Roman"/>
                <w:noProof/>
                <w:sz w:val="22"/>
              </w:rPr>
            </w:pPr>
          </w:p>
        </w:tc>
        <w:tc>
          <w:tcPr>
            <w:tcW w:w="1548" w:type="dxa"/>
            <w:tcBorders>
              <w:top w:val="nil"/>
            </w:tcBorders>
            <w:shd w:val="clear" w:color="auto" w:fill="auto"/>
            <w:vAlign w:val="center"/>
          </w:tcPr>
          <w:p w:rsidR="001A62D7" w:rsidRPr="002E0F34" w:rsidRDefault="001A62D7" w:rsidP="001D5990">
            <w:pPr>
              <w:spacing w:before="60" w:after="60"/>
              <w:jc w:val="center"/>
              <w:rPr>
                <w:rFonts w:eastAsia="Times New Roman"/>
                <w:noProof/>
                <w:sz w:val="22"/>
              </w:rPr>
            </w:pPr>
            <w:r w:rsidRPr="002E0F34">
              <w:rPr>
                <w:noProof/>
                <w:sz w:val="22"/>
              </w:rPr>
              <w:t>(</w:t>
            </w:r>
            <w:r w:rsidRPr="002E0F34">
              <w:rPr>
                <w:noProof/>
              </w:rPr>
              <w:t xml:space="preserve">91,55 </w:t>
            </w:r>
            <w:r w:rsidRPr="002E0F34">
              <w:rPr>
                <w:noProof/>
                <w:sz w:val="22"/>
              </w:rPr>
              <w:t>%)</w:t>
            </w:r>
          </w:p>
        </w:tc>
      </w:tr>
      <w:tr w:rsidR="001A62D7" w:rsidRPr="002E0F34" w:rsidTr="001D5990">
        <w:tc>
          <w:tcPr>
            <w:tcW w:w="9288" w:type="dxa"/>
            <w:gridSpan w:val="4"/>
            <w:shd w:val="clear" w:color="auto" w:fill="auto"/>
            <w:vAlign w:val="center"/>
          </w:tcPr>
          <w:p w:rsidR="001A62D7" w:rsidRPr="002E0F34" w:rsidRDefault="001A62D7" w:rsidP="001D5990">
            <w:pPr>
              <w:spacing w:before="60" w:after="60"/>
              <w:jc w:val="left"/>
              <w:rPr>
                <w:noProof/>
                <w:sz w:val="22"/>
              </w:rPr>
            </w:pPr>
            <w:r w:rsidRPr="002E0F34">
              <w:rPr>
                <w:noProof/>
              </w:rPr>
              <w:t>Allocations et mesures d’incitation [mesures au titre de l’article 7, paragraphe 2, deuxième alinéa, point b), du règlement (UE) 2021/691]</w:t>
            </w:r>
          </w:p>
        </w:tc>
      </w:tr>
      <w:tr w:rsidR="001A62D7" w:rsidRPr="002E0F34"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2E0F34" w:rsidRDefault="0063350A" w:rsidP="001D5990">
            <w:pPr>
              <w:spacing w:before="60" w:after="60"/>
              <w:jc w:val="left"/>
              <w:rPr>
                <w:noProof/>
              </w:rPr>
            </w:pPr>
            <w:r w:rsidRPr="002E0F34">
              <w:rPr>
                <w:noProof/>
              </w:rPr>
              <w:t xml:space="preserve">Mesures d’incitation et allocations </w:t>
            </w:r>
            <w:r w:rsidRPr="002E0F34">
              <w:rPr>
                <w:noProof/>
              </w:rPr>
              <w:br/>
              <w:t>(</w:t>
            </w:r>
            <w:r w:rsidRPr="002E0F34">
              <w:rPr>
                <w:i/>
                <w:noProof/>
              </w:rPr>
              <w:t>allocation de recherche d’emploi, prime pour l’amélioration des compétences informatiques, allocation à la création d’entreprise et allocation de reprise des études</w:t>
            </w:r>
            <w:r w:rsidRPr="002E0F34">
              <w:rPr>
                <w:noProof/>
              </w:rPr>
              <w:t>)</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2E0F34" w:rsidRDefault="00857E8C" w:rsidP="001D5990">
            <w:pPr>
              <w:spacing w:before="60" w:after="60"/>
              <w:jc w:val="center"/>
              <w:rPr>
                <w:noProof/>
              </w:rPr>
            </w:pPr>
            <w:r w:rsidRPr="002E0F34">
              <w:rPr>
                <w:noProof/>
              </w:rPr>
              <w:t>1 367</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2E0F34" w:rsidRDefault="00B72603" w:rsidP="001D5990">
            <w:pPr>
              <w:spacing w:before="60" w:after="60"/>
              <w:jc w:val="center"/>
              <w:rPr>
                <w:noProof/>
              </w:rPr>
            </w:pPr>
            <w:r w:rsidRPr="002E0F34">
              <w:rPr>
                <w:noProof/>
              </w:rPr>
              <w:t>540</w:t>
            </w:r>
          </w:p>
        </w:tc>
        <w:tc>
          <w:tcPr>
            <w:tcW w:w="1548" w:type="dxa"/>
            <w:tcBorders>
              <w:top w:val="single" w:sz="4" w:space="0" w:color="auto"/>
              <w:left w:val="single" w:sz="4" w:space="0" w:color="auto"/>
              <w:bottom w:val="single" w:sz="4" w:space="0" w:color="auto"/>
              <w:right w:val="nil"/>
            </w:tcBorders>
            <w:vAlign w:val="center"/>
            <w:hideMark/>
          </w:tcPr>
          <w:p w:rsidR="001A62D7" w:rsidRPr="002E0F34" w:rsidRDefault="00B72603" w:rsidP="001D5990">
            <w:pPr>
              <w:spacing w:before="60" w:after="60"/>
              <w:jc w:val="center"/>
              <w:rPr>
                <w:noProof/>
              </w:rPr>
            </w:pPr>
            <w:r w:rsidRPr="002E0F34">
              <w:rPr>
                <w:noProof/>
              </w:rPr>
              <w:t>738 630</w:t>
            </w:r>
          </w:p>
        </w:tc>
      </w:tr>
      <w:tr w:rsidR="001A62D7" w:rsidRPr="002E0F34" w:rsidTr="001D5990">
        <w:trPr>
          <w:trHeight w:val="203"/>
        </w:trPr>
        <w:tc>
          <w:tcPr>
            <w:tcW w:w="4644" w:type="dxa"/>
            <w:vMerge w:val="restart"/>
            <w:shd w:val="clear" w:color="auto" w:fill="auto"/>
            <w:vAlign w:val="center"/>
          </w:tcPr>
          <w:p w:rsidR="001A62D7" w:rsidRPr="002E0F34" w:rsidRDefault="001A62D7" w:rsidP="001D5990">
            <w:pPr>
              <w:spacing w:before="60" w:after="60"/>
              <w:jc w:val="right"/>
              <w:rPr>
                <w:rFonts w:eastAsia="Times New Roman"/>
                <w:noProof/>
                <w:sz w:val="22"/>
              </w:rPr>
            </w:pPr>
            <w:r w:rsidRPr="002E0F34">
              <w:rPr>
                <w:noProof/>
                <w:sz w:val="22"/>
              </w:rPr>
              <w:t>Sous-total b):</w:t>
            </w:r>
          </w:p>
          <w:p w:rsidR="001A62D7" w:rsidRPr="002E0F34" w:rsidRDefault="001A62D7" w:rsidP="001D5990">
            <w:pPr>
              <w:spacing w:before="60" w:after="60"/>
              <w:jc w:val="right"/>
              <w:rPr>
                <w:rFonts w:eastAsia="Times New Roman"/>
                <w:noProof/>
                <w:sz w:val="22"/>
              </w:rPr>
            </w:pPr>
            <w:r w:rsidRPr="002E0F34">
              <w:rPr>
                <w:noProof/>
                <w:sz w:val="22"/>
              </w:rPr>
              <w:t>Pourcentage de l’ensemble coordonné de services personnalisés:</w:t>
            </w:r>
          </w:p>
        </w:tc>
        <w:tc>
          <w:tcPr>
            <w:tcW w:w="3096" w:type="dxa"/>
            <w:gridSpan w:val="2"/>
            <w:vMerge w:val="restart"/>
            <w:shd w:val="clear" w:color="auto" w:fill="D9D9D9"/>
            <w:vAlign w:val="center"/>
          </w:tcPr>
          <w:p w:rsidR="001A62D7" w:rsidRPr="002E0F34" w:rsidRDefault="001A62D7" w:rsidP="001D5990">
            <w:pPr>
              <w:spacing w:before="60" w:after="60"/>
              <w:jc w:val="center"/>
              <w:rPr>
                <w:rFonts w:eastAsia="Times New Roman"/>
                <w:noProof/>
                <w:sz w:val="22"/>
              </w:rPr>
            </w:pPr>
            <w:r w:rsidRPr="002E0F34">
              <w:rPr>
                <w:noProof/>
                <w:sz w:val="22"/>
              </w:rPr>
              <w:t>–</w:t>
            </w:r>
          </w:p>
        </w:tc>
        <w:tc>
          <w:tcPr>
            <w:tcW w:w="1548" w:type="dxa"/>
            <w:tcBorders>
              <w:bottom w:val="nil"/>
            </w:tcBorders>
            <w:shd w:val="clear" w:color="auto" w:fill="auto"/>
            <w:vAlign w:val="center"/>
          </w:tcPr>
          <w:p w:rsidR="001A62D7" w:rsidRPr="002E0F34" w:rsidRDefault="00B72603" w:rsidP="001D5990">
            <w:pPr>
              <w:spacing w:before="60" w:after="60"/>
              <w:jc w:val="center"/>
              <w:rPr>
                <w:rFonts w:eastAsia="Times New Roman"/>
                <w:noProof/>
                <w:sz w:val="22"/>
              </w:rPr>
            </w:pPr>
            <w:r w:rsidRPr="002E0F34">
              <w:rPr>
                <w:noProof/>
              </w:rPr>
              <w:t>738 630</w:t>
            </w:r>
          </w:p>
        </w:tc>
      </w:tr>
      <w:tr w:rsidR="001A62D7" w:rsidRPr="002E0F34" w:rsidTr="001D5990">
        <w:trPr>
          <w:trHeight w:val="202"/>
        </w:trPr>
        <w:tc>
          <w:tcPr>
            <w:tcW w:w="4644" w:type="dxa"/>
            <w:vMerge/>
            <w:shd w:val="clear" w:color="auto" w:fill="auto"/>
            <w:vAlign w:val="center"/>
          </w:tcPr>
          <w:p w:rsidR="001A62D7" w:rsidRPr="002E0F34" w:rsidRDefault="001A62D7" w:rsidP="001D5990">
            <w:pPr>
              <w:spacing w:before="60" w:after="60"/>
              <w:jc w:val="right"/>
              <w:rPr>
                <w:rFonts w:eastAsia="Times New Roman"/>
                <w:noProof/>
                <w:sz w:val="22"/>
              </w:rPr>
            </w:pPr>
          </w:p>
        </w:tc>
        <w:tc>
          <w:tcPr>
            <w:tcW w:w="3096" w:type="dxa"/>
            <w:gridSpan w:val="2"/>
            <w:vMerge/>
            <w:shd w:val="clear" w:color="auto" w:fill="D9D9D9"/>
            <w:vAlign w:val="center"/>
          </w:tcPr>
          <w:p w:rsidR="001A62D7" w:rsidRPr="002E0F34" w:rsidRDefault="001A62D7" w:rsidP="001D5990">
            <w:pPr>
              <w:spacing w:before="60" w:after="60"/>
              <w:jc w:val="center"/>
              <w:rPr>
                <w:rFonts w:eastAsia="Times New Roman"/>
                <w:noProof/>
                <w:sz w:val="22"/>
              </w:rPr>
            </w:pPr>
          </w:p>
        </w:tc>
        <w:tc>
          <w:tcPr>
            <w:tcW w:w="1548" w:type="dxa"/>
            <w:tcBorders>
              <w:top w:val="nil"/>
            </w:tcBorders>
            <w:shd w:val="clear" w:color="auto" w:fill="auto"/>
            <w:vAlign w:val="center"/>
          </w:tcPr>
          <w:p w:rsidR="001A62D7" w:rsidRPr="002E0F34" w:rsidRDefault="001A62D7" w:rsidP="001D5990">
            <w:pPr>
              <w:spacing w:before="60" w:after="60"/>
              <w:jc w:val="center"/>
              <w:rPr>
                <w:rFonts w:eastAsia="Times New Roman"/>
                <w:noProof/>
                <w:sz w:val="22"/>
              </w:rPr>
            </w:pPr>
            <w:r w:rsidRPr="002E0F34">
              <w:rPr>
                <w:noProof/>
                <w:sz w:val="22"/>
              </w:rPr>
              <w:t>(</w:t>
            </w:r>
            <w:r w:rsidRPr="002E0F34">
              <w:rPr>
                <w:noProof/>
              </w:rPr>
              <w:t xml:space="preserve">8,45 </w:t>
            </w:r>
            <w:r w:rsidRPr="002E0F34">
              <w:rPr>
                <w:noProof/>
                <w:sz w:val="22"/>
              </w:rPr>
              <w:t>%)</w:t>
            </w:r>
          </w:p>
        </w:tc>
      </w:tr>
      <w:tr w:rsidR="001A62D7" w:rsidRPr="002E0F34" w:rsidTr="001D5990">
        <w:tc>
          <w:tcPr>
            <w:tcW w:w="9288" w:type="dxa"/>
            <w:gridSpan w:val="4"/>
            <w:shd w:val="clear" w:color="auto" w:fill="auto"/>
            <w:vAlign w:val="center"/>
          </w:tcPr>
          <w:p w:rsidR="001A62D7" w:rsidRPr="002E0F34" w:rsidRDefault="001A62D7" w:rsidP="001D5990">
            <w:pPr>
              <w:spacing w:before="60" w:after="60"/>
              <w:jc w:val="left"/>
              <w:rPr>
                <w:rFonts w:eastAsia="Times New Roman"/>
                <w:noProof/>
                <w:sz w:val="22"/>
              </w:rPr>
            </w:pPr>
            <w:r w:rsidRPr="002E0F34">
              <w:rPr>
                <w:noProof/>
                <w:sz w:val="22"/>
              </w:rPr>
              <w:t>Activités relevant de l’article 7, paragraphe 5, du règlement (UE) 2021/691</w:t>
            </w:r>
          </w:p>
        </w:tc>
      </w:tr>
      <w:tr w:rsidR="001A62D7" w:rsidRPr="002E0F34" w:rsidTr="001D5990">
        <w:tc>
          <w:tcPr>
            <w:tcW w:w="4644" w:type="dxa"/>
            <w:shd w:val="clear" w:color="auto" w:fill="auto"/>
          </w:tcPr>
          <w:p w:rsidR="001A62D7" w:rsidRPr="002E0F34" w:rsidRDefault="001A62D7" w:rsidP="001D5990">
            <w:pPr>
              <w:spacing w:before="60" w:after="60"/>
              <w:ind w:left="284"/>
              <w:jc w:val="left"/>
              <w:rPr>
                <w:rFonts w:eastAsia="Times New Roman"/>
                <w:noProof/>
                <w:sz w:val="22"/>
              </w:rPr>
            </w:pPr>
            <w:r w:rsidRPr="002E0F34">
              <w:rPr>
                <w:noProof/>
                <w:sz w:val="22"/>
              </w:rPr>
              <w:t>1. Activités de préparation</w:t>
            </w:r>
          </w:p>
        </w:tc>
        <w:tc>
          <w:tcPr>
            <w:tcW w:w="3096" w:type="dxa"/>
            <w:gridSpan w:val="2"/>
            <w:shd w:val="clear" w:color="auto" w:fill="D9D9D9"/>
            <w:vAlign w:val="center"/>
          </w:tcPr>
          <w:p w:rsidR="001A62D7" w:rsidRPr="002E0F34" w:rsidRDefault="001A62D7" w:rsidP="001D5990">
            <w:pPr>
              <w:spacing w:before="60" w:after="60"/>
              <w:jc w:val="center"/>
              <w:rPr>
                <w:rFonts w:eastAsia="Times New Roman"/>
                <w:noProof/>
                <w:sz w:val="22"/>
              </w:rPr>
            </w:pPr>
            <w:r w:rsidRPr="002E0F34">
              <w:rPr>
                <w:noProof/>
                <w:sz w:val="22"/>
              </w:rPr>
              <w:t>–</w:t>
            </w:r>
          </w:p>
        </w:tc>
        <w:tc>
          <w:tcPr>
            <w:tcW w:w="1548" w:type="dxa"/>
            <w:shd w:val="clear" w:color="auto" w:fill="auto"/>
          </w:tcPr>
          <w:p w:rsidR="001A62D7" w:rsidRPr="002E0F34" w:rsidRDefault="0021052B" w:rsidP="001D5990">
            <w:pPr>
              <w:spacing w:before="60" w:after="60"/>
              <w:jc w:val="center"/>
              <w:rPr>
                <w:rFonts w:eastAsia="Times New Roman"/>
                <w:noProof/>
                <w:sz w:val="22"/>
              </w:rPr>
            </w:pPr>
            <w:r w:rsidRPr="002E0F34">
              <w:rPr>
                <w:noProof/>
              </w:rPr>
              <w:t>0</w:t>
            </w:r>
          </w:p>
        </w:tc>
      </w:tr>
      <w:tr w:rsidR="001A62D7" w:rsidRPr="002E0F34" w:rsidTr="001D5990">
        <w:tc>
          <w:tcPr>
            <w:tcW w:w="4644" w:type="dxa"/>
            <w:shd w:val="clear" w:color="auto" w:fill="auto"/>
          </w:tcPr>
          <w:p w:rsidR="001A62D7" w:rsidRPr="002E0F34" w:rsidRDefault="001A62D7" w:rsidP="001D5990">
            <w:pPr>
              <w:spacing w:before="60" w:after="60"/>
              <w:ind w:left="284"/>
              <w:jc w:val="left"/>
              <w:rPr>
                <w:rFonts w:eastAsia="Times New Roman"/>
                <w:noProof/>
                <w:sz w:val="22"/>
              </w:rPr>
            </w:pPr>
            <w:r w:rsidRPr="002E0F34">
              <w:rPr>
                <w:noProof/>
                <w:sz w:val="22"/>
              </w:rPr>
              <w:t>2. Gestion</w:t>
            </w:r>
          </w:p>
        </w:tc>
        <w:tc>
          <w:tcPr>
            <w:tcW w:w="3096" w:type="dxa"/>
            <w:gridSpan w:val="2"/>
            <w:shd w:val="clear" w:color="auto" w:fill="D9D9D9"/>
            <w:vAlign w:val="center"/>
          </w:tcPr>
          <w:p w:rsidR="001A62D7" w:rsidRPr="002E0F34" w:rsidRDefault="001A62D7" w:rsidP="001D5990">
            <w:pPr>
              <w:spacing w:before="60" w:after="60"/>
              <w:jc w:val="center"/>
              <w:rPr>
                <w:rFonts w:eastAsia="Times New Roman"/>
                <w:noProof/>
                <w:sz w:val="22"/>
              </w:rPr>
            </w:pPr>
            <w:r w:rsidRPr="002E0F34">
              <w:rPr>
                <w:noProof/>
                <w:sz w:val="22"/>
              </w:rPr>
              <w:t>–</w:t>
            </w:r>
          </w:p>
        </w:tc>
        <w:tc>
          <w:tcPr>
            <w:tcW w:w="1548" w:type="dxa"/>
            <w:shd w:val="clear" w:color="auto" w:fill="auto"/>
          </w:tcPr>
          <w:p w:rsidR="001A62D7" w:rsidRPr="002E0F34" w:rsidRDefault="0021052B" w:rsidP="001D5990">
            <w:pPr>
              <w:spacing w:before="60" w:after="60"/>
              <w:jc w:val="center"/>
              <w:rPr>
                <w:rFonts w:eastAsia="Times New Roman"/>
                <w:noProof/>
                <w:sz w:val="22"/>
              </w:rPr>
            </w:pPr>
            <w:r w:rsidRPr="002E0F34">
              <w:rPr>
                <w:noProof/>
              </w:rPr>
              <w:t>45 760</w:t>
            </w:r>
          </w:p>
        </w:tc>
      </w:tr>
      <w:tr w:rsidR="001A62D7" w:rsidRPr="002E0F34" w:rsidTr="001D5990">
        <w:tc>
          <w:tcPr>
            <w:tcW w:w="4644" w:type="dxa"/>
            <w:shd w:val="clear" w:color="auto" w:fill="auto"/>
          </w:tcPr>
          <w:p w:rsidR="001A62D7" w:rsidRPr="002E0F34" w:rsidRDefault="001A62D7" w:rsidP="001D5990">
            <w:pPr>
              <w:spacing w:before="60" w:after="60"/>
              <w:ind w:left="284"/>
              <w:jc w:val="left"/>
              <w:rPr>
                <w:rFonts w:eastAsia="Times New Roman"/>
                <w:noProof/>
                <w:sz w:val="22"/>
              </w:rPr>
            </w:pPr>
            <w:r w:rsidRPr="002E0F34">
              <w:rPr>
                <w:noProof/>
                <w:sz w:val="22"/>
              </w:rPr>
              <w:t>3. Information et publicité</w:t>
            </w:r>
          </w:p>
        </w:tc>
        <w:tc>
          <w:tcPr>
            <w:tcW w:w="3096" w:type="dxa"/>
            <w:gridSpan w:val="2"/>
            <w:shd w:val="clear" w:color="auto" w:fill="D9D9D9"/>
            <w:vAlign w:val="center"/>
          </w:tcPr>
          <w:p w:rsidR="001A62D7" w:rsidRPr="002E0F34" w:rsidRDefault="001A62D7" w:rsidP="001D5990">
            <w:pPr>
              <w:spacing w:before="60" w:after="60"/>
              <w:jc w:val="center"/>
              <w:rPr>
                <w:rFonts w:eastAsia="Times New Roman"/>
                <w:noProof/>
                <w:sz w:val="22"/>
              </w:rPr>
            </w:pPr>
            <w:r w:rsidRPr="002E0F34">
              <w:rPr>
                <w:noProof/>
                <w:sz w:val="22"/>
              </w:rPr>
              <w:t>–</w:t>
            </w:r>
          </w:p>
        </w:tc>
        <w:tc>
          <w:tcPr>
            <w:tcW w:w="1548" w:type="dxa"/>
            <w:shd w:val="clear" w:color="auto" w:fill="auto"/>
          </w:tcPr>
          <w:p w:rsidR="001A62D7" w:rsidRPr="002E0F34" w:rsidRDefault="0021052B" w:rsidP="001D5990">
            <w:pPr>
              <w:spacing w:before="60" w:after="60"/>
              <w:jc w:val="center"/>
              <w:rPr>
                <w:rFonts w:eastAsia="Times New Roman"/>
                <w:noProof/>
                <w:sz w:val="22"/>
              </w:rPr>
            </w:pPr>
            <w:r w:rsidRPr="002E0F34">
              <w:rPr>
                <w:noProof/>
              </w:rPr>
              <w:t>5 500</w:t>
            </w:r>
          </w:p>
        </w:tc>
      </w:tr>
      <w:tr w:rsidR="001A62D7" w:rsidRPr="002E0F34" w:rsidTr="001D5990">
        <w:tc>
          <w:tcPr>
            <w:tcW w:w="4644" w:type="dxa"/>
            <w:shd w:val="clear" w:color="auto" w:fill="auto"/>
          </w:tcPr>
          <w:p w:rsidR="001A62D7" w:rsidRPr="002E0F34" w:rsidRDefault="001A62D7" w:rsidP="001D5990">
            <w:pPr>
              <w:spacing w:before="60" w:after="60"/>
              <w:ind w:left="284"/>
              <w:jc w:val="left"/>
              <w:rPr>
                <w:rFonts w:eastAsia="Times New Roman"/>
                <w:noProof/>
                <w:sz w:val="22"/>
              </w:rPr>
            </w:pPr>
            <w:r w:rsidRPr="002E0F34">
              <w:rPr>
                <w:noProof/>
                <w:sz w:val="22"/>
              </w:rPr>
              <w:t>4. Activités de contrôle et de rapport</w:t>
            </w:r>
          </w:p>
        </w:tc>
        <w:tc>
          <w:tcPr>
            <w:tcW w:w="3096" w:type="dxa"/>
            <w:gridSpan w:val="2"/>
            <w:shd w:val="clear" w:color="auto" w:fill="D9D9D9"/>
            <w:vAlign w:val="center"/>
          </w:tcPr>
          <w:p w:rsidR="001A62D7" w:rsidRPr="002E0F34" w:rsidRDefault="001A62D7" w:rsidP="001D5990">
            <w:pPr>
              <w:spacing w:before="60" w:after="60"/>
              <w:jc w:val="center"/>
              <w:rPr>
                <w:rFonts w:eastAsia="Times New Roman"/>
                <w:noProof/>
                <w:sz w:val="22"/>
              </w:rPr>
            </w:pPr>
            <w:r w:rsidRPr="002E0F34">
              <w:rPr>
                <w:noProof/>
                <w:sz w:val="22"/>
              </w:rPr>
              <w:t>–</w:t>
            </w:r>
          </w:p>
        </w:tc>
        <w:tc>
          <w:tcPr>
            <w:tcW w:w="1548" w:type="dxa"/>
            <w:tcBorders>
              <w:bottom w:val="single" w:sz="4" w:space="0" w:color="auto"/>
            </w:tcBorders>
            <w:shd w:val="clear" w:color="auto" w:fill="auto"/>
          </w:tcPr>
          <w:p w:rsidR="001A62D7" w:rsidRPr="002E0F34" w:rsidRDefault="0021052B" w:rsidP="001D5990">
            <w:pPr>
              <w:spacing w:before="60" w:after="60"/>
              <w:jc w:val="center"/>
              <w:rPr>
                <w:rFonts w:eastAsia="Times New Roman"/>
                <w:noProof/>
                <w:sz w:val="22"/>
              </w:rPr>
            </w:pPr>
            <w:r w:rsidRPr="002E0F34">
              <w:rPr>
                <w:noProof/>
              </w:rPr>
              <w:t>65 802</w:t>
            </w:r>
          </w:p>
        </w:tc>
      </w:tr>
      <w:tr w:rsidR="001A62D7" w:rsidRPr="002E0F34" w:rsidTr="001D5990">
        <w:trPr>
          <w:trHeight w:val="203"/>
        </w:trPr>
        <w:tc>
          <w:tcPr>
            <w:tcW w:w="4644" w:type="dxa"/>
            <w:vMerge w:val="restart"/>
            <w:shd w:val="clear" w:color="auto" w:fill="auto"/>
            <w:vAlign w:val="center"/>
          </w:tcPr>
          <w:p w:rsidR="001A62D7" w:rsidRPr="002E0F34" w:rsidRDefault="001A62D7" w:rsidP="001D5990">
            <w:pPr>
              <w:spacing w:before="60" w:after="60"/>
              <w:jc w:val="right"/>
              <w:rPr>
                <w:rFonts w:eastAsia="Times New Roman"/>
                <w:noProof/>
                <w:sz w:val="22"/>
              </w:rPr>
            </w:pPr>
            <w:r w:rsidRPr="002E0F34">
              <w:rPr>
                <w:noProof/>
                <w:sz w:val="22"/>
              </w:rPr>
              <w:t>Sous-total c):</w:t>
            </w:r>
          </w:p>
          <w:p w:rsidR="001A62D7" w:rsidRPr="002E0F34" w:rsidRDefault="001A62D7" w:rsidP="001D5990">
            <w:pPr>
              <w:spacing w:before="60" w:after="60"/>
              <w:jc w:val="right"/>
              <w:rPr>
                <w:rFonts w:eastAsia="Times New Roman"/>
                <w:noProof/>
                <w:sz w:val="22"/>
              </w:rPr>
            </w:pPr>
            <w:r w:rsidRPr="002E0F34">
              <w:rPr>
                <w:noProof/>
                <w:sz w:val="22"/>
              </w:rPr>
              <w:t>Pourcentage du coût total:</w:t>
            </w:r>
          </w:p>
        </w:tc>
        <w:tc>
          <w:tcPr>
            <w:tcW w:w="3096" w:type="dxa"/>
            <w:gridSpan w:val="2"/>
            <w:vMerge w:val="restart"/>
            <w:shd w:val="clear" w:color="auto" w:fill="D9D9D9"/>
            <w:vAlign w:val="center"/>
          </w:tcPr>
          <w:p w:rsidR="001A62D7" w:rsidRPr="002E0F34" w:rsidRDefault="001A62D7" w:rsidP="001D5990">
            <w:pPr>
              <w:spacing w:before="0" w:after="0"/>
              <w:jc w:val="center"/>
              <w:rPr>
                <w:rFonts w:eastAsia="Times New Roman"/>
                <w:noProof/>
                <w:sz w:val="22"/>
              </w:rPr>
            </w:pPr>
            <w:r w:rsidRPr="002E0F34">
              <w:rPr>
                <w:noProof/>
                <w:sz w:val="22"/>
              </w:rPr>
              <w:t>–</w:t>
            </w:r>
          </w:p>
        </w:tc>
        <w:tc>
          <w:tcPr>
            <w:tcW w:w="1548" w:type="dxa"/>
            <w:tcBorders>
              <w:bottom w:val="nil"/>
            </w:tcBorders>
            <w:shd w:val="clear" w:color="auto" w:fill="auto"/>
            <w:vAlign w:val="center"/>
          </w:tcPr>
          <w:p w:rsidR="001A62D7" w:rsidRPr="002E0F34" w:rsidRDefault="00D6013C" w:rsidP="001D5990">
            <w:pPr>
              <w:spacing w:before="60" w:after="60"/>
              <w:jc w:val="center"/>
              <w:rPr>
                <w:rFonts w:eastAsia="Times New Roman"/>
                <w:noProof/>
                <w:sz w:val="22"/>
              </w:rPr>
            </w:pPr>
            <w:r w:rsidRPr="002E0F34">
              <w:rPr>
                <w:noProof/>
              </w:rPr>
              <w:t>117 062</w:t>
            </w:r>
          </w:p>
        </w:tc>
      </w:tr>
      <w:tr w:rsidR="001A62D7" w:rsidRPr="002E0F34" w:rsidTr="001D5990">
        <w:trPr>
          <w:trHeight w:val="202"/>
        </w:trPr>
        <w:tc>
          <w:tcPr>
            <w:tcW w:w="4644" w:type="dxa"/>
            <w:vMerge/>
            <w:shd w:val="clear" w:color="auto" w:fill="auto"/>
          </w:tcPr>
          <w:p w:rsidR="001A62D7" w:rsidRPr="002E0F34" w:rsidRDefault="001A62D7" w:rsidP="001D5990">
            <w:pPr>
              <w:spacing w:before="0" w:after="0"/>
              <w:jc w:val="right"/>
              <w:rPr>
                <w:rFonts w:eastAsia="Times New Roman"/>
                <w:noProof/>
                <w:sz w:val="22"/>
              </w:rPr>
            </w:pPr>
          </w:p>
        </w:tc>
        <w:tc>
          <w:tcPr>
            <w:tcW w:w="3096" w:type="dxa"/>
            <w:gridSpan w:val="2"/>
            <w:vMerge/>
            <w:shd w:val="clear" w:color="auto" w:fill="D9D9D9"/>
            <w:vAlign w:val="center"/>
          </w:tcPr>
          <w:p w:rsidR="001A62D7" w:rsidRPr="002E0F34" w:rsidRDefault="001A62D7" w:rsidP="001D5990">
            <w:pPr>
              <w:spacing w:before="0" w:after="0"/>
              <w:jc w:val="center"/>
              <w:rPr>
                <w:rFonts w:eastAsia="Times New Roman"/>
                <w:noProof/>
                <w:sz w:val="22"/>
              </w:rPr>
            </w:pPr>
          </w:p>
        </w:tc>
        <w:tc>
          <w:tcPr>
            <w:tcW w:w="1548" w:type="dxa"/>
            <w:tcBorders>
              <w:top w:val="nil"/>
            </w:tcBorders>
            <w:shd w:val="clear" w:color="auto" w:fill="auto"/>
            <w:vAlign w:val="center"/>
          </w:tcPr>
          <w:p w:rsidR="001A62D7" w:rsidRPr="002E0F34" w:rsidRDefault="001A62D7" w:rsidP="001D5990">
            <w:pPr>
              <w:spacing w:before="60" w:after="60"/>
              <w:jc w:val="center"/>
              <w:rPr>
                <w:rFonts w:eastAsia="Times New Roman"/>
                <w:noProof/>
                <w:sz w:val="22"/>
              </w:rPr>
            </w:pPr>
            <w:r w:rsidRPr="002E0F34">
              <w:rPr>
                <w:noProof/>
                <w:sz w:val="22"/>
              </w:rPr>
              <w:t>(</w:t>
            </w:r>
            <w:r w:rsidRPr="002E0F34">
              <w:rPr>
                <w:noProof/>
              </w:rPr>
              <w:t xml:space="preserve">1,32 </w:t>
            </w:r>
            <w:r w:rsidRPr="002E0F34">
              <w:rPr>
                <w:noProof/>
                <w:sz w:val="22"/>
              </w:rPr>
              <w:t>%)</w:t>
            </w:r>
          </w:p>
        </w:tc>
      </w:tr>
      <w:tr w:rsidR="001A62D7" w:rsidRPr="002E0F34" w:rsidTr="001D5990">
        <w:tc>
          <w:tcPr>
            <w:tcW w:w="4644" w:type="dxa"/>
            <w:shd w:val="clear" w:color="auto" w:fill="auto"/>
          </w:tcPr>
          <w:p w:rsidR="001A62D7" w:rsidRPr="002E0F34" w:rsidRDefault="001A62D7" w:rsidP="001D5990">
            <w:pPr>
              <w:spacing w:before="60" w:after="60"/>
              <w:jc w:val="left"/>
              <w:rPr>
                <w:rFonts w:eastAsia="Times New Roman"/>
                <w:noProof/>
                <w:sz w:val="22"/>
              </w:rPr>
            </w:pPr>
            <w:r w:rsidRPr="002E0F34">
              <w:rPr>
                <w:noProof/>
                <w:sz w:val="22"/>
              </w:rPr>
              <w:t>Coût total (a + b + c):</w:t>
            </w:r>
          </w:p>
        </w:tc>
        <w:tc>
          <w:tcPr>
            <w:tcW w:w="3096" w:type="dxa"/>
            <w:gridSpan w:val="2"/>
            <w:shd w:val="clear" w:color="auto" w:fill="D9D9D9"/>
            <w:vAlign w:val="center"/>
          </w:tcPr>
          <w:p w:rsidR="001A62D7" w:rsidRPr="002E0F34" w:rsidRDefault="001A62D7" w:rsidP="001D5990">
            <w:pPr>
              <w:spacing w:before="60" w:after="60"/>
              <w:jc w:val="center"/>
              <w:rPr>
                <w:rFonts w:eastAsia="Times New Roman"/>
                <w:noProof/>
                <w:sz w:val="22"/>
              </w:rPr>
            </w:pPr>
            <w:r w:rsidRPr="002E0F34">
              <w:rPr>
                <w:noProof/>
                <w:sz w:val="22"/>
              </w:rPr>
              <w:t>–</w:t>
            </w:r>
          </w:p>
        </w:tc>
        <w:tc>
          <w:tcPr>
            <w:tcW w:w="1548" w:type="dxa"/>
            <w:shd w:val="clear" w:color="auto" w:fill="auto"/>
          </w:tcPr>
          <w:p w:rsidR="001A62D7" w:rsidRPr="002E0F34" w:rsidRDefault="00DC7444" w:rsidP="001D5990">
            <w:pPr>
              <w:spacing w:before="60" w:after="60"/>
              <w:jc w:val="center"/>
              <w:rPr>
                <w:noProof/>
                <w:sz w:val="22"/>
              </w:rPr>
            </w:pPr>
            <w:r w:rsidRPr="002E0F34">
              <w:rPr>
                <w:noProof/>
              </w:rPr>
              <w:t>8 856 030</w:t>
            </w:r>
          </w:p>
        </w:tc>
      </w:tr>
      <w:tr w:rsidR="001A62D7" w:rsidRPr="002E0F34" w:rsidTr="001D5990">
        <w:tc>
          <w:tcPr>
            <w:tcW w:w="4644" w:type="dxa"/>
            <w:shd w:val="clear" w:color="auto" w:fill="auto"/>
          </w:tcPr>
          <w:p w:rsidR="001A62D7" w:rsidRPr="002E0F34" w:rsidRDefault="001A62D7" w:rsidP="001D5990">
            <w:pPr>
              <w:spacing w:before="60" w:after="60"/>
              <w:jc w:val="left"/>
              <w:rPr>
                <w:rFonts w:eastAsia="Times New Roman"/>
                <w:noProof/>
                <w:sz w:val="22"/>
              </w:rPr>
            </w:pPr>
            <w:r w:rsidRPr="002E0F34">
              <w:rPr>
                <w:noProof/>
                <w:sz w:val="22"/>
              </w:rPr>
              <w:t>Contribution du FEM (85 % du coût total)</w:t>
            </w:r>
          </w:p>
        </w:tc>
        <w:tc>
          <w:tcPr>
            <w:tcW w:w="3096" w:type="dxa"/>
            <w:gridSpan w:val="2"/>
            <w:shd w:val="clear" w:color="auto" w:fill="D9D9D9"/>
            <w:vAlign w:val="center"/>
          </w:tcPr>
          <w:p w:rsidR="001A62D7" w:rsidRPr="002E0F34" w:rsidRDefault="001A62D7" w:rsidP="001D5990">
            <w:pPr>
              <w:spacing w:before="60" w:after="60"/>
              <w:jc w:val="center"/>
              <w:rPr>
                <w:rFonts w:eastAsia="Times New Roman"/>
                <w:noProof/>
                <w:sz w:val="22"/>
              </w:rPr>
            </w:pPr>
            <w:r w:rsidRPr="002E0F34">
              <w:rPr>
                <w:noProof/>
                <w:sz w:val="22"/>
              </w:rPr>
              <w:t>–</w:t>
            </w:r>
          </w:p>
        </w:tc>
        <w:tc>
          <w:tcPr>
            <w:tcW w:w="1548" w:type="dxa"/>
            <w:shd w:val="clear" w:color="auto" w:fill="auto"/>
          </w:tcPr>
          <w:p w:rsidR="001A62D7" w:rsidRPr="002E0F34" w:rsidRDefault="00DC7444" w:rsidP="001D5990">
            <w:pPr>
              <w:spacing w:before="60" w:after="60"/>
              <w:jc w:val="center"/>
              <w:rPr>
                <w:rFonts w:eastAsia="Times New Roman"/>
                <w:noProof/>
                <w:sz w:val="22"/>
              </w:rPr>
            </w:pPr>
            <w:r w:rsidRPr="002E0F34">
              <w:rPr>
                <w:noProof/>
              </w:rPr>
              <w:t>7 527 625</w:t>
            </w:r>
          </w:p>
        </w:tc>
      </w:tr>
    </w:tbl>
    <w:bookmarkEnd w:id="15"/>
    <w:p w:rsidR="001A62D7" w:rsidRPr="002E0F34" w:rsidRDefault="00D204AC" w:rsidP="00D204AC">
      <w:pPr>
        <w:pStyle w:val="ManualNumPar1"/>
        <w:rPr>
          <w:noProof/>
          <w:szCs w:val="20"/>
        </w:rPr>
      </w:pPr>
      <w:r w:rsidRPr="00D204AC">
        <w:rPr>
          <w:noProof/>
        </w:rPr>
        <w:t>37.</w:t>
      </w:r>
      <w:r w:rsidRPr="00D204AC">
        <w:rPr>
          <w:noProof/>
        </w:rPr>
        <w:tab/>
      </w:r>
      <w:r w:rsidR="001A62D7" w:rsidRPr="002E0F34">
        <w:rPr>
          <w:noProof/>
        </w:rPr>
        <w:t>Le coût des mesures indiquées dans le tableau ci-dessus en tant que mesures relevant de l’article 7, paragraphe 2, deuxième alinéa, point b), du règlement (UE) 2021/691 ne dépasse pas 35 % du coût total de l’ensemble coordonné de services personnalisés. La Belgique a confirmé que ces mesures étaient conditionnées à la participation active des bénéficiaires visés à des activités de recherche d’emploi ou de formation.</w:t>
      </w:r>
    </w:p>
    <w:p w:rsidR="001A62D7" w:rsidRPr="002E0F34" w:rsidRDefault="00D204AC" w:rsidP="00D204AC">
      <w:pPr>
        <w:pStyle w:val="ManualNumPar1"/>
        <w:rPr>
          <w:noProof/>
        </w:rPr>
      </w:pPr>
      <w:r w:rsidRPr="00D204AC">
        <w:rPr>
          <w:noProof/>
        </w:rPr>
        <w:t>38.</w:t>
      </w:r>
      <w:r w:rsidRPr="00D204AC">
        <w:rPr>
          <w:noProof/>
        </w:rPr>
        <w:tab/>
      </w:r>
      <w:r w:rsidR="001A62D7" w:rsidRPr="002E0F34">
        <w:rPr>
          <w:noProof/>
        </w:rPr>
        <w:t>Conformément à l’article 7, paragraphe 2, quatrième alinéa, du règlement (UE) 2021/691, la Belgique a confirmé que les coûts d’investissement pour le travail indépendant, la création d’entreprise et la reprise d’entreprise par les salariés ne dépasseront pas 22 000 EUR par bénéficiaire.</w:t>
      </w:r>
    </w:p>
    <w:p w:rsidR="001A62D7" w:rsidRPr="002E0F34" w:rsidRDefault="001A62D7" w:rsidP="001A62D7">
      <w:pPr>
        <w:pStyle w:val="ManualHeading3"/>
        <w:rPr>
          <w:noProof/>
        </w:rPr>
      </w:pPr>
      <w:r w:rsidRPr="002E0F34">
        <w:rPr>
          <w:noProof/>
        </w:rPr>
        <w:t>Période d’admissibilité des dépenses</w:t>
      </w:r>
    </w:p>
    <w:p w:rsidR="001A62D7" w:rsidRPr="002E0F34" w:rsidRDefault="00D204AC" w:rsidP="00D204AC">
      <w:pPr>
        <w:pStyle w:val="ManualNumPar1"/>
        <w:rPr>
          <w:noProof/>
        </w:rPr>
      </w:pPr>
      <w:r w:rsidRPr="00D204AC">
        <w:rPr>
          <w:noProof/>
        </w:rPr>
        <w:t>39.</w:t>
      </w:r>
      <w:r w:rsidRPr="00D204AC">
        <w:rPr>
          <w:noProof/>
        </w:rPr>
        <w:tab/>
      </w:r>
      <w:r w:rsidR="007D1CC7" w:rsidRPr="002E0F34">
        <w:rPr>
          <w:noProof/>
        </w:rPr>
        <w:t>La Belgique a commencé à fournir les services personnalisés aux bénéficiaires visés le 17 février 2025. Les dépenses relatives aux mesures seront donc éligibles à une contribution financière du FEM à partir du 17 février 2025 et pendant 24 mois après la date d’entrée en vigueur de la décision de financement.</w:t>
      </w:r>
    </w:p>
    <w:p w:rsidR="001A62D7" w:rsidRPr="002E0F34" w:rsidRDefault="00D204AC" w:rsidP="00D204AC">
      <w:pPr>
        <w:pStyle w:val="ManualNumPar1"/>
        <w:rPr>
          <w:noProof/>
        </w:rPr>
      </w:pPr>
      <w:r w:rsidRPr="00D204AC">
        <w:rPr>
          <w:noProof/>
        </w:rPr>
        <w:t>40.</w:t>
      </w:r>
      <w:r w:rsidRPr="00D204AC">
        <w:rPr>
          <w:noProof/>
        </w:rPr>
        <w:tab/>
      </w:r>
      <w:r w:rsidR="00AD6693" w:rsidRPr="002E0F34">
        <w:rPr>
          <w:noProof/>
        </w:rPr>
        <w:t>La Belgique a commencé à engager les dépenses administratives pour la mise en œuvre du FEM le 9 juillet 2024. Les dépenses relatives aux activités de préparation, de gestion, d’information et de publicité, ainsi que de contrôle et de rapport, peuvent donc faire l’objet d’une contribution financière du FEM à partir du 9 juillet 2024 et pendant 31 mois après la date d’entrée en vigueur de la décision de financement.</w:t>
      </w:r>
    </w:p>
    <w:p w:rsidR="001A62D7" w:rsidRPr="002E0F34" w:rsidRDefault="001A62D7" w:rsidP="001A62D7">
      <w:pPr>
        <w:pStyle w:val="ManualHeading2"/>
        <w:rPr>
          <w:noProof/>
        </w:rPr>
      </w:pPr>
      <w:r w:rsidRPr="002E0F34">
        <w:rPr>
          <w:noProof/>
        </w:rPr>
        <w:t>Systèmes de gestion et de contrôle</w:t>
      </w:r>
    </w:p>
    <w:p w:rsidR="001A62D7" w:rsidRPr="002E0F34" w:rsidRDefault="00D204AC" w:rsidP="00D204AC">
      <w:pPr>
        <w:pStyle w:val="ManualNumPar1"/>
        <w:rPr>
          <w:noProof/>
        </w:rPr>
      </w:pPr>
      <w:r w:rsidRPr="00D204AC">
        <w:rPr>
          <w:noProof/>
        </w:rPr>
        <w:t>41.</w:t>
      </w:r>
      <w:r w:rsidRPr="00D204AC">
        <w:rPr>
          <w:noProof/>
        </w:rPr>
        <w:tab/>
      </w:r>
      <w:r w:rsidR="001A62D7" w:rsidRPr="002E0F34">
        <w:rPr>
          <w:noProof/>
        </w:rPr>
        <w:t>La demande contient une description du système de gestion et de contrôle requis au titre de l’article 23 du règlement (UE) 2021/691, qui précise les responsabilités des organismes concernés. La Belgique a indiqué à la Commission que la contribution financière à Bruxelles et en Wallonie serait gérée et contrôlée par les organismes qui gèrent et contrôlent le FSE+. En Flandre, elle sera gérée par le VDAB. Les paiements seront effectués par le service financier du VDAB. L’autorité d’audit du FEM est le département des finances et du budget – unité d’audit de l’autorité d’audit flamande pour les Fonds structurels européens en Flandre.</w:t>
      </w:r>
    </w:p>
    <w:p w:rsidR="001A62D7" w:rsidRPr="002E0F34" w:rsidRDefault="001A62D7" w:rsidP="001A62D7">
      <w:pPr>
        <w:pStyle w:val="ManualHeading2"/>
        <w:rPr>
          <w:noProof/>
        </w:rPr>
      </w:pPr>
      <w:r w:rsidRPr="002E0F34">
        <w:rPr>
          <w:noProof/>
        </w:rPr>
        <w:t>Engagements de l’État membre concerné</w:t>
      </w:r>
    </w:p>
    <w:p w:rsidR="001A62D7" w:rsidRPr="002E0F34" w:rsidRDefault="00D204AC" w:rsidP="00D204AC">
      <w:pPr>
        <w:pStyle w:val="ManualNumPar1"/>
        <w:rPr>
          <w:noProof/>
        </w:rPr>
      </w:pPr>
      <w:r w:rsidRPr="00D204AC">
        <w:rPr>
          <w:noProof/>
        </w:rPr>
        <w:t>42.</w:t>
      </w:r>
      <w:r w:rsidRPr="00D204AC">
        <w:rPr>
          <w:noProof/>
        </w:rPr>
        <w:tab/>
      </w:r>
      <w:r w:rsidR="00A36A1D" w:rsidRPr="002E0F34">
        <w:rPr>
          <w:noProof/>
        </w:rPr>
        <w:t>La Belgique a apporté toutes les assurances nécessaires concernant les aspects suivants:</w:t>
      </w:r>
    </w:p>
    <w:p w:rsidR="001A62D7" w:rsidRPr="002E0F34" w:rsidRDefault="001A62D7" w:rsidP="001A62D7">
      <w:pPr>
        <w:pStyle w:val="Tiret1"/>
        <w:rPr>
          <w:noProof/>
        </w:rPr>
      </w:pPr>
      <w:r w:rsidRPr="002E0F34">
        <w:rPr>
          <w:noProof/>
        </w:rPr>
        <w:t>les principes d’égalité de traitement et de non-discrimination seront respectés pour l’accès aux mesures proposées et leur réalisation;</w:t>
      </w:r>
    </w:p>
    <w:p w:rsidR="001A62D7" w:rsidRPr="002E0F34" w:rsidRDefault="001A62D7" w:rsidP="001A62D7">
      <w:pPr>
        <w:pStyle w:val="Tiret1"/>
        <w:rPr>
          <w:noProof/>
        </w:rPr>
      </w:pPr>
      <w:r w:rsidRPr="002E0F34">
        <w:rPr>
          <w:noProof/>
        </w:rPr>
        <w:t>les exigences fixées dans la législation nationale et dans celle de l’UE concernant les licenciements collectifs ont été respectées;</w:t>
      </w:r>
    </w:p>
    <w:p w:rsidR="001A62D7" w:rsidRPr="002E0F34" w:rsidRDefault="00A36A1D" w:rsidP="001A62D7">
      <w:pPr>
        <w:pStyle w:val="Tiret1"/>
        <w:rPr>
          <w:noProof/>
        </w:rPr>
      </w:pPr>
      <w:r w:rsidRPr="002E0F34">
        <w:rPr>
          <w:noProof/>
        </w:rPr>
        <w:t>Audi a respecté ses obligations légales et a pris les dispositions nécessaires pour ses salariés;</w:t>
      </w:r>
    </w:p>
    <w:p w:rsidR="001A62D7" w:rsidRPr="002E0F34" w:rsidRDefault="001A62D7" w:rsidP="001A62D7">
      <w:pPr>
        <w:pStyle w:val="Tiret1"/>
        <w:rPr>
          <w:noProof/>
        </w:rPr>
      </w:pPr>
      <w:r w:rsidRPr="002E0F34">
        <w:rPr>
          <w:noProof/>
        </w:rPr>
        <w:t>tout double financement sera évité;</w:t>
      </w:r>
    </w:p>
    <w:p w:rsidR="001A62D7" w:rsidRPr="002E0F34" w:rsidRDefault="001A62D7" w:rsidP="001A62D7">
      <w:pPr>
        <w:pStyle w:val="Tiret1"/>
        <w:rPr>
          <w:noProof/>
        </w:rPr>
      </w:pPr>
      <w:r w:rsidRPr="002E0F34">
        <w:rPr>
          <w:noProof/>
        </w:rPr>
        <w:t>la contribution financière du FEM sera conforme aux règles procédurales et de fond de l’Union en matière d’aides d’État.</w:t>
      </w:r>
    </w:p>
    <w:p w:rsidR="001A62D7" w:rsidRPr="002E0F34" w:rsidRDefault="001A62D7" w:rsidP="001A62D7">
      <w:pPr>
        <w:pStyle w:val="ManualHeading1"/>
        <w:rPr>
          <w:noProof/>
        </w:rPr>
      </w:pPr>
      <w:r w:rsidRPr="002E0F34">
        <w:rPr>
          <w:noProof/>
        </w:rPr>
        <w:t>INCIDENCE BUDGÉTAIRE</w:t>
      </w:r>
    </w:p>
    <w:p w:rsidR="001A62D7" w:rsidRPr="002E0F34" w:rsidRDefault="001A62D7" w:rsidP="001A62D7">
      <w:pPr>
        <w:pStyle w:val="ManualHeading2"/>
        <w:rPr>
          <w:noProof/>
        </w:rPr>
      </w:pPr>
      <w:r w:rsidRPr="002E0F34">
        <w:rPr>
          <w:noProof/>
        </w:rPr>
        <w:t>Proposition budgétaire</w:t>
      </w:r>
    </w:p>
    <w:p w:rsidR="001A62D7" w:rsidRPr="002E0F34" w:rsidRDefault="00D204AC" w:rsidP="00D204AC">
      <w:pPr>
        <w:pStyle w:val="ManualNumPar1"/>
        <w:rPr>
          <w:noProof/>
        </w:rPr>
      </w:pPr>
      <w:r w:rsidRPr="00D204AC">
        <w:rPr>
          <w:noProof/>
        </w:rPr>
        <w:t>43.</w:t>
      </w:r>
      <w:r w:rsidRPr="00D204AC">
        <w:rPr>
          <w:noProof/>
        </w:rPr>
        <w:tab/>
      </w:r>
      <w:r w:rsidR="001A62D7" w:rsidRPr="002E0F34">
        <w:rPr>
          <w:noProof/>
        </w:rPr>
        <w:t>La dotation annuelle du FEM n’excède pas un montant maximal de 30 000 000 EUR (aux prix de 2018), comme le prévoit l’article 8 du règlement (UE, Euratom) 2020/2093 du Conseil du 17 décembre 2020 fixant le cadre financier pluriannuel pour les années 2021 à 2027</w:t>
      </w:r>
      <w:r w:rsidR="001A62D7" w:rsidRPr="002E0F34">
        <w:rPr>
          <w:rStyle w:val="FootnoteReference"/>
          <w:noProof/>
        </w:rPr>
        <w:footnoteReference w:id="38"/>
      </w:r>
      <w:r w:rsidR="001A62D7" w:rsidRPr="002E0F34">
        <w:rPr>
          <w:noProof/>
        </w:rPr>
        <w:t>, modifié par le règlement (UE, Euratom) 2024/765 du Conseil du 29 février 2024</w:t>
      </w:r>
      <w:r w:rsidR="001A62D7" w:rsidRPr="002E0F34">
        <w:rPr>
          <w:rStyle w:val="FootnoteReference"/>
          <w:noProof/>
        </w:rPr>
        <w:footnoteReference w:id="39"/>
      </w:r>
      <w:r w:rsidR="001A62D7" w:rsidRPr="002E0F34">
        <w:rPr>
          <w:noProof/>
        </w:rPr>
        <w:t>.</w:t>
      </w:r>
    </w:p>
    <w:p w:rsidR="001A62D7" w:rsidRPr="002E0F34" w:rsidRDefault="00D204AC" w:rsidP="00D204AC">
      <w:pPr>
        <w:pStyle w:val="ManualNumPar1"/>
        <w:rPr>
          <w:rFonts w:eastAsia="Calibri"/>
          <w:noProof/>
        </w:rPr>
      </w:pPr>
      <w:r w:rsidRPr="00D204AC">
        <w:rPr>
          <w:noProof/>
        </w:rPr>
        <w:t>44.</w:t>
      </w:r>
      <w:r w:rsidRPr="00D204AC">
        <w:rPr>
          <w:noProof/>
        </w:rPr>
        <w:tab/>
      </w:r>
      <w:r w:rsidR="001A62D7" w:rsidRPr="002E0F34">
        <w:rPr>
          <w:noProof/>
        </w:rPr>
        <w:t>Au terme de l’examen de la demande eu égard aux conditions fixées à l’article 13, paragraphes 1 et 2, du règlement (UE) 2021/691, et compte tenu du nombre de bénéficiaires visés, des mesures proposées et des coûts estimés, la Commission propose de mobiliser le FEM pour un montant de 7 527 625 EUR, soit 85 % du coût total des mesures proposées, afin d’apporter une contribution financière en réponse à la demande.</w:t>
      </w:r>
    </w:p>
    <w:p w:rsidR="001A62D7" w:rsidRPr="002E0F34" w:rsidRDefault="00D204AC" w:rsidP="00D204AC">
      <w:pPr>
        <w:pStyle w:val="ManualNumPar1"/>
        <w:rPr>
          <w:rFonts w:eastAsia="Times New Roman"/>
          <w:noProof/>
        </w:rPr>
      </w:pPr>
      <w:r w:rsidRPr="00D204AC">
        <w:rPr>
          <w:noProof/>
        </w:rPr>
        <w:t>45.</w:t>
      </w:r>
      <w:r w:rsidRPr="00D204AC">
        <w:rPr>
          <w:noProof/>
        </w:rPr>
        <w:tab/>
      </w:r>
      <w:r w:rsidR="001A62D7" w:rsidRPr="002E0F34">
        <w:rPr>
          <w:noProof/>
        </w:rPr>
        <w:t>La décision proposée de mobiliser le FEM sera prise conjointement par le Parlement européen et le Conseil, en application de l’article 15, paragraphe 1, premier alinéa, deuxième phrase, du règlement (UE) 2021/691 et comme indiqué au point 9 de l’accord interinstitutionnel du 16 décembre 2020 entre le Parlement européen, le Conseil de l’Union européenne et la Commission européenne sur la discipline budgétaire, la coopération en matière budgétaire et la bonne gestion financière, ainsi que sur les nouvelles ressources propres, comportant une feuille de route en vue de la mise en place de nouvelles ressources propres</w:t>
      </w:r>
      <w:r w:rsidR="001A62D7" w:rsidRPr="002E0F34">
        <w:rPr>
          <w:rStyle w:val="FootnoteReference"/>
          <w:noProof/>
        </w:rPr>
        <w:footnoteReference w:id="40"/>
      </w:r>
      <w:r w:rsidR="001A62D7" w:rsidRPr="002E0F34">
        <w:rPr>
          <w:noProof/>
        </w:rPr>
        <w:t>.</w:t>
      </w:r>
    </w:p>
    <w:p w:rsidR="001A62D7" w:rsidRPr="002E0F34" w:rsidRDefault="001A62D7" w:rsidP="001A62D7">
      <w:pPr>
        <w:pStyle w:val="ManualHeading2"/>
        <w:rPr>
          <w:noProof/>
        </w:rPr>
      </w:pPr>
      <w:r w:rsidRPr="002E0F34">
        <w:rPr>
          <w:noProof/>
        </w:rPr>
        <w:t>Actes liés</w:t>
      </w:r>
    </w:p>
    <w:p w:rsidR="001A62D7" w:rsidRPr="002E0F34" w:rsidRDefault="00D204AC" w:rsidP="00D204AC">
      <w:pPr>
        <w:pStyle w:val="ManualNumPar1"/>
        <w:rPr>
          <w:noProof/>
        </w:rPr>
      </w:pPr>
      <w:r w:rsidRPr="00D204AC">
        <w:rPr>
          <w:noProof/>
        </w:rPr>
        <w:t>46.</w:t>
      </w:r>
      <w:r w:rsidRPr="00D204AC">
        <w:rPr>
          <w:noProof/>
        </w:rPr>
        <w:tab/>
      </w:r>
      <w:r w:rsidR="001A62D7" w:rsidRPr="002E0F34">
        <w:rPr>
          <w:noProof/>
        </w:rPr>
        <w:t>En même temps que la présente proposition de décision de mobilisation du FEM, la Commission présentera au Parlement européen et au Conseil une proposition de virement à la ligne budgétaire concernée d’un montant de 7 527 625 EUR.</w:t>
      </w:r>
    </w:p>
    <w:p w:rsidR="001A62D7" w:rsidRPr="002E0F34" w:rsidRDefault="00D204AC" w:rsidP="00D204AC">
      <w:pPr>
        <w:pStyle w:val="ManualNumPar1"/>
        <w:rPr>
          <w:noProof/>
        </w:rPr>
      </w:pPr>
      <w:r w:rsidRPr="00D204AC">
        <w:rPr>
          <w:noProof/>
        </w:rPr>
        <w:t>47.</w:t>
      </w:r>
      <w:r w:rsidRPr="00D204AC">
        <w:rPr>
          <w:noProof/>
        </w:rPr>
        <w:tab/>
      </w:r>
      <w:r w:rsidR="001A62D7" w:rsidRPr="002E0F34">
        <w:rPr>
          <w:noProof/>
        </w:rPr>
        <w:t>En même temps que la présente proposition de décision de mobilisation du FEM, la Commission a adopté une décision relative à une contribution financière qui constitue une décision de financement au sens de l’article 110 du règlement (UE, Euratom) 2024/2509</w:t>
      </w:r>
      <w:r w:rsidR="001A62D7" w:rsidRPr="002E0F34">
        <w:rPr>
          <w:rStyle w:val="FootnoteReference"/>
          <w:noProof/>
        </w:rPr>
        <w:footnoteReference w:id="41"/>
      </w:r>
      <w:r w:rsidR="001A62D7" w:rsidRPr="002E0F34">
        <w:rPr>
          <w:noProof/>
        </w:rPr>
        <w:t>. Cette décision de financement entre en vigueur à la date à laquelle la Commission est informée de l’approbation du virement budgétaire par le Parlement européen et le Conseil conformément à l’article 15, paragraphe 2, premier alinéa, du règlement (UE) 2021/691.</w:t>
      </w:r>
    </w:p>
    <w:p w:rsidR="001A62D7" w:rsidRPr="002E0F34" w:rsidRDefault="001A62D7" w:rsidP="001A62D7">
      <w:pPr>
        <w:rPr>
          <w:noProof/>
        </w:rPr>
        <w:sectPr w:rsidR="001A62D7" w:rsidRPr="002E0F34" w:rsidSect="00B63B13">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pgNumType w:start="1"/>
          <w:cols w:space="708"/>
          <w:docGrid w:linePitch="360"/>
        </w:sectPr>
      </w:pPr>
    </w:p>
    <w:p w:rsidR="00F75091" w:rsidRDefault="009707A2">
      <w:pPr>
        <w:pStyle w:val="Rfrenceinterinstitutionnelle"/>
        <w:rPr>
          <w:noProof/>
        </w:rPr>
      </w:pPr>
      <w:r>
        <w:rPr>
          <w:noProof/>
        </w:rPr>
        <w:t>2026/0001 (BUD)</w:t>
      </w:r>
    </w:p>
    <w:p w:rsidR="001A62D7" w:rsidRPr="002E0F34" w:rsidRDefault="002E0F34" w:rsidP="002E0F34">
      <w:pPr>
        <w:pStyle w:val="Statut"/>
        <w:rPr>
          <w:noProof/>
        </w:rPr>
      </w:pPr>
      <w:r w:rsidRPr="002E0F34">
        <w:rPr>
          <w:noProof/>
        </w:rPr>
        <w:t>Proposition de</w:t>
      </w:r>
    </w:p>
    <w:p w:rsidR="001A62D7" w:rsidRPr="002E0F34" w:rsidRDefault="002E0F34" w:rsidP="002E0F34">
      <w:pPr>
        <w:pStyle w:val="Typedudocument"/>
        <w:rPr>
          <w:noProof/>
        </w:rPr>
      </w:pPr>
      <w:r w:rsidRPr="002E0F34">
        <w:rPr>
          <w:noProof/>
        </w:rPr>
        <w:t>DÉCISION DU PARLEMENT EUROPÉEN ET DU CONSEIL</w:t>
      </w:r>
    </w:p>
    <w:p w:rsidR="001A62D7" w:rsidRPr="002E0F34" w:rsidRDefault="002E0F34" w:rsidP="002E0F34">
      <w:pPr>
        <w:pStyle w:val="Titreobjet"/>
        <w:rPr>
          <w:noProof/>
        </w:rPr>
      </w:pPr>
      <w:r w:rsidRPr="002E0F34">
        <w:rPr>
          <w:noProof/>
        </w:rPr>
        <w:t>relative à la mobilisation du Fonds européen d’ajustement à la mondialisation en faveur des travailleurs licenciés à la suite d’une demande de la Belgique (EGF/2025/006 BE/Audi)</w:t>
      </w:r>
    </w:p>
    <w:p w:rsidR="001A62D7" w:rsidRPr="002E0F34" w:rsidRDefault="001A62D7" w:rsidP="001A62D7">
      <w:pPr>
        <w:pStyle w:val="Institutionquiagit"/>
        <w:rPr>
          <w:noProof/>
        </w:rPr>
      </w:pPr>
      <w:r w:rsidRPr="002E0F34">
        <w:rPr>
          <w:noProof/>
        </w:rPr>
        <w:t>LE PARLEMENT EUROPÉEN ET LE CONSEIL DE L'UNION EUROPÉENNE,</w:t>
      </w:r>
    </w:p>
    <w:p w:rsidR="001A62D7" w:rsidRPr="002E0F34" w:rsidRDefault="001A62D7" w:rsidP="001A62D7">
      <w:pPr>
        <w:rPr>
          <w:noProof/>
        </w:rPr>
      </w:pPr>
      <w:r w:rsidRPr="002E0F34">
        <w:rPr>
          <w:noProof/>
        </w:rPr>
        <w:t>vu le traité sur le fonctionnement de l’Union européenne,</w:t>
      </w:r>
    </w:p>
    <w:p w:rsidR="001A62D7" w:rsidRPr="002E0F34" w:rsidRDefault="001A62D7" w:rsidP="001A62D7">
      <w:pPr>
        <w:rPr>
          <w:noProof/>
        </w:rPr>
      </w:pPr>
      <w:r w:rsidRPr="002E0F34">
        <w:rPr>
          <w:noProof/>
        </w:rPr>
        <w:t>vu le règlement (UE) 2021/691 du Parlement européen et du Conseil du 28 avril 2021 relatif au Fonds européen d’ajustement à la mondialisation en faveur des travailleurs licenciés (FEM) et abrogeant le règlement (UE) n</w:t>
      </w:r>
      <w:r w:rsidRPr="002E0F34">
        <w:rPr>
          <w:noProof/>
          <w:vertAlign w:val="superscript"/>
        </w:rPr>
        <w:t>o</w:t>
      </w:r>
      <w:r w:rsidRPr="002E0F34">
        <w:rPr>
          <w:noProof/>
        </w:rPr>
        <w:t> 1309/2013</w:t>
      </w:r>
      <w:r w:rsidRPr="002E0F34">
        <w:rPr>
          <w:rStyle w:val="FootnoteReference"/>
          <w:noProof/>
        </w:rPr>
        <w:footnoteReference w:id="42"/>
      </w:r>
      <w:r w:rsidRPr="002E0F34">
        <w:rPr>
          <w:noProof/>
        </w:rPr>
        <w:t>, et notamment son article 15, paragraphe 1, premier alinéa,</w:t>
      </w:r>
    </w:p>
    <w:p w:rsidR="001A62D7" w:rsidRPr="002E0F34" w:rsidRDefault="001A62D7" w:rsidP="001A62D7">
      <w:pPr>
        <w:rPr>
          <w:noProof/>
        </w:rPr>
      </w:pPr>
      <w:r w:rsidRPr="002E0F34">
        <w:rPr>
          <w:noProof/>
        </w:rPr>
        <w:t>vu l’accord interinstitutionnel du 16 décembre 2020 entre le Parlement européen, le Conseil de l’Union européenne et la Commission européenne sur la discipline budgétaire, la coopération en matière budgétaire et la bonne gestion financière, ainsi que sur de nouvelles ressources propres, comportant une feuille de route en vue de la mise en place de nouvelles ressources propres</w:t>
      </w:r>
      <w:r w:rsidRPr="002E0F34">
        <w:rPr>
          <w:rStyle w:val="FootnoteReference"/>
          <w:noProof/>
        </w:rPr>
        <w:footnoteReference w:id="43"/>
      </w:r>
      <w:r w:rsidRPr="002E0F34">
        <w:rPr>
          <w:noProof/>
        </w:rPr>
        <w:t>, et notamment son point 9,</w:t>
      </w:r>
    </w:p>
    <w:p w:rsidR="001A62D7" w:rsidRPr="002E0F34" w:rsidRDefault="001A62D7" w:rsidP="001A62D7">
      <w:pPr>
        <w:rPr>
          <w:noProof/>
        </w:rPr>
      </w:pPr>
      <w:r w:rsidRPr="002E0F34">
        <w:rPr>
          <w:noProof/>
        </w:rPr>
        <w:t>vu la proposition de la Commission européenne,</w:t>
      </w:r>
    </w:p>
    <w:p w:rsidR="001A62D7" w:rsidRPr="002E0F34" w:rsidRDefault="001A62D7" w:rsidP="001A62D7">
      <w:pPr>
        <w:rPr>
          <w:noProof/>
        </w:rPr>
      </w:pPr>
      <w:r w:rsidRPr="002E0F34">
        <w:rPr>
          <w:noProof/>
        </w:rPr>
        <w:t>considérant ce qui suit:</w:t>
      </w:r>
    </w:p>
    <w:p w:rsidR="001A62D7" w:rsidRPr="002E0F34" w:rsidRDefault="00D204AC" w:rsidP="00D204AC">
      <w:pPr>
        <w:pStyle w:val="ManualConsidrant"/>
        <w:rPr>
          <w:noProof/>
        </w:rPr>
      </w:pPr>
      <w:r w:rsidRPr="00D204AC">
        <w:rPr>
          <w:noProof/>
        </w:rPr>
        <w:t>(1)</w:t>
      </w:r>
      <w:r w:rsidRPr="00D204AC">
        <w:rPr>
          <w:noProof/>
        </w:rPr>
        <w:tab/>
      </w:r>
      <w:r w:rsidR="001A62D7" w:rsidRPr="002E0F34">
        <w:rPr>
          <w:noProof/>
        </w:rPr>
        <w:t>Le Fonds européen d’ajustement à la mondialisation en faveur des travailleurs licenciés (FEM) vise à faire preuve de solidarité et à promouvoir des emplois décents et durables dans l’Union en apportant un soutien aux travailleurs licenciés et aux travailleurs indépendants dont l’activité a cessé par suite de restructurations de grande ampleur et en les aidant à retrouver, dès que possible, un emploi décent et durable.</w:t>
      </w:r>
    </w:p>
    <w:p w:rsidR="001A62D7" w:rsidRPr="002E0F34" w:rsidRDefault="00D204AC" w:rsidP="00D204AC">
      <w:pPr>
        <w:pStyle w:val="ManualConsidrant"/>
        <w:rPr>
          <w:noProof/>
        </w:rPr>
      </w:pPr>
      <w:r w:rsidRPr="00D204AC">
        <w:rPr>
          <w:noProof/>
        </w:rPr>
        <w:t>(2)</w:t>
      </w:r>
      <w:r w:rsidRPr="00D204AC">
        <w:rPr>
          <w:noProof/>
        </w:rPr>
        <w:tab/>
      </w:r>
      <w:r w:rsidR="001A62D7" w:rsidRPr="002E0F34">
        <w:rPr>
          <w:noProof/>
        </w:rPr>
        <w:t>La dotation annuelle du FEM n’excède pas un montant maximal de 30 000 000 EUR (aux prix de 2018), comme le prévoient l’article 8 du règlement (UE, Euratom) 2020/2093 du Conseil</w:t>
      </w:r>
      <w:r w:rsidR="001A62D7" w:rsidRPr="002E0F34">
        <w:rPr>
          <w:rStyle w:val="FootnoteReference"/>
          <w:noProof/>
        </w:rPr>
        <w:footnoteReference w:id="44"/>
      </w:r>
      <w:r w:rsidR="001A62D7" w:rsidRPr="002E0F34">
        <w:rPr>
          <w:noProof/>
        </w:rPr>
        <w:t>, modifié par le règlement (UE, Euratom) 2024/765 du Conseil</w:t>
      </w:r>
      <w:r w:rsidR="001A62D7" w:rsidRPr="002E0F34">
        <w:rPr>
          <w:rStyle w:val="FootnoteReference"/>
          <w:noProof/>
        </w:rPr>
        <w:footnoteReference w:id="45"/>
      </w:r>
      <w:r w:rsidR="001A62D7" w:rsidRPr="002E0F34">
        <w:rPr>
          <w:noProof/>
        </w:rPr>
        <w:t>, et l’article 16 du règlement (UE) 2021/691.</w:t>
      </w:r>
    </w:p>
    <w:p w:rsidR="001A62D7" w:rsidRPr="002E0F34" w:rsidRDefault="00D204AC" w:rsidP="00D204AC">
      <w:pPr>
        <w:pStyle w:val="ManualConsidrant"/>
        <w:rPr>
          <w:noProof/>
        </w:rPr>
      </w:pPr>
      <w:r w:rsidRPr="00D204AC">
        <w:rPr>
          <w:noProof/>
        </w:rPr>
        <w:t>(3)</w:t>
      </w:r>
      <w:r w:rsidRPr="00D204AC">
        <w:rPr>
          <w:noProof/>
        </w:rPr>
        <w:tab/>
      </w:r>
      <w:r w:rsidR="001A62D7" w:rsidRPr="002E0F34">
        <w:rPr>
          <w:noProof/>
        </w:rPr>
        <w:t>Le 18 septembre 2025, la Belgique a présenté, conformément à l’article 8, paragraphe 1, du règlement (UE) 2021/691, une demande d’intervention du FEM en ce qui concerne les licenciements survenus chez Audi Brussels S.A.:n.V.et cinq de ses fournisseurs et producteurs en aval en Belgique. Des informations complémentaires ont été fournies conformément à l’article 8, paragraphe 5, du règlement (UE) 2021/691. Cette demande est considérée comme remplissant les conditions d’octroi d’une contribution financière du FEM conformément à l’article 13 du règlement (UE) 2021/691, sur la base de l’évaluation effectuée par la Commission dans la proposition de décision du Parlement européen et du Conseil relative à la mobilisation du FEM</w:t>
      </w:r>
      <w:r w:rsidR="001A62D7" w:rsidRPr="002E0F34">
        <w:rPr>
          <w:rStyle w:val="FootnoteReference"/>
          <w:iCs/>
          <w:noProof/>
        </w:rPr>
        <w:footnoteReference w:id="46"/>
      </w:r>
      <w:r w:rsidR="001A62D7" w:rsidRPr="002E0F34">
        <w:rPr>
          <w:noProof/>
        </w:rPr>
        <w:t>.</w:t>
      </w:r>
    </w:p>
    <w:p w:rsidR="001A62D7" w:rsidRPr="002E0F34" w:rsidRDefault="00D204AC" w:rsidP="00D204AC">
      <w:pPr>
        <w:pStyle w:val="ManualConsidrant"/>
        <w:rPr>
          <w:noProof/>
        </w:rPr>
      </w:pPr>
      <w:r w:rsidRPr="00D204AC">
        <w:rPr>
          <w:noProof/>
        </w:rPr>
        <w:t>(4)</w:t>
      </w:r>
      <w:r w:rsidRPr="00D204AC">
        <w:rPr>
          <w:noProof/>
        </w:rPr>
        <w:tab/>
      </w:r>
      <w:r w:rsidR="001A62D7" w:rsidRPr="002E0F34">
        <w:rPr>
          <w:noProof/>
        </w:rPr>
        <w:t>Il convient, par conséquent, de mobiliser le FEM en vue d’octroyer une contribution financière d’un montant de 7 527 625 EUR en réponse à la demande présentée par la Belgique.</w:t>
      </w:r>
    </w:p>
    <w:p w:rsidR="001A62D7" w:rsidRPr="002E0F34" w:rsidRDefault="00D204AC" w:rsidP="00D204AC">
      <w:pPr>
        <w:pStyle w:val="ManualConsidrant"/>
        <w:rPr>
          <w:noProof/>
        </w:rPr>
      </w:pPr>
      <w:r w:rsidRPr="00D204AC">
        <w:rPr>
          <w:noProof/>
        </w:rPr>
        <w:t>(5)</w:t>
      </w:r>
      <w:r w:rsidRPr="00D204AC">
        <w:rPr>
          <w:noProof/>
        </w:rPr>
        <w:tab/>
      </w:r>
      <w:r w:rsidR="001A62D7" w:rsidRPr="002E0F34">
        <w:rPr>
          <w:noProof/>
        </w:rPr>
        <w:t>Afin de limiter au maximum le délai de mobilisation du FEM, la présente décision devrait être applicable à partir de la date de son adoption,</w:t>
      </w:r>
    </w:p>
    <w:p w:rsidR="001A62D7" w:rsidRPr="002E0F34" w:rsidRDefault="001A62D7" w:rsidP="001A62D7">
      <w:pPr>
        <w:pStyle w:val="Formuledadoption"/>
        <w:rPr>
          <w:noProof/>
        </w:rPr>
      </w:pPr>
      <w:r w:rsidRPr="002E0F34">
        <w:rPr>
          <w:noProof/>
        </w:rPr>
        <w:t>ONT ADOPTÉ LA PRÉSENTE DÉCISION:</w:t>
      </w:r>
    </w:p>
    <w:p w:rsidR="001A62D7" w:rsidRPr="002E0F34" w:rsidRDefault="001A62D7" w:rsidP="001A62D7">
      <w:pPr>
        <w:pStyle w:val="Titrearticle"/>
        <w:rPr>
          <w:noProof/>
        </w:rPr>
      </w:pPr>
      <w:r w:rsidRPr="002E0F34">
        <w:rPr>
          <w:noProof/>
        </w:rPr>
        <w:t>Article premier</w:t>
      </w:r>
    </w:p>
    <w:p w:rsidR="001A62D7" w:rsidRPr="002E0F34" w:rsidRDefault="001A62D7" w:rsidP="001A62D7">
      <w:pPr>
        <w:rPr>
          <w:noProof/>
        </w:rPr>
      </w:pPr>
      <w:r w:rsidRPr="002E0F34">
        <w:rPr>
          <w:noProof/>
        </w:rPr>
        <w:t>Dans le cadre du budget général de l’Union établi pour l’exercice 2026, un montant de 7 527 625 EUR en crédits d’engagement et de paiement est mobilisé au titre du Fonds européen d’ajustement à la mondialisation en faveur des travailleurs licenciés.</w:t>
      </w:r>
    </w:p>
    <w:p w:rsidR="001A62D7" w:rsidRPr="002E0F34" w:rsidRDefault="001A62D7" w:rsidP="00483C7C">
      <w:pPr>
        <w:pStyle w:val="Titrearticle"/>
        <w:rPr>
          <w:noProof/>
        </w:rPr>
      </w:pPr>
      <w:r w:rsidRPr="002E0F34">
        <w:rPr>
          <w:noProof/>
        </w:rPr>
        <w:t>Article 2</w:t>
      </w:r>
    </w:p>
    <w:p w:rsidR="001A62D7" w:rsidRPr="002E0F34" w:rsidRDefault="001A62D7" w:rsidP="001A62D7">
      <w:pPr>
        <w:keepNext/>
        <w:keepLines/>
        <w:rPr>
          <w:noProof/>
        </w:rPr>
      </w:pPr>
      <w:r w:rsidRPr="002E0F34">
        <w:rPr>
          <w:noProof/>
        </w:rPr>
        <w:t xml:space="preserve">La présente décision entre en vigueur le jour de sa publication au </w:t>
      </w:r>
      <w:r w:rsidRPr="002E0F34">
        <w:rPr>
          <w:i/>
          <w:noProof/>
        </w:rPr>
        <w:t>Journal officiel de l’Union européenne</w:t>
      </w:r>
      <w:r w:rsidRPr="002E0F34">
        <w:rPr>
          <w:noProof/>
        </w:rPr>
        <w:t xml:space="preserve">. Elle est applicable à partir du </w:t>
      </w:r>
      <w:r w:rsidRPr="002E0F34">
        <w:rPr>
          <w:noProof/>
          <w:color w:val="FF0000"/>
        </w:rPr>
        <w:t>[</w:t>
      </w:r>
      <w:r w:rsidRPr="002E0F34">
        <w:rPr>
          <w:i/>
          <w:noProof/>
          <w:color w:val="FF0000"/>
        </w:rPr>
        <w:t>date de son adoption</w:t>
      </w:r>
      <w:r w:rsidRPr="002E0F34">
        <w:rPr>
          <w:noProof/>
          <w:color w:val="FF0000"/>
        </w:rPr>
        <w:t>]</w:t>
      </w:r>
      <w:r w:rsidRPr="002E0F34">
        <w:rPr>
          <w:rStyle w:val="FootnoteReference"/>
          <w:noProof/>
          <w:color w:val="FF0000"/>
        </w:rPr>
        <w:footnoteReference w:customMarkFollows="1" w:id="47"/>
        <w:t>*</w:t>
      </w:r>
      <w:r w:rsidRPr="002E0F34">
        <w:rPr>
          <w:noProof/>
        </w:rPr>
        <w:t>.</w:t>
      </w:r>
    </w:p>
    <w:p w:rsidR="001A62D7" w:rsidRPr="002E0F34" w:rsidRDefault="002E0F34" w:rsidP="00483C7C">
      <w:pPr>
        <w:pStyle w:val="Fait"/>
        <w:rPr>
          <w:noProof/>
        </w:rPr>
      </w:pPr>
      <w:r>
        <w:rPr>
          <w:noProof/>
        </w:rPr>
        <w:t>Fait à Bruxelles, le</w:t>
      </w:r>
    </w:p>
    <w:p w:rsidR="001A62D7" w:rsidRPr="002E0F34" w:rsidRDefault="001A62D7" w:rsidP="00483C7C">
      <w:pPr>
        <w:pStyle w:val="Institutionquisigne"/>
        <w:rPr>
          <w:noProof/>
        </w:rPr>
      </w:pPr>
      <w:r w:rsidRPr="002E0F34">
        <w:rPr>
          <w:noProof/>
        </w:rPr>
        <w:t>Par le Parlement européen</w:t>
      </w:r>
      <w:r w:rsidRPr="002E0F34">
        <w:rPr>
          <w:noProof/>
        </w:rPr>
        <w:tab/>
        <w:t>Par le Conseil</w:t>
      </w:r>
    </w:p>
    <w:p w:rsidR="001A62D7" w:rsidRPr="002E0F34" w:rsidRDefault="001A62D7" w:rsidP="001A62D7">
      <w:pPr>
        <w:pStyle w:val="Personnequisigne"/>
        <w:rPr>
          <w:noProof/>
        </w:rPr>
      </w:pPr>
      <w:r w:rsidRPr="002E0F34">
        <w:rPr>
          <w:noProof/>
        </w:rPr>
        <w:t>La présidente</w:t>
      </w:r>
      <w:r w:rsidRPr="002E0F34">
        <w:rPr>
          <w:noProof/>
        </w:rPr>
        <w:tab/>
        <w:t xml:space="preserve">Le président </w:t>
      </w:r>
      <w:r w:rsidRPr="002E0F34">
        <w:rPr>
          <w:noProof/>
        </w:rPr>
        <w:br/>
      </w:r>
    </w:p>
    <w:sectPr w:rsidR="001A62D7" w:rsidRPr="002E0F34" w:rsidSect="00B63B13">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3227" w:rsidRDefault="00243227" w:rsidP="001A62D7">
      <w:pPr>
        <w:spacing w:before="0" w:after="0"/>
      </w:pPr>
      <w:r>
        <w:separator/>
      </w:r>
    </w:p>
  </w:endnote>
  <w:endnote w:type="continuationSeparator" w:id="0">
    <w:p w:rsidR="00243227" w:rsidRDefault="00243227" w:rsidP="001A62D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3B13" w:rsidRPr="00B63B13" w:rsidRDefault="00B63B13" w:rsidP="00B63B13">
    <w:pPr>
      <w:pStyle w:val="Footer"/>
      <w:rPr>
        <w:rFonts w:ascii="Arial" w:hAnsi="Arial" w:cs="Arial"/>
        <w:b/>
        <w:sz w:val="48"/>
      </w:rPr>
    </w:pPr>
    <w:r w:rsidRPr="00B63B13">
      <w:rPr>
        <w:rFonts w:ascii="Arial" w:hAnsi="Arial" w:cs="Arial"/>
        <w:b/>
        <w:sz w:val="48"/>
      </w:rPr>
      <w:t>FR</w:t>
    </w:r>
    <w:r w:rsidRPr="00B63B13">
      <w:rPr>
        <w:rFonts w:ascii="Arial" w:hAnsi="Arial" w:cs="Arial"/>
        <w:b/>
        <w:sz w:val="48"/>
      </w:rPr>
      <w:tab/>
    </w:r>
    <w:r w:rsidRPr="00B63B13">
      <w:rPr>
        <w:rFonts w:ascii="Arial" w:hAnsi="Arial" w:cs="Arial"/>
        <w:b/>
        <w:sz w:val="48"/>
      </w:rPr>
      <w:tab/>
    </w:r>
    <w:r w:rsidRPr="00B63B13">
      <w:tab/>
    </w:r>
    <w:r w:rsidRPr="00B63B13">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3B13" w:rsidRPr="00B63B13" w:rsidRDefault="00B63B13" w:rsidP="00B63B13">
    <w:pPr>
      <w:pStyle w:val="Footer"/>
      <w:rPr>
        <w:rFonts w:ascii="Arial" w:hAnsi="Arial" w:cs="Arial"/>
        <w:b/>
        <w:sz w:val="48"/>
      </w:rPr>
    </w:pPr>
    <w:r w:rsidRPr="00B63B13">
      <w:rPr>
        <w:rFonts w:ascii="Arial" w:hAnsi="Arial" w:cs="Arial"/>
        <w:b/>
        <w:sz w:val="48"/>
      </w:rPr>
      <w:t>FR</w:t>
    </w:r>
    <w:r w:rsidRPr="00B63B13">
      <w:rPr>
        <w:rFonts w:ascii="Arial" w:hAnsi="Arial" w:cs="Arial"/>
        <w:b/>
        <w:sz w:val="48"/>
      </w:rPr>
      <w:tab/>
    </w:r>
    <w:r w:rsidRPr="00B63B13">
      <w:rPr>
        <w:rFonts w:ascii="Arial" w:hAnsi="Arial" w:cs="Arial"/>
        <w:b/>
        <w:sz w:val="48"/>
      </w:rPr>
      <w:tab/>
    </w:r>
    <w:r w:rsidRPr="00B63B13">
      <w:tab/>
    </w:r>
    <w:r w:rsidRPr="00B63B13">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3B13" w:rsidRDefault="00B63B1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3B13" w:rsidRPr="00B63B13" w:rsidRDefault="00B63B13" w:rsidP="00B63B13">
    <w:pPr>
      <w:pStyle w:val="Footer"/>
      <w:rPr>
        <w:rFonts w:ascii="Arial" w:hAnsi="Arial" w:cs="Arial"/>
        <w:b/>
        <w:sz w:val="48"/>
      </w:rPr>
    </w:pPr>
    <w:r w:rsidRPr="00B63B13">
      <w:rPr>
        <w:rFonts w:ascii="Arial" w:hAnsi="Arial" w:cs="Arial"/>
        <w:b/>
        <w:sz w:val="48"/>
      </w:rPr>
      <w:t>FR</w:t>
    </w:r>
    <w:r w:rsidRPr="00B63B13">
      <w:rPr>
        <w:rFonts w:ascii="Arial" w:hAnsi="Arial" w:cs="Arial"/>
        <w:b/>
        <w:sz w:val="48"/>
      </w:rPr>
      <w:tab/>
    </w:r>
    <w:r>
      <w:fldChar w:fldCharType="begin"/>
    </w:r>
    <w:r>
      <w:instrText xml:space="preserve"> PAGE  \* MERGEFORMAT </w:instrText>
    </w:r>
    <w:r>
      <w:fldChar w:fldCharType="separate"/>
    </w:r>
    <w:r w:rsidR="00483C7C">
      <w:rPr>
        <w:noProof/>
      </w:rPr>
      <w:t>13</w:t>
    </w:r>
    <w:r>
      <w:fldChar w:fldCharType="end"/>
    </w:r>
    <w:r>
      <w:tab/>
    </w:r>
    <w:r w:rsidRPr="00B63B13">
      <w:tab/>
    </w:r>
    <w:r w:rsidRPr="00B63B13">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3B13" w:rsidRDefault="00B63B13" w:rsidP="00B63B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3227" w:rsidRDefault="00243227" w:rsidP="001A62D7">
      <w:pPr>
        <w:spacing w:before="0" w:after="0"/>
      </w:pPr>
      <w:r>
        <w:separator/>
      </w:r>
    </w:p>
  </w:footnote>
  <w:footnote w:type="continuationSeparator" w:id="0">
    <w:p w:rsidR="00243227" w:rsidRDefault="00243227" w:rsidP="001A62D7">
      <w:pPr>
        <w:spacing w:before="0" w:after="0"/>
      </w:pPr>
      <w:r>
        <w:continuationSeparator/>
      </w:r>
    </w:p>
  </w:footnote>
  <w:footnote w:id="1">
    <w:p w:rsidR="001A62D7" w:rsidRPr="0008361C" w:rsidRDefault="001A62D7" w:rsidP="001A62D7">
      <w:pPr>
        <w:pStyle w:val="FootnoteText"/>
        <w:rPr>
          <w:lang w:val="fr-BE"/>
        </w:rPr>
      </w:pPr>
      <w:r>
        <w:rPr>
          <w:rStyle w:val="FootnoteReference"/>
        </w:rPr>
        <w:footnoteRef/>
      </w:r>
      <w:r w:rsidRPr="0008361C">
        <w:rPr>
          <w:lang w:val="fr-BE"/>
        </w:rPr>
        <w:tab/>
        <w:t>JO L 153 du 3.5.2021, p. 48.</w:t>
      </w:r>
    </w:p>
  </w:footnote>
  <w:footnote w:id="2">
    <w:p w:rsidR="001A62D7" w:rsidRPr="0008361C" w:rsidRDefault="001A62D7" w:rsidP="001A62D7">
      <w:pPr>
        <w:pStyle w:val="FootnoteText"/>
        <w:rPr>
          <w:lang w:val="fr-BE"/>
        </w:rPr>
      </w:pPr>
      <w:r>
        <w:rPr>
          <w:rStyle w:val="FootnoteReference"/>
        </w:rPr>
        <w:footnoteRef/>
      </w:r>
      <w:r w:rsidRPr="0008361C">
        <w:rPr>
          <w:lang w:val="fr-BE"/>
        </w:rPr>
        <w:tab/>
        <w:t>Règlement délégué (UE) 2019/1755 de la Commission du 8 août 2019 modifiant les annexes du règlement (CE) nº 1059/2003 du Parlement européen et du Conseil relatif à l’établissement d’une nomenclature commune des unités territoriales statistiques (NUTS). (JO L 270 du 24.10.2019, p. 1).</w:t>
      </w:r>
    </w:p>
  </w:footnote>
  <w:footnote w:id="3">
    <w:p w:rsidR="001C4425" w:rsidRPr="0008361C" w:rsidRDefault="001C4425">
      <w:pPr>
        <w:pStyle w:val="FootnoteText"/>
        <w:rPr>
          <w:lang w:val="fr-BE"/>
        </w:rPr>
      </w:pPr>
      <w:r>
        <w:rPr>
          <w:rStyle w:val="FootnoteReference"/>
        </w:rPr>
        <w:footnoteRef/>
      </w:r>
      <w:r w:rsidRPr="0008361C">
        <w:rPr>
          <w:lang w:val="fr-BE"/>
        </w:rPr>
        <w:tab/>
        <w:t>Les régions les plus touchées, étant entendu que les licenciements sont répartis sur l’ensemble du territoire belge.</w:t>
      </w:r>
    </w:p>
  </w:footnote>
  <w:footnote w:id="4">
    <w:p w:rsidR="001A62D7" w:rsidRPr="0008361C" w:rsidRDefault="001A62D7" w:rsidP="001A62D7">
      <w:pPr>
        <w:pStyle w:val="FootnoteText"/>
        <w:rPr>
          <w:lang w:val="fr-BE"/>
        </w:rPr>
      </w:pPr>
      <w:r>
        <w:rPr>
          <w:rStyle w:val="FootnoteReference"/>
        </w:rPr>
        <w:footnoteRef/>
      </w:r>
      <w:r w:rsidRPr="0008361C">
        <w:rPr>
          <w:lang w:val="fr-BE"/>
        </w:rPr>
        <w:tab/>
        <w:t>JO L 393 du 30.12.2006, p. 1.</w:t>
      </w:r>
    </w:p>
  </w:footnote>
  <w:footnote w:id="5">
    <w:p w:rsidR="00424B7A" w:rsidRPr="0008361C" w:rsidRDefault="00424B7A">
      <w:pPr>
        <w:pStyle w:val="FootnoteText"/>
        <w:rPr>
          <w:lang w:val="fr-BE"/>
        </w:rPr>
      </w:pPr>
      <w:r>
        <w:rPr>
          <w:rStyle w:val="FootnoteReference"/>
        </w:rPr>
        <w:footnoteRef/>
      </w:r>
      <w:r w:rsidRPr="0008361C">
        <w:rPr>
          <w:lang w:val="fr-BE"/>
        </w:rPr>
        <w:tab/>
        <w:t>Le secteur d’activité économique de deux fournisseurs et producteurs en aval d’Audi (Imperial logistics et Rhenus automotive) est la division 52 (Entreposage et services auxiliaires des transports).</w:t>
      </w:r>
    </w:p>
  </w:footnote>
  <w:footnote w:id="6">
    <w:p w:rsidR="001A62D7" w:rsidRPr="0008361C" w:rsidRDefault="001A62D7" w:rsidP="001A62D7">
      <w:pPr>
        <w:pStyle w:val="FootnoteText"/>
        <w:rPr>
          <w:lang w:val="fr-BE"/>
        </w:rPr>
      </w:pPr>
      <w:r>
        <w:rPr>
          <w:rStyle w:val="FootnoteReference"/>
        </w:rPr>
        <w:footnoteRef/>
      </w:r>
      <w:r w:rsidRPr="0008361C">
        <w:rPr>
          <w:lang w:val="fr-BE"/>
        </w:rPr>
        <w:tab/>
        <w:t>Conformément à l’article 7, paragraphe 5, du règlement (UE) 2021/691.</w:t>
      </w:r>
    </w:p>
  </w:footnote>
  <w:footnote w:id="7">
    <w:p w:rsidR="003479D0" w:rsidRPr="0008361C" w:rsidRDefault="003479D0">
      <w:pPr>
        <w:pStyle w:val="FootnoteText"/>
        <w:rPr>
          <w:lang w:val="fr-BE"/>
        </w:rPr>
      </w:pPr>
      <w:r>
        <w:rPr>
          <w:rStyle w:val="FootnoteReference"/>
        </w:rPr>
        <w:footnoteRef/>
      </w:r>
      <w:r w:rsidRPr="0008361C">
        <w:rPr>
          <w:lang w:val="fr-BE"/>
        </w:rPr>
        <w:tab/>
        <w:t>Une ligne de presse est un ensemble de machines d’estampage et de formage conçues pour produire en masse des pièces métalliques telles que des châssis et des panneaux de carrosserie de voiture.</w:t>
      </w:r>
    </w:p>
  </w:footnote>
  <w:footnote w:id="8">
    <w:p w:rsidR="002B1CAD" w:rsidRPr="0008361C" w:rsidRDefault="002B1CAD">
      <w:pPr>
        <w:pStyle w:val="FootnoteText"/>
        <w:rPr>
          <w:lang w:val="fr-BE"/>
        </w:rPr>
      </w:pPr>
      <w:r>
        <w:rPr>
          <w:rStyle w:val="FootnoteReference"/>
        </w:rPr>
        <w:footnoteRef/>
      </w:r>
      <w:r w:rsidRPr="0008361C">
        <w:rPr>
          <w:lang w:val="fr-BE"/>
        </w:rPr>
        <w:tab/>
        <w:t>Revue économique de la Banque nationale de Belgique 2024, p. 18.</w:t>
      </w:r>
    </w:p>
  </w:footnote>
  <w:footnote w:id="9">
    <w:p w:rsidR="00F11701" w:rsidRPr="0008361C" w:rsidRDefault="00F11701">
      <w:pPr>
        <w:pStyle w:val="FootnoteText"/>
        <w:rPr>
          <w:lang w:val="fr-BE"/>
        </w:rPr>
      </w:pPr>
      <w:r>
        <w:rPr>
          <w:rStyle w:val="FootnoteReference"/>
        </w:rPr>
        <w:footnoteRef/>
      </w:r>
      <w:r w:rsidRPr="0008361C">
        <w:rPr>
          <w:lang w:val="fr-BE"/>
        </w:rPr>
        <w:tab/>
      </w:r>
      <w:hyperlink r:id="rId1" w:history="1">
        <w:r w:rsidRPr="0008361C">
          <w:rPr>
            <w:rStyle w:val="Hyperlink"/>
            <w:lang w:val="fr-BE"/>
          </w:rPr>
          <w:t>Statbel (faillites en 2024)</w:t>
        </w:r>
      </w:hyperlink>
      <w:r w:rsidRPr="0008361C">
        <w:rPr>
          <w:lang w:val="fr-BE"/>
        </w:rPr>
        <w:t>.</w:t>
      </w:r>
    </w:p>
  </w:footnote>
  <w:footnote w:id="10">
    <w:p w:rsidR="00F054C5" w:rsidRPr="0008361C" w:rsidRDefault="00F054C5">
      <w:pPr>
        <w:pStyle w:val="FootnoteText"/>
        <w:rPr>
          <w:lang w:val="fr-BE"/>
        </w:rPr>
      </w:pPr>
      <w:r>
        <w:rPr>
          <w:rStyle w:val="FootnoteReference"/>
        </w:rPr>
        <w:footnoteRef/>
      </w:r>
      <w:r w:rsidRPr="0008361C">
        <w:rPr>
          <w:lang w:val="fr-BE"/>
        </w:rPr>
        <w:tab/>
      </w:r>
      <w:hyperlink r:id="rId2" w:anchor="Chiffres" w:history="1">
        <w:r w:rsidRPr="0008361C">
          <w:rPr>
            <w:rStyle w:val="Hyperlink"/>
            <w:lang w:val="fr-BE"/>
          </w:rPr>
          <w:t>Statbel (faillites mensuelles)</w:t>
        </w:r>
      </w:hyperlink>
      <w:r w:rsidRPr="0008361C">
        <w:rPr>
          <w:lang w:val="fr-BE"/>
        </w:rPr>
        <w:t>.</w:t>
      </w:r>
    </w:p>
  </w:footnote>
  <w:footnote w:id="11">
    <w:p w:rsidR="00AD00C3" w:rsidRPr="0008361C" w:rsidRDefault="00AD00C3">
      <w:pPr>
        <w:pStyle w:val="FootnoteText"/>
        <w:rPr>
          <w:lang w:val="fr-BE"/>
        </w:rPr>
      </w:pPr>
      <w:r>
        <w:rPr>
          <w:rStyle w:val="FootnoteReference"/>
        </w:rPr>
        <w:footnoteRef/>
      </w:r>
      <w:r w:rsidRPr="0008361C">
        <w:rPr>
          <w:lang w:val="fr-BE"/>
        </w:rPr>
        <w:tab/>
        <w:t>Le Forem, Tendances et conjoncture, février 2025, p. 10</w:t>
      </w:r>
    </w:p>
  </w:footnote>
  <w:footnote w:id="12">
    <w:p w:rsidR="00217F8F" w:rsidRPr="0008361C" w:rsidRDefault="00217F8F">
      <w:pPr>
        <w:pStyle w:val="FootnoteText"/>
        <w:rPr>
          <w:lang w:val="fr-BE"/>
        </w:rPr>
      </w:pPr>
      <w:r>
        <w:rPr>
          <w:rStyle w:val="FootnoteReference"/>
        </w:rPr>
        <w:footnoteRef/>
      </w:r>
      <w:r w:rsidRPr="0008361C">
        <w:rPr>
          <w:lang w:val="fr-BE"/>
        </w:rPr>
        <w:tab/>
      </w:r>
      <w:hyperlink r:id="rId3" w:history="1">
        <w:r w:rsidRPr="0008361C">
          <w:rPr>
            <w:rStyle w:val="Hyperlink"/>
            <w:lang w:val="fr-BE"/>
          </w:rPr>
          <w:t>Statbel (faillites en 2024)</w:t>
        </w:r>
      </w:hyperlink>
      <w:r w:rsidRPr="0008361C">
        <w:rPr>
          <w:lang w:val="fr-BE"/>
        </w:rPr>
        <w:t>.</w:t>
      </w:r>
    </w:p>
  </w:footnote>
  <w:footnote w:id="13">
    <w:p w:rsidR="004C5360" w:rsidRPr="0008361C" w:rsidRDefault="004C5360">
      <w:pPr>
        <w:pStyle w:val="FootnoteText"/>
        <w:rPr>
          <w:lang w:val="fr-BE"/>
        </w:rPr>
      </w:pPr>
      <w:r>
        <w:rPr>
          <w:rStyle w:val="FootnoteReference"/>
        </w:rPr>
        <w:footnoteRef/>
      </w:r>
      <w:r w:rsidRPr="0008361C">
        <w:rPr>
          <w:lang w:val="fr-BE"/>
        </w:rPr>
        <w:tab/>
        <w:t>Statbel (</w:t>
      </w:r>
      <w:hyperlink r:id="rId4" w:history="1">
        <w:r w:rsidRPr="0008361C">
          <w:rPr>
            <w:rStyle w:val="Hyperlink"/>
            <w:lang w:val="fr-BE"/>
          </w:rPr>
          <w:t xml:space="preserve">nombre de faillites et de pertes d’emploi en Belqique par mois </w:t>
        </w:r>
      </w:hyperlink>
      <w:r w:rsidRPr="0008361C">
        <w:rPr>
          <w:lang w:val="fr-BE"/>
        </w:rPr>
        <w:t>).</w:t>
      </w:r>
    </w:p>
  </w:footnote>
  <w:footnote w:id="14">
    <w:p w:rsidR="00D95ACC" w:rsidRPr="0008361C" w:rsidRDefault="00D95ACC">
      <w:pPr>
        <w:pStyle w:val="FootnoteText"/>
        <w:rPr>
          <w:lang w:val="fr-BE"/>
        </w:rPr>
      </w:pPr>
      <w:r>
        <w:rPr>
          <w:rStyle w:val="FootnoteReference"/>
        </w:rPr>
        <w:footnoteRef/>
      </w:r>
      <w:r w:rsidRPr="0008361C">
        <w:rPr>
          <w:lang w:val="fr-BE"/>
        </w:rPr>
        <w:tab/>
        <w:t>Statbel (</w:t>
      </w:r>
      <w:hyperlink r:id="rId5" w:history="1">
        <w:r w:rsidRPr="0008361C">
          <w:rPr>
            <w:rStyle w:val="Hyperlink"/>
            <w:lang w:val="fr-BE"/>
          </w:rPr>
          <w:t>faillites et perte d’emplois en Belgique par mois et par activité économique</w:t>
        </w:r>
      </w:hyperlink>
      <w:r w:rsidRPr="0008361C">
        <w:rPr>
          <w:lang w:val="fr-BE"/>
        </w:rPr>
        <w:t>).</w:t>
      </w:r>
    </w:p>
  </w:footnote>
  <w:footnote w:id="15">
    <w:p w:rsidR="00583654" w:rsidRPr="0008361C" w:rsidRDefault="00583654">
      <w:pPr>
        <w:pStyle w:val="FootnoteText"/>
        <w:rPr>
          <w:lang w:val="fr-BE"/>
        </w:rPr>
      </w:pPr>
      <w:r>
        <w:rPr>
          <w:rStyle w:val="FootnoteReference"/>
        </w:rPr>
        <w:footnoteRef/>
      </w:r>
      <w:r w:rsidRPr="0008361C">
        <w:rPr>
          <w:lang w:val="fr-BE"/>
        </w:rPr>
        <w:tab/>
        <w:t>Statbel (</w:t>
      </w:r>
      <w:hyperlink r:id="rId6" w:anchor="Chiffres" w:history="1">
        <w:r w:rsidRPr="0008361C">
          <w:rPr>
            <w:rStyle w:val="Hyperlink"/>
            <w:lang w:val="fr-BE"/>
          </w:rPr>
          <w:t>emploi et chômage</w:t>
        </w:r>
      </w:hyperlink>
      <w:r w:rsidRPr="0008361C">
        <w:rPr>
          <w:lang w:val="fr-BE"/>
        </w:rPr>
        <w:t>).</w:t>
      </w:r>
    </w:p>
  </w:footnote>
  <w:footnote w:id="16">
    <w:p w:rsidR="00583654" w:rsidRPr="0008361C" w:rsidRDefault="00583654">
      <w:pPr>
        <w:pStyle w:val="FootnoteText"/>
        <w:rPr>
          <w:lang w:val="fr-BE"/>
        </w:rPr>
      </w:pPr>
      <w:r>
        <w:rPr>
          <w:rStyle w:val="FootnoteReference"/>
        </w:rPr>
        <w:footnoteRef/>
      </w:r>
      <w:r w:rsidRPr="0008361C">
        <w:rPr>
          <w:lang w:val="fr-BE"/>
        </w:rPr>
        <w:tab/>
        <w:t xml:space="preserve">Eurostat, </w:t>
      </w:r>
      <w:hyperlink r:id="rId7" w:anchor=":~:text=The%20EU%20unemployment%20rate%20was,were%20unemployed%20in%20August%202025." w:history="1">
        <w:r w:rsidRPr="0008361C">
          <w:rPr>
            <w:rStyle w:val="Hyperlink"/>
            <w:lang w:val="fr-BE"/>
          </w:rPr>
          <w:t>euro-indicateurs</w:t>
        </w:r>
      </w:hyperlink>
      <w:r w:rsidRPr="0008361C">
        <w:rPr>
          <w:lang w:val="fr-BE"/>
        </w:rPr>
        <w:t>.</w:t>
      </w:r>
    </w:p>
  </w:footnote>
  <w:footnote w:id="17">
    <w:p w:rsidR="00583654" w:rsidRPr="0008361C" w:rsidRDefault="00583654">
      <w:pPr>
        <w:pStyle w:val="FootnoteText"/>
        <w:rPr>
          <w:lang w:val="fr-BE"/>
        </w:rPr>
      </w:pPr>
      <w:r>
        <w:rPr>
          <w:rStyle w:val="FootnoteReference"/>
        </w:rPr>
        <w:footnoteRef/>
      </w:r>
      <w:r w:rsidRPr="0008361C">
        <w:rPr>
          <w:lang w:val="fr-BE"/>
        </w:rPr>
        <w:tab/>
        <w:t>Statbel (</w:t>
      </w:r>
      <w:hyperlink r:id="rId8" w:anchor="Chiffres" w:history="1">
        <w:r w:rsidRPr="0008361C">
          <w:rPr>
            <w:rStyle w:val="Hyperlink"/>
            <w:lang w:val="fr-BE"/>
          </w:rPr>
          <w:t>emploi et chômage</w:t>
        </w:r>
      </w:hyperlink>
      <w:r w:rsidRPr="0008361C">
        <w:rPr>
          <w:lang w:val="fr-BE"/>
        </w:rPr>
        <w:t>).</w:t>
      </w:r>
    </w:p>
  </w:footnote>
  <w:footnote w:id="18">
    <w:p w:rsidR="00982507" w:rsidRPr="0008361C" w:rsidRDefault="00982507">
      <w:pPr>
        <w:pStyle w:val="FootnoteText"/>
        <w:rPr>
          <w:lang w:val="fr-BE"/>
        </w:rPr>
      </w:pPr>
      <w:r>
        <w:rPr>
          <w:rStyle w:val="FootnoteReference"/>
        </w:rPr>
        <w:footnoteRef/>
      </w:r>
      <w:r w:rsidRPr="0008361C">
        <w:rPr>
          <w:lang w:val="fr-BE"/>
        </w:rPr>
        <w:tab/>
        <w:t>Statbel (</w:t>
      </w:r>
      <w:hyperlink r:id="rId9" w:history="1">
        <w:r w:rsidRPr="0008361C">
          <w:rPr>
            <w:rStyle w:val="Hyperlink"/>
            <w:lang w:val="fr-BE"/>
          </w:rPr>
          <w:t>emploi et chômage</w:t>
        </w:r>
      </w:hyperlink>
      <w:r w:rsidRPr="0008361C">
        <w:rPr>
          <w:lang w:val="fr-BE"/>
        </w:rPr>
        <w:t>).</w:t>
      </w:r>
    </w:p>
  </w:footnote>
  <w:footnote w:id="19">
    <w:p w:rsidR="0041705D" w:rsidRPr="0008361C" w:rsidRDefault="0041705D">
      <w:pPr>
        <w:pStyle w:val="FootnoteText"/>
        <w:rPr>
          <w:lang w:val="fr-BE"/>
        </w:rPr>
      </w:pPr>
      <w:r>
        <w:rPr>
          <w:rStyle w:val="FootnoteReference"/>
        </w:rPr>
        <w:footnoteRef/>
      </w:r>
      <w:r w:rsidRPr="0008361C">
        <w:rPr>
          <w:lang w:val="fr-BE"/>
        </w:rPr>
        <w:tab/>
        <w:t>Statbel (</w:t>
      </w:r>
      <w:hyperlink r:id="rId10" w:anchor="Groupe 11" w:history="1">
        <w:r w:rsidRPr="0008361C">
          <w:rPr>
            <w:rStyle w:val="Hyperlink"/>
            <w:lang w:val="fr-BE"/>
          </w:rPr>
          <w:t>emploi et chômage</w:t>
        </w:r>
      </w:hyperlink>
      <w:r w:rsidRPr="0008361C">
        <w:rPr>
          <w:lang w:val="fr-BE"/>
        </w:rPr>
        <w:t>).</w:t>
      </w:r>
    </w:p>
  </w:footnote>
  <w:footnote w:id="20">
    <w:p w:rsidR="005E5B98" w:rsidRPr="0008361C" w:rsidRDefault="005E5B98">
      <w:pPr>
        <w:pStyle w:val="FootnoteText"/>
        <w:rPr>
          <w:lang w:val="fr-BE"/>
        </w:rPr>
      </w:pPr>
      <w:r>
        <w:rPr>
          <w:rStyle w:val="FootnoteReference"/>
        </w:rPr>
        <w:footnoteRef/>
      </w:r>
      <w:r w:rsidRPr="0008361C">
        <w:rPr>
          <w:lang w:val="fr-BE"/>
        </w:rPr>
        <w:tab/>
        <w:t>Le Forem. Photo locale de la demande d’emploi. Janvier</w:t>
      </w:r>
      <w:r w:rsidR="0008361C">
        <w:rPr>
          <w:lang w:val="fr-BE"/>
        </w:rPr>
        <w:t> </w:t>
      </w:r>
      <w:r w:rsidRPr="0008361C">
        <w:rPr>
          <w:lang w:val="fr-BE"/>
        </w:rPr>
        <w:t>2025.</w:t>
      </w:r>
    </w:p>
  </w:footnote>
  <w:footnote w:id="21">
    <w:p w:rsidR="005E5B98" w:rsidRPr="0008361C" w:rsidRDefault="005E5B98">
      <w:pPr>
        <w:pStyle w:val="FootnoteText"/>
        <w:rPr>
          <w:lang w:val="fr-BE"/>
        </w:rPr>
      </w:pPr>
      <w:r>
        <w:rPr>
          <w:rStyle w:val="FootnoteReference"/>
        </w:rPr>
        <w:footnoteRef/>
      </w:r>
      <w:r w:rsidRPr="0008361C">
        <w:rPr>
          <w:lang w:val="fr-BE"/>
        </w:rPr>
        <w:tab/>
      </w:r>
      <w:hyperlink r:id="rId11" w:history="1">
        <w:r w:rsidRPr="0008361C">
          <w:rPr>
            <w:rStyle w:val="Hyperlink"/>
            <w:lang w:val="fr-BE"/>
          </w:rPr>
          <w:t>Région de Bruxelles-Capitale.</w:t>
        </w:r>
      </w:hyperlink>
      <w:hyperlink r:id="rId12" w:history="1">
        <w:r w:rsidRPr="0008361C">
          <w:rPr>
            <w:rStyle w:val="Hyperlink"/>
            <w:lang w:val="fr-BE"/>
          </w:rPr>
          <w:t xml:space="preserve">  Demande d’emploi - Septembre 2025.</w:t>
        </w:r>
      </w:hyperlink>
    </w:p>
  </w:footnote>
  <w:footnote w:id="22">
    <w:p w:rsidR="005C7561" w:rsidRPr="0008361C" w:rsidRDefault="005C7561">
      <w:pPr>
        <w:pStyle w:val="FootnoteText"/>
        <w:rPr>
          <w:lang w:val="fr-BE"/>
        </w:rPr>
      </w:pPr>
      <w:r>
        <w:rPr>
          <w:rStyle w:val="FootnoteReference"/>
        </w:rPr>
        <w:footnoteRef/>
      </w:r>
      <w:r w:rsidRPr="0008361C">
        <w:rPr>
          <w:lang w:val="fr-BE"/>
        </w:rPr>
        <w:tab/>
        <w:t>Enseignement secondaire ou niveau inférieur.</w:t>
      </w:r>
    </w:p>
  </w:footnote>
  <w:footnote w:id="23">
    <w:p w:rsidR="002D19DD" w:rsidRPr="0008361C" w:rsidRDefault="002D19DD">
      <w:pPr>
        <w:pStyle w:val="FootnoteText"/>
        <w:rPr>
          <w:lang w:val="fr-BE"/>
        </w:rPr>
      </w:pPr>
      <w:r>
        <w:rPr>
          <w:rStyle w:val="FootnoteReference"/>
        </w:rPr>
        <w:footnoteRef/>
      </w:r>
      <w:r w:rsidRPr="0008361C">
        <w:rPr>
          <w:lang w:val="fr-BE"/>
        </w:rPr>
        <w:tab/>
        <w:t>Le Forem. Photo locale de la demande d’emploi. Janvier</w:t>
      </w:r>
      <w:r w:rsidR="0008361C">
        <w:rPr>
          <w:lang w:val="fr-BE"/>
        </w:rPr>
        <w:t> </w:t>
      </w:r>
      <w:r w:rsidRPr="0008361C">
        <w:rPr>
          <w:lang w:val="fr-BE"/>
        </w:rPr>
        <w:t>2025.</w:t>
      </w:r>
    </w:p>
  </w:footnote>
  <w:footnote w:id="24">
    <w:p w:rsidR="005E5B98" w:rsidRPr="0008361C" w:rsidRDefault="005E5B98">
      <w:pPr>
        <w:pStyle w:val="FootnoteText"/>
        <w:rPr>
          <w:lang w:val="fr-BE"/>
        </w:rPr>
      </w:pPr>
      <w:r>
        <w:rPr>
          <w:rStyle w:val="FootnoteReference"/>
        </w:rPr>
        <w:footnoteRef/>
      </w:r>
      <w:r w:rsidRPr="0008361C">
        <w:rPr>
          <w:lang w:val="fr-BE"/>
        </w:rPr>
        <w:tab/>
      </w:r>
      <w:hyperlink r:id="rId13" w:history="1">
        <w:r w:rsidRPr="0008361C">
          <w:rPr>
            <w:rStyle w:val="Hyperlink"/>
            <w:lang w:val="fr-BE"/>
          </w:rPr>
          <w:t>Région de Bruxelles-Capitale.</w:t>
        </w:r>
      </w:hyperlink>
      <w:hyperlink r:id="rId14" w:history="1">
        <w:r w:rsidRPr="0008361C">
          <w:rPr>
            <w:rStyle w:val="Hyperlink"/>
            <w:lang w:val="fr-BE"/>
          </w:rPr>
          <w:t xml:space="preserve">  Demande d’emploi - Septembre 2025.</w:t>
        </w:r>
      </w:hyperlink>
    </w:p>
  </w:footnote>
  <w:footnote w:id="25">
    <w:p w:rsidR="0041089B" w:rsidRPr="0008361C" w:rsidRDefault="0041089B">
      <w:pPr>
        <w:pStyle w:val="FootnoteText"/>
        <w:rPr>
          <w:lang w:val="fr-BE"/>
        </w:rPr>
      </w:pPr>
      <w:r>
        <w:rPr>
          <w:rStyle w:val="FootnoteReference"/>
        </w:rPr>
        <w:footnoteRef/>
      </w:r>
      <w:r w:rsidRPr="0008361C">
        <w:rPr>
          <w:lang w:val="fr-BE"/>
        </w:rPr>
        <w:tab/>
        <w:t>Arrêté royal du 10 novembre 2006 modifiant l’arrêté royal du 9 mars 2006.</w:t>
      </w:r>
      <w:r w:rsidRPr="0008361C">
        <w:rPr>
          <w:lang w:val="fr-BE"/>
        </w:rPr>
        <w:tab/>
      </w:r>
    </w:p>
  </w:footnote>
  <w:footnote w:id="26">
    <w:p w:rsidR="001C15E0" w:rsidRPr="008D17F5" w:rsidRDefault="001C15E0">
      <w:pPr>
        <w:pStyle w:val="FootnoteText"/>
      </w:pPr>
      <w:r>
        <w:rPr>
          <w:rStyle w:val="FootnoteReference"/>
        </w:rPr>
        <w:footnoteRef/>
      </w:r>
      <w:r>
        <w:tab/>
        <w:t>Actiris.</w:t>
      </w:r>
    </w:p>
  </w:footnote>
  <w:footnote w:id="27">
    <w:p w:rsidR="001C15E0" w:rsidRPr="008D17F5" w:rsidRDefault="001C15E0">
      <w:pPr>
        <w:pStyle w:val="FootnoteText"/>
      </w:pPr>
      <w:r>
        <w:rPr>
          <w:rStyle w:val="FootnoteReference"/>
        </w:rPr>
        <w:footnoteRef/>
      </w:r>
      <w:r>
        <w:tab/>
        <w:t>Vlaamse Dienst voor Arbeidsbemiddeling en Beroepsopleiding (VDAB).</w:t>
      </w:r>
    </w:p>
  </w:footnote>
  <w:footnote w:id="28">
    <w:p w:rsidR="001C15E0" w:rsidRPr="0008361C" w:rsidRDefault="001C15E0">
      <w:pPr>
        <w:pStyle w:val="FootnoteText"/>
        <w:rPr>
          <w:lang w:val="fr-BE"/>
        </w:rPr>
      </w:pPr>
      <w:r>
        <w:rPr>
          <w:rStyle w:val="FootnoteReference"/>
        </w:rPr>
        <w:footnoteRef/>
      </w:r>
      <w:r w:rsidRPr="0008361C">
        <w:rPr>
          <w:lang w:val="fr-BE"/>
        </w:rPr>
        <w:tab/>
        <w:t>Le Forem.</w:t>
      </w:r>
    </w:p>
  </w:footnote>
  <w:footnote w:id="29">
    <w:p w:rsidR="00A6604A" w:rsidRPr="0008361C" w:rsidRDefault="00A6604A">
      <w:pPr>
        <w:pStyle w:val="FootnoteText"/>
        <w:rPr>
          <w:lang w:val="fr-BE"/>
        </w:rPr>
      </w:pPr>
      <w:r>
        <w:rPr>
          <w:rStyle w:val="FootnoteReference"/>
        </w:rPr>
        <w:footnoteRef/>
      </w:r>
      <w:r w:rsidRPr="0008361C">
        <w:rPr>
          <w:lang w:val="fr-BE"/>
        </w:rPr>
        <w:tab/>
        <w:t>Confédération des syndicats chrétiens (CSC), General Labour Fédération générale du travail de Belgique (ABVV-FGTB), Centrale générale des syndicats libéraux de Belgique (CGSLB).</w:t>
      </w:r>
    </w:p>
  </w:footnote>
  <w:footnote w:id="30">
    <w:p w:rsidR="005F3E79" w:rsidRPr="0008361C" w:rsidRDefault="005F3E79">
      <w:pPr>
        <w:pStyle w:val="FootnoteText"/>
        <w:rPr>
          <w:lang w:val="fr-BE"/>
        </w:rPr>
      </w:pPr>
      <w:r>
        <w:rPr>
          <w:rStyle w:val="FootnoteReference"/>
        </w:rPr>
        <w:footnoteRef/>
      </w:r>
      <w:r w:rsidRPr="0008361C">
        <w:rPr>
          <w:lang w:val="fr-BE"/>
        </w:rPr>
        <w:tab/>
        <w:t>Les 4 novembre et 11 décembre 2024, le 29 janvier et le 10 mars 2025 (liste non exhaustive).</w:t>
      </w:r>
    </w:p>
  </w:footnote>
  <w:footnote w:id="31">
    <w:p w:rsidR="001A62D7" w:rsidRPr="0008361C" w:rsidRDefault="001A62D7" w:rsidP="001A62D7">
      <w:pPr>
        <w:pStyle w:val="FootnoteText"/>
        <w:rPr>
          <w:lang w:val="fr-BE"/>
        </w:rPr>
      </w:pPr>
      <w:r>
        <w:rPr>
          <w:rStyle w:val="FootnoteReference"/>
        </w:rPr>
        <w:footnoteRef/>
      </w:r>
      <w:r w:rsidRPr="0008361C">
        <w:rPr>
          <w:lang w:val="fr-BE"/>
        </w:rPr>
        <w:tab/>
        <w:t>CITE 0-2</w:t>
      </w:r>
    </w:p>
  </w:footnote>
  <w:footnote w:id="32">
    <w:p w:rsidR="001A62D7" w:rsidRPr="0008361C" w:rsidRDefault="001A62D7" w:rsidP="001A62D7">
      <w:pPr>
        <w:pStyle w:val="FootnoteText"/>
        <w:rPr>
          <w:lang w:val="fr-BE"/>
        </w:rPr>
      </w:pPr>
      <w:r>
        <w:rPr>
          <w:rStyle w:val="FootnoteReference"/>
        </w:rPr>
        <w:footnoteRef/>
      </w:r>
      <w:r w:rsidRPr="0008361C">
        <w:rPr>
          <w:lang w:val="fr-BE"/>
        </w:rPr>
        <w:tab/>
        <w:t>CITE 3.</w:t>
      </w:r>
    </w:p>
  </w:footnote>
  <w:footnote w:id="33">
    <w:p w:rsidR="001A62D7" w:rsidRPr="0008361C" w:rsidRDefault="001A62D7" w:rsidP="001A62D7">
      <w:pPr>
        <w:pStyle w:val="FootnoteText"/>
        <w:rPr>
          <w:lang w:val="fr-BE"/>
        </w:rPr>
      </w:pPr>
      <w:r>
        <w:rPr>
          <w:rStyle w:val="FootnoteReference"/>
        </w:rPr>
        <w:footnoteRef/>
      </w:r>
      <w:r w:rsidRPr="0008361C">
        <w:rPr>
          <w:lang w:val="fr-BE"/>
        </w:rPr>
        <w:tab/>
        <w:t>CITE 4.</w:t>
      </w:r>
    </w:p>
  </w:footnote>
  <w:footnote w:id="34">
    <w:p w:rsidR="001A62D7" w:rsidRPr="0008361C" w:rsidRDefault="001A62D7" w:rsidP="001A62D7">
      <w:pPr>
        <w:pStyle w:val="FootnoteText"/>
        <w:rPr>
          <w:lang w:val="fr-BE"/>
        </w:rPr>
      </w:pPr>
      <w:r>
        <w:rPr>
          <w:rStyle w:val="FootnoteReference"/>
        </w:rPr>
        <w:footnoteRef/>
      </w:r>
      <w:r w:rsidRPr="0008361C">
        <w:rPr>
          <w:lang w:val="fr-BE"/>
        </w:rPr>
        <w:tab/>
        <w:t>CITE 5-8</w:t>
      </w:r>
    </w:p>
  </w:footnote>
  <w:footnote w:id="35">
    <w:p w:rsidR="004C617C" w:rsidRPr="0008361C" w:rsidRDefault="004C617C">
      <w:pPr>
        <w:pStyle w:val="FootnoteText"/>
        <w:rPr>
          <w:lang w:val="fr-BE"/>
        </w:rPr>
      </w:pPr>
      <w:r>
        <w:rPr>
          <w:rStyle w:val="FootnoteReference"/>
        </w:rPr>
        <w:footnoteRef/>
      </w:r>
      <w:r w:rsidRPr="0008361C">
        <w:rPr>
          <w:lang w:val="fr-BE"/>
        </w:rPr>
        <w:tab/>
      </w:r>
      <w:hyperlink r:id="rId15" w:history="1">
        <w:r w:rsidRPr="0008361C">
          <w:rPr>
            <w:rStyle w:val="Hyperlink"/>
            <w:lang w:val="fr-BE"/>
          </w:rPr>
          <w:t>Liste des emplois recherchés et difficiles à pourvoir ou liés à des fonctions critiques.</w:t>
        </w:r>
      </w:hyperlink>
      <w:hyperlink r:id="rId16" w:history="1">
        <w:r w:rsidRPr="0008361C">
          <w:rPr>
            <w:rStyle w:val="Hyperlink"/>
            <w:lang w:val="fr-BE"/>
          </w:rPr>
          <w:t xml:space="preserve"> «Métiers en tension de recrutement en Wallonie.</w:t>
        </w:r>
      </w:hyperlink>
      <w:hyperlink r:id="rId17" w:history="1">
        <w:r w:rsidRPr="0008361C">
          <w:rPr>
            <w:rStyle w:val="Hyperlink"/>
            <w:lang w:val="fr-BE"/>
          </w:rPr>
          <w:t xml:space="preserve"> Liste des métiers/fonctions critiques et en pénurie».</w:t>
        </w:r>
      </w:hyperlink>
      <w:hyperlink r:id="rId18" w:history="1">
        <w:r w:rsidRPr="0008361C">
          <w:rPr>
            <w:rStyle w:val="Hyperlink"/>
            <w:lang w:val="fr-BE"/>
          </w:rPr>
          <w:t xml:space="preserve"> Le Forem 2025</w:t>
        </w:r>
      </w:hyperlink>
      <w:r w:rsidRPr="0008361C">
        <w:rPr>
          <w:rStyle w:val="Hyperlink"/>
          <w:lang w:val="fr-BE"/>
        </w:rPr>
        <w:t>.</w:t>
      </w:r>
      <w:r w:rsidRPr="0008361C">
        <w:rPr>
          <w:lang w:val="fr-BE"/>
        </w:rPr>
        <w:tab/>
      </w:r>
    </w:p>
  </w:footnote>
  <w:footnote w:id="36">
    <w:p w:rsidR="001A62D7" w:rsidRPr="0008361C" w:rsidRDefault="001A62D7" w:rsidP="001A62D7">
      <w:pPr>
        <w:pStyle w:val="FootnoteText"/>
        <w:rPr>
          <w:lang w:val="fr-BE"/>
        </w:rPr>
      </w:pPr>
      <w:r>
        <w:rPr>
          <w:rStyle w:val="FootnoteReference"/>
        </w:rPr>
        <w:footnoteRef/>
      </w:r>
      <w:r w:rsidRPr="0008361C">
        <w:rPr>
          <w:lang w:val="fr-BE"/>
        </w:rPr>
        <w:tab/>
        <w:t>Afin d’éviter les décimales, les coûts estimés par travailleur ont été arrondis. Cela n’a néanmoins aucune incidence sur le coût total de chaque mesure, qui reste identique à celui indiqué dans la demande introduite par la Belgique.</w:t>
      </w:r>
    </w:p>
  </w:footnote>
  <w:footnote w:id="37">
    <w:p w:rsidR="001A62D7" w:rsidRPr="0008361C" w:rsidRDefault="001A62D7" w:rsidP="001A62D7">
      <w:pPr>
        <w:pStyle w:val="FootnoteText"/>
        <w:rPr>
          <w:lang w:val="fr-BE"/>
        </w:rPr>
      </w:pPr>
      <w:r>
        <w:rPr>
          <w:rStyle w:val="FootnoteReference"/>
        </w:rPr>
        <w:footnoteRef/>
      </w:r>
      <w:r w:rsidRPr="0008361C">
        <w:rPr>
          <w:lang w:val="fr-BE"/>
        </w:rPr>
        <w:tab/>
        <w:t>Les totaux ne correspondent pas à la somme des rubriques en raison de l’arrondi.</w:t>
      </w:r>
    </w:p>
  </w:footnote>
  <w:footnote w:id="38">
    <w:p w:rsidR="001A62D7" w:rsidRPr="0008361C" w:rsidRDefault="001A62D7" w:rsidP="001A62D7">
      <w:pPr>
        <w:pStyle w:val="FootnoteText"/>
        <w:rPr>
          <w:lang w:val="it-IT"/>
        </w:rPr>
      </w:pPr>
      <w:r>
        <w:rPr>
          <w:rStyle w:val="FootnoteReference"/>
        </w:rPr>
        <w:footnoteRef/>
      </w:r>
      <w:r w:rsidRPr="0008361C">
        <w:rPr>
          <w:lang w:val="it-IT"/>
        </w:rPr>
        <w:tab/>
        <w:t>JO L 433 I du 22.12.2020, p. 11.</w:t>
      </w:r>
    </w:p>
  </w:footnote>
  <w:footnote w:id="39">
    <w:p w:rsidR="001A62D7" w:rsidRPr="0008361C" w:rsidRDefault="001A62D7" w:rsidP="001A62D7">
      <w:pPr>
        <w:pStyle w:val="FootnoteText"/>
        <w:rPr>
          <w:lang w:val="it-IT"/>
        </w:rPr>
      </w:pPr>
      <w:r>
        <w:rPr>
          <w:rStyle w:val="FootnoteReference"/>
        </w:rPr>
        <w:footnoteRef/>
      </w:r>
      <w:r w:rsidRPr="0008361C">
        <w:rPr>
          <w:lang w:val="it-IT"/>
        </w:rPr>
        <w:tab/>
        <w:t>JO L,</w:t>
      </w:r>
      <w:r w:rsidR="0008361C">
        <w:rPr>
          <w:lang w:val="it-IT"/>
        </w:rPr>
        <w:t xml:space="preserve"> </w:t>
      </w:r>
      <w:r w:rsidRPr="0008361C">
        <w:rPr>
          <w:lang w:val="it-IT"/>
        </w:rPr>
        <w:t>2024/765, 29.2.2024, ELI: http://data.europa.eu/eli/reg/2024/765/oj.</w:t>
      </w:r>
    </w:p>
  </w:footnote>
  <w:footnote w:id="40">
    <w:p w:rsidR="001A62D7" w:rsidRPr="0008361C" w:rsidRDefault="001A62D7" w:rsidP="001A62D7">
      <w:pPr>
        <w:pStyle w:val="FootnoteText"/>
        <w:rPr>
          <w:lang w:val="fr-BE"/>
        </w:rPr>
      </w:pPr>
      <w:r>
        <w:rPr>
          <w:rStyle w:val="FootnoteReference"/>
        </w:rPr>
        <w:footnoteRef/>
      </w:r>
      <w:r w:rsidRPr="0008361C">
        <w:rPr>
          <w:lang w:val="fr-BE"/>
        </w:rPr>
        <w:tab/>
        <w:t>JO L 433 I du 22.12.2020, p. 28.</w:t>
      </w:r>
    </w:p>
  </w:footnote>
  <w:footnote w:id="41">
    <w:p w:rsidR="001A62D7" w:rsidRPr="0008361C" w:rsidRDefault="001A62D7" w:rsidP="001A62D7">
      <w:pPr>
        <w:pStyle w:val="FootnoteText"/>
        <w:rPr>
          <w:lang w:val="fr-BE"/>
        </w:rPr>
      </w:pPr>
      <w:r>
        <w:rPr>
          <w:rStyle w:val="FootnoteReference"/>
        </w:rPr>
        <w:footnoteRef/>
      </w:r>
      <w:r w:rsidRPr="0008361C">
        <w:rPr>
          <w:lang w:val="fr-BE"/>
        </w:rPr>
        <w:tab/>
        <w:t>Règlement (UE, Euratom) 2024/2509 du Parlement européen et du Conseil du 23 septembre 2024 relatif aux règles financières applicables au budget général de l’Union (refonte) (JO L, 2024/2509, 26.9.2024, ELI: http://data.europa.eu/eli/reg/2024/2509/oj.</w:t>
      </w:r>
    </w:p>
  </w:footnote>
  <w:footnote w:id="42">
    <w:p w:rsidR="001A62D7" w:rsidRPr="0008361C" w:rsidRDefault="001A62D7" w:rsidP="001A62D7">
      <w:pPr>
        <w:pStyle w:val="FootnoteText"/>
        <w:rPr>
          <w:lang w:val="fr-BE"/>
        </w:rPr>
      </w:pPr>
      <w:r>
        <w:rPr>
          <w:rStyle w:val="FootnoteReference"/>
        </w:rPr>
        <w:footnoteRef/>
      </w:r>
      <w:r w:rsidRPr="0008361C">
        <w:rPr>
          <w:lang w:val="fr-BE"/>
        </w:rPr>
        <w:tab/>
        <w:t>JO L 153 du 3.5.2021, p. 48.</w:t>
      </w:r>
    </w:p>
  </w:footnote>
  <w:footnote w:id="43">
    <w:p w:rsidR="001A62D7" w:rsidRPr="0008361C" w:rsidRDefault="001A62D7" w:rsidP="001A62D7">
      <w:pPr>
        <w:pStyle w:val="FootnoteText"/>
        <w:rPr>
          <w:lang w:val="fr-BE"/>
        </w:rPr>
      </w:pPr>
      <w:r>
        <w:rPr>
          <w:rStyle w:val="FootnoteReference"/>
        </w:rPr>
        <w:footnoteRef/>
      </w:r>
      <w:r w:rsidRPr="0008361C">
        <w:rPr>
          <w:lang w:val="fr-BE"/>
        </w:rPr>
        <w:tab/>
        <w:t>JO L 433 I du 22.12.2020, p. 28.</w:t>
      </w:r>
    </w:p>
  </w:footnote>
  <w:footnote w:id="44">
    <w:p w:rsidR="001A62D7" w:rsidRPr="0008361C" w:rsidRDefault="001A62D7" w:rsidP="001A62D7">
      <w:pPr>
        <w:pStyle w:val="FootnoteText"/>
        <w:rPr>
          <w:lang w:val="fr-BE"/>
        </w:rPr>
      </w:pPr>
      <w:r>
        <w:rPr>
          <w:rStyle w:val="FootnoteReference"/>
        </w:rPr>
        <w:footnoteRef/>
      </w:r>
      <w:r w:rsidRPr="0008361C">
        <w:rPr>
          <w:lang w:val="fr-BE"/>
        </w:rPr>
        <w:tab/>
        <w:t>Règlement (UE, Euratom) 2020/2093 du Conseil du 17 décembre 2020 fixant le cadre financier pluriannuel pour les années 2021 à 2027 (JO L 433 I du 22.12.2020, p. 11).</w:t>
      </w:r>
    </w:p>
  </w:footnote>
  <w:footnote w:id="45">
    <w:p w:rsidR="001A62D7" w:rsidRPr="0008361C" w:rsidRDefault="001A62D7" w:rsidP="001A62D7">
      <w:pPr>
        <w:pStyle w:val="FootnoteText"/>
        <w:rPr>
          <w:lang w:val="it-IT"/>
        </w:rPr>
      </w:pPr>
      <w:r>
        <w:rPr>
          <w:rStyle w:val="FootnoteReference"/>
        </w:rPr>
        <w:footnoteRef/>
      </w:r>
      <w:r w:rsidRPr="0008361C">
        <w:rPr>
          <w:lang w:val="it-IT"/>
        </w:rPr>
        <w:tab/>
        <w:t>JO L,</w:t>
      </w:r>
      <w:r w:rsidR="0008361C">
        <w:rPr>
          <w:lang w:val="it-IT"/>
        </w:rPr>
        <w:t xml:space="preserve"> </w:t>
      </w:r>
      <w:r w:rsidRPr="0008361C">
        <w:rPr>
          <w:lang w:val="it-IT"/>
        </w:rPr>
        <w:t>2024/765, 29.2.2024, ELI: http://data.europa.eu/eli/reg/2024/765/oj.</w:t>
      </w:r>
    </w:p>
  </w:footnote>
  <w:footnote w:id="46">
    <w:p w:rsidR="001A62D7" w:rsidRPr="0008361C" w:rsidRDefault="001A62D7" w:rsidP="001A62D7">
      <w:pPr>
        <w:pStyle w:val="FootnoteText"/>
        <w:rPr>
          <w:lang w:val="fr-BE"/>
        </w:rPr>
      </w:pPr>
      <w:r>
        <w:rPr>
          <w:rStyle w:val="FootnoteReference"/>
        </w:rPr>
        <w:footnoteRef/>
      </w:r>
      <w:r w:rsidRPr="0008361C">
        <w:rPr>
          <w:lang w:val="fr-BE"/>
        </w:rPr>
        <w:tab/>
        <w:t>COM(2026) 2.</w:t>
      </w:r>
    </w:p>
  </w:footnote>
  <w:footnote w:id="47">
    <w:p w:rsidR="00D2113F" w:rsidRPr="0008361C" w:rsidRDefault="00D2113F">
      <w:pPr>
        <w:pStyle w:val="FootnoteText"/>
        <w:rPr>
          <w:lang w:val="fr-BE"/>
        </w:rPr>
      </w:pPr>
      <w:r w:rsidRPr="0008361C">
        <w:rPr>
          <w:rStyle w:val="FootnoteReference"/>
          <w:lang w:val="fr-BE"/>
        </w:rPr>
        <w:t>*</w:t>
      </w:r>
      <w:r w:rsidRPr="0008361C">
        <w:rPr>
          <w:lang w:val="fr-BE"/>
        </w:rPr>
        <w:tab/>
      </w:r>
      <w:r w:rsidRPr="0008361C">
        <w:rPr>
          <w:color w:val="FF0000"/>
          <w:lang w:val="fr-BE"/>
        </w:rPr>
        <w:t>Date à insérer par le Parlement européen avant la publication au JO.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3B13" w:rsidRDefault="00B63B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3B13" w:rsidRDefault="00B63B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lvlOverride w:ilvl="0">
      <w:startOverride w:val="1"/>
    </w:lvlOverride>
  </w:num>
  <w:num w:numId="19">
    <w:abstractNumId w:val="12"/>
    <w:lvlOverride w:ilvl="0">
      <w:startOverride w:val="1"/>
    </w:lvlOverride>
  </w:num>
  <w:num w:numId="20">
    <w:abstractNumId w:val="23"/>
  </w:num>
  <w:num w:numId="21">
    <w:abstractNumId w:val="12"/>
  </w:num>
  <w:num w:numId="22">
    <w:abstractNumId w:val="26"/>
  </w:num>
  <w:num w:numId="23">
    <w:abstractNumId w:val="6"/>
  </w:num>
  <w:num w:numId="24">
    <w:abstractNumId w:val="13"/>
  </w:num>
  <w:num w:numId="25">
    <w:abstractNumId w:val="14"/>
  </w:num>
  <w:num w:numId="26">
    <w:abstractNumId w:val="4"/>
  </w:num>
  <w:num w:numId="27">
    <w:abstractNumId w:val="25"/>
  </w:num>
  <w:num w:numId="28">
    <w:abstractNumId w:val="3"/>
  </w:num>
  <w:num w:numId="29">
    <w:abstractNumId w:val="15"/>
  </w:num>
  <w:num w:numId="30">
    <w:abstractNumId w:val="21"/>
  </w:num>
  <w:num w:numId="31">
    <w:abstractNumId w:val="22"/>
  </w:num>
  <w:num w:numId="32">
    <w:abstractNumId w:val="5"/>
  </w:num>
  <w:num w:numId="33">
    <w:abstractNumId w:val="19"/>
  </w:num>
  <w:num w:numId="34">
    <w:abstractNumId w:val="3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ocumentProtection w:edit="forms" w:enforcement="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08 15:43:5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E6D7EAED-B7F4-413B-9B67-85B969E9817B"/>
    <w:docVar w:name="LW_COVERPAGE_TYPE" w:val="1"/>
    <w:docVar w:name="LW_CreatedUtc" w:val="2025-02-03T12:09:04.7855178Z"/>
    <w:docVar w:name="LW_CROSSREFERENCE" w:val="&lt;UNUSED&gt;"/>
    <w:docVar w:name="LW_DocType" w:val="COM"/>
    <w:docVar w:name="LW_EMISSION" w:val="9.1.2026"/>
    <w:docVar w:name="LW_EMISSION_ISODATE" w:val="2026-01-09"/>
    <w:docVar w:name="LW_EMISSION_LOCATION" w:val="BRX"/>
    <w:docVar w:name="LW_EMISSION_PREFIX" w:val="Bruxelles, le "/>
    <w:docVar w:name="LW_EMISSION_SUFFIX" w:val=" "/>
    <w:docVar w:name="LW_ID_DOCMODEL" w:val="SJ-026"/>
    <w:docVar w:name="LW_ID_DOCSIGNATURE" w:val="SJ-026"/>
    <w:docVar w:name="LW_ID_DOCSTRUCTURE" w:val="COM/PL/ORG"/>
    <w:docVar w:name="LW_ID_DOCTYPE" w:val="SJ-026"/>
    <w:docVar w:name="LW_ID_STATUT" w:val="SJ-026"/>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BUD"/>
    <w:docVar w:name="LW_REF.II.NEW.CP_NUMBER" w:val="0001"/>
    <w:docVar w:name="LW_REF.II.NEW.CP_YEAR" w:val="2026"/>
    <w:docVar w:name="LW_REF.INST.NEW" w:val="COM"/>
    <w:docVar w:name="LW_REF.INST.NEW_ADOPTED" w:val="final"/>
    <w:docVar w:name="LW_REF.INST.NEW_TEXT" w:val="(2026) 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mobilisation du Fonds européen d\u8217?ajustement à la mondialisation en faveur des travailleurs licenciés à la suite d\u8217?une demande de la Belgique (EGF/2025/006 BE/Audi)"/>
    <w:docVar w:name="LW_TYPE.DOC.CP" w:val="DÉCISION DU PARLEMENT EUROPÉEN ET DU CONSEIL"/>
    <w:docVar w:name="LwApiVersions" w:val="LW4CoDe 1.24.5.0; LW 9.2, Build 20251112"/>
  </w:docVars>
  <w:rsids>
    <w:rsidRoot w:val="001A62D7"/>
    <w:rsid w:val="0002035E"/>
    <w:rsid w:val="00035265"/>
    <w:rsid w:val="00041EE2"/>
    <w:rsid w:val="00046483"/>
    <w:rsid w:val="000465C9"/>
    <w:rsid w:val="00051192"/>
    <w:rsid w:val="0007649A"/>
    <w:rsid w:val="0008361C"/>
    <w:rsid w:val="0009358F"/>
    <w:rsid w:val="000965FD"/>
    <w:rsid w:val="000A20B8"/>
    <w:rsid w:val="000C0A28"/>
    <w:rsid w:val="000C3E89"/>
    <w:rsid w:val="000E2AF2"/>
    <w:rsid w:val="000F3A25"/>
    <w:rsid w:val="000F624B"/>
    <w:rsid w:val="000F6514"/>
    <w:rsid w:val="0010215C"/>
    <w:rsid w:val="001065F5"/>
    <w:rsid w:val="00106798"/>
    <w:rsid w:val="001238EF"/>
    <w:rsid w:val="00133178"/>
    <w:rsid w:val="00133927"/>
    <w:rsid w:val="00135FA1"/>
    <w:rsid w:val="00150372"/>
    <w:rsid w:val="0015242A"/>
    <w:rsid w:val="0016297B"/>
    <w:rsid w:val="00182793"/>
    <w:rsid w:val="00195CD1"/>
    <w:rsid w:val="00196248"/>
    <w:rsid w:val="00197613"/>
    <w:rsid w:val="001A3D9D"/>
    <w:rsid w:val="001A62D7"/>
    <w:rsid w:val="001C15E0"/>
    <w:rsid w:val="001C4425"/>
    <w:rsid w:val="001C6315"/>
    <w:rsid w:val="001E27D2"/>
    <w:rsid w:val="001F093E"/>
    <w:rsid w:val="001F1407"/>
    <w:rsid w:val="0020128B"/>
    <w:rsid w:val="0021052B"/>
    <w:rsid w:val="00213ED6"/>
    <w:rsid w:val="00217E05"/>
    <w:rsid w:val="00217F8F"/>
    <w:rsid w:val="002307BC"/>
    <w:rsid w:val="002334D5"/>
    <w:rsid w:val="00233DC7"/>
    <w:rsid w:val="00241826"/>
    <w:rsid w:val="002421D0"/>
    <w:rsid w:val="00243227"/>
    <w:rsid w:val="00247779"/>
    <w:rsid w:val="00250B7C"/>
    <w:rsid w:val="00250FCB"/>
    <w:rsid w:val="00251F0D"/>
    <w:rsid w:val="002544E5"/>
    <w:rsid w:val="002572FE"/>
    <w:rsid w:val="00261BA9"/>
    <w:rsid w:val="002728AF"/>
    <w:rsid w:val="002757A1"/>
    <w:rsid w:val="00281D79"/>
    <w:rsid w:val="00282153"/>
    <w:rsid w:val="00283349"/>
    <w:rsid w:val="00285019"/>
    <w:rsid w:val="00285BEE"/>
    <w:rsid w:val="0029533F"/>
    <w:rsid w:val="002A1803"/>
    <w:rsid w:val="002A20BC"/>
    <w:rsid w:val="002A2C83"/>
    <w:rsid w:val="002A46E8"/>
    <w:rsid w:val="002B1CAD"/>
    <w:rsid w:val="002B30AF"/>
    <w:rsid w:val="002C2B9C"/>
    <w:rsid w:val="002D11D1"/>
    <w:rsid w:val="002D19DD"/>
    <w:rsid w:val="002E0F34"/>
    <w:rsid w:val="002F071E"/>
    <w:rsid w:val="002F7A1F"/>
    <w:rsid w:val="00325D32"/>
    <w:rsid w:val="0033344A"/>
    <w:rsid w:val="003335D5"/>
    <w:rsid w:val="003479D0"/>
    <w:rsid w:val="003514A3"/>
    <w:rsid w:val="00362E82"/>
    <w:rsid w:val="00364144"/>
    <w:rsid w:val="003674C6"/>
    <w:rsid w:val="003B4F9E"/>
    <w:rsid w:val="003C1F9A"/>
    <w:rsid w:val="003C451D"/>
    <w:rsid w:val="003D33B0"/>
    <w:rsid w:val="003D53E7"/>
    <w:rsid w:val="003E496C"/>
    <w:rsid w:val="003E7923"/>
    <w:rsid w:val="003F5354"/>
    <w:rsid w:val="003F5FE1"/>
    <w:rsid w:val="0041089B"/>
    <w:rsid w:val="0041705D"/>
    <w:rsid w:val="00417C38"/>
    <w:rsid w:val="00422E71"/>
    <w:rsid w:val="00424B7A"/>
    <w:rsid w:val="0042648E"/>
    <w:rsid w:val="0043125E"/>
    <w:rsid w:val="00433AE9"/>
    <w:rsid w:val="0043443B"/>
    <w:rsid w:val="004417F8"/>
    <w:rsid w:val="00450845"/>
    <w:rsid w:val="004522B1"/>
    <w:rsid w:val="004540AE"/>
    <w:rsid w:val="00454A9D"/>
    <w:rsid w:val="0045576F"/>
    <w:rsid w:val="00480004"/>
    <w:rsid w:val="00483C7C"/>
    <w:rsid w:val="00490F22"/>
    <w:rsid w:val="004936D2"/>
    <w:rsid w:val="004A23D7"/>
    <w:rsid w:val="004B74E8"/>
    <w:rsid w:val="004C5360"/>
    <w:rsid w:val="004C617C"/>
    <w:rsid w:val="004D4DFA"/>
    <w:rsid w:val="004F0139"/>
    <w:rsid w:val="004F5528"/>
    <w:rsid w:val="004F643D"/>
    <w:rsid w:val="00505F1A"/>
    <w:rsid w:val="0051455F"/>
    <w:rsid w:val="005337C2"/>
    <w:rsid w:val="00537022"/>
    <w:rsid w:val="00540881"/>
    <w:rsid w:val="005439D5"/>
    <w:rsid w:val="005535A5"/>
    <w:rsid w:val="0055684C"/>
    <w:rsid w:val="0056417C"/>
    <w:rsid w:val="00583654"/>
    <w:rsid w:val="00584778"/>
    <w:rsid w:val="00585A93"/>
    <w:rsid w:val="00586FD3"/>
    <w:rsid w:val="005A77B5"/>
    <w:rsid w:val="005B1EB6"/>
    <w:rsid w:val="005C49BF"/>
    <w:rsid w:val="005C7561"/>
    <w:rsid w:val="005D558F"/>
    <w:rsid w:val="005D6BC7"/>
    <w:rsid w:val="005E047F"/>
    <w:rsid w:val="005E0B3D"/>
    <w:rsid w:val="005E5B98"/>
    <w:rsid w:val="005F232F"/>
    <w:rsid w:val="005F3874"/>
    <w:rsid w:val="005F3E79"/>
    <w:rsid w:val="005F6711"/>
    <w:rsid w:val="0060192E"/>
    <w:rsid w:val="00605200"/>
    <w:rsid w:val="00605885"/>
    <w:rsid w:val="00624E2F"/>
    <w:rsid w:val="0062657D"/>
    <w:rsid w:val="0063350A"/>
    <w:rsid w:val="0064310A"/>
    <w:rsid w:val="006534C4"/>
    <w:rsid w:val="006648E4"/>
    <w:rsid w:val="00684CAB"/>
    <w:rsid w:val="006A0752"/>
    <w:rsid w:val="006A5F69"/>
    <w:rsid w:val="006B152D"/>
    <w:rsid w:val="006B47D4"/>
    <w:rsid w:val="006C598A"/>
    <w:rsid w:val="006D2F62"/>
    <w:rsid w:val="007038F8"/>
    <w:rsid w:val="0070714C"/>
    <w:rsid w:val="007119A9"/>
    <w:rsid w:val="00712C3A"/>
    <w:rsid w:val="007135A2"/>
    <w:rsid w:val="007159FF"/>
    <w:rsid w:val="007270A4"/>
    <w:rsid w:val="00731699"/>
    <w:rsid w:val="00754A08"/>
    <w:rsid w:val="00772DCC"/>
    <w:rsid w:val="00773331"/>
    <w:rsid w:val="0077564B"/>
    <w:rsid w:val="0077654C"/>
    <w:rsid w:val="007810AF"/>
    <w:rsid w:val="00782CAE"/>
    <w:rsid w:val="00785F4C"/>
    <w:rsid w:val="0078717C"/>
    <w:rsid w:val="007932EF"/>
    <w:rsid w:val="007944CE"/>
    <w:rsid w:val="00795754"/>
    <w:rsid w:val="007A08F4"/>
    <w:rsid w:val="007A5E19"/>
    <w:rsid w:val="007B4D4B"/>
    <w:rsid w:val="007C1489"/>
    <w:rsid w:val="007D1CC7"/>
    <w:rsid w:val="007E05B0"/>
    <w:rsid w:val="007E0B4F"/>
    <w:rsid w:val="007E45CB"/>
    <w:rsid w:val="00823720"/>
    <w:rsid w:val="00830A1D"/>
    <w:rsid w:val="00830DD7"/>
    <w:rsid w:val="00831A99"/>
    <w:rsid w:val="00835FF4"/>
    <w:rsid w:val="008376F2"/>
    <w:rsid w:val="00837BE9"/>
    <w:rsid w:val="00842DE2"/>
    <w:rsid w:val="00843A99"/>
    <w:rsid w:val="00857E8C"/>
    <w:rsid w:val="00874D22"/>
    <w:rsid w:val="00893C3D"/>
    <w:rsid w:val="00897326"/>
    <w:rsid w:val="008A2914"/>
    <w:rsid w:val="008A33BE"/>
    <w:rsid w:val="008A6DC5"/>
    <w:rsid w:val="008B539E"/>
    <w:rsid w:val="008C462D"/>
    <w:rsid w:val="008D17F5"/>
    <w:rsid w:val="008D2433"/>
    <w:rsid w:val="008E3775"/>
    <w:rsid w:val="008E4D8E"/>
    <w:rsid w:val="008F470C"/>
    <w:rsid w:val="008F4FFB"/>
    <w:rsid w:val="008F52BF"/>
    <w:rsid w:val="0090677B"/>
    <w:rsid w:val="0096077B"/>
    <w:rsid w:val="00964814"/>
    <w:rsid w:val="00964E26"/>
    <w:rsid w:val="00967CC8"/>
    <w:rsid w:val="00975BF3"/>
    <w:rsid w:val="00982507"/>
    <w:rsid w:val="00986887"/>
    <w:rsid w:val="00992A7A"/>
    <w:rsid w:val="00994035"/>
    <w:rsid w:val="00994C7F"/>
    <w:rsid w:val="009A476A"/>
    <w:rsid w:val="009C4599"/>
    <w:rsid w:val="009C51E1"/>
    <w:rsid w:val="00A22B77"/>
    <w:rsid w:val="00A23C53"/>
    <w:rsid w:val="00A253DC"/>
    <w:rsid w:val="00A3016B"/>
    <w:rsid w:val="00A36A1D"/>
    <w:rsid w:val="00A45B96"/>
    <w:rsid w:val="00A6604A"/>
    <w:rsid w:val="00A66AEF"/>
    <w:rsid w:val="00A6765B"/>
    <w:rsid w:val="00A76D71"/>
    <w:rsid w:val="00A824CE"/>
    <w:rsid w:val="00A86986"/>
    <w:rsid w:val="00A953FB"/>
    <w:rsid w:val="00AC2755"/>
    <w:rsid w:val="00AC5354"/>
    <w:rsid w:val="00AD00C3"/>
    <w:rsid w:val="00AD4D7E"/>
    <w:rsid w:val="00AD6693"/>
    <w:rsid w:val="00AD7ABD"/>
    <w:rsid w:val="00AE2983"/>
    <w:rsid w:val="00AE3D98"/>
    <w:rsid w:val="00AE5990"/>
    <w:rsid w:val="00B04C27"/>
    <w:rsid w:val="00B05808"/>
    <w:rsid w:val="00B136C9"/>
    <w:rsid w:val="00B17A60"/>
    <w:rsid w:val="00B17C77"/>
    <w:rsid w:val="00B24AA0"/>
    <w:rsid w:val="00B24D3D"/>
    <w:rsid w:val="00B25421"/>
    <w:rsid w:val="00B26AFC"/>
    <w:rsid w:val="00B271C1"/>
    <w:rsid w:val="00B424CD"/>
    <w:rsid w:val="00B4707B"/>
    <w:rsid w:val="00B520B6"/>
    <w:rsid w:val="00B5507D"/>
    <w:rsid w:val="00B57F16"/>
    <w:rsid w:val="00B60D18"/>
    <w:rsid w:val="00B63B13"/>
    <w:rsid w:val="00B72603"/>
    <w:rsid w:val="00B7285B"/>
    <w:rsid w:val="00BB0216"/>
    <w:rsid w:val="00BB7F54"/>
    <w:rsid w:val="00BD11CB"/>
    <w:rsid w:val="00C0220E"/>
    <w:rsid w:val="00C02B3C"/>
    <w:rsid w:val="00C12301"/>
    <w:rsid w:val="00C175FE"/>
    <w:rsid w:val="00C5578F"/>
    <w:rsid w:val="00C62D7F"/>
    <w:rsid w:val="00C7109E"/>
    <w:rsid w:val="00C71177"/>
    <w:rsid w:val="00C77112"/>
    <w:rsid w:val="00C97618"/>
    <w:rsid w:val="00CA5E33"/>
    <w:rsid w:val="00CA7EE1"/>
    <w:rsid w:val="00CB4373"/>
    <w:rsid w:val="00CB515D"/>
    <w:rsid w:val="00D13666"/>
    <w:rsid w:val="00D20381"/>
    <w:rsid w:val="00D204AC"/>
    <w:rsid w:val="00D2113F"/>
    <w:rsid w:val="00D30E9E"/>
    <w:rsid w:val="00D31B2F"/>
    <w:rsid w:val="00D50317"/>
    <w:rsid w:val="00D54F1D"/>
    <w:rsid w:val="00D55F3A"/>
    <w:rsid w:val="00D576A9"/>
    <w:rsid w:val="00D6013C"/>
    <w:rsid w:val="00D66A21"/>
    <w:rsid w:val="00D86FB6"/>
    <w:rsid w:val="00D95ACC"/>
    <w:rsid w:val="00DA1DDA"/>
    <w:rsid w:val="00DA22A3"/>
    <w:rsid w:val="00DA42B0"/>
    <w:rsid w:val="00DC1E0A"/>
    <w:rsid w:val="00DC7444"/>
    <w:rsid w:val="00DE2B18"/>
    <w:rsid w:val="00DF579A"/>
    <w:rsid w:val="00E0684D"/>
    <w:rsid w:val="00E1163B"/>
    <w:rsid w:val="00E13FA6"/>
    <w:rsid w:val="00E346FB"/>
    <w:rsid w:val="00E42E65"/>
    <w:rsid w:val="00E85749"/>
    <w:rsid w:val="00EB30C1"/>
    <w:rsid w:val="00EC5375"/>
    <w:rsid w:val="00EC5587"/>
    <w:rsid w:val="00EF48E9"/>
    <w:rsid w:val="00EF7B8C"/>
    <w:rsid w:val="00F054C5"/>
    <w:rsid w:val="00F055E2"/>
    <w:rsid w:val="00F11701"/>
    <w:rsid w:val="00F23005"/>
    <w:rsid w:val="00F27159"/>
    <w:rsid w:val="00F31E6B"/>
    <w:rsid w:val="00F37278"/>
    <w:rsid w:val="00F62472"/>
    <w:rsid w:val="00F63FCE"/>
    <w:rsid w:val="00F66666"/>
    <w:rsid w:val="00F75091"/>
    <w:rsid w:val="00F75DDC"/>
    <w:rsid w:val="00F85DF2"/>
    <w:rsid w:val="00F86D96"/>
    <w:rsid w:val="00F910BC"/>
    <w:rsid w:val="00F91B0D"/>
    <w:rsid w:val="00FB1365"/>
    <w:rsid w:val="00FB7812"/>
    <w:rsid w:val="00FC050F"/>
    <w:rsid w:val="00FC1243"/>
    <w:rsid w:val="00FC38F8"/>
    <w:rsid w:val="00FF50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49135F58-2DE3-4C0E-842E-895763F0A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uiPriority w:val="99"/>
    <w:rsid w:val="001A62D7"/>
    <w:pPr>
      <w:numPr>
        <w:numId w:val="2"/>
      </w:numPr>
      <w:tabs>
        <w:tab w:val="num" w:pos="360"/>
      </w:tabs>
      <w:ind w:left="0" w:firstLine="0"/>
    </w:pPr>
    <w:rPr>
      <w:rFonts w:eastAsia="Times New Roman"/>
      <w:lang w:eastAsia="de-DE"/>
    </w:rPr>
  </w:style>
  <w:style w:type="paragraph" w:styleId="ListNumber">
    <w:name w:val="List Number"/>
    <w:basedOn w:val="Normal"/>
    <w:uiPriority w:val="99"/>
    <w:rsid w:val="001A62D7"/>
    <w:pPr>
      <w:numPr>
        <w:numId w:val="6"/>
      </w:numPr>
    </w:pPr>
    <w:rPr>
      <w:rFonts w:eastAsia="Times New Roman"/>
      <w:lang w:eastAsia="de-DE"/>
    </w:rPr>
  </w:style>
  <w:style w:type="paragraph" w:customStyle="1" w:styleId="ListBullet1">
    <w:name w:val="List Bullet 1"/>
    <w:basedOn w:val="Normal"/>
    <w:rsid w:val="001A62D7"/>
    <w:pPr>
      <w:numPr>
        <w:numId w:val="1"/>
      </w:numPr>
    </w:pPr>
    <w:rPr>
      <w:rFonts w:eastAsia="Times New Roman"/>
      <w:lang w:eastAsia="de-DE"/>
    </w:rPr>
  </w:style>
  <w:style w:type="paragraph" w:customStyle="1" w:styleId="ListDash">
    <w:name w:val="List Dash"/>
    <w:basedOn w:val="Normal"/>
    <w:rsid w:val="001A62D7"/>
    <w:pPr>
      <w:numPr>
        <w:numId w:val="3"/>
      </w:numPr>
    </w:pPr>
    <w:rPr>
      <w:rFonts w:eastAsia="Times New Roman"/>
      <w:lang w:eastAsia="de-DE"/>
    </w:rPr>
  </w:style>
  <w:style w:type="paragraph" w:customStyle="1" w:styleId="ListDash1">
    <w:name w:val="List Dash 1"/>
    <w:basedOn w:val="Normal"/>
    <w:rsid w:val="001A62D7"/>
    <w:pPr>
      <w:numPr>
        <w:numId w:val="4"/>
      </w:numPr>
    </w:pPr>
    <w:rPr>
      <w:rFonts w:eastAsia="Times New Roman"/>
      <w:lang w:eastAsia="de-DE"/>
    </w:rPr>
  </w:style>
  <w:style w:type="paragraph" w:customStyle="1" w:styleId="ListDash2">
    <w:name w:val="List Dash 2"/>
    <w:basedOn w:val="Normal"/>
    <w:rsid w:val="001A62D7"/>
    <w:pPr>
      <w:numPr>
        <w:numId w:val="5"/>
      </w:numPr>
    </w:pPr>
    <w:rPr>
      <w:rFonts w:eastAsia="Times New Roman"/>
      <w:lang w:eastAsia="de-DE"/>
    </w:rPr>
  </w:style>
  <w:style w:type="paragraph" w:customStyle="1" w:styleId="ListNumberLevel2">
    <w:name w:val="List Number (Level 2)"/>
    <w:basedOn w:val="Normal"/>
    <w:rsid w:val="001A62D7"/>
    <w:pPr>
      <w:numPr>
        <w:ilvl w:val="1"/>
        <w:numId w:val="6"/>
      </w:numPr>
    </w:pPr>
    <w:rPr>
      <w:rFonts w:eastAsia="Times New Roman"/>
      <w:lang w:eastAsia="de-DE"/>
    </w:rPr>
  </w:style>
  <w:style w:type="paragraph" w:customStyle="1" w:styleId="ListNumberLevel3">
    <w:name w:val="List Number (Level 3)"/>
    <w:basedOn w:val="Normal"/>
    <w:rsid w:val="001A62D7"/>
    <w:pPr>
      <w:numPr>
        <w:ilvl w:val="2"/>
        <w:numId w:val="6"/>
      </w:numPr>
    </w:pPr>
    <w:rPr>
      <w:rFonts w:eastAsia="Times New Roman"/>
      <w:lang w:eastAsia="de-DE"/>
    </w:rPr>
  </w:style>
  <w:style w:type="paragraph" w:customStyle="1" w:styleId="ListNumberLevel4">
    <w:name w:val="List Number (Level 4)"/>
    <w:basedOn w:val="Normal"/>
    <w:rsid w:val="001A62D7"/>
    <w:pPr>
      <w:numPr>
        <w:ilvl w:val="3"/>
        <w:numId w:val="6"/>
      </w:numPr>
    </w:pPr>
    <w:rPr>
      <w:rFonts w:eastAsia="Times New Roman"/>
      <w:lang w:eastAsia="de-DE"/>
    </w:rPr>
  </w:style>
  <w:style w:type="table" w:styleId="TableGrid">
    <w:name w:val="Table Grid"/>
    <w:basedOn w:val="TableNormal"/>
    <w:rsid w:val="001A62D7"/>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1A62D7"/>
    <w:rPr>
      <w:color w:val="0000FF"/>
      <w:u w:val="single"/>
    </w:rPr>
  </w:style>
  <w:style w:type="paragraph" w:styleId="ListBullet">
    <w:name w:val="List Bullet"/>
    <w:basedOn w:val="Normal"/>
    <w:uiPriority w:val="99"/>
    <w:rsid w:val="001A62D7"/>
    <w:pPr>
      <w:numPr>
        <w:numId w:val="7"/>
      </w:numPr>
    </w:pPr>
    <w:rPr>
      <w:rFonts w:eastAsia="Times New Roman"/>
      <w:lang w:eastAsia="en-GB"/>
    </w:rPr>
  </w:style>
  <w:style w:type="paragraph" w:styleId="ListBullet2">
    <w:name w:val="List Bullet 2"/>
    <w:basedOn w:val="Normal"/>
    <w:uiPriority w:val="99"/>
    <w:rsid w:val="001A62D7"/>
    <w:pPr>
      <w:numPr>
        <w:numId w:val="8"/>
      </w:numPr>
    </w:pPr>
    <w:rPr>
      <w:rFonts w:eastAsia="Times New Roman"/>
      <w:lang w:eastAsia="en-GB"/>
    </w:rPr>
  </w:style>
  <w:style w:type="paragraph" w:styleId="ListBullet3">
    <w:name w:val="List Bullet 3"/>
    <w:basedOn w:val="Normal"/>
    <w:uiPriority w:val="99"/>
    <w:rsid w:val="001A62D7"/>
    <w:pPr>
      <w:numPr>
        <w:numId w:val="9"/>
      </w:numPr>
    </w:pPr>
    <w:rPr>
      <w:rFonts w:eastAsia="Times New Roman"/>
      <w:lang w:eastAsia="en-GB"/>
    </w:rPr>
  </w:style>
  <w:style w:type="paragraph" w:styleId="ListNumber2">
    <w:name w:val="List Number 2"/>
    <w:basedOn w:val="Normal"/>
    <w:uiPriority w:val="99"/>
    <w:rsid w:val="001A62D7"/>
    <w:pPr>
      <w:numPr>
        <w:numId w:val="13"/>
      </w:numPr>
    </w:pPr>
    <w:rPr>
      <w:rFonts w:eastAsia="Times New Roman"/>
      <w:lang w:eastAsia="en-GB"/>
    </w:rPr>
  </w:style>
  <w:style w:type="paragraph" w:styleId="ListNumber3">
    <w:name w:val="List Number 3"/>
    <w:basedOn w:val="Normal"/>
    <w:uiPriority w:val="99"/>
    <w:rsid w:val="001A62D7"/>
    <w:pPr>
      <w:numPr>
        <w:numId w:val="14"/>
      </w:numPr>
    </w:pPr>
    <w:rPr>
      <w:rFonts w:eastAsia="Times New Roman"/>
      <w:lang w:eastAsia="en-GB"/>
    </w:rPr>
  </w:style>
  <w:style w:type="paragraph" w:styleId="ListNumber4">
    <w:name w:val="List Number 4"/>
    <w:basedOn w:val="Normal"/>
    <w:uiPriority w:val="99"/>
    <w:rsid w:val="001A62D7"/>
    <w:pPr>
      <w:numPr>
        <w:numId w:val="15"/>
      </w:numPr>
    </w:pPr>
    <w:rPr>
      <w:rFonts w:eastAsia="Times New Roman"/>
      <w:lang w:eastAsia="en-GB"/>
    </w:rPr>
  </w:style>
  <w:style w:type="paragraph" w:customStyle="1" w:styleId="ListDash3">
    <w:name w:val="List Dash 3"/>
    <w:basedOn w:val="Normal"/>
    <w:rsid w:val="001A62D7"/>
    <w:pPr>
      <w:numPr>
        <w:numId w:val="10"/>
      </w:numPr>
    </w:pPr>
    <w:rPr>
      <w:rFonts w:eastAsia="Times New Roman"/>
      <w:lang w:eastAsia="en-GB"/>
    </w:rPr>
  </w:style>
  <w:style w:type="paragraph" w:customStyle="1" w:styleId="ListDash4">
    <w:name w:val="List Dash 4"/>
    <w:basedOn w:val="Normal"/>
    <w:rsid w:val="001A62D7"/>
    <w:pPr>
      <w:numPr>
        <w:numId w:val="11"/>
      </w:numPr>
    </w:pPr>
    <w:rPr>
      <w:rFonts w:eastAsia="Times New Roman"/>
      <w:lang w:eastAsia="en-GB"/>
    </w:rPr>
  </w:style>
  <w:style w:type="paragraph" w:customStyle="1" w:styleId="ListNumber1">
    <w:name w:val="List Number 1"/>
    <w:basedOn w:val="Text1"/>
    <w:rsid w:val="001A62D7"/>
    <w:pPr>
      <w:numPr>
        <w:numId w:val="12"/>
      </w:numPr>
    </w:pPr>
    <w:rPr>
      <w:rFonts w:eastAsia="Times New Roman"/>
      <w:lang w:eastAsia="en-GB"/>
    </w:rPr>
  </w:style>
  <w:style w:type="paragraph" w:customStyle="1" w:styleId="ListNumber1Level2">
    <w:name w:val="List Number 1 (Level 2)"/>
    <w:basedOn w:val="Text1"/>
    <w:rsid w:val="001A62D7"/>
    <w:pPr>
      <w:numPr>
        <w:ilvl w:val="1"/>
        <w:numId w:val="12"/>
      </w:numPr>
    </w:pPr>
    <w:rPr>
      <w:rFonts w:eastAsia="Times New Roman"/>
      <w:lang w:eastAsia="en-GB"/>
    </w:rPr>
  </w:style>
  <w:style w:type="paragraph" w:customStyle="1" w:styleId="ListNumber2Level2">
    <w:name w:val="List Number 2 (Level 2)"/>
    <w:basedOn w:val="Text2"/>
    <w:rsid w:val="001A62D7"/>
    <w:pPr>
      <w:numPr>
        <w:ilvl w:val="1"/>
        <w:numId w:val="13"/>
      </w:numPr>
    </w:pPr>
    <w:rPr>
      <w:rFonts w:eastAsia="Times New Roman"/>
      <w:lang w:eastAsia="en-GB"/>
    </w:rPr>
  </w:style>
  <w:style w:type="paragraph" w:customStyle="1" w:styleId="ListNumber3Level2">
    <w:name w:val="List Number 3 (Level 2)"/>
    <w:basedOn w:val="Text3"/>
    <w:rsid w:val="001A62D7"/>
    <w:pPr>
      <w:numPr>
        <w:ilvl w:val="1"/>
        <w:numId w:val="14"/>
      </w:numPr>
    </w:pPr>
    <w:rPr>
      <w:rFonts w:eastAsia="Times New Roman"/>
      <w:lang w:eastAsia="en-GB"/>
    </w:rPr>
  </w:style>
  <w:style w:type="paragraph" w:customStyle="1" w:styleId="ListNumber4Level2">
    <w:name w:val="List Number 4 (Level 2)"/>
    <w:basedOn w:val="Text4"/>
    <w:rsid w:val="001A62D7"/>
    <w:pPr>
      <w:numPr>
        <w:ilvl w:val="1"/>
        <w:numId w:val="15"/>
      </w:numPr>
    </w:pPr>
    <w:rPr>
      <w:rFonts w:eastAsia="Times New Roman"/>
      <w:lang w:eastAsia="en-GB"/>
    </w:rPr>
  </w:style>
  <w:style w:type="paragraph" w:customStyle="1" w:styleId="ListNumber1Level3">
    <w:name w:val="List Number 1 (Level 3)"/>
    <w:basedOn w:val="Text1"/>
    <w:rsid w:val="001A62D7"/>
    <w:pPr>
      <w:numPr>
        <w:ilvl w:val="2"/>
        <w:numId w:val="12"/>
      </w:numPr>
    </w:pPr>
    <w:rPr>
      <w:rFonts w:eastAsia="Times New Roman"/>
      <w:lang w:eastAsia="en-GB"/>
    </w:rPr>
  </w:style>
  <w:style w:type="paragraph" w:customStyle="1" w:styleId="ListNumber2Level3">
    <w:name w:val="List Number 2 (Level 3)"/>
    <w:basedOn w:val="Text2"/>
    <w:rsid w:val="001A62D7"/>
    <w:pPr>
      <w:numPr>
        <w:ilvl w:val="2"/>
        <w:numId w:val="13"/>
      </w:numPr>
    </w:pPr>
    <w:rPr>
      <w:rFonts w:eastAsia="Times New Roman"/>
      <w:lang w:eastAsia="en-GB"/>
    </w:rPr>
  </w:style>
  <w:style w:type="paragraph" w:customStyle="1" w:styleId="ListNumber3Level3">
    <w:name w:val="List Number 3 (Level 3)"/>
    <w:basedOn w:val="Text3"/>
    <w:rsid w:val="001A62D7"/>
    <w:pPr>
      <w:numPr>
        <w:ilvl w:val="2"/>
        <w:numId w:val="14"/>
      </w:numPr>
    </w:pPr>
    <w:rPr>
      <w:rFonts w:eastAsia="Times New Roman"/>
      <w:lang w:eastAsia="en-GB"/>
    </w:rPr>
  </w:style>
  <w:style w:type="paragraph" w:customStyle="1" w:styleId="ListNumber4Level3">
    <w:name w:val="List Number 4 (Level 3)"/>
    <w:basedOn w:val="Text4"/>
    <w:rsid w:val="001A62D7"/>
    <w:pPr>
      <w:numPr>
        <w:ilvl w:val="2"/>
        <w:numId w:val="15"/>
      </w:numPr>
    </w:pPr>
    <w:rPr>
      <w:rFonts w:eastAsia="Times New Roman"/>
      <w:lang w:eastAsia="en-GB"/>
    </w:rPr>
  </w:style>
  <w:style w:type="paragraph" w:customStyle="1" w:styleId="ListNumber1Level4">
    <w:name w:val="List Number 1 (Level 4)"/>
    <w:basedOn w:val="Text1"/>
    <w:rsid w:val="001A62D7"/>
    <w:pPr>
      <w:numPr>
        <w:ilvl w:val="3"/>
        <w:numId w:val="12"/>
      </w:numPr>
    </w:pPr>
    <w:rPr>
      <w:rFonts w:eastAsia="Times New Roman"/>
      <w:lang w:eastAsia="en-GB"/>
    </w:rPr>
  </w:style>
  <w:style w:type="paragraph" w:customStyle="1" w:styleId="ListNumber2Level4">
    <w:name w:val="List Number 2 (Level 4)"/>
    <w:basedOn w:val="Text2"/>
    <w:rsid w:val="001A62D7"/>
    <w:pPr>
      <w:numPr>
        <w:ilvl w:val="3"/>
        <w:numId w:val="13"/>
      </w:numPr>
    </w:pPr>
    <w:rPr>
      <w:rFonts w:eastAsia="Times New Roman"/>
      <w:lang w:eastAsia="en-GB"/>
    </w:rPr>
  </w:style>
  <w:style w:type="paragraph" w:customStyle="1" w:styleId="ListNumber3Level4">
    <w:name w:val="List Number 3 (Level 4)"/>
    <w:basedOn w:val="Text3"/>
    <w:rsid w:val="001A62D7"/>
    <w:pPr>
      <w:numPr>
        <w:ilvl w:val="3"/>
        <w:numId w:val="14"/>
      </w:numPr>
    </w:pPr>
    <w:rPr>
      <w:rFonts w:eastAsia="Times New Roman"/>
      <w:lang w:eastAsia="en-GB"/>
    </w:rPr>
  </w:style>
  <w:style w:type="paragraph" w:customStyle="1" w:styleId="ListNumber4Level4">
    <w:name w:val="List Number 4 (Level 4)"/>
    <w:basedOn w:val="Text4"/>
    <w:rsid w:val="001A62D7"/>
    <w:pPr>
      <w:numPr>
        <w:ilvl w:val="3"/>
        <w:numId w:val="15"/>
      </w:numPr>
    </w:pPr>
    <w:rPr>
      <w:rFonts w:eastAsia="Times New Roman"/>
      <w:lang w:eastAsia="en-GB"/>
    </w:rPr>
  </w:style>
  <w:style w:type="paragraph" w:customStyle="1" w:styleId="Annexetitreacte">
    <w:name w:val="Annexe titre (acte)"/>
    <w:basedOn w:val="Normal"/>
    <w:next w:val="Normal"/>
    <w:rsid w:val="001A62D7"/>
    <w:pPr>
      <w:jc w:val="center"/>
    </w:pPr>
    <w:rPr>
      <w:rFonts w:eastAsia="Times New Roman"/>
      <w:b/>
      <w:u w:val="single"/>
      <w:lang w:eastAsia="en-GB"/>
    </w:rPr>
  </w:style>
  <w:style w:type="paragraph" w:customStyle="1" w:styleId="Annexetitreexposglobal">
    <w:name w:val="Annexe titre (exposé global)"/>
    <w:basedOn w:val="Normal"/>
    <w:next w:val="Normal"/>
    <w:rsid w:val="001A62D7"/>
    <w:pPr>
      <w:jc w:val="center"/>
    </w:pPr>
    <w:rPr>
      <w:rFonts w:eastAsia="Times New Roman"/>
      <w:b/>
      <w:u w:val="single"/>
      <w:lang w:eastAsia="en-GB"/>
    </w:rPr>
  </w:style>
  <w:style w:type="paragraph" w:customStyle="1" w:styleId="Annexetitrefichefinacte">
    <w:name w:val="Annexe titre (fiche fin. acte)"/>
    <w:basedOn w:val="Normal"/>
    <w:next w:val="Normal"/>
    <w:rsid w:val="001A62D7"/>
    <w:pPr>
      <w:jc w:val="center"/>
    </w:pPr>
    <w:rPr>
      <w:rFonts w:eastAsia="Times New Roman"/>
      <w:b/>
      <w:u w:val="single"/>
      <w:lang w:eastAsia="en-GB"/>
    </w:rPr>
  </w:style>
  <w:style w:type="paragraph" w:customStyle="1" w:styleId="Annexetitrefichefinglobale">
    <w:name w:val="Annexe titre (fiche fin. globale)"/>
    <w:basedOn w:val="Normal"/>
    <w:next w:val="Normal"/>
    <w:rsid w:val="001A62D7"/>
    <w:pPr>
      <w:jc w:val="center"/>
    </w:pPr>
    <w:rPr>
      <w:rFonts w:eastAsia="Times New Roman"/>
      <w:b/>
      <w:u w:val="single"/>
      <w:lang w:eastAsia="en-GB"/>
    </w:rPr>
  </w:style>
  <w:style w:type="paragraph" w:customStyle="1" w:styleId="Annexetitreglobale">
    <w:name w:val="Annexe titre (globale)"/>
    <w:basedOn w:val="Normal"/>
    <w:next w:val="Normal"/>
    <w:rsid w:val="001A62D7"/>
    <w:pPr>
      <w:jc w:val="center"/>
    </w:pPr>
    <w:rPr>
      <w:rFonts w:eastAsia="Times New Roman"/>
      <w:b/>
      <w:u w:val="single"/>
      <w:lang w:eastAsia="en-GB"/>
    </w:rPr>
  </w:style>
  <w:style w:type="paragraph" w:customStyle="1" w:styleId="Exposdesmotifstitreglobal">
    <w:name w:val="Exposé des motifs titre (global)"/>
    <w:basedOn w:val="Normal"/>
    <w:next w:val="Normal"/>
    <w:rsid w:val="001A62D7"/>
    <w:pPr>
      <w:jc w:val="center"/>
    </w:pPr>
    <w:rPr>
      <w:rFonts w:eastAsia="Times New Roman"/>
      <w:b/>
      <w:u w:val="single"/>
      <w:lang w:eastAsia="en-GB"/>
    </w:rPr>
  </w:style>
  <w:style w:type="paragraph" w:customStyle="1" w:styleId="Langueoriginale">
    <w:name w:val="Langue originale"/>
    <w:basedOn w:val="Normal"/>
    <w:rsid w:val="001A62D7"/>
    <w:pPr>
      <w:spacing w:before="360"/>
      <w:jc w:val="center"/>
    </w:pPr>
    <w:rPr>
      <w:rFonts w:eastAsia="Times New Roman"/>
      <w:caps/>
      <w:lang w:eastAsia="en-GB"/>
    </w:rPr>
  </w:style>
  <w:style w:type="paragraph" w:customStyle="1" w:styleId="Phrasefinale">
    <w:name w:val="Phrase finale"/>
    <w:basedOn w:val="Normal"/>
    <w:next w:val="Normal"/>
    <w:rsid w:val="001A62D7"/>
    <w:pPr>
      <w:spacing w:before="360" w:after="0"/>
      <w:jc w:val="center"/>
    </w:pPr>
    <w:rPr>
      <w:rFonts w:eastAsia="Times New Roman"/>
      <w:lang w:eastAsia="en-GB"/>
    </w:rPr>
  </w:style>
  <w:style w:type="paragraph" w:customStyle="1" w:styleId="Prliminairetitre">
    <w:name w:val="Préliminaire titre"/>
    <w:basedOn w:val="Normal"/>
    <w:next w:val="Normal"/>
    <w:rsid w:val="001A62D7"/>
    <w:pPr>
      <w:spacing w:before="360" w:after="360"/>
      <w:jc w:val="center"/>
    </w:pPr>
    <w:rPr>
      <w:rFonts w:eastAsia="Times New Roman"/>
      <w:b/>
      <w:lang w:eastAsia="en-GB"/>
    </w:rPr>
  </w:style>
  <w:style w:type="paragraph" w:customStyle="1" w:styleId="Prliminairetype">
    <w:name w:val="Préliminaire type"/>
    <w:basedOn w:val="Normal"/>
    <w:next w:val="Normal"/>
    <w:rsid w:val="001A62D7"/>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1A62D7"/>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1A62D7"/>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1A62D7"/>
    <w:pPr>
      <w:spacing w:before="0" w:after="0"/>
      <w:ind w:left="5103"/>
      <w:jc w:val="left"/>
    </w:pPr>
    <w:rPr>
      <w:rFonts w:eastAsia="Times New Roman"/>
      <w:lang w:eastAsia="en-GB"/>
    </w:rPr>
  </w:style>
  <w:style w:type="paragraph" w:customStyle="1" w:styleId="Sous-titreobjetprliminaire">
    <w:name w:val="Sous-titre objet (préliminaire)"/>
    <w:basedOn w:val="Normal"/>
    <w:rsid w:val="001A62D7"/>
    <w:pPr>
      <w:spacing w:before="0" w:after="0"/>
      <w:jc w:val="center"/>
    </w:pPr>
    <w:rPr>
      <w:rFonts w:eastAsia="Times New Roman"/>
      <w:b/>
      <w:lang w:eastAsia="en-GB"/>
    </w:rPr>
  </w:style>
  <w:style w:type="paragraph" w:customStyle="1" w:styleId="Statutprliminaire">
    <w:name w:val="Statut (préliminaire)"/>
    <w:basedOn w:val="Normal"/>
    <w:next w:val="Normal"/>
    <w:rsid w:val="001A62D7"/>
    <w:pPr>
      <w:spacing w:before="360" w:after="0"/>
      <w:jc w:val="center"/>
    </w:pPr>
    <w:rPr>
      <w:rFonts w:eastAsia="Times New Roman"/>
      <w:lang w:eastAsia="en-GB"/>
    </w:rPr>
  </w:style>
  <w:style w:type="paragraph" w:customStyle="1" w:styleId="Titreobjetprliminaire">
    <w:name w:val="Titre objet (préliminaire)"/>
    <w:basedOn w:val="Normal"/>
    <w:next w:val="Normal"/>
    <w:rsid w:val="001A62D7"/>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1A62D7"/>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1A62D7"/>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1A62D7"/>
    <w:pPr>
      <w:jc w:val="center"/>
    </w:pPr>
    <w:rPr>
      <w:rFonts w:eastAsia="Times New Roman"/>
      <w:b/>
      <w:u w:val="single"/>
      <w:lang w:eastAsia="en-GB"/>
    </w:rPr>
  </w:style>
  <w:style w:type="paragraph" w:customStyle="1" w:styleId="Fichefinanciretravailtitre">
    <w:name w:val="Fiche financière (travail) titre"/>
    <w:basedOn w:val="Normal"/>
    <w:next w:val="Normal"/>
    <w:rsid w:val="001A62D7"/>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1A62D7"/>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1A62D7"/>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1A62D7"/>
    <w:pPr>
      <w:jc w:val="center"/>
    </w:pPr>
    <w:rPr>
      <w:rFonts w:eastAsia="Times New Roman"/>
      <w:b/>
      <w:u w:val="single"/>
      <w:lang w:eastAsia="en-GB"/>
    </w:rPr>
  </w:style>
  <w:style w:type="character" w:styleId="CommentReference">
    <w:name w:val="annotation reference"/>
    <w:uiPriority w:val="99"/>
    <w:rsid w:val="001A62D7"/>
    <w:rPr>
      <w:rFonts w:cs="Times New Roman"/>
      <w:sz w:val="16"/>
      <w:szCs w:val="16"/>
    </w:rPr>
  </w:style>
  <w:style w:type="paragraph" w:styleId="CommentText">
    <w:name w:val="annotation text"/>
    <w:basedOn w:val="Normal"/>
    <w:link w:val="CommentTextChar"/>
    <w:uiPriority w:val="99"/>
    <w:rsid w:val="001A62D7"/>
    <w:rPr>
      <w:rFonts w:eastAsia="Times New Roman"/>
      <w:sz w:val="20"/>
      <w:szCs w:val="20"/>
      <w:lang w:eastAsia="en-GB"/>
    </w:rPr>
  </w:style>
  <w:style w:type="character" w:customStyle="1" w:styleId="CommentTextChar">
    <w:name w:val="Comment Text Char"/>
    <w:basedOn w:val="DefaultParagraphFont"/>
    <w:link w:val="CommentText"/>
    <w:uiPriority w:val="99"/>
    <w:rsid w:val="001A62D7"/>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uiPriority w:val="99"/>
    <w:rsid w:val="001A62D7"/>
    <w:rPr>
      <w:b/>
      <w:bCs/>
    </w:rPr>
  </w:style>
  <w:style w:type="character" w:customStyle="1" w:styleId="CommentSubjectChar">
    <w:name w:val="Comment Subject Char"/>
    <w:basedOn w:val="CommentTextChar"/>
    <w:link w:val="CommentSubject"/>
    <w:uiPriority w:val="99"/>
    <w:rsid w:val="001A62D7"/>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uiPriority w:val="99"/>
    <w:rsid w:val="001A62D7"/>
    <w:rPr>
      <w:rFonts w:ascii="Tahoma" w:eastAsia="Times New Roman" w:hAnsi="Tahoma" w:cs="Tahoma"/>
      <w:sz w:val="16"/>
      <w:szCs w:val="16"/>
      <w:lang w:eastAsia="en-GB"/>
    </w:rPr>
  </w:style>
  <w:style w:type="character" w:customStyle="1" w:styleId="BalloonTextChar">
    <w:name w:val="Balloon Text Char"/>
    <w:basedOn w:val="DefaultParagraphFont"/>
    <w:link w:val="BalloonText"/>
    <w:uiPriority w:val="99"/>
    <w:rsid w:val="001A62D7"/>
    <w:rPr>
      <w:rFonts w:ascii="Tahoma" w:eastAsia="Times New Roman" w:hAnsi="Tahoma" w:cs="Tahoma"/>
      <w:sz w:val="16"/>
      <w:szCs w:val="16"/>
      <w:lang w:val="fr-FR" w:eastAsia="en-GB"/>
    </w:rPr>
  </w:style>
  <w:style w:type="paragraph" w:styleId="Caption">
    <w:name w:val="caption"/>
    <w:basedOn w:val="Normal"/>
    <w:next w:val="Normal"/>
    <w:uiPriority w:val="35"/>
    <w:qFormat/>
    <w:rsid w:val="001A62D7"/>
    <w:rPr>
      <w:rFonts w:eastAsia="Times New Roman"/>
      <w:b/>
      <w:bCs/>
      <w:sz w:val="20"/>
      <w:szCs w:val="20"/>
      <w:lang w:eastAsia="en-GB"/>
    </w:rPr>
  </w:style>
  <w:style w:type="paragraph" w:styleId="TableofFigures">
    <w:name w:val="table of figures"/>
    <w:basedOn w:val="Normal"/>
    <w:next w:val="Normal"/>
    <w:uiPriority w:val="99"/>
    <w:rsid w:val="001A62D7"/>
    <w:rPr>
      <w:rFonts w:eastAsia="Times New Roman"/>
      <w:lang w:eastAsia="en-GB"/>
    </w:rPr>
  </w:style>
  <w:style w:type="character" w:styleId="PageNumber">
    <w:name w:val="page number"/>
    <w:rsid w:val="001A62D7"/>
  </w:style>
  <w:style w:type="character" w:customStyle="1" w:styleId="tw4winMark">
    <w:name w:val="tw4winMark"/>
    <w:rsid w:val="001A62D7"/>
    <w:rPr>
      <w:vanish/>
      <w:color w:val="800080"/>
      <w:vertAlign w:val="subscript"/>
    </w:rPr>
  </w:style>
  <w:style w:type="character" w:styleId="FollowedHyperlink">
    <w:name w:val="FollowedHyperlink"/>
    <w:rsid w:val="001A62D7"/>
    <w:rPr>
      <w:color w:val="800080"/>
      <w:u w:val="single"/>
    </w:rPr>
  </w:style>
  <w:style w:type="paragraph" w:customStyle="1" w:styleId="Sous-titreobjet">
    <w:name w:val="Sous-titre objet"/>
    <w:basedOn w:val="Normal"/>
    <w:rsid w:val="001A62D7"/>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1A62D7"/>
  </w:style>
  <w:style w:type="paragraph" w:styleId="Revision">
    <w:name w:val="Revision"/>
    <w:hidden/>
    <w:uiPriority w:val="99"/>
    <w:semiHidden/>
    <w:rsid w:val="001A62D7"/>
    <w:rPr>
      <w:rFonts w:ascii="Calibri" w:eastAsia="Calibri" w:hAnsi="Calibri" w:cs="Times New Roman"/>
      <w:sz w:val="24"/>
      <w:lang w:eastAsia="en-GB"/>
    </w:rPr>
  </w:style>
  <w:style w:type="paragraph" w:customStyle="1" w:styleId="FooterCoverPage">
    <w:name w:val="Footer Cover Page"/>
    <w:basedOn w:val="Normal"/>
    <w:link w:val="FooterCoverPageChar"/>
    <w:rsid w:val="001A62D7"/>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1A62D7"/>
    <w:rPr>
      <w:rFonts w:ascii="Times New Roman" w:hAnsi="Times New Roman" w:cs="Times New Roman"/>
      <w:b/>
      <w:sz w:val="28"/>
      <w:lang w:val="fr-FR"/>
    </w:rPr>
  </w:style>
  <w:style w:type="character" w:customStyle="1" w:styleId="FooterCoverPageChar">
    <w:name w:val="Footer Cover Page Char"/>
    <w:link w:val="FooterCoverPage"/>
    <w:rsid w:val="001A62D7"/>
    <w:rPr>
      <w:rFonts w:ascii="Times New Roman" w:eastAsia="Calibri" w:hAnsi="Times New Roman" w:cs="Times New Roman"/>
      <w:sz w:val="24"/>
      <w:lang w:val="fr-FR" w:eastAsia="en-GB"/>
    </w:rPr>
  </w:style>
  <w:style w:type="paragraph" w:customStyle="1" w:styleId="HeaderCoverPage">
    <w:name w:val="Header Cover Page"/>
    <w:basedOn w:val="Normal"/>
    <w:link w:val="HeaderCoverPageChar"/>
    <w:rsid w:val="001A62D7"/>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1A62D7"/>
    <w:rPr>
      <w:rFonts w:ascii="Times New Roman" w:eastAsia="Calibri" w:hAnsi="Times New Roman" w:cs="Times New Roman"/>
      <w:sz w:val="24"/>
      <w:lang w:val="fr-FR" w:eastAsia="en-GB"/>
    </w:rPr>
  </w:style>
  <w:style w:type="character" w:customStyle="1" w:styleId="FooterSensitivityChar">
    <w:name w:val="Footer Sensitivity Char"/>
    <w:rsid w:val="001A62D7"/>
    <w:rPr>
      <w:rFonts w:ascii="Times New Roman" w:hAnsi="Times New Roman" w:cs="Times New Roman"/>
      <w:b/>
      <w:sz w:val="32"/>
      <w:lang w:val="fr-FR"/>
    </w:rPr>
  </w:style>
  <w:style w:type="character" w:customStyle="1" w:styleId="HeaderSensitivityChar">
    <w:name w:val="Header Sensitivity Char"/>
    <w:rsid w:val="001A62D7"/>
    <w:rPr>
      <w:rFonts w:ascii="Times New Roman" w:hAnsi="Times New Roman" w:cs="Times New Roman"/>
      <w:b/>
      <w:sz w:val="32"/>
      <w:lang w:val="fr-FR"/>
    </w:rPr>
  </w:style>
  <w:style w:type="character" w:customStyle="1" w:styleId="HeaderSensitivityRightChar">
    <w:name w:val="Header Sensitivity Right Char"/>
    <w:rsid w:val="001A62D7"/>
    <w:rPr>
      <w:rFonts w:ascii="Times New Roman" w:hAnsi="Times New Roman" w:cs="Times New Roman"/>
      <w:sz w:val="28"/>
      <w:lang w:val="fr-FR"/>
    </w:rPr>
  </w:style>
  <w:style w:type="paragraph" w:customStyle="1" w:styleId="LegalNumPar">
    <w:name w:val="LegalNumPar"/>
    <w:basedOn w:val="Normal"/>
    <w:rsid w:val="001A62D7"/>
    <w:pPr>
      <w:numPr>
        <w:numId w:val="16"/>
      </w:numPr>
      <w:spacing w:line="360" w:lineRule="auto"/>
    </w:pPr>
    <w:rPr>
      <w:rFonts w:eastAsia="Times New Roman"/>
      <w:lang w:eastAsia="en-GB"/>
    </w:rPr>
  </w:style>
  <w:style w:type="paragraph" w:customStyle="1" w:styleId="LegalNumPar2">
    <w:name w:val="LegalNumPar2"/>
    <w:basedOn w:val="Normal"/>
    <w:rsid w:val="001A62D7"/>
    <w:pPr>
      <w:numPr>
        <w:ilvl w:val="1"/>
        <w:numId w:val="16"/>
      </w:numPr>
      <w:spacing w:line="360" w:lineRule="auto"/>
    </w:pPr>
    <w:rPr>
      <w:rFonts w:eastAsia="Times New Roman"/>
      <w:lang w:eastAsia="en-GB"/>
    </w:rPr>
  </w:style>
  <w:style w:type="paragraph" w:customStyle="1" w:styleId="LegalNumPar3">
    <w:name w:val="LegalNumPar3"/>
    <w:basedOn w:val="Normal"/>
    <w:rsid w:val="001A62D7"/>
    <w:pPr>
      <w:numPr>
        <w:ilvl w:val="2"/>
        <w:numId w:val="16"/>
      </w:numPr>
      <w:spacing w:line="360" w:lineRule="auto"/>
    </w:pPr>
    <w:rPr>
      <w:rFonts w:eastAsia="Times New Roman"/>
      <w:lang w:eastAsia="en-GB"/>
    </w:rPr>
  </w:style>
  <w:style w:type="paragraph" w:styleId="ListParagraph">
    <w:name w:val="List Paragraph"/>
    <w:basedOn w:val="Normal"/>
    <w:uiPriority w:val="34"/>
    <w:qFormat/>
    <w:rsid w:val="001A62D7"/>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1A62D7"/>
    <w:rPr>
      <w:color w:val="605E5C"/>
      <w:shd w:val="clear" w:color="auto" w:fill="E1DFDD"/>
    </w:rPr>
  </w:style>
  <w:style w:type="character" w:styleId="Strong">
    <w:name w:val="Strong"/>
    <w:basedOn w:val="DefaultParagraphFont"/>
    <w:qFormat/>
    <w:rsid w:val="001A62D7"/>
    <w:rPr>
      <w:b/>
      <w:bCs/>
    </w:rPr>
  </w:style>
  <w:style w:type="character" w:styleId="Emphasis">
    <w:name w:val="Emphasis"/>
    <w:basedOn w:val="DefaultParagraphFont"/>
    <w:qFormat/>
    <w:rsid w:val="001A62D7"/>
    <w:rPr>
      <w:i/>
      <w:iCs/>
    </w:rPr>
  </w:style>
  <w:style w:type="character" w:customStyle="1" w:styleId="Mention">
    <w:name w:val="Mention"/>
    <w:basedOn w:val="DefaultParagraphFont"/>
    <w:uiPriority w:val="99"/>
    <w:unhideWhenUsed/>
    <w:rsid w:val="001A62D7"/>
    <w:rPr>
      <w:color w:val="2B579A"/>
      <w:shd w:val="clear" w:color="auto" w:fill="E1DFDD"/>
    </w:rPr>
  </w:style>
  <w:style w:type="character" w:customStyle="1" w:styleId="normaltextrun">
    <w:name w:val="normaltextrun"/>
    <w:basedOn w:val="DefaultParagraphFont"/>
    <w:rsid w:val="001A62D7"/>
  </w:style>
  <w:style w:type="character" w:customStyle="1" w:styleId="eop">
    <w:name w:val="eop"/>
    <w:basedOn w:val="DefaultParagraphFont"/>
    <w:rsid w:val="001A62D7"/>
  </w:style>
  <w:style w:type="character" w:customStyle="1" w:styleId="viiyi">
    <w:name w:val="viiyi"/>
    <w:basedOn w:val="DefaultParagraphFont"/>
    <w:rsid w:val="001A62D7"/>
  </w:style>
  <w:style w:type="character" w:customStyle="1" w:styleId="jlqj4b">
    <w:name w:val="jlqj4b"/>
    <w:basedOn w:val="DefaultParagraphFont"/>
    <w:rsid w:val="001A62D7"/>
  </w:style>
  <w:style w:type="character" w:customStyle="1" w:styleId="HeaderChar">
    <w:name w:val="Header Char"/>
    <w:basedOn w:val="DefaultParagraphFont"/>
    <w:link w:val="Header"/>
    <w:uiPriority w:val="99"/>
    <w:rsid w:val="00B63B13"/>
    <w:rPr>
      <w:rFonts w:ascii="Times New Roman" w:hAnsi="Times New Roman" w:cs="Times New Roman"/>
      <w:sz w:val="24"/>
      <w:lang w:val="fr-FR"/>
    </w:rPr>
  </w:style>
  <w:style w:type="character" w:customStyle="1" w:styleId="FooterChar">
    <w:name w:val="Footer Char"/>
    <w:basedOn w:val="DefaultParagraphFont"/>
    <w:link w:val="Footer"/>
    <w:uiPriority w:val="99"/>
    <w:rsid w:val="00B63B13"/>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B63B13"/>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B63B13"/>
    <w:pPr>
      <w:spacing w:before="0"/>
      <w:jc w:val="right"/>
    </w:pPr>
    <w:rPr>
      <w:sz w:val="28"/>
    </w:rPr>
  </w:style>
  <w:style w:type="paragraph" w:customStyle="1" w:styleId="FooterSensitivity">
    <w:name w:val="Footer Sensitivity"/>
    <w:basedOn w:val="Normal"/>
    <w:rsid w:val="00B63B1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0"/>
      </w:numPr>
    </w:pPr>
  </w:style>
  <w:style w:type="paragraph" w:customStyle="1" w:styleId="Tiret1">
    <w:name w:val="Tiret 1"/>
    <w:basedOn w:val="Point1"/>
    <w:pPr>
      <w:numPr>
        <w:numId w:val="21"/>
      </w:numPr>
    </w:pPr>
  </w:style>
  <w:style w:type="paragraph" w:customStyle="1" w:styleId="Tiret2">
    <w:name w:val="Tiret 2"/>
    <w:basedOn w:val="Point2"/>
    <w:pPr>
      <w:numPr>
        <w:numId w:val="22"/>
      </w:numPr>
    </w:pPr>
  </w:style>
  <w:style w:type="paragraph" w:customStyle="1" w:styleId="Tiret3">
    <w:name w:val="Tiret 3"/>
    <w:basedOn w:val="Point3"/>
    <w:pPr>
      <w:numPr>
        <w:numId w:val="23"/>
      </w:numPr>
    </w:pPr>
  </w:style>
  <w:style w:type="paragraph" w:customStyle="1" w:styleId="Tiret4">
    <w:name w:val="Tiret 4"/>
    <w:basedOn w:val="Point4"/>
    <w:pPr>
      <w:numPr>
        <w:numId w:val="24"/>
      </w:numPr>
    </w:pPr>
  </w:style>
  <w:style w:type="paragraph" w:customStyle="1" w:styleId="Tiret5">
    <w:name w:val="Tiret 5"/>
    <w:basedOn w:val="Point5"/>
    <w:pPr>
      <w:numPr>
        <w:numId w:val="2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6"/>
      </w:numPr>
    </w:pPr>
  </w:style>
  <w:style w:type="paragraph" w:customStyle="1" w:styleId="NumPar2">
    <w:name w:val="NumPar 2"/>
    <w:basedOn w:val="Normal"/>
    <w:next w:val="Text1"/>
    <w:pPr>
      <w:numPr>
        <w:ilvl w:val="1"/>
        <w:numId w:val="26"/>
      </w:numPr>
    </w:pPr>
  </w:style>
  <w:style w:type="paragraph" w:customStyle="1" w:styleId="NumPar3">
    <w:name w:val="NumPar 3"/>
    <w:basedOn w:val="Normal"/>
    <w:next w:val="Text1"/>
    <w:pPr>
      <w:numPr>
        <w:ilvl w:val="2"/>
        <w:numId w:val="26"/>
      </w:numPr>
    </w:pPr>
  </w:style>
  <w:style w:type="paragraph" w:customStyle="1" w:styleId="NumPar4">
    <w:name w:val="NumPar 4"/>
    <w:basedOn w:val="Normal"/>
    <w:next w:val="Text1"/>
    <w:pPr>
      <w:numPr>
        <w:ilvl w:val="3"/>
        <w:numId w:val="26"/>
      </w:numPr>
    </w:pPr>
  </w:style>
  <w:style w:type="paragraph" w:customStyle="1" w:styleId="NumPar5">
    <w:name w:val="NumPar 5"/>
    <w:basedOn w:val="Normal"/>
    <w:next w:val="Text2"/>
    <w:pPr>
      <w:numPr>
        <w:ilvl w:val="4"/>
        <w:numId w:val="26"/>
      </w:numPr>
    </w:pPr>
  </w:style>
  <w:style w:type="paragraph" w:customStyle="1" w:styleId="NumPar6">
    <w:name w:val="NumPar 6"/>
    <w:basedOn w:val="Normal"/>
    <w:next w:val="Text2"/>
    <w:pPr>
      <w:numPr>
        <w:ilvl w:val="5"/>
        <w:numId w:val="26"/>
      </w:numPr>
    </w:pPr>
  </w:style>
  <w:style w:type="paragraph" w:customStyle="1" w:styleId="NumPar7">
    <w:name w:val="NumPar 7"/>
    <w:basedOn w:val="Normal"/>
    <w:next w:val="Text2"/>
    <w:pPr>
      <w:numPr>
        <w:ilvl w:val="6"/>
        <w:numId w:val="2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8"/>
      </w:numPr>
    </w:pPr>
  </w:style>
  <w:style w:type="paragraph" w:customStyle="1" w:styleId="Point1number">
    <w:name w:val="Point 1 (number)"/>
    <w:basedOn w:val="Normal"/>
    <w:pPr>
      <w:numPr>
        <w:ilvl w:val="2"/>
        <w:numId w:val="28"/>
      </w:numPr>
    </w:pPr>
  </w:style>
  <w:style w:type="paragraph" w:customStyle="1" w:styleId="Point2number">
    <w:name w:val="Point 2 (number)"/>
    <w:basedOn w:val="Normal"/>
    <w:pPr>
      <w:numPr>
        <w:ilvl w:val="4"/>
        <w:numId w:val="28"/>
      </w:numPr>
    </w:pPr>
  </w:style>
  <w:style w:type="paragraph" w:customStyle="1" w:styleId="Point3number">
    <w:name w:val="Point 3 (number)"/>
    <w:basedOn w:val="Normal"/>
    <w:pPr>
      <w:numPr>
        <w:ilvl w:val="6"/>
        <w:numId w:val="28"/>
      </w:numPr>
    </w:pPr>
  </w:style>
  <w:style w:type="paragraph" w:customStyle="1" w:styleId="Point0letter">
    <w:name w:val="Point 0 (letter)"/>
    <w:basedOn w:val="Normal"/>
    <w:pPr>
      <w:numPr>
        <w:ilvl w:val="1"/>
        <w:numId w:val="28"/>
      </w:numPr>
    </w:pPr>
  </w:style>
  <w:style w:type="paragraph" w:customStyle="1" w:styleId="Point1letter">
    <w:name w:val="Point 1 (letter)"/>
    <w:basedOn w:val="Normal"/>
    <w:pPr>
      <w:numPr>
        <w:ilvl w:val="3"/>
        <w:numId w:val="28"/>
      </w:numPr>
    </w:pPr>
  </w:style>
  <w:style w:type="paragraph" w:customStyle="1" w:styleId="Point2letter">
    <w:name w:val="Point 2 (letter)"/>
    <w:basedOn w:val="Normal"/>
    <w:pPr>
      <w:numPr>
        <w:ilvl w:val="5"/>
        <w:numId w:val="28"/>
      </w:numPr>
    </w:pPr>
  </w:style>
  <w:style w:type="paragraph" w:customStyle="1" w:styleId="Point3letter">
    <w:name w:val="Point 3 (letter)"/>
    <w:basedOn w:val="Normal"/>
    <w:pPr>
      <w:numPr>
        <w:ilvl w:val="7"/>
        <w:numId w:val="28"/>
      </w:numPr>
    </w:pPr>
  </w:style>
  <w:style w:type="paragraph" w:customStyle="1" w:styleId="Point4letter">
    <w:name w:val="Point 4 (letter)"/>
    <w:basedOn w:val="Normal"/>
    <w:pPr>
      <w:numPr>
        <w:ilvl w:val="8"/>
        <w:numId w:val="28"/>
      </w:numPr>
    </w:pPr>
  </w:style>
  <w:style w:type="paragraph" w:customStyle="1" w:styleId="Bullet0">
    <w:name w:val="Bullet 0"/>
    <w:basedOn w:val="Normal"/>
    <w:pPr>
      <w:numPr>
        <w:numId w:val="29"/>
      </w:numPr>
    </w:pPr>
  </w:style>
  <w:style w:type="paragraph" w:customStyle="1" w:styleId="Bullet1">
    <w:name w:val="Bullet 1"/>
    <w:basedOn w:val="Normal"/>
    <w:pPr>
      <w:numPr>
        <w:numId w:val="30"/>
      </w:numPr>
    </w:pPr>
  </w:style>
  <w:style w:type="paragraph" w:customStyle="1" w:styleId="Bullet2">
    <w:name w:val="Bullet 2"/>
    <w:basedOn w:val="Normal"/>
    <w:pPr>
      <w:numPr>
        <w:numId w:val="31"/>
      </w:numPr>
    </w:pPr>
  </w:style>
  <w:style w:type="paragraph" w:customStyle="1" w:styleId="Bullet3">
    <w:name w:val="Bullet 3"/>
    <w:basedOn w:val="Normal"/>
    <w:pPr>
      <w:numPr>
        <w:numId w:val="32"/>
      </w:numPr>
    </w:pPr>
  </w:style>
  <w:style w:type="paragraph" w:customStyle="1" w:styleId="Bullet4">
    <w:name w:val="Bullet 4"/>
    <w:basedOn w:val="Normal"/>
    <w:pPr>
      <w:numPr>
        <w:numId w:val="3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B63B13"/>
    <w:pPr>
      <w:tabs>
        <w:tab w:val="center" w:pos="4535"/>
        <w:tab w:val="right" w:pos="9071"/>
      </w:tabs>
      <w:spacing w:before="0"/>
    </w:pPr>
  </w:style>
  <w:style w:type="paragraph" w:customStyle="1" w:styleId="HeaderLandscape">
    <w:name w:val="HeaderLandscape"/>
    <w:basedOn w:val="Normal"/>
    <w:rsid w:val="00B63B13"/>
    <w:pPr>
      <w:tabs>
        <w:tab w:val="center" w:pos="7285"/>
        <w:tab w:val="right" w:pos="14003"/>
      </w:tabs>
      <w:spacing w:before="0"/>
    </w:pPr>
  </w:style>
  <w:style w:type="paragraph" w:styleId="Footer">
    <w:name w:val="footer"/>
    <w:basedOn w:val="Normal"/>
    <w:link w:val="FooterChar"/>
    <w:uiPriority w:val="99"/>
    <w:unhideWhenUsed/>
    <w:rsid w:val="00B63B13"/>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B63B13"/>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statbel.fgov.be/fr/themes/emploi-formation/marche-du-travail/emploi-et-chomage" TargetMode="External"/><Relationship Id="rId13" Type="http://schemas.openxmlformats.org/officeDocument/2006/relationships/hyperlink" Target="https://viewstat.actiris.brussels/viewstat_werkloosheid_basisstatistieken.html" TargetMode="External"/><Relationship Id="rId18" Type="http://schemas.openxmlformats.org/officeDocument/2006/relationships/hyperlink" Target="https://www.leforem.be/documents/citoyens/penuries-liste-metiers.pdf" TargetMode="External"/><Relationship Id="rId3" Type="http://schemas.openxmlformats.org/officeDocument/2006/relationships/hyperlink" Target="https://statbel.fgov.be/fr/nouvelles/11067-faillites-en-2024-resultats-regionaux-contrastes" TargetMode="External"/><Relationship Id="rId7" Type="http://schemas.openxmlformats.org/officeDocument/2006/relationships/hyperlink" Target="https://ec.europa.eu/eurostat/web/products-euro-indicators/w/3-02102025-ap" TargetMode="External"/><Relationship Id="rId12" Type="http://schemas.openxmlformats.org/officeDocument/2006/relationships/hyperlink" Target="https://viewstat.actiris.brussels/viewstat_werkloosheid_basisstatistieken.html" TargetMode="External"/><Relationship Id="rId17" Type="http://schemas.openxmlformats.org/officeDocument/2006/relationships/hyperlink" Target="https://www.leforem.be/documents/citoyens/penuries-liste-metiers.pdf" TargetMode="External"/><Relationship Id="rId2" Type="http://schemas.openxmlformats.org/officeDocument/2006/relationships/hyperlink" Target="https://statbel.fgov.be/fr/themes/entreprises/faillites/faillites-mensuelles" TargetMode="External"/><Relationship Id="rId16" Type="http://schemas.openxmlformats.org/officeDocument/2006/relationships/hyperlink" Target="https://www.leforem.be/documents/citoyens/penuries-liste-metiers.pdf" TargetMode="External"/><Relationship Id="rId1" Type="http://schemas.openxmlformats.org/officeDocument/2006/relationships/hyperlink" Target="https://statbel.fgov.be/fr/nouvelles/11067-faillites-en-2024-resultats-regionaux-contrastes" TargetMode="External"/><Relationship Id="rId6" Type="http://schemas.openxmlformats.org/officeDocument/2006/relationships/hyperlink" Target="https://statbel.fgov.be/fr/themes/emploi-formation/marche-du-travail/emploi-et-chomage" TargetMode="External"/><Relationship Id="rId11" Type="http://schemas.openxmlformats.org/officeDocument/2006/relationships/hyperlink" Target="https://viewstat.actiris.brussels/viewstat_werkloosheid_basisstatistieken.html" TargetMode="External"/><Relationship Id="rId5" Type="http://schemas.openxmlformats.org/officeDocument/2006/relationships/hyperlink" Target="https://bestat.statbel.fgov.be/bestat/crosstable.xhtml?view=bf348576-546f-4008-8a02-48c1736adcd0" TargetMode="External"/><Relationship Id="rId15" Type="http://schemas.openxmlformats.org/officeDocument/2006/relationships/hyperlink" Target="https://www.leforem.be/documents/citoyens/penuries-liste-metiers.pdf" TargetMode="External"/><Relationship Id="rId10" Type="http://schemas.openxmlformats.org/officeDocument/2006/relationships/hyperlink" Target="https://statbel.fgov.be/fr/themes/emploi-formation/marche-du-travail/emploi-et-chomage" TargetMode="External"/><Relationship Id="rId4" Type="http://schemas.openxmlformats.org/officeDocument/2006/relationships/hyperlink" Target="https://bestat.statbel.fgov.be/bestat/crosstable.xhtml?view=bf348576-546f-4008-8a02-48c1736adcd0" TargetMode="External"/><Relationship Id="rId9" Type="http://schemas.openxmlformats.org/officeDocument/2006/relationships/hyperlink" Target="https://bestat.statbel.fgov.be/bestat/crosstable.xhtml?view=4beb6e55-ffd5-4008-a8ba-094d942559ac" TargetMode="External"/><Relationship Id="rId14" Type="http://schemas.openxmlformats.org/officeDocument/2006/relationships/hyperlink" Target="https://viewstat.actiris.brussels/viewstat_werkloosheid_basisstatistieken.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0ABAD1-A1EA-4795-A782-AD98B0C3CA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6</TotalTime>
  <Pages>13</Pages>
  <Words>4533</Words>
  <Characters>25844</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21</cp:revision>
  <dcterms:created xsi:type="dcterms:W3CDTF">2026-01-05T17:00:00Z</dcterms:created>
  <dcterms:modified xsi:type="dcterms:W3CDTF">2026-01-08T14:43:00Z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SJ-026</vt:lpwstr>
  </property>
  <property fmtid="{D5CDD505-2E9C-101B-9397-08002B2CF9AE}" pid="10" name="MSIP_Label_6bd9ddd1-4d20-43f6-abfa-fc3c07406f94_Enabled">
    <vt:lpwstr>true</vt:lpwstr>
  </property>
  <property fmtid="{D5CDD505-2E9C-101B-9397-08002B2CF9AE}" pid="11" name="MSIP_Label_6bd9ddd1-4d20-43f6-abfa-fc3c07406f94_SetDate">
    <vt:lpwstr>2025-02-03T12:15:49Z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56910240-6c56-4989-8e01-d1db357c2268</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