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B60706" w:rsidRDefault="009F6901" w:rsidP="009F690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AA845F4-4E44-4CC5-B0D4-BA4AF3776615" style="width:455.25pt;height:342.75pt">
            <v:imagedata r:id="rId8" o:title=""/>
          </v:shape>
        </w:pict>
      </w:r>
    </w:p>
    <w:p w:rsidR="001A62D7" w:rsidRPr="00B60706" w:rsidRDefault="001A62D7" w:rsidP="001A62D7">
      <w:pPr>
        <w:rPr>
          <w:noProof/>
        </w:rPr>
        <w:sectPr w:rsidR="001A62D7" w:rsidRPr="00B60706" w:rsidSect="009F6901">
          <w:footerReference w:type="even" r:id="rId9"/>
          <w:footerReference w:type="default" r:id="rId10"/>
          <w:pgSz w:w="11907" w:h="16839"/>
          <w:pgMar w:top="1134" w:right="1417" w:bottom="1134" w:left="1417" w:header="709" w:footer="709" w:gutter="0"/>
          <w:pgNumType w:start="0"/>
          <w:cols w:space="720"/>
          <w:docGrid w:linePitch="360"/>
        </w:sectPr>
      </w:pPr>
    </w:p>
    <w:p w:rsidR="001A62D7" w:rsidRPr="00B60706" w:rsidRDefault="001A62D7" w:rsidP="001A62D7">
      <w:pPr>
        <w:pStyle w:val="Exposdesmotifstitre"/>
        <w:rPr>
          <w:noProof/>
        </w:rPr>
      </w:pPr>
      <w:bookmarkStart w:id="0" w:name="_GoBack"/>
      <w:bookmarkEnd w:id="0"/>
      <w:r w:rsidRPr="00B60706">
        <w:rPr>
          <w:noProof/>
        </w:rPr>
        <w:lastRenderedPageBreak/>
        <w:t>EXPUNERE DE MOTIVE</w:t>
      </w:r>
    </w:p>
    <w:p w:rsidR="001A62D7" w:rsidRPr="00B60706" w:rsidRDefault="001A62D7" w:rsidP="001A62D7">
      <w:pPr>
        <w:pStyle w:val="ManualHeading1"/>
        <w:rPr>
          <w:noProof/>
        </w:rPr>
      </w:pPr>
      <w:r w:rsidRPr="00B60706">
        <w:rPr>
          <w:noProof/>
        </w:rPr>
        <w:t>CONTEXTUL PROPUNERII</w:t>
      </w:r>
    </w:p>
    <w:p w:rsidR="001A62D7" w:rsidRPr="00B60706" w:rsidRDefault="00C11631" w:rsidP="00C11631">
      <w:pPr>
        <w:pStyle w:val="ManualNumPar1"/>
        <w:rPr>
          <w:noProof/>
        </w:rPr>
      </w:pPr>
      <w:r w:rsidRPr="00C11631">
        <w:rPr>
          <w:noProof/>
        </w:rPr>
        <w:t>1.</w:t>
      </w:r>
      <w:r w:rsidRPr="00C11631">
        <w:rPr>
          <w:noProof/>
        </w:rPr>
        <w:tab/>
      </w:r>
      <w:r w:rsidR="001A62D7" w:rsidRPr="00B60706">
        <w:rPr>
          <w:noProof/>
        </w:rPr>
        <w:t>Normele aplicabile contribuțiilor financiare din partea Fondului european de ajustare la globalizare pentru lucrătorii disponibilizați (FEG) sunt prevăzute în Regulamentul (UE) 2021/691 al Parlamentului European și al Consiliului din 28 aprilie 2021 privind Fondul european de ajustare la globalizare pentru lucrătorii disponibilizați (FEG) și de abrogare a Regulamentului (UE) nr. 1309/2013</w:t>
      </w:r>
      <w:r w:rsidR="001A62D7" w:rsidRPr="00B60706">
        <w:rPr>
          <w:rStyle w:val="FootnoteReference"/>
          <w:noProof/>
        </w:rPr>
        <w:footnoteReference w:id="1"/>
      </w:r>
      <w:r w:rsidR="001A62D7" w:rsidRPr="00B60706">
        <w:rPr>
          <w:noProof/>
        </w:rPr>
        <w:t>.</w:t>
      </w:r>
    </w:p>
    <w:p w:rsidR="001A62D7" w:rsidRPr="00B60706" w:rsidRDefault="00C11631" w:rsidP="00C11631">
      <w:pPr>
        <w:pStyle w:val="ManualNumPar1"/>
        <w:rPr>
          <w:noProof/>
        </w:rPr>
      </w:pPr>
      <w:r w:rsidRPr="00C11631">
        <w:rPr>
          <w:noProof/>
        </w:rPr>
        <w:t>2.</w:t>
      </w:r>
      <w:r w:rsidRPr="00C11631">
        <w:rPr>
          <w:noProof/>
        </w:rPr>
        <w:tab/>
      </w:r>
      <w:r w:rsidR="001A62D7" w:rsidRPr="00B60706">
        <w:rPr>
          <w:noProof/>
        </w:rPr>
        <w:t>La 18 septembrie 2025, Belgia a depus cererea EGF/</w:t>
      </w:r>
      <w:bookmarkStart w:id="1" w:name="EGF_Ref_Year"/>
      <w:r w:rsidR="001A62D7" w:rsidRPr="00B60706">
        <w:rPr>
          <w:noProof/>
        </w:rPr>
        <w:t>2025</w:t>
      </w:r>
      <w:bookmarkEnd w:id="1"/>
      <w:r w:rsidR="001A62D7" w:rsidRPr="00B60706">
        <w:rPr>
          <w:noProof/>
        </w:rPr>
        <w:t>/</w:t>
      </w:r>
      <w:bookmarkStart w:id="2" w:name="EGF_Ref_CaseNumber"/>
      <w:r w:rsidR="001A62D7" w:rsidRPr="00B60706">
        <w:rPr>
          <w:noProof/>
        </w:rPr>
        <w:t>006</w:t>
      </w:r>
      <w:bookmarkEnd w:id="2"/>
      <w:r w:rsidR="001A62D7" w:rsidRPr="00B60706">
        <w:rPr>
          <w:noProof/>
        </w:rPr>
        <w:t xml:space="preserve"> </w:t>
      </w:r>
      <w:bookmarkStart w:id="3" w:name="MS_Code"/>
      <w:r w:rsidR="001A62D7" w:rsidRPr="00B60706">
        <w:rPr>
          <w:noProof/>
        </w:rPr>
        <w:t>BE</w:t>
      </w:r>
      <w:bookmarkEnd w:id="3"/>
      <w:r w:rsidR="001A62D7" w:rsidRPr="00B60706">
        <w:rPr>
          <w:noProof/>
        </w:rPr>
        <w:t>/</w:t>
      </w:r>
      <w:bookmarkStart w:id="4" w:name="EGF_Ref_CaseName"/>
      <w:r w:rsidR="001A62D7" w:rsidRPr="00B60706">
        <w:rPr>
          <w:noProof/>
        </w:rPr>
        <w:t>Audi</w:t>
      </w:r>
      <w:bookmarkEnd w:id="4"/>
      <w:r w:rsidR="001A62D7" w:rsidRPr="00B60706">
        <w:rPr>
          <w:noProof/>
        </w:rPr>
        <w:t xml:space="preserve"> pentru o contribuție financiară din partea FEG, ca urmare a disponibilizărilor de la </w:t>
      </w:r>
      <w:bookmarkStart w:id="5" w:name="PrimEnterprise_Name"/>
      <w:r w:rsidR="001A62D7" w:rsidRPr="00B60706">
        <w:rPr>
          <w:noProof/>
        </w:rPr>
        <w:t>Audi (Audi Brussels S.A.:n.V.)</w:t>
      </w:r>
      <w:bookmarkEnd w:id="5"/>
      <w:r w:rsidR="001A62D7" w:rsidRPr="00B60706">
        <w:rPr>
          <w:noProof/>
        </w:rPr>
        <w:t xml:space="preserve"> și de la filialele sale, precum și de la furnizorii și producătorii săi din aval din </w:t>
      </w:r>
      <w:bookmarkStart w:id="6" w:name="MS_Name"/>
      <w:r w:rsidR="001A62D7" w:rsidRPr="00B60706">
        <w:rPr>
          <w:noProof/>
        </w:rPr>
        <w:t>Belgia</w:t>
      </w:r>
      <w:bookmarkEnd w:id="6"/>
      <w:r w:rsidR="001A62D7" w:rsidRPr="00B60706">
        <w:rPr>
          <w:noProof/>
        </w:rPr>
        <w:t>.</w:t>
      </w:r>
    </w:p>
    <w:p w:rsidR="001A62D7" w:rsidRPr="00B60706" w:rsidRDefault="00C11631" w:rsidP="00C11631">
      <w:pPr>
        <w:pStyle w:val="ManualNumPar1"/>
        <w:rPr>
          <w:noProof/>
        </w:rPr>
      </w:pPr>
      <w:r w:rsidRPr="00C11631">
        <w:rPr>
          <w:noProof/>
        </w:rPr>
        <w:t>3.</w:t>
      </w:r>
      <w:r w:rsidRPr="00C11631">
        <w:rPr>
          <w:noProof/>
        </w:rPr>
        <w:tab/>
      </w:r>
      <w:r w:rsidR="001A62D7" w:rsidRPr="00B60706">
        <w:rPr>
          <w:noProof/>
        </w:rPr>
        <w:t xml:space="preserve">După evaluarea acestei cereri, Comisia a concluzionat, în conformitate cu toate dispozițiile aplicabile ale Regulamentului (UE) 2021/691, că sunt îndeplinite condițiile pentru acordarea unei contribuții financiare din partea FEG. </w:t>
      </w:r>
    </w:p>
    <w:p w:rsidR="001A62D7" w:rsidRPr="00B60706" w:rsidRDefault="001A62D7" w:rsidP="001A62D7">
      <w:pPr>
        <w:pStyle w:val="ManualHeading1"/>
        <w:rPr>
          <w:noProof/>
        </w:rPr>
      </w:pPr>
      <w:r w:rsidRPr="00B60706">
        <w:rPr>
          <w:noProof/>
        </w:rPr>
        <w:t>REZUMATUL CERERII</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644"/>
        <w:gridCol w:w="4643"/>
      </w:tblGrid>
      <w:tr w:rsidR="001A62D7" w:rsidRPr="00B60706" w:rsidTr="00605885">
        <w:tc>
          <w:tcPr>
            <w:tcW w:w="4644" w:type="dxa"/>
            <w:shd w:val="clear" w:color="auto" w:fill="auto"/>
          </w:tcPr>
          <w:p w:rsidR="001A62D7" w:rsidRPr="00B60706" w:rsidRDefault="001A62D7" w:rsidP="001D5990">
            <w:pPr>
              <w:spacing w:before="60" w:after="60"/>
              <w:jc w:val="left"/>
              <w:rPr>
                <w:rFonts w:eastAsia="Calibri"/>
                <w:noProof/>
              </w:rPr>
            </w:pPr>
            <w:r w:rsidRPr="00B60706">
              <w:rPr>
                <w:noProof/>
              </w:rPr>
              <w:t>Cererea FEG</w:t>
            </w:r>
          </w:p>
        </w:tc>
        <w:tc>
          <w:tcPr>
            <w:tcW w:w="4643" w:type="dxa"/>
            <w:shd w:val="clear" w:color="auto" w:fill="auto"/>
          </w:tcPr>
          <w:p w:rsidR="001A62D7" w:rsidRPr="00B60706" w:rsidRDefault="001A62D7" w:rsidP="001D5990">
            <w:pPr>
              <w:spacing w:before="60" w:after="60"/>
              <w:ind w:rightChars="192" w:right="461"/>
              <w:jc w:val="left"/>
              <w:rPr>
                <w:rFonts w:eastAsia="Calibri"/>
                <w:noProof/>
              </w:rPr>
            </w:pPr>
            <w:r w:rsidRPr="00B60706">
              <w:rPr>
                <w:noProof/>
              </w:rPr>
              <w:t>EGF/2025/006 BE/Audi</w:t>
            </w:r>
          </w:p>
        </w:tc>
      </w:tr>
      <w:tr w:rsidR="001A62D7" w:rsidRPr="00B60706" w:rsidTr="00605885">
        <w:tc>
          <w:tcPr>
            <w:tcW w:w="4644" w:type="dxa"/>
            <w:shd w:val="clear" w:color="auto" w:fill="auto"/>
          </w:tcPr>
          <w:p w:rsidR="001A62D7" w:rsidRPr="00B60706" w:rsidRDefault="001A62D7" w:rsidP="001D5990">
            <w:pPr>
              <w:spacing w:before="60" w:after="60"/>
              <w:jc w:val="left"/>
              <w:rPr>
                <w:rFonts w:eastAsia="Calibri"/>
                <w:noProof/>
              </w:rPr>
            </w:pPr>
            <w:r w:rsidRPr="00B60706">
              <w:rPr>
                <w:noProof/>
              </w:rPr>
              <w:t>Statul membru</w:t>
            </w:r>
          </w:p>
        </w:tc>
        <w:tc>
          <w:tcPr>
            <w:tcW w:w="4643" w:type="dxa"/>
            <w:shd w:val="clear" w:color="auto" w:fill="auto"/>
          </w:tcPr>
          <w:p w:rsidR="001A62D7" w:rsidRPr="00B60706" w:rsidRDefault="00A824CE" w:rsidP="001D5990">
            <w:pPr>
              <w:spacing w:before="60" w:after="60"/>
              <w:ind w:rightChars="192" w:right="461"/>
              <w:jc w:val="left"/>
              <w:rPr>
                <w:rFonts w:eastAsia="Calibri"/>
                <w:noProof/>
              </w:rPr>
            </w:pPr>
            <w:r w:rsidRPr="00B60706">
              <w:rPr>
                <w:noProof/>
              </w:rPr>
              <w:t>Belgia</w:t>
            </w:r>
          </w:p>
        </w:tc>
      </w:tr>
      <w:tr w:rsidR="001A62D7" w:rsidRPr="00B60706" w:rsidTr="00605885">
        <w:tc>
          <w:tcPr>
            <w:tcW w:w="4644" w:type="dxa"/>
            <w:tcBorders>
              <w:bottom w:val="single" w:sz="4" w:space="0" w:color="auto"/>
            </w:tcBorders>
            <w:shd w:val="clear" w:color="auto" w:fill="auto"/>
          </w:tcPr>
          <w:p w:rsidR="001A62D7" w:rsidRPr="00B60706" w:rsidRDefault="001A62D7" w:rsidP="001D5990">
            <w:pPr>
              <w:spacing w:before="60" w:after="60"/>
              <w:jc w:val="left"/>
              <w:rPr>
                <w:rFonts w:eastAsia="Calibri"/>
                <w:noProof/>
              </w:rPr>
            </w:pPr>
            <w:r w:rsidRPr="00B60706">
              <w:rPr>
                <w:noProof/>
              </w:rPr>
              <w:t>Regiunea sau regiunile vizate (nivel NUTS</w:t>
            </w:r>
            <w:r w:rsidRPr="00B60706">
              <w:rPr>
                <w:rStyle w:val="FootnoteReference"/>
                <w:noProof/>
              </w:rPr>
              <w:footnoteReference w:id="2"/>
            </w:r>
            <w:r w:rsidRPr="00B60706">
              <w:rPr>
                <w:noProof/>
              </w:rPr>
              <w:t xml:space="preserve"> 2)</w:t>
            </w:r>
            <w:r w:rsidRPr="00B60706">
              <w:rPr>
                <w:rStyle w:val="FootnoteReference"/>
                <w:rFonts w:eastAsia="Calibri"/>
                <w:noProof/>
              </w:rPr>
              <w:footnoteReference w:id="3"/>
            </w:r>
          </w:p>
        </w:tc>
        <w:tc>
          <w:tcPr>
            <w:tcW w:w="4643" w:type="dxa"/>
            <w:tcBorders>
              <w:bottom w:val="single" w:sz="4" w:space="0" w:color="auto"/>
            </w:tcBorders>
            <w:shd w:val="clear" w:color="auto" w:fill="auto"/>
          </w:tcPr>
          <w:p w:rsidR="00605885" w:rsidRPr="00B60706" w:rsidRDefault="00605885" w:rsidP="00605885">
            <w:pPr>
              <w:spacing w:before="0" w:after="0"/>
              <w:ind w:rightChars="192" w:right="461"/>
              <w:jc w:val="left"/>
              <w:rPr>
                <w:noProof/>
                <w:szCs w:val="24"/>
              </w:rPr>
            </w:pPr>
            <w:r w:rsidRPr="00B60706">
              <w:rPr>
                <w:noProof/>
              </w:rPr>
              <w:t>Région de Bruxelles-Capitale/</w:t>
            </w:r>
          </w:p>
          <w:p w:rsidR="00605885" w:rsidRPr="00B60706" w:rsidRDefault="00605885" w:rsidP="00605885">
            <w:pPr>
              <w:spacing w:before="0" w:after="0"/>
              <w:ind w:rightChars="192" w:right="461"/>
              <w:jc w:val="left"/>
              <w:rPr>
                <w:noProof/>
                <w:szCs w:val="24"/>
              </w:rPr>
            </w:pPr>
            <w:r w:rsidRPr="00B60706">
              <w:rPr>
                <w:noProof/>
              </w:rPr>
              <w:t>Brussels Hoofdstedelijk Gewest (BE10),</w:t>
            </w:r>
          </w:p>
          <w:p w:rsidR="001A62D7" w:rsidRPr="00B60706" w:rsidRDefault="0020128B" w:rsidP="00605885">
            <w:pPr>
              <w:spacing w:before="0" w:after="0"/>
              <w:ind w:rightChars="192" w:right="461"/>
              <w:jc w:val="left"/>
              <w:rPr>
                <w:noProof/>
                <w:szCs w:val="24"/>
              </w:rPr>
            </w:pPr>
            <w:bookmarkStart w:id="7" w:name="Region_1_Name"/>
            <w:r w:rsidRPr="00B60706">
              <w:rPr>
                <w:noProof/>
              </w:rPr>
              <w:t>Provincie Oost-Vlaanderen</w:t>
            </w:r>
            <w:bookmarkEnd w:id="7"/>
            <w:r w:rsidRPr="00B60706">
              <w:rPr>
                <w:noProof/>
              </w:rPr>
              <w:t xml:space="preserve"> (BE23) și</w:t>
            </w:r>
          </w:p>
          <w:p w:rsidR="001A62D7" w:rsidRPr="00B60706" w:rsidRDefault="00605885" w:rsidP="008D17F5">
            <w:pPr>
              <w:spacing w:before="0" w:after="0"/>
              <w:ind w:rightChars="192" w:right="461"/>
              <w:jc w:val="left"/>
              <w:rPr>
                <w:noProof/>
                <w:szCs w:val="24"/>
              </w:rPr>
            </w:pPr>
            <w:r w:rsidRPr="00B60706">
              <w:rPr>
                <w:noProof/>
              </w:rPr>
              <w:t>Province Hainaut (BE32)</w:t>
            </w:r>
          </w:p>
        </w:tc>
      </w:tr>
      <w:tr w:rsidR="001A62D7" w:rsidRPr="00B60706" w:rsidTr="00605885">
        <w:tc>
          <w:tcPr>
            <w:tcW w:w="4644" w:type="dxa"/>
            <w:tcBorders>
              <w:bottom w:val="dotted" w:sz="4" w:space="0" w:color="auto"/>
            </w:tcBorders>
            <w:shd w:val="clear" w:color="auto" w:fill="auto"/>
          </w:tcPr>
          <w:p w:rsidR="001A62D7" w:rsidRPr="00B60706" w:rsidRDefault="001A62D7" w:rsidP="001D5990">
            <w:pPr>
              <w:spacing w:before="60" w:after="60"/>
              <w:jc w:val="left"/>
              <w:rPr>
                <w:rFonts w:eastAsia="Calibri"/>
                <w:noProof/>
              </w:rPr>
            </w:pPr>
            <w:r w:rsidRPr="00B60706">
              <w:rPr>
                <w:noProof/>
              </w:rPr>
              <w:t>Data depunerii cererii</w:t>
            </w:r>
          </w:p>
        </w:tc>
        <w:tc>
          <w:tcPr>
            <w:tcW w:w="4643" w:type="dxa"/>
            <w:tcBorders>
              <w:bottom w:val="dotted" w:sz="4" w:space="0" w:color="auto"/>
            </w:tcBorders>
            <w:shd w:val="clear" w:color="auto" w:fill="auto"/>
          </w:tcPr>
          <w:p w:rsidR="001A62D7" w:rsidRPr="00B60706" w:rsidRDefault="00A824CE" w:rsidP="001D5990">
            <w:pPr>
              <w:spacing w:before="60" w:after="60"/>
              <w:ind w:rightChars="192" w:right="461"/>
              <w:jc w:val="left"/>
              <w:rPr>
                <w:rFonts w:eastAsia="Calibri"/>
                <w:noProof/>
              </w:rPr>
            </w:pPr>
            <w:r w:rsidRPr="00B60706">
              <w:rPr>
                <w:noProof/>
              </w:rPr>
              <w:t>18 septembrie 2025</w:t>
            </w:r>
          </w:p>
        </w:tc>
      </w:tr>
      <w:tr w:rsidR="001A62D7" w:rsidRPr="00B60706" w:rsidTr="00605885">
        <w:tc>
          <w:tcPr>
            <w:tcW w:w="4644" w:type="dxa"/>
            <w:tcBorders>
              <w:top w:val="dotted" w:sz="4" w:space="0" w:color="auto"/>
              <w:bottom w:val="dotted" w:sz="4" w:space="0" w:color="auto"/>
            </w:tcBorders>
            <w:shd w:val="clear" w:color="auto" w:fill="auto"/>
          </w:tcPr>
          <w:p w:rsidR="001A62D7" w:rsidRPr="00B60706" w:rsidRDefault="001A62D7" w:rsidP="001D5990">
            <w:pPr>
              <w:spacing w:before="60" w:after="60"/>
              <w:jc w:val="left"/>
              <w:rPr>
                <w:rFonts w:eastAsia="Calibri"/>
                <w:noProof/>
              </w:rPr>
            </w:pPr>
            <w:r w:rsidRPr="00B60706">
              <w:rPr>
                <w:noProof/>
              </w:rPr>
              <w:t>Data confirmării primirii cererii</w:t>
            </w:r>
          </w:p>
        </w:tc>
        <w:tc>
          <w:tcPr>
            <w:tcW w:w="4643" w:type="dxa"/>
            <w:tcBorders>
              <w:top w:val="dotted" w:sz="4" w:space="0" w:color="auto"/>
              <w:bottom w:val="dotted" w:sz="4" w:space="0" w:color="auto"/>
            </w:tcBorders>
            <w:shd w:val="clear" w:color="auto" w:fill="auto"/>
          </w:tcPr>
          <w:p w:rsidR="001A62D7" w:rsidRPr="00B60706" w:rsidRDefault="007D1CC7" w:rsidP="001D5990">
            <w:pPr>
              <w:spacing w:before="60" w:after="60"/>
              <w:ind w:rightChars="192" w:right="461"/>
              <w:jc w:val="left"/>
              <w:rPr>
                <w:rFonts w:eastAsia="Calibri"/>
                <w:noProof/>
              </w:rPr>
            </w:pPr>
            <w:r w:rsidRPr="00B60706">
              <w:rPr>
                <w:noProof/>
              </w:rPr>
              <w:t>18 septembrie 2025</w:t>
            </w:r>
          </w:p>
        </w:tc>
      </w:tr>
      <w:tr w:rsidR="001A62D7" w:rsidRPr="00B60706" w:rsidTr="00605885">
        <w:tc>
          <w:tcPr>
            <w:tcW w:w="4644" w:type="dxa"/>
            <w:tcBorders>
              <w:top w:val="dotted" w:sz="4" w:space="0" w:color="auto"/>
              <w:bottom w:val="dotted" w:sz="4" w:space="0" w:color="auto"/>
            </w:tcBorders>
            <w:shd w:val="clear" w:color="auto" w:fill="auto"/>
          </w:tcPr>
          <w:p w:rsidR="001A62D7" w:rsidRPr="00B60706" w:rsidRDefault="001A62D7" w:rsidP="001D5990">
            <w:pPr>
              <w:spacing w:before="60" w:after="60"/>
              <w:jc w:val="left"/>
              <w:rPr>
                <w:rFonts w:eastAsia="Calibri"/>
                <w:noProof/>
              </w:rPr>
            </w:pPr>
            <w:r w:rsidRPr="00B60706">
              <w:rPr>
                <w:noProof/>
              </w:rPr>
              <w:t>Data cererii de informații suplimentare</w:t>
            </w:r>
          </w:p>
        </w:tc>
        <w:tc>
          <w:tcPr>
            <w:tcW w:w="4643" w:type="dxa"/>
            <w:tcBorders>
              <w:top w:val="dotted" w:sz="4" w:space="0" w:color="auto"/>
              <w:bottom w:val="dotted" w:sz="4" w:space="0" w:color="auto"/>
            </w:tcBorders>
            <w:shd w:val="clear" w:color="auto" w:fill="auto"/>
          </w:tcPr>
          <w:p w:rsidR="001A62D7" w:rsidRPr="00B60706" w:rsidRDefault="007D1CC7" w:rsidP="001D5990">
            <w:pPr>
              <w:spacing w:before="60" w:after="60"/>
              <w:ind w:rightChars="192" w:right="461"/>
              <w:jc w:val="left"/>
              <w:rPr>
                <w:rFonts w:eastAsia="Calibri"/>
                <w:noProof/>
              </w:rPr>
            </w:pPr>
            <w:r w:rsidRPr="00B60706">
              <w:rPr>
                <w:noProof/>
              </w:rPr>
              <w:t>2 octombrie 2025</w:t>
            </w:r>
          </w:p>
        </w:tc>
      </w:tr>
      <w:tr w:rsidR="001A62D7" w:rsidRPr="00B60706" w:rsidTr="00605885">
        <w:tc>
          <w:tcPr>
            <w:tcW w:w="4644" w:type="dxa"/>
            <w:tcBorders>
              <w:top w:val="dotted" w:sz="4" w:space="0" w:color="auto"/>
              <w:bottom w:val="dotted" w:sz="4" w:space="0" w:color="auto"/>
            </w:tcBorders>
            <w:shd w:val="clear" w:color="auto" w:fill="auto"/>
          </w:tcPr>
          <w:p w:rsidR="001A62D7" w:rsidRPr="00B60706" w:rsidRDefault="001A62D7" w:rsidP="001D5990">
            <w:pPr>
              <w:spacing w:before="60" w:after="60"/>
              <w:jc w:val="left"/>
              <w:rPr>
                <w:rFonts w:eastAsia="Calibri"/>
                <w:noProof/>
              </w:rPr>
            </w:pPr>
            <w:r w:rsidRPr="00B60706">
              <w:rPr>
                <w:noProof/>
              </w:rPr>
              <w:t>Termenul pentru furnizarea informațiilor suplimentare</w:t>
            </w:r>
          </w:p>
        </w:tc>
        <w:tc>
          <w:tcPr>
            <w:tcW w:w="4643" w:type="dxa"/>
            <w:tcBorders>
              <w:top w:val="dotted" w:sz="4" w:space="0" w:color="auto"/>
              <w:bottom w:val="dotted" w:sz="4" w:space="0" w:color="auto"/>
            </w:tcBorders>
            <w:shd w:val="clear" w:color="auto" w:fill="auto"/>
          </w:tcPr>
          <w:p w:rsidR="001A62D7" w:rsidRPr="00B60706" w:rsidRDefault="007D1CC7" w:rsidP="001D5990">
            <w:pPr>
              <w:spacing w:before="60" w:after="60"/>
              <w:ind w:rightChars="192" w:right="461"/>
              <w:jc w:val="left"/>
              <w:rPr>
                <w:rFonts w:eastAsia="Calibri"/>
                <w:noProof/>
              </w:rPr>
            </w:pPr>
            <w:r w:rsidRPr="00B60706">
              <w:rPr>
                <w:noProof/>
              </w:rPr>
              <w:t>23 octombrie 2025</w:t>
            </w:r>
          </w:p>
        </w:tc>
      </w:tr>
      <w:tr w:rsidR="001A62D7" w:rsidRPr="00B60706" w:rsidTr="00605885">
        <w:tc>
          <w:tcPr>
            <w:tcW w:w="4644" w:type="dxa"/>
            <w:tcBorders>
              <w:top w:val="dotted" w:sz="4" w:space="0" w:color="auto"/>
            </w:tcBorders>
            <w:shd w:val="clear" w:color="auto" w:fill="auto"/>
          </w:tcPr>
          <w:p w:rsidR="001A62D7" w:rsidRPr="00B60706" w:rsidRDefault="001A62D7" w:rsidP="001D5990">
            <w:pPr>
              <w:spacing w:before="60" w:after="60"/>
              <w:jc w:val="left"/>
              <w:rPr>
                <w:rFonts w:eastAsia="Calibri"/>
                <w:noProof/>
              </w:rPr>
            </w:pPr>
            <w:r w:rsidRPr="00B60706">
              <w:rPr>
                <w:noProof/>
              </w:rPr>
              <w:t>Termenul pentru finalizarea evaluării</w:t>
            </w:r>
          </w:p>
        </w:tc>
        <w:tc>
          <w:tcPr>
            <w:tcW w:w="4643" w:type="dxa"/>
            <w:tcBorders>
              <w:top w:val="dotted" w:sz="4" w:space="0" w:color="auto"/>
            </w:tcBorders>
            <w:shd w:val="clear" w:color="auto" w:fill="auto"/>
          </w:tcPr>
          <w:p w:rsidR="001A62D7" w:rsidRPr="00B60706" w:rsidRDefault="007D1CC7" w:rsidP="001D5990">
            <w:pPr>
              <w:spacing w:before="60" w:after="60"/>
              <w:ind w:rightChars="192" w:right="461"/>
              <w:jc w:val="left"/>
              <w:rPr>
                <w:rFonts w:eastAsia="Calibri"/>
                <w:noProof/>
              </w:rPr>
            </w:pPr>
            <w:r w:rsidRPr="00B60706">
              <w:rPr>
                <w:noProof/>
              </w:rPr>
              <w:t>13 ianuarie 2026</w:t>
            </w:r>
          </w:p>
        </w:tc>
      </w:tr>
      <w:tr w:rsidR="001A62D7" w:rsidRPr="00B60706" w:rsidTr="00605885">
        <w:tc>
          <w:tcPr>
            <w:tcW w:w="4644" w:type="dxa"/>
            <w:shd w:val="clear" w:color="auto" w:fill="auto"/>
          </w:tcPr>
          <w:p w:rsidR="001A62D7" w:rsidRPr="00B60706" w:rsidRDefault="001A62D7" w:rsidP="001D5990">
            <w:pPr>
              <w:spacing w:before="60" w:after="60"/>
              <w:jc w:val="left"/>
              <w:rPr>
                <w:rFonts w:eastAsia="Calibri"/>
                <w:noProof/>
              </w:rPr>
            </w:pPr>
            <w:r w:rsidRPr="00B60706">
              <w:rPr>
                <w:noProof/>
              </w:rPr>
              <w:t>Criteriul de intervenție</w:t>
            </w:r>
          </w:p>
        </w:tc>
        <w:tc>
          <w:tcPr>
            <w:tcW w:w="4643" w:type="dxa"/>
            <w:shd w:val="clear" w:color="auto" w:fill="auto"/>
          </w:tcPr>
          <w:p w:rsidR="001A62D7" w:rsidRPr="00B60706" w:rsidRDefault="001A62D7" w:rsidP="001D5990">
            <w:pPr>
              <w:spacing w:before="60" w:after="60"/>
              <w:ind w:rightChars="192" w:right="461"/>
              <w:jc w:val="left"/>
              <w:rPr>
                <w:rFonts w:eastAsia="Calibri"/>
                <w:noProof/>
              </w:rPr>
            </w:pPr>
            <w:r w:rsidRPr="00B60706">
              <w:rPr>
                <w:noProof/>
              </w:rPr>
              <w:t>Articolul 4 alineatul (2) litera (a) din Regulamentul (UE) 2021/691</w:t>
            </w:r>
          </w:p>
        </w:tc>
      </w:tr>
      <w:tr w:rsidR="001A62D7" w:rsidRPr="00B60706" w:rsidTr="00605885">
        <w:tc>
          <w:tcPr>
            <w:tcW w:w="4644" w:type="dxa"/>
            <w:tcBorders>
              <w:top w:val="single" w:sz="4" w:space="0" w:color="auto"/>
              <w:bottom w:val="single" w:sz="4" w:space="0" w:color="auto"/>
              <w:right w:val="single" w:sz="4" w:space="0" w:color="auto"/>
            </w:tcBorders>
            <w:shd w:val="clear" w:color="auto" w:fill="auto"/>
          </w:tcPr>
          <w:p w:rsidR="001A62D7" w:rsidRPr="00B60706" w:rsidRDefault="001A62D7" w:rsidP="001D5990">
            <w:pPr>
              <w:spacing w:before="60" w:after="60"/>
              <w:jc w:val="left"/>
              <w:rPr>
                <w:rFonts w:eastAsia="Calibri"/>
                <w:noProof/>
              </w:rPr>
            </w:pPr>
            <w:r w:rsidRPr="00B60706">
              <w:rPr>
                <w:noProof/>
              </w:rPr>
              <w:br w:type="page"/>
              <w:t>Întreprinderea principală</w:t>
            </w:r>
          </w:p>
        </w:tc>
        <w:tc>
          <w:tcPr>
            <w:tcW w:w="4643" w:type="dxa"/>
            <w:tcBorders>
              <w:top w:val="single" w:sz="4" w:space="0" w:color="auto"/>
              <w:left w:val="single" w:sz="4" w:space="0" w:color="auto"/>
              <w:bottom w:val="single" w:sz="4" w:space="0" w:color="auto"/>
            </w:tcBorders>
            <w:shd w:val="clear" w:color="auto" w:fill="auto"/>
          </w:tcPr>
          <w:p w:rsidR="001A62D7" w:rsidRPr="00B60706" w:rsidRDefault="007D1CC7" w:rsidP="001D5990">
            <w:pPr>
              <w:spacing w:before="60" w:after="60"/>
              <w:ind w:rightChars="192" w:right="461"/>
              <w:jc w:val="left"/>
              <w:rPr>
                <w:noProof/>
                <w:szCs w:val="24"/>
              </w:rPr>
            </w:pPr>
            <w:r w:rsidRPr="00B60706">
              <w:rPr>
                <w:noProof/>
              </w:rPr>
              <w:t>Audi (Audi Brussels S.A.:n.V.)</w:t>
            </w:r>
          </w:p>
        </w:tc>
      </w:tr>
      <w:tr w:rsidR="001A62D7" w:rsidRPr="00B60706" w:rsidTr="00605885">
        <w:tc>
          <w:tcPr>
            <w:tcW w:w="4644" w:type="dxa"/>
            <w:shd w:val="clear" w:color="auto" w:fill="auto"/>
          </w:tcPr>
          <w:p w:rsidR="001A62D7" w:rsidRPr="00B60706" w:rsidRDefault="001A62D7" w:rsidP="001D5990">
            <w:pPr>
              <w:spacing w:before="60" w:after="60"/>
              <w:jc w:val="left"/>
              <w:rPr>
                <w:rFonts w:eastAsia="Calibri"/>
                <w:noProof/>
              </w:rPr>
            </w:pPr>
            <w:r w:rsidRPr="00B60706">
              <w:rPr>
                <w:noProof/>
              </w:rPr>
              <w:t>Sectorul de activitate economică</w:t>
            </w:r>
          </w:p>
          <w:p w:rsidR="001A62D7" w:rsidRPr="00B60706" w:rsidRDefault="001A62D7" w:rsidP="001D5990">
            <w:pPr>
              <w:spacing w:before="60" w:after="60"/>
              <w:jc w:val="left"/>
              <w:rPr>
                <w:rFonts w:eastAsia="Calibri"/>
                <w:noProof/>
              </w:rPr>
            </w:pPr>
            <w:r w:rsidRPr="00B60706">
              <w:rPr>
                <w:noProof/>
              </w:rPr>
              <w:t>(Diviziunea NACE Rev. 2)</w:t>
            </w:r>
            <w:r w:rsidRPr="00B60706">
              <w:rPr>
                <w:rStyle w:val="FootnoteReference"/>
                <w:noProof/>
                <w:szCs w:val="24"/>
              </w:rPr>
              <w:footnoteReference w:id="4"/>
            </w:r>
          </w:p>
        </w:tc>
        <w:tc>
          <w:tcPr>
            <w:tcW w:w="4643" w:type="dxa"/>
            <w:shd w:val="clear" w:color="auto" w:fill="auto"/>
          </w:tcPr>
          <w:p w:rsidR="001A62D7" w:rsidRPr="00B60706" w:rsidRDefault="001A62D7" w:rsidP="007D1CC7">
            <w:pPr>
              <w:spacing w:before="60" w:after="60"/>
              <w:ind w:rightChars="192" w:right="461"/>
              <w:jc w:val="left"/>
              <w:rPr>
                <w:rFonts w:eastAsia="Calibri"/>
                <w:noProof/>
              </w:rPr>
            </w:pPr>
            <w:r w:rsidRPr="00B60706">
              <w:rPr>
                <w:noProof/>
              </w:rPr>
              <w:t>Diviziunea 29 (Fabricarea autovehiculelor, a remorcilor și a semiremorcilor)</w:t>
            </w:r>
          </w:p>
        </w:tc>
      </w:tr>
      <w:tr w:rsidR="001A62D7" w:rsidRPr="00B60706" w:rsidTr="00605885">
        <w:tc>
          <w:tcPr>
            <w:tcW w:w="4644" w:type="dxa"/>
            <w:shd w:val="clear" w:color="auto" w:fill="auto"/>
          </w:tcPr>
          <w:p w:rsidR="001A62D7" w:rsidRPr="00B60706" w:rsidRDefault="001A62D7" w:rsidP="001D5990">
            <w:pPr>
              <w:spacing w:before="60" w:after="60"/>
              <w:jc w:val="left"/>
              <w:rPr>
                <w:rFonts w:eastAsia="Calibri"/>
                <w:noProof/>
              </w:rPr>
            </w:pPr>
            <w:r w:rsidRPr="00B60706">
              <w:rPr>
                <w:noProof/>
              </w:rPr>
              <w:br w:type="page"/>
              <w:t>Numărul de filiale, furnizori și producători din aval</w:t>
            </w:r>
          </w:p>
        </w:tc>
        <w:tc>
          <w:tcPr>
            <w:tcW w:w="4643" w:type="dxa"/>
            <w:shd w:val="clear" w:color="auto" w:fill="auto"/>
          </w:tcPr>
          <w:p w:rsidR="001A62D7" w:rsidRPr="00B60706" w:rsidRDefault="007D1CC7" w:rsidP="001D5990">
            <w:pPr>
              <w:spacing w:before="60" w:after="60"/>
              <w:ind w:rightChars="192" w:right="461"/>
              <w:jc w:val="left"/>
              <w:rPr>
                <w:rFonts w:eastAsia="Calibri"/>
                <w:noProof/>
              </w:rPr>
            </w:pPr>
            <w:r w:rsidRPr="00B60706">
              <w:rPr>
                <w:noProof/>
              </w:rPr>
              <w:t>5</w:t>
            </w:r>
            <w:r w:rsidRPr="00B60706">
              <w:rPr>
                <w:rStyle w:val="FootnoteReference"/>
                <w:rFonts w:eastAsia="Calibri"/>
                <w:noProof/>
              </w:rPr>
              <w:footnoteReference w:id="5"/>
            </w:r>
          </w:p>
        </w:tc>
      </w:tr>
      <w:tr w:rsidR="001A62D7" w:rsidRPr="00B60706" w:rsidTr="00605885">
        <w:tc>
          <w:tcPr>
            <w:tcW w:w="4644" w:type="dxa"/>
            <w:tcBorders>
              <w:bottom w:val="single" w:sz="4" w:space="0" w:color="auto"/>
            </w:tcBorders>
            <w:shd w:val="clear" w:color="auto" w:fill="auto"/>
          </w:tcPr>
          <w:p w:rsidR="001A62D7" w:rsidRPr="00B60706" w:rsidRDefault="001A62D7" w:rsidP="001D5990">
            <w:pPr>
              <w:spacing w:before="60" w:after="60"/>
              <w:jc w:val="left"/>
              <w:rPr>
                <w:rFonts w:eastAsia="Calibri"/>
                <w:noProof/>
              </w:rPr>
            </w:pPr>
            <w:r w:rsidRPr="00B60706">
              <w:rPr>
                <w:noProof/>
              </w:rPr>
              <w:t>Perioada de referință (patru luni):</w:t>
            </w:r>
          </w:p>
        </w:tc>
        <w:tc>
          <w:tcPr>
            <w:tcW w:w="4643" w:type="dxa"/>
            <w:tcBorders>
              <w:bottom w:val="single" w:sz="4" w:space="0" w:color="auto"/>
            </w:tcBorders>
            <w:shd w:val="clear" w:color="auto" w:fill="auto"/>
          </w:tcPr>
          <w:p w:rsidR="001A62D7" w:rsidRPr="00B60706" w:rsidRDefault="007D1CC7" w:rsidP="001D5990">
            <w:pPr>
              <w:spacing w:before="60" w:after="60"/>
              <w:ind w:rightChars="192" w:right="461"/>
              <w:jc w:val="left"/>
              <w:rPr>
                <w:rFonts w:eastAsia="Calibri"/>
                <w:noProof/>
              </w:rPr>
            </w:pPr>
            <w:r w:rsidRPr="00B60706">
              <w:rPr>
                <w:noProof/>
              </w:rPr>
              <w:t>28 februarie 2025 - 28 iunie 2025</w:t>
            </w:r>
          </w:p>
        </w:tc>
      </w:tr>
      <w:tr w:rsidR="001A62D7" w:rsidRPr="00B60706" w:rsidTr="00605885">
        <w:tc>
          <w:tcPr>
            <w:tcW w:w="4644" w:type="dxa"/>
            <w:tcBorders>
              <w:bottom w:val="dotted" w:sz="4" w:space="0" w:color="auto"/>
            </w:tcBorders>
            <w:shd w:val="clear" w:color="auto" w:fill="auto"/>
          </w:tcPr>
          <w:p w:rsidR="001A62D7" w:rsidRPr="00B60706" w:rsidRDefault="001A62D7" w:rsidP="001D5990">
            <w:pPr>
              <w:spacing w:before="60" w:after="60"/>
              <w:jc w:val="left"/>
              <w:rPr>
                <w:rFonts w:eastAsia="Calibri"/>
                <w:noProof/>
                <w:highlight w:val="magenta"/>
              </w:rPr>
            </w:pPr>
            <w:r w:rsidRPr="00B60706">
              <w:rPr>
                <w:noProof/>
              </w:rPr>
              <w:t>Numărul de disponibilizări în perioada de referință (</w:t>
            </w:r>
            <w:r w:rsidRPr="00B60706">
              <w:rPr>
                <w:i/>
                <w:noProof/>
              </w:rPr>
              <w:t>a</w:t>
            </w:r>
            <w:r w:rsidRPr="00B60706">
              <w:rPr>
                <w:noProof/>
              </w:rPr>
              <w:t>)</w:t>
            </w:r>
          </w:p>
        </w:tc>
        <w:tc>
          <w:tcPr>
            <w:tcW w:w="4643" w:type="dxa"/>
            <w:tcBorders>
              <w:bottom w:val="dotted" w:sz="4" w:space="0" w:color="auto"/>
            </w:tcBorders>
            <w:shd w:val="clear" w:color="auto" w:fill="auto"/>
          </w:tcPr>
          <w:p w:rsidR="001A62D7" w:rsidRPr="00B60706" w:rsidRDefault="007D1CC7" w:rsidP="001D5990">
            <w:pPr>
              <w:spacing w:before="60" w:after="60"/>
              <w:ind w:rightChars="192" w:right="461"/>
              <w:jc w:val="left"/>
              <w:rPr>
                <w:rFonts w:eastAsia="Calibri"/>
                <w:noProof/>
                <w:highlight w:val="magenta"/>
              </w:rPr>
            </w:pPr>
            <w:r w:rsidRPr="00B60706">
              <w:rPr>
                <w:noProof/>
              </w:rPr>
              <w:t>3 148</w:t>
            </w:r>
          </w:p>
        </w:tc>
      </w:tr>
      <w:tr w:rsidR="001A62D7" w:rsidRPr="00B60706" w:rsidTr="00605885">
        <w:tc>
          <w:tcPr>
            <w:tcW w:w="4644" w:type="dxa"/>
            <w:tcBorders>
              <w:top w:val="dotted" w:sz="4" w:space="0" w:color="auto"/>
              <w:bottom w:val="dotted" w:sz="4" w:space="0" w:color="auto"/>
            </w:tcBorders>
            <w:shd w:val="clear" w:color="auto" w:fill="auto"/>
          </w:tcPr>
          <w:p w:rsidR="001A62D7" w:rsidRPr="00B60706" w:rsidRDefault="001A62D7" w:rsidP="001D5990">
            <w:pPr>
              <w:spacing w:before="60" w:after="60"/>
              <w:jc w:val="left"/>
              <w:rPr>
                <w:rFonts w:eastAsia="Calibri"/>
                <w:noProof/>
                <w:highlight w:val="magenta"/>
              </w:rPr>
            </w:pPr>
            <w:r w:rsidRPr="00B60706">
              <w:rPr>
                <w:noProof/>
              </w:rPr>
              <w:t>Numărul de disponibilizări înainte sau după perioada de referință (</w:t>
            </w:r>
            <w:r w:rsidRPr="00B60706">
              <w:rPr>
                <w:i/>
                <w:noProof/>
              </w:rPr>
              <w:t>b</w:t>
            </w:r>
            <w:r w:rsidRPr="00B60706">
              <w:rPr>
                <w:noProof/>
              </w:rPr>
              <w:t>)</w:t>
            </w:r>
          </w:p>
        </w:tc>
        <w:tc>
          <w:tcPr>
            <w:tcW w:w="4643" w:type="dxa"/>
            <w:tcBorders>
              <w:top w:val="dotted" w:sz="4" w:space="0" w:color="auto"/>
              <w:bottom w:val="dotted" w:sz="4" w:space="0" w:color="auto"/>
            </w:tcBorders>
            <w:shd w:val="clear" w:color="auto" w:fill="auto"/>
          </w:tcPr>
          <w:p w:rsidR="001A62D7" w:rsidRPr="00B60706" w:rsidRDefault="007D1CC7" w:rsidP="001D5990">
            <w:pPr>
              <w:spacing w:before="60" w:after="60"/>
              <w:ind w:rightChars="192" w:right="461"/>
              <w:jc w:val="left"/>
              <w:rPr>
                <w:rFonts w:eastAsia="Calibri"/>
                <w:noProof/>
              </w:rPr>
            </w:pPr>
            <w:r w:rsidRPr="00B60706">
              <w:rPr>
                <w:noProof/>
              </w:rPr>
              <w:t>266</w:t>
            </w:r>
          </w:p>
        </w:tc>
      </w:tr>
      <w:tr w:rsidR="001A62D7" w:rsidRPr="00B60706" w:rsidTr="00605885">
        <w:tc>
          <w:tcPr>
            <w:tcW w:w="4644" w:type="dxa"/>
            <w:tcBorders>
              <w:top w:val="dotted" w:sz="4" w:space="0" w:color="auto"/>
              <w:bottom w:val="single" w:sz="4" w:space="0" w:color="auto"/>
            </w:tcBorders>
            <w:shd w:val="clear" w:color="auto" w:fill="auto"/>
          </w:tcPr>
          <w:p w:rsidR="001A62D7" w:rsidRPr="00B60706" w:rsidRDefault="001A62D7" w:rsidP="001D5990">
            <w:pPr>
              <w:spacing w:before="60" w:after="60"/>
              <w:jc w:val="left"/>
              <w:rPr>
                <w:rFonts w:eastAsia="Calibri"/>
                <w:noProof/>
              </w:rPr>
            </w:pPr>
            <w:r w:rsidRPr="00B60706">
              <w:rPr>
                <w:noProof/>
              </w:rPr>
              <w:t>Numărul total de disponibilizări (</w:t>
            </w:r>
            <w:r w:rsidRPr="00B60706">
              <w:rPr>
                <w:i/>
                <w:noProof/>
              </w:rPr>
              <w:t>a</w:t>
            </w:r>
            <w:r w:rsidRPr="00B60706">
              <w:rPr>
                <w:noProof/>
              </w:rPr>
              <w:t xml:space="preserve"> + </w:t>
            </w:r>
            <w:r w:rsidRPr="00B60706">
              <w:rPr>
                <w:i/>
                <w:noProof/>
              </w:rPr>
              <w:t>b</w:t>
            </w:r>
            <w:r w:rsidRPr="00B60706">
              <w:rPr>
                <w:noProof/>
              </w:rPr>
              <w:t>)</w:t>
            </w:r>
          </w:p>
        </w:tc>
        <w:tc>
          <w:tcPr>
            <w:tcW w:w="4643" w:type="dxa"/>
            <w:tcBorders>
              <w:top w:val="dotted" w:sz="4" w:space="0" w:color="auto"/>
              <w:bottom w:val="single" w:sz="4" w:space="0" w:color="auto"/>
            </w:tcBorders>
            <w:shd w:val="clear" w:color="auto" w:fill="auto"/>
          </w:tcPr>
          <w:p w:rsidR="001A62D7" w:rsidRPr="00B60706" w:rsidRDefault="007D1CC7" w:rsidP="001D5990">
            <w:pPr>
              <w:spacing w:before="60" w:after="60"/>
              <w:ind w:rightChars="192" w:right="461"/>
              <w:jc w:val="left"/>
              <w:rPr>
                <w:rFonts w:eastAsia="Calibri"/>
                <w:noProof/>
              </w:rPr>
            </w:pPr>
            <w:r w:rsidRPr="00B60706">
              <w:rPr>
                <w:noProof/>
              </w:rPr>
              <w:t>3 414</w:t>
            </w:r>
          </w:p>
        </w:tc>
      </w:tr>
      <w:tr w:rsidR="001A62D7" w:rsidRPr="00B60706" w:rsidTr="00605885">
        <w:tc>
          <w:tcPr>
            <w:tcW w:w="4644" w:type="dxa"/>
            <w:tcBorders>
              <w:bottom w:val="dotted" w:sz="4" w:space="0" w:color="auto"/>
            </w:tcBorders>
            <w:shd w:val="clear" w:color="auto" w:fill="auto"/>
          </w:tcPr>
          <w:p w:rsidR="001A62D7" w:rsidRPr="00B60706" w:rsidRDefault="001A62D7" w:rsidP="001D5990">
            <w:pPr>
              <w:spacing w:before="60" w:after="60"/>
              <w:jc w:val="left"/>
              <w:rPr>
                <w:rFonts w:eastAsia="Calibri"/>
                <w:noProof/>
              </w:rPr>
            </w:pPr>
            <w:r w:rsidRPr="00B60706">
              <w:rPr>
                <w:noProof/>
              </w:rPr>
              <w:t>Numărul total de beneficiari eligibili</w:t>
            </w:r>
          </w:p>
        </w:tc>
        <w:tc>
          <w:tcPr>
            <w:tcW w:w="4643" w:type="dxa"/>
            <w:tcBorders>
              <w:bottom w:val="dotted" w:sz="4" w:space="0" w:color="auto"/>
            </w:tcBorders>
            <w:shd w:val="clear" w:color="auto" w:fill="auto"/>
          </w:tcPr>
          <w:p w:rsidR="001A62D7" w:rsidRPr="00B60706" w:rsidRDefault="007D1CC7" w:rsidP="001D5990">
            <w:pPr>
              <w:spacing w:before="60" w:after="60"/>
              <w:ind w:rightChars="192" w:right="461"/>
              <w:jc w:val="left"/>
              <w:rPr>
                <w:rFonts w:eastAsia="Calibri"/>
                <w:noProof/>
              </w:rPr>
            </w:pPr>
            <w:r w:rsidRPr="00B60706">
              <w:rPr>
                <w:noProof/>
              </w:rPr>
              <w:t>3 414</w:t>
            </w:r>
          </w:p>
        </w:tc>
      </w:tr>
      <w:tr w:rsidR="001A62D7" w:rsidRPr="00B60706" w:rsidTr="00605885">
        <w:tc>
          <w:tcPr>
            <w:tcW w:w="4644" w:type="dxa"/>
            <w:tcBorders>
              <w:top w:val="dotted" w:sz="4" w:space="0" w:color="auto"/>
              <w:bottom w:val="dotted" w:sz="4" w:space="0" w:color="auto"/>
            </w:tcBorders>
            <w:shd w:val="clear" w:color="auto" w:fill="auto"/>
          </w:tcPr>
          <w:p w:rsidR="001A62D7" w:rsidRPr="00B60706" w:rsidRDefault="001A62D7" w:rsidP="001D5990">
            <w:pPr>
              <w:spacing w:before="60" w:after="60"/>
              <w:jc w:val="left"/>
              <w:rPr>
                <w:rFonts w:eastAsia="Calibri"/>
                <w:noProof/>
              </w:rPr>
            </w:pPr>
            <w:r w:rsidRPr="00B60706">
              <w:rPr>
                <w:noProof/>
              </w:rPr>
              <w:t>Numărul total de beneficiari vizați</w:t>
            </w:r>
          </w:p>
        </w:tc>
        <w:tc>
          <w:tcPr>
            <w:tcW w:w="4643" w:type="dxa"/>
            <w:tcBorders>
              <w:top w:val="dotted" w:sz="4" w:space="0" w:color="auto"/>
              <w:bottom w:val="dotted" w:sz="4" w:space="0" w:color="auto"/>
            </w:tcBorders>
            <w:shd w:val="clear" w:color="auto" w:fill="auto"/>
          </w:tcPr>
          <w:p w:rsidR="001A62D7" w:rsidRPr="00B60706" w:rsidRDefault="007D1CC7" w:rsidP="001D5990">
            <w:pPr>
              <w:spacing w:before="60" w:after="60"/>
              <w:ind w:rightChars="192" w:right="461"/>
              <w:jc w:val="left"/>
              <w:rPr>
                <w:rFonts w:eastAsia="Calibri"/>
                <w:noProof/>
              </w:rPr>
            </w:pPr>
            <w:r w:rsidRPr="00B60706">
              <w:rPr>
                <w:noProof/>
              </w:rPr>
              <w:t>3 414</w:t>
            </w:r>
          </w:p>
        </w:tc>
      </w:tr>
      <w:tr w:rsidR="001A62D7" w:rsidRPr="00B60706" w:rsidTr="00605885">
        <w:tc>
          <w:tcPr>
            <w:tcW w:w="4644" w:type="dxa"/>
            <w:tcBorders>
              <w:bottom w:val="dotted" w:sz="4" w:space="0" w:color="auto"/>
            </w:tcBorders>
            <w:shd w:val="clear" w:color="auto" w:fill="auto"/>
            <w:vAlign w:val="center"/>
          </w:tcPr>
          <w:p w:rsidR="001A62D7" w:rsidRPr="00B60706" w:rsidRDefault="001A62D7" w:rsidP="001D5990">
            <w:pPr>
              <w:spacing w:before="0" w:after="0"/>
              <w:jc w:val="left"/>
              <w:rPr>
                <w:noProof/>
              </w:rPr>
            </w:pPr>
            <w:r w:rsidRPr="00B60706">
              <w:rPr>
                <w:noProof/>
              </w:rPr>
              <w:t>Bugetul pentru servicii personalizate (EUR)</w:t>
            </w:r>
          </w:p>
        </w:tc>
        <w:tc>
          <w:tcPr>
            <w:tcW w:w="4643" w:type="dxa"/>
            <w:tcBorders>
              <w:bottom w:val="dotted" w:sz="4" w:space="0" w:color="auto"/>
            </w:tcBorders>
            <w:shd w:val="clear" w:color="auto" w:fill="auto"/>
            <w:vAlign w:val="center"/>
          </w:tcPr>
          <w:p w:rsidR="001A62D7" w:rsidRPr="00B60706" w:rsidRDefault="00DC7444" w:rsidP="001D5990">
            <w:pPr>
              <w:spacing w:before="0" w:after="0"/>
              <w:ind w:rightChars="192" w:right="461"/>
              <w:jc w:val="left"/>
              <w:rPr>
                <w:noProof/>
              </w:rPr>
            </w:pPr>
            <w:r w:rsidRPr="00B60706">
              <w:rPr>
                <w:noProof/>
              </w:rPr>
              <w:t>8 738 968</w:t>
            </w:r>
          </w:p>
        </w:tc>
      </w:tr>
      <w:tr w:rsidR="001A62D7" w:rsidRPr="00B60706" w:rsidTr="00605885">
        <w:tc>
          <w:tcPr>
            <w:tcW w:w="4644" w:type="dxa"/>
            <w:tcBorders>
              <w:top w:val="dotted" w:sz="4" w:space="0" w:color="auto"/>
              <w:bottom w:val="dotted" w:sz="4" w:space="0" w:color="auto"/>
            </w:tcBorders>
            <w:shd w:val="clear" w:color="auto" w:fill="auto"/>
            <w:vAlign w:val="center"/>
          </w:tcPr>
          <w:p w:rsidR="001A62D7" w:rsidRPr="00B60706" w:rsidRDefault="001A62D7" w:rsidP="001D5990">
            <w:pPr>
              <w:spacing w:before="0" w:after="0"/>
              <w:jc w:val="left"/>
              <w:rPr>
                <w:noProof/>
              </w:rPr>
            </w:pPr>
            <w:r w:rsidRPr="00B60706">
              <w:rPr>
                <w:noProof/>
              </w:rPr>
              <w:t>Bugetul pentru implementarea FEG</w:t>
            </w:r>
            <w:r w:rsidRPr="00B60706">
              <w:rPr>
                <w:rStyle w:val="FootnoteReference"/>
                <w:noProof/>
              </w:rPr>
              <w:footnoteReference w:id="6"/>
            </w:r>
            <w:r w:rsidRPr="00B60706">
              <w:rPr>
                <w:noProof/>
              </w:rPr>
              <w:t xml:space="preserve"> (EUR)</w:t>
            </w:r>
          </w:p>
        </w:tc>
        <w:tc>
          <w:tcPr>
            <w:tcW w:w="4643" w:type="dxa"/>
            <w:tcBorders>
              <w:top w:val="dotted" w:sz="4" w:space="0" w:color="auto"/>
              <w:bottom w:val="dotted" w:sz="4" w:space="0" w:color="auto"/>
            </w:tcBorders>
            <w:shd w:val="clear" w:color="auto" w:fill="auto"/>
            <w:vAlign w:val="center"/>
          </w:tcPr>
          <w:p w:rsidR="001A62D7" w:rsidRPr="00B60706" w:rsidRDefault="00D6013C" w:rsidP="001D5990">
            <w:pPr>
              <w:spacing w:before="0" w:after="0"/>
              <w:ind w:rightChars="192" w:right="461"/>
              <w:jc w:val="left"/>
              <w:rPr>
                <w:noProof/>
              </w:rPr>
            </w:pPr>
            <w:r w:rsidRPr="00B60706">
              <w:rPr>
                <w:noProof/>
              </w:rPr>
              <w:t>117 062</w:t>
            </w:r>
          </w:p>
        </w:tc>
      </w:tr>
      <w:tr w:rsidR="001A62D7" w:rsidRPr="00B60706" w:rsidTr="00605885">
        <w:tc>
          <w:tcPr>
            <w:tcW w:w="4644" w:type="dxa"/>
            <w:tcBorders>
              <w:top w:val="dotted" w:sz="4" w:space="0" w:color="auto"/>
              <w:bottom w:val="dotted" w:sz="4" w:space="0" w:color="auto"/>
            </w:tcBorders>
            <w:shd w:val="clear" w:color="auto" w:fill="auto"/>
            <w:vAlign w:val="center"/>
          </w:tcPr>
          <w:p w:rsidR="001A62D7" w:rsidRPr="00B60706" w:rsidRDefault="001A62D7" w:rsidP="001D5990">
            <w:pPr>
              <w:spacing w:before="0" w:after="0"/>
              <w:jc w:val="left"/>
              <w:rPr>
                <w:noProof/>
              </w:rPr>
            </w:pPr>
            <w:r w:rsidRPr="00B60706">
              <w:rPr>
                <w:noProof/>
              </w:rPr>
              <w:t>Bugetul total (EUR)</w:t>
            </w:r>
          </w:p>
        </w:tc>
        <w:tc>
          <w:tcPr>
            <w:tcW w:w="4643" w:type="dxa"/>
            <w:tcBorders>
              <w:top w:val="dotted" w:sz="4" w:space="0" w:color="auto"/>
              <w:bottom w:val="dotted" w:sz="4" w:space="0" w:color="auto"/>
            </w:tcBorders>
            <w:shd w:val="clear" w:color="auto" w:fill="auto"/>
            <w:vAlign w:val="center"/>
          </w:tcPr>
          <w:p w:rsidR="001A62D7" w:rsidRPr="00B60706" w:rsidRDefault="00DC7444" w:rsidP="001D5990">
            <w:pPr>
              <w:spacing w:before="0" w:after="0"/>
              <w:ind w:rightChars="192" w:right="461"/>
              <w:jc w:val="left"/>
              <w:rPr>
                <w:noProof/>
              </w:rPr>
            </w:pPr>
            <w:r w:rsidRPr="00B60706">
              <w:rPr>
                <w:noProof/>
              </w:rPr>
              <w:t>8 856 030</w:t>
            </w:r>
          </w:p>
        </w:tc>
      </w:tr>
      <w:tr w:rsidR="001A62D7" w:rsidRPr="00B60706" w:rsidTr="00605885">
        <w:tc>
          <w:tcPr>
            <w:tcW w:w="4644" w:type="dxa"/>
            <w:tcBorders>
              <w:top w:val="dotted" w:sz="4" w:space="0" w:color="auto"/>
            </w:tcBorders>
            <w:shd w:val="clear" w:color="auto" w:fill="auto"/>
            <w:vAlign w:val="center"/>
          </w:tcPr>
          <w:p w:rsidR="001A62D7" w:rsidRPr="00B60706" w:rsidRDefault="001A62D7" w:rsidP="001D5990">
            <w:pPr>
              <w:spacing w:before="0" w:after="0"/>
              <w:jc w:val="left"/>
              <w:rPr>
                <w:noProof/>
              </w:rPr>
            </w:pPr>
            <w:r w:rsidRPr="00B60706">
              <w:rPr>
                <w:noProof/>
              </w:rPr>
              <w:t>Contribuția din partea FEG (85 %) (EUR)</w:t>
            </w:r>
          </w:p>
        </w:tc>
        <w:tc>
          <w:tcPr>
            <w:tcW w:w="4643" w:type="dxa"/>
            <w:tcBorders>
              <w:top w:val="dotted" w:sz="4" w:space="0" w:color="auto"/>
            </w:tcBorders>
            <w:shd w:val="clear" w:color="auto" w:fill="auto"/>
            <w:vAlign w:val="center"/>
          </w:tcPr>
          <w:p w:rsidR="001A62D7" w:rsidRPr="00B60706" w:rsidRDefault="00DC7444" w:rsidP="001D5990">
            <w:pPr>
              <w:spacing w:before="0" w:after="0"/>
              <w:ind w:rightChars="192" w:right="461"/>
              <w:jc w:val="left"/>
              <w:rPr>
                <w:noProof/>
              </w:rPr>
            </w:pPr>
            <w:r w:rsidRPr="00B60706">
              <w:rPr>
                <w:noProof/>
              </w:rPr>
              <w:t>7 527 625</w:t>
            </w:r>
          </w:p>
        </w:tc>
      </w:tr>
    </w:tbl>
    <w:p w:rsidR="001A62D7" w:rsidRPr="00B60706" w:rsidRDefault="001A62D7" w:rsidP="001A62D7">
      <w:pPr>
        <w:pStyle w:val="ManualHeading1"/>
        <w:rPr>
          <w:noProof/>
        </w:rPr>
      </w:pPr>
      <w:r w:rsidRPr="00B60706">
        <w:rPr>
          <w:noProof/>
        </w:rPr>
        <w:t>EVALUAREA CERERII</w:t>
      </w:r>
    </w:p>
    <w:p w:rsidR="001A62D7" w:rsidRPr="00B60706" w:rsidRDefault="001A62D7" w:rsidP="001A62D7">
      <w:pPr>
        <w:pStyle w:val="ManualHeading2"/>
        <w:rPr>
          <w:noProof/>
        </w:rPr>
      </w:pPr>
      <w:r w:rsidRPr="00B60706">
        <w:rPr>
          <w:noProof/>
        </w:rPr>
        <w:t>Procedură</w:t>
      </w:r>
    </w:p>
    <w:p w:rsidR="001A62D7" w:rsidRPr="00B60706" w:rsidRDefault="00C11631" w:rsidP="00C11631">
      <w:pPr>
        <w:pStyle w:val="ManualNumPar1"/>
        <w:rPr>
          <w:noProof/>
        </w:rPr>
      </w:pPr>
      <w:r w:rsidRPr="00C11631">
        <w:rPr>
          <w:noProof/>
        </w:rPr>
        <w:t>4.</w:t>
      </w:r>
      <w:r w:rsidRPr="00C11631">
        <w:rPr>
          <w:noProof/>
        </w:rPr>
        <w:tab/>
      </w:r>
      <w:r w:rsidR="007E0B4F" w:rsidRPr="00B60706">
        <w:rPr>
          <w:noProof/>
        </w:rPr>
        <w:t xml:space="preserve">La 18 septembrie 2025, Belgia a depus cererea EGF/2025/006 BE/Audi în termen de 12 săptămâni de la data la care au fost îndeplinite criteriile de intervenție prevăzute la articolul 4 alineatul (2) litera (a) din Regulamentul (UE) 2021/691. Comisia a confirmat primirea cererii la aceeași dată și a solicitat informații suplimentare din partea Belgiei la 2 octombrie 2025. Aceste informații suplimentare au fost furnizate în termen de 15 zile lucrătoare de la data cererii. Perioada de 50 de zile lucrătoare de la data primirii cererii complete, în cursul căreia Comisia trebuie să finalizeze evaluarea măsurii în care cererea îndeplinește condițiile de acordare a unei contribuții financiare, expiră la 13 ianuarie 2026. </w:t>
      </w:r>
    </w:p>
    <w:p w:rsidR="001A62D7" w:rsidRPr="00B60706" w:rsidRDefault="001A62D7" w:rsidP="001A62D7">
      <w:pPr>
        <w:pStyle w:val="ManualHeading2"/>
        <w:rPr>
          <w:noProof/>
        </w:rPr>
      </w:pPr>
      <w:r w:rsidRPr="00B60706">
        <w:rPr>
          <w:noProof/>
        </w:rPr>
        <w:t>Eligibilitatea cererii</w:t>
      </w:r>
    </w:p>
    <w:p w:rsidR="001A62D7" w:rsidRPr="00B60706" w:rsidRDefault="001A62D7" w:rsidP="001A62D7">
      <w:pPr>
        <w:pStyle w:val="ManualHeading3"/>
        <w:rPr>
          <w:noProof/>
        </w:rPr>
      </w:pPr>
      <w:r w:rsidRPr="00B60706">
        <w:rPr>
          <w:noProof/>
        </w:rPr>
        <w:t>Întreprinderile și beneficiarii vizați</w:t>
      </w:r>
    </w:p>
    <w:p w:rsidR="001A62D7" w:rsidRPr="00B60706" w:rsidRDefault="00C11631" w:rsidP="00C11631">
      <w:pPr>
        <w:pStyle w:val="ManualNumPar1"/>
        <w:rPr>
          <w:noProof/>
          <w:szCs w:val="24"/>
        </w:rPr>
      </w:pPr>
      <w:r w:rsidRPr="00C11631">
        <w:rPr>
          <w:noProof/>
        </w:rPr>
        <w:t>5.</w:t>
      </w:r>
      <w:r w:rsidRPr="00C11631">
        <w:rPr>
          <w:noProof/>
        </w:rPr>
        <w:tab/>
      </w:r>
      <w:r w:rsidR="001A62D7" w:rsidRPr="00B60706">
        <w:rPr>
          <w:noProof/>
        </w:rPr>
        <w:t>Cererea se referă la 3 148 de lucrători disponibilizați a căror activitate a încetat la Audi (Audi Brussels S.A.: n.V.) și la cinci furnizori și producători din aval. Întreprinderea principală și-a desfășurat activitatea în sectorul economic clasificat în cadrul diviziunii 29 (Fabricarea autovehiculelor, remorcilor și semiremorcilor) a NACE Rev. 2. Disponibilizările efectuate de întreprinderea principală au avut loc în principal în regiunile NUTS 2</w:t>
      </w:r>
      <w:r w:rsidR="00B60706">
        <w:rPr>
          <w:noProof/>
        </w:rPr>
        <w:t xml:space="preserve"> </w:t>
      </w:r>
      <w:r w:rsidR="001A62D7" w:rsidRPr="00B60706">
        <w:rPr>
          <w:noProof/>
        </w:rPr>
        <w:t>Région de Bruxelles-Capitale/Brussels Hoofdstedelijk Gewest (BE10), Provincie Oost-Vlaanderen (BE23) și Province Hainaut (BE32).</w:t>
      </w:r>
    </w:p>
    <w:tbl>
      <w:tblPr>
        <w:tblW w:w="8340"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480"/>
        <w:gridCol w:w="360"/>
        <w:gridCol w:w="2940"/>
        <w:gridCol w:w="600"/>
        <w:gridCol w:w="600"/>
      </w:tblGrid>
      <w:tr w:rsidR="001A62D7" w:rsidRPr="00B60706" w:rsidTr="001D5990">
        <w:trPr>
          <w:trHeight w:val="284"/>
          <w:tblHeader/>
        </w:trPr>
        <w:tc>
          <w:tcPr>
            <w:tcW w:w="8340" w:type="dxa"/>
            <w:gridSpan w:val="6"/>
            <w:shd w:val="clear" w:color="auto" w:fill="D9D9D9" w:themeFill="background1" w:themeFillShade="D9"/>
          </w:tcPr>
          <w:p w:rsidR="001A62D7" w:rsidRPr="00B60706" w:rsidRDefault="001A62D7" w:rsidP="001D5990">
            <w:pPr>
              <w:spacing w:beforeLines="20" w:before="48" w:afterLines="20" w:after="48" w:line="276" w:lineRule="auto"/>
              <w:ind w:left="57"/>
              <w:jc w:val="center"/>
              <w:rPr>
                <w:rFonts w:eastAsia="Calibri"/>
                <w:noProof/>
                <w:szCs w:val="24"/>
              </w:rPr>
            </w:pPr>
            <w:r w:rsidRPr="00B60706">
              <w:rPr>
                <w:b/>
                <w:noProof/>
              </w:rPr>
              <w:t>Întreprinderile și numărul disponibilizărilor în perioada de referință</w:t>
            </w:r>
          </w:p>
        </w:tc>
      </w:tr>
      <w:tr w:rsidR="001A62D7" w:rsidRPr="00B60706" w:rsidTr="001D5990">
        <w:tc>
          <w:tcPr>
            <w:tcW w:w="3360" w:type="dxa"/>
            <w:tcBorders>
              <w:bottom w:val="nil"/>
              <w:right w:val="nil"/>
            </w:tcBorders>
            <w:shd w:val="clear" w:color="auto" w:fill="auto"/>
            <w:vAlign w:val="center"/>
          </w:tcPr>
          <w:p w:rsidR="001A62D7" w:rsidRPr="00B60706" w:rsidRDefault="00A953FB" w:rsidP="001D5990">
            <w:pPr>
              <w:spacing w:before="0" w:after="0"/>
              <w:ind w:right="252"/>
              <w:jc w:val="left"/>
              <w:rPr>
                <w:noProof/>
                <w:sz w:val="20"/>
              </w:rPr>
            </w:pPr>
            <w:r w:rsidRPr="00B60706">
              <w:rPr>
                <w:noProof/>
                <w:sz w:val="20"/>
              </w:rPr>
              <w:t>Audi</w:t>
            </w:r>
          </w:p>
        </w:tc>
        <w:tc>
          <w:tcPr>
            <w:tcW w:w="840" w:type="dxa"/>
            <w:gridSpan w:val="2"/>
            <w:tcBorders>
              <w:left w:val="nil"/>
              <w:bottom w:val="nil"/>
            </w:tcBorders>
            <w:shd w:val="clear" w:color="auto" w:fill="auto"/>
            <w:vAlign w:val="center"/>
          </w:tcPr>
          <w:p w:rsidR="001A62D7" w:rsidRPr="00B60706" w:rsidRDefault="002421D0" w:rsidP="001D5990">
            <w:pPr>
              <w:spacing w:before="0" w:after="0"/>
              <w:ind w:left="-828"/>
              <w:jc w:val="right"/>
              <w:rPr>
                <w:noProof/>
                <w:sz w:val="20"/>
                <w:szCs w:val="20"/>
              </w:rPr>
            </w:pPr>
            <w:r w:rsidRPr="00B60706">
              <w:rPr>
                <w:noProof/>
                <w:sz w:val="20"/>
              </w:rPr>
              <w:t>2 580</w:t>
            </w:r>
          </w:p>
        </w:tc>
        <w:tc>
          <w:tcPr>
            <w:tcW w:w="3540" w:type="dxa"/>
            <w:gridSpan w:val="2"/>
            <w:tcBorders>
              <w:bottom w:val="nil"/>
              <w:right w:val="nil"/>
            </w:tcBorders>
            <w:shd w:val="clear" w:color="auto" w:fill="auto"/>
            <w:vAlign w:val="center"/>
          </w:tcPr>
          <w:p w:rsidR="001A62D7" w:rsidRPr="00B60706" w:rsidRDefault="00A953FB" w:rsidP="001D5990">
            <w:pPr>
              <w:spacing w:before="0" w:after="0"/>
              <w:jc w:val="left"/>
              <w:rPr>
                <w:noProof/>
                <w:sz w:val="20"/>
              </w:rPr>
            </w:pPr>
            <w:r w:rsidRPr="00B60706">
              <w:rPr>
                <w:noProof/>
                <w:sz w:val="20"/>
              </w:rPr>
              <w:t>Imperial logistics</w:t>
            </w:r>
          </w:p>
        </w:tc>
        <w:tc>
          <w:tcPr>
            <w:tcW w:w="600" w:type="dxa"/>
            <w:tcBorders>
              <w:left w:val="nil"/>
              <w:bottom w:val="nil"/>
            </w:tcBorders>
            <w:shd w:val="clear" w:color="auto" w:fill="auto"/>
            <w:vAlign w:val="center"/>
          </w:tcPr>
          <w:p w:rsidR="001A62D7" w:rsidRPr="00B60706" w:rsidRDefault="002421D0" w:rsidP="001D5990">
            <w:pPr>
              <w:spacing w:before="0" w:after="0"/>
              <w:ind w:left="-828"/>
              <w:jc w:val="right"/>
              <w:rPr>
                <w:noProof/>
                <w:sz w:val="20"/>
              </w:rPr>
            </w:pPr>
            <w:r w:rsidRPr="00B60706">
              <w:rPr>
                <w:noProof/>
                <w:sz w:val="20"/>
              </w:rPr>
              <w:t>272</w:t>
            </w:r>
          </w:p>
        </w:tc>
      </w:tr>
      <w:tr w:rsidR="001A62D7" w:rsidRPr="00B60706" w:rsidTr="001D5990">
        <w:trPr>
          <w:trHeight w:val="138"/>
        </w:trPr>
        <w:tc>
          <w:tcPr>
            <w:tcW w:w="3360" w:type="dxa"/>
            <w:tcBorders>
              <w:top w:val="nil"/>
              <w:bottom w:val="nil"/>
              <w:right w:val="nil"/>
            </w:tcBorders>
            <w:shd w:val="clear" w:color="auto" w:fill="auto"/>
            <w:vAlign w:val="center"/>
          </w:tcPr>
          <w:p w:rsidR="001A62D7" w:rsidRPr="00B60706" w:rsidRDefault="00A953FB" w:rsidP="001D5990">
            <w:pPr>
              <w:spacing w:before="0" w:after="0"/>
              <w:jc w:val="left"/>
              <w:rPr>
                <w:noProof/>
                <w:sz w:val="20"/>
              </w:rPr>
            </w:pPr>
            <w:r w:rsidRPr="00B60706">
              <w:rPr>
                <w:noProof/>
                <w:sz w:val="20"/>
              </w:rPr>
              <w:t xml:space="preserve">Lear corporation </w:t>
            </w:r>
          </w:p>
        </w:tc>
        <w:tc>
          <w:tcPr>
            <w:tcW w:w="840" w:type="dxa"/>
            <w:gridSpan w:val="2"/>
            <w:tcBorders>
              <w:top w:val="nil"/>
              <w:left w:val="nil"/>
              <w:bottom w:val="nil"/>
            </w:tcBorders>
            <w:shd w:val="clear" w:color="auto" w:fill="auto"/>
            <w:vAlign w:val="center"/>
          </w:tcPr>
          <w:p w:rsidR="001A62D7" w:rsidRPr="00B60706" w:rsidRDefault="002421D0" w:rsidP="001D5990">
            <w:pPr>
              <w:spacing w:before="0" w:after="0"/>
              <w:ind w:left="-828"/>
              <w:jc w:val="right"/>
              <w:rPr>
                <w:noProof/>
                <w:sz w:val="20"/>
              </w:rPr>
            </w:pPr>
            <w:r w:rsidRPr="00B60706">
              <w:rPr>
                <w:noProof/>
                <w:sz w:val="20"/>
              </w:rPr>
              <w:t>11</w:t>
            </w:r>
          </w:p>
        </w:tc>
        <w:tc>
          <w:tcPr>
            <w:tcW w:w="3540" w:type="dxa"/>
            <w:gridSpan w:val="2"/>
            <w:tcBorders>
              <w:top w:val="nil"/>
              <w:bottom w:val="nil"/>
              <w:right w:val="nil"/>
            </w:tcBorders>
            <w:shd w:val="clear" w:color="auto" w:fill="auto"/>
            <w:vAlign w:val="center"/>
          </w:tcPr>
          <w:p w:rsidR="001A62D7" w:rsidRPr="00B60706" w:rsidRDefault="00A953FB" w:rsidP="001D5990">
            <w:pPr>
              <w:spacing w:before="0" w:after="0"/>
              <w:jc w:val="left"/>
              <w:rPr>
                <w:noProof/>
                <w:sz w:val="20"/>
              </w:rPr>
            </w:pPr>
            <w:r w:rsidRPr="00B60706">
              <w:rPr>
                <w:noProof/>
                <w:sz w:val="20"/>
              </w:rPr>
              <w:t>Plastic Omnium</w:t>
            </w:r>
          </w:p>
        </w:tc>
        <w:tc>
          <w:tcPr>
            <w:tcW w:w="600" w:type="dxa"/>
            <w:tcBorders>
              <w:top w:val="nil"/>
              <w:left w:val="nil"/>
              <w:bottom w:val="nil"/>
            </w:tcBorders>
            <w:shd w:val="clear" w:color="auto" w:fill="auto"/>
            <w:vAlign w:val="center"/>
          </w:tcPr>
          <w:p w:rsidR="001A62D7" w:rsidRPr="00B60706" w:rsidRDefault="002421D0" w:rsidP="001D5990">
            <w:pPr>
              <w:spacing w:before="0" w:after="0"/>
              <w:ind w:left="-828"/>
              <w:jc w:val="right"/>
              <w:rPr>
                <w:noProof/>
                <w:sz w:val="20"/>
              </w:rPr>
            </w:pPr>
            <w:r w:rsidRPr="00B60706">
              <w:rPr>
                <w:noProof/>
                <w:sz w:val="20"/>
              </w:rPr>
              <w:t>69</w:t>
            </w:r>
          </w:p>
        </w:tc>
      </w:tr>
      <w:tr w:rsidR="001A62D7" w:rsidRPr="00B60706" w:rsidTr="001D5990">
        <w:tc>
          <w:tcPr>
            <w:tcW w:w="3360" w:type="dxa"/>
            <w:tcBorders>
              <w:top w:val="nil"/>
              <w:bottom w:val="nil"/>
              <w:right w:val="nil"/>
            </w:tcBorders>
            <w:shd w:val="clear" w:color="auto" w:fill="auto"/>
            <w:vAlign w:val="center"/>
          </w:tcPr>
          <w:p w:rsidR="001A62D7" w:rsidRPr="00B60706" w:rsidRDefault="00A953FB" w:rsidP="001D5990">
            <w:pPr>
              <w:spacing w:before="0" w:after="0"/>
              <w:jc w:val="left"/>
              <w:rPr>
                <w:noProof/>
                <w:sz w:val="20"/>
              </w:rPr>
            </w:pPr>
            <w:r w:rsidRPr="00B60706">
              <w:rPr>
                <w:noProof/>
                <w:sz w:val="20"/>
              </w:rPr>
              <w:t>Rhenus automotive</w:t>
            </w:r>
          </w:p>
        </w:tc>
        <w:tc>
          <w:tcPr>
            <w:tcW w:w="840" w:type="dxa"/>
            <w:gridSpan w:val="2"/>
            <w:tcBorders>
              <w:top w:val="nil"/>
              <w:left w:val="nil"/>
              <w:bottom w:val="nil"/>
            </w:tcBorders>
            <w:shd w:val="clear" w:color="auto" w:fill="auto"/>
            <w:vAlign w:val="center"/>
          </w:tcPr>
          <w:p w:rsidR="001A62D7" w:rsidRPr="00B60706" w:rsidRDefault="00A953FB" w:rsidP="001D5990">
            <w:pPr>
              <w:spacing w:before="0" w:after="0"/>
              <w:ind w:left="-828"/>
              <w:jc w:val="right"/>
              <w:rPr>
                <w:noProof/>
                <w:sz w:val="20"/>
              </w:rPr>
            </w:pPr>
            <w:r w:rsidRPr="00B60706">
              <w:rPr>
                <w:noProof/>
                <w:sz w:val="20"/>
              </w:rPr>
              <w:t>121</w:t>
            </w:r>
          </w:p>
        </w:tc>
        <w:tc>
          <w:tcPr>
            <w:tcW w:w="3540" w:type="dxa"/>
            <w:gridSpan w:val="2"/>
            <w:tcBorders>
              <w:top w:val="nil"/>
              <w:bottom w:val="nil"/>
              <w:right w:val="nil"/>
            </w:tcBorders>
            <w:shd w:val="clear" w:color="auto" w:fill="auto"/>
            <w:vAlign w:val="center"/>
          </w:tcPr>
          <w:p w:rsidR="001A62D7" w:rsidRPr="00B60706" w:rsidRDefault="00A953FB" w:rsidP="001D5990">
            <w:pPr>
              <w:spacing w:before="0" w:after="0"/>
              <w:jc w:val="left"/>
              <w:rPr>
                <w:noProof/>
                <w:sz w:val="20"/>
              </w:rPr>
            </w:pPr>
            <w:r w:rsidRPr="00B60706">
              <w:rPr>
                <w:noProof/>
                <w:sz w:val="20"/>
              </w:rPr>
              <w:t>Snop automotive</w:t>
            </w:r>
          </w:p>
        </w:tc>
        <w:tc>
          <w:tcPr>
            <w:tcW w:w="600" w:type="dxa"/>
            <w:tcBorders>
              <w:top w:val="nil"/>
              <w:left w:val="nil"/>
              <w:bottom w:val="nil"/>
            </w:tcBorders>
            <w:shd w:val="clear" w:color="auto" w:fill="auto"/>
            <w:vAlign w:val="center"/>
          </w:tcPr>
          <w:p w:rsidR="001A62D7" w:rsidRPr="00B60706" w:rsidRDefault="002421D0" w:rsidP="001D5990">
            <w:pPr>
              <w:spacing w:before="0" w:after="0"/>
              <w:ind w:left="-828"/>
              <w:jc w:val="right"/>
              <w:rPr>
                <w:noProof/>
                <w:sz w:val="20"/>
              </w:rPr>
            </w:pPr>
            <w:r w:rsidRPr="00B60706">
              <w:rPr>
                <w:noProof/>
                <w:sz w:val="20"/>
              </w:rPr>
              <w:t>95</w:t>
            </w:r>
          </w:p>
        </w:tc>
      </w:tr>
      <w:tr w:rsidR="001A62D7" w:rsidRPr="00B60706" w:rsidTr="001D5990">
        <w:trPr>
          <w:trHeight w:val="284"/>
        </w:trPr>
        <w:tc>
          <w:tcPr>
            <w:tcW w:w="3840" w:type="dxa"/>
            <w:gridSpan w:val="2"/>
            <w:tcBorders>
              <w:bottom w:val="nil"/>
              <w:right w:val="nil"/>
            </w:tcBorders>
            <w:shd w:val="clear" w:color="auto" w:fill="E6E6E6"/>
            <w:vAlign w:val="center"/>
          </w:tcPr>
          <w:p w:rsidR="001A62D7" w:rsidRPr="00B60706" w:rsidRDefault="001A62D7" w:rsidP="001D5990">
            <w:pPr>
              <w:spacing w:beforeLines="20" w:before="48" w:afterLines="20" w:after="48" w:line="276" w:lineRule="auto"/>
              <w:ind w:left="57"/>
              <w:jc w:val="left"/>
              <w:rPr>
                <w:rFonts w:eastAsia="Calibri"/>
                <w:b/>
                <w:noProof/>
                <w:szCs w:val="24"/>
              </w:rPr>
            </w:pPr>
            <w:r w:rsidRPr="00B60706">
              <w:rPr>
                <w:noProof/>
              </w:rPr>
              <w:br w:type="page"/>
            </w:r>
            <w:r w:rsidRPr="00B60706">
              <w:rPr>
                <w:b/>
                <w:noProof/>
              </w:rPr>
              <w:t>Numărul total de întreprinderi:</w:t>
            </w:r>
            <w:r w:rsidRPr="00B60706">
              <w:rPr>
                <w:b/>
                <w:noProof/>
                <w:sz w:val="22"/>
              </w:rPr>
              <w:t xml:space="preserve"> </w:t>
            </w:r>
            <w:r w:rsidRPr="00B60706">
              <w:rPr>
                <w:b/>
                <w:noProof/>
              </w:rPr>
              <w:t>6</w:t>
            </w:r>
          </w:p>
        </w:tc>
        <w:tc>
          <w:tcPr>
            <w:tcW w:w="3300" w:type="dxa"/>
            <w:gridSpan w:val="2"/>
            <w:tcBorders>
              <w:left w:val="nil"/>
              <w:bottom w:val="nil"/>
              <w:right w:val="nil"/>
            </w:tcBorders>
            <w:shd w:val="clear" w:color="auto" w:fill="E6E6E6"/>
            <w:vAlign w:val="center"/>
          </w:tcPr>
          <w:p w:rsidR="001A62D7" w:rsidRPr="00B60706" w:rsidRDefault="001A62D7" w:rsidP="001D5990">
            <w:pPr>
              <w:spacing w:beforeLines="20" w:before="48" w:afterLines="20" w:after="48" w:line="276" w:lineRule="auto"/>
              <w:ind w:left="57" w:right="227"/>
              <w:jc w:val="left"/>
              <w:rPr>
                <w:rFonts w:eastAsia="Calibri"/>
                <w:b/>
                <w:noProof/>
                <w:szCs w:val="24"/>
              </w:rPr>
            </w:pPr>
            <w:r w:rsidRPr="00B60706">
              <w:rPr>
                <w:b/>
                <w:noProof/>
              </w:rPr>
              <w:t>Numărul total de disponibilizări:</w:t>
            </w:r>
            <w:r w:rsidRPr="00B60706">
              <w:rPr>
                <w:b/>
                <w:noProof/>
                <w:sz w:val="22"/>
              </w:rPr>
              <w:t xml:space="preserve"> </w:t>
            </w:r>
          </w:p>
        </w:tc>
        <w:tc>
          <w:tcPr>
            <w:tcW w:w="1200" w:type="dxa"/>
            <w:gridSpan w:val="2"/>
            <w:tcBorders>
              <w:left w:val="nil"/>
              <w:bottom w:val="nil"/>
            </w:tcBorders>
            <w:shd w:val="clear" w:color="auto" w:fill="E6E6E6"/>
            <w:vAlign w:val="center"/>
          </w:tcPr>
          <w:p w:rsidR="001A62D7" w:rsidRPr="00B60706" w:rsidRDefault="00AE5990" w:rsidP="001D5990">
            <w:pPr>
              <w:spacing w:beforeLines="20" w:before="48" w:afterLines="20" w:after="48" w:line="276" w:lineRule="auto"/>
              <w:ind w:left="57" w:right="227"/>
              <w:jc w:val="left"/>
              <w:rPr>
                <w:rFonts w:eastAsia="Calibri"/>
                <w:b/>
                <w:noProof/>
                <w:szCs w:val="24"/>
              </w:rPr>
            </w:pPr>
            <w:r w:rsidRPr="00B60706">
              <w:rPr>
                <w:b/>
                <w:noProof/>
              </w:rPr>
              <w:t>3 148</w:t>
            </w:r>
          </w:p>
        </w:tc>
      </w:tr>
      <w:tr w:rsidR="001A62D7" w:rsidRPr="00B60706" w:rsidTr="001D5990">
        <w:trPr>
          <w:trHeight w:val="284"/>
        </w:trPr>
        <w:tc>
          <w:tcPr>
            <w:tcW w:w="7140" w:type="dxa"/>
            <w:gridSpan w:val="4"/>
            <w:tcBorders>
              <w:top w:val="nil"/>
              <w:right w:val="nil"/>
            </w:tcBorders>
            <w:shd w:val="clear" w:color="auto" w:fill="E6E6E6"/>
            <w:vAlign w:val="center"/>
          </w:tcPr>
          <w:p w:rsidR="001A62D7" w:rsidRPr="00B60706" w:rsidRDefault="001A62D7" w:rsidP="001D5990">
            <w:pPr>
              <w:spacing w:beforeLines="20" w:before="48" w:afterLines="20" w:after="48" w:line="276" w:lineRule="auto"/>
              <w:ind w:left="57"/>
              <w:jc w:val="left"/>
              <w:rPr>
                <w:rFonts w:eastAsia="Calibri"/>
                <w:b/>
                <w:noProof/>
                <w:szCs w:val="24"/>
              </w:rPr>
            </w:pPr>
            <w:r w:rsidRPr="00B60706">
              <w:rPr>
                <w:b/>
                <w:noProof/>
              </w:rPr>
              <w:t xml:space="preserve">Numărul total de lucrători eligibili: </w:t>
            </w:r>
          </w:p>
        </w:tc>
        <w:tc>
          <w:tcPr>
            <w:tcW w:w="1200" w:type="dxa"/>
            <w:gridSpan w:val="2"/>
            <w:tcBorders>
              <w:top w:val="nil"/>
              <w:left w:val="nil"/>
            </w:tcBorders>
            <w:shd w:val="clear" w:color="auto" w:fill="E6E6E6"/>
            <w:vAlign w:val="center"/>
          </w:tcPr>
          <w:p w:rsidR="001A62D7" w:rsidRPr="00B60706" w:rsidRDefault="00AE5990" w:rsidP="001D5990">
            <w:pPr>
              <w:spacing w:beforeLines="20" w:before="48" w:afterLines="20" w:after="48" w:line="276" w:lineRule="auto"/>
              <w:ind w:left="57" w:right="227"/>
              <w:jc w:val="left"/>
              <w:rPr>
                <w:rFonts w:eastAsia="Calibri"/>
                <w:b/>
                <w:noProof/>
                <w:szCs w:val="24"/>
              </w:rPr>
            </w:pPr>
            <w:r w:rsidRPr="00B60706">
              <w:rPr>
                <w:b/>
                <w:noProof/>
              </w:rPr>
              <w:t>3 148</w:t>
            </w:r>
          </w:p>
        </w:tc>
      </w:tr>
    </w:tbl>
    <w:p w:rsidR="001A62D7" w:rsidRPr="00B60706" w:rsidRDefault="001A62D7" w:rsidP="001A62D7">
      <w:pPr>
        <w:pStyle w:val="ManualHeading3"/>
        <w:rPr>
          <w:noProof/>
        </w:rPr>
      </w:pPr>
      <w:r w:rsidRPr="00B60706">
        <w:rPr>
          <w:noProof/>
        </w:rPr>
        <w:t>Criteriile de intervenție</w:t>
      </w:r>
    </w:p>
    <w:p w:rsidR="001A62D7" w:rsidRPr="00B60706" w:rsidRDefault="00C11631" w:rsidP="00C11631">
      <w:pPr>
        <w:pStyle w:val="ManualNumPar1"/>
        <w:rPr>
          <w:noProof/>
        </w:rPr>
      </w:pPr>
      <w:r w:rsidRPr="00C11631">
        <w:rPr>
          <w:noProof/>
        </w:rPr>
        <w:t>6.</w:t>
      </w:r>
      <w:r w:rsidRPr="00C11631">
        <w:rPr>
          <w:noProof/>
        </w:rPr>
        <w:tab/>
      </w:r>
      <w:r w:rsidR="00B24D3D" w:rsidRPr="00B60706">
        <w:rPr>
          <w:noProof/>
        </w:rPr>
        <w:t xml:space="preserve">Belgia a depus cererea în temeiul criteriilor de intervenție prevăzute la articolul 4 alineatul (2) litera (a) din Regulamentul (UE) 2021/691, care prevede drept condiție încetarea activității a cel puțin 200 de lucrători disponibilizați, într-o perioadă de referință de patru luni, într-o întreprindere dintr-un stat membru, inclusiv lucrători disponibilizați de furnizorii și producătorii din aval. </w:t>
      </w:r>
    </w:p>
    <w:p w:rsidR="001A62D7" w:rsidRPr="00B60706" w:rsidRDefault="00C11631" w:rsidP="00C11631">
      <w:pPr>
        <w:pStyle w:val="ManualNumPar1"/>
        <w:rPr>
          <w:noProof/>
        </w:rPr>
      </w:pPr>
      <w:bookmarkStart w:id="8" w:name="_Ref372189348"/>
      <w:r w:rsidRPr="00C11631">
        <w:rPr>
          <w:noProof/>
        </w:rPr>
        <w:t>7.</w:t>
      </w:r>
      <w:r w:rsidRPr="00C11631">
        <w:rPr>
          <w:noProof/>
        </w:rPr>
        <w:tab/>
      </w:r>
      <w:r w:rsidR="001A62D7" w:rsidRPr="00B60706">
        <w:rPr>
          <w:noProof/>
        </w:rPr>
        <w:t>Perioada de referință de patru luni pentru cerere este cuprinsă între 28 februarie 2025 și</w:t>
      </w:r>
      <w:bookmarkEnd w:id="8"/>
      <w:r w:rsidR="001A62D7" w:rsidRPr="00B60706">
        <w:rPr>
          <w:noProof/>
        </w:rPr>
        <w:t xml:space="preserve"> 28 iunie 2025.</w:t>
      </w:r>
    </w:p>
    <w:p w:rsidR="001A62D7" w:rsidRPr="00B60706" w:rsidRDefault="00C11631" w:rsidP="00C11631">
      <w:pPr>
        <w:pStyle w:val="ManualNumPar1"/>
        <w:rPr>
          <w:noProof/>
        </w:rPr>
      </w:pPr>
      <w:r w:rsidRPr="00C11631">
        <w:rPr>
          <w:noProof/>
        </w:rPr>
        <w:t>8.</w:t>
      </w:r>
      <w:r w:rsidRPr="00C11631">
        <w:rPr>
          <w:noProof/>
        </w:rPr>
        <w:tab/>
      </w:r>
      <w:r w:rsidR="001A62D7" w:rsidRPr="00B60706">
        <w:rPr>
          <w:noProof/>
        </w:rPr>
        <w:t>Încetarea activității în perioada de referință a avut loc după cum urmează:</w:t>
      </w:r>
    </w:p>
    <w:p w:rsidR="001A62D7" w:rsidRPr="00B60706" w:rsidRDefault="00B24D3D" w:rsidP="00F23005">
      <w:pPr>
        <w:pStyle w:val="Tiret1"/>
        <w:numPr>
          <w:ilvl w:val="0"/>
          <w:numId w:val="19"/>
        </w:numPr>
        <w:rPr>
          <w:noProof/>
        </w:rPr>
      </w:pPr>
      <w:r w:rsidRPr="00B60706">
        <w:rPr>
          <w:noProof/>
        </w:rPr>
        <w:t>2 580 de lucrători disponibilizați la Audi și</w:t>
      </w:r>
    </w:p>
    <w:p w:rsidR="001A62D7" w:rsidRPr="00B60706" w:rsidRDefault="002757A1" w:rsidP="00F23005">
      <w:pPr>
        <w:pStyle w:val="Tiret1"/>
        <w:numPr>
          <w:ilvl w:val="0"/>
          <w:numId w:val="19"/>
        </w:numPr>
        <w:rPr>
          <w:noProof/>
        </w:rPr>
      </w:pPr>
      <w:r w:rsidRPr="00B60706">
        <w:rPr>
          <w:noProof/>
        </w:rPr>
        <w:t>568 de lucrători disponibilizați la cinci furnizori și producători din aval ai Audi.</w:t>
      </w:r>
    </w:p>
    <w:p w:rsidR="001A62D7" w:rsidRPr="00B60706" w:rsidRDefault="001A62D7" w:rsidP="001A62D7">
      <w:pPr>
        <w:pStyle w:val="ManualHeading3"/>
        <w:rPr>
          <w:noProof/>
        </w:rPr>
      </w:pPr>
      <w:r w:rsidRPr="00B60706">
        <w:rPr>
          <w:noProof/>
        </w:rPr>
        <w:t>Calcularea disponibilizărilor și a cazurilor de încetare a activității</w:t>
      </w:r>
    </w:p>
    <w:p w:rsidR="001A62D7" w:rsidRPr="00B60706" w:rsidRDefault="00C11631" w:rsidP="00C11631">
      <w:pPr>
        <w:pStyle w:val="ManualNumPar1"/>
        <w:rPr>
          <w:noProof/>
        </w:rPr>
      </w:pPr>
      <w:r w:rsidRPr="00C11631">
        <w:rPr>
          <w:noProof/>
        </w:rPr>
        <w:t>9.</w:t>
      </w:r>
      <w:r w:rsidRPr="00C11631">
        <w:rPr>
          <w:noProof/>
        </w:rPr>
        <w:tab/>
      </w:r>
      <w:r w:rsidR="001A62D7" w:rsidRPr="00B60706">
        <w:rPr>
          <w:noProof/>
        </w:rPr>
        <w:t xml:space="preserve">În temeiul articolului 6 primul paragraf litera (a) coroborat cu articolul 5 primul paragraf din Regulamentul (UE) 2021/691, încetarea activității tuturor lucrătorilor disponibilizați în cursul perioadei de referință a fost calculată de la data încetării de facto a contractului de muncă sau de la data expirării acestuia. </w:t>
      </w:r>
    </w:p>
    <w:p w:rsidR="001A62D7" w:rsidRPr="00B60706" w:rsidRDefault="001A62D7" w:rsidP="001A62D7">
      <w:pPr>
        <w:pStyle w:val="ManualHeading3"/>
        <w:rPr>
          <w:noProof/>
        </w:rPr>
      </w:pPr>
      <w:r w:rsidRPr="00B60706">
        <w:rPr>
          <w:noProof/>
        </w:rPr>
        <w:t>Beneficiari eligibili</w:t>
      </w:r>
    </w:p>
    <w:p w:rsidR="001A62D7" w:rsidRPr="00B60706" w:rsidRDefault="00C11631" w:rsidP="00C11631">
      <w:pPr>
        <w:pStyle w:val="ManualNumPar1"/>
        <w:rPr>
          <w:noProof/>
        </w:rPr>
      </w:pPr>
      <w:r w:rsidRPr="00C11631">
        <w:rPr>
          <w:noProof/>
        </w:rPr>
        <w:t>10.</w:t>
      </w:r>
      <w:r w:rsidRPr="00C11631">
        <w:rPr>
          <w:noProof/>
        </w:rPr>
        <w:tab/>
      </w:r>
      <w:r w:rsidR="001A62D7" w:rsidRPr="00B60706">
        <w:rPr>
          <w:noProof/>
        </w:rPr>
        <w:t>Pe lângă lucrătorii deja menționați, printre beneficiarii eligibili se numără 266 de lucrători disponibilizați a căror activitate a încetat înainte sau după perioada de referință de patru luni. Toți acești lucrători și-au încetat activitatea în cele șase luni anterioare începerii perioadei de referință, la 28 februarie 2025 și/sau între sfârșitul perioadei de referință și ziua anterioară adoptării prezentei propuneri, în conformitate cu articolul 6 primul paragraf litera (b) din Regulamentul (UE) 2021/691, astfel cum se prevede la articolul 6 al doilea paragraf din Regulamentul (UE) 2021/691. Se poate stabili o legătură de cauzalitate clară cu evenimentul care a declanșat încetarea activității lucrătorilor disponibilizați în perioada de referință, astfel cum se prevede la articolul 6 al doilea paragraf din Regulamentul (UE) 2021/691.</w:t>
      </w:r>
    </w:p>
    <w:p w:rsidR="001A62D7" w:rsidRPr="00B60706" w:rsidRDefault="00C11631" w:rsidP="00C11631">
      <w:pPr>
        <w:pStyle w:val="ManualNumPar1"/>
        <w:rPr>
          <w:noProof/>
        </w:rPr>
      </w:pPr>
      <w:r w:rsidRPr="00C11631">
        <w:rPr>
          <w:noProof/>
        </w:rPr>
        <w:t>11.</w:t>
      </w:r>
      <w:r w:rsidRPr="00C11631">
        <w:rPr>
          <w:noProof/>
        </w:rPr>
        <w:tab/>
      </w:r>
      <w:r w:rsidR="001A62D7" w:rsidRPr="00B60706">
        <w:rPr>
          <w:noProof/>
        </w:rPr>
        <w:t>Numărul total de beneficiari eligibili este de 3 414.</w:t>
      </w:r>
    </w:p>
    <w:p w:rsidR="001A62D7" w:rsidRPr="00B60706" w:rsidRDefault="001A62D7" w:rsidP="001A62D7">
      <w:pPr>
        <w:pStyle w:val="ManualHeading3"/>
        <w:rPr>
          <w:noProof/>
        </w:rPr>
      </w:pPr>
      <w:r w:rsidRPr="00B60706">
        <w:rPr>
          <w:noProof/>
        </w:rPr>
        <w:t>Descrierea evenimentelor care au determinat disponibilizările și încetarea activității</w:t>
      </w:r>
    </w:p>
    <w:p w:rsidR="00B05808" w:rsidRPr="00B60706" w:rsidRDefault="00C11631" w:rsidP="00C11631">
      <w:pPr>
        <w:pStyle w:val="ManualNumPar1"/>
        <w:rPr>
          <w:noProof/>
        </w:rPr>
      </w:pPr>
      <w:r w:rsidRPr="00C11631">
        <w:rPr>
          <w:noProof/>
        </w:rPr>
        <w:t>12.</w:t>
      </w:r>
      <w:r w:rsidRPr="00C11631">
        <w:rPr>
          <w:noProof/>
        </w:rPr>
        <w:tab/>
      </w:r>
      <w:r w:rsidR="003479D0" w:rsidRPr="00B60706">
        <w:rPr>
          <w:noProof/>
        </w:rPr>
        <w:t>Potrivit autorităților belgiene, piața mondială a producției și vânzării de automobile, în special de automobile electrice, se confruntă cu numeroase provocări și presiuni economice, cum ar fi creșterea costurilor materiilor prime la nivel mondial, concurența agresivă la nivel mondial, previziunile de creștere redusă și scăderea cererii globale de automobile electrice în Europa.</w:t>
      </w:r>
    </w:p>
    <w:p w:rsidR="003479D0" w:rsidRPr="00B60706" w:rsidRDefault="00C11631" w:rsidP="00C11631">
      <w:pPr>
        <w:pStyle w:val="ManualNumPar1"/>
        <w:rPr>
          <w:noProof/>
        </w:rPr>
      </w:pPr>
      <w:r w:rsidRPr="00C11631">
        <w:rPr>
          <w:noProof/>
        </w:rPr>
        <w:t>13.</w:t>
      </w:r>
      <w:r w:rsidRPr="00C11631">
        <w:rPr>
          <w:noProof/>
        </w:rPr>
        <w:tab/>
      </w:r>
      <w:r w:rsidR="003479D0" w:rsidRPr="00B60706">
        <w:rPr>
          <w:noProof/>
        </w:rPr>
        <w:t>În urma vânzărilor scăzute ale modelului Q8 e-tron, singurul model produs la uzina Audi din Bruxelles (Audi BXL), sfârșitul producției sale, planificat inițial pentru 2027, a fost devansat în 2025. În plus, ca urmare a reorientării cererii de vehicule mai mari către regiuni din afara Europei, succesorul modelului Q8 e-tron nu ar fi produs la Audi BXL, ci mai aproape de piețele cu o cerere mai mare.</w:t>
      </w:r>
    </w:p>
    <w:p w:rsidR="001A62D7" w:rsidRPr="00B60706" w:rsidRDefault="00C11631" w:rsidP="00C11631">
      <w:pPr>
        <w:pStyle w:val="ManualNumPar1"/>
        <w:rPr>
          <w:noProof/>
        </w:rPr>
      </w:pPr>
      <w:r w:rsidRPr="00C11631">
        <w:rPr>
          <w:noProof/>
        </w:rPr>
        <w:t>14.</w:t>
      </w:r>
      <w:r w:rsidRPr="00C11631">
        <w:rPr>
          <w:noProof/>
        </w:rPr>
        <w:tab/>
      </w:r>
      <w:r w:rsidR="008F470C" w:rsidRPr="00B60706">
        <w:rPr>
          <w:noProof/>
        </w:rPr>
        <w:t>Costurile de producție per vehicul la uzina Audi BXL au fost mai mari decât la alte uzine Audi. Factori structurali, cum ar fi amplasarea sa în zona metropolitană Bruxelles, între o zonă rezidențială și o linie de cale ferată, au îngreunat optimizarea și adaptarea instalațiilor, ceea ce a dus la costuri mai mari. Absența liniilor de presă</w:t>
      </w:r>
      <w:r w:rsidR="008F470C" w:rsidRPr="00B60706">
        <w:rPr>
          <w:rStyle w:val="FootnoteReference"/>
          <w:noProof/>
        </w:rPr>
        <w:footnoteReference w:id="7"/>
      </w:r>
      <w:r w:rsidR="008F470C" w:rsidRPr="00B60706">
        <w:rPr>
          <w:noProof/>
        </w:rPr>
        <w:t xml:space="preserve"> și lipsa unei rețele de furnizori în apropiere au contribuit, de asemenea, la creșterea costurilor, în special în ceea ce privește logistica. Prin urmare, nu s-a planificat producerea niciunui alt model în uzina Audi BXL pentru a înlocui modelul Q8 e-tron, a cărui producție a fost întreruptă. Acest lucru a dus la încetarea activității și la închiderea uzinei, ceea ce a condus la aceste disponibilizări.</w:t>
      </w:r>
    </w:p>
    <w:p w:rsidR="001A62D7" w:rsidRPr="00B60706" w:rsidRDefault="001A62D7" w:rsidP="001A62D7">
      <w:pPr>
        <w:pStyle w:val="ManualHeading3"/>
        <w:tabs>
          <w:tab w:val="clear" w:pos="850"/>
          <w:tab w:val="left" w:pos="0"/>
        </w:tabs>
        <w:ind w:left="0" w:firstLine="0"/>
        <w:rPr>
          <w:noProof/>
        </w:rPr>
      </w:pPr>
      <w:r w:rsidRPr="00B60706">
        <w:rPr>
          <w:noProof/>
        </w:rPr>
        <w:t>Impactul preconizat al disponibilizărilor asupra economiei și a ocupării forței de muncă la nivel local, regional sau național</w:t>
      </w:r>
    </w:p>
    <w:p w:rsidR="00B26AFC" w:rsidRPr="00B60706" w:rsidRDefault="00C11631" w:rsidP="00C11631">
      <w:pPr>
        <w:pStyle w:val="ManualNumPar1"/>
        <w:rPr>
          <w:noProof/>
        </w:rPr>
      </w:pPr>
      <w:r w:rsidRPr="00C11631">
        <w:rPr>
          <w:noProof/>
        </w:rPr>
        <w:t>15.</w:t>
      </w:r>
      <w:r w:rsidRPr="00C11631">
        <w:rPr>
          <w:noProof/>
        </w:rPr>
        <w:tab/>
      </w:r>
      <w:r w:rsidR="00B26AFC" w:rsidRPr="00B60706">
        <w:rPr>
          <w:noProof/>
        </w:rPr>
        <w:t>Crearea de locuri de muncă în Belgia a încetinit în 2024. Au fost create doar 13 400 de locuri de muncă, o treime din locurile de muncă create în 2023</w:t>
      </w:r>
      <w:r w:rsidR="00B26AFC" w:rsidRPr="00B60706">
        <w:rPr>
          <w:rStyle w:val="FootnoteReference"/>
          <w:noProof/>
        </w:rPr>
        <w:footnoteReference w:id="8"/>
      </w:r>
      <w:r w:rsidR="00B26AFC" w:rsidRPr="00B60706">
        <w:rPr>
          <w:noProof/>
        </w:rPr>
        <w:t>. În plus, falimentele sunt în creștere începând din 2022. În 2024, peste 11 000 de întreprinderi au fost declarate falimentare, cea mai mare cifră din 2013 încoace</w:t>
      </w:r>
      <w:r w:rsidR="00B26AFC" w:rsidRPr="00B60706">
        <w:rPr>
          <w:rStyle w:val="FootnoteReference"/>
          <w:noProof/>
        </w:rPr>
        <w:footnoteReference w:id="9"/>
      </w:r>
      <w:r w:rsidR="00B26AFC" w:rsidRPr="00B60706">
        <w:rPr>
          <w:noProof/>
        </w:rPr>
        <w:t>. Această tendință ascendentă a continuat, 8 483 de întreprinderi au dat faliment în perioada ianuarie-septembrie 2025</w:t>
      </w:r>
      <w:r w:rsidR="00B26AFC" w:rsidRPr="00B60706">
        <w:rPr>
          <w:rStyle w:val="FootnoteReference"/>
          <w:noProof/>
        </w:rPr>
        <w:footnoteReference w:id="10"/>
      </w:r>
      <w:r w:rsidR="00B26AFC" w:rsidRPr="00B60706">
        <w:rPr>
          <w:noProof/>
        </w:rPr>
        <w:t>.</w:t>
      </w:r>
    </w:p>
    <w:p w:rsidR="007135A2" w:rsidRPr="00B60706" w:rsidRDefault="00C11631" w:rsidP="00C11631">
      <w:pPr>
        <w:pStyle w:val="ManualNumPar1"/>
        <w:rPr>
          <w:noProof/>
        </w:rPr>
      </w:pPr>
      <w:r w:rsidRPr="00C11631">
        <w:rPr>
          <w:noProof/>
        </w:rPr>
        <w:t>16.</w:t>
      </w:r>
      <w:r w:rsidRPr="00C11631">
        <w:rPr>
          <w:noProof/>
        </w:rPr>
        <w:tab/>
      </w:r>
      <w:r w:rsidR="00B26AFC" w:rsidRPr="00B60706">
        <w:rPr>
          <w:noProof/>
        </w:rPr>
        <w:t>În ceea ce privește ocuparea forței de muncă, numărul lucrătorilor afectați de concedierile colective în 2024 a crescut cu 68 % de la an la an</w:t>
      </w:r>
      <w:r w:rsidR="00B26AFC" w:rsidRPr="00B60706">
        <w:rPr>
          <w:rStyle w:val="FootnoteReference"/>
          <w:noProof/>
        </w:rPr>
        <w:footnoteReference w:id="11"/>
      </w:r>
      <w:r w:rsidR="00B26AFC" w:rsidRPr="00B60706">
        <w:rPr>
          <w:noProof/>
        </w:rPr>
        <w:t>. Numărul de locuri de muncă pierdute din cauza falimentelor a ajuns la 32 566 în 2024 (+18 % de la an la an)</w:t>
      </w:r>
      <w:r w:rsidR="00B26AFC" w:rsidRPr="00B60706">
        <w:rPr>
          <w:rStyle w:val="FootnoteReference"/>
          <w:noProof/>
        </w:rPr>
        <w:footnoteReference w:id="12"/>
      </w:r>
      <w:r w:rsidR="00B26AFC" w:rsidRPr="00B60706">
        <w:rPr>
          <w:noProof/>
        </w:rPr>
        <w:t xml:space="preserve"> și la 22 500 în 2025 (perioada ianuarie-septembrie)</w:t>
      </w:r>
      <w:r w:rsidR="00B26AFC" w:rsidRPr="00B60706">
        <w:rPr>
          <w:rStyle w:val="FootnoteReference"/>
          <w:noProof/>
        </w:rPr>
        <w:footnoteReference w:id="13"/>
      </w:r>
      <w:r w:rsidR="00B26AFC" w:rsidRPr="00B60706">
        <w:rPr>
          <w:noProof/>
        </w:rPr>
        <w:t>. Aproximativ 14 % din aceste pierderi de locuri de muncă au avut loc în sectorul industrial</w:t>
      </w:r>
      <w:r w:rsidR="00B26AFC" w:rsidRPr="00B60706">
        <w:rPr>
          <w:rStyle w:val="FootnoteReference"/>
          <w:noProof/>
        </w:rPr>
        <w:footnoteReference w:id="14"/>
      </w:r>
      <w:r w:rsidR="00B26AFC" w:rsidRPr="00B60706">
        <w:rPr>
          <w:noProof/>
        </w:rPr>
        <w:t>.</w:t>
      </w:r>
    </w:p>
    <w:p w:rsidR="00B424CD" w:rsidRPr="00B60706" w:rsidRDefault="00C11631" w:rsidP="00C11631">
      <w:pPr>
        <w:pStyle w:val="ManualNumPar1"/>
        <w:rPr>
          <w:noProof/>
        </w:rPr>
      </w:pPr>
      <w:r w:rsidRPr="00C11631">
        <w:rPr>
          <w:noProof/>
        </w:rPr>
        <w:t>17.</w:t>
      </w:r>
      <w:r w:rsidRPr="00C11631">
        <w:rPr>
          <w:noProof/>
        </w:rPr>
        <w:tab/>
      </w:r>
      <w:r w:rsidR="00964814" w:rsidRPr="00B60706">
        <w:rPr>
          <w:noProof/>
        </w:rPr>
        <w:t>Rata șomajului în Belgia este de 5,9 %</w:t>
      </w:r>
      <w:r w:rsidR="00964814" w:rsidRPr="00B60706">
        <w:rPr>
          <w:rStyle w:val="FootnoteReference"/>
          <w:noProof/>
        </w:rPr>
        <w:footnoteReference w:id="15"/>
      </w:r>
      <w:r w:rsidR="00964814" w:rsidRPr="00B60706">
        <w:rPr>
          <w:noProof/>
        </w:rPr>
        <w:t>, la fel ca media UE</w:t>
      </w:r>
      <w:r w:rsidR="00964814" w:rsidRPr="00B60706">
        <w:rPr>
          <w:rStyle w:val="FootnoteReference"/>
          <w:noProof/>
        </w:rPr>
        <w:footnoteReference w:id="16"/>
      </w:r>
      <w:r w:rsidR="00964814" w:rsidRPr="00B60706">
        <w:rPr>
          <w:noProof/>
        </w:rPr>
        <w:t>. Cu toate acestea, există diferențe semnificative între piețele regionale ale muncii. Rata șomajului în Bruxelles este de 11,9 %, cu 6 puncte procentuale (pp) mai mare decât rata la nivel național. În Valonia, aceasta este, de asemenea, mai mare (+2 pp), în timp ce în Flandra este cu 2 pp mai mică</w:t>
      </w:r>
      <w:r w:rsidR="00964814" w:rsidRPr="00B60706">
        <w:rPr>
          <w:rStyle w:val="FootnoteReference"/>
          <w:noProof/>
        </w:rPr>
        <w:footnoteReference w:id="17"/>
      </w:r>
      <w:r w:rsidR="00964814" w:rsidRPr="00B60706">
        <w:rPr>
          <w:noProof/>
        </w:rPr>
        <w:t>.</w:t>
      </w:r>
    </w:p>
    <w:p w:rsidR="00DA1DDA" w:rsidRPr="00B60706" w:rsidRDefault="00C11631" w:rsidP="00C11631">
      <w:pPr>
        <w:pStyle w:val="ManualNumPar1"/>
        <w:rPr>
          <w:noProof/>
        </w:rPr>
      </w:pPr>
      <w:bookmarkStart w:id="9" w:name="_Hlk213166739"/>
      <w:r w:rsidRPr="00C11631">
        <w:rPr>
          <w:noProof/>
        </w:rPr>
        <w:t>18.</w:t>
      </w:r>
      <w:r w:rsidRPr="00C11631">
        <w:rPr>
          <w:noProof/>
        </w:rPr>
        <w:tab/>
      </w:r>
      <w:r w:rsidR="009C51E1" w:rsidRPr="00B60706">
        <w:rPr>
          <w:noProof/>
        </w:rPr>
        <w:t>Belgia, citând cifre din Statbel</w:t>
      </w:r>
      <w:r w:rsidR="009C51E1" w:rsidRPr="00B60706">
        <w:rPr>
          <w:rStyle w:val="FootnoteReference"/>
          <w:noProof/>
        </w:rPr>
        <w:footnoteReference w:id="18"/>
      </w:r>
      <w:r w:rsidR="009C51E1" w:rsidRPr="00B60706">
        <w:rPr>
          <w:noProof/>
        </w:rPr>
        <w:t>, explică faptul că nivelul de instruire influențează în mod semnificativ rata de ocupare a forței de muncă, cu diferențe de aproximativ 20 de puncte procentuale între diferitele grupuri. Rata de ocupare a forței de muncă pentru persoanele cu un nivel de instruire scăzut este de 47,9 %; pentru persoanele cu niveluri medii și ridicate de instruire, rata este de 67,6 % și, respectiv, 86,5 %. Genul joacă, de asemenea, un rol: șomajul în rândul bărbaților este cu 1,6 puncte procentuale mai mare decât în rândul femeilor (5 %)</w:t>
      </w:r>
      <w:r w:rsidR="009C51E1" w:rsidRPr="00B60706">
        <w:rPr>
          <w:rStyle w:val="FootnoteReference"/>
          <w:noProof/>
        </w:rPr>
        <w:footnoteReference w:id="19"/>
      </w:r>
      <w:r w:rsidR="009C51E1" w:rsidRPr="00B60706">
        <w:rPr>
          <w:noProof/>
        </w:rPr>
        <w:t>. Peste 90 % dintre lucrătorii disponibilizați sunt bărbați.</w:t>
      </w:r>
    </w:p>
    <w:bookmarkEnd w:id="9"/>
    <w:p w:rsidR="00B424CD" w:rsidRPr="00B60706" w:rsidRDefault="00C11631" w:rsidP="00C11631">
      <w:pPr>
        <w:pStyle w:val="ManualNumPar1"/>
        <w:rPr>
          <w:noProof/>
        </w:rPr>
      </w:pPr>
      <w:r w:rsidRPr="00C11631">
        <w:rPr>
          <w:noProof/>
        </w:rPr>
        <w:t>19.</w:t>
      </w:r>
      <w:r w:rsidRPr="00C11631">
        <w:rPr>
          <w:noProof/>
        </w:rPr>
        <w:tab/>
      </w:r>
      <w:r w:rsidR="00B424CD" w:rsidRPr="00B60706">
        <w:rPr>
          <w:noProof/>
        </w:rPr>
        <w:t>Deși disponibilizările de la Audi vizează întregul teritoriu al Belgiei, 71 % dintre lucrătorii disponibilizați sunt concentrați în trei teritorii: Hainaut (36 %), Bruxelles (18 %) și Flandra de Est (17 %).</w:t>
      </w:r>
    </w:p>
    <w:p w:rsidR="007270A4" w:rsidRPr="00B60706" w:rsidRDefault="00C11631" w:rsidP="00C11631">
      <w:pPr>
        <w:pStyle w:val="ManualNumPar1"/>
        <w:rPr>
          <w:noProof/>
        </w:rPr>
      </w:pPr>
      <w:bookmarkStart w:id="10" w:name="_Hlk212817866"/>
      <w:r w:rsidRPr="00C11631">
        <w:rPr>
          <w:noProof/>
        </w:rPr>
        <w:t>20.</w:t>
      </w:r>
      <w:r w:rsidRPr="00C11631">
        <w:rPr>
          <w:noProof/>
        </w:rPr>
        <w:tab/>
      </w:r>
      <w:r w:rsidR="00364144" w:rsidRPr="00B60706">
        <w:rPr>
          <w:noProof/>
        </w:rPr>
        <w:t>Hainaut (Valonia) și Bruxelles sunt piețe ale muncii defavorizate, unde predomină șomajul de lungă durată (67 %</w:t>
      </w:r>
      <w:r w:rsidR="00364144" w:rsidRPr="00B60706">
        <w:rPr>
          <w:rStyle w:val="FootnoteReference"/>
          <w:noProof/>
        </w:rPr>
        <w:footnoteReference w:id="20"/>
      </w:r>
      <w:r w:rsidR="00364144" w:rsidRPr="00B60706">
        <w:rPr>
          <w:noProof/>
        </w:rPr>
        <w:t xml:space="preserve"> și, respectiv, 62 %</w:t>
      </w:r>
      <w:r w:rsidR="00364144" w:rsidRPr="00B60706">
        <w:rPr>
          <w:rStyle w:val="FootnoteReference"/>
          <w:noProof/>
        </w:rPr>
        <w:footnoteReference w:id="21"/>
      </w:r>
      <w:r w:rsidR="00364144" w:rsidRPr="00B60706">
        <w:rPr>
          <w:noProof/>
        </w:rPr>
        <w:t xml:space="preserve"> dintre persoanele aflate în căutarea unui loc de muncă sunt șomere de mai mult de 12 luni). Hainaut reprezintă 41 % din persoanele aflate în căutarea unui loc de muncă din Valonia. Aproape jumătate dintre aceste persoane aflate în căutarea unui loc de muncă au un nivel scăzut de instruire</w:t>
      </w:r>
      <w:r w:rsidR="00364144" w:rsidRPr="00B60706">
        <w:rPr>
          <w:rStyle w:val="FootnoteReference"/>
          <w:noProof/>
        </w:rPr>
        <w:footnoteReference w:id="22"/>
      </w:r>
      <w:r w:rsidR="00364144" w:rsidRPr="00B60706">
        <w:rPr>
          <w:noProof/>
        </w:rPr>
        <w:t>. În ceea ce privește vârsta, grupa de vârstă 30-39 de ani reprezintă cel mai mare număr de persoane aflate în căutarea unui loc de muncă (24 %), urmată de grupa de vârstă de peste 50 de ani (22 %)</w:t>
      </w:r>
      <w:r w:rsidR="00364144" w:rsidRPr="00B60706">
        <w:rPr>
          <w:rStyle w:val="FootnoteReference"/>
          <w:noProof/>
        </w:rPr>
        <w:footnoteReference w:id="23"/>
      </w:r>
      <w:r w:rsidR="00364144" w:rsidRPr="00B60706">
        <w:rPr>
          <w:noProof/>
        </w:rPr>
        <w:t>. La Bruxelles, una din patru persoane aflate în căutarea unui loc de muncă are peste 50 de ani, iar persoanele cu un nivel scăzut de educație (inclusiv cele ale căror calificări nu sunt echivalente în Europa) reprezintă 59 % din persoanele aflate în căutarea unui loc de muncă</w:t>
      </w:r>
      <w:r w:rsidR="00364144" w:rsidRPr="00B60706">
        <w:rPr>
          <w:rStyle w:val="FootnoteReference"/>
          <w:noProof/>
        </w:rPr>
        <w:footnoteReference w:id="24"/>
      </w:r>
      <w:r w:rsidR="00364144" w:rsidRPr="00B60706">
        <w:rPr>
          <w:noProof/>
        </w:rPr>
        <w:t>. Lucrătorii calificați tehnic reintră relativ rapid pe piața muncii în Flandra de Est. Cu toate acestea, lucrătorii în vârstă au mult mai puține oportunități de a găsi un nou loc de muncă. Unul din doi foști lucrători ai întreprinderii Audi care locuiește în Flandra de Est are peste 50 de ani.</w:t>
      </w:r>
      <w:bookmarkEnd w:id="10"/>
    </w:p>
    <w:p w:rsidR="001A62D7" w:rsidRPr="00B60706" w:rsidRDefault="00C11631" w:rsidP="00C11631">
      <w:pPr>
        <w:pStyle w:val="ManualNumPar1"/>
        <w:rPr>
          <w:noProof/>
        </w:rPr>
      </w:pPr>
      <w:r w:rsidRPr="00C11631">
        <w:rPr>
          <w:noProof/>
        </w:rPr>
        <w:t>21.</w:t>
      </w:r>
      <w:r w:rsidRPr="00C11631">
        <w:rPr>
          <w:noProof/>
        </w:rPr>
        <w:tab/>
      </w:r>
      <w:r w:rsidR="003335D5" w:rsidRPr="00B60706">
        <w:rPr>
          <w:noProof/>
        </w:rPr>
        <w:t xml:space="preserve">Prin urmare, potrivit autorităților belgiene, se preconizează că impactul disponibilizărilor de la Audi și de la furnizorii și producătorii săi din aval va agrava și mai mult situația de pe aceste piețe ale muncii. </w:t>
      </w:r>
    </w:p>
    <w:p w:rsidR="001A62D7" w:rsidRPr="00B60706" w:rsidRDefault="001A62D7" w:rsidP="001A62D7">
      <w:pPr>
        <w:pStyle w:val="ManualHeading2"/>
        <w:rPr>
          <w:noProof/>
        </w:rPr>
      </w:pPr>
      <w:r w:rsidRPr="00B60706">
        <w:rPr>
          <w:noProof/>
        </w:rPr>
        <w:t>Aplicarea Cadrului de calitate al UE pentru anticiparea schimbărilor și restructurare (QFR)</w:t>
      </w:r>
    </w:p>
    <w:p w:rsidR="00986887" w:rsidRPr="00B60706" w:rsidRDefault="00C11631" w:rsidP="00C11631">
      <w:pPr>
        <w:pStyle w:val="ManualNumPar1"/>
        <w:rPr>
          <w:noProof/>
        </w:rPr>
      </w:pPr>
      <w:r w:rsidRPr="00C11631">
        <w:rPr>
          <w:noProof/>
        </w:rPr>
        <w:t>22.</w:t>
      </w:r>
      <w:r w:rsidRPr="00C11631">
        <w:rPr>
          <w:noProof/>
        </w:rPr>
        <w:tab/>
      </w:r>
      <w:r w:rsidR="00964E26" w:rsidRPr="00B60706">
        <w:rPr>
          <w:noProof/>
        </w:rPr>
        <w:t>Belgia a descris modul în care au fost luate în considerare recomandările prevăzute în Cadrul de calitate al UE pentru anticiparea schimbărilor și restructurare.</w:t>
      </w:r>
    </w:p>
    <w:p w:rsidR="00B57F16" w:rsidRPr="00B60706" w:rsidRDefault="00C11631" w:rsidP="00C11631">
      <w:pPr>
        <w:pStyle w:val="ManualNumPar1"/>
        <w:rPr>
          <w:noProof/>
        </w:rPr>
      </w:pPr>
      <w:r w:rsidRPr="00C11631">
        <w:rPr>
          <w:noProof/>
        </w:rPr>
        <w:t>23.</w:t>
      </w:r>
      <w:r w:rsidRPr="00C11631">
        <w:rPr>
          <w:noProof/>
        </w:rPr>
        <w:tab/>
      </w:r>
      <w:r w:rsidR="00B57F16" w:rsidRPr="00B60706">
        <w:rPr>
          <w:noProof/>
        </w:rPr>
        <w:t xml:space="preserve">Întreprinderile unde au loc disponibilizările au respectat legislația belgiană privind disponibilizările colective, care stabilește o procedură obligatorie de informare și consultare a reprezentanților lucrătorilor. Procedura oferă posibilitatea de a explora orice posibilitate de evitare sau de reducere a numărului de disponibilizări. Se urmărește, de asemenea, atenuarea consecințelor pierderii locurilor de muncă prin măsuri sociale complementare, cum ar fi sprijin pentru reconversia profesională sau recalificarea lucrătorilor concediați. </w:t>
      </w:r>
    </w:p>
    <w:p w:rsidR="001A62D7" w:rsidRPr="00B60706" w:rsidRDefault="00C11631" w:rsidP="00C11631">
      <w:pPr>
        <w:pStyle w:val="ManualNumPar1"/>
        <w:rPr>
          <w:noProof/>
        </w:rPr>
      </w:pPr>
      <w:r w:rsidRPr="00C11631">
        <w:rPr>
          <w:noProof/>
        </w:rPr>
        <w:t>24.</w:t>
      </w:r>
      <w:r w:rsidRPr="00C11631">
        <w:rPr>
          <w:noProof/>
        </w:rPr>
        <w:tab/>
      </w:r>
      <w:r w:rsidR="00986887" w:rsidRPr="00B60706">
        <w:rPr>
          <w:noProof/>
        </w:rPr>
        <w:t>Belgia a raportat că legislația națională a muncii</w:t>
      </w:r>
      <w:r w:rsidR="00986887" w:rsidRPr="00B60706">
        <w:rPr>
          <w:rStyle w:val="FootnoteReference"/>
          <w:noProof/>
        </w:rPr>
        <w:footnoteReference w:id="25"/>
      </w:r>
      <w:r w:rsidR="00986887" w:rsidRPr="00B60706">
        <w:rPr>
          <w:noProof/>
        </w:rPr>
        <w:t xml:space="preserve"> privind gestionarea activă a restructurării impune întreprinderilor care realizează restructurări să ofere lucrătorilor disponibilizați în contextul concedierilor colective 30 de ore de servicii de plasare pe piața muncii într-o perioadă de trei luni (60 de ore într-o perioadă de șase luni în cazul lucrătorilor cu vârsta mai mare de 45 de ani). Negocierile au asigurat un buget specific de 1 500 000 EUR pentru acoperirea costurilor de recalificare.</w:t>
      </w:r>
    </w:p>
    <w:p w:rsidR="001A62D7" w:rsidRPr="00B60706" w:rsidRDefault="00C11631" w:rsidP="00C11631">
      <w:pPr>
        <w:pStyle w:val="ManualNumPar1"/>
        <w:rPr>
          <w:noProof/>
        </w:rPr>
      </w:pPr>
      <w:r w:rsidRPr="00C11631">
        <w:rPr>
          <w:noProof/>
        </w:rPr>
        <w:t>25.</w:t>
      </w:r>
      <w:r w:rsidRPr="00C11631">
        <w:rPr>
          <w:noProof/>
        </w:rPr>
        <w:tab/>
      </w:r>
      <w:r w:rsidR="001A62D7" w:rsidRPr="00B60706">
        <w:rPr>
          <w:noProof/>
        </w:rPr>
        <w:t xml:space="preserve">În ceea ce privește activitățile întreprinse pentru a sprijini lucrătorii disponibilizați, Belgia a raportat că măsurile FEG, cum ar fi consilierea și orientarea profesională, care se bazează pe serviciile de plasare pe piața muncii a personalului disponibilizat deja menționate, au început după încheierea perioadei de plasare pe piața muncii a personalului disponibilizat. La 3 aprilie 2025 a avut loc un eveniment pentru căutarea unui loc de muncă („ziua locului de muncă”), axat pe profilurile tehnice disponibile în 77 de întreprinderi. </w:t>
      </w:r>
    </w:p>
    <w:p w:rsidR="001A62D7" w:rsidRPr="00B60706" w:rsidRDefault="001A62D7" w:rsidP="001A62D7">
      <w:pPr>
        <w:pStyle w:val="ManualHeading3"/>
        <w:rPr>
          <w:noProof/>
        </w:rPr>
      </w:pPr>
      <w:r w:rsidRPr="00B60706">
        <w:rPr>
          <w:noProof/>
        </w:rPr>
        <w:t>Complementaritatea cu acțiuni finanțate din fonduri naționale sau din fonduri ale Uniunii</w:t>
      </w:r>
    </w:p>
    <w:p w:rsidR="001A62D7" w:rsidRPr="00B60706" w:rsidRDefault="00C11631" w:rsidP="00C11631">
      <w:pPr>
        <w:pStyle w:val="ManualNumPar1"/>
        <w:rPr>
          <w:noProof/>
        </w:rPr>
      </w:pPr>
      <w:r w:rsidRPr="00C11631">
        <w:rPr>
          <w:noProof/>
        </w:rPr>
        <w:t>26.</w:t>
      </w:r>
      <w:r w:rsidRPr="00C11631">
        <w:rPr>
          <w:noProof/>
        </w:rPr>
        <w:tab/>
      </w:r>
      <w:r w:rsidR="00F85DF2" w:rsidRPr="00B60706">
        <w:rPr>
          <w:noProof/>
        </w:rPr>
        <w:t>Belgia a confirmat faptul că măsurile descrise mai jos care primesc o contribuție financiară din partea FEG nu vor beneficia și de contribuții financiare din partea altor instrumente financiare ale Uniunii.</w:t>
      </w:r>
    </w:p>
    <w:p w:rsidR="001A62D7" w:rsidRPr="00B60706" w:rsidRDefault="00C11631" w:rsidP="00C11631">
      <w:pPr>
        <w:pStyle w:val="ManualNumPar1"/>
        <w:rPr>
          <w:noProof/>
        </w:rPr>
      </w:pPr>
      <w:r w:rsidRPr="00C11631">
        <w:rPr>
          <w:noProof/>
        </w:rPr>
        <w:t>27.</w:t>
      </w:r>
      <w:r w:rsidRPr="00C11631">
        <w:rPr>
          <w:noProof/>
        </w:rPr>
        <w:tab/>
      </w:r>
      <w:r w:rsidR="001A62D7" w:rsidRPr="00B60706">
        <w:rPr>
          <w:noProof/>
        </w:rPr>
        <w:t>Pachetul coordonat de servicii personalizate completează acțiunile finanțate prin alte fonduri naționale sau ale UE.</w:t>
      </w:r>
    </w:p>
    <w:p w:rsidR="001A62D7" w:rsidRPr="00B60706" w:rsidRDefault="001A62D7" w:rsidP="001A62D7">
      <w:pPr>
        <w:pStyle w:val="ManualHeading3"/>
        <w:tabs>
          <w:tab w:val="clear" w:pos="850"/>
          <w:tab w:val="left" w:pos="0"/>
        </w:tabs>
        <w:ind w:left="0" w:firstLine="0"/>
        <w:rPr>
          <w:noProof/>
          <w:u w:val="single"/>
        </w:rPr>
      </w:pPr>
      <w:r w:rsidRPr="00B60706">
        <w:rPr>
          <w:noProof/>
        </w:rPr>
        <w:t>Proceduri de consultare a beneficiarilor vizați sau a reprezentanților acestora ori a partenerilor sociali, precum și a autorităților locale și regionale</w:t>
      </w:r>
    </w:p>
    <w:p w:rsidR="001A62D7" w:rsidRPr="00B60706" w:rsidRDefault="00C11631" w:rsidP="00C11631">
      <w:pPr>
        <w:pStyle w:val="ManualNumPar1"/>
        <w:rPr>
          <w:noProof/>
        </w:rPr>
      </w:pPr>
      <w:r w:rsidRPr="00C11631">
        <w:rPr>
          <w:noProof/>
        </w:rPr>
        <w:t>28.</w:t>
      </w:r>
      <w:r w:rsidRPr="00C11631">
        <w:rPr>
          <w:noProof/>
        </w:rPr>
        <w:tab/>
      </w:r>
      <w:r w:rsidR="0043443B" w:rsidRPr="00B60706">
        <w:rPr>
          <w:noProof/>
        </w:rPr>
        <w:t>Belgia a indicat că pachetul coordonat de servicii personalizate a fost elaborat în consultare cu partenerii sociali, în conformitate cu articolul 7 alineatul (4) din Regulamentul (UE) 2021/691. Între noiembrie 2024 și martie 2025, serviciile publice de ocupare a forței de muncă din Bruxelles</w:t>
      </w:r>
      <w:r w:rsidR="0043443B" w:rsidRPr="00B60706">
        <w:rPr>
          <w:rStyle w:val="FootnoteReference"/>
          <w:noProof/>
        </w:rPr>
        <w:footnoteReference w:id="26"/>
      </w:r>
      <w:r w:rsidR="0043443B" w:rsidRPr="00B60706">
        <w:rPr>
          <w:noProof/>
        </w:rPr>
        <w:t>, Flandra</w:t>
      </w:r>
      <w:r w:rsidR="0043443B" w:rsidRPr="00B60706">
        <w:rPr>
          <w:rStyle w:val="FootnoteReference"/>
          <w:noProof/>
        </w:rPr>
        <w:footnoteReference w:id="27"/>
      </w:r>
      <w:r w:rsidR="0043443B" w:rsidRPr="00B60706">
        <w:rPr>
          <w:noProof/>
        </w:rPr>
        <w:t xml:space="preserve"> și Valonia</w:t>
      </w:r>
      <w:r w:rsidR="0043443B" w:rsidRPr="00B60706">
        <w:rPr>
          <w:rStyle w:val="FootnoteReference"/>
          <w:noProof/>
        </w:rPr>
        <w:footnoteReference w:id="28"/>
      </w:r>
      <w:r w:rsidR="0043443B" w:rsidRPr="00B60706">
        <w:rPr>
          <w:noProof/>
        </w:rPr>
        <w:t xml:space="preserve"> s-au întâlnit de mai multe ori</w:t>
      </w:r>
      <w:r w:rsidR="0043443B" w:rsidRPr="00B60706">
        <w:rPr>
          <w:rStyle w:val="FootnoteReference"/>
          <w:noProof/>
        </w:rPr>
        <w:footnoteReference w:id="29"/>
      </w:r>
      <w:r w:rsidR="0043443B" w:rsidRPr="00B60706">
        <w:rPr>
          <w:noProof/>
        </w:rPr>
        <w:t xml:space="preserve"> cu sindicatele</w:t>
      </w:r>
      <w:r w:rsidR="0043443B" w:rsidRPr="00B60706">
        <w:rPr>
          <w:rStyle w:val="FootnoteReference"/>
          <w:noProof/>
        </w:rPr>
        <w:footnoteReference w:id="30"/>
      </w:r>
      <w:r w:rsidR="0043443B" w:rsidRPr="00B60706">
        <w:rPr>
          <w:noProof/>
        </w:rPr>
        <w:t xml:space="preserve"> pentru a discuta despre măsurile adecvate de sprijinire a foștilor lucrători ai întreprinderii Audi în tranziția lor către noi locuri de muncă. Lucrătorii Audi au fost, de asemenea, consultați la 20 februarie 2025. </w:t>
      </w:r>
    </w:p>
    <w:p w:rsidR="001A62D7" w:rsidRPr="00B60706" w:rsidRDefault="001A62D7" w:rsidP="001A62D7">
      <w:pPr>
        <w:pStyle w:val="ManualHeading2"/>
        <w:rPr>
          <w:noProof/>
        </w:rPr>
      </w:pPr>
      <w:r w:rsidRPr="00B60706">
        <w:rPr>
          <w:noProof/>
        </w:rPr>
        <w:t>Beneficiarii vizați și măsurile propuse</w:t>
      </w:r>
    </w:p>
    <w:p w:rsidR="001A62D7" w:rsidRPr="00B60706" w:rsidRDefault="001A62D7" w:rsidP="001A62D7">
      <w:pPr>
        <w:pStyle w:val="ManualHeading3"/>
        <w:rPr>
          <w:noProof/>
        </w:rPr>
      </w:pPr>
      <w:r w:rsidRPr="00B60706">
        <w:rPr>
          <w:noProof/>
        </w:rPr>
        <w:t>Beneficiarii vizați</w:t>
      </w:r>
    </w:p>
    <w:p w:rsidR="001A62D7" w:rsidRPr="00B60706" w:rsidRDefault="00C11631" w:rsidP="00C11631">
      <w:pPr>
        <w:pStyle w:val="ManualNumPar1"/>
        <w:rPr>
          <w:noProof/>
        </w:rPr>
      </w:pPr>
      <w:r w:rsidRPr="00C11631">
        <w:rPr>
          <w:noProof/>
        </w:rPr>
        <w:t>29.</w:t>
      </w:r>
      <w:r w:rsidRPr="00C11631">
        <w:rPr>
          <w:noProof/>
        </w:rPr>
        <w:tab/>
      </w:r>
      <w:r w:rsidR="001A62D7" w:rsidRPr="00B60706">
        <w:rPr>
          <w:noProof/>
        </w:rPr>
        <w:t>Se estimează că numărul lucrătorilor disponibilizați care vor beneficia de măsuri va fi de 3 414. În conformitate cu articolul 8 alineatul (7) litera (f) din Regulamentul (UE) 2021/691, defalcarea acestor lucrători în funcție de gen, grupă de vârstă și nivel de studii este următoarea:</w:t>
      </w:r>
    </w:p>
    <w:tbl>
      <w:tblPr>
        <w:tblW w:w="0" w:type="auto"/>
        <w:jc w:val="center"/>
        <w:tblLook w:val="04A0" w:firstRow="1" w:lastRow="0" w:firstColumn="1" w:lastColumn="0" w:noHBand="0" w:noVBand="1"/>
      </w:tblPr>
      <w:tblGrid>
        <w:gridCol w:w="1496"/>
        <w:gridCol w:w="2063"/>
        <w:gridCol w:w="1176"/>
        <w:gridCol w:w="1176"/>
      </w:tblGrid>
      <w:tr w:rsidR="001A62D7" w:rsidRPr="00B60706" w:rsidTr="001D5990">
        <w:trPr>
          <w:jc w:val="center"/>
        </w:trPr>
        <w:tc>
          <w:tcPr>
            <w:tcW w:w="3559" w:type="dxa"/>
            <w:gridSpan w:val="2"/>
            <w:tcBorders>
              <w:top w:val="single" w:sz="4" w:space="0" w:color="auto"/>
              <w:left w:val="nil"/>
              <w:bottom w:val="single" w:sz="4" w:space="0" w:color="auto"/>
              <w:right w:val="nil"/>
            </w:tcBorders>
            <w:hideMark/>
          </w:tcPr>
          <w:p w:rsidR="001A62D7" w:rsidRPr="00B60706" w:rsidRDefault="001A62D7" w:rsidP="001D5990">
            <w:pPr>
              <w:spacing w:before="60" w:after="60"/>
              <w:jc w:val="center"/>
              <w:rPr>
                <w:noProof/>
              </w:rPr>
            </w:pPr>
            <w:r w:rsidRPr="00B60706">
              <w:rPr>
                <w:noProof/>
              </w:rPr>
              <w:t>Categorie</w:t>
            </w:r>
          </w:p>
        </w:tc>
        <w:tc>
          <w:tcPr>
            <w:tcW w:w="2352" w:type="dxa"/>
            <w:gridSpan w:val="2"/>
            <w:tcBorders>
              <w:top w:val="single" w:sz="4" w:space="0" w:color="auto"/>
              <w:left w:val="nil"/>
              <w:bottom w:val="single" w:sz="4" w:space="0" w:color="auto"/>
              <w:right w:val="nil"/>
            </w:tcBorders>
            <w:hideMark/>
          </w:tcPr>
          <w:p w:rsidR="001A62D7" w:rsidRPr="00B60706" w:rsidRDefault="001A62D7" w:rsidP="001D5990">
            <w:pPr>
              <w:spacing w:before="60" w:after="60"/>
              <w:jc w:val="center"/>
              <w:rPr>
                <w:noProof/>
              </w:rPr>
            </w:pPr>
            <w:r w:rsidRPr="00B60706">
              <w:rPr>
                <w:noProof/>
              </w:rPr>
              <w:t xml:space="preserve">Numărul </w:t>
            </w:r>
            <w:r w:rsidRPr="00B60706">
              <w:rPr>
                <w:noProof/>
              </w:rPr>
              <w:br/>
              <w:t>beneficiarilor preconizați</w:t>
            </w:r>
          </w:p>
        </w:tc>
      </w:tr>
      <w:tr w:rsidR="001A62D7" w:rsidRPr="00B60706" w:rsidTr="001D5990">
        <w:trPr>
          <w:jc w:val="center"/>
        </w:trPr>
        <w:tc>
          <w:tcPr>
            <w:tcW w:w="1496" w:type="dxa"/>
            <w:tcBorders>
              <w:top w:val="single" w:sz="4" w:space="0" w:color="auto"/>
              <w:left w:val="nil"/>
              <w:right w:val="nil"/>
            </w:tcBorders>
            <w:hideMark/>
          </w:tcPr>
          <w:p w:rsidR="001A62D7" w:rsidRPr="00B60706" w:rsidRDefault="001A62D7" w:rsidP="001D5990">
            <w:pPr>
              <w:spacing w:before="60" w:after="60"/>
              <w:rPr>
                <w:noProof/>
              </w:rPr>
            </w:pPr>
            <w:r w:rsidRPr="00B60706">
              <w:rPr>
                <w:noProof/>
              </w:rPr>
              <w:t>Gen:</w:t>
            </w:r>
          </w:p>
        </w:tc>
        <w:tc>
          <w:tcPr>
            <w:tcW w:w="2063" w:type="dxa"/>
            <w:tcBorders>
              <w:top w:val="single" w:sz="4" w:space="0" w:color="auto"/>
              <w:left w:val="nil"/>
              <w:right w:val="nil"/>
            </w:tcBorders>
            <w:hideMark/>
          </w:tcPr>
          <w:p w:rsidR="001A62D7" w:rsidRPr="00B60706" w:rsidRDefault="001A62D7" w:rsidP="001D5990">
            <w:pPr>
              <w:spacing w:before="60" w:after="60"/>
              <w:rPr>
                <w:noProof/>
              </w:rPr>
            </w:pPr>
            <w:r w:rsidRPr="00B60706">
              <w:rPr>
                <w:noProof/>
              </w:rPr>
              <w:t>Bărbați:</w:t>
            </w:r>
          </w:p>
        </w:tc>
        <w:tc>
          <w:tcPr>
            <w:tcW w:w="1176" w:type="dxa"/>
            <w:tcBorders>
              <w:top w:val="single" w:sz="4" w:space="0" w:color="auto"/>
              <w:left w:val="nil"/>
              <w:right w:val="nil"/>
            </w:tcBorders>
            <w:hideMark/>
          </w:tcPr>
          <w:p w:rsidR="001A62D7" w:rsidRPr="00B60706" w:rsidRDefault="00F055E2" w:rsidP="001D5990">
            <w:pPr>
              <w:spacing w:before="60" w:after="60"/>
              <w:jc w:val="right"/>
              <w:rPr>
                <w:noProof/>
              </w:rPr>
            </w:pPr>
            <w:r w:rsidRPr="00B60706">
              <w:rPr>
                <w:noProof/>
              </w:rPr>
              <w:t>3 145</w:t>
            </w:r>
          </w:p>
        </w:tc>
        <w:tc>
          <w:tcPr>
            <w:tcW w:w="1176" w:type="dxa"/>
            <w:tcBorders>
              <w:top w:val="single" w:sz="4" w:space="0" w:color="auto"/>
              <w:left w:val="nil"/>
              <w:right w:val="nil"/>
            </w:tcBorders>
            <w:hideMark/>
          </w:tcPr>
          <w:p w:rsidR="001A62D7" w:rsidRPr="00B60706" w:rsidRDefault="001A62D7" w:rsidP="001D5990">
            <w:pPr>
              <w:spacing w:before="60" w:after="60"/>
              <w:jc w:val="right"/>
              <w:rPr>
                <w:noProof/>
              </w:rPr>
            </w:pPr>
            <w:r w:rsidRPr="00B60706">
              <w:rPr>
                <w:noProof/>
              </w:rPr>
              <w:t>(92,1 %)</w:t>
            </w:r>
          </w:p>
        </w:tc>
      </w:tr>
      <w:tr w:rsidR="001A62D7" w:rsidRPr="00B60706" w:rsidTr="001D5990">
        <w:trPr>
          <w:jc w:val="center"/>
        </w:trPr>
        <w:tc>
          <w:tcPr>
            <w:tcW w:w="1496" w:type="dxa"/>
            <w:tcBorders>
              <w:top w:val="nil"/>
              <w:left w:val="nil"/>
              <w:right w:val="nil"/>
            </w:tcBorders>
          </w:tcPr>
          <w:p w:rsidR="001A62D7" w:rsidRPr="00B60706" w:rsidRDefault="001A62D7" w:rsidP="001D5990">
            <w:pPr>
              <w:spacing w:before="60" w:after="60"/>
              <w:rPr>
                <w:noProof/>
              </w:rPr>
            </w:pPr>
          </w:p>
        </w:tc>
        <w:tc>
          <w:tcPr>
            <w:tcW w:w="2063" w:type="dxa"/>
            <w:tcBorders>
              <w:top w:val="nil"/>
              <w:left w:val="nil"/>
              <w:right w:val="nil"/>
            </w:tcBorders>
          </w:tcPr>
          <w:p w:rsidR="001A62D7" w:rsidRPr="00B60706" w:rsidRDefault="001A62D7" w:rsidP="001D5990">
            <w:pPr>
              <w:spacing w:before="60" w:after="60"/>
              <w:rPr>
                <w:rFonts w:eastAsia="Calibri"/>
                <w:noProof/>
              </w:rPr>
            </w:pPr>
            <w:r w:rsidRPr="00B60706">
              <w:rPr>
                <w:noProof/>
              </w:rPr>
              <w:t>Femei:</w:t>
            </w:r>
          </w:p>
        </w:tc>
        <w:tc>
          <w:tcPr>
            <w:tcW w:w="1176" w:type="dxa"/>
          </w:tcPr>
          <w:p w:rsidR="001A62D7" w:rsidRPr="00B60706" w:rsidRDefault="00F055E2" w:rsidP="001D5990">
            <w:pPr>
              <w:spacing w:before="60" w:after="60"/>
              <w:jc w:val="right"/>
              <w:rPr>
                <w:noProof/>
              </w:rPr>
            </w:pPr>
            <w:r w:rsidRPr="00B60706">
              <w:rPr>
                <w:noProof/>
              </w:rPr>
              <w:t>269</w:t>
            </w:r>
          </w:p>
        </w:tc>
        <w:tc>
          <w:tcPr>
            <w:tcW w:w="1176" w:type="dxa"/>
          </w:tcPr>
          <w:p w:rsidR="001A62D7" w:rsidRPr="00B60706" w:rsidRDefault="001A62D7" w:rsidP="001D5990">
            <w:pPr>
              <w:spacing w:before="60" w:after="60"/>
              <w:jc w:val="right"/>
              <w:rPr>
                <w:rFonts w:eastAsia="Calibri"/>
                <w:noProof/>
              </w:rPr>
            </w:pPr>
            <w:r w:rsidRPr="00B60706">
              <w:rPr>
                <w:noProof/>
              </w:rPr>
              <w:t>(7,9 %)</w:t>
            </w:r>
          </w:p>
        </w:tc>
      </w:tr>
      <w:tr w:rsidR="001A62D7" w:rsidRPr="00B60706" w:rsidTr="001D5990">
        <w:trPr>
          <w:jc w:val="center"/>
        </w:trPr>
        <w:tc>
          <w:tcPr>
            <w:tcW w:w="1496" w:type="dxa"/>
            <w:tcBorders>
              <w:left w:val="nil"/>
              <w:bottom w:val="single" w:sz="4" w:space="0" w:color="auto"/>
              <w:right w:val="nil"/>
            </w:tcBorders>
          </w:tcPr>
          <w:p w:rsidR="001A62D7" w:rsidRPr="00B60706" w:rsidRDefault="001A62D7" w:rsidP="001D5990">
            <w:pPr>
              <w:spacing w:before="60" w:after="60"/>
              <w:rPr>
                <w:noProof/>
              </w:rPr>
            </w:pPr>
          </w:p>
        </w:tc>
        <w:tc>
          <w:tcPr>
            <w:tcW w:w="2063" w:type="dxa"/>
            <w:tcBorders>
              <w:left w:val="nil"/>
              <w:bottom w:val="single" w:sz="4" w:space="0" w:color="auto"/>
              <w:right w:val="nil"/>
            </w:tcBorders>
          </w:tcPr>
          <w:p w:rsidR="001A62D7" w:rsidRPr="00B60706" w:rsidRDefault="001A62D7" w:rsidP="001D5990">
            <w:pPr>
              <w:spacing w:before="60" w:after="60"/>
              <w:rPr>
                <w:noProof/>
              </w:rPr>
            </w:pPr>
            <w:r w:rsidRPr="00B60706">
              <w:rPr>
                <w:noProof/>
              </w:rPr>
              <w:t>Persoane non-binare</w:t>
            </w:r>
          </w:p>
        </w:tc>
        <w:tc>
          <w:tcPr>
            <w:tcW w:w="1176" w:type="dxa"/>
            <w:tcBorders>
              <w:bottom w:val="single" w:sz="4" w:space="0" w:color="auto"/>
            </w:tcBorders>
            <w:hideMark/>
          </w:tcPr>
          <w:p w:rsidR="001A62D7" w:rsidRPr="00B60706" w:rsidRDefault="00F055E2" w:rsidP="001D5990">
            <w:pPr>
              <w:spacing w:before="60" w:after="60"/>
              <w:jc w:val="right"/>
              <w:rPr>
                <w:noProof/>
              </w:rPr>
            </w:pPr>
            <w:r w:rsidRPr="00B60706">
              <w:rPr>
                <w:noProof/>
              </w:rPr>
              <w:t>0</w:t>
            </w:r>
          </w:p>
        </w:tc>
        <w:tc>
          <w:tcPr>
            <w:tcW w:w="1176" w:type="dxa"/>
            <w:tcBorders>
              <w:bottom w:val="single" w:sz="4" w:space="0" w:color="auto"/>
            </w:tcBorders>
            <w:hideMark/>
          </w:tcPr>
          <w:p w:rsidR="001A62D7" w:rsidRPr="00B60706" w:rsidRDefault="001A62D7" w:rsidP="001D5990">
            <w:pPr>
              <w:spacing w:before="60" w:after="60"/>
              <w:jc w:val="right"/>
              <w:rPr>
                <w:noProof/>
              </w:rPr>
            </w:pPr>
            <w:r w:rsidRPr="00B60706">
              <w:rPr>
                <w:noProof/>
              </w:rPr>
              <w:t>(0,0 %)</w:t>
            </w:r>
          </w:p>
        </w:tc>
      </w:tr>
      <w:tr w:rsidR="001A62D7" w:rsidRPr="00B60706" w:rsidTr="001D5990">
        <w:trPr>
          <w:jc w:val="center"/>
        </w:trPr>
        <w:tc>
          <w:tcPr>
            <w:tcW w:w="1496" w:type="dxa"/>
            <w:tcBorders>
              <w:top w:val="single" w:sz="4" w:space="0" w:color="auto"/>
              <w:left w:val="nil"/>
              <w:bottom w:val="nil"/>
              <w:right w:val="nil"/>
            </w:tcBorders>
            <w:hideMark/>
          </w:tcPr>
          <w:p w:rsidR="001A62D7" w:rsidRPr="00B60706" w:rsidRDefault="001A62D7" w:rsidP="001D5990">
            <w:pPr>
              <w:spacing w:before="60" w:after="60"/>
              <w:rPr>
                <w:noProof/>
              </w:rPr>
            </w:pPr>
            <w:r w:rsidRPr="00B60706">
              <w:rPr>
                <w:noProof/>
              </w:rPr>
              <w:t>Grupa de vârstă:</w:t>
            </w:r>
          </w:p>
        </w:tc>
        <w:tc>
          <w:tcPr>
            <w:tcW w:w="2063" w:type="dxa"/>
            <w:tcBorders>
              <w:top w:val="single" w:sz="4" w:space="0" w:color="auto"/>
              <w:left w:val="nil"/>
              <w:bottom w:val="nil"/>
              <w:right w:val="nil"/>
            </w:tcBorders>
            <w:hideMark/>
          </w:tcPr>
          <w:p w:rsidR="001A62D7" w:rsidRPr="00B60706" w:rsidRDefault="001A62D7" w:rsidP="001D5990">
            <w:pPr>
              <w:spacing w:before="60" w:after="60"/>
              <w:rPr>
                <w:noProof/>
              </w:rPr>
            </w:pPr>
            <w:r w:rsidRPr="00B60706">
              <w:rPr>
                <w:noProof/>
              </w:rPr>
              <w:t>Sub 30 de ani:</w:t>
            </w:r>
          </w:p>
        </w:tc>
        <w:tc>
          <w:tcPr>
            <w:tcW w:w="1176" w:type="dxa"/>
            <w:tcBorders>
              <w:top w:val="single" w:sz="4" w:space="0" w:color="auto"/>
            </w:tcBorders>
            <w:hideMark/>
          </w:tcPr>
          <w:p w:rsidR="001A62D7" w:rsidRPr="00B60706" w:rsidRDefault="00F055E2" w:rsidP="001D5990">
            <w:pPr>
              <w:spacing w:before="60" w:after="60"/>
              <w:jc w:val="right"/>
              <w:rPr>
                <w:noProof/>
              </w:rPr>
            </w:pPr>
            <w:r w:rsidRPr="00B60706">
              <w:rPr>
                <w:noProof/>
              </w:rPr>
              <w:t>323</w:t>
            </w:r>
          </w:p>
        </w:tc>
        <w:tc>
          <w:tcPr>
            <w:tcW w:w="1176" w:type="dxa"/>
            <w:tcBorders>
              <w:top w:val="single" w:sz="4" w:space="0" w:color="auto"/>
            </w:tcBorders>
            <w:hideMark/>
          </w:tcPr>
          <w:p w:rsidR="001A62D7" w:rsidRPr="00B60706" w:rsidRDefault="001A62D7" w:rsidP="001D5990">
            <w:pPr>
              <w:spacing w:before="60" w:after="60"/>
              <w:jc w:val="right"/>
              <w:rPr>
                <w:noProof/>
              </w:rPr>
            </w:pPr>
            <w:r w:rsidRPr="00B60706">
              <w:rPr>
                <w:noProof/>
              </w:rPr>
              <w:t>(9,5 %)</w:t>
            </w:r>
          </w:p>
        </w:tc>
      </w:tr>
      <w:tr w:rsidR="001A62D7" w:rsidRPr="00B60706" w:rsidTr="001D5990">
        <w:trPr>
          <w:jc w:val="center"/>
        </w:trPr>
        <w:tc>
          <w:tcPr>
            <w:tcW w:w="1496" w:type="dxa"/>
          </w:tcPr>
          <w:p w:rsidR="001A62D7" w:rsidRPr="00B60706" w:rsidRDefault="001A62D7" w:rsidP="001D5990">
            <w:pPr>
              <w:spacing w:before="60" w:after="60"/>
              <w:rPr>
                <w:noProof/>
              </w:rPr>
            </w:pPr>
          </w:p>
        </w:tc>
        <w:tc>
          <w:tcPr>
            <w:tcW w:w="2063" w:type="dxa"/>
            <w:hideMark/>
          </w:tcPr>
          <w:p w:rsidR="001A62D7" w:rsidRPr="00B60706" w:rsidRDefault="001A62D7" w:rsidP="001D5990">
            <w:pPr>
              <w:spacing w:before="60" w:after="60"/>
              <w:rPr>
                <w:noProof/>
              </w:rPr>
            </w:pPr>
            <w:r w:rsidRPr="00B60706">
              <w:rPr>
                <w:noProof/>
              </w:rPr>
              <w:t>30-54 de ani:</w:t>
            </w:r>
          </w:p>
        </w:tc>
        <w:tc>
          <w:tcPr>
            <w:tcW w:w="1176" w:type="dxa"/>
            <w:hideMark/>
          </w:tcPr>
          <w:p w:rsidR="001A62D7" w:rsidRPr="00B60706" w:rsidRDefault="00F055E2" w:rsidP="001D5990">
            <w:pPr>
              <w:spacing w:before="60" w:after="60"/>
              <w:jc w:val="right"/>
              <w:rPr>
                <w:noProof/>
              </w:rPr>
            </w:pPr>
            <w:r w:rsidRPr="00B60706">
              <w:rPr>
                <w:noProof/>
              </w:rPr>
              <w:t>2 263</w:t>
            </w:r>
          </w:p>
        </w:tc>
        <w:tc>
          <w:tcPr>
            <w:tcW w:w="1176" w:type="dxa"/>
            <w:hideMark/>
          </w:tcPr>
          <w:p w:rsidR="001A62D7" w:rsidRPr="00B60706" w:rsidRDefault="001A62D7" w:rsidP="001D5990">
            <w:pPr>
              <w:spacing w:before="60" w:after="60"/>
              <w:jc w:val="right"/>
              <w:rPr>
                <w:noProof/>
              </w:rPr>
            </w:pPr>
            <w:r w:rsidRPr="00B60706">
              <w:rPr>
                <w:noProof/>
              </w:rPr>
              <w:t>(66,3 %)</w:t>
            </w:r>
          </w:p>
        </w:tc>
      </w:tr>
      <w:tr w:rsidR="001A62D7" w:rsidRPr="00B60706" w:rsidTr="001D5990">
        <w:trPr>
          <w:jc w:val="center"/>
        </w:trPr>
        <w:tc>
          <w:tcPr>
            <w:tcW w:w="1496" w:type="dxa"/>
          </w:tcPr>
          <w:p w:rsidR="001A62D7" w:rsidRPr="00B60706" w:rsidRDefault="001A62D7" w:rsidP="001D5990">
            <w:pPr>
              <w:spacing w:before="60" w:after="60"/>
              <w:rPr>
                <w:noProof/>
              </w:rPr>
            </w:pPr>
          </w:p>
        </w:tc>
        <w:tc>
          <w:tcPr>
            <w:tcW w:w="2063" w:type="dxa"/>
            <w:hideMark/>
          </w:tcPr>
          <w:p w:rsidR="001A62D7" w:rsidRPr="00B60706" w:rsidRDefault="001A62D7" w:rsidP="001D5990">
            <w:pPr>
              <w:spacing w:before="60" w:after="60"/>
              <w:jc w:val="left"/>
              <w:rPr>
                <w:noProof/>
              </w:rPr>
            </w:pPr>
            <w:r w:rsidRPr="00B60706">
              <w:rPr>
                <w:noProof/>
              </w:rPr>
              <w:t>Peste 54 de ani:</w:t>
            </w:r>
          </w:p>
        </w:tc>
        <w:tc>
          <w:tcPr>
            <w:tcW w:w="1176" w:type="dxa"/>
            <w:hideMark/>
          </w:tcPr>
          <w:p w:rsidR="001A62D7" w:rsidRPr="00B60706" w:rsidRDefault="00F055E2" w:rsidP="001D5990">
            <w:pPr>
              <w:spacing w:before="60" w:after="60"/>
              <w:jc w:val="right"/>
              <w:rPr>
                <w:noProof/>
              </w:rPr>
            </w:pPr>
            <w:r w:rsidRPr="00B60706">
              <w:rPr>
                <w:noProof/>
              </w:rPr>
              <w:t>828</w:t>
            </w:r>
          </w:p>
        </w:tc>
        <w:tc>
          <w:tcPr>
            <w:tcW w:w="1176" w:type="dxa"/>
            <w:hideMark/>
          </w:tcPr>
          <w:p w:rsidR="001A62D7" w:rsidRPr="00B60706" w:rsidRDefault="001A62D7" w:rsidP="001D5990">
            <w:pPr>
              <w:spacing w:before="60" w:after="60"/>
              <w:jc w:val="right"/>
              <w:rPr>
                <w:noProof/>
              </w:rPr>
            </w:pPr>
            <w:r w:rsidRPr="00B60706">
              <w:rPr>
                <w:noProof/>
              </w:rPr>
              <w:t>(24,3 %)</w:t>
            </w:r>
          </w:p>
        </w:tc>
      </w:tr>
      <w:tr w:rsidR="001A62D7" w:rsidRPr="00B60706" w:rsidTr="001D5990">
        <w:trPr>
          <w:jc w:val="center"/>
        </w:trPr>
        <w:tc>
          <w:tcPr>
            <w:tcW w:w="1496" w:type="dxa"/>
            <w:tcBorders>
              <w:top w:val="single" w:sz="4" w:space="0" w:color="auto"/>
              <w:left w:val="nil"/>
              <w:bottom w:val="nil"/>
              <w:right w:val="nil"/>
            </w:tcBorders>
          </w:tcPr>
          <w:p w:rsidR="001A62D7" w:rsidRPr="00B60706" w:rsidRDefault="001A62D7" w:rsidP="001D5990">
            <w:pPr>
              <w:spacing w:before="60" w:after="60"/>
              <w:rPr>
                <w:noProof/>
              </w:rPr>
            </w:pPr>
            <w:r w:rsidRPr="00B60706">
              <w:rPr>
                <w:noProof/>
              </w:rPr>
              <w:t>Nivelul de instruire</w:t>
            </w:r>
          </w:p>
        </w:tc>
        <w:tc>
          <w:tcPr>
            <w:tcW w:w="2063" w:type="dxa"/>
            <w:tcBorders>
              <w:top w:val="single" w:sz="4" w:space="0" w:color="auto"/>
              <w:left w:val="nil"/>
              <w:bottom w:val="nil"/>
              <w:right w:val="nil"/>
            </w:tcBorders>
          </w:tcPr>
          <w:p w:rsidR="001A62D7" w:rsidRPr="00B60706" w:rsidRDefault="001A62D7" w:rsidP="001D5990">
            <w:pPr>
              <w:spacing w:before="60" w:after="60"/>
              <w:rPr>
                <w:noProof/>
              </w:rPr>
            </w:pPr>
            <w:r w:rsidRPr="00B60706">
              <w:rPr>
                <w:noProof/>
              </w:rPr>
              <w:t>Învățământ secundar inferior sau sub acest nivel</w:t>
            </w:r>
            <w:r w:rsidRPr="00B60706">
              <w:rPr>
                <w:rStyle w:val="FootnoteReference"/>
                <w:noProof/>
              </w:rPr>
              <w:footnoteReference w:id="31"/>
            </w:r>
            <w:r w:rsidRPr="00B60706">
              <w:rPr>
                <w:noProof/>
              </w:rPr>
              <w:t xml:space="preserve"> </w:t>
            </w:r>
          </w:p>
        </w:tc>
        <w:tc>
          <w:tcPr>
            <w:tcW w:w="1176" w:type="dxa"/>
            <w:tcBorders>
              <w:top w:val="single" w:sz="4" w:space="0" w:color="auto"/>
              <w:left w:val="nil"/>
              <w:bottom w:val="nil"/>
              <w:right w:val="nil"/>
            </w:tcBorders>
          </w:tcPr>
          <w:p w:rsidR="001A62D7" w:rsidRPr="00B60706" w:rsidRDefault="00F055E2" w:rsidP="001D5990">
            <w:pPr>
              <w:spacing w:before="60" w:after="60"/>
              <w:jc w:val="right"/>
              <w:rPr>
                <w:noProof/>
              </w:rPr>
            </w:pPr>
            <w:r w:rsidRPr="00B60706">
              <w:rPr>
                <w:noProof/>
              </w:rPr>
              <w:t>951</w:t>
            </w:r>
          </w:p>
        </w:tc>
        <w:tc>
          <w:tcPr>
            <w:tcW w:w="1176" w:type="dxa"/>
            <w:tcBorders>
              <w:top w:val="single" w:sz="4" w:space="0" w:color="auto"/>
              <w:left w:val="nil"/>
              <w:bottom w:val="nil"/>
              <w:right w:val="nil"/>
            </w:tcBorders>
          </w:tcPr>
          <w:p w:rsidR="001A62D7" w:rsidRPr="00B60706" w:rsidRDefault="001A62D7" w:rsidP="001D5990">
            <w:pPr>
              <w:spacing w:before="60" w:after="60"/>
              <w:jc w:val="right"/>
              <w:rPr>
                <w:rFonts w:eastAsia="Calibri"/>
                <w:noProof/>
              </w:rPr>
            </w:pPr>
            <w:r w:rsidRPr="00B60706">
              <w:rPr>
                <w:noProof/>
              </w:rPr>
              <w:t>(27,9 %)</w:t>
            </w:r>
          </w:p>
        </w:tc>
      </w:tr>
      <w:tr w:rsidR="001A62D7" w:rsidRPr="00B60706" w:rsidTr="001D5990">
        <w:trPr>
          <w:jc w:val="center"/>
        </w:trPr>
        <w:tc>
          <w:tcPr>
            <w:tcW w:w="1496" w:type="dxa"/>
            <w:tcBorders>
              <w:top w:val="nil"/>
              <w:left w:val="nil"/>
              <w:right w:val="nil"/>
            </w:tcBorders>
          </w:tcPr>
          <w:p w:rsidR="001A62D7" w:rsidRPr="00B60706" w:rsidRDefault="001A62D7" w:rsidP="001D5990">
            <w:pPr>
              <w:spacing w:before="60" w:after="60"/>
              <w:rPr>
                <w:noProof/>
              </w:rPr>
            </w:pPr>
          </w:p>
        </w:tc>
        <w:tc>
          <w:tcPr>
            <w:tcW w:w="2063" w:type="dxa"/>
            <w:tcBorders>
              <w:top w:val="nil"/>
              <w:left w:val="nil"/>
              <w:right w:val="nil"/>
            </w:tcBorders>
          </w:tcPr>
          <w:p w:rsidR="001A62D7" w:rsidRPr="00B60706" w:rsidRDefault="001A62D7" w:rsidP="001D5990">
            <w:pPr>
              <w:spacing w:before="60" w:after="60"/>
              <w:rPr>
                <w:noProof/>
              </w:rPr>
            </w:pPr>
            <w:r w:rsidRPr="00B60706">
              <w:rPr>
                <w:noProof/>
              </w:rPr>
              <w:t>Învățământ liceal</w:t>
            </w:r>
            <w:r w:rsidRPr="00B60706">
              <w:rPr>
                <w:rStyle w:val="FootnoteReference"/>
                <w:noProof/>
              </w:rPr>
              <w:footnoteReference w:id="32"/>
            </w:r>
            <w:r w:rsidRPr="00B60706">
              <w:rPr>
                <w:noProof/>
              </w:rPr>
              <w:t xml:space="preserve"> sau postliceal</w:t>
            </w:r>
            <w:r w:rsidRPr="00B60706">
              <w:rPr>
                <w:rStyle w:val="FootnoteReference"/>
                <w:noProof/>
              </w:rPr>
              <w:footnoteReference w:id="33"/>
            </w:r>
          </w:p>
        </w:tc>
        <w:tc>
          <w:tcPr>
            <w:tcW w:w="1176" w:type="dxa"/>
            <w:tcBorders>
              <w:top w:val="nil"/>
              <w:left w:val="nil"/>
              <w:right w:val="nil"/>
            </w:tcBorders>
          </w:tcPr>
          <w:p w:rsidR="001A62D7" w:rsidRPr="00B60706" w:rsidRDefault="00F055E2" w:rsidP="001D5990">
            <w:pPr>
              <w:spacing w:before="60" w:after="60"/>
              <w:jc w:val="right"/>
              <w:rPr>
                <w:noProof/>
              </w:rPr>
            </w:pPr>
            <w:r w:rsidRPr="00B60706">
              <w:rPr>
                <w:noProof/>
              </w:rPr>
              <w:t>1 889</w:t>
            </w:r>
          </w:p>
        </w:tc>
        <w:tc>
          <w:tcPr>
            <w:tcW w:w="1176" w:type="dxa"/>
            <w:tcBorders>
              <w:top w:val="nil"/>
              <w:left w:val="nil"/>
              <w:right w:val="nil"/>
            </w:tcBorders>
          </w:tcPr>
          <w:p w:rsidR="001A62D7" w:rsidRPr="00B60706" w:rsidRDefault="001A62D7" w:rsidP="001D5990">
            <w:pPr>
              <w:spacing w:before="60" w:after="60"/>
              <w:jc w:val="right"/>
              <w:rPr>
                <w:rFonts w:eastAsia="Calibri"/>
                <w:noProof/>
              </w:rPr>
            </w:pPr>
            <w:r w:rsidRPr="00B60706">
              <w:rPr>
                <w:noProof/>
              </w:rPr>
              <w:t>(55,3 %)</w:t>
            </w:r>
          </w:p>
        </w:tc>
      </w:tr>
      <w:tr w:rsidR="001A62D7" w:rsidRPr="00B60706" w:rsidTr="001D5990">
        <w:trPr>
          <w:jc w:val="center"/>
        </w:trPr>
        <w:tc>
          <w:tcPr>
            <w:tcW w:w="1496" w:type="dxa"/>
            <w:tcBorders>
              <w:top w:val="nil"/>
              <w:left w:val="nil"/>
              <w:bottom w:val="single" w:sz="4" w:space="0" w:color="auto"/>
              <w:right w:val="nil"/>
            </w:tcBorders>
          </w:tcPr>
          <w:p w:rsidR="001A62D7" w:rsidRPr="00B60706" w:rsidRDefault="001A62D7" w:rsidP="001D5990">
            <w:pPr>
              <w:spacing w:before="60" w:after="60"/>
              <w:rPr>
                <w:noProof/>
              </w:rPr>
            </w:pPr>
          </w:p>
        </w:tc>
        <w:tc>
          <w:tcPr>
            <w:tcW w:w="2063" w:type="dxa"/>
            <w:tcBorders>
              <w:top w:val="nil"/>
              <w:left w:val="nil"/>
              <w:bottom w:val="single" w:sz="4" w:space="0" w:color="auto"/>
              <w:right w:val="nil"/>
            </w:tcBorders>
          </w:tcPr>
          <w:p w:rsidR="001A62D7" w:rsidRPr="00B60706" w:rsidRDefault="001A62D7" w:rsidP="001D5990">
            <w:pPr>
              <w:spacing w:before="60" w:after="60"/>
              <w:rPr>
                <w:noProof/>
              </w:rPr>
            </w:pPr>
            <w:r w:rsidRPr="00B60706">
              <w:rPr>
                <w:noProof/>
              </w:rPr>
              <w:t>Învățământ terțiar</w:t>
            </w:r>
            <w:r w:rsidRPr="00B60706">
              <w:rPr>
                <w:rStyle w:val="FootnoteReference"/>
                <w:noProof/>
              </w:rPr>
              <w:footnoteReference w:id="34"/>
            </w:r>
          </w:p>
        </w:tc>
        <w:tc>
          <w:tcPr>
            <w:tcW w:w="1176" w:type="dxa"/>
            <w:tcBorders>
              <w:top w:val="nil"/>
              <w:left w:val="nil"/>
              <w:bottom w:val="single" w:sz="4" w:space="0" w:color="auto"/>
              <w:right w:val="nil"/>
            </w:tcBorders>
          </w:tcPr>
          <w:p w:rsidR="001A62D7" w:rsidRPr="00B60706" w:rsidRDefault="00F055E2" w:rsidP="001D5990">
            <w:pPr>
              <w:spacing w:before="60" w:after="60"/>
              <w:jc w:val="right"/>
              <w:rPr>
                <w:noProof/>
              </w:rPr>
            </w:pPr>
            <w:r w:rsidRPr="00B60706">
              <w:rPr>
                <w:noProof/>
              </w:rPr>
              <w:t>574</w:t>
            </w:r>
          </w:p>
        </w:tc>
        <w:tc>
          <w:tcPr>
            <w:tcW w:w="1176" w:type="dxa"/>
            <w:tcBorders>
              <w:top w:val="nil"/>
              <w:left w:val="nil"/>
              <w:bottom w:val="single" w:sz="4" w:space="0" w:color="auto"/>
              <w:right w:val="nil"/>
            </w:tcBorders>
          </w:tcPr>
          <w:p w:rsidR="001A62D7" w:rsidRPr="00B60706" w:rsidRDefault="001A62D7" w:rsidP="001D5990">
            <w:pPr>
              <w:spacing w:before="60" w:after="60"/>
              <w:jc w:val="right"/>
              <w:rPr>
                <w:rFonts w:eastAsia="Calibri"/>
                <w:noProof/>
              </w:rPr>
            </w:pPr>
            <w:r w:rsidRPr="00B60706">
              <w:rPr>
                <w:noProof/>
              </w:rPr>
              <w:t>(16,8 %)</w:t>
            </w:r>
          </w:p>
        </w:tc>
      </w:tr>
    </w:tbl>
    <w:p w:rsidR="001A62D7" w:rsidRPr="00B60706" w:rsidRDefault="001A62D7" w:rsidP="001A62D7">
      <w:pPr>
        <w:pStyle w:val="ManualHeading3"/>
        <w:rPr>
          <w:noProof/>
          <w:u w:val="single"/>
        </w:rPr>
      </w:pPr>
      <w:r w:rsidRPr="00B60706">
        <w:rPr>
          <w:noProof/>
        </w:rPr>
        <w:t>Măsurile propuse</w:t>
      </w:r>
    </w:p>
    <w:p w:rsidR="001A62D7" w:rsidRPr="00B60706" w:rsidRDefault="00C11631" w:rsidP="00C11631">
      <w:pPr>
        <w:pStyle w:val="ManualNumPar1"/>
        <w:rPr>
          <w:noProof/>
        </w:rPr>
      </w:pPr>
      <w:bookmarkStart w:id="11" w:name="_Ref372214239"/>
      <w:r w:rsidRPr="00C11631">
        <w:rPr>
          <w:noProof/>
        </w:rPr>
        <w:t>30.</w:t>
      </w:r>
      <w:r w:rsidRPr="00C11631">
        <w:rPr>
          <w:noProof/>
        </w:rPr>
        <w:tab/>
      </w:r>
      <w:r w:rsidR="001A62D7" w:rsidRPr="00B60706">
        <w:rPr>
          <w:noProof/>
        </w:rPr>
        <w:t xml:space="preserve">În conformitate cu articolul 8 alineatul (7) litera (h) din Regulamentul (UE) 2021/691, pachetul coordonat personalizat care urmează să fie pus la dispoziția lucrătorilor disponibilizați constă în următoarele măsuri: </w:t>
      </w:r>
      <w:bookmarkEnd w:id="11"/>
    </w:p>
    <w:p w:rsidR="001A62D7" w:rsidRPr="00B60706" w:rsidRDefault="006534C4" w:rsidP="006534C4">
      <w:pPr>
        <w:pStyle w:val="Tiret1"/>
        <w:rPr>
          <w:noProof/>
        </w:rPr>
      </w:pPr>
      <w:r w:rsidRPr="00B60706">
        <w:rPr>
          <w:noProof/>
        </w:rPr>
        <w:tab/>
      </w:r>
      <w:r w:rsidRPr="00B60706">
        <w:rPr>
          <w:noProof/>
          <w:u w:val="single"/>
        </w:rPr>
        <w:t>Servicii de informare, consiliere și orientare profesională și servicii de plasare</w:t>
      </w:r>
      <w:r w:rsidRPr="00B60706">
        <w:rPr>
          <w:noProof/>
        </w:rPr>
        <w:t>: Această măsură se bazează pe serviciile de plasare a personalului disponibilizat menționate la punctul 24 și include sesiuni de informare, stabilirea profilului lucrătorilor, îndrumare individuală și sprijin pentru căutarea unui loc de muncă sub forma căutării active a unui loc de muncă și a corelării cererii și ofertei de locuri de muncă, ateliere privind pregătirea cererilor de locuri de muncă și căutarea unui loc de muncă prin intermediul rețelelor sociale. De asemenea, vor fi organizate sesiuni de informare cu privire la alte subiecte relevante, cum ar fi impozitarea sau modul în care se poate evita îndatorarea excesivă. Se acordă o atenție deosebită impactului psihologic al concedierii.</w:t>
      </w:r>
    </w:p>
    <w:p w:rsidR="002A2C83" w:rsidRPr="00B60706" w:rsidRDefault="00843A99" w:rsidP="002A2C83">
      <w:pPr>
        <w:pStyle w:val="Tiret1"/>
        <w:rPr>
          <w:noProof/>
        </w:rPr>
      </w:pPr>
      <w:r w:rsidRPr="00B60706">
        <w:rPr>
          <w:noProof/>
          <w:u w:val="single"/>
        </w:rPr>
        <w:t>Formare și recalificare</w:t>
      </w:r>
      <w:r w:rsidRPr="00B60706">
        <w:rPr>
          <w:noProof/>
        </w:rPr>
        <w:t>: După crearea profilurilor lucrătorilor și determinarea proiectelor profesionale individuale împreună cu consilierii profesionali, se va oferi instruire specifică pentru a răspunde nevoilor identificate.</w:t>
      </w:r>
    </w:p>
    <w:p w:rsidR="002A2C83" w:rsidRPr="00B60706" w:rsidRDefault="00035265" w:rsidP="002A2C83">
      <w:pPr>
        <w:pStyle w:val="Tiret1"/>
        <w:rPr>
          <w:noProof/>
        </w:rPr>
      </w:pPr>
      <w:r w:rsidRPr="00B60706">
        <w:rPr>
          <w:noProof/>
          <w:u w:val="single"/>
        </w:rPr>
        <w:t>Ziua locurilor de muncă</w:t>
      </w:r>
      <w:r w:rsidRPr="00B60706">
        <w:rPr>
          <w:noProof/>
        </w:rPr>
        <w:t>: Acest eveniment de căutare a unui loc de muncă reunește persoane aflate în căutarea unui loc de muncă și angajatori care doresc să își ocupe posturile vacante. Înainte de a participa la eveniment, sesiunile de consiliere contribuie la pregătirea întâlnirii cu potențialii angajatori.</w:t>
      </w:r>
    </w:p>
    <w:p w:rsidR="002A2C83" w:rsidRPr="00B60706" w:rsidRDefault="006534C4" w:rsidP="002A2C83">
      <w:pPr>
        <w:pStyle w:val="Tiret1"/>
        <w:rPr>
          <w:noProof/>
        </w:rPr>
      </w:pPr>
      <w:r w:rsidRPr="00B60706">
        <w:rPr>
          <w:noProof/>
          <w:u w:val="single"/>
        </w:rPr>
        <w:t>Promovarea antreprenoriatului</w:t>
      </w:r>
      <w:r w:rsidRPr="00B60706">
        <w:rPr>
          <w:noProof/>
        </w:rPr>
        <w:t>: Măsura se adresează lucrătorilor care doresc să își deschidă propria afacere. Aceasta va cuprinde o etapă de diagnosticare și orientare, acțiuni de conștientizare cu privire la antreprenoriat, sesiuni de informare privind potențialul de înființare a întreprinderilor prin diagnostice economice teritoriale și relaționarea cu antreprenori relevanți și cu îndrumători autorizați în deschiderea de afaceri.</w:t>
      </w:r>
    </w:p>
    <w:p w:rsidR="002A2C83" w:rsidRPr="00B60706" w:rsidRDefault="00261BA9" w:rsidP="002A2C83">
      <w:pPr>
        <w:pStyle w:val="Tiret1"/>
        <w:rPr>
          <w:noProof/>
        </w:rPr>
      </w:pPr>
      <w:r w:rsidRPr="00B60706">
        <w:rPr>
          <w:noProof/>
          <w:u w:val="single"/>
        </w:rPr>
        <w:t>Contribuție la înființarea unei întreprinderi</w:t>
      </w:r>
      <w:r w:rsidRPr="00B60706">
        <w:rPr>
          <w:noProof/>
        </w:rPr>
        <w:t>: Lucrătorii care își deschid o afacere sau încep o activitate independentă vor primi o contribuție de până la 15 000 EUR. Contribuția va fi plătită în două tranșe, după prezentarea documentelor justificative care atestă începerea și dezvoltarea activității economice.</w:t>
      </w:r>
    </w:p>
    <w:p w:rsidR="002A2C83" w:rsidRPr="00B60706" w:rsidRDefault="004C617C" w:rsidP="001A62D7">
      <w:pPr>
        <w:pStyle w:val="Tiret1"/>
        <w:rPr>
          <w:noProof/>
        </w:rPr>
      </w:pPr>
      <w:r w:rsidRPr="00B60706">
        <w:rPr>
          <w:noProof/>
          <w:u w:val="single"/>
        </w:rPr>
        <w:t>Stimulente și alocații</w:t>
      </w:r>
      <w:r w:rsidRPr="00B60706">
        <w:rPr>
          <w:noProof/>
        </w:rPr>
        <w:t xml:space="preserve">: </w:t>
      </w:r>
      <w:r w:rsidRPr="00B60706">
        <w:rPr>
          <w:b/>
          <w:noProof/>
        </w:rPr>
        <w:t>(1) Alocații pentru căutarea unui loc de muncă.</w:t>
      </w:r>
      <w:r w:rsidRPr="00B60706">
        <w:rPr>
          <w:noProof/>
        </w:rPr>
        <w:t xml:space="preserve"> Lucrătorii vor primi 2 EUR pe oră de participare efectivă la anumite activități de căutare a unui loc de muncă care au dreptul la alocație. </w:t>
      </w:r>
      <w:r w:rsidRPr="00B60706">
        <w:rPr>
          <w:b/>
          <w:noProof/>
        </w:rPr>
        <w:t>(2) Bonus pentru îmbunătățirea competențelor informatice.</w:t>
      </w:r>
      <w:r w:rsidRPr="00B60706">
        <w:rPr>
          <w:noProof/>
        </w:rPr>
        <w:t xml:space="preserve"> Lucrătorii care parcurg atât modulul privind accesul la autonomia digitală, cât și cel pentru consolidarea autonomiei digitale vor primi o sumă forfetară de 700 EUR, cu condiția să participe activ și să finalizeze cursurile. Bonusul vizează reducerea analfabetismului digital prin încurajarea lucrătorilor să își îmbunătățească competențele informatice. </w:t>
      </w:r>
      <w:r w:rsidRPr="00B60706">
        <w:rPr>
          <w:b/>
          <w:noProof/>
        </w:rPr>
        <w:t>(3) Alocație pentru reîntoarcerea la școală.</w:t>
      </w:r>
      <w:r w:rsidRPr="00B60706">
        <w:rPr>
          <w:noProof/>
        </w:rPr>
        <w:t xml:space="preserve"> Se va acorda o alocație lunară de 350 EUR lucrătorilor care urmează studii secundare sau terțiare cu frecvență completă sau cursuri de calificare legate de dobândirea competențelor necesare pentru locuri de muncă care sunt solicitate și pentru care recrutarea este dificilă sau legată de funcții critice</w:t>
      </w:r>
      <w:r w:rsidRPr="00B60706">
        <w:rPr>
          <w:rStyle w:val="FootnoteReference"/>
          <w:noProof/>
        </w:rPr>
        <w:footnoteReference w:id="35"/>
      </w:r>
      <w:r w:rsidRPr="00B60706">
        <w:rPr>
          <w:noProof/>
        </w:rPr>
        <w:t xml:space="preserve">. </w:t>
      </w:r>
      <w:r w:rsidRPr="00B60706">
        <w:rPr>
          <w:b/>
          <w:noProof/>
        </w:rPr>
        <w:t>(4) Alocație pentru înființarea de întreprinderi.</w:t>
      </w:r>
      <w:r w:rsidRPr="00B60706">
        <w:rPr>
          <w:noProof/>
        </w:rPr>
        <w:t xml:space="preserve"> Pentru a sprijini lucrătorii pe durata înființării unei întreprinderi, se va acorda o indemnizație lunară de 350 EUR pentru o perioadă maximă de 12 luni sau de până la 18 luni, în anumite condiții.</w:t>
      </w:r>
    </w:p>
    <w:p w:rsidR="001A62D7" w:rsidRPr="00B60706" w:rsidRDefault="00C11631" w:rsidP="00C11631">
      <w:pPr>
        <w:pStyle w:val="ManualNumPar1"/>
        <w:rPr>
          <w:noProof/>
        </w:rPr>
      </w:pPr>
      <w:r w:rsidRPr="00C11631">
        <w:rPr>
          <w:noProof/>
        </w:rPr>
        <w:t>31.</w:t>
      </w:r>
      <w:r w:rsidRPr="00C11631">
        <w:rPr>
          <w:noProof/>
        </w:rPr>
        <w:tab/>
      </w:r>
      <w:r w:rsidR="00362E82" w:rsidRPr="00B60706">
        <w:rPr>
          <w:noProof/>
        </w:rPr>
        <w:t xml:space="preserve">Formarea TIC și sprijinul suplimentar prevăzut în cadrul serviciilor de orientare profesională și unele dintre formările disponibile și alocațiile aferente </w:t>
      </w:r>
      <w:bookmarkStart w:id="12" w:name="_Hlk211865922"/>
      <w:r w:rsidR="00362E82" w:rsidRPr="00B60706">
        <w:rPr>
          <w:noProof/>
        </w:rPr>
        <w:t>permit diseminarea competențelor necesare în era industrială digitală și într-o economie eficientă din punctul de vedere al utilizării resurselor, astfel cum se prevede la articolul 7 alineatul (2) din Regulamentul (UE) 2021/691</w:t>
      </w:r>
      <w:bookmarkEnd w:id="12"/>
      <w:r w:rsidR="00362E82" w:rsidRPr="00B60706">
        <w:rPr>
          <w:noProof/>
        </w:rPr>
        <w:t xml:space="preserve">. </w:t>
      </w:r>
    </w:p>
    <w:p w:rsidR="001A62D7" w:rsidRPr="00B60706" w:rsidRDefault="00C11631" w:rsidP="00C11631">
      <w:pPr>
        <w:pStyle w:val="ManualNumPar1"/>
        <w:rPr>
          <w:noProof/>
        </w:rPr>
      </w:pPr>
      <w:bookmarkStart w:id="13" w:name="_Ref372214242"/>
      <w:r w:rsidRPr="00C11631">
        <w:rPr>
          <w:noProof/>
        </w:rPr>
        <w:t>32.</w:t>
      </w:r>
      <w:r w:rsidRPr="00C11631">
        <w:rPr>
          <w:noProof/>
        </w:rPr>
        <w:tab/>
      </w:r>
      <w:r w:rsidR="001A62D7" w:rsidRPr="00B60706">
        <w:rPr>
          <w:noProof/>
        </w:rPr>
        <w:t xml:space="preserve">Acțiunile propuse, descrise în prezentul document, constituie măsuri active de ocupare a forței de muncă ce se încadrează la acțiunile eligibile prevăzute la articolul 7 din Regulamentul (UE) 2021/691. Aceste acțiuni nu înlocuiesc măsurile pasive de protecție socială. </w:t>
      </w:r>
    </w:p>
    <w:p w:rsidR="001A62D7" w:rsidRPr="00B60706" w:rsidRDefault="00C11631" w:rsidP="00C11631">
      <w:pPr>
        <w:pStyle w:val="ManualNumPar1"/>
        <w:rPr>
          <w:noProof/>
        </w:rPr>
      </w:pPr>
      <w:r w:rsidRPr="00C11631">
        <w:rPr>
          <w:noProof/>
        </w:rPr>
        <w:t>33.</w:t>
      </w:r>
      <w:r w:rsidRPr="00C11631">
        <w:rPr>
          <w:noProof/>
        </w:rPr>
        <w:tab/>
      </w:r>
      <w:r w:rsidR="00A6765B" w:rsidRPr="00B60706">
        <w:rPr>
          <w:noProof/>
        </w:rPr>
        <w:t>Belgia a furnizat informațiile necesare privind măsurile de care este responsabilă întreprinderea vizată în temeiul legislației naționale sau al contractelor colective de muncă. În conformitate cu articolul 9 alineatul (1) din Regulamentul (UE) 2021/691, Belgia a confirmat că măsurile respective nu vor fi înlocuite cu o contribuție financiară din partea FEG.</w:t>
      </w:r>
      <w:bookmarkEnd w:id="13"/>
    </w:p>
    <w:p w:rsidR="001A62D7" w:rsidRPr="00B60706" w:rsidRDefault="001A62D7" w:rsidP="001A62D7">
      <w:pPr>
        <w:pStyle w:val="ManualHeading3"/>
        <w:rPr>
          <w:noProof/>
        </w:rPr>
      </w:pPr>
      <w:r w:rsidRPr="00B60706">
        <w:rPr>
          <w:noProof/>
        </w:rPr>
        <w:t>Buget estimat</w:t>
      </w:r>
    </w:p>
    <w:p w:rsidR="001A62D7" w:rsidRPr="00B60706" w:rsidRDefault="00C11631" w:rsidP="00C11631">
      <w:pPr>
        <w:pStyle w:val="ManualNumPar1"/>
        <w:rPr>
          <w:noProof/>
        </w:rPr>
      </w:pPr>
      <w:r w:rsidRPr="00C11631">
        <w:rPr>
          <w:noProof/>
        </w:rPr>
        <w:t>34.</w:t>
      </w:r>
      <w:r w:rsidRPr="00C11631">
        <w:rPr>
          <w:noProof/>
        </w:rPr>
        <w:tab/>
      </w:r>
      <w:r w:rsidR="001A62D7" w:rsidRPr="00B60706">
        <w:rPr>
          <w:noProof/>
        </w:rPr>
        <w:t>Costurile totale estimate sunt de 8 856 030 EUR, incluzând cheltuieli pentru servicii personalizate de 8 738 968 EUR și cheltuieli pentru activitățile de pregătire, gestionare, informare și publicitate, control și raportare de 117 062 EUR.</w:t>
      </w:r>
    </w:p>
    <w:p w:rsidR="001A62D7" w:rsidRPr="00B60706" w:rsidRDefault="00C11631" w:rsidP="00C11631">
      <w:pPr>
        <w:pStyle w:val="ManualNumPar1"/>
        <w:rPr>
          <w:noProof/>
        </w:rPr>
      </w:pPr>
      <w:bookmarkStart w:id="14" w:name="_Ref372550770"/>
      <w:r w:rsidRPr="00C11631">
        <w:rPr>
          <w:noProof/>
        </w:rPr>
        <w:t>35.</w:t>
      </w:r>
      <w:r w:rsidRPr="00C11631">
        <w:rPr>
          <w:noProof/>
        </w:rPr>
        <w:tab/>
      </w:r>
      <w:r w:rsidR="001A62D7" w:rsidRPr="00B60706">
        <w:rPr>
          <w:noProof/>
        </w:rPr>
        <w:t>Contribuția financiară totală solicitată din partea FEG este de 7 527 625 EUR (85 % din totalul costurilor).</w:t>
      </w:r>
      <w:bookmarkEnd w:id="14"/>
    </w:p>
    <w:p w:rsidR="001A62D7" w:rsidRPr="00B60706" w:rsidRDefault="00C11631" w:rsidP="00C11631">
      <w:pPr>
        <w:pStyle w:val="ManualNumPar1"/>
        <w:rPr>
          <w:noProof/>
        </w:rPr>
      </w:pPr>
      <w:r w:rsidRPr="00C11631">
        <w:rPr>
          <w:noProof/>
        </w:rPr>
        <w:t>36.</w:t>
      </w:r>
      <w:r w:rsidRPr="00C11631">
        <w:rPr>
          <w:noProof/>
        </w:rPr>
        <w:tab/>
      </w:r>
      <w:r w:rsidR="001A62D7" w:rsidRPr="00B60706">
        <w:rPr>
          <w:noProof/>
        </w:rPr>
        <w:t>În conformitate cu articolul 8 alineatul (7) litera (m) din Regulamentul (UE) 2021/691, Belgia a precizat că prefinanțarea și cofinanțarea națională sunt asigurate de Actiris, Le Forem, și Vlaamse Dienst voor Arbeidsbemiddeling en Beroepsopleiding.</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B60706" w:rsidTr="001D5990">
        <w:tc>
          <w:tcPr>
            <w:tcW w:w="4644" w:type="dxa"/>
            <w:shd w:val="clear" w:color="auto" w:fill="auto"/>
            <w:vAlign w:val="center"/>
          </w:tcPr>
          <w:p w:rsidR="001A62D7" w:rsidRPr="00B60706" w:rsidRDefault="001A62D7" w:rsidP="00B60706">
            <w:pPr>
              <w:keepNext/>
              <w:keepLines/>
              <w:spacing w:before="60" w:after="60"/>
              <w:jc w:val="center"/>
              <w:rPr>
                <w:rFonts w:eastAsia="Times New Roman"/>
                <w:noProof/>
                <w:sz w:val="22"/>
              </w:rPr>
            </w:pPr>
            <w:bookmarkStart w:id="15" w:name="_Hlk213835031"/>
            <w:r w:rsidRPr="00B60706">
              <w:rPr>
                <w:noProof/>
                <w:sz w:val="22"/>
              </w:rPr>
              <w:t>Măsuri</w:t>
            </w:r>
          </w:p>
        </w:tc>
        <w:tc>
          <w:tcPr>
            <w:tcW w:w="1548" w:type="dxa"/>
            <w:shd w:val="clear" w:color="auto" w:fill="auto"/>
            <w:vAlign w:val="center"/>
          </w:tcPr>
          <w:p w:rsidR="001A62D7" w:rsidRPr="00B60706" w:rsidRDefault="001A62D7" w:rsidP="00B60706">
            <w:pPr>
              <w:keepNext/>
              <w:keepLines/>
              <w:spacing w:before="60" w:after="60"/>
              <w:jc w:val="center"/>
              <w:rPr>
                <w:rFonts w:eastAsia="Times New Roman"/>
                <w:noProof/>
                <w:sz w:val="22"/>
              </w:rPr>
            </w:pPr>
            <w:r w:rsidRPr="00B60706">
              <w:rPr>
                <w:noProof/>
                <w:sz w:val="22"/>
              </w:rPr>
              <w:t>Numărul estimat de participanți</w:t>
            </w:r>
          </w:p>
        </w:tc>
        <w:tc>
          <w:tcPr>
            <w:tcW w:w="1548" w:type="dxa"/>
            <w:shd w:val="clear" w:color="auto" w:fill="auto"/>
            <w:vAlign w:val="center"/>
          </w:tcPr>
          <w:p w:rsidR="001A62D7" w:rsidRPr="00B60706" w:rsidRDefault="001A62D7" w:rsidP="00B60706">
            <w:pPr>
              <w:keepNext/>
              <w:keepLines/>
              <w:spacing w:before="60" w:after="60"/>
              <w:jc w:val="center"/>
              <w:rPr>
                <w:rFonts w:eastAsia="Times New Roman"/>
                <w:noProof/>
                <w:sz w:val="22"/>
              </w:rPr>
            </w:pPr>
            <w:r w:rsidRPr="00B60706">
              <w:rPr>
                <w:noProof/>
                <w:sz w:val="22"/>
              </w:rPr>
              <w:t>Costul estimat per participant</w:t>
            </w:r>
            <w:r w:rsidRPr="00B60706">
              <w:rPr>
                <w:noProof/>
              </w:rPr>
              <w:t xml:space="preserve"> </w:t>
            </w:r>
            <w:r w:rsidRPr="00B60706">
              <w:rPr>
                <w:noProof/>
              </w:rPr>
              <w:br/>
            </w:r>
            <w:r w:rsidRPr="00B60706">
              <w:rPr>
                <w:i/>
                <w:noProof/>
                <w:sz w:val="22"/>
              </w:rPr>
              <w:t>(EUR)</w:t>
            </w:r>
            <w:r w:rsidRPr="00B60706">
              <w:rPr>
                <w:rStyle w:val="FootnoteReference"/>
                <w:rFonts w:eastAsia="Times New Roman"/>
                <w:i/>
                <w:noProof/>
                <w:sz w:val="22"/>
              </w:rPr>
              <w:footnoteReference w:id="36"/>
            </w:r>
          </w:p>
        </w:tc>
        <w:tc>
          <w:tcPr>
            <w:tcW w:w="1548" w:type="dxa"/>
            <w:shd w:val="clear" w:color="auto" w:fill="auto"/>
            <w:vAlign w:val="center"/>
          </w:tcPr>
          <w:p w:rsidR="001A62D7" w:rsidRPr="00B60706" w:rsidRDefault="001A62D7" w:rsidP="001D5990">
            <w:pPr>
              <w:spacing w:before="60" w:after="60"/>
              <w:jc w:val="center"/>
              <w:rPr>
                <w:rFonts w:eastAsia="Times New Roman"/>
                <w:noProof/>
                <w:sz w:val="22"/>
              </w:rPr>
            </w:pPr>
            <w:r w:rsidRPr="00B60706">
              <w:rPr>
                <w:noProof/>
                <w:sz w:val="22"/>
              </w:rPr>
              <w:t>Costuri totale estimate</w:t>
            </w:r>
          </w:p>
          <w:p w:rsidR="001A62D7" w:rsidRPr="00B60706" w:rsidRDefault="001A62D7" w:rsidP="001D5990">
            <w:pPr>
              <w:spacing w:before="60" w:after="60"/>
              <w:jc w:val="center"/>
              <w:rPr>
                <w:rFonts w:eastAsia="Times New Roman"/>
                <w:noProof/>
                <w:sz w:val="22"/>
              </w:rPr>
            </w:pPr>
            <w:r w:rsidRPr="00B60706">
              <w:rPr>
                <w:i/>
                <w:noProof/>
                <w:sz w:val="22"/>
              </w:rPr>
              <w:t>(EUR)</w:t>
            </w:r>
            <w:r w:rsidRPr="00B60706">
              <w:rPr>
                <w:rStyle w:val="FootnoteReference"/>
                <w:rFonts w:eastAsia="Times New Roman"/>
                <w:i/>
                <w:noProof/>
                <w:sz w:val="22"/>
              </w:rPr>
              <w:footnoteReference w:id="37"/>
            </w:r>
            <w:r w:rsidRPr="00B60706">
              <w:rPr>
                <w:i/>
                <w:noProof/>
                <w:sz w:val="22"/>
              </w:rPr>
              <w:t xml:space="preserve"> </w:t>
            </w:r>
          </w:p>
        </w:tc>
      </w:tr>
      <w:tr w:rsidR="001A62D7" w:rsidRPr="00B60706" w:rsidTr="001D5990">
        <w:tc>
          <w:tcPr>
            <w:tcW w:w="9288" w:type="dxa"/>
            <w:gridSpan w:val="4"/>
            <w:shd w:val="clear" w:color="auto" w:fill="auto"/>
          </w:tcPr>
          <w:p w:rsidR="001A62D7" w:rsidRPr="00B60706" w:rsidRDefault="001A62D7" w:rsidP="00B60706">
            <w:pPr>
              <w:keepNext/>
              <w:keepLines/>
              <w:spacing w:before="60" w:after="60"/>
              <w:jc w:val="left"/>
              <w:rPr>
                <w:rFonts w:eastAsia="Times New Roman"/>
                <w:noProof/>
                <w:sz w:val="22"/>
              </w:rPr>
            </w:pPr>
            <w:r w:rsidRPr="00B60706">
              <w:rPr>
                <w:noProof/>
                <w:sz w:val="22"/>
              </w:rPr>
              <w:t xml:space="preserve">Servicii personalizate [măsuri în temeiul articolului 7 alineatul (2) </w:t>
            </w:r>
            <w:r w:rsidRPr="00B60706">
              <w:rPr>
                <w:noProof/>
              </w:rPr>
              <w:t xml:space="preserve">al doilea paragraf </w:t>
            </w:r>
            <w:r w:rsidRPr="00B60706">
              <w:rPr>
                <w:noProof/>
                <w:sz w:val="22"/>
              </w:rPr>
              <w:t>litera (a) din Regulamentul (UE) 2021/691]</w:t>
            </w:r>
          </w:p>
        </w:tc>
      </w:tr>
      <w:tr w:rsidR="001A62D7" w:rsidRPr="00B60706"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60706" w:rsidRDefault="00A6765B" w:rsidP="00B60706">
            <w:pPr>
              <w:keepNext/>
              <w:keepLines/>
              <w:spacing w:before="60" w:after="60"/>
              <w:jc w:val="left"/>
              <w:rPr>
                <w:noProof/>
              </w:rPr>
            </w:pPr>
            <w:r w:rsidRPr="00B60706">
              <w:rPr>
                <w:noProof/>
              </w:rPr>
              <w:t xml:space="preserve">Servicii de informare, consiliere și orientare profesională și servicii de plasare </w:t>
            </w:r>
            <w:r w:rsidRPr="00B60706">
              <w:rPr>
                <w:noProof/>
              </w:rPr>
              <w:br/>
            </w:r>
            <w:r w:rsidRPr="00B60706">
              <w:rPr>
                <w:i/>
                <w:noProof/>
              </w:rPr>
              <w:t>(asistență, orientare și mobilizare/legătură/grup operativ, îndrumare și plasare)</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60706" w:rsidRDefault="00857E8C" w:rsidP="00B60706">
            <w:pPr>
              <w:keepNext/>
              <w:keepLines/>
              <w:spacing w:before="60" w:after="60"/>
              <w:jc w:val="center"/>
              <w:rPr>
                <w:noProof/>
              </w:rPr>
            </w:pPr>
            <w:r w:rsidRPr="00B60706">
              <w:rPr>
                <w:noProof/>
              </w:rPr>
              <w:t>2 851</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60706" w:rsidRDefault="00857E8C" w:rsidP="00B60706">
            <w:pPr>
              <w:keepNext/>
              <w:keepLines/>
              <w:spacing w:before="60" w:after="60"/>
              <w:jc w:val="center"/>
              <w:rPr>
                <w:noProof/>
              </w:rPr>
            </w:pPr>
            <w:r w:rsidRPr="00B60706">
              <w:rPr>
                <w:noProof/>
              </w:rPr>
              <w:t>1 789</w:t>
            </w:r>
          </w:p>
        </w:tc>
        <w:tc>
          <w:tcPr>
            <w:tcW w:w="1548" w:type="dxa"/>
            <w:tcBorders>
              <w:top w:val="single" w:sz="4" w:space="0" w:color="auto"/>
              <w:left w:val="single" w:sz="4" w:space="0" w:color="auto"/>
              <w:bottom w:val="single" w:sz="4" w:space="0" w:color="auto"/>
              <w:right w:val="nil"/>
            </w:tcBorders>
            <w:vAlign w:val="center"/>
            <w:hideMark/>
          </w:tcPr>
          <w:p w:rsidR="001A62D7" w:rsidRPr="00B60706" w:rsidRDefault="00857E8C" w:rsidP="001D5990">
            <w:pPr>
              <w:spacing w:before="60" w:after="60"/>
              <w:jc w:val="center"/>
              <w:rPr>
                <w:noProof/>
              </w:rPr>
            </w:pPr>
            <w:r w:rsidRPr="00B60706">
              <w:rPr>
                <w:noProof/>
              </w:rPr>
              <w:t>5 099 122</w:t>
            </w:r>
          </w:p>
        </w:tc>
      </w:tr>
      <w:tr w:rsidR="001A62D7" w:rsidRPr="00B60706"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60706" w:rsidRDefault="00684CAB" w:rsidP="001D5990">
            <w:pPr>
              <w:spacing w:before="60" w:after="60"/>
              <w:jc w:val="left"/>
              <w:rPr>
                <w:noProof/>
              </w:rPr>
            </w:pPr>
            <w:r w:rsidRPr="00B60706">
              <w:rPr>
                <w:noProof/>
              </w:rPr>
              <w:t>Formare și recalificare</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60706" w:rsidRDefault="00857E8C" w:rsidP="001D5990">
            <w:pPr>
              <w:spacing w:before="60" w:after="60"/>
              <w:jc w:val="center"/>
              <w:rPr>
                <w:noProof/>
              </w:rPr>
            </w:pPr>
            <w:r w:rsidRPr="00B60706">
              <w:rPr>
                <w:noProof/>
              </w:rPr>
              <w:t>900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60706" w:rsidRDefault="00857E8C" w:rsidP="001D5990">
            <w:pPr>
              <w:spacing w:before="60" w:after="60"/>
              <w:jc w:val="center"/>
              <w:rPr>
                <w:noProof/>
              </w:rPr>
            </w:pPr>
            <w:r w:rsidRPr="00B60706">
              <w:rPr>
                <w:noProof/>
              </w:rPr>
              <w:t>2 417</w:t>
            </w:r>
          </w:p>
        </w:tc>
        <w:tc>
          <w:tcPr>
            <w:tcW w:w="1548" w:type="dxa"/>
            <w:tcBorders>
              <w:top w:val="single" w:sz="4" w:space="0" w:color="auto"/>
              <w:left w:val="single" w:sz="4" w:space="0" w:color="auto"/>
              <w:bottom w:val="single" w:sz="4" w:space="0" w:color="auto"/>
              <w:right w:val="nil"/>
            </w:tcBorders>
            <w:vAlign w:val="center"/>
            <w:hideMark/>
          </w:tcPr>
          <w:p w:rsidR="001A62D7" w:rsidRPr="00B60706" w:rsidRDefault="00857E8C" w:rsidP="001D5990">
            <w:pPr>
              <w:spacing w:before="60" w:after="60"/>
              <w:jc w:val="center"/>
              <w:rPr>
                <w:noProof/>
              </w:rPr>
            </w:pPr>
            <w:r w:rsidRPr="00B60706">
              <w:rPr>
                <w:noProof/>
              </w:rPr>
              <w:t>2 175 495</w:t>
            </w:r>
          </w:p>
        </w:tc>
      </w:tr>
      <w:tr w:rsidR="001A62D7" w:rsidRPr="00B60706"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60706" w:rsidRDefault="00857E8C" w:rsidP="001D5990">
            <w:pPr>
              <w:spacing w:before="60" w:after="60"/>
              <w:jc w:val="left"/>
              <w:rPr>
                <w:noProof/>
              </w:rPr>
            </w:pPr>
            <w:r w:rsidRPr="00B60706">
              <w:rPr>
                <w:noProof/>
              </w:rPr>
              <w:t xml:space="preserve">Ziua locurilor de muncă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60706" w:rsidRDefault="00857E8C" w:rsidP="001D5990">
            <w:pPr>
              <w:spacing w:before="60" w:after="60"/>
              <w:jc w:val="center"/>
              <w:rPr>
                <w:noProof/>
              </w:rPr>
            </w:pPr>
            <w:r w:rsidRPr="00B60706">
              <w:rPr>
                <w:noProof/>
              </w:rPr>
              <w:t>1 181</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60706" w:rsidRDefault="00857E8C" w:rsidP="001D5990">
            <w:pPr>
              <w:spacing w:before="60" w:after="60"/>
              <w:jc w:val="center"/>
              <w:rPr>
                <w:noProof/>
              </w:rPr>
            </w:pPr>
            <w:r w:rsidRPr="00B60706">
              <w:rPr>
                <w:noProof/>
              </w:rPr>
              <w:t>83</w:t>
            </w:r>
          </w:p>
        </w:tc>
        <w:tc>
          <w:tcPr>
            <w:tcW w:w="1548" w:type="dxa"/>
            <w:tcBorders>
              <w:top w:val="single" w:sz="4" w:space="0" w:color="auto"/>
              <w:left w:val="single" w:sz="4" w:space="0" w:color="auto"/>
              <w:bottom w:val="single" w:sz="4" w:space="0" w:color="auto"/>
              <w:right w:val="nil"/>
            </w:tcBorders>
            <w:vAlign w:val="center"/>
            <w:hideMark/>
          </w:tcPr>
          <w:p w:rsidR="001A62D7" w:rsidRPr="00B60706" w:rsidRDefault="00857E8C" w:rsidP="001D5990">
            <w:pPr>
              <w:spacing w:before="60" w:after="60"/>
              <w:jc w:val="center"/>
              <w:rPr>
                <w:noProof/>
              </w:rPr>
            </w:pPr>
            <w:r w:rsidRPr="00B60706">
              <w:rPr>
                <w:noProof/>
              </w:rPr>
              <w:t>97 881</w:t>
            </w:r>
          </w:p>
        </w:tc>
      </w:tr>
      <w:tr w:rsidR="001A62D7" w:rsidRPr="00B60706"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60706" w:rsidRDefault="00857E8C" w:rsidP="001D5990">
            <w:pPr>
              <w:spacing w:before="60" w:after="60"/>
              <w:jc w:val="left"/>
              <w:rPr>
                <w:noProof/>
              </w:rPr>
            </w:pPr>
            <w:r w:rsidRPr="00B60706">
              <w:rPr>
                <w:noProof/>
              </w:rPr>
              <w:t>Promovarea antreprenoriatului</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60706" w:rsidRDefault="00EF7B8C" w:rsidP="001D5990">
            <w:pPr>
              <w:spacing w:before="60" w:after="60"/>
              <w:jc w:val="center"/>
              <w:rPr>
                <w:noProof/>
              </w:rPr>
            </w:pPr>
            <w:r w:rsidRPr="00B60706">
              <w:rPr>
                <w:noProof/>
              </w:rPr>
              <w:t>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60706" w:rsidRDefault="00EF7B8C" w:rsidP="001D5990">
            <w:pPr>
              <w:spacing w:before="60" w:after="60"/>
              <w:jc w:val="center"/>
              <w:rPr>
                <w:noProof/>
              </w:rPr>
            </w:pPr>
            <w:r w:rsidRPr="00B60706">
              <w:rPr>
                <w:noProof/>
              </w:rPr>
              <w:t>2 557</w:t>
            </w:r>
          </w:p>
        </w:tc>
        <w:tc>
          <w:tcPr>
            <w:tcW w:w="1548" w:type="dxa"/>
            <w:tcBorders>
              <w:top w:val="single" w:sz="4" w:space="0" w:color="auto"/>
              <w:left w:val="single" w:sz="4" w:space="0" w:color="auto"/>
              <w:bottom w:val="single" w:sz="4" w:space="0" w:color="auto"/>
              <w:right w:val="nil"/>
            </w:tcBorders>
            <w:vAlign w:val="center"/>
            <w:hideMark/>
          </w:tcPr>
          <w:p w:rsidR="001A62D7" w:rsidRPr="00B60706" w:rsidRDefault="00EF7B8C" w:rsidP="001D5990">
            <w:pPr>
              <w:spacing w:before="60" w:after="60"/>
              <w:jc w:val="center"/>
              <w:rPr>
                <w:noProof/>
              </w:rPr>
            </w:pPr>
            <w:r w:rsidRPr="00B60706">
              <w:rPr>
                <w:noProof/>
              </w:rPr>
              <w:t>127 840</w:t>
            </w:r>
          </w:p>
        </w:tc>
      </w:tr>
      <w:tr w:rsidR="001A62D7" w:rsidRPr="00B60706"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60706" w:rsidRDefault="00857E8C" w:rsidP="001D5990">
            <w:pPr>
              <w:spacing w:before="60" w:after="60"/>
              <w:jc w:val="left"/>
              <w:rPr>
                <w:noProof/>
              </w:rPr>
            </w:pPr>
            <w:r w:rsidRPr="00B60706">
              <w:rPr>
                <w:noProof/>
              </w:rPr>
              <w:t xml:space="preserve">Contribuție la înființarea unei întreprinderi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60706" w:rsidRDefault="00857E8C" w:rsidP="001D5990">
            <w:pPr>
              <w:spacing w:before="60" w:after="60"/>
              <w:jc w:val="center"/>
              <w:rPr>
                <w:noProof/>
              </w:rPr>
            </w:pPr>
            <w:r w:rsidRPr="00B60706">
              <w:rPr>
                <w:noProof/>
              </w:rPr>
              <w:t>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60706" w:rsidRDefault="00857E8C" w:rsidP="001D5990">
            <w:pPr>
              <w:spacing w:before="60" w:after="60"/>
              <w:jc w:val="center"/>
              <w:rPr>
                <w:noProof/>
              </w:rPr>
            </w:pPr>
            <w:r w:rsidRPr="00B60706">
              <w:rPr>
                <w:noProof/>
              </w:rPr>
              <w:t>10 000</w:t>
            </w:r>
          </w:p>
        </w:tc>
        <w:tc>
          <w:tcPr>
            <w:tcW w:w="1548" w:type="dxa"/>
            <w:tcBorders>
              <w:top w:val="single" w:sz="4" w:space="0" w:color="auto"/>
              <w:left w:val="single" w:sz="4" w:space="0" w:color="auto"/>
              <w:bottom w:val="single" w:sz="4" w:space="0" w:color="auto"/>
              <w:right w:val="nil"/>
            </w:tcBorders>
            <w:vAlign w:val="center"/>
            <w:hideMark/>
          </w:tcPr>
          <w:p w:rsidR="001A62D7" w:rsidRPr="00B60706" w:rsidRDefault="00857E8C" w:rsidP="001D5990">
            <w:pPr>
              <w:spacing w:before="60" w:after="60"/>
              <w:jc w:val="center"/>
              <w:rPr>
                <w:noProof/>
              </w:rPr>
            </w:pPr>
            <w:r w:rsidRPr="00B60706">
              <w:rPr>
                <w:noProof/>
              </w:rPr>
              <w:t>500 000</w:t>
            </w:r>
          </w:p>
        </w:tc>
      </w:tr>
      <w:tr w:rsidR="001A62D7" w:rsidRPr="00B60706" w:rsidTr="001D5990">
        <w:trPr>
          <w:trHeight w:val="398"/>
        </w:trPr>
        <w:tc>
          <w:tcPr>
            <w:tcW w:w="4644" w:type="dxa"/>
            <w:vMerge w:val="restart"/>
            <w:shd w:val="clear" w:color="auto" w:fill="auto"/>
            <w:vAlign w:val="center"/>
          </w:tcPr>
          <w:p w:rsidR="001A62D7" w:rsidRPr="00B60706" w:rsidRDefault="001A62D7" w:rsidP="001D5990">
            <w:pPr>
              <w:spacing w:before="60" w:after="60"/>
              <w:jc w:val="right"/>
              <w:rPr>
                <w:rFonts w:eastAsia="Times New Roman"/>
                <w:noProof/>
                <w:sz w:val="22"/>
              </w:rPr>
            </w:pPr>
            <w:r w:rsidRPr="00B60706">
              <w:rPr>
                <w:noProof/>
                <w:sz w:val="22"/>
              </w:rPr>
              <w:t>Subtotal (a):</w:t>
            </w:r>
          </w:p>
          <w:p w:rsidR="001A62D7" w:rsidRPr="00B60706" w:rsidRDefault="001A62D7" w:rsidP="001D5990">
            <w:pPr>
              <w:spacing w:before="60" w:after="60"/>
              <w:jc w:val="right"/>
              <w:rPr>
                <w:rFonts w:eastAsia="Times New Roman"/>
                <w:noProof/>
                <w:sz w:val="22"/>
              </w:rPr>
            </w:pPr>
            <w:r w:rsidRPr="00B60706">
              <w:rPr>
                <w:noProof/>
                <w:sz w:val="22"/>
              </w:rPr>
              <w:t>Procentaj din pachetul de servicii personalizate:</w:t>
            </w:r>
          </w:p>
        </w:tc>
        <w:tc>
          <w:tcPr>
            <w:tcW w:w="3096" w:type="dxa"/>
            <w:gridSpan w:val="2"/>
            <w:vMerge w:val="restart"/>
            <w:shd w:val="clear" w:color="auto" w:fill="D9D9D9"/>
            <w:vAlign w:val="center"/>
          </w:tcPr>
          <w:p w:rsidR="001A62D7" w:rsidRPr="00B60706" w:rsidRDefault="001A62D7" w:rsidP="001D5990">
            <w:pPr>
              <w:spacing w:before="60" w:after="60"/>
              <w:jc w:val="center"/>
              <w:rPr>
                <w:rFonts w:eastAsia="Times New Roman"/>
                <w:noProof/>
                <w:sz w:val="22"/>
              </w:rPr>
            </w:pPr>
            <w:r w:rsidRPr="00B60706">
              <w:rPr>
                <w:noProof/>
                <w:sz w:val="22"/>
              </w:rPr>
              <w:t>–</w:t>
            </w:r>
          </w:p>
        </w:tc>
        <w:tc>
          <w:tcPr>
            <w:tcW w:w="1548" w:type="dxa"/>
            <w:tcBorders>
              <w:bottom w:val="nil"/>
            </w:tcBorders>
            <w:shd w:val="clear" w:color="auto" w:fill="auto"/>
            <w:vAlign w:val="center"/>
          </w:tcPr>
          <w:p w:rsidR="001A62D7" w:rsidRPr="00B60706" w:rsidRDefault="00754A08" w:rsidP="001D5990">
            <w:pPr>
              <w:spacing w:before="60" w:after="60"/>
              <w:jc w:val="center"/>
              <w:rPr>
                <w:rFonts w:eastAsia="Times New Roman"/>
                <w:noProof/>
                <w:sz w:val="22"/>
              </w:rPr>
            </w:pPr>
            <w:r w:rsidRPr="00B60706">
              <w:rPr>
                <w:noProof/>
              </w:rPr>
              <w:t>8 000 338</w:t>
            </w:r>
          </w:p>
        </w:tc>
      </w:tr>
      <w:tr w:rsidR="001A62D7" w:rsidRPr="00B60706" w:rsidTr="001D5990">
        <w:trPr>
          <w:trHeight w:val="397"/>
        </w:trPr>
        <w:tc>
          <w:tcPr>
            <w:tcW w:w="4644" w:type="dxa"/>
            <w:vMerge/>
            <w:shd w:val="clear" w:color="auto" w:fill="auto"/>
            <w:vAlign w:val="center"/>
          </w:tcPr>
          <w:p w:rsidR="001A62D7" w:rsidRPr="00B60706"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B60706"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B60706" w:rsidRDefault="001A62D7" w:rsidP="001D5990">
            <w:pPr>
              <w:spacing w:before="60" w:after="60"/>
              <w:jc w:val="center"/>
              <w:rPr>
                <w:rFonts w:eastAsia="Times New Roman"/>
                <w:noProof/>
                <w:sz w:val="22"/>
              </w:rPr>
            </w:pPr>
            <w:r w:rsidRPr="00B60706">
              <w:rPr>
                <w:noProof/>
                <w:sz w:val="22"/>
              </w:rPr>
              <w:t>(</w:t>
            </w:r>
            <w:r w:rsidRPr="00B60706">
              <w:rPr>
                <w:noProof/>
              </w:rPr>
              <w:t xml:space="preserve">91,55 </w:t>
            </w:r>
            <w:r w:rsidRPr="00B60706">
              <w:rPr>
                <w:noProof/>
                <w:sz w:val="22"/>
              </w:rPr>
              <w:t>%)</w:t>
            </w:r>
          </w:p>
        </w:tc>
      </w:tr>
      <w:tr w:rsidR="001A62D7" w:rsidRPr="00B60706" w:rsidTr="001D5990">
        <w:tc>
          <w:tcPr>
            <w:tcW w:w="9288" w:type="dxa"/>
            <w:gridSpan w:val="4"/>
            <w:shd w:val="clear" w:color="auto" w:fill="auto"/>
            <w:vAlign w:val="center"/>
          </w:tcPr>
          <w:p w:rsidR="001A62D7" w:rsidRPr="00B60706" w:rsidRDefault="001A62D7" w:rsidP="001D5990">
            <w:pPr>
              <w:spacing w:before="60" w:after="60"/>
              <w:jc w:val="left"/>
              <w:rPr>
                <w:noProof/>
                <w:sz w:val="22"/>
              </w:rPr>
            </w:pPr>
            <w:r w:rsidRPr="00B60706">
              <w:rPr>
                <w:noProof/>
              </w:rPr>
              <w:t>Alocații și stimulente [măsuri în temeiul articolului 7 alineatul (2) al doilea paragraf litera (b) din Regulamentul (UE) 2021/691]</w:t>
            </w:r>
          </w:p>
        </w:tc>
      </w:tr>
      <w:tr w:rsidR="001A62D7" w:rsidRPr="00B60706"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60706" w:rsidRDefault="0063350A" w:rsidP="001D5990">
            <w:pPr>
              <w:spacing w:before="60" w:after="60"/>
              <w:jc w:val="left"/>
              <w:rPr>
                <w:noProof/>
              </w:rPr>
            </w:pPr>
            <w:r w:rsidRPr="00B60706">
              <w:rPr>
                <w:noProof/>
              </w:rPr>
              <w:t xml:space="preserve">Stimulente și alocații </w:t>
            </w:r>
            <w:r w:rsidRPr="00B60706">
              <w:rPr>
                <w:noProof/>
              </w:rPr>
              <w:br/>
            </w:r>
            <w:r w:rsidRPr="00B60706">
              <w:rPr>
                <w:i/>
                <w:noProof/>
              </w:rPr>
              <w:t>(alocație pentru căutarea unui loc de muncă, bonus pentru îmbunătățirea competențelor informatice, alocație pentru înființarea de întreprinderi și alocație pentru reîntoarcerea la școală)</w:t>
            </w:r>
            <w:r w:rsidRPr="00B60706">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60706" w:rsidRDefault="00857E8C" w:rsidP="001D5990">
            <w:pPr>
              <w:spacing w:before="60" w:after="60"/>
              <w:jc w:val="center"/>
              <w:rPr>
                <w:noProof/>
              </w:rPr>
            </w:pPr>
            <w:r w:rsidRPr="00B60706">
              <w:rPr>
                <w:noProof/>
              </w:rPr>
              <w:t>1 367</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60706" w:rsidRDefault="00B72603" w:rsidP="001D5990">
            <w:pPr>
              <w:spacing w:before="60" w:after="60"/>
              <w:jc w:val="center"/>
              <w:rPr>
                <w:noProof/>
              </w:rPr>
            </w:pPr>
            <w:r w:rsidRPr="00B60706">
              <w:rPr>
                <w:noProof/>
              </w:rPr>
              <w:t>540</w:t>
            </w:r>
          </w:p>
        </w:tc>
        <w:tc>
          <w:tcPr>
            <w:tcW w:w="1548" w:type="dxa"/>
            <w:tcBorders>
              <w:top w:val="single" w:sz="4" w:space="0" w:color="auto"/>
              <w:left w:val="single" w:sz="4" w:space="0" w:color="auto"/>
              <w:bottom w:val="single" w:sz="4" w:space="0" w:color="auto"/>
              <w:right w:val="nil"/>
            </w:tcBorders>
            <w:vAlign w:val="center"/>
            <w:hideMark/>
          </w:tcPr>
          <w:p w:rsidR="001A62D7" w:rsidRPr="00B60706" w:rsidRDefault="00B72603" w:rsidP="001D5990">
            <w:pPr>
              <w:spacing w:before="60" w:after="60"/>
              <w:jc w:val="center"/>
              <w:rPr>
                <w:noProof/>
              </w:rPr>
            </w:pPr>
            <w:r w:rsidRPr="00B60706">
              <w:rPr>
                <w:noProof/>
              </w:rPr>
              <w:t>738 630</w:t>
            </w:r>
          </w:p>
        </w:tc>
      </w:tr>
      <w:tr w:rsidR="001A62D7" w:rsidRPr="00B60706" w:rsidTr="001D5990">
        <w:trPr>
          <w:trHeight w:val="203"/>
        </w:trPr>
        <w:tc>
          <w:tcPr>
            <w:tcW w:w="4644" w:type="dxa"/>
            <w:vMerge w:val="restart"/>
            <w:shd w:val="clear" w:color="auto" w:fill="auto"/>
            <w:vAlign w:val="center"/>
          </w:tcPr>
          <w:p w:rsidR="001A62D7" w:rsidRPr="00B60706" w:rsidRDefault="001A62D7" w:rsidP="001D5990">
            <w:pPr>
              <w:spacing w:before="60" w:after="60"/>
              <w:jc w:val="right"/>
              <w:rPr>
                <w:rFonts w:eastAsia="Times New Roman"/>
                <w:noProof/>
                <w:sz w:val="22"/>
              </w:rPr>
            </w:pPr>
            <w:r w:rsidRPr="00B60706">
              <w:rPr>
                <w:noProof/>
                <w:sz w:val="22"/>
              </w:rPr>
              <w:t>Subtotal (b):</w:t>
            </w:r>
          </w:p>
          <w:p w:rsidR="001A62D7" w:rsidRPr="00B60706" w:rsidRDefault="001A62D7" w:rsidP="001D5990">
            <w:pPr>
              <w:spacing w:before="60" w:after="60"/>
              <w:jc w:val="right"/>
              <w:rPr>
                <w:rFonts w:eastAsia="Times New Roman"/>
                <w:noProof/>
                <w:sz w:val="22"/>
              </w:rPr>
            </w:pPr>
            <w:r w:rsidRPr="00B60706">
              <w:rPr>
                <w:noProof/>
                <w:sz w:val="22"/>
              </w:rPr>
              <w:t>Procentaj din pachetul de servicii personalizate:</w:t>
            </w:r>
          </w:p>
        </w:tc>
        <w:tc>
          <w:tcPr>
            <w:tcW w:w="3096" w:type="dxa"/>
            <w:gridSpan w:val="2"/>
            <w:vMerge w:val="restart"/>
            <w:shd w:val="clear" w:color="auto" w:fill="D9D9D9"/>
            <w:vAlign w:val="center"/>
          </w:tcPr>
          <w:p w:rsidR="001A62D7" w:rsidRPr="00B60706" w:rsidRDefault="001A62D7" w:rsidP="001D5990">
            <w:pPr>
              <w:spacing w:before="60" w:after="60"/>
              <w:jc w:val="center"/>
              <w:rPr>
                <w:rFonts w:eastAsia="Times New Roman"/>
                <w:noProof/>
                <w:sz w:val="22"/>
              </w:rPr>
            </w:pPr>
            <w:r w:rsidRPr="00B60706">
              <w:rPr>
                <w:noProof/>
                <w:sz w:val="22"/>
              </w:rPr>
              <w:t>–</w:t>
            </w:r>
          </w:p>
        </w:tc>
        <w:tc>
          <w:tcPr>
            <w:tcW w:w="1548" w:type="dxa"/>
            <w:tcBorders>
              <w:bottom w:val="nil"/>
            </w:tcBorders>
            <w:shd w:val="clear" w:color="auto" w:fill="auto"/>
            <w:vAlign w:val="center"/>
          </w:tcPr>
          <w:p w:rsidR="001A62D7" w:rsidRPr="00B60706" w:rsidRDefault="00B72603" w:rsidP="001D5990">
            <w:pPr>
              <w:spacing w:before="60" w:after="60"/>
              <w:jc w:val="center"/>
              <w:rPr>
                <w:rFonts w:eastAsia="Times New Roman"/>
                <w:noProof/>
                <w:sz w:val="22"/>
              </w:rPr>
            </w:pPr>
            <w:r w:rsidRPr="00B60706">
              <w:rPr>
                <w:noProof/>
              </w:rPr>
              <w:t>738 630</w:t>
            </w:r>
          </w:p>
        </w:tc>
      </w:tr>
      <w:tr w:rsidR="001A62D7" w:rsidRPr="00B60706" w:rsidTr="001D5990">
        <w:trPr>
          <w:trHeight w:val="202"/>
        </w:trPr>
        <w:tc>
          <w:tcPr>
            <w:tcW w:w="4644" w:type="dxa"/>
            <w:vMerge/>
            <w:shd w:val="clear" w:color="auto" w:fill="auto"/>
            <w:vAlign w:val="center"/>
          </w:tcPr>
          <w:p w:rsidR="001A62D7" w:rsidRPr="00B60706"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B60706"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B60706" w:rsidRDefault="001A62D7" w:rsidP="001D5990">
            <w:pPr>
              <w:spacing w:before="60" w:after="60"/>
              <w:jc w:val="center"/>
              <w:rPr>
                <w:rFonts w:eastAsia="Times New Roman"/>
                <w:noProof/>
                <w:sz w:val="22"/>
              </w:rPr>
            </w:pPr>
            <w:r w:rsidRPr="00B60706">
              <w:rPr>
                <w:noProof/>
                <w:sz w:val="22"/>
              </w:rPr>
              <w:t>(</w:t>
            </w:r>
            <w:r w:rsidRPr="00B60706">
              <w:rPr>
                <w:noProof/>
              </w:rPr>
              <w:t xml:space="preserve">8,45 </w:t>
            </w:r>
            <w:r w:rsidRPr="00B60706">
              <w:rPr>
                <w:noProof/>
                <w:sz w:val="22"/>
              </w:rPr>
              <w:t>%)</w:t>
            </w:r>
          </w:p>
        </w:tc>
      </w:tr>
      <w:tr w:rsidR="001A62D7" w:rsidRPr="00B60706" w:rsidTr="001D5990">
        <w:tc>
          <w:tcPr>
            <w:tcW w:w="9288" w:type="dxa"/>
            <w:gridSpan w:val="4"/>
            <w:shd w:val="clear" w:color="auto" w:fill="auto"/>
            <w:vAlign w:val="center"/>
          </w:tcPr>
          <w:p w:rsidR="001A62D7" w:rsidRPr="00B60706" w:rsidRDefault="001A62D7" w:rsidP="001D5990">
            <w:pPr>
              <w:spacing w:before="60" w:after="60"/>
              <w:jc w:val="left"/>
              <w:rPr>
                <w:rFonts w:eastAsia="Times New Roman"/>
                <w:noProof/>
                <w:sz w:val="22"/>
              </w:rPr>
            </w:pPr>
            <w:r w:rsidRPr="00B60706">
              <w:rPr>
                <w:noProof/>
                <w:sz w:val="22"/>
              </w:rPr>
              <w:t>Activități în temeiul articolului 7 alineatul (5) din Regulamentul (UE) 2021/691</w:t>
            </w:r>
          </w:p>
        </w:tc>
      </w:tr>
      <w:tr w:rsidR="001A62D7" w:rsidRPr="00B60706" w:rsidTr="001D5990">
        <w:tc>
          <w:tcPr>
            <w:tcW w:w="4644" w:type="dxa"/>
            <w:shd w:val="clear" w:color="auto" w:fill="auto"/>
          </w:tcPr>
          <w:p w:rsidR="001A62D7" w:rsidRPr="00B60706" w:rsidRDefault="001A62D7" w:rsidP="001D5990">
            <w:pPr>
              <w:spacing w:before="60" w:after="60"/>
              <w:ind w:left="284"/>
              <w:jc w:val="left"/>
              <w:rPr>
                <w:rFonts w:eastAsia="Times New Roman"/>
                <w:noProof/>
                <w:sz w:val="22"/>
              </w:rPr>
            </w:pPr>
            <w:r w:rsidRPr="00B60706">
              <w:rPr>
                <w:noProof/>
                <w:sz w:val="22"/>
              </w:rPr>
              <w:t>1. Activități de pregătire</w:t>
            </w:r>
          </w:p>
        </w:tc>
        <w:tc>
          <w:tcPr>
            <w:tcW w:w="3096" w:type="dxa"/>
            <w:gridSpan w:val="2"/>
            <w:shd w:val="clear" w:color="auto" w:fill="D9D9D9"/>
            <w:vAlign w:val="center"/>
          </w:tcPr>
          <w:p w:rsidR="001A62D7" w:rsidRPr="00B60706" w:rsidRDefault="001A62D7" w:rsidP="001D5990">
            <w:pPr>
              <w:spacing w:before="60" w:after="60"/>
              <w:jc w:val="center"/>
              <w:rPr>
                <w:rFonts w:eastAsia="Times New Roman"/>
                <w:noProof/>
                <w:sz w:val="22"/>
              </w:rPr>
            </w:pPr>
            <w:r w:rsidRPr="00B60706">
              <w:rPr>
                <w:noProof/>
                <w:sz w:val="22"/>
              </w:rPr>
              <w:t>–</w:t>
            </w:r>
          </w:p>
        </w:tc>
        <w:tc>
          <w:tcPr>
            <w:tcW w:w="1548" w:type="dxa"/>
            <w:shd w:val="clear" w:color="auto" w:fill="auto"/>
          </w:tcPr>
          <w:p w:rsidR="001A62D7" w:rsidRPr="00B60706" w:rsidRDefault="0021052B" w:rsidP="001D5990">
            <w:pPr>
              <w:spacing w:before="60" w:after="60"/>
              <w:jc w:val="center"/>
              <w:rPr>
                <w:rFonts w:eastAsia="Times New Roman"/>
                <w:noProof/>
                <w:sz w:val="22"/>
              </w:rPr>
            </w:pPr>
            <w:r w:rsidRPr="00B60706">
              <w:rPr>
                <w:noProof/>
              </w:rPr>
              <w:t>0</w:t>
            </w:r>
          </w:p>
        </w:tc>
      </w:tr>
      <w:tr w:rsidR="001A62D7" w:rsidRPr="00B60706" w:rsidTr="001D5990">
        <w:tc>
          <w:tcPr>
            <w:tcW w:w="4644" w:type="dxa"/>
            <w:shd w:val="clear" w:color="auto" w:fill="auto"/>
          </w:tcPr>
          <w:p w:rsidR="001A62D7" w:rsidRPr="00B60706" w:rsidRDefault="001A62D7" w:rsidP="001D5990">
            <w:pPr>
              <w:spacing w:before="60" w:after="60"/>
              <w:ind w:left="284"/>
              <w:jc w:val="left"/>
              <w:rPr>
                <w:rFonts w:eastAsia="Times New Roman"/>
                <w:noProof/>
                <w:sz w:val="22"/>
              </w:rPr>
            </w:pPr>
            <w:r w:rsidRPr="00B60706">
              <w:rPr>
                <w:noProof/>
                <w:sz w:val="22"/>
              </w:rPr>
              <w:t>2. Gestionare</w:t>
            </w:r>
          </w:p>
        </w:tc>
        <w:tc>
          <w:tcPr>
            <w:tcW w:w="3096" w:type="dxa"/>
            <w:gridSpan w:val="2"/>
            <w:shd w:val="clear" w:color="auto" w:fill="D9D9D9"/>
            <w:vAlign w:val="center"/>
          </w:tcPr>
          <w:p w:rsidR="001A62D7" w:rsidRPr="00B60706" w:rsidRDefault="001A62D7" w:rsidP="001D5990">
            <w:pPr>
              <w:spacing w:before="60" w:after="60"/>
              <w:jc w:val="center"/>
              <w:rPr>
                <w:rFonts w:eastAsia="Times New Roman"/>
                <w:noProof/>
                <w:sz w:val="22"/>
              </w:rPr>
            </w:pPr>
            <w:r w:rsidRPr="00B60706">
              <w:rPr>
                <w:noProof/>
                <w:sz w:val="22"/>
              </w:rPr>
              <w:t>–</w:t>
            </w:r>
          </w:p>
        </w:tc>
        <w:tc>
          <w:tcPr>
            <w:tcW w:w="1548" w:type="dxa"/>
            <w:shd w:val="clear" w:color="auto" w:fill="auto"/>
          </w:tcPr>
          <w:p w:rsidR="001A62D7" w:rsidRPr="00B60706" w:rsidRDefault="0021052B" w:rsidP="001D5990">
            <w:pPr>
              <w:spacing w:before="60" w:after="60"/>
              <w:jc w:val="center"/>
              <w:rPr>
                <w:rFonts w:eastAsia="Times New Roman"/>
                <w:noProof/>
                <w:sz w:val="22"/>
              </w:rPr>
            </w:pPr>
            <w:r w:rsidRPr="00B60706">
              <w:rPr>
                <w:noProof/>
              </w:rPr>
              <w:t>45 760</w:t>
            </w:r>
          </w:p>
        </w:tc>
      </w:tr>
      <w:tr w:rsidR="001A62D7" w:rsidRPr="00B60706" w:rsidTr="001D5990">
        <w:tc>
          <w:tcPr>
            <w:tcW w:w="4644" w:type="dxa"/>
            <w:shd w:val="clear" w:color="auto" w:fill="auto"/>
          </w:tcPr>
          <w:p w:rsidR="001A62D7" w:rsidRPr="00B60706" w:rsidRDefault="001A62D7" w:rsidP="001D5990">
            <w:pPr>
              <w:spacing w:before="60" w:after="60"/>
              <w:ind w:left="284"/>
              <w:jc w:val="left"/>
              <w:rPr>
                <w:rFonts w:eastAsia="Times New Roman"/>
                <w:noProof/>
                <w:sz w:val="22"/>
              </w:rPr>
            </w:pPr>
            <w:r w:rsidRPr="00B60706">
              <w:rPr>
                <w:noProof/>
                <w:sz w:val="22"/>
              </w:rPr>
              <w:t>3. Informare și publicitate</w:t>
            </w:r>
          </w:p>
        </w:tc>
        <w:tc>
          <w:tcPr>
            <w:tcW w:w="3096" w:type="dxa"/>
            <w:gridSpan w:val="2"/>
            <w:shd w:val="clear" w:color="auto" w:fill="D9D9D9"/>
            <w:vAlign w:val="center"/>
          </w:tcPr>
          <w:p w:rsidR="001A62D7" w:rsidRPr="00B60706" w:rsidRDefault="001A62D7" w:rsidP="001D5990">
            <w:pPr>
              <w:spacing w:before="60" w:after="60"/>
              <w:jc w:val="center"/>
              <w:rPr>
                <w:rFonts w:eastAsia="Times New Roman"/>
                <w:noProof/>
                <w:sz w:val="22"/>
              </w:rPr>
            </w:pPr>
            <w:r w:rsidRPr="00B60706">
              <w:rPr>
                <w:noProof/>
                <w:sz w:val="22"/>
              </w:rPr>
              <w:t>–</w:t>
            </w:r>
          </w:p>
        </w:tc>
        <w:tc>
          <w:tcPr>
            <w:tcW w:w="1548" w:type="dxa"/>
            <w:shd w:val="clear" w:color="auto" w:fill="auto"/>
          </w:tcPr>
          <w:p w:rsidR="001A62D7" w:rsidRPr="00B60706" w:rsidRDefault="0021052B" w:rsidP="001D5990">
            <w:pPr>
              <w:spacing w:before="60" w:after="60"/>
              <w:jc w:val="center"/>
              <w:rPr>
                <w:rFonts w:eastAsia="Times New Roman"/>
                <w:noProof/>
                <w:sz w:val="22"/>
              </w:rPr>
            </w:pPr>
            <w:r w:rsidRPr="00B60706">
              <w:rPr>
                <w:noProof/>
              </w:rPr>
              <w:t>5 500</w:t>
            </w:r>
          </w:p>
        </w:tc>
      </w:tr>
      <w:tr w:rsidR="001A62D7" w:rsidRPr="00B60706" w:rsidTr="001D5990">
        <w:tc>
          <w:tcPr>
            <w:tcW w:w="4644" w:type="dxa"/>
            <w:shd w:val="clear" w:color="auto" w:fill="auto"/>
          </w:tcPr>
          <w:p w:rsidR="001A62D7" w:rsidRPr="00B60706" w:rsidRDefault="001A62D7" w:rsidP="001D5990">
            <w:pPr>
              <w:spacing w:before="60" w:after="60"/>
              <w:ind w:left="284"/>
              <w:jc w:val="left"/>
              <w:rPr>
                <w:rFonts w:eastAsia="Times New Roman"/>
                <w:noProof/>
                <w:sz w:val="22"/>
              </w:rPr>
            </w:pPr>
            <w:r w:rsidRPr="00B60706">
              <w:rPr>
                <w:noProof/>
                <w:sz w:val="22"/>
              </w:rPr>
              <w:t>4. Control și raportare</w:t>
            </w:r>
          </w:p>
        </w:tc>
        <w:tc>
          <w:tcPr>
            <w:tcW w:w="3096" w:type="dxa"/>
            <w:gridSpan w:val="2"/>
            <w:shd w:val="clear" w:color="auto" w:fill="D9D9D9"/>
            <w:vAlign w:val="center"/>
          </w:tcPr>
          <w:p w:rsidR="001A62D7" w:rsidRPr="00B60706" w:rsidRDefault="001A62D7" w:rsidP="001D5990">
            <w:pPr>
              <w:spacing w:before="60" w:after="60"/>
              <w:jc w:val="center"/>
              <w:rPr>
                <w:rFonts w:eastAsia="Times New Roman"/>
                <w:noProof/>
                <w:sz w:val="22"/>
              </w:rPr>
            </w:pPr>
            <w:r w:rsidRPr="00B60706">
              <w:rPr>
                <w:noProof/>
                <w:sz w:val="22"/>
              </w:rPr>
              <w:t>–</w:t>
            </w:r>
          </w:p>
        </w:tc>
        <w:tc>
          <w:tcPr>
            <w:tcW w:w="1548" w:type="dxa"/>
            <w:tcBorders>
              <w:bottom w:val="single" w:sz="4" w:space="0" w:color="auto"/>
            </w:tcBorders>
            <w:shd w:val="clear" w:color="auto" w:fill="auto"/>
          </w:tcPr>
          <w:p w:rsidR="001A62D7" w:rsidRPr="00B60706" w:rsidRDefault="0021052B" w:rsidP="001D5990">
            <w:pPr>
              <w:spacing w:before="60" w:after="60"/>
              <w:jc w:val="center"/>
              <w:rPr>
                <w:rFonts w:eastAsia="Times New Roman"/>
                <w:noProof/>
                <w:sz w:val="22"/>
              </w:rPr>
            </w:pPr>
            <w:r w:rsidRPr="00B60706">
              <w:rPr>
                <w:noProof/>
              </w:rPr>
              <w:t>65 802</w:t>
            </w:r>
          </w:p>
        </w:tc>
      </w:tr>
      <w:tr w:rsidR="001A62D7" w:rsidRPr="00B60706" w:rsidTr="001D5990">
        <w:trPr>
          <w:trHeight w:val="203"/>
        </w:trPr>
        <w:tc>
          <w:tcPr>
            <w:tcW w:w="4644" w:type="dxa"/>
            <w:vMerge w:val="restart"/>
            <w:shd w:val="clear" w:color="auto" w:fill="auto"/>
            <w:vAlign w:val="center"/>
          </w:tcPr>
          <w:p w:rsidR="001A62D7" w:rsidRPr="00B60706" w:rsidRDefault="001A62D7" w:rsidP="001D5990">
            <w:pPr>
              <w:spacing w:before="60" w:after="60"/>
              <w:jc w:val="right"/>
              <w:rPr>
                <w:rFonts w:eastAsia="Times New Roman"/>
                <w:noProof/>
                <w:sz w:val="22"/>
              </w:rPr>
            </w:pPr>
            <w:r w:rsidRPr="00B60706">
              <w:rPr>
                <w:noProof/>
                <w:sz w:val="22"/>
              </w:rPr>
              <w:t>Subtotal (c):</w:t>
            </w:r>
          </w:p>
          <w:p w:rsidR="001A62D7" w:rsidRPr="00B60706" w:rsidRDefault="001A62D7" w:rsidP="001D5990">
            <w:pPr>
              <w:spacing w:before="60" w:after="60"/>
              <w:jc w:val="right"/>
              <w:rPr>
                <w:rFonts w:eastAsia="Times New Roman"/>
                <w:noProof/>
                <w:sz w:val="22"/>
              </w:rPr>
            </w:pPr>
            <w:r w:rsidRPr="00B60706">
              <w:rPr>
                <w:noProof/>
                <w:sz w:val="22"/>
              </w:rPr>
              <w:t>Procentaj din costurile totale:</w:t>
            </w:r>
          </w:p>
        </w:tc>
        <w:tc>
          <w:tcPr>
            <w:tcW w:w="3096" w:type="dxa"/>
            <w:gridSpan w:val="2"/>
            <w:vMerge w:val="restart"/>
            <w:shd w:val="clear" w:color="auto" w:fill="D9D9D9"/>
            <w:vAlign w:val="center"/>
          </w:tcPr>
          <w:p w:rsidR="001A62D7" w:rsidRPr="00B60706" w:rsidRDefault="001A62D7" w:rsidP="001D5990">
            <w:pPr>
              <w:spacing w:before="0" w:after="0"/>
              <w:jc w:val="center"/>
              <w:rPr>
                <w:rFonts w:eastAsia="Times New Roman"/>
                <w:noProof/>
                <w:sz w:val="22"/>
              </w:rPr>
            </w:pPr>
            <w:r w:rsidRPr="00B60706">
              <w:rPr>
                <w:noProof/>
                <w:sz w:val="22"/>
              </w:rPr>
              <w:t>–</w:t>
            </w:r>
          </w:p>
        </w:tc>
        <w:tc>
          <w:tcPr>
            <w:tcW w:w="1548" w:type="dxa"/>
            <w:tcBorders>
              <w:bottom w:val="nil"/>
            </w:tcBorders>
            <w:shd w:val="clear" w:color="auto" w:fill="auto"/>
            <w:vAlign w:val="center"/>
          </w:tcPr>
          <w:p w:rsidR="001A62D7" w:rsidRPr="00B60706" w:rsidRDefault="00D6013C" w:rsidP="001D5990">
            <w:pPr>
              <w:spacing w:before="60" w:after="60"/>
              <w:jc w:val="center"/>
              <w:rPr>
                <w:rFonts w:eastAsia="Times New Roman"/>
                <w:noProof/>
                <w:sz w:val="22"/>
              </w:rPr>
            </w:pPr>
            <w:r w:rsidRPr="00B60706">
              <w:rPr>
                <w:noProof/>
              </w:rPr>
              <w:t>117 062</w:t>
            </w:r>
          </w:p>
        </w:tc>
      </w:tr>
      <w:tr w:rsidR="001A62D7" w:rsidRPr="00B60706" w:rsidTr="001D5990">
        <w:trPr>
          <w:trHeight w:val="202"/>
        </w:trPr>
        <w:tc>
          <w:tcPr>
            <w:tcW w:w="4644" w:type="dxa"/>
            <w:vMerge/>
            <w:shd w:val="clear" w:color="auto" w:fill="auto"/>
          </w:tcPr>
          <w:p w:rsidR="001A62D7" w:rsidRPr="00B60706"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B60706"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B60706" w:rsidRDefault="001A62D7" w:rsidP="001D5990">
            <w:pPr>
              <w:spacing w:before="60" w:after="60"/>
              <w:jc w:val="center"/>
              <w:rPr>
                <w:rFonts w:eastAsia="Times New Roman"/>
                <w:noProof/>
                <w:sz w:val="22"/>
              </w:rPr>
            </w:pPr>
            <w:r w:rsidRPr="00B60706">
              <w:rPr>
                <w:noProof/>
                <w:sz w:val="22"/>
              </w:rPr>
              <w:t>(</w:t>
            </w:r>
            <w:r w:rsidRPr="00B60706">
              <w:rPr>
                <w:noProof/>
              </w:rPr>
              <w:t xml:space="preserve">1,32 </w:t>
            </w:r>
            <w:r w:rsidRPr="00B60706">
              <w:rPr>
                <w:noProof/>
                <w:sz w:val="22"/>
              </w:rPr>
              <w:t>%)</w:t>
            </w:r>
          </w:p>
        </w:tc>
      </w:tr>
      <w:tr w:rsidR="001A62D7" w:rsidRPr="00B60706" w:rsidTr="001D5990">
        <w:tc>
          <w:tcPr>
            <w:tcW w:w="4644" w:type="dxa"/>
            <w:shd w:val="clear" w:color="auto" w:fill="auto"/>
          </w:tcPr>
          <w:p w:rsidR="001A62D7" w:rsidRPr="00B60706" w:rsidRDefault="001A62D7" w:rsidP="001D5990">
            <w:pPr>
              <w:spacing w:before="60" w:after="60"/>
              <w:jc w:val="left"/>
              <w:rPr>
                <w:rFonts w:eastAsia="Times New Roman"/>
                <w:noProof/>
                <w:sz w:val="22"/>
              </w:rPr>
            </w:pPr>
            <w:r w:rsidRPr="00B60706">
              <w:rPr>
                <w:noProof/>
                <w:sz w:val="22"/>
              </w:rPr>
              <w:t>Costuri totale (a + b + c):</w:t>
            </w:r>
          </w:p>
        </w:tc>
        <w:tc>
          <w:tcPr>
            <w:tcW w:w="3096" w:type="dxa"/>
            <w:gridSpan w:val="2"/>
            <w:shd w:val="clear" w:color="auto" w:fill="D9D9D9"/>
            <w:vAlign w:val="center"/>
          </w:tcPr>
          <w:p w:rsidR="001A62D7" w:rsidRPr="00B60706" w:rsidRDefault="001A62D7" w:rsidP="001D5990">
            <w:pPr>
              <w:spacing w:before="60" w:after="60"/>
              <w:jc w:val="center"/>
              <w:rPr>
                <w:rFonts w:eastAsia="Times New Roman"/>
                <w:noProof/>
                <w:sz w:val="22"/>
              </w:rPr>
            </w:pPr>
            <w:r w:rsidRPr="00B60706">
              <w:rPr>
                <w:noProof/>
                <w:sz w:val="22"/>
              </w:rPr>
              <w:t>–</w:t>
            </w:r>
          </w:p>
        </w:tc>
        <w:tc>
          <w:tcPr>
            <w:tcW w:w="1548" w:type="dxa"/>
            <w:shd w:val="clear" w:color="auto" w:fill="auto"/>
          </w:tcPr>
          <w:p w:rsidR="001A62D7" w:rsidRPr="00B60706" w:rsidRDefault="00DC7444" w:rsidP="001D5990">
            <w:pPr>
              <w:spacing w:before="60" w:after="60"/>
              <w:jc w:val="center"/>
              <w:rPr>
                <w:noProof/>
                <w:sz w:val="22"/>
              </w:rPr>
            </w:pPr>
            <w:r w:rsidRPr="00B60706">
              <w:rPr>
                <w:noProof/>
              </w:rPr>
              <w:t>8 856 030</w:t>
            </w:r>
          </w:p>
        </w:tc>
      </w:tr>
      <w:tr w:rsidR="001A62D7" w:rsidRPr="00B60706" w:rsidTr="001D5990">
        <w:tc>
          <w:tcPr>
            <w:tcW w:w="4644" w:type="dxa"/>
            <w:shd w:val="clear" w:color="auto" w:fill="auto"/>
          </w:tcPr>
          <w:p w:rsidR="001A62D7" w:rsidRPr="00B60706" w:rsidRDefault="001A62D7" w:rsidP="001D5990">
            <w:pPr>
              <w:spacing w:before="60" w:after="60"/>
              <w:jc w:val="left"/>
              <w:rPr>
                <w:rFonts w:eastAsia="Times New Roman"/>
                <w:noProof/>
                <w:sz w:val="22"/>
              </w:rPr>
            </w:pPr>
            <w:r w:rsidRPr="00B60706">
              <w:rPr>
                <w:noProof/>
                <w:sz w:val="22"/>
              </w:rPr>
              <w:t>Contribuția din partea FEG (</w:t>
            </w:r>
            <w:r w:rsidRPr="00B60706">
              <w:rPr>
                <w:noProof/>
              </w:rPr>
              <w:t>85</w:t>
            </w:r>
            <w:r w:rsidRPr="00B60706">
              <w:rPr>
                <w:noProof/>
                <w:sz w:val="22"/>
              </w:rPr>
              <w:t> % din costurile totale)</w:t>
            </w:r>
          </w:p>
        </w:tc>
        <w:tc>
          <w:tcPr>
            <w:tcW w:w="3096" w:type="dxa"/>
            <w:gridSpan w:val="2"/>
            <w:shd w:val="clear" w:color="auto" w:fill="D9D9D9"/>
            <w:vAlign w:val="center"/>
          </w:tcPr>
          <w:p w:rsidR="001A62D7" w:rsidRPr="00B60706" w:rsidRDefault="001A62D7" w:rsidP="001D5990">
            <w:pPr>
              <w:spacing w:before="60" w:after="60"/>
              <w:jc w:val="center"/>
              <w:rPr>
                <w:rFonts w:eastAsia="Times New Roman"/>
                <w:noProof/>
                <w:sz w:val="22"/>
              </w:rPr>
            </w:pPr>
            <w:r w:rsidRPr="00B60706">
              <w:rPr>
                <w:noProof/>
                <w:sz w:val="22"/>
              </w:rPr>
              <w:t>–</w:t>
            </w:r>
          </w:p>
        </w:tc>
        <w:tc>
          <w:tcPr>
            <w:tcW w:w="1548" w:type="dxa"/>
            <w:shd w:val="clear" w:color="auto" w:fill="auto"/>
          </w:tcPr>
          <w:p w:rsidR="001A62D7" w:rsidRPr="00B60706" w:rsidRDefault="00DC7444" w:rsidP="001D5990">
            <w:pPr>
              <w:spacing w:before="60" w:after="60"/>
              <w:jc w:val="center"/>
              <w:rPr>
                <w:rFonts w:eastAsia="Times New Roman"/>
                <w:noProof/>
                <w:sz w:val="22"/>
              </w:rPr>
            </w:pPr>
            <w:r w:rsidRPr="00B60706">
              <w:rPr>
                <w:noProof/>
              </w:rPr>
              <w:t>7 527 625</w:t>
            </w:r>
          </w:p>
        </w:tc>
      </w:tr>
    </w:tbl>
    <w:bookmarkEnd w:id="15"/>
    <w:p w:rsidR="001A62D7" w:rsidRPr="00B60706" w:rsidRDefault="00C11631" w:rsidP="00C11631">
      <w:pPr>
        <w:pStyle w:val="ManualNumPar1"/>
        <w:rPr>
          <w:noProof/>
          <w:szCs w:val="20"/>
        </w:rPr>
      </w:pPr>
      <w:r w:rsidRPr="00C11631">
        <w:rPr>
          <w:noProof/>
        </w:rPr>
        <w:t>37.</w:t>
      </w:r>
      <w:r w:rsidRPr="00C11631">
        <w:rPr>
          <w:noProof/>
        </w:rPr>
        <w:tab/>
      </w:r>
      <w:r w:rsidR="001A62D7" w:rsidRPr="00B60706">
        <w:rPr>
          <w:noProof/>
        </w:rPr>
        <w:t>Costurile măsurilor identificate în tabelul de mai sus ca măsuri adoptate în temeiul articolului 7 alineatul (2) al doilea paragraf litera (b) din Regulamentul (UE) 2021/691 nu depășesc 35 % din costurile totale ale pachetului coordonat de servicii personalizate. Belgia a confirmat că aceste măsuri sunt condiționate de participarea activă a beneficiarilor vizați la activități de căutare a unui loc de muncă sau de formare.</w:t>
      </w:r>
    </w:p>
    <w:p w:rsidR="001A62D7" w:rsidRPr="00B60706" w:rsidRDefault="00C11631" w:rsidP="00C11631">
      <w:pPr>
        <w:pStyle w:val="ManualNumPar1"/>
        <w:rPr>
          <w:noProof/>
        </w:rPr>
      </w:pPr>
      <w:r w:rsidRPr="00C11631">
        <w:rPr>
          <w:noProof/>
        </w:rPr>
        <w:t>38.</w:t>
      </w:r>
      <w:r w:rsidRPr="00C11631">
        <w:rPr>
          <w:noProof/>
        </w:rPr>
        <w:tab/>
      </w:r>
      <w:r w:rsidR="001A62D7" w:rsidRPr="00B60706">
        <w:rPr>
          <w:noProof/>
        </w:rPr>
        <w:t>În conformitate cu articolul 7 alineatul (2) al patrulea paragraf din Regulamentul (UE) 2021/691, Belgia a confirmat că costurile investițiilor pentru desfășurarea de activități independente, înființarea de noi întreprinderi și preluarea întreprinderilor de către angajați nu vor depăși 22 000 EUR per beneficiar.</w:t>
      </w:r>
    </w:p>
    <w:p w:rsidR="001A62D7" w:rsidRPr="00B60706" w:rsidRDefault="001A62D7" w:rsidP="001A62D7">
      <w:pPr>
        <w:pStyle w:val="ManualHeading3"/>
        <w:rPr>
          <w:noProof/>
        </w:rPr>
      </w:pPr>
      <w:r w:rsidRPr="00B60706">
        <w:rPr>
          <w:noProof/>
        </w:rPr>
        <w:t>Perioada de eligibilitate a cheltuielilor</w:t>
      </w:r>
    </w:p>
    <w:p w:rsidR="001A62D7" w:rsidRPr="00B60706" w:rsidRDefault="00C11631" w:rsidP="00C11631">
      <w:pPr>
        <w:pStyle w:val="ManualNumPar1"/>
        <w:rPr>
          <w:noProof/>
        </w:rPr>
      </w:pPr>
      <w:r w:rsidRPr="00C11631">
        <w:rPr>
          <w:noProof/>
        </w:rPr>
        <w:t>39.</w:t>
      </w:r>
      <w:r w:rsidRPr="00C11631">
        <w:rPr>
          <w:noProof/>
        </w:rPr>
        <w:tab/>
      </w:r>
      <w:r w:rsidR="007D1CC7" w:rsidRPr="00B60706">
        <w:rPr>
          <w:noProof/>
        </w:rPr>
        <w:t>Belgia a început prestarea serviciilor personalizate către beneficiarii vizați la 17 februarie 2025. Prin urmare, cheltuielile aferente măsurilor vor fi eligibile pentru o contribuție financiară din FEG începând cu 17 februarie 2025, pentru o perioadă de 24 de luni de la data intrării în vigoare a deciziei de finanțare.</w:t>
      </w:r>
    </w:p>
    <w:p w:rsidR="001A62D7" w:rsidRPr="00B60706" w:rsidRDefault="00C11631" w:rsidP="00C11631">
      <w:pPr>
        <w:pStyle w:val="ManualNumPar1"/>
        <w:rPr>
          <w:noProof/>
        </w:rPr>
      </w:pPr>
      <w:r w:rsidRPr="00C11631">
        <w:rPr>
          <w:noProof/>
        </w:rPr>
        <w:t>40.</w:t>
      </w:r>
      <w:r w:rsidRPr="00C11631">
        <w:rPr>
          <w:noProof/>
        </w:rPr>
        <w:tab/>
      </w:r>
      <w:r w:rsidR="00AD6693" w:rsidRPr="00B60706">
        <w:rPr>
          <w:noProof/>
        </w:rPr>
        <w:t xml:space="preserve">Belgia a început plata cheltuielilor administrative pentru punerea în aplicare a FEG la 9 iulie 2024. Prin urmare, cheltuielile pentru activitățile de pregătire, gestionare, informare și publicitate, control și raportare sunt eligibile pentru o contribuție financiară din FEG începând cu 9 iulie 2024, pentru o perioadă de 31 de luni de la data intrării în vigoare a deciziei de finanțare. </w:t>
      </w:r>
    </w:p>
    <w:p w:rsidR="001A62D7" w:rsidRPr="00B60706" w:rsidRDefault="001A62D7" w:rsidP="001A62D7">
      <w:pPr>
        <w:pStyle w:val="ManualHeading2"/>
        <w:rPr>
          <w:noProof/>
        </w:rPr>
      </w:pPr>
      <w:r w:rsidRPr="00B60706">
        <w:rPr>
          <w:noProof/>
        </w:rPr>
        <w:t>Sisteme de gestionare și control</w:t>
      </w:r>
    </w:p>
    <w:p w:rsidR="001A62D7" w:rsidRPr="00B60706" w:rsidRDefault="00C11631" w:rsidP="00C11631">
      <w:pPr>
        <w:pStyle w:val="ManualNumPar1"/>
        <w:rPr>
          <w:noProof/>
        </w:rPr>
      </w:pPr>
      <w:r w:rsidRPr="00C11631">
        <w:rPr>
          <w:noProof/>
        </w:rPr>
        <w:t>41.</w:t>
      </w:r>
      <w:r w:rsidRPr="00C11631">
        <w:rPr>
          <w:noProof/>
        </w:rPr>
        <w:tab/>
      </w:r>
      <w:r w:rsidR="001A62D7" w:rsidRPr="00B60706">
        <w:rPr>
          <w:noProof/>
        </w:rPr>
        <w:t>Cererea conține o descriere a sistemului de gestionare și control prevăzut la articolul 23 din Regulamentul (UE) 2021/691, care precizează responsabilitățile organismelor implicate. Belgia a notificat Comisiei faptul că această contribuție financiară pentru Bruxelles și Valonia va fi gestionată de către aceleași organisme care asigură gestionarea și controlul FSE+. În Flandra, aceasta va fi gestionată de VDAB. Plățile vor fi efectuate de serviciul financiar al VDAB. Departamentul Finanțe și Buget – Unitatea de audit a Autorității flamande de audit pentru fondurile structurale europene este autoritatea de audit pentru FEG din Flandra.</w:t>
      </w:r>
    </w:p>
    <w:p w:rsidR="001A62D7" w:rsidRPr="00B60706" w:rsidRDefault="001A62D7" w:rsidP="001A62D7">
      <w:pPr>
        <w:pStyle w:val="ManualHeading2"/>
        <w:rPr>
          <w:noProof/>
        </w:rPr>
      </w:pPr>
      <w:r w:rsidRPr="00B60706">
        <w:rPr>
          <w:noProof/>
        </w:rPr>
        <w:t>Angajamentele asumate de statul membru în cauză</w:t>
      </w:r>
    </w:p>
    <w:p w:rsidR="001A62D7" w:rsidRPr="00B60706" w:rsidRDefault="00C11631" w:rsidP="00C11631">
      <w:pPr>
        <w:pStyle w:val="ManualNumPar1"/>
        <w:rPr>
          <w:noProof/>
        </w:rPr>
      </w:pPr>
      <w:r w:rsidRPr="00C11631">
        <w:rPr>
          <w:noProof/>
        </w:rPr>
        <w:t>42.</w:t>
      </w:r>
      <w:r w:rsidRPr="00C11631">
        <w:rPr>
          <w:noProof/>
        </w:rPr>
        <w:tab/>
      </w:r>
      <w:r w:rsidR="00A36A1D" w:rsidRPr="00B60706">
        <w:rPr>
          <w:noProof/>
        </w:rPr>
        <w:t xml:space="preserve">Belgia a oferit toate garanțiile necesare cu privire la următoarele: </w:t>
      </w:r>
    </w:p>
    <w:p w:rsidR="001A62D7" w:rsidRPr="00B60706" w:rsidRDefault="001A62D7" w:rsidP="001A62D7">
      <w:pPr>
        <w:pStyle w:val="Tiret1"/>
        <w:rPr>
          <w:noProof/>
        </w:rPr>
      </w:pPr>
      <w:r w:rsidRPr="00B60706">
        <w:rPr>
          <w:noProof/>
        </w:rPr>
        <w:t>în contextul accesului la măsurile propuse și al punerii în aplicare a acestora, vor fi respectate principiul egalității de tratament și principiul nediscriminării,</w:t>
      </w:r>
    </w:p>
    <w:p w:rsidR="001A62D7" w:rsidRPr="00B60706" w:rsidRDefault="001A62D7" w:rsidP="001A62D7">
      <w:pPr>
        <w:pStyle w:val="Tiret1"/>
        <w:rPr>
          <w:noProof/>
        </w:rPr>
      </w:pPr>
      <w:r w:rsidRPr="00B60706">
        <w:rPr>
          <w:noProof/>
        </w:rPr>
        <w:t>au fost îndeplinite cerințele prevăzute de legislația națională și de legislația UE în ceea ce privește concedierile colective,</w:t>
      </w:r>
    </w:p>
    <w:p w:rsidR="001A62D7" w:rsidRPr="00B60706" w:rsidRDefault="00A36A1D" w:rsidP="001A62D7">
      <w:pPr>
        <w:pStyle w:val="Tiret1"/>
        <w:rPr>
          <w:noProof/>
        </w:rPr>
      </w:pPr>
      <w:r w:rsidRPr="00B60706">
        <w:rPr>
          <w:noProof/>
        </w:rPr>
        <w:t>Audi și-a respectat obligațiile legale și a luat măsuri corespunzătoare pentru lucrătorii săi,</w:t>
      </w:r>
    </w:p>
    <w:p w:rsidR="001A62D7" w:rsidRPr="00B60706" w:rsidRDefault="001A62D7" w:rsidP="001A62D7">
      <w:pPr>
        <w:pStyle w:val="Tiret1"/>
        <w:rPr>
          <w:noProof/>
        </w:rPr>
      </w:pPr>
      <w:r w:rsidRPr="00B60706">
        <w:rPr>
          <w:noProof/>
        </w:rPr>
        <w:t>se va evita orice fel de dublă finanțare,</w:t>
      </w:r>
    </w:p>
    <w:p w:rsidR="001A62D7" w:rsidRPr="00B60706" w:rsidRDefault="001A62D7" w:rsidP="001A62D7">
      <w:pPr>
        <w:pStyle w:val="Tiret1"/>
        <w:rPr>
          <w:noProof/>
        </w:rPr>
      </w:pPr>
      <w:r w:rsidRPr="00B60706">
        <w:rPr>
          <w:noProof/>
        </w:rPr>
        <w:t>contribuția financiară din partea FEG va respecta normele procedurale și de fond ale Uniunii privind ajutoarele de stat.</w:t>
      </w:r>
    </w:p>
    <w:p w:rsidR="001A62D7" w:rsidRPr="00B60706" w:rsidRDefault="001A62D7" w:rsidP="001A62D7">
      <w:pPr>
        <w:pStyle w:val="ManualHeading1"/>
        <w:rPr>
          <w:noProof/>
        </w:rPr>
      </w:pPr>
      <w:r w:rsidRPr="00B60706">
        <w:rPr>
          <w:noProof/>
        </w:rPr>
        <w:t>IMPLICAȚII BUGETARE</w:t>
      </w:r>
    </w:p>
    <w:p w:rsidR="001A62D7" w:rsidRPr="00B60706" w:rsidRDefault="001A62D7" w:rsidP="001A62D7">
      <w:pPr>
        <w:pStyle w:val="ManualHeading2"/>
        <w:rPr>
          <w:noProof/>
        </w:rPr>
      </w:pPr>
      <w:r w:rsidRPr="00B60706">
        <w:rPr>
          <w:noProof/>
        </w:rPr>
        <w:t>Propunerea bugetară</w:t>
      </w:r>
    </w:p>
    <w:p w:rsidR="001A62D7" w:rsidRPr="00B60706" w:rsidRDefault="00C11631" w:rsidP="00C11631">
      <w:pPr>
        <w:pStyle w:val="ManualNumPar1"/>
        <w:rPr>
          <w:noProof/>
        </w:rPr>
      </w:pPr>
      <w:r w:rsidRPr="00C11631">
        <w:rPr>
          <w:noProof/>
        </w:rPr>
        <w:t>43.</w:t>
      </w:r>
      <w:r w:rsidRPr="00C11631">
        <w:rPr>
          <w:noProof/>
        </w:rPr>
        <w:tab/>
      </w:r>
      <w:r w:rsidR="001A62D7" w:rsidRPr="00B60706">
        <w:rPr>
          <w:noProof/>
        </w:rPr>
        <w:t>FEG nu trebuie să depășească un cuantum anual de maximum 30 de milioane EUR (la prețurile din 2018), astfel cum se prevede la articolul 8 din Regulamentul (UE, Euratom) 2020/2093 al Consiliului din 17 decembrie 2020 de stabilire a cadrului financiar multianual pentru perioada 2021-2027</w:t>
      </w:r>
      <w:r w:rsidR="001A62D7" w:rsidRPr="00B60706">
        <w:rPr>
          <w:rStyle w:val="FootnoteReference"/>
          <w:noProof/>
        </w:rPr>
        <w:footnoteReference w:id="38"/>
      </w:r>
      <w:r w:rsidR="001A62D7" w:rsidRPr="00B60706">
        <w:rPr>
          <w:noProof/>
        </w:rPr>
        <w:t xml:space="preserve"> modificat prin Regulamentul (UE, Euratom) 2024/765 al Consiliului din 29 februarie 2024</w:t>
      </w:r>
      <w:r w:rsidR="001A62D7" w:rsidRPr="00B60706">
        <w:rPr>
          <w:rStyle w:val="FootnoteReference"/>
          <w:noProof/>
        </w:rPr>
        <w:footnoteReference w:id="39"/>
      </w:r>
      <w:r w:rsidR="001A62D7" w:rsidRPr="00B60706">
        <w:rPr>
          <w:noProof/>
        </w:rPr>
        <w:t>.</w:t>
      </w:r>
    </w:p>
    <w:p w:rsidR="001A62D7" w:rsidRPr="00B60706" w:rsidRDefault="00C11631" w:rsidP="00C11631">
      <w:pPr>
        <w:pStyle w:val="ManualNumPar1"/>
        <w:rPr>
          <w:rFonts w:eastAsia="Calibri"/>
          <w:noProof/>
        </w:rPr>
      </w:pPr>
      <w:r w:rsidRPr="00C11631">
        <w:rPr>
          <w:noProof/>
        </w:rPr>
        <w:t>44.</w:t>
      </w:r>
      <w:r w:rsidRPr="00C11631">
        <w:rPr>
          <w:noProof/>
        </w:rPr>
        <w:tab/>
      </w:r>
      <w:r w:rsidR="001A62D7" w:rsidRPr="00B60706">
        <w:rPr>
          <w:noProof/>
        </w:rPr>
        <w:t>După examinarea cererii în conformitate cu condițiile stabilite la articolul 13 alineatele (1) și (2) din Regulamentul (UE) 2021/691 și luând în considerare numărul de beneficiari vizați, măsurile propuse și costurile estimate, Comisia propune mobilizarea FEG pentru suma de 7 527 625 EUR, reprezentând 85 % din costurile totale ale măsurilor propuse, cu scopul de a furniza o contribuție financiară ca răspuns la cerere.</w:t>
      </w:r>
    </w:p>
    <w:p w:rsidR="001A62D7" w:rsidRPr="00B60706" w:rsidRDefault="00C11631" w:rsidP="00C11631">
      <w:pPr>
        <w:pStyle w:val="ManualNumPar1"/>
        <w:rPr>
          <w:rFonts w:eastAsia="Times New Roman"/>
          <w:noProof/>
        </w:rPr>
      </w:pPr>
      <w:r w:rsidRPr="00C11631">
        <w:rPr>
          <w:noProof/>
        </w:rPr>
        <w:t>45.</w:t>
      </w:r>
      <w:r w:rsidRPr="00C11631">
        <w:rPr>
          <w:noProof/>
        </w:rPr>
        <w:tab/>
      </w:r>
      <w:r w:rsidR="001A62D7" w:rsidRPr="00B60706">
        <w:rPr>
          <w:noProof/>
        </w:rPr>
        <w:t>Decizia propusă privind mobilizarea FEG va fi adoptată în comun de Parlamentul European și de Consiliu, în conformitate cu articolul 15 alineatul (1) primul paragraf a doua teză din Regulamentul (UE) 2021/691 și astfel cum se prevede la punctul 9 din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001A62D7" w:rsidRPr="00B60706">
        <w:rPr>
          <w:rStyle w:val="FootnoteReference"/>
          <w:noProof/>
        </w:rPr>
        <w:footnoteReference w:id="40"/>
      </w:r>
      <w:r w:rsidR="001A62D7" w:rsidRPr="00B60706">
        <w:rPr>
          <w:noProof/>
        </w:rPr>
        <w:t>.</w:t>
      </w:r>
    </w:p>
    <w:p w:rsidR="001A62D7" w:rsidRPr="00B60706" w:rsidRDefault="001A62D7" w:rsidP="001A62D7">
      <w:pPr>
        <w:pStyle w:val="ManualHeading2"/>
        <w:rPr>
          <w:noProof/>
        </w:rPr>
      </w:pPr>
      <w:r w:rsidRPr="00B60706">
        <w:rPr>
          <w:noProof/>
        </w:rPr>
        <w:t>Acte conexe</w:t>
      </w:r>
    </w:p>
    <w:p w:rsidR="001A62D7" w:rsidRPr="00B60706" w:rsidRDefault="00C11631" w:rsidP="00C11631">
      <w:pPr>
        <w:pStyle w:val="ManualNumPar1"/>
        <w:rPr>
          <w:noProof/>
        </w:rPr>
      </w:pPr>
      <w:r w:rsidRPr="00C11631">
        <w:rPr>
          <w:noProof/>
        </w:rPr>
        <w:t>46.</w:t>
      </w:r>
      <w:r w:rsidRPr="00C11631">
        <w:rPr>
          <w:noProof/>
        </w:rPr>
        <w:tab/>
      </w:r>
      <w:r w:rsidR="001A62D7" w:rsidRPr="00B60706">
        <w:rPr>
          <w:noProof/>
        </w:rPr>
        <w:t>În același timp cu prezentarea acestei propuneri de decizie privind mobilizarea FEG, Comisia va prezenta Parlamentului European și Consiliului o propunere de transfer al cuantumului de 7 527 625 EUR către linia bugetară relevantă.</w:t>
      </w:r>
    </w:p>
    <w:p w:rsidR="001A62D7" w:rsidRPr="00B60706" w:rsidRDefault="00C11631" w:rsidP="00C11631">
      <w:pPr>
        <w:pStyle w:val="ManualNumPar1"/>
        <w:rPr>
          <w:noProof/>
        </w:rPr>
      </w:pPr>
      <w:r w:rsidRPr="00C11631">
        <w:rPr>
          <w:noProof/>
        </w:rPr>
        <w:t>47.</w:t>
      </w:r>
      <w:r w:rsidRPr="00C11631">
        <w:rPr>
          <w:noProof/>
        </w:rPr>
        <w:tab/>
      </w:r>
      <w:r w:rsidR="001A62D7" w:rsidRPr="00B60706">
        <w:rPr>
          <w:noProof/>
        </w:rPr>
        <w:t>Concomitent cu adoptarea prezentei propuneri de decizie privind mobilizarea FEG, Comisia a adoptat o decizie privind o contribuție financiară, care constituie o decizie de finanțare în sensul articolului 110 din Regulamentul (UE, Euratom) 2024/2509</w:t>
      </w:r>
      <w:r w:rsidR="001A62D7" w:rsidRPr="00B60706">
        <w:rPr>
          <w:rStyle w:val="FootnoteReference"/>
          <w:noProof/>
        </w:rPr>
        <w:footnoteReference w:id="41"/>
      </w:r>
      <w:r w:rsidR="001A62D7" w:rsidRPr="00B60706">
        <w:rPr>
          <w:noProof/>
        </w:rPr>
        <w:t>. Respectiva decizie de finanțare va intra în vigoare la data la care Comisiei i se notifică aprobarea transferului bugetar de către Parlamentul European și Consiliu în conformitate cu articolul 15 alineatul (2) primul paragraf din Regulamentul (UE) 2021/691.</w:t>
      </w:r>
    </w:p>
    <w:p w:rsidR="001A62D7" w:rsidRPr="00B60706" w:rsidRDefault="001A62D7" w:rsidP="001A62D7">
      <w:pPr>
        <w:rPr>
          <w:noProof/>
        </w:rPr>
        <w:sectPr w:rsidR="001A62D7" w:rsidRPr="00B60706" w:rsidSect="009F6901">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A43EF1" w:rsidRDefault="00E34EEC">
      <w:pPr>
        <w:pStyle w:val="Rfrenceinterinstitutionnelle"/>
        <w:rPr>
          <w:noProof/>
        </w:rPr>
      </w:pPr>
      <w:r>
        <w:rPr>
          <w:noProof/>
        </w:rPr>
        <w:t>2026/0001 (BUD)</w:t>
      </w:r>
    </w:p>
    <w:p w:rsidR="001A62D7" w:rsidRPr="00B60706" w:rsidRDefault="007420F1" w:rsidP="007420F1">
      <w:pPr>
        <w:pStyle w:val="Statut"/>
        <w:rPr>
          <w:noProof/>
        </w:rPr>
      </w:pPr>
      <w:r w:rsidRPr="00B60706">
        <w:rPr>
          <w:noProof/>
        </w:rPr>
        <w:t>Propunere de</w:t>
      </w:r>
    </w:p>
    <w:p w:rsidR="001A62D7" w:rsidRPr="00B60706" w:rsidRDefault="007420F1" w:rsidP="007420F1">
      <w:pPr>
        <w:pStyle w:val="Typedudocument"/>
        <w:rPr>
          <w:noProof/>
        </w:rPr>
      </w:pPr>
      <w:r w:rsidRPr="00B60706">
        <w:rPr>
          <w:noProof/>
        </w:rPr>
        <w:t>DECIZIE A PARLAMENTULUI EUROPEAN ȘI A CONSILIULUI</w:t>
      </w:r>
    </w:p>
    <w:p w:rsidR="001A62D7" w:rsidRPr="00B60706" w:rsidRDefault="007420F1" w:rsidP="007420F1">
      <w:pPr>
        <w:pStyle w:val="Titreobjet"/>
        <w:rPr>
          <w:noProof/>
        </w:rPr>
      </w:pPr>
      <w:r w:rsidRPr="00B60706">
        <w:rPr>
          <w:noProof/>
        </w:rPr>
        <w:t>privind mobilizarea Fondului european de ajustare la globalizare pentru lucrătorii disponibilizați în urma unei cereri din partea Belgiei - EGF/2025/006 BE/Audi</w:t>
      </w:r>
    </w:p>
    <w:p w:rsidR="001A62D7" w:rsidRPr="00B60706" w:rsidRDefault="001A62D7" w:rsidP="001A62D7">
      <w:pPr>
        <w:pStyle w:val="Institutionquiagit"/>
        <w:rPr>
          <w:noProof/>
        </w:rPr>
      </w:pPr>
      <w:r w:rsidRPr="00B60706">
        <w:rPr>
          <w:noProof/>
        </w:rPr>
        <w:t>PARLAMENTUL EUROPEAN ȘI CONSILIUL UNIUNII EUROPENE,</w:t>
      </w:r>
    </w:p>
    <w:p w:rsidR="001A62D7" w:rsidRPr="00B60706" w:rsidRDefault="001A62D7" w:rsidP="001A62D7">
      <w:pPr>
        <w:rPr>
          <w:noProof/>
        </w:rPr>
      </w:pPr>
      <w:r w:rsidRPr="00B60706">
        <w:rPr>
          <w:noProof/>
        </w:rPr>
        <w:t>având în vedere Tratatul privind funcționarea Uniunii Europene,</w:t>
      </w:r>
    </w:p>
    <w:p w:rsidR="001A62D7" w:rsidRPr="00B60706" w:rsidRDefault="001A62D7" w:rsidP="001A62D7">
      <w:pPr>
        <w:rPr>
          <w:noProof/>
        </w:rPr>
      </w:pPr>
      <w:r w:rsidRPr="00B60706">
        <w:rPr>
          <w:noProof/>
        </w:rPr>
        <w:t>având în vedere Regulamentul (UE) 2021/691 al Parlamentului European și al Consiliului din 28 aprilie 2021 privind Fondul european de ajustare la globalizare pentru lucrătorii disponibilizați (FEG) și de abrogare a Regulamentului (UE) nr. 1309/2013</w:t>
      </w:r>
      <w:r w:rsidRPr="00B60706">
        <w:rPr>
          <w:rStyle w:val="FootnoteReference"/>
          <w:noProof/>
        </w:rPr>
        <w:footnoteReference w:id="42"/>
      </w:r>
      <w:r w:rsidRPr="00B60706">
        <w:rPr>
          <w:noProof/>
        </w:rPr>
        <w:t>, în special articolul 15 alineatul (1) primul paragraf,</w:t>
      </w:r>
    </w:p>
    <w:p w:rsidR="001A62D7" w:rsidRPr="00B60706" w:rsidRDefault="001A62D7" w:rsidP="001A62D7">
      <w:pPr>
        <w:rPr>
          <w:noProof/>
        </w:rPr>
      </w:pPr>
      <w:r w:rsidRPr="00B60706">
        <w:rPr>
          <w:noProof/>
        </w:rPr>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B60706">
        <w:rPr>
          <w:rStyle w:val="FootnoteReference"/>
          <w:noProof/>
        </w:rPr>
        <w:footnoteReference w:id="43"/>
      </w:r>
      <w:r w:rsidRPr="00B60706">
        <w:rPr>
          <w:noProof/>
        </w:rPr>
        <w:t>, în special punctul 9,</w:t>
      </w:r>
    </w:p>
    <w:p w:rsidR="001A62D7" w:rsidRPr="00B60706" w:rsidRDefault="001A62D7" w:rsidP="001A62D7">
      <w:pPr>
        <w:rPr>
          <w:noProof/>
        </w:rPr>
      </w:pPr>
      <w:r w:rsidRPr="00B60706">
        <w:rPr>
          <w:noProof/>
        </w:rPr>
        <w:t>având în vedere propunerea Comisiei Europene,</w:t>
      </w:r>
    </w:p>
    <w:p w:rsidR="001A62D7" w:rsidRPr="00B60706" w:rsidRDefault="001A62D7" w:rsidP="001A62D7">
      <w:pPr>
        <w:rPr>
          <w:noProof/>
        </w:rPr>
      </w:pPr>
      <w:r w:rsidRPr="00B60706">
        <w:rPr>
          <w:noProof/>
        </w:rPr>
        <w:t>întrucât:</w:t>
      </w:r>
    </w:p>
    <w:p w:rsidR="001A62D7" w:rsidRPr="00B60706" w:rsidRDefault="00C11631" w:rsidP="00C11631">
      <w:pPr>
        <w:pStyle w:val="ManualConsidrant"/>
        <w:rPr>
          <w:noProof/>
        </w:rPr>
      </w:pPr>
      <w:r w:rsidRPr="00C11631">
        <w:rPr>
          <w:noProof/>
        </w:rPr>
        <w:t>(1)</w:t>
      </w:r>
      <w:r w:rsidRPr="00C11631">
        <w:rPr>
          <w:noProof/>
        </w:rPr>
        <w:tab/>
      </w:r>
      <w:r w:rsidR="001A62D7" w:rsidRPr="00B60706">
        <w:rPr>
          <w:noProof/>
        </w:rPr>
        <w:t xml:space="preserve">Fondul european de ajustare la globalizare pentru lucrătorii disponibilizați (FEG) urmărește să dea dovadă de solidaritate și să promoveze locuri de muncă decente și durabile în Uniune, oferind sprijin lucrătorilor disponibilizați și lucrătorilor independenți a căror activitate a încetat în cazul unor evenimente majore de restructurare și ajutându-i să revină cât mai curând posibil la locuri de muncă decente și durabile. </w:t>
      </w:r>
    </w:p>
    <w:p w:rsidR="001A62D7" w:rsidRPr="00B60706" w:rsidRDefault="00C11631" w:rsidP="00C11631">
      <w:pPr>
        <w:pStyle w:val="ManualConsidrant"/>
        <w:rPr>
          <w:noProof/>
        </w:rPr>
      </w:pPr>
      <w:r w:rsidRPr="00C11631">
        <w:rPr>
          <w:noProof/>
        </w:rPr>
        <w:t>(2)</w:t>
      </w:r>
      <w:r w:rsidRPr="00C11631">
        <w:rPr>
          <w:noProof/>
        </w:rPr>
        <w:tab/>
      </w:r>
      <w:r w:rsidR="001A62D7" w:rsidRPr="00B60706">
        <w:rPr>
          <w:noProof/>
        </w:rPr>
        <w:t>FEG nu trebuie să depășească un cuantum anual de maximum 30 de milioane EUR (la prețurile din 2018), astfel cum se prevede la articolul 8 din Regulamentul (UE, Euratom) 2020/2093 al Consiliului</w:t>
      </w:r>
      <w:r w:rsidR="001A62D7" w:rsidRPr="00B60706">
        <w:rPr>
          <w:rStyle w:val="FootnoteReference"/>
          <w:noProof/>
        </w:rPr>
        <w:footnoteReference w:id="44"/>
      </w:r>
      <w:r w:rsidR="001A62D7" w:rsidRPr="00B60706">
        <w:rPr>
          <w:noProof/>
        </w:rPr>
        <w:t>, modificat prin Regulamentul (UE, Euratom) 2024/765 al Consiliului</w:t>
      </w:r>
      <w:r w:rsidR="001A62D7" w:rsidRPr="00B60706">
        <w:rPr>
          <w:rStyle w:val="FootnoteReference"/>
          <w:noProof/>
        </w:rPr>
        <w:footnoteReference w:id="45"/>
      </w:r>
      <w:r w:rsidR="001A62D7" w:rsidRPr="00B60706">
        <w:rPr>
          <w:noProof/>
        </w:rPr>
        <w:t>, și la articolul 16 din Regulamentul (UE) 2021/691.</w:t>
      </w:r>
    </w:p>
    <w:p w:rsidR="001A62D7" w:rsidRPr="00B60706" w:rsidRDefault="00C11631" w:rsidP="00C11631">
      <w:pPr>
        <w:pStyle w:val="ManualConsidrant"/>
        <w:rPr>
          <w:noProof/>
        </w:rPr>
      </w:pPr>
      <w:r w:rsidRPr="00C11631">
        <w:rPr>
          <w:noProof/>
        </w:rPr>
        <w:t>(3)</w:t>
      </w:r>
      <w:r w:rsidRPr="00C11631">
        <w:rPr>
          <w:noProof/>
        </w:rPr>
        <w:tab/>
      </w:r>
      <w:r w:rsidR="001A62D7" w:rsidRPr="00B60706">
        <w:rPr>
          <w:noProof/>
        </w:rPr>
        <w:t>La 18 septembrie 2025, Belgia a depus o cerere de mobilizare a FEG în conformitate cu articolul 8 alineatul (1) din Regulamentul (UE) 2021/691, referitoare la disponibilizările lucrătorilor de la Audi Brussels S.A.:n.V. și de la cinci dintre furnizorii și producătorii săi din aval din Belgia. Cererea a fost completată cu informații suplimentare furnizate în conformitate cu articolul 8 alineatul (5) din Regulamentul (UE) 2021/691. Se consideră că cererea respectivă îndeplinește condițiile de acordare a unei contribuții financiare din FEG, astfel cum sunt prevăzute la articolul 13 din Regulamentul (UE) 2021/691, pe baza evaluării efectuate de Comisie în propunerea de decizie de mobilizare a Parlamentului European și a Consiliului</w:t>
      </w:r>
      <w:r w:rsidR="001A62D7" w:rsidRPr="00B60706">
        <w:rPr>
          <w:rStyle w:val="FootnoteReference"/>
          <w:iCs/>
          <w:noProof/>
        </w:rPr>
        <w:footnoteReference w:id="46"/>
      </w:r>
      <w:r w:rsidR="001A62D7" w:rsidRPr="00B60706">
        <w:rPr>
          <w:noProof/>
        </w:rPr>
        <w:t xml:space="preserve">. </w:t>
      </w:r>
    </w:p>
    <w:p w:rsidR="001A62D7" w:rsidRPr="00B60706" w:rsidRDefault="00C11631" w:rsidP="00C11631">
      <w:pPr>
        <w:pStyle w:val="ManualConsidrant"/>
        <w:rPr>
          <w:noProof/>
        </w:rPr>
      </w:pPr>
      <w:r w:rsidRPr="00C11631">
        <w:rPr>
          <w:noProof/>
        </w:rPr>
        <w:t>(4)</w:t>
      </w:r>
      <w:r w:rsidRPr="00C11631">
        <w:rPr>
          <w:noProof/>
        </w:rPr>
        <w:tab/>
      </w:r>
      <w:r w:rsidR="001A62D7" w:rsidRPr="00B60706">
        <w:rPr>
          <w:noProof/>
        </w:rPr>
        <w:t>Prin urmare, este necesară mobilizarea FEG pentru a se furniza o contribuție financiară în valoare de 7 527 625 EUR ca urmare a cererii depuse de Belgia.</w:t>
      </w:r>
    </w:p>
    <w:p w:rsidR="001A62D7" w:rsidRPr="00B60706" w:rsidRDefault="00C11631" w:rsidP="00C11631">
      <w:pPr>
        <w:pStyle w:val="ManualConsidrant"/>
        <w:rPr>
          <w:noProof/>
        </w:rPr>
      </w:pPr>
      <w:r w:rsidRPr="00C11631">
        <w:rPr>
          <w:noProof/>
        </w:rPr>
        <w:t>(5)</w:t>
      </w:r>
      <w:r w:rsidRPr="00C11631">
        <w:rPr>
          <w:noProof/>
        </w:rPr>
        <w:tab/>
      </w:r>
      <w:r w:rsidR="001A62D7" w:rsidRPr="00B60706">
        <w:rPr>
          <w:noProof/>
        </w:rPr>
        <w:t>Pentru a se reduce la minimum timpul necesar pentru mobilizarea FEG, prezenta decizie trebuie să se aplice de la data adoptării,</w:t>
      </w:r>
    </w:p>
    <w:p w:rsidR="001A62D7" w:rsidRPr="00B60706" w:rsidRDefault="001A62D7" w:rsidP="001A62D7">
      <w:pPr>
        <w:pStyle w:val="Formuledadoption"/>
        <w:rPr>
          <w:noProof/>
        </w:rPr>
      </w:pPr>
      <w:r w:rsidRPr="00B60706">
        <w:rPr>
          <w:noProof/>
        </w:rPr>
        <w:t xml:space="preserve">ADOPTĂ PREZENTA DECIZIE: </w:t>
      </w:r>
    </w:p>
    <w:p w:rsidR="001A62D7" w:rsidRPr="00B60706" w:rsidRDefault="001A62D7" w:rsidP="001A62D7">
      <w:pPr>
        <w:pStyle w:val="Titrearticle"/>
        <w:rPr>
          <w:noProof/>
        </w:rPr>
      </w:pPr>
      <w:r w:rsidRPr="00B60706">
        <w:rPr>
          <w:noProof/>
        </w:rPr>
        <w:t>Articolul 1</w:t>
      </w:r>
    </w:p>
    <w:p w:rsidR="001A62D7" w:rsidRPr="00B60706" w:rsidRDefault="001A62D7" w:rsidP="001A62D7">
      <w:pPr>
        <w:rPr>
          <w:noProof/>
        </w:rPr>
      </w:pPr>
      <w:r w:rsidRPr="00B60706">
        <w:rPr>
          <w:noProof/>
        </w:rPr>
        <w:t>În cadrul bugetului general al Uniunii aferent exercițiului financiar 2026, Fondul european de ajustare la globalizare pentru lucrătorii disponibilizați se mobilizează pentru a se furniza cuantumul de 7 527 625 EUR, sub formă de credite de angajament și de credite de plată.</w:t>
      </w:r>
    </w:p>
    <w:p w:rsidR="001A62D7" w:rsidRPr="00B60706" w:rsidRDefault="001A62D7" w:rsidP="00A12798">
      <w:pPr>
        <w:pStyle w:val="Titrearticle"/>
        <w:rPr>
          <w:noProof/>
        </w:rPr>
      </w:pPr>
      <w:r w:rsidRPr="00B60706">
        <w:rPr>
          <w:noProof/>
        </w:rPr>
        <w:t>Articolul 2</w:t>
      </w:r>
    </w:p>
    <w:p w:rsidR="001A62D7" w:rsidRPr="00B60706" w:rsidRDefault="001A62D7" w:rsidP="001A62D7">
      <w:pPr>
        <w:keepNext/>
        <w:keepLines/>
        <w:rPr>
          <w:noProof/>
        </w:rPr>
      </w:pPr>
      <w:r w:rsidRPr="00B60706">
        <w:rPr>
          <w:noProof/>
        </w:rPr>
        <w:t xml:space="preserve">Prezenta decizie intră în vigoare la data publicării în Jurnalul Oficial al Uniunii Europene. Prezenta decizie se aplică de la </w:t>
      </w:r>
      <w:r w:rsidRPr="00B60706">
        <w:rPr>
          <w:noProof/>
          <w:color w:val="FF0000"/>
        </w:rPr>
        <w:t>[</w:t>
      </w:r>
      <w:r w:rsidRPr="00B60706">
        <w:rPr>
          <w:i/>
          <w:noProof/>
          <w:color w:val="FF0000"/>
        </w:rPr>
        <w:t>data adoptării</w:t>
      </w:r>
      <w:r w:rsidRPr="00B60706">
        <w:rPr>
          <w:noProof/>
          <w:color w:val="FF0000"/>
        </w:rPr>
        <w:t>]</w:t>
      </w:r>
      <w:r w:rsidRPr="00B60706">
        <w:rPr>
          <w:rStyle w:val="FootnoteReference"/>
          <w:noProof/>
          <w:color w:val="FF0000"/>
        </w:rPr>
        <w:footnoteReference w:customMarkFollows="1" w:id="47"/>
        <w:t>*</w:t>
      </w:r>
      <w:r w:rsidRPr="00B60706">
        <w:rPr>
          <w:noProof/>
        </w:rPr>
        <w:t>.</w:t>
      </w:r>
    </w:p>
    <w:p w:rsidR="001A62D7" w:rsidRPr="00B60706" w:rsidRDefault="007420F1" w:rsidP="00A12798">
      <w:pPr>
        <w:pStyle w:val="Fait"/>
        <w:rPr>
          <w:noProof/>
        </w:rPr>
      </w:pPr>
      <w:r>
        <w:rPr>
          <w:noProof/>
        </w:rPr>
        <w:t>Adoptată la Bruxelles,</w:t>
      </w:r>
    </w:p>
    <w:p w:rsidR="001A62D7" w:rsidRPr="00B60706" w:rsidRDefault="001A62D7" w:rsidP="00A12798">
      <w:pPr>
        <w:pStyle w:val="Institutionquisigne"/>
        <w:rPr>
          <w:noProof/>
        </w:rPr>
      </w:pPr>
      <w:r w:rsidRPr="00B60706">
        <w:rPr>
          <w:noProof/>
        </w:rPr>
        <w:t>Pentru Parlamentul European</w:t>
      </w:r>
      <w:r w:rsidRPr="00B60706">
        <w:rPr>
          <w:noProof/>
        </w:rPr>
        <w:tab/>
        <w:t>Pentru Consiliu</w:t>
      </w:r>
    </w:p>
    <w:p w:rsidR="001A62D7" w:rsidRPr="00B60706" w:rsidRDefault="001A62D7" w:rsidP="001A62D7">
      <w:pPr>
        <w:pStyle w:val="Personnequisigne"/>
        <w:rPr>
          <w:noProof/>
        </w:rPr>
      </w:pPr>
      <w:r w:rsidRPr="00B60706">
        <w:rPr>
          <w:noProof/>
        </w:rPr>
        <w:t>Președinta</w:t>
      </w:r>
      <w:r w:rsidRPr="00B60706">
        <w:rPr>
          <w:noProof/>
        </w:rPr>
        <w:tab/>
        <w:t xml:space="preserve">Președintele </w:t>
      </w:r>
      <w:r w:rsidRPr="00B60706">
        <w:rPr>
          <w:noProof/>
        </w:rPr>
        <w:br/>
      </w:r>
    </w:p>
    <w:sectPr w:rsidR="001A62D7" w:rsidRPr="00B60706" w:rsidSect="009F6901">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227" w:rsidRPr="00B60706" w:rsidRDefault="00243227" w:rsidP="001A62D7">
      <w:pPr>
        <w:spacing w:before="0" w:after="0"/>
      </w:pPr>
      <w:r w:rsidRPr="00B60706">
        <w:separator/>
      </w:r>
    </w:p>
  </w:endnote>
  <w:endnote w:type="continuationSeparator" w:id="0">
    <w:p w:rsidR="00243227" w:rsidRPr="00B60706" w:rsidRDefault="00243227" w:rsidP="001A62D7">
      <w:pPr>
        <w:spacing w:before="0" w:after="0"/>
      </w:pPr>
      <w:r w:rsidRPr="00B607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901" w:rsidRPr="009F6901" w:rsidRDefault="009F6901" w:rsidP="009F6901">
    <w:pPr>
      <w:pStyle w:val="Footer"/>
      <w:rPr>
        <w:rFonts w:ascii="Arial" w:hAnsi="Arial" w:cs="Arial"/>
        <w:b/>
        <w:sz w:val="48"/>
      </w:rPr>
    </w:pPr>
    <w:r w:rsidRPr="009F6901">
      <w:rPr>
        <w:rFonts w:ascii="Arial" w:hAnsi="Arial" w:cs="Arial"/>
        <w:b/>
        <w:sz w:val="48"/>
      </w:rPr>
      <w:t>RO</w:t>
    </w:r>
    <w:r w:rsidRPr="009F6901">
      <w:rPr>
        <w:rFonts w:ascii="Arial" w:hAnsi="Arial" w:cs="Arial"/>
        <w:b/>
        <w:sz w:val="48"/>
      </w:rPr>
      <w:tab/>
    </w:r>
    <w:r w:rsidRPr="009F6901">
      <w:rPr>
        <w:rFonts w:ascii="Arial" w:hAnsi="Arial" w:cs="Arial"/>
        <w:b/>
        <w:sz w:val="48"/>
      </w:rPr>
      <w:tab/>
    </w:r>
    <w:r w:rsidRPr="009F6901">
      <w:tab/>
    </w:r>
    <w:r w:rsidRPr="009F690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901" w:rsidRPr="009F6901" w:rsidRDefault="009F6901" w:rsidP="009F6901">
    <w:pPr>
      <w:pStyle w:val="Footer"/>
      <w:rPr>
        <w:rFonts w:ascii="Arial" w:hAnsi="Arial" w:cs="Arial"/>
        <w:b/>
        <w:sz w:val="48"/>
      </w:rPr>
    </w:pPr>
    <w:r w:rsidRPr="009F6901">
      <w:rPr>
        <w:rFonts w:ascii="Arial" w:hAnsi="Arial" w:cs="Arial"/>
        <w:b/>
        <w:sz w:val="48"/>
      </w:rPr>
      <w:t>RO</w:t>
    </w:r>
    <w:r w:rsidRPr="009F6901">
      <w:rPr>
        <w:rFonts w:ascii="Arial" w:hAnsi="Arial" w:cs="Arial"/>
        <w:b/>
        <w:sz w:val="48"/>
      </w:rPr>
      <w:tab/>
    </w:r>
    <w:r w:rsidRPr="009F6901">
      <w:rPr>
        <w:rFonts w:ascii="Arial" w:hAnsi="Arial" w:cs="Arial"/>
        <w:b/>
        <w:sz w:val="48"/>
      </w:rPr>
      <w:tab/>
    </w:r>
    <w:r w:rsidRPr="009F6901">
      <w:tab/>
    </w:r>
    <w:r w:rsidRPr="009F690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901" w:rsidRDefault="009F69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901" w:rsidRPr="009F6901" w:rsidRDefault="009F6901" w:rsidP="009F6901">
    <w:pPr>
      <w:pStyle w:val="Footer"/>
      <w:rPr>
        <w:rFonts w:ascii="Arial" w:hAnsi="Arial" w:cs="Arial"/>
        <w:b/>
        <w:sz w:val="48"/>
      </w:rPr>
    </w:pPr>
    <w:r w:rsidRPr="009F6901">
      <w:rPr>
        <w:rFonts w:ascii="Arial" w:hAnsi="Arial" w:cs="Arial"/>
        <w:b/>
        <w:sz w:val="48"/>
      </w:rPr>
      <w:t>RO</w:t>
    </w:r>
    <w:r w:rsidRPr="009F6901">
      <w:rPr>
        <w:rFonts w:ascii="Arial" w:hAnsi="Arial" w:cs="Arial"/>
        <w:b/>
        <w:sz w:val="48"/>
      </w:rPr>
      <w:tab/>
    </w:r>
    <w:r>
      <w:fldChar w:fldCharType="begin"/>
    </w:r>
    <w:r>
      <w:instrText xml:space="preserve"> PAGE  \* MERGEFORMAT </w:instrText>
    </w:r>
    <w:r>
      <w:fldChar w:fldCharType="separate"/>
    </w:r>
    <w:r w:rsidR="00A12798">
      <w:rPr>
        <w:noProof/>
      </w:rPr>
      <w:t>13</w:t>
    </w:r>
    <w:r>
      <w:fldChar w:fldCharType="end"/>
    </w:r>
    <w:r>
      <w:tab/>
    </w:r>
    <w:r w:rsidRPr="009F6901">
      <w:tab/>
    </w:r>
    <w:r w:rsidRPr="009F690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901" w:rsidRDefault="009F6901" w:rsidP="009F69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227" w:rsidRPr="00B60706" w:rsidRDefault="00243227" w:rsidP="001A62D7">
      <w:pPr>
        <w:spacing w:before="0" w:after="0"/>
      </w:pPr>
      <w:r w:rsidRPr="00B60706">
        <w:separator/>
      </w:r>
    </w:p>
  </w:footnote>
  <w:footnote w:type="continuationSeparator" w:id="0">
    <w:p w:rsidR="00243227" w:rsidRPr="00B60706" w:rsidRDefault="00243227" w:rsidP="001A62D7">
      <w:pPr>
        <w:spacing w:before="0" w:after="0"/>
      </w:pPr>
      <w:r w:rsidRPr="00B60706">
        <w:continuationSeparator/>
      </w:r>
    </w:p>
  </w:footnote>
  <w:footnote w:id="1">
    <w:p w:rsidR="001A62D7" w:rsidRPr="00B60706" w:rsidRDefault="001A62D7" w:rsidP="001A62D7">
      <w:pPr>
        <w:pStyle w:val="FootnoteText"/>
      </w:pPr>
      <w:r w:rsidRPr="00B60706">
        <w:rPr>
          <w:rStyle w:val="FootnoteReference"/>
        </w:rPr>
        <w:footnoteRef/>
      </w:r>
      <w:r w:rsidRPr="00B60706">
        <w:tab/>
        <w:t>JO</w:t>
      </w:r>
      <w:r w:rsidR="00B60706">
        <w:t> </w:t>
      </w:r>
      <w:r w:rsidRPr="00B60706">
        <w:t>L 153, 3.5.2021, p. 48.</w:t>
      </w:r>
    </w:p>
  </w:footnote>
  <w:footnote w:id="2">
    <w:p w:rsidR="001A62D7" w:rsidRPr="00B60706" w:rsidRDefault="001A62D7" w:rsidP="001A62D7">
      <w:pPr>
        <w:pStyle w:val="FootnoteText"/>
      </w:pPr>
      <w:r w:rsidRPr="00B60706">
        <w:rPr>
          <w:rStyle w:val="FootnoteReference"/>
        </w:rPr>
        <w:footnoteRef/>
      </w:r>
      <w:r w:rsidRPr="00B60706">
        <w:tab/>
        <w:t>Regulamentul Delegat (UE) 2019/1755 al Comisiei din 8 august 2019 de modificare a anexelor la Regulamentul (CE) nr. 1059/2003 al Parlamentului European și al Consiliului privind instituirea unui nomenclator comun al unităților teritoriale de statistică (NUTS). JO</w:t>
      </w:r>
      <w:r w:rsidR="00B60706">
        <w:t> </w:t>
      </w:r>
      <w:r w:rsidRPr="00B60706">
        <w:t>L 270, 24.10.2019, p. 1-56.</w:t>
      </w:r>
    </w:p>
  </w:footnote>
  <w:footnote w:id="3">
    <w:p w:rsidR="001C4425" w:rsidRPr="00B60706" w:rsidRDefault="001C4425">
      <w:pPr>
        <w:pStyle w:val="FootnoteText"/>
      </w:pPr>
      <w:r w:rsidRPr="00B60706">
        <w:rPr>
          <w:rStyle w:val="FootnoteReference"/>
        </w:rPr>
        <w:footnoteRef/>
      </w:r>
      <w:r w:rsidRPr="00B60706">
        <w:tab/>
        <w:t xml:space="preserve">Regiunile cele mai afectate, deoarece concedierile sunt răspândite pe întreg teritoriul Belgiei. </w:t>
      </w:r>
    </w:p>
  </w:footnote>
  <w:footnote w:id="4">
    <w:p w:rsidR="001A62D7" w:rsidRPr="00B60706" w:rsidRDefault="001A62D7" w:rsidP="001A62D7">
      <w:pPr>
        <w:pStyle w:val="FootnoteText"/>
      </w:pPr>
      <w:r w:rsidRPr="00B60706">
        <w:rPr>
          <w:rStyle w:val="FootnoteReference"/>
        </w:rPr>
        <w:footnoteRef/>
      </w:r>
      <w:r w:rsidRPr="00B60706">
        <w:tab/>
        <w:t>JO</w:t>
      </w:r>
      <w:r w:rsidR="00B60706">
        <w:t> </w:t>
      </w:r>
      <w:r w:rsidRPr="00B60706">
        <w:t>L 393, 30.12.2006, p. 1.</w:t>
      </w:r>
    </w:p>
  </w:footnote>
  <w:footnote w:id="5">
    <w:p w:rsidR="00424B7A" w:rsidRPr="00B60706" w:rsidRDefault="00424B7A">
      <w:pPr>
        <w:pStyle w:val="FootnoteText"/>
      </w:pPr>
      <w:r w:rsidRPr="00B60706">
        <w:rPr>
          <w:rStyle w:val="FootnoteReference"/>
        </w:rPr>
        <w:footnoteRef/>
      </w:r>
      <w:r w:rsidRPr="00B60706">
        <w:tab/>
        <w:t>Sectorul de activitate economică al celor doi furnizori și producători din aval ai Audi (Imperial logistics și Rhenus automotive) este diviziunea 52 (Antrepozitare, depozitare și activități auxiliare pentru transporturi).</w:t>
      </w:r>
    </w:p>
  </w:footnote>
  <w:footnote w:id="6">
    <w:p w:rsidR="001A62D7" w:rsidRPr="00B60706" w:rsidRDefault="001A62D7" w:rsidP="001A62D7">
      <w:pPr>
        <w:pStyle w:val="FootnoteText"/>
      </w:pPr>
      <w:r w:rsidRPr="00B60706">
        <w:rPr>
          <w:rStyle w:val="FootnoteReference"/>
        </w:rPr>
        <w:footnoteRef/>
      </w:r>
      <w:r w:rsidRPr="00B60706">
        <w:tab/>
        <w:t>În conformitate cu articolul 7 alineatul (5) din Regulamentul (UE) 2021/691.</w:t>
      </w:r>
    </w:p>
  </w:footnote>
  <w:footnote w:id="7">
    <w:p w:rsidR="003479D0" w:rsidRPr="00B60706" w:rsidRDefault="003479D0">
      <w:pPr>
        <w:pStyle w:val="FootnoteText"/>
      </w:pPr>
      <w:r w:rsidRPr="00B60706">
        <w:rPr>
          <w:rStyle w:val="FootnoteReference"/>
        </w:rPr>
        <w:footnoteRef/>
      </w:r>
      <w:r w:rsidRPr="00B60706">
        <w:tab/>
        <w:t>O linie de presă este un set de mașini de ștanțare și formare concepute pentru a produce în masă piese metalice, cum ar fi șasiurile și elementele de caroserie.</w:t>
      </w:r>
    </w:p>
  </w:footnote>
  <w:footnote w:id="8">
    <w:p w:rsidR="002B1CAD" w:rsidRPr="00B60706" w:rsidRDefault="002B1CAD">
      <w:pPr>
        <w:pStyle w:val="FootnoteText"/>
      </w:pPr>
      <w:r w:rsidRPr="00B60706">
        <w:rPr>
          <w:rStyle w:val="FootnoteReference"/>
        </w:rPr>
        <w:footnoteRef/>
      </w:r>
      <w:r w:rsidRPr="00B60706">
        <w:tab/>
        <w:t>Revista economică a Băncii Naționale a Belgiei 2024, p. 18.</w:t>
      </w:r>
    </w:p>
  </w:footnote>
  <w:footnote w:id="9">
    <w:p w:rsidR="00F11701" w:rsidRPr="00B60706" w:rsidRDefault="00F11701">
      <w:pPr>
        <w:pStyle w:val="FootnoteText"/>
      </w:pPr>
      <w:r w:rsidRPr="00B60706">
        <w:rPr>
          <w:rStyle w:val="FootnoteReference"/>
        </w:rPr>
        <w:footnoteRef/>
      </w:r>
      <w:r w:rsidRPr="00B60706">
        <w:tab/>
      </w:r>
      <w:hyperlink r:id="rId1" w:history="1">
        <w:r w:rsidRPr="00B60706">
          <w:rPr>
            <w:rStyle w:val="Hyperlink"/>
          </w:rPr>
          <w:t>Statbel (falimente în 2024)</w:t>
        </w:r>
      </w:hyperlink>
      <w:r w:rsidRPr="00B60706">
        <w:t>.</w:t>
      </w:r>
    </w:p>
  </w:footnote>
  <w:footnote w:id="10">
    <w:p w:rsidR="00F054C5" w:rsidRPr="00B60706" w:rsidRDefault="00F054C5">
      <w:pPr>
        <w:pStyle w:val="FootnoteText"/>
      </w:pPr>
      <w:r w:rsidRPr="00B60706">
        <w:rPr>
          <w:rStyle w:val="FootnoteReference"/>
        </w:rPr>
        <w:footnoteRef/>
      </w:r>
      <w:r w:rsidRPr="00B60706">
        <w:tab/>
      </w:r>
      <w:hyperlink r:id="rId2" w:anchor="cifre" w:history="1">
        <w:r w:rsidRPr="00B60706">
          <w:rPr>
            <w:rStyle w:val="Hyperlink"/>
          </w:rPr>
          <w:t>Statbel (falimente lunare)</w:t>
        </w:r>
      </w:hyperlink>
      <w:r w:rsidRPr="00B60706">
        <w:t>.</w:t>
      </w:r>
    </w:p>
  </w:footnote>
  <w:footnote w:id="11">
    <w:p w:rsidR="00AD00C3" w:rsidRPr="00B60706" w:rsidRDefault="00AD00C3">
      <w:pPr>
        <w:pStyle w:val="FootnoteText"/>
      </w:pPr>
      <w:r w:rsidRPr="00B60706">
        <w:rPr>
          <w:rStyle w:val="FootnoteReference"/>
        </w:rPr>
        <w:footnoteRef/>
      </w:r>
      <w:r w:rsidRPr="00B60706">
        <w:tab/>
        <w:t xml:space="preserve">Le Forem, </w:t>
      </w:r>
      <w:r w:rsidRPr="00B60706">
        <w:rPr>
          <w:i/>
        </w:rPr>
        <w:t xml:space="preserve">Tendances et conjoncture </w:t>
      </w:r>
      <w:r w:rsidRPr="00B60706">
        <w:t>(Tendințe și conjunctură), februarie 2025, p. 10</w:t>
      </w:r>
      <w:r w:rsidR="00B60706">
        <w:t>.</w:t>
      </w:r>
    </w:p>
  </w:footnote>
  <w:footnote w:id="12">
    <w:p w:rsidR="00217F8F" w:rsidRPr="00B60706" w:rsidRDefault="00217F8F">
      <w:pPr>
        <w:pStyle w:val="FootnoteText"/>
      </w:pPr>
      <w:r w:rsidRPr="00B60706">
        <w:rPr>
          <w:rStyle w:val="FootnoteReference"/>
        </w:rPr>
        <w:footnoteRef/>
      </w:r>
      <w:r w:rsidRPr="00B60706">
        <w:tab/>
      </w:r>
      <w:hyperlink r:id="rId3" w:history="1">
        <w:r w:rsidRPr="00B60706">
          <w:rPr>
            <w:rStyle w:val="Hyperlink"/>
          </w:rPr>
          <w:t>Statbel (falimente în 2024)</w:t>
        </w:r>
      </w:hyperlink>
      <w:r w:rsidRPr="00B60706">
        <w:t>.</w:t>
      </w:r>
    </w:p>
  </w:footnote>
  <w:footnote w:id="13">
    <w:p w:rsidR="004C5360" w:rsidRPr="00B60706" w:rsidRDefault="004C5360">
      <w:pPr>
        <w:pStyle w:val="FootnoteText"/>
      </w:pPr>
      <w:r w:rsidRPr="00B60706">
        <w:rPr>
          <w:rStyle w:val="FootnoteReference"/>
        </w:rPr>
        <w:footnoteRef/>
      </w:r>
      <w:r w:rsidRPr="00B60706">
        <w:tab/>
        <w:t>Statbel (</w:t>
      </w:r>
      <w:hyperlink r:id="rId4" w:history="1">
        <w:r w:rsidRPr="00B60706">
          <w:rPr>
            <w:rStyle w:val="Hyperlink"/>
          </w:rPr>
          <w:t>Falimente și disponibilizări în Belgia pe lună</w:t>
        </w:r>
      </w:hyperlink>
      <w:r w:rsidRPr="00B60706">
        <w:t xml:space="preserve">). </w:t>
      </w:r>
    </w:p>
  </w:footnote>
  <w:footnote w:id="14">
    <w:p w:rsidR="00D95ACC" w:rsidRPr="00B60706" w:rsidRDefault="00D95ACC">
      <w:pPr>
        <w:pStyle w:val="FootnoteText"/>
      </w:pPr>
      <w:r w:rsidRPr="00B60706">
        <w:rPr>
          <w:rStyle w:val="FootnoteReference"/>
        </w:rPr>
        <w:footnoteRef/>
      </w:r>
      <w:r w:rsidRPr="00B60706">
        <w:tab/>
        <w:t>Statbel (</w:t>
      </w:r>
      <w:hyperlink r:id="rId5" w:history="1">
        <w:r w:rsidRPr="00B60706">
          <w:rPr>
            <w:rStyle w:val="Hyperlink"/>
          </w:rPr>
          <w:t>Falimente și disponibilizări în funcție de activitatea economică din Belgia pe lună</w:t>
        </w:r>
      </w:hyperlink>
      <w:r w:rsidRPr="00B60706">
        <w:t xml:space="preserve">). </w:t>
      </w:r>
    </w:p>
  </w:footnote>
  <w:footnote w:id="15">
    <w:p w:rsidR="00583654" w:rsidRPr="00B60706" w:rsidRDefault="00583654">
      <w:pPr>
        <w:pStyle w:val="FootnoteText"/>
      </w:pPr>
      <w:r w:rsidRPr="00B60706">
        <w:rPr>
          <w:rStyle w:val="FootnoteReference"/>
        </w:rPr>
        <w:footnoteRef/>
      </w:r>
      <w:r w:rsidRPr="00B60706">
        <w:tab/>
        <w:t>Statbel (</w:t>
      </w:r>
      <w:hyperlink r:id="rId6" w:anchor="cifre" w:history="1">
        <w:r w:rsidRPr="00B60706">
          <w:rPr>
            <w:rStyle w:val="Hyperlink"/>
          </w:rPr>
          <w:t>Ocuparea forței de muncă și șomaj</w:t>
        </w:r>
      </w:hyperlink>
      <w:r w:rsidRPr="00B60706">
        <w:t>).</w:t>
      </w:r>
    </w:p>
  </w:footnote>
  <w:footnote w:id="16">
    <w:p w:rsidR="00583654" w:rsidRPr="00B60706" w:rsidRDefault="00583654">
      <w:pPr>
        <w:pStyle w:val="FootnoteText"/>
      </w:pPr>
      <w:r w:rsidRPr="00B60706">
        <w:rPr>
          <w:rStyle w:val="FootnoteReference"/>
        </w:rPr>
        <w:footnoteRef/>
      </w:r>
      <w:r w:rsidRPr="00B60706">
        <w:tab/>
        <w:t xml:space="preserve">Eurostat, </w:t>
      </w:r>
      <w:hyperlink r:id="rId7" w:anchor=":~:text=The%20EU%20unemployment%20rate%20was,were%20unemployed%20in%20August%202025." w:history="1">
        <w:r w:rsidRPr="00B60706">
          <w:rPr>
            <w:rStyle w:val="Hyperlink"/>
          </w:rPr>
          <w:t>Indicatori Euro</w:t>
        </w:r>
      </w:hyperlink>
      <w:r w:rsidRPr="00B60706">
        <w:t>.</w:t>
      </w:r>
    </w:p>
  </w:footnote>
  <w:footnote w:id="17">
    <w:p w:rsidR="00583654" w:rsidRPr="00B60706" w:rsidRDefault="00583654">
      <w:pPr>
        <w:pStyle w:val="FootnoteText"/>
      </w:pPr>
      <w:r w:rsidRPr="00B60706">
        <w:rPr>
          <w:rStyle w:val="FootnoteReference"/>
        </w:rPr>
        <w:footnoteRef/>
      </w:r>
      <w:r w:rsidRPr="00B60706">
        <w:tab/>
        <w:t>Statbel (</w:t>
      </w:r>
      <w:hyperlink r:id="rId8" w:anchor="cifre" w:history="1">
        <w:r w:rsidRPr="00B60706">
          <w:rPr>
            <w:rStyle w:val="Hyperlink"/>
          </w:rPr>
          <w:t>Ocuparea forței de muncă și șomaj</w:t>
        </w:r>
      </w:hyperlink>
      <w:r w:rsidRPr="00B60706">
        <w:t>).</w:t>
      </w:r>
    </w:p>
  </w:footnote>
  <w:footnote w:id="18">
    <w:p w:rsidR="00982507" w:rsidRPr="00B60706" w:rsidRDefault="00982507">
      <w:pPr>
        <w:pStyle w:val="FootnoteText"/>
      </w:pPr>
      <w:r w:rsidRPr="00B60706">
        <w:rPr>
          <w:rStyle w:val="FootnoteReference"/>
        </w:rPr>
        <w:footnoteRef/>
      </w:r>
      <w:r w:rsidRPr="00B60706">
        <w:tab/>
        <w:t>Statbel (</w:t>
      </w:r>
      <w:hyperlink r:id="rId9" w:history="1">
        <w:r w:rsidRPr="00B60706">
          <w:rPr>
            <w:rStyle w:val="Hyperlink"/>
          </w:rPr>
          <w:t>Ocuparea forței de muncă și șomaj</w:t>
        </w:r>
      </w:hyperlink>
      <w:r w:rsidRPr="00B60706">
        <w:t>).</w:t>
      </w:r>
    </w:p>
  </w:footnote>
  <w:footnote w:id="19">
    <w:p w:rsidR="0041705D" w:rsidRPr="00B60706" w:rsidRDefault="0041705D">
      <w:pPr>
        <w:pStyle w:val="FootnoteText"/>
      </w:pPr>
      <w:r w:rsidRPr="00B60706">
        <w:rPr>
          <w:rStyle w:val="FootnoteReference"/>
        </w:rPr>
        <w:footnoteRef/>
      </w:r>
      <w:r w:rsidRPr="00B60706">
        <w:tab/>
        <w:t>Statbel (</w:t>
      </w:r>
      <w:hyperlink r:id="rId10" w:anchor="Grup-11" w:history="1">
        <w:r w:rsidRPr="00B60706">
          <w:rPr>
            <w:rStyle w:val="Hyperlink"/>
          </w:rPr>
          <w:t>Ocuparea forței de muncă și șomaj</w:t>
        </w:r>
      </w:hyperlink>
      <w:r w:rsidRPr="00B60706">
        <w:t>).</w:t>
      </w:r>
    </w:p>
  </w:footnote>
  <w:footnote w:id="20">
    <w:p w:rsidR="005E5B98" w:rsidRPr="00B60706" w:rsidRDefault="005E5B98">
      <w:pPr>
        <w:pStyle w:val="FootnoteText"/>
      </w:pPr>
      <w:r w:rsidRPr="00B60706">
        <w:rPr>
          <w:rStyle w:val="FootnoteReference"/>
        </w:rPr>
        <w:footnoteRef/>
      </w:r>
      <w:r w:rsidRPr="00B60706">
        <w:tab/>
        <w:t>Le Forem. Situația locală a cererii de locuri de muncă. Ianuarie 2025.</w:t>
      </w:r>
    </w:p>
  </w:footnote>
  <w:footnote w:id="21">
    <w:p w:rsidR="005E5B98" w:rsidRPr="00B60706" w:rsidRDefault="005E5B98">
      <w:pPr>
        <w:pStyle w:val="FootnoteText"/>
      </w:pPr>
      <w:r w:rsidRPr="00B60706">
        <w:rPr>
          <w:rStyle w:val="FootnoteReference"/>
        </w:rPr>
        <w:footnoteRef/>
      </w:r>
      <w:r w:rsidRPr="00B60706">
        <w:tab/>
      </w:r>
      <w:hyperlink r:id="rId11" w:history="1">
        <w:r w:rsidRPr="00B60706">
          <w:rPr>
            <w:rStyle w:val="Hyperlink"/>
          </w:rPr>
          <w:t>Région de Bruxelles-Capitale.</w:t>
        </w:r>
      </w:hyperlink>
      <w:hyperlink r:id="rId12" w:history="1">
        <w:r w:rsidRPr="00B60706">
          <w:rPr>
            <w:rStyle w:val="Hyperlink"/>
          </w:rPr>
          <w:t xml:space="preserve"> Cererea de locuri de muncă - septembrie 2025</w:t>
        </w:r>
        <w:r w:rsidRPr="00360C26">
          <w:rPr>
            <w:rStyle w:val="Hyperlink"/>
            <w:u w:val="none"/>
          </w:rPr>
          <w:t>.</w:t>
        </w:r>
      </w:hyperlink>
    </w:p>
  </w:footnote>
  <w:footnote w:id="22">
    <w:p w:rsidR="005C7561" w:rsidRPr="00B60706" w:rsidRDefault="005C7561">
      <w:pPr>
        <w:pStyle w:val="FootnoteText"/>
      </w:pPr>
      <w:r w:rsidRPr="00B60706">
        <w:rPr>
          <w:rStyle w:val="FootnoteReference"/>
        </w:rPr>
        <w:footnoteRef/>
      </w:r>
      <w:r w:rsidRPr="00B60706">
        <w:tab/>
        <w:t xml:space="preserve">Învățământ secundar mediu sau nivel inferior. </w:t>
      </w:r>
    </w:p>
  </w:footnote>
  <w:footnote w:id="23">
    <w:p w:rsidR="002D19DD" w:rsidRPr="00B60706" w:rsidRDefault="002D19DD">
      <w:pPr>
        <w:pStyle w:val="FootnoteText"/>
      </w:pPr>
      <w:r w:rsidRPr="00B60706">
        <w:rPr>
          <w:rStyle w:val="FootnoteReference"/>
        </w:rPr>
        <w:footnoteRef/>
      </w:r>
      <w:r w:rsidRPr="00B60706">
        <w:tab/>
        <w:t>Le Forem. Situația locală a cererii de locuri de muncă. Ianuarie 2025.</w:t>
      </w:r>
    </w:p>
  </w:footnote>
  <w:footnote w:id="24">
    <w:p w:rsidR="005E5B98" w:rsidRPr="00B60706" w:rsidRDefault="005E5B98">
      <w:pPr>
        <w:pStyle w:val="FootnoteText"/>
      </w:pPr>
      <w:r w:rsidRPr="00B60706">
        <w:rPr>
          <w:rStyle w:val="FootnoteReference"/>
        </w:rPr>
        <w:footnoteRef/>
      </w:r>
      <w:r w:rsidRPr="00B60706">
        <w:tab/>
      </w:r>
      <w:hyperlink r:id="rId13" w:history="1">
        <w:r w:rsidRPr="00B60706">
          <w:rPr>
            <w:rStyle w:val="Hyperlink"/>
          </w:rPr>
          <w:t>Région de Bruxelles-Capitale.</w:t>
        </w:r>
      </w:hyperlink>
      <w:hyperlink r:id="rId14" w:history="1">
        <w:r w:rsidRPr="00B60706">
          <w:rPr>
            <w:rStyle w:val="Hyperlink"/>
          </w:rPr>
          <w:t xml:space="preserve"> Cererea de locuri de muncă - septembrie 2025</w:t>
        </w:r>
        <w:r w:rsidRPr="00360C26">
          <w:rPr>
            <w:rStyle w:val="Hyperlink"/>
            <w:u w:val="none"/>
          </w:rPr>
          <w:t>.</w:t>
        </w:r>
      </w:hyperlink>
    </w:p>
  </w:footnote>
  <w:footnote w:id="25">
    <w:p w:rsidR="0041089B" w:rsidRPr="00B60706" w:rsidRDefault="0041089B">
      <w:pPr>
        <w:pStyle w:val="FootnoteText"/>
      </w:pPr>
      <w:r w:rsidRPr="00B60706">
        <w:rPr>
          <w:rStyle w:val="FootnoteReference"/>
        </w:rPr>
        <w:footnoteRef/>
      </w:r>
      <w:r w:rsidRPr="00B60706">
        <w:tab/>
        <w:t>Decretul regal din 10 noiembrie 2006 de modificare a Decretului regal din 9 martie 2006.</w:t>
      </w:r>
    </w:p>
  </w:footnote>
  <w:footnote w:id="26">
    <w:p w:rsidR="001C15E0" w:rsidRPr="00B60706" w:rsidRDefault="001C15E0">
      <w:pPr>
        <w:pStyle w:val="FootnoteText"/>
      </w:pPr>
      <w:r w:rsidRPr="00B60706">
        <w:rPr>
          <w:rStyle w:val="FootnoteReference"/>
        </w:rPr>
        <w:footnoteRef/>
      </w:r>
      <w:r w:rsidRPr="00B60706">
        <w:tab/>
        <w:t>Actiris.</w:t>
      </w:r>
    </w:p>
  </w:footnote>
  <w:footnote w:id="27">
    <w:p w:rsidR="001C15E0" w:rsidRPr="00B60706" w:rsidRDefault="001C15E0">
      <w:pPr>
        <w:pStyle w:val="FootnoteText"/>
      </w:pPr>
      <w:r w:rsidRPr="00B60706">
        <w:rPr>
          <w:rStyle w:val="FootnoteReference"/>
        </w:rPr>
        <w:footnoteRef/>
      </w:r>
      <w:r w:rsidRPr="00B60706">
        <w:tab/>
        <w:t>Vlaamse Dienst voor Arbeidsbemiddeling en Beroepsopleiding (VDAB).</w:t>
      </w:r>
    </w:p>
  </w:footnote>
  <w:footnote w:id="28">
    <w:p w:rsidR="001C15E0" w:rsidRPr="00B60706" w:rsidRDefault="001C15E0">
      <w:pPr>
        <w:pStyle w:val="FootnoteText"/>
      </w:pPr>
      <w:r w:rsidRPr="00B60706">
        <w:rPr>
          <w:rStyle w:val="FootnoteReference"/>
        </w:rPr>
        <w:footnoteRef/>
      </w:r>
      <w:r w:rsidRPr="00B60706">
        <w:tab/>
        <w:t>Le Forem</w:t>
      </w:r>
      <w:r w:rsidR="00360C26">
        <w:t>.</w:t>
      </w:r>
    </w:p>
  </w:footnote>
  <w:footnote w:id="29">
    <w:p w:rsidR="005F3E79" w:rsidRPr="00B60706" w:rsidRDefault="005F3E79">
      <w:pPr>
        <w:pStyle w:val="FootnoteText"/>
      </w:pPr>
      <w:r w:rsidRPr="00B60706">
        <w:rPr>
          <w:rStyle w:val="FootnoteReference"/>
        </w:rPr>
        <w:footnoteRef/>
      </w:r>
      <w:r w:rsidRPr="00B60706">
        <w:tab/>
        <w:t>La 4 noiembrie și la 11 decembrie 2024, la 29 ianuarie și la 10 martie 2025 (listă neexhaustivă).</w:t>
      </w:r>
    </w:p>
  </w:footnote>
  <w:footnote w:id="30">
    <w:p w:rsidR="00A6604A" w:rsidRPr="00B60706" w:rsidRDefault="00A6604A">
      <w:pPr>
        <w:pStyle w:val="FootnoteText"/>
      </w:pPr>
      <w:r w:rsidRPr="00B60706">
        <w:rPr>
          <w:rStyle w:val="FootnoteReference"/>
        </w:rPr>
        <w:footnoteRef/>
      </w:r>
      <w:r w:rsidRPr="00B60706">
        <w:tab/>
        <w:t>Confederația Sindicatelor Creștine (ACV-CSC), Federația Generală a Muncii din Belgia (ABVV-FGTB), Confederația Generală a Sindicatelor Liberale din Belgia (ACLVB-CGSLB).</w:t>
      </w:r>
    </w:p>
  </w:footnote>
  <w:footnote w:id="31">
    <w:p w:rsidR="001A62D7" w:rsidRPr="00B60706" w:rsidRDefault="001A62D7" w:rsidP="001A62D7">
      <w:pPr>
        <w:pStyle w:val="FootnoteText"/>
      </w:pPr>
      <w:r w:rsidRPr="00B60706">
        <w:rPr>
          <w:rStyle w:val="FootnoteReference"/>
        </w:rPr>
        <w:footnoteRef/>
      </w:r>
      <w:r w:rsidRPr="00B60706">
        <w:tab/>
        <w:t>ISCED 0-2</w:t>
      </w:r>
      <w:r w:rsidR="00360C26">
        <w:t>.</w:t>
      </w:r>
    </w:p>
  </w:footnote>
  <w:footnote w:id="32">
    <w:p w:rsidR="001A62D7" w:rsidRPr="00B60706" w:rsidRDefault="001A62D7" w:rsidP="001A62D7">
      <w:pPr>
        <w:pStyle w:val="FootnoteText"/>
      </w:pPr>
      <w:r w:rsidRPr="00B60706">
        <w:rPr>
          <w:rStyle w:val="FootnoteReference"/>
        </w:rPr>
        <w:footnoteRef/>
      </w:r>
      <w:r w:rsidRPr="00B60706">
        <w:tab/>
        <w:t>ISCED 3</w:t>
      </w:r>
      <w:r w:rsidR="00360C26">
        <w:t>.</w:t>
      </w:r>
    </w:p>
  </w:footnote>
  <w:footnote w:id="33">
    <w:p w:rsidR="001A62D7" w:rsidRPr="00B60706" w:rsidRDefault="001A62D7" w:rsidP="001A62D7">
      <w:pPr>
        <w:pStyle w:val="FootnoteText"/>
      </w:pPr>
      <w:r w:rsidRPr="00B60706">
        <w:rPr>
          <w:rStyle w:val="FootnoteReference"/>
        </w:rPr>
        <w:footnoteRef/>
      </w:r>
      <w:r w:rsidRPr="00B60706">
        <w:tab/>
        <w:t>ISCED 4</w:t>
      </w:r>
      <w:r w:rsidR="00360C26">
        <w:t>.</w:t>
      </w:r>
    </w:p>
  </w:footnote>
  <w:footnote w:id="34">
    <w:p w:rsidR="001A62D7" w:rsidRPr="00B60706" w:rsidRDefault="001A62D7" w:rsidP="001A62D7">
      <w:pPr>
        <w:pStyle w:val="FootnoteText"/>
      </w:pPr>
      <w:r w:rsidRPr="00B60706">
        <w:rPr>
          <w:rStyle w:val="FootnoteReference"/>
        </w:rPr>
        <w:footnoteRef/>
      </w:r>
      <w:r w:rsidRPr="00B60706">
        <w:tab/>
        <w:t>ISCED 5-8</w:t>
      </w:r>
      <w:r w:rsidR="00360C26">
        <w:t>.</w:t>
      </w:r>
    </w:p>
  </w:footnote>
  <w:footnote w:id="35">
    <w:p w:rsidR="004C617C" w:rsidRPr="00B60706" w:rsidRDefault="004C617C">
      <w:pPr>
        <w:pStyle w:val="FootnoteText"/>
      </w:pPr>
      <w:r w:rsidRPr="00B60706">
        <w:rPr>
          <w:rStyle w:val="FootnoteReference"/>
        </w:rPr>
        <w:footnoteRef/>
      </w:r>
      <w:r w:rsidRPr="00B60706">
        <w:tab/>
      </w:r>
      <w:hyperlink r:id="rId15" w:history="1">
        <w:r w:rsidRPr="00B60706">
          <w:rPr>
            <w:rStyle w:val="Hyperlink"/>
          </w:rPr>
          <w:t>Lista locurilor de muncă pentru care există cerere, dar sunt greu de ocupat, sau care implică funcții esențiale.</w:t>
        </w:r>
      </w:hyperlink>
      <w:hyperlink r:id="rId16" w:history="1">
        <w:r w:rsidRPr="00B60706">
          <w:rPr>
            <w:rStyle w:val="Hyperlink"/>
          </w:rPr>
          <w:t xml:space="preserve"> « Métiers en tension de recrutement en Wallonie.</w:t>
        </w:r>
      </w:hyperlink>
      <w:hyperlink r:id="rId17" w:history="1">
        <w:r w:rsidRPr="00B60706">
          <w:rPr>
            <w:rStyle w:val="Hyperlink"/>
          </w:rPr>
          <w:t xml:space="preserve"> Liste des métiers/fonctions critiques et en pénurie ».</w:t>
        </w:r>
      </w:hyperlink>
      <w:hyperlink r:id="rId18" w:history="1">
        <w:r w:rsidRPr="00B60706">
          <w:rPr>
            <w:rStyle w:val="Hyperlink"/>
          </w:rPr>
          <w:t xml:space="preserve"> Le Forem 2025</w:t>
        </w:r>
      </w:hyperlink>
      <w:r w:rsidRPr="00B60706">
        <w:rPr>
          <w:rStyle w:val="Hyperlink"/>
        </w:rPr>
        <w:t>.</w:t>
      </w:r>
      <w:r w:rsidRPr="00B60706">
        <w:tab/>
      </w:r>
    </w:p>
  </w:footnote>
  <w:footnote w:id="36">
    <w:p w:rsidR="001A62D7" w:rsidRPr="00B60706" w:rsidRDefault="001A62D7" w:rsidP="001A62D7">
      <w:pPr>
        <w:pStyle w:val="FootnoteText"/>
      </w:pPr>
      <w:r w:rsidRPr="00B60706">
        <w:rPr>
          <w:rStyle w:val="FootnoteReference"/>
        </w:rPr>
        <w:footnoteRef/>
      </w:r>
      <w:r w:rsidRPr="00B60706">
        <w:tab/>
        <w:t>Pentru a se evita zecimalele, costurile estimate per lucrător au fost rotunjite. Cu toate acestea, rotunjirile nu au niciun impact asupra costului total al fiecărei măsuri, care nu diferă de cel indicat în cererea prezentată de Belgia.</w:t>
      </w:r>
    </w:p>
  </w:footnote>
  <w:footnote w:id="37">
    <w:p w:rsidR="001A62D7" w:rsidRPr="00B60706" w:rsidRDefault="001A62D7" w:rsidP="001A62D7">
      <w:pPr>
        <w:pStyle w:val="FootnoteText"/>
      </w:pPr>
      <w:r w:rsidRPr="00B60706">
        <w:rPr>
          <w:rStyle w:val="FootnoteReference"/>
        </w:rPr>
        <w:footnoteRef/>
      </w:r>
      <w:r w:rsidRPr="00B60706">
        <w:tab/>
        <w:t>Totalurile nu corespund exact din cauza rotunjirilor.</w:t>
      </w:r>
    </w:p>
  </w:footnote>
  <w:footnote w:id="38">
    <w:p w:rsidR="001A62D7" w:rsidRPr="00B60706" w:rsidRDefault="001A62D7" w:rsidP="001A62D7">
      <w:pPr>
        <w:pStyle w:val="FootnoteText"/>
      </w:pPr>
      <w:r w:rsidRPr="00B60706">
        <w:rPr>
          <w:rStyle w:val="FootnoteReference"/>
        </w:rPr>
        <w:footnoteRef/>
      </w:r>
      <w:r w:rsidRPr="00B60706">
        <w:tab/>
        <w:t>JO</w:t>
      </w:r>
      <w:r w:rsidR="00360C26">
        <w:t> </w:t>
      </w:r>
      <w:r w:rsidRPr="00B60706">
        <w:t>L 433 I, 22.12.2020, p. 11.</w:t>
      </w:r>
    </w:p>
  </w:footnote>
  <w:footnote w:id="39">
    <w:p w:rsidR="001A62D7" w:rsidRPr="00B60706" w:rsidRDefault="001A62D7" w:rsidP="001A62D7">
      <w:pPr>
        <w:pStyle w:val="FootnoteText"/>
      </w:pPr>
      <w:r w:rsidRPr="00B60706">
        <w:rPr>
          <w:rStyle w:val="FootnoteReference"/>
        </w:rPr>
        <w:footnoteRef/>
      </w:r>
      <w:r w:rsidRPr="00B60706">
        <w:tab/>
        <w:t>JO</w:t>
      </w:r>
      <w:r w:rsidR="00360C26">
        <w:t> </w:t>
      </w:r>
      <w:r w:rsidRPr="00B60706">
        <w:t xml:space="preserve">L, 2024/765, 29.2.2024, ELI: http://data.europa.eu/eli/reg/2024/765/oj. </w:t>
      </w:r>
    </w:p>
  </w:footnote>
  <w:footnote w:id="40">
    <w:p w:rsidR="001A62D7" w:rsidRPr="00B60706" w:rsidRDefault="001A62D7" w:rsidP="001A62D7">
      <w:pPr>
        <w:pStyle w:val="FootnoteText"/>
      </w:pPr>
      <w:r w:rsidRPr="00B60706">
        <w:rPr>
          <w:rStyle w:val="FootnoteReference"/>
        </w:rPr>
        <w:footnoteRef/>
      </w:r>
      <w:r w:rsidRPr="00B60706">
        <w:tab/>
        <w:t>JO</w:t>
      </w:r>
      <w:r w:rsidR="00360C26">
        <w:t> </w:t>
      </w:r>
      <w:r w:rsidRPr="00B60706">
        <w:t>L 433 I, 22.12.2020, p. 28.</w:t>
      </w:r>
    </w:p>
  </w:footnote>
  <w:footnote w:id="41">
    <w:p w:rsidR="001A62D7" w:rsidRPr="00B60706" w:rsidRDefault="001A62D7" w:rsidP="001A62D7">
      <w:pPr>
        <w:pStyle w:val="FootnoteText"/>
      </w:pPr>
      <w:r w:rsidRPr="00B60706">
        <w:rPr>
          <w:rStyle w:val="FootnoteReference"/>
        </w:rPr>
        <w:footnoteRef/>
      </w:r>
      <w:r w:rsidRPr="00B60706">
        <w:tab/>
        <w:t>Regulamentul (UE, Euratom) 2024/2509 al Parlamentului European și al Consiliului din 23 septembrie 2024 privind normele financiare aplicabile bugetului general al Uniunii (reformare) JO L, 2024/2509, 26.9.2024, ELI: http://data.europa.eu/eli/reg/2024/2509/oj.</w:t>
      </w:r>
    </w:p>
  </w:footnote>
  <w:footnote w:id="42">
    <w:p w:rsidR="001A62D7" w:rsidRPr="00B60706" w:rsidRDefault="001A62D7" w:rsidP="001A62D7">
      <w:pPr>
        <w:pStyle w:val="FootnoteText"/>
      </w:pPr>
      <w:r w:rsidRPr="00B60706">
        <w:rPr>
          <w:rStyle w:val="FootnoteReference"/>
        </w:rPr>
        <w:footnoteRef/>
      </w:r>
      <w:r w:rsidRPr="00B60706">
        <w:tab/>
        <w:t>JO</w:t>
      </w:r>
      <w:r w:rsidR="00B60706">
        <w:t> </w:t>
      </w:r>
      <w:r w:rsidRPr="00B60706">
        <w:t>L 153, 3.5.2021, p. 48.</w:t>
      </w:r>
    </w:p>
  </w:footnote>
  <w:footnote w:id="43">
    <w:p w:rsidR="001A62D7" w:rsidRPr="00B60706" w:rsidRDefault="001A62D7" w:rsidP="001A62D7">
      <w:pPr>
        <w:pStyle w:val="FootnoteText"/>
      </w:pPr>
      <w:r w:rsidRPr="00B60706">
        <w:rPr>
          <w:rStyle w:val="FootnoteReference"/>
        </w:rPr>
        <w:footnoteRef/>
      </w:r>
      <w:r w:rsidRPr="00B60706">
        <w:tab/>
        <w:t>JO</w:t>
      </w:r>
      <w:r w:rsidR="00B60706">
        <w:t> </w:t>
      </w:r>
      <w:r w:rsidRPr="00B60706">
        <w:t>L 433 I, 22.12.2020, p. 28.</w:t>
      </w:r>
    </w:p>
  </w:footnote>
  <w:footnote w:id="44">
    <w:p w:rsidR="001A62D7" w:rsidRPr="00B60706" w:rsidRDefault="001A62D7" w:rsidP="001A62D7">
      <w:pPr>
        <w:pStyle w:val="FootnoteText"/>
      </w:pPr>
      <w:r w:rsidRPr="00B60706">
        <w:rPr>
          <w:rStyle w:val="FootnoteReference"/>
        </w:rPr>
        <w:footnoteRef/>
      </w:r>
      <w:r w:rsidRPr="00B60706">
        <w:tab/>
        <w:t>Regulamentul (UE, Euratom) 2020/2093 al Consiliului din 17 decembrie 2020 de stabilire a cadrului financiar multianual pentru perioada 2021-2027 (JO</w:t>
      </w:r>
      <w:r w:rsidR="00B60706">
        <w:t> </w:t>
      </w:r>
      <w:r w:rsidRPr="00B60706">
        <w:t>L 433 I, 22.12.2020, p. 11).</w:t>
      </w:r>
    </w:p>
  </w:footnote>
  <w:footnote w:id="45">
    <w:p w:rsidR="001A62D7" w:rsidRPr="00B60706" w:rsidRDefault="001A62D7" w:rsidP="001A62D7">
      <w:pPr>
        <w:pStyle w:val="FootnoteText"/>
      </w:pPr>
      <w:r w:rsidRPr="00B60706">
        <w:rPr>
          <w:rStyle w:val="FootnoteReference"/>
        </w:rPr>
        <w:footnoteRef/>
      </w:r>
      <w:r w:rsidRPr="00B60706">
        <w:tab/>
        <w:t>JO</w:t>
      </w:r>
      <w:r w:rsidR="00B60706">
        <w:t> </w:t>
      </w:r>
      <w:r w:rsidRPr="00B60706">
        <w:t>L, 2024/765, 29.2.2024, ELI: http://data.europa.eu/eli/reg/2024/765/oj.</w:t>
      </w:r>
    </w:p>
  </w:footnote>
  <w:footnote w:id="46">
    <w:p w:rsidR="001A62D7" w:rsidRPr="00B60706" w:rsidRDefault="001A62D7" w:rsidP="001A62D7">
      <w:pPr>
        <w:pStyle w:val="FootnoteText"/>
      </w:pPr>
      <w:r w:rsidRPr="00B60706">
        <w:rPr>
          <w:rStyle w:val="FootnoteReference"/>
        </w:rPr>
        <w:footnoteRef/>
      </w:r>
      <w:r w:rsidRPr="00B60706">
        <w:tab/>
        <w:t>COM(2026) 2</w:t>
      </w:r>
    </w:p>
  </w:footnote>
  <w:footnote w:id="47">
    <w:p w:rsidR="00D2113F" w:rsidRPr="007420F1" w:rsidRDefault="00D2113F">
      <w:pPr>
        <w:pStyle w:val="FootnoteText"/>
      </w:pPr>
      <w:r w:rsidRPr="00B60706">
        <w:rPr>
          <w:rStyle w:val="FootnoteReference"/>
        </w:rPr>
        <w:t>*</w:t>
      </w:r>
      <w:r w:rsidRPr="00B60706">
        <w:tab/>
      </w:r>
      <w:r w:rsidRPr="00B60706">
        <w:rPr>
          <w:color w:val="FF0000"/>
        </w:rPr>
        <w:t>Data urmează să fie introdusă de către Parlament înainte de publicarea în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901" w:rsidRDefault="009F69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901" w:rsidRDefault="009F69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 w:numId="35">
    <w:abstractNumId w:val="23"/>
  </w:num>
  <w:num w:numId="36">
    <w:abstractNumId w:val="12"/>
  </w:num>
  <w:num w:numId="37">
    <w:abstractNumId w:val="26"/>
  </w:num>
  <w:num w:numId="38">
    <w:abstractNumId w:val="6"/>
  </w:num>
  <w:num w:numId="39">
    <w:abstractNumId w:val="13"/>
  </w:num>
  <w:num w:numId="40">
    <w:abstractNumId w:val="14"/>
  </w:num>
  <w:num w:numId="41">
    <w:abstractNumId w:val="4"/>
  </w:num>
  <w:num w:numId="42">
    <w:abstractNumId w:val="25"/>
  </w:num>
  <w:num w:numId="43">
    <w:abstractNumId w:val="3"/>
  </w:num>
  <w:num w:numId="44">
    <w:abstractNumId w:val="15"/>
  </w:num>
  <w:num w:numId="45">
    <w:abstractNumId w:val="21"/>
  </w:num>
  <w:num w:numId="46">
    <w:abstractNumId w:val="22"/>
  </w:num>
  <w:num w:numId="47">
    <w:abstractNumId w:val="5"/>
  </w:num>
  <w:num w:numId="48">
    <w:abstractNumId w:val="19"/>
  </w:num>
  <w:num w:numId="4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08 15:43: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AA845F4-4E44-4CC5-B0D4-BA4AF3776615"/>
    <w:docVar w:name="LW_COVERPAGE_TYPE" w:val="1"/>
    <w:docVar w:name="LW_CreatedUtc" w:val="2025-02-03T12:09:04.7855178Z"/>
    <w:docVar w:name="LW_CROSSREFERENCE" w:val="&lt;UNUSED&gt;"/>
    <w:docVar w:name="LW_DocType" w:val="COM"/>
    <w:docVar w:name="LW_EMISSION" w:val="9.1.2026"/>
    <w:docVar w:name="LW_EMISSION_ISODATE" w:val="2026-01-09"/>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001"/>
    <w:docVar w:name="LW_REF.II.NEW.CP_YEAR" w:val="2026"/>
    <w:docVar w:name="LW_REF.INST.NEW" w:val="COM"/>
    <w:docVar w:name="LW_REF.INST.NEW_ADOPTED" w:val="final"/>
    <w:docVar w:name="LW_REF.INST.NEW_TEXT" w:val="(2026) 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mobilizarea Fondului european de ajustare la globalizare pentru lucr\u259?torii disponibiliza\u539?i în urma unei cereri din partea Belgiei - EGF/2025/006 BE/Audi"/>
    <w:docVar w:name="LW_TYPE.DOC.CP" w:val="DECIZIE A PARLAMENTULUI EUROPEAN \u536?I A CONSILIULUI"/>
    <w:docVar w:name="LwApiVersions" w:val="LW4CoDe 1.24.5.0; LW 9.2, Build 20251112"/>
  </w:docVars>
  <w:rsids>
    <w:rsidRoot w:val="001A62D7"/>
    <w:rsid w:val="0002035E"/>
    <w:rsid w:val="00035265"/>
    <w:rsid w:val="00041EE2"/>
    <w:rsid w:val="00046483"/>
    <w:rsid w:val="000465C9"/>
    <w:rsid w:val="00051192"/>
    <w:rsid w:val="0007649A"/>
    <w:rsid w:val="0009358F"/>
    <w:rsid w:val="000965FD"/>
    <w:rsid w:val="000A20B8"/>
    <w:rsid w:val="000C0A28"/>
    <w:rsid w:val="000C3E89"/>
    <w:rsid w:val="000E2AF2"/>
    <w:rsid w:val="000F3A25"/>
    <w:rsid w:val="000F624B"/>
    <w:rsid w:val="000F6514"/>
    <w:rsid w:val="0010215C"/>
    <w:rsid w:val="001065F5"/>
    <w:rsid w:val="00106798"/>
    <w:rsid w:val="001238EF"/>
    <w:rsid w:val="00133178"/>
    <w:rsid w:val="00133927"/>
    <w:rsid w:val="00135FA1"/>
    <w:rsid w:val="00150372"/>
    <w:rsid w:val="0015242A"/>
    <w:rsid w:val="0016297B"/>
    <w:rsid w:val="00182793"/>
    <w:rsid w:val="00195CD1"/>
    <w:rsid w:val="00196248"/>
    <w:rsid w:val="00197613"/>
    <w:rsid w:val="001A3D9D"/>
    <w:rsid w:val="001A62D7"/>
    <w:rsid w:val="001C15E0"/>
    <w:rsid w:val="001C4425"/>
    <w:rsid w:val="001C6315"/>
    <w:rsid w:val="001E27D2"/>
    <w:rsid w:val="001F093E"/>
    <w:rsid w:val="001F1407"/>
    <w:rsid w:val="0020128B"/>
    <w:rsid w:val="0021052B"/>
    <w:rsid w:val="00213ED6"/>
    <w:rsid w:val="00217E05"/>
    <w:rsid w:val="00217F8F"/>
    <w:rsid w:val="002334D5"/>
    <w:rsid w:val="00233DC7"/>
    <w:rsid w:val="00236A8B"/>
    <w:rsid w:val="00241826"/>
    <w:rsid w:val="00241AF6"/>
    <w:rsid w:val="002421D0"/>
    <w:rsid w:val="00243227"/>
    <w:rsid w:val="00247779"/>
    <w:rsid w:val="00250FCB"/>
    <w:rsid w:val="00251F0D"/>
    <w:rsid w:val="002544E5"/>
    <w:rsid w:val="002572FE"/>
    <w:rsid w:val="00261BA9"/>
    <w:rsid w:val="002728AF"/>
    <w:rsid w:val="002757A1"/>
    <w:rsid w:val="00281D79"/>
    <w:rsid w:val="00282153"/>
    <w:rsid w:val="00283349"/>
    <w:rsid w:val="00285019"/>
    <w:rsid w:val="00285BEE"/>
    <w:rsid w:val="0029533F"/>
    <w:rsid w:val="002A1803"/>
    <w:rsid w:val="002A20BC"/>
    <w:rsid w:val="002A2C83"/>
    <w:rsid w:val="002A46E8"/>
    <w:rsid w:val="002B1CAD"/>
    <w:rsid w:val="002B30AF"/>
    <w:rsid w:val="002C2B9C"/>
    <w:rsid w:val="002D11D1"/>
    <w:rsid w:val="002D19DD"/>
    <w:rsid w:val="002F071E"/>
    <w:rsid w:val="002F7A1F"/>
    <w:rsid w:val="00325D32"/>
    <w:rsid w:val="0033344A"/>
    <w:rsid w:val="003335D5"/>
    <w:rsid w:val="003479D0"/>
    <w:rsid w:val="003514A3"/>
    <w:rsid w:val="00360C26"/>
    <w:rsid w:val="00362E82"/>
    <w:rsid w:val="00364144"/>
    <w:rsid w:val="003674C6"/>
    <w:rsid w:val="003A36AD"/>
    <w:rsid w:val="003A44D3"/>
    <w:rsid w:val="003B4F9E"/>
    <w:rsid w:val="003C1F9A"/>
    <w:rsid w:val="003C451D"/>
    <w:rsid w:val="003C7071"/>
    <w:rsid w:val="003D33B0"/>
    <w:rsid w:val="003D53E7"/>
    <w:rsid w:val="003E496C"/>
    <w:rsid w:val="003E7923"/>
    <w:rsid w:val="003F5354"/>
    <w:rsid w:val="003F5FE1"/>
    <w:rsid w:val="0041089B"/>
    <w:rsid w:val="0041705D"/>
    <w:rsid w:val="00417C38"/>
    <w:rsid w:val="00422E71"/>
    <w:rsid w:val="00424B7A"/>
    <w:rsid w:val="0042648E"/>
    <w:rsid w:val="0043125E"/>
    <w:rsid w:val="00433AE9"/>
    <w:rsid w:val="0043443B"/>
    <w:rsid w:val="004417F8"/>
    <w:rsid w:val="00450845"/>
    <w:rsid w:val="004522B1"/>
    <w:rsid w:val="004540AE"/>
    <w:rsid w:val="00454A9D"/>
    <w:rsid w:val="0045576F"/>
    <w:rsid w:val="00480004"/>
    <w:rsid w:val="00490F22"/>
    <w:rsid w:val="004936D2"/>
    <w:rsid w:val="004A23D7"/>
    <w:rsid w:val="004B74E8"/>
    <w:rsid w:val="004C5360"/>
    <w:rsid w:val="004C617C"/>
    <w:rsid w:val="004D4DFA"/>
    <w:rsid w:val="004F0139"/>
    <w:rsid w:val="004F5528"/>
    <w:rsid w:val="004F643D"/>
    <w:rsid w:val="00505F1A"/>
    <w:rsid w:val="00513B3D"/>
    <w:rsid w:val="0051455F"/>
    <w:rsid w:val="005337C2"/>
    <w:rsid w:val="00537022"/>
    <w:rsid w:val="005420D9"/>
    <w:rsid w:val="005439D5"/>
    <w:rsid w:val="00544713"/>
    <w:rsid w:val="00552801"/>
    <w:rsid w:val="005535A5"/>
    <w:rsid w:val="0055684C"/>
    <w:rsid w:val="0056417C"/>
    <w:rsid w:val="005833F6"/>
    <w:rsid w:val="00583654"/>
    <w:rsid w:val="00584778"/>
    <w:rsid w:val="00585A93"/>
    <w:rsid w:val="00586FD3"/>
    <w:rsid w:val="005A77B5"/>
    <w:rsid w:val="005B1EB6"/>
    <w:rsid w:val="005C49BF"/>
    <w:rsid w:val="005C7561"/>
    <w:rsid w:val="005D558F"/>
    <w:rsid w:val="005D6BC7"/>
    <w:rsid w:val="005E047F"/>
    <w:rsid w:val="005E0B3D"/>
    <w:rsid w:val="005E5B98"/>
    <w:rsid w:val="005F232F"/>
    <w:rsid w:val="005F3874"/>
    <w:rsid w:val="005F3E79"/>
    <w:rsid w:val="005F6711"/>
    <w:rsid w:val="0060192E"/>
    <w:rsid w:val="00605200"/>
    <w:rsid w:val="00605885"/>
    <w:rsid w:val="00624E2F"/>
    <w:rsid w:val="0062657D"/>
    <w:rsid w:val="0063350A"/>
    <w:rsid w:val="0064310A"/>
    <w:rsid w:val="00645882"/>
    <w:rsid w:val="006534C4"/>
    <w:rsid w:val="006648E4"/>
    <w:rsid w:val="006724B4"/>
    <w:rsid w:val="00684CAB"/>
    <w:rsid w:val="006A0752"/>
    <w:rsid w:val="006B152D"/>
    <w:rsid w:val="006B47D4"/>
    <w:rsid w:val="006C598A"/>
    <w:rsid w:val="007038F8"/>
    <w:rsid w:val="0070714C"/>
    <w:rsid w:val="007119A9"/>
    <w:rsid w:val="00712C3A"/>
    <w:rsid w:val="007135A2"/>
    <w:rsid w:val="007159FF"/>
    <w:rsid w:val="007270A4"/>
    <w:rsid w:val="00731699"/>
    <w:rsid w:val="007420F1"/>
    <w:rsid w:val="00754A08"/>
    <w:rsid w:val="00773331"/>
    <w:rsid w:val="0077564B"/>
    <w:rsid w:val="0077654C"/>
    <w:rsid w:val="007810AF"/>
    <w:rsid w:val="00782CAE"/>
    <w:rsid w:val="00785F4C"/>
    <w:rsid w:val="0078717C"/>
    <w:rsid w:val="007932EF"/>
    <w:rsid w:val="007944CE"/>
    <w:rsid w:val="00795754"/>
    <w:rsid w:val="007A08F4"/>
    <w:rsid w:val="007A5E19"/>
    <w:rsid w:val="007B4D4B"/>
    <w:rsid w:val="007C1489"/>
    <w:rsid w:val="007D1CC7"/>
    <w:rsid w:val="007E05B0"/>
    <w:rsid w:val="007E0B4F"/>
    <w:rsid w:val="007F2FA2"/>
    <w:rsid w:val="00823720"/>
    <w:rsid w:val="00830A1D"/>
    <w:rsid w:val="00830DD7"/>
    <w:rsid w:val="00831A99"/>
    <w:rsid w:val="00835FF4"/>
    <w:rsid w:val="008376F2"/>
    <w:rsid w:val="00837BE9"/>
    <w:rsid w:val="00842DE2"/>
    <w:rsid w:val="00843A99"/>
    <w:rsid w:val="00857E8C"/>
    <w:rsid w:val="00874D22"/>
    <w:rsid w:val="00893C3D"/>
    <w:rsid w:val="00897326"/>
    <w:rsid w:val="008A2914"/>
    <w:rsid w:val="008A33BE"/>
    <w:rsid w:val="008A5D91"/>
    <w:rsid w:val="008A6DC5"/>
    <w:rsid w:val="008B539E"/>
    <w:rsid w:val="008D17F5"/>
    <w:rsid w:val="008D2433"/>
    <w:rsid w:val="008E3775"/>
    <w:rsid w:val="008E4D8E"/>
    <w:rsid w:val="008F470C"/>
    <w:rsid w:val="008F4FFB"/>
    <w:rsid w:val="008F52BF"/>
    <w:rsid w:val="0090677B"/>
    <w:rsid w:val="0096077B"/>
    <w:rsid w:val="00964814"/>
    <w:rsid w:val="00964E26"/>
    <w:rsid w:val="00967CC8"/>
    <w:rsid w:val="00975BF3"/>
    <w:rsid w:val="00982507"/>
    <w:rsid w:val="00986887"/>
    <w:rsid w:val="00992A7A"/>
    <w:rsid w:val="00994035"/>
    <w:rsid w:val="00994C7F"/>
    <w:rsid w:val="009A476A"/>
    <w:rsid w:val="009C4599"/>
    <w:rsid w:val="009C51E1"/>
    <w:rsid w:val="009F6901"/>
    <w:rsid w:val="00A12798"/>
    <w:rsid w:val="00A22B77"/>
    <w:rsid w:val="00A23C53"/>
    <w:rsid w:val="00A253DC"/>
    <w:rsid w:val="00A3016B"/>
    <w:rsid w:val="00A36A1D"/>
    <w:rsid w:val="00A40F77"/>
    <w:rsid w:val="00A43EF1"/>
    <w:rsid w:val="00A45B96"/>
    <w:rsid w:val="00A6604A"/>
    <w:rsid w:val="00A66AEF"/>
    <w:rsid w:val="00A6765B"/>
    <w:rsid w:val="00A76D71"/>
    <w:rsid w:val="00A7720A"/>
    <w:rsid w:val="00A824CE"/>
    <w:rsid w:val="00A8613E"/>
    <w:rsid w:val="00A86986"/>
    <w:rsid w:val="00A953FB"/>
    <w:rsid w:val="00AC2755"/>
    <w:rsid w:val="00AC5354"/>
    <w:rsid w:val="00AD00C3"/>
    <w:rsid w:val="00AD6693"/>
    <w:rsid w:val="00AD7ABD"/>
    <w:rsid w:val="00AE2983"/>
    <w:rsid w:val="00AE3D98"/>
    <w:rsid w:val="00AE5990"/>
    <w:rsid w:val="00B04C27"/>
    <w:rsid w:val="00B05808"/>
    <w:rsid w:val="00B136C9"/>
    <w:rsid w:val="00B17A60"/>
    <w:rsid w:val="00B17C77"/>
    <w:rsid w:val="00B24AA0"/>
    <w:rsid w:val="00B24D3D"/>
    <w:rsid w:val="00B25421"/>
    <w:rsid w:val="00B26AFC"/>
    <w:rsid w:val="00B271C1"/>
    <w:rsid w:val="00B424CD"/>
    <w:rsid w:val="00B4707B"/>
    <w:rsid w:val="00B520B6"/>
    <w:rsid w:val="00B5507D"/>
    <w:rsid w:val="00B57F16"/>
    <w:rsid w:val="00B60706"/>
    <w:rsid w:val="00B60D18"/>
    <w:rsid w:val="00B72603"/>
    <w:rsid w:val="00B7285B"/>
    <w:rsid w:val="00BB0216"/>
    <w:rsid w:val="00BB7F54"/>
    <w:rsid w:val="00BD11CB"/>
    <w:rsid w:val="00C0220E"/>
    <w:rsid w:val="00C02B3C"/>
    <w:rsid w:val="00C11631"/>
    <w:rsid w:val="00C12301"/>
    <w:rsid w:val="00C175FE"/>
    <w:rsid w:val="00C5578F"/>
    <w:rsid w:val="00C62D7F"/>
    <w:rsid w:val="00C7109E"/>
    <w:rsid w:val="00C71177"/>
    <w:rsid w:val="00C77112"/>
    <w:rsid w:val="00C97618"/>
    <w:rsid w:val="00CA5E33"/>
    <w:rsid w:val="00CA7EE1"/>
    <w:rsid w:val="00CB4373"/>
    <w:rsid w:val="00CB515D"/>
    <w:rsid w:val="00D13666"/>
    <w:rsid w:val="00D20381"/>
    <w:rsid w:val="00D2113F"/>
    <w:rsid w:val="00D30E9E"/>
    <w:rsid w:val="00D31B2F"/>
    <w:rsid w:val="00D50317"/>
    <w:rsid w:val="00D54F1D"/>
    <w:rsid w:val="00D55F3A"/>
    <w:rsid w:val="00D576A9"/>
    <w:rsid w:val="00D6013C"/>
    <w:rsid w:val="00D66A21"/>
    <w:rsid w:val="00D86FB6"/>
    <w:rsid w:val="00D95ACC"/>
    <w:rsid w:val="00DA1DDA"/>
    <w:rsid w:val="00DA22A3"/>
    <w:rsid w:val="00DA42B0"/>
    <w:rsid w:val="00DC1E0A"/>
    <w:rsid w:val="00DC7444"/>
    <w:rsid w:val="00DE2B18"/>
    <w:rsid w:val="00DF579A"/>
    <w:rsid w:val="00E1163B"/>
    <w:rsid w:val="00E13FA6"/>
    <w:rsid w:val="00E346FB"/>
    <w:rsid w:val="00E34EEC"/>
    <w:rsid w:val="00E42E65"/>
    <w:rsid w:val="00E85749"/>
    <w:rsid w:val="00EB30C1"/>
    <w:rsid w:val="00EC5375"/>
    <w:rsid w:val="00EC5587"/>
    <w:rsid w:val="00EF48E9"/>
    <w:rsid w:val="00EF7B8C"/>
    <w:rsid w:val="00F054C5"/>
    <w:rsid w:val="00F055E2"/>
    <w:rsid w:val="00F11701"/>
    <w:rsid w:val="00F23005"/>
    <w:rsid w:val="00F27159"/>
    <w:rsid w:val="00F31E6B"/>
    <w:rsid w:val="00F37278"/>
    <w:rsid w:val="00F62472"/>
    <w:rsid w:val="00F63FCE"/>
    <w:rsid w:val="00F66666"/>
    <w:rsid w:val="00F75DDC"/>
    <w:rsid w:val="00F85DF2"/>
    <w:rsid w:val="00F86D96"/>
    <w:rsid w:val="00F910BC"/>
    <w:rsid w:val="00F91B0D"/>
    <w:rsid w:val="00FA0AC8"/>
    <w:rsid w:val="00FB1365"/>
    <w:rsid w:val="00FB7812"/>
    <w:rsid w:val="00FC050F"/>
    <w:rsid w:val="00FC1243"/>
    <w:rsid w:val="00FC38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ro-RO"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ro-RO"/>
    </w:rPr>
  </w:style>
  <w:style w:type="character" w:customStyle="1" w:styleId="FooterCoverPageChar">
    <w:name w:val="Footer Cover Page Char"/>
    <w:link w:val="FooterCoverPage"/>
    <w:rsid w:val="001A62D7"/>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ro-RO" w:eastAsia="en-GB"/>
    </w:rPr>
  </w:style>
  <w:style w:type="character" w:customStyle="1" w:styleId="FooterSensitivityChar">
    <w:name w:val="Footer Sensitivity Char"/>
    <w:rsid w:val="001A62D7"/>
    <w:rPr>
      <w:rFonts w:ascii="Times New Roman" w:hAnsi="Times New Roman" w:cs="Times New Roman"/>
      <w:b/>
      <w:sz w:val="32"/>
      <w:lang w:val="ro-RO"/>
    </w:rPr>
  </w:style>
  <w:style w:type="character" w:customStyle="1" w:styleId="HeaderSensitivityChar">
    <w:name w:val="Header Sensitivity Char"/>
    <w:rsid w:val="001A62D7"/>
    <w:rPr>
      <w:rFonts w:ascii="Times New Roman" w:hAnsi="Times New Roman" w:cs="Times New Roman"/>
      <w:b/>
      <w:sz w:val="32"/>
      <w:lang w:val="ro-RO"/>
    </w:rPr>
  </w:style>
  <w:style w:type="character" w:customStyle="1" w:styleId="HeaderSensitivityRightChar">
    <w:name w:val="Header Sensitivity Right Char"/>
    <w:rsid w:val="001A62D7"/>
    <w:rPr>
      <w:rFonts w:ascii="Times New Roman" w:hAnsi="Times New Roman" w:cs="Times New Roman"/>
      <w:sz w:val="28"/>
      <w:lang w:val="ro-RO"/>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9F6901"/>
    <w:rPr>
      <w:rFonts w:ascii="Times New Roman" w:hAnsi="Times New Roman" w:cs="Times New Roman"/>
      <w:sz w:val="24"/>
      <w:lang w:val="ro-RO"/>
    </w:rPr>
  </w:style>
  <w:style w:type="character" w:customStyle="1" w:styleId="FooterChar">
    <w:name w:val="Footer Char"/>
    <w:basedOn w:val="DefaultParagraphFont"/>
    <w:link w:val="Footer"/>
    <w:uiPriority w:val="99"/>
    <w:rsid w:val="009F690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F690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F6901"/>
    <w:pPr>
      <w:spacing w:before="0"/>
      <w:jc w:val="right"/>
    </w:pPr>
    <w:rPr>
      <w:sz w:val="28"/>
    </w:rPr>
  </w:style>
  <w:style w:type="paragraph" w:customStyle="1" w:styleId="FooterSensitivity">
    <w:name w:val="Footer Sensitivity"/>
    <w:basedOn w:val="Normal"/>
    <w:rsid w:val="009F690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F6901"/>
    <w:pPr>
      <w:tabs>
        <w:tab w:val="center" w:pos="4535"/>
        <w:tab w:val="right" w:pos="9071"/>
      </w:tabs>
      <w:spacing w:before="0"/>
    </w:pPr>
  </w:style>
  <w:style w:type="paragraph" w:customStyle="1" w:styleId="HeaderLandscape">
    <w:name w:val="HeaderLandscape"/>
    <w:basedOn w:val="Normal"/>
    <w:rsid w:val="009F6901"/>
    <w:pPr>
      <w:tabs>
        <w:tab w:val="center" w:pos="7285"/>
        <w:tab w:val="right" w:pos="14003"/>
      </w:tabs>
      <w:spacing w:before="0"/>
    </w:pPr>
  </w:style>
  <w:style w:type="paragraph" w:styleId="Footer">
    <w:name w:val="footer"/>
    <w:basedOn w:val="Normal"/>
    <w:link w:val="FooterChar"/>
    <w:uiPriority w:val="99"/>
    <w:unhideWhenUsed/>
    <w:rsid w:val="009F690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F690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statbel.fgov.be/en/themes/work-training/labour-market/employment-and-unemployment" TargetMode="External"/><Relationship Id="rId13" Type="http://schemas.openxmlformats.org/officeDocument/2006/relationships/hyperlink" Target="https://viewstat.actiris.brussels/viewstat_werkloosheid_basisstatistieken.html" TargetMode="External"/><Relationship Id="rId18" Type="http://schemas.openxmlformats.org/officeDocument/2006/relationships/hyperlink" Target="https://www.leforem.be/documents/citoyens/penuries-liste-metiers.pdf" TargetMode="External"/><Relationship Id="rId3" Type="http://schemas.openxmlformats.org/officeDocument/2006/relationships/hyperlink" Target="https://statbel.fgov.be/en/news/11067-bankruptcies-2024-mixed-results-regional-level" TargetMode="External"/><Relationship Id="rId7" Type="http://schemas.openxmlformats.org/officeDocument/2006/relationships/hyperlink" Target="https://ec.europa.eu/eurostat/web/products-euro-indicators/w/3-02102025-ap" TargetMode="External"/><Relationship Id="rId12" Type="http://schemas.openxmlformats.org/officeDocument/2006/relationships/hyperlink" Target="https://viewstat.actiris.brussels/viewstat_werkloosheid_basisstatistieken.html" TargetMode="External"/><Relationship Id="rId17" Type="http://schemas.openxmlformats.org/officeDocument/2006/relationships/hyperlink" Target="https://www.leforem.be/documents/citoyens/penuries-liste-metiers.pdf" TargetMode="External"/><Relationship Id="rId2" Type="http://schemas.openxmlformats.org/officeDocument/2006/relationships/hyperlink" Target="https://statbel.fgov.be/fr/themes/entreprises/faillites/faillites-mensuelles" TargetMode="External"/><Relationship Id="rId16" Type="http://schemas.openxmlformats.org/officeDocument/2006/relationships/hyperlink" Target="https://www.leforem.be/documents/citoyens/penuries-liste-metiers.pdf" TargetMode="External"/><Relationship Id="rId1" Type="http://schemas.openxmlformats.org/officeDocument/2006/relationships/hyperlink" Target="https://statbel.fgov.be/en/news/11067-bankruptcies-2024-mixed-results-regional-level" TargetMode="External"/><Relationship Id="rId6" Type="http://schemas.openxmlformats.org/officeDocument/2006/relationships/hyperlink" Target="https://statbel.fgov.be/en/themes/work-training/labour-market/employment-and-unemployment" TargetMode="External"/><Relationship Id="rId11" Type="http://schemas.openxmlformats.org/officeDocument/2006/relationships/hyperlink" Target="https://viewstat.actiris.brussels/viewstat_werkloosheid_basisstatistieken.html" TargetMode="External"/><Relationship Id="rId5" Type="http://schemas.openxmlformats.org/officeDocument/2006/relationships/hyperlink" Target="https://bestat.statbel.fgov.be/bestat/crosstable.xhtml?view=bf348576-546f-4008-8a02-48c1736adcd0" TargetMode="External"/><Relationship Id="rId15" Type="http://schemas.openxmlformats.org/officeDocument/2006/relationships/hyperlink" Target="https://www.leforem.be/documents/citoyens/penuries-liste-metiers.pdf" TargetMode="External"/><Relationship Id="rId10" Type="http://schemas.openxmlformats.org/officeDocument/2006/relationships/hyperlink" Target="https://statbel.fgov.be/en/themes/work-training/labour-market/employment-and-unemployment" TargetMode="External"/><Relationship Id="rId4" Type="http://schemas.openxmlformats.org/officeDocument/2006/relationships/hyperlink" Target="https://bestat.statbel.fgov.be/bestat/crosstable.xhtml?view=bf348576-546f-4008-8a02-48c1736adcd0" TargetMode="External"/><Relationship Id="rId9" Type="http://schemas.openxmlformats.org/officeDocument/2006/relationships/hyperlink" Target="https://bestat.statbel.fgov.be/bestat/crosstable.xhtml?view=4beb6e55-ffd5-471e-a8ba-094d942559ac" TargetMode="External"/><Relationship Id="rId14" Type="http://schemas.openxmlformats.org/officeDocument/2006/relationships/hyperlink" Target="https://viewstat.actiris.brussels/viewstat_werkloosheid_basisstatistiek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D034E-3AC5-4093-8D03-78C8E6952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TotalTime>
  <Pages>13</Pages>
  <Words>4540</Words>
  <Characters>25882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2026-01-05T17:00:00Z</dcterms:created>
  <dcterms:modified xsi:type="dcterms:W3CDTF">2026-01-08T14:43:00Z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