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5CA17" w14:textId="304760A7" w:rsidR="00670448" w:rsidRPr="00563809" w:rsidRDefault="000F746E" w:rsidP="000F746E">
      <w:pPr>
        <w:pStyle w:val="Pagedecouverture"/>
        <w:rPr>
          <w:noProof/>
        </w:rPr>
      </w:pPr>
      <w:r>
        <w:rPr>
          <w:noProof/>
        </w:rPr>
        <w:pict w14:anchorId="355D4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3BE007-71A2-472E-BEA9-D03CC4866B3C" style="width:455.25pt;height:304.5pt">
            <v:imagedata r:id="rId11" o:title=""/>
          </v:shape>
        </w:pict>
      </w:r>
    </w:p>
    <w:p w14:paraId="76B6DEAC" w14:textId="77777777" w:rsidR="00670448" w:rsidRPr="00563809" w:rsidRDefault="00670448">
      <w:pPr>
        <w:spacing w:line="276" w:lineRule="auto"/>
        <w:rPr>
          <w:noProof/>
        </w:rPr>
        <w:sectPr w:rsidR="00670448" w:rsidRPr="00563809" w:rsidSect="000F746E">
          <w:footerReference w:type="even" r:id="rId12"/>
          <w:footerReference w:type="default" r:id="rId13"/>
          <w:pgSz w:w="11907" w:h="16839"/>
          <w:pgMar w:top="1134" w:right="1417" w:bottom="1134" w:left="1417" w:header="709" w:footer="709" w:gutter="0"/>
          <w:pgNumType w:start="0"/>
          <w:cols w:space="720"/>
          <w:docGrid w:linePitch="360"/>
        </w:sectPr>
      </w:pPr>
    </w:p>
    <w:p w14:paraId="6089524F" w14:textId="04987F34" w:rsidR="00670448" w:rsidRPr="00563809" w:rsidRDefault="00F366AB" w:rsidP="00F366AB">
      <w:pPr>
        <w:pStyle w:val="Statut"/>
        <w:rPr>
          <w:noProof/>
        </w:rPr>
      </w:pPr>
      <w:bookmarkStart w:id="0" w:name="_GoBack"/>
      <w:bookmarkEnd w:id="0"/>
      <w:r w:rsidRPr="00563809">
        <w:rPr>
          <w:noProof/>
        </w:rPr>
        <w:lastRenderedPageBreak/>
        <w:t>Recomandare de</w:t>
      </w:r>
    </w:p>
    <w:p w14:paraId="0F279B36" w14:textId="71548713" w:rsidR="00670448" w:rsidRPr="00563809" w:rsidRDefault="00F366AB" w:rsidP="00F366AB">
      <w:pPr>
        <w:pStyle w:val="Typedudocument"/>
        <w:rPr>
          <w:noProof/>
        </w:rPr>
      </w:pPr>
      <w:r w:rsidRPr="00563809">
        <w:rPr>
          <w:noProof/>
        </w:rPr>
        <w:t>RECOMANDARE A CONSILIULUI</w:t>
      </w:r>
    </w:p>
    <w:p w14:paraId="7D7A196A" w14:textId="61EFE125" w:rsidR="00670448" w:rsidRPr="00563809" w:rsidRDefault="00F366AB" w:rsidP="00F366AB">
      <w:pPr>
        <w:pStyle w:val="Titreobjet"/>
        <w:rPr>
          <w:noProof/>
        </w:rPr>
      </w:pPr>
      <w:r w:rsidRPr="00563809">
        <w:rPr>
          <w:noProof/>
        </w:rPr>
        <w:t>de aprobare a planului bugetar-structural național pe termen mediu al Țărilor de Jos</w:t>
      </w:r>
    </w:p>
    <w:p w14:paraId="502DFD8E" w14:textId="77777777" w:rsidR="00670448" w:rsidRPr="00563809" w:rsidRDefault="00D05C1D">
      <w:pPr>
        <w:pStyle w:val="Institutionquiagit"/>
        <w:spacing w:before="120" w:line="276" w:lineRule="auto"/>
        <w:rPr>
          <w:noProof/>
        </w:rPr>
      </w:pPr>
      <w:r w:rsidRPr="00563809">
        <w:rPr>
          <w:noProof/>
        </w:rPr>
        <w:t>CONSILIUL UNIUNII EUROPENE,</w:t>
      </w:r>
    </w:p>
    <w:p w14:paraId="0F6508C8" w14:textId="77777777" w:rsidR="00670448" w:rsidRPr="00563809" w:rsidRDefault="00D05C1D">
      <w:pPr>
        <w:rPr>
          <w:noProof/>
        </w:rPr>
      </w:pPr>
      <w:r w:rsidRPr="00563809">
        <w:rPr>
          <w:noProof/>
        </w:rPr>
        <w:t>având în vedere Tratatul privind funcționarea Uniunii Europene, în special articolul 121,</w:t>
      </w:r>
    </w:p>
    <w:p w14:paraId="320E8C1E" w14:textId="77777777" w:rsidR="00670448" w:rsidRPr="00563809" w:rsidRDefault="00D05C1D">
      <w:pPr>
        <w:rPr>
          <w:noProof/>
        </w:rPr>
      </w:pPr>
      <w:r w:rsidRPr="00563809">
        <w:rPr>
          <w:noProof/>
        </w:rPr>
        <w:t>având în vedere Regulamentul (UE) 2024/1263, în special articolul 17,</w:t>
      </w:r>
    </w:p>
    <w:p w14:paraId="73221BDC" w14:textId="77777777" w:rsidR="00670448" w:rsidRPr="00563809" w:rsidRDefault="00D05C1D">
      <w:pPr>
        <w:spacing w:line="276" w:lineRule="auto"/>
        <w:rPr>
          <w:noProof/>
        </w:rPr>
      </w:pPr>
      <w:r w:rsidRPr="00563809">
        <w:rPr>
          <w:noProof/>
        </w:rPr>
        <w:t>având în vedere recomandarea Comisiei,</w:t>
      </w:r>
    </w:p>
    <w:p w14:paraId="7E93B344" w14:textId="77777777" w:rsidR="00670448" w:rsidRPr="00563809" w:rsidRDefault="00D05C1D">
      <w:pPr>
        <w:spacing w:line="276" w:lineRule="auto"/>
        <w:rPr>
          <w:noProof/>
        </w:rPr>
      </w:pPr>
      <w:r w:rsidRPr="00563809">
        <w:rPr>
          <w:noProof/>
        </w:rPr>
        <w:t>întrucât:</w:t>
      </w:r>
    </w:p>
    <w:p w14:paraId="03512AB9" w14:textId="77777777" w:rsidR="00670448" w:rsidRPr="00563809" w:rsidRDefault="00D05C1D">
      <w:pPr>
        <w:spacing w:line="276" w:lineRule="auto"/>
        <w:rPr>
          <w:rFonts w:eastAsia="Calibri"/>
          <w:b/>
          <w:bCs/>
          <w:noProof/>
          <w:szCs w:val="24"/>
        </w:rPr>
      </w:pPr>
      <w:r w:rsidRPr="00563809">
        <w:rPr>
          <w:b/>
          <w:noProof/>
        </w:rPr>
        <w:t>CONSIDERAȚII GENERALE</w:t>
      </w:r>
    </w:p>
    <w:p w14:paraId="5BE0A7CA" w14:textId="77777777" w:rsidR="00670448" w:rsidRPr="00563809" w:rsidRDefault="00D05C1D">
      <w:pPr>
        <w:pStyle w:val="ManualConsidrant"/>
        <w:spacing w:line="276" w:lineRule="auto"/>
        <w:rPr>
          <w:noProof/>
        </w:rPr>
      </w:pPr>
      <w:r>
        <w:rPr>
          <w:noProof/>
        </w:rPr>
        <w:t>(1)</w:t>
      </w:r>
      <w:r>
        <w:rPr>
          <w:noProof/>
        </w:rPr>
        <w:tab/>
      </w:r>
      <w:r w:rsidRPr="00563809">
        <w:rPr>
          <w:noProof/>
        </w:rPr>
        <w:t>Cadrul de guvernanță economică al UE</w:t>
      </w:r>
      <w:r w:rsidRPr="00563809">
        <w:rPr>
          <w:rStyle w:val="FootnoteReference"/>
          <w:noProof/>
          <w:lang w:eastAsia="ja-JP"/>
        </w:rPr>
        <w:footnoteReference w:id="2"/>
      </w:r>
      <w:r w:rsidRPr="00563809">
        <w:rPr>
          <w:noProof/>
        </w:rPr>
        <w:t xml:space="preserve"> urmărește promovarea unor finanțe publice solide și sustenabile, a unei creșteri durabile și favorabile incluziunii și a rezilienței prin intermediul reformelor și al investițiilor, precum și prevenirea deficitelor publice excesive. El promovează, de asemenea, asumarea responsabilității la nivel național și pune un accent mai puternic pe obiectivele pe termen mediu, în combinație cu o asigurare mai eficientă și mai coerentă a respectării normelor. </w:t>
      </w:r>
    </w:p>
    <w:p w14:paraId="5491CD25" w14:textId="77777777" w:rsidR="00670448" w:rsidRPr="00563809" w:rsidRDefault="00D05C1D">
      <w:pPr>
        <w:pStyle w:val="ManualConsidrant"/>
        <w:spacing w:line="276" w:lineRule="auto"/>
        <w:rPr>
          <w:noProof/>
        </w:rPr>
      </w:pPr>
      <w:r>
        <w:rPr>
          <w:noProof/>
        </w:rPr>
        <w:t>(2)</w:t>
      </w:r>
      <w:r>
        <w:rPr>
          <w:noProof/>
        </w:rPr>
        <w:tab/>
      </w:r>
      <w:r w:rsidRPr="00563809">
        <w:rPr>
          <w:noProof/>
        </w:rPr>
        <w:t>Planurile bugetar-structurale naționale pe termen mediu pe care statele membre le prezintă Consiliului și Comisiei se află în centrul noului cadru de guvernanță economică. Planurile trebuie să urmărească două obiective: (i) asigurarea faptului că, printre altele, până la sfârșitul perioadei de ajustare, datoria publică se află pe o traiectorie descendentă plauzibilă sau rămâne la niveluri prudente și a faptului că deficitul public este adus și menținut sub valoarea de referință de 3 % din PIB pe termen mediu și (ii) asigurarea realizării de reforme și investiții care să răspundă principalelor provocări identificate în contextul semestrului european și priorităților comune ale UE. În acest scop, fiecare plan trebuie să prezinte un angajament pe termen mediu de a respecta rate maxime de creștere a cheltuielilor nete</w:t>
      </w:r>
      <w:r w:rsidRPr="00563809">
        <w:rPr>
          <w:rStyle w:val="FootnoteReference"/>
          <w:noProof/>
        </w:rPr>
        <w:footnoteReference w:id="3"/>
      </w:r>
      <w:r w:rsidRPr="00563809">
        <w:rPr>
          <w:noProof/>
        </w:rPr>
        <w:t>, care să stabilească efectiv o constrângere bugetară pe durata planului, pe parcursul a patru sau cinci ani (în funcție de durata normală a legislaturii unui stat membru). În plus, planul trebuie să explice modul în care statul membru va asigura realizarea reformelor și a investițiilor care răspund principalelor provocări identificate în contextul semestrului european, în special în recomandările specifice fiecărei țări (inclusiv cele referitoare la procedura privind dezechilibrele macroeconomice – PDM), precum și modul în care statul membru intenționează să abordeze prioritățile comune ale Uniunii. Perioada de ajustare bugetară se extinde pe o durată de patru ani, care poate fi prelungită cu până la trei ani în cazul în care statul membru se angajează să realizeze un set de reforme și investiții relevante care îndeplinesc criteriile prevăzute în Regulamentul (UE) 2024/1263.</w:t>
      </w:r>
    </w:p>
    <w:p w14:paraId="7877F056" w14:textId="77777777" w:rsidR="00670448" w:rsidRPr="00563809" w:rsidRDefault="00D05C1D">
      <w:pPr>
        <w:pStyle w:val="ManualConsidrant"/>
        <w:spacing w:line="276" w:lineRule="auto"/>
        <w:rPr>
          <w:noProof/>
          <w:szCs w:val="24"/>
        </w:rPr>
      </w:pPr>
      <w:r>
        <w:rPr>
          <w:noProof/>
        </w:rPr>
        <w:t>(3)</w:t>
      </w:r>
      <w:r>
        <w:rPr>
          <w:noProof/>
        </w:rPr>
        <w:tab/>
      </w:r>
      <w:r w:rsidRPr="00563809">
        <w:rPr>
          <w:noProof/>
        </w:rPr>
        <w:t>După prezentarea planului, Comisia trebuie să evalueze dacă acesta respectă cerințele Regulamentului (UE) 2024/1263.</w:t>
      </w:r>
    </w:p>
    <w:p w14:paraId="2C4C02A9" w14:textId="77777777" w:rsidR="00670448" w:rsidRPr="00563809" w:rsidRDefault="00D05C1D">
      <w:pPr>
        <w:pStyle w:val="ManualConsidrant"/>
        <w:spacing w:line="276" w:lineRule="auto"/>
        <w:rPr>
          <w:noProof/>
          <w:szCs w:val="24"/>
        </w:rPr>
      </w:pPr>
      <w:r>
        <w:rPr>
          <w:noProof/>
        </w:rPr>
        <w:t>(4)</w:t>
      </w:r>
      <w:r>
        <w:rPr>
          <w:noProof/>
        </w:rPr>
        <w:tab/>
      </w:r>
      <w:r w:rsidRPr="00563809">
        <w:rPr>
          <w:noProof/>
        </w:rPr>
        <w:t>La recomandarea Comisiei, Consiliul trebuie apoi să adopte o recomandare prin care stabilește ratele maxime de creștere a cheltuielilor nete pe termen mediu ale statului membru în cauză și, după caz, aprobă setul de angajamente în materie de reforme și investiții care stă la baza prelungirii perioadei de ajustare bugetară.</w:t>
      </w:r>
    </w:p>
    <w:p w14:paraId="065F33BF" w14:textId="77777777" w:rsidR="00670448" w:rsidRPr="00563809" w:rsidRDefault="00D05C1D">
      <w:pPr>
        <w:spacing w:line="276" w:lineRule="auto"/>
        <w:rPr>
          <w:rFonts w:eastAsia="Calibri"/>
          <w:b/>
          <w:bCs/>
          <w:noProof/>
          <w:szCs w:val="24"/>
        </w:rPr>
      </w:pPr>
      <w:r w:rsidRPr="00563809">
        <w:rPr>
          <w:b/>
          <w:noProof/>
        </w:rPr>
        <w:t>PROCESELE CONEXE, INCLUSIV TRAIECTORIA CHELTUIELILOR NETE RECOMANDATĂ ANTERIOR</w:t>
      </w:r>
    </w:p>
    <w:p w14:paraId="0D50E973" w14:textId="2AADE24C" w:rsidR="00670448" w:rsidRPr="00563809" w:rsidRDefault="00D05C1D">
      <w:pPr>
        <w:pStyle w:val="ManualConsidrant"/>
        <w:spacing w:line="276" w:lineRule="auto"/>
        <w:rPr>
          <w:noProof/>
        </w:rPr>
      </w:pPr>
      <w:r>
        <w:rPr>
          <w:noProof/>
        </w:rPr>
        <w:t>(5)</w:t>
      </w:r>
      <w:r>
        <w:rPr>
          <w:noProof/>
        </w:rPr>
        <w:tab/>
      </w:r>
      <w:r w:rsidRPr="00563809">
        <w:rPr>
          <w:noProof/>
        </w:rPr>
        <w:t>La 21 ianuarie 2025, Consiliul a adoptat o recomandare de stabilire a traiectoriei cheltuielilor nete pentru Țările de Jos</w:t>
      </w:r>
      <w:r w:rsidRPr="00563809">
        <w:rPr>
          <w:rStyle w:val="FootnoteReference"/>
          <w:rFonts w:eastAsia="Times New Roman"/>
          <w:noProof/>
        </w:rPr>
        <w:footnoteReference w:id="4"/>
      </w:r>
      <w:r w:rsidRPr="00563809">
        <w:rPr>
          <w:noProof/>
        </w:rPr>
        <w:t>. Pentru a evalua conformitatea în 2025, rata maximă de creștere a cheltuielilor nete stabilită prin Recomandarea Consiliului din 21</w:t>
      </w:r>
      <w:r w:rsidR="00563809" w:rsidRPr="00563809">
        <w:rPr>
          <w:noProof/>
        </w:rPr>
        <w:t> </w:t>
      </w:r>
      <w:r w:rsidRPr="00563809">
        <w:rPr>
          <w:noProof/>
        </w:rPr>
        <w:t>ianuarie</w:t>
      </w:r>
      <w:r w:rsidR="00563809" w:rsidRPr="00563809">
        <w:rPr>
          <w:noProof/>
        </w:rPr>
        <w:t> </w:t>
      </w:r>
      <w:r w:rsidRPr="00563809">
        <w:rPr>
          <w:noProof/>
        </w:rPr>
        <w:t xml:space="preserve">2025 rămâne relevantă. </w:t>
      </w:r>
    </w:p>
    <w:p w14:paraId="7418AA0E" w14:textId="77777777" w:rsidR="00670448" w:rsidRPr="00563809" w:rsidRDefault="00D05C1D">
      <w:pPr>
        <w:pStyle w:val="ManualConsidrant"/>
        <w:spacing w:line="276" w:lineRule="auto"/>
        <w:rPr>
          <w:noProof/>
        </w:rPr>
      </w:pPr>
      <w:r>
        <w:rPr>
          <w:noProof/>
        </w:rPr>
        <w:t>(6)</w:t>
      </w:r>
      <w:r>
        <w:rPr>
          <w:noProof/>
        </w:rPr>
        <w:tab/>
      </w:r>
      <w:r w:rsidRPr="00563809">
        <w:rPr>
          <w:noProof/>
        </w:rPr>
        <w:t>La 3 iunie 2026, ca parte a pachetului de primăvară al semestrului european 2026, Comisia a publicat cea mai recentă evaluare a respectării de către Țările de Jos a ratelor maxime de creștere a cheltuielilor nete. Pe baza calculelor Comisiei, rata de creștere a cheltuielilor nete ale Țărilor de Jos în 2025 a depășit rata maximă de creștere recomandată de Consiliu în ianuarie 2025, ceea ce corespunde unei abateri de 1,5 % din PIB în termeni anuali. Luând în considerare împreună anii 2024 și 2025, rata de creștere cumulată a cheltuielilor nete a depășit, de asemenea, rata maximă de creștere cumulată recomandată, ceea ce corespunde unei abateri de 1,0 % din PIB.</w:t>
      </w:r>
    </w:p>
    <w:p w14:paraId="7140CDA6" w14:textId="77777777" w:rsidR="00670448" w:rsidRPr="00563809" w:rsidRDefault="00D05C1D">
      <w:pPr>
        <w:pStyle w:val="ManualConsidrant"/>
        <w:spacing w:line="276" w:lineRule="auto"/>
        <w:rPr>
          <w:noProof/>
        </w:rPr>
      </w:pPr>
      <w:r>
        <w:rPr>
          <w:noProof/>
        </w:rPr>
        <w:t>(7)</w:t>
      </w:r>
      <w:r>
        <w:rPr>
          <w:noProof/>
        </w:rPr>
        <w:tab/>
      </w:r>
      <w:r w:rsidRPr="00563809">
        <w:rPr>
          <w:noProof/>
        </w:rPr>
        <w:t>La 8 iulie 2025, Consiliul a adresat Țărilor de Jos o serie de recomandări specifice țării (CSR) în contextul semestrului european</w:t>
      </w:r>
      <w:r w:rsidRPr="00563809">
        <w:rPr>
          <w:rStyle w:val="FootnoteReference"/>
          <w:noProof/>
          <w:szCs w:val="24"/>
          <w:lang w:eastAsia="ja-JP"/>
        </w:rPr>
        <w:footnoteReference w:id="5"/>
      </w:r>
      <w:r w:rsidRPr="00563809">
        <w:rPr>
          <w:noProof/>
        </w:rPr>
        <w:t xml:space="preserve">. </w:t>
      </w:r>
    </w:p>
    <w:p w14:paraId="5E1E4F2A" w14:textId="77777777" w:rsidR="00670448" w:rsidRPr="00563809" w:rsidRDefault="00D05C1D">
      <w:pPr>
        <w:pStyle w:val="ManualConsidrant"/>
        <w:spacing w:line="276" w:lineRule="auto"/>
        <w:rPr>
          <w:i/>
          <w:iCs/>
          <w:noProof/>
        </w:rPr>
      </w:pPr>
      <w:r>
        <w:rPr>
          <w:noProof/>
        </w:rPr>
        <w:t>(8)</w:t>
      </w:r>
      <w:r>
        <w:rPr>
          <w:noProof/>
        </w:rPr>
        <w:tab/>
      </w:r>
      <w:r w:rsidRPr="00563809">
        <w:rPr>
          <w:noProof/>
        </w:rPr>
        <w:t>La 3 iunie 2026, ca parte a pachetului de primăvară al semestrului european 2026 și în temeiul Regulamentului (UE) nr. 1176/2011, Comisia a concluzionat că Țările de Jos nu se mai confruntă cu dezechilibre. În special, vulnerabilitățile legate de nivelurile ridicate ale îndatorării gospodăriilor, de piața locuințelor și de excedentul mare de cont curent au fost prezente de-a lungul anilor, dar s-au diminuat recent.</w:t>
      </w:r>
      <w:r w:rsidRPr="00563809">
        <w:rPr>
          <w:noProof/>
          <w:vertAlign w:val="superscript"/>
        </w:rPr>
        <w:t xml:space="preserve"> </w:t>
      </w:r>
      <w:r w:rsidRPr="00563809">
        <w:rPr>
          <w:rStyle w:val="FootnoteReference"/>
          <w:noProof/>
        </w:rPr>
        <w:footnoteReference w:id="6"/>
      </w:r>
    </w:p>
    <w:p w14:paraId="03C998E8" w14:textId="77777777" w:rsidR="00670448" w:rsidRPr="00563809" w:rsidRDefault="00D05C1D">
      <w:pPr>
        <w:spacing w:line="276" w:lineRule="auto"/>
        <w:rPr>
          <w:rFonts w:eastAsia="Calibri"/>
          <w:b/>
          <w:bCs/>
          <w:noProof/>
          <w:szCs w:val="24"/>
        </w:rPr>
      </w:pPr>
      <w:r w:rsidRPr="00563809">
        <w:rPr>
          <w:b/>
          <w:noProof/>
        </w:rPr>
        <w:t xml:space="preserve">CONSIDERAȚII REFERITOARE LA PLANUL BUGETAR-STRUCTURAL NAȚIONAL PE TERMEN MEDIU AL ȚĂRILOR DE JOS </w:t>
      </w:r>
    </w:p>
    <w:p w14:paraId="67FBB90C" w14:textId="77777777" w:rsidR="00670448" w:rsidRPr="00563809" w:rsidRDefault="00D05C1D">
      <w:pPr>
        <w:pStyle w:val="ManualConsidrant"/>
        <w:spacing w:line="276" w:lineRule="auto"/>
        <w:rPr>
          <w:rFonts w:eastAsia="Calibri"/>
          <w:noProof/>
        </w:rPr>
      </w:pPr>
      <w:r>
        <w:rPr>
          <w:noProof/>
        </w:rPr>
        <w:t>(9)</w:t>
      </w:r>
      <w:r>
        <w:rPr>
          <w:noProof/>
        </w:rPr>
        <w:tab/>
      </w:r>
      <w:r w:rsidRPr="00563809">
        <w:rPr>
          <w:noProof/>
        </w:rPr>
        <w:t xml:space="preserve">În conformitate cu articolul 15 alineatul (2) din Regulamentul 2024/1263, în cazul în care a fost numit un guvern nou, un stat membru poate prezenta un plan bugetar-structural pe termen mediu revizuit. În urma alegerilor generale din octombrie 2025, la 23 februarie 2026 a fost constituit un nou guvern. La 14 aprilie 2026, Țările de Jos au prezentat Consiliului și Comisiei un plan bugetar-structural național pe termen mediu revizuit (denumit în continuare „planul” sau „planul din aprilie 2026”). Planul acoperă un orizont de cinci ani (2026-2030) în loc de cei patru ani obișnuiți, având în vedere că formarea guvernului a avut loc în mod excepțional în februarie 2026. Prin urmare, actualul guvern va fi responsabil de pregătirea a cinci bugete în loc de patru. </w:t>
      </w:r>
    </w:p>
    <w:p w14:paraId="210D10A3" w14:textId="77777777" w:rsidR="00670448" w:rsidRPr="00563809" w:rsidRDefault="00D05C1D">
      <w:pPr>
        <w:spacing w:line="276" w:lineRule="auto"/>
        <w:rPr>
          <w:b/>
          <w:bCs/>
          <w:noProof/>
          <w:szCs w:val="24"/>
        </w:rPr>
      </w:pPr>
      <w:r w:rsidRPr="00563809">
        <w:rPr>
          <w:b/>
          <w:noProof/>
        </w:rPr>
        <w:t xml:space="preserve">Procesul anterior prezentării planului din aprilie 2026 </w:t>
      </w:r>
    </w:p>
    <w:p w14:paraId="0D441389" w14:textId="0C9A5386" w:rsidR="00670448" w:rsidRPr="00563809" w:rsidRDefault="00D05C1D">
      <w:pPr>
        <w:pStyle w:val="ManualConsidrant"/>
        <w:spacing w:line="276" w:lineRule="auto"/>
        <w:rPr>
          <w:noProof/>
        </w:rPr>
      </w:pPr>
      <w:r>
        <w:rPr>
          <w:noProof/>
        </w:rPr>
        <w:t>(10)</w:t>
      </w:r>
      <w:r>
        <w:rPr>
          <w:noProof/>
        </w:rPr>
        <w:tab/>
      </w:r>
      <w:r w:rsidRPr="00563809">
        <w:rPr>
          <w:noProof/>
        </w:rPr>
        <w:t>Înainte de a-și prezenta planul, Țările de Jos au solicitat informații tehnice</w:t>
      </w:r>
      <w:r w:rsidRPr="00563809">
        <w:rPr>
          <w:rStyle w:val="FootnoteReference"/>
          <w:noProof/>
          <w:lang w:eastAsia="ja-JP"/>
        </w:rPr>
        <w:footnoteReference w:id="7"/>
      </w:r>
      <w:r w:rsidRPr="00563809">
        <w:rPr>
          <w:noProof/>
        </w:rPr>
        <w:t>. La 26</w:t>
      </w:r>
      <w:r w:rsidR="00563809" w:rsidRPr="00563809">
        <w:rPr>
          <w:noProof/>
        </w:rPr>
        <w:t> </w:t>
      </w:r>
      <w:r w:rsidRPr="00563809">
        <w:rPr>
          <w:noProof/>
        </w:rPr>
        <w:t>februarie</w:t>
      </w:r>
      <w:r w:rsidR="00563809" w:rsidRPr="00563809">
        <w:rPr>
          <w:noProof/>
        </w:rPr>
        <w:t> </w:t>
      </w:r>
      <w:r w:rsidRPr="00563809">
        <w:rPr>
          <w:noProof/>
        </w:rPr>
        <w:t>2026, în temeiul articolului 15 alineatul (4) din Regulamentul (UE) 2024/1263, Comisia a furnizat informații tehnice, pe care le-a publicat la 21</w:t>
      </w:r>
      <w:r w:rsidR="00563809" w:rsidRPr="00563809">
        <w:rPr>
          <w:noProof/>
        </w:rPr>
        <w:t> </w:t>
      </w:r>
      <w:r w:rsidRPr="00563809">
        <w:rPr>
          <w:noProof/>
        </w:rPr>
        <w:t>aprilie</w:t>
      </w:r>
      <w:r w:rsidR="00563809" w:rsidRPr="00563809">
        <w:rPr>
          <w:noProof/>
        </w:rPr>
        <w:t> </w:t>
      </w:r>
      <w:r w:rsidRPr="00563809">
        <w:rPr>
          <w:noProof/>
        </w:rPr>
        <w:t>2026</w:t>
      </w:r>
      <w:r w:rsidRPr="00563809">
        <w:rPr>
          <w:rStyle w:val="FootnoteReference"/>
          <w:noProof/>
          <w:lang w:eastAsia="ja-JP"/>
        </w:rPr>
        <w:footnoteReference w:id="8"/>
      </w:r>
      <w:r w:rsidRPr="00563809">
        <w:rPr>
          <w:noProof/>
        </w:rPr>
        <w:t>. Informațiile tehnice indică nivelul soldului primar structural în 2029 care este necesar pentru a asigura menținerea deficitului public sub 3 % din PIB pe termen mediu și menținerea datoriei publice sub 60 % din PIB pe termen mediu, în absența unor măsuri bugetare suplimentare după perioada de ajustare de patru ani. Termenul mediu este definit ca fiind perioada de zece ani după încheierea perioadei de ajustare. Informațiile tehnice au fost pregătite și transmise statului membru luând în calcul două scenarii: un scenariu care include coerența cu dispozitivul de siguranță privind reziliența deficitului</w:t>
      </w:r>
      <w:r w:rsidRPr="00563809">
        <w:rPr>
          <w:rStyle w:val="FootnoteReference"/>
          <w:noProof/>
          <w:lang w:eastAsia="ja-JP"/>
        </w:rPr>
        <w:footnoteReference w:id="9"/>
      </w:r>
      <w:r w:rsidRPr="00563809">
        <w:rPr>
          <w:noProof/>
        </w:rPr>
        <w:t>, în conformitate cu articolul 9 alineatul (3) din Regulamentul (UE) 2024/1263, și un scenariu fără acest dispozitiv.</w:t>
      </w:r>
    </w:p>
    <w:p w14:paraId="07AE2BD7" w14:textId="77777777" w:rsidR="00670448" w:rsidRPr="00563809" w:rsidRDefault="00D05C1D">
      <w:pPr>
        <w:pStyle w:val="ManualConsidrant"/>
        <w:spacing w:line="276" w:lineRule="auto"/>
        <w:rPr>
          <w:noProof/>
        </w:rPr>
      </w:pPr>
      <w:r>
        <w:rPr>
          <w:noProof/>
        </w:rPr>
        <w:t>(11)</w:t>
      </w:r>
      <w:r>
        <w:rPr>
          <w:noProof/>
        </w:rPr>
        <w:tab/>
      </w:r>
      <w:r w:rsidRPr="00563809">
        <w:rPr>
          <w:noProof/>
        </w:rPr>
        <w:t>Informațiile tehnice pentru Țările de Jos stabilesc că, pentru a respecta regulile bugetare aplicabile pe parcursul unei perioade de ajustare de patru ani și pe baza ipotezelor Comisiei, soldul primar structural trebuie să se ridice la cel puțin 0,1 % din PIB la sfârșitul perioadei de ajustare (2029; scenariul fără dispozitivul de siguranță privind reziliența deficitului), conform tabelului 1.</w:t>
      </w:r>
      <w:r w:rsidRPr="00563809">
        <w:rPr>
          <w:noProof/>
          <w:vertAlign w:val="superscript"/>
        </w:rPr>
        <w:t xml:space="preserve"> </w:t>
      </w:r>
      <w:r w:rsidRPr="00563809">
        <w:rPr>
          <w:noProof/>
        </w:rPr>
        <w:t>Cu titlu informativ, luând în calcul și dispozitivul de siguranță privind reziliența deficitului, soldul primar structural ar trebui să fie același, ridicându-se la cel puțin 0,1 % din PIB la sfârșitul perioadei de ajustare (2029). Cu toate acestea, dispozitivul de siguranță privind reziliența deficitului, care se aplică traiectoriilor de referință, nu este o cerință pentru Țările de Jos, care sunt eligibile doar pentru a primi informații tehnice.</w:t>
      </w:r>
    </w:p>
    <w:p w14:paraId="580BE558" w14:textId="77777777" w:rsidR="00670448" w:rsidRPr="00563809" w:rsidRDefault="00D05C1D">
      <w:pPr>
        <w:rPr>
          <w:b/>
          <w:bCs/>
          <w:noProof/>
        </w:rPr>
      </w:pPr>
      <w:r w:rsidRPr="00563809">
        <w:rPr>
          <w:b/>
          <w:noProof/>
        </w:rPr>
        <w:t>Tabelul 1: Informațiile tehnice transmise de Comisie Țărilor de Jos</w:t>
      </w:r>
    </w:p>
    <w:tbl>
      <w:tblPr>
        <w:tblStyle w:val="TableGrid"/>
        <w:tblpPr w:leftFromText="180" w:rightFromText="180" w:vertAnchor="text" w:horzAnchor="margin" w:tblpXSpec="center" w:tblpY="-213"/>
        <w:tblOverlap w:val="never"/>
        <w:tblW w:w="9639" w:type="dxa"/>
        <w:tblBorders>
          <w:left w:val="none" w:sz="0" w:space="0" w:color="auto"/>
          <w:right w:val="none" w:sz="0" w:space="0" w:color="auto"/>
        </w:tblBorders>
        <w:tblLayout w:type="fixed"/>
        <w:tblLook w:val="04A0" w:firstRow="1" w:lastRow="0" w:firstColumn="1" w:lastColumn="0" w:noHBand="0" w:noVBand="1"/>
      </w:tblPr>
      <w:tblGrid>
        <w:gridCol w:w="8450"/>
        <w:gridCol w:w="1189"/>
      </w:tblGrid>
      <w:tr w:rsidR="00670448" w:rsidRPr="00563809" w14:paraId="70C2A42A" w14:textId="77777777">
        <w:trPr>
          <w:trHeight w:val="417"/>
        </w:trPr>
        <w:tc>
          <w:tcPr>
            <w:tcW w:w="4383" w:type="pct"/>
            <w:vAlign w:val="center"/>
          </w:tcPr>
          <w:p w14:paraId="15114C5E" w14:textId="77777777" w:rsidR="00670448" w:rsidRPr="00563809" w:rsidRDefault="00D05C1D">
            <w:pPr>
              <w:spacing w:line="276" w:lineRule="auto"/>
              <w:rPr>
                <w:noProof/>
                <w:szCs w:val="24"/>
              </w:rPr>
            </w:pPr>
            <w:r w:rsidRPr="00563809">
              <w:rPr>
                <w:noProof/>
              </w:rPr>
              <w:t>Ultimul an al perioadei de ajustare</w:t>
            </w:r>
          </w:p>
        </w:tc>
        <w:tc>
          <w:tcPr>
            <w:tcW w:w="617" w:type="pct"/>
            <w:vAlign w:val="center"/>
          </w:tcPr>
          <w:p w14:paraId="53AB615A" w14:textId="77777777" w:rsidR="00670448" w:rsidRPr="00563809" w:rsidRDefault="00D05C1D">
            <w:pPr>
              <w:spacing w:line="276" w:lineRule="auto"/>
              <w:rPr>
                <w:noProof/>
                <w:szCs w:val="24"/>
              </w:rPr>
            </w:pPr>
            <w:r w:rsidRPr="00563809">
              <w:rPr>
                <w:noProof/>
              </w:rPr>
              <w:t>2029</w:t>
            </w:r>
          </w:p>
        </w:tc>
      </w:tr>
      <w:tr w:rsidR="00670448" w:rsidRPr="00563809" w14:paraId="6F55B25D" w14:textId="77777777">
        <w:trPr>
          <w:trHeight w:val="417"/>
        </w:trPr>
        <w:tc>
          <w:tcPr>
            <w:tcW w:w="4383" w:type="pct"/>
            <w:vAlign w:val="center"/>
          </w:tcPr>
          <w:p w14:paraId="7620E3BA" w14:textId="77777777" w:rsidR="00670448" w:rsidRPr="00563809" w:rsidRDefault="00D05C1D">
            <w:pPr>
              <w:spacing w:line="276" w:lineRule="auto"/>
              <w:rPr>
                <w:noProof/>
                <w:szCs w:val="24"/>
              </w:rPr>
            </w:pPr>
            <w:r w:rsidRPr="00563809">
              <w:rPr>
                <w:noProof/>
              </w:rPr>
              <w:t>Valoarea minimă a soldului primar structural (% din PIB), scenariu fără dispozitivul de siguranță privind reziliența deficitului</w:t>
            </w:r>
          </w:p>
        </w:tc>
        <w:tc>
          <w:tcPr>
            <w:tcW w:w="617" w:type="pct"/>
            <w:vAlign w:val="center"/>
          </w:tcPr>
          <w:p w14:paraId="66CD5C2A" w14:textId="77777777" w:rsidR="00670448" w:rsidRPr="00563809" w:rsidRDefault="00D05C1D">
            <w:pPr>
              <w:spacing w:line="276" w:lineRule="auto"/>
              <w:rPr>
                <w:noProof/>
                <w:szCs w:val="24"/>
              </w:rPr>
            </w:pPr>
            <w:r w:rsidRPr="00563809">
              <w:rPr>
                <w:noProof/>
              </w:rPr>
              <w:t>0,1 %</w:t>
            </w:r>
          </w:p>
        </w:tc>
      </w:tr>
      <w:tr w:rsidR="00670448" w:rsidRPr="00563809" w14:paraId="583072DB" w14:textId="77777777">
        <w:trPr>
          <w:trHeight w:val="417"/>
        </w:trPr>
        <w:tc>
          <w:tcPr>
            <w:tcW w:w="4383" w:type="pct"/>
            <w:tcBorders>
              <w:bottom w:val="single" w:sz="4" w:space="0" w:color="auto"/>
            </w:tcBorders>
            <w:vAlign w:val="center"/>
          </w:tcPr>
          <w:p w14:paraId="45A88455" w14:textId="77777777" w:rsidR="00670448" w:rsidRPr="00563809" w:rsidRDefault="00D05C1D">
            <w:pPr>
              <w:spacing w:line="276" w:lineRule="auto"/>
              <w:rPr>
                <w:noProof/>
                <w:szCs w:val="24"/>
              </w:rPr>
            </w:pPr>
            <w:r w:rsidRPr="00563809">
              <w:rPr>
                <w:i/>
                <w:noProof/>
              </w:rPr>
              <w:t xml:space="preserve">Numai cu titlu informativ: </w:t>
            </w:r>
            <w:r w:rsidRPr="00563809">
              <w:rPr>
                <w:noProof/>
              </w:rPr>
              <w:t>Valoarea minimă a soldului primar structural (% din PIB), scenariu cu dispozitivul de siguranță privind reziliența deficitului</w:t>
            </w:r>
          </w:p>
        </w:tc>
        <w:tc>
          <w:tcPr>
            <w:tcW w:w="617" w:type="pct"/>
            <w:tcBorders>
              <w:bottom w:val="single" w:sz="4" w:space="0" w:color="auto"/>
            </w:tcBorders>
            <w:vAlign w:val="center"/>
          </w:tcPr>
          <w:p w14:paraId="6CE9961B" w14:textId="77777777" w:rsidR="00670448" w:rsidRPr="00563809" w:rsidRDefault="00D05C1D">
            <w:pPr>
              <w:spacing w:line="276" w:lineRule="auto"/>
              <w:rPr>
                <w:noProof/>
                <w:szCs w:val="24"/>
              </w:rPr>
            </w:pPr>
            <w:r w:rsidRPr="00563809">
              <w:rPr>
                <w:noProof/>
              </w:rPr>
              <w:t>0,1 %</w:t>
            </w:r>
          </w:p>
        </w:tc>
      </w:tr>
      <w:tr w:rsidR="00670448" w:rsidRPr="00563809" w14:paraId="561A0FC1" w14:textId="77777777">
        <w:trPr>
          <w:trHeight w:val="417"/>
        </w:trPr>
        <w:tc>
          <w:tcPr>
            <w:tcW w:w="5000" w:type="pct"/>
            <w:gridSpan w:val="2"/>
            <w:tcBorders>
              <w:bottom w:val="nil"/>
            </w:tcBorders>
            <w:vAlign w:val="center"/>
          </w:tcPr>
          <w:p w14:paraId="55B32EDF" w14:textId="77777777" w:rsidR="00670448" w:rsidRPr="00563809" w:rsidRDefault="00D05C1D">
            <w:pPr>
              <w:spacing w:line="276" w:lineRule="auto"/>
              <w:rPr>
                <w:noProof/>
                <w:szCs w:val="24"/>
              </w:rPr>
            </w:pPr>
            <w:r w:rsidRPr="00563809">
              <w:rPr>
                <w:noProof/>
              </w:rPr>
              <w:t>Sursa: calculele Comisiei.</w:t>
            </w:r>
          </w:p>
        </w:tc>
      </w:tr>
    </w:tbl>
    <w:p w14:paraId="40DB4AC9" w14:textId="77777777" w:rsidR="00670448" w:rsidRPr="00563809" w:rsidRDefault="00D05C1D">
      <w:pPr>
        <w:pStyle w:val="ManualConsidrant"/>
        <w:spacing w:line="276" w:lineRule="auto"/>
        <w:rPr>
          <w:noProof/>
        </w:rPr>
      </w:pPr>
      <w:r>
        <w:rPr>
          <w:noProof/>
        </w:rPr>
        <w:t>(12)</w:t>
      </w:r>
      <w:r>
        <w:rPr>
          <w:noProof/>
        </w:rPr>
        <w:tab/>
      </w:r>
      <w:r w:rsidRPr="00563809">
        <w:rPr>
          <w:noProof/>
        </w:rPr>
        <w:t xml:space="preserve">În conformitate cu articolul 12 din Regulamentul (UE) 2024/1263, Țările de Jos și Comisia au purtat un dialog tehnic în martie 2026. Dialogul tehnic s-a axat pe ratele maxime de creștere a cheltuielilor nete avute în vedere de Țările de Jos și pe ipotezele care stau la baza acestora, în special în ceea ce privește deflatorul PIB, precum și pe realizarea preconizată a reformelor și investițiilor care să răspundă principalelor provocări identificate în contextul semestrului european și priorităților comune ale Uniunii în ceea ce privește tranziția verde și digitală echitabilă, reziliența socială și economică, securitatea energetică și consolidarea capabilităților de apărare. </w:t>
      </w:r>
    </w:p>
    <w:p w14:paraId="37D0DB89" w14:textId="77777777" w:rsidR="00670448" w:rsidRPr="00563809" w:rsidRDefault="00D05C1D">
      <w:pPr>
        <w:pStyle w:val="ManualConsidrant"/>
        <w:spacing w:line="276" w:lineRule="auto"/>
        <w:rPr>
          <w:noProof/>
        </w:rPr>
      </w:pPr>
      <w:r>
        <w:rPr>
          <w:noProof/>
        </w:rPr>
        <w:t>(13)</w:t>
      </w:r>
      <w:r>
        <w:rPr>
          <w:noProof/>
        </w:rPr>
        <w:tab/>
      </w:r>
      <w:r w:rsidRPr="00563809">
        <w:rPr>
          <w:noProof/>
        </w:rPr>
        <w:t xml:space="preserve">În aprilie 2026, în conformitate cu articolul 11 alineatul (3) din Regulamentul (UE) 2024/1263, potrivit informațiilor furnizate de Țările de Jos în planul său, autoritățile s-au angajat într-un proces de consultare cu partenerii sociali și cu </w:t>
      </w:r>
      <w:r w:rsidRPr="00563809">
        <w:rPr>
          <w:noProof/>
          <w:color w:val="000000" w:themeColor="text1"/>
        </w:rPr>
        <w:t>departamentul consultativ din cadrul Consiliului de Stat, care este una dintre instituțiile fiscal-bugetare independente neerlandeze însărcinate cu monitorizarea respectării normelor bugetare</w:t>
      </w:r>
      <w:r w:rsidRPr="00563809">
        <w:rPr>
          <w:noProof/>
        </w:rPr>
        <w:t xml:space="preserve">. </w:t>
      </w:r>
    </w:p>
    <w:p w14:paraId="6282DA6E" w14:textId="77777777" w:rsidR="00670448" w:rsidRPr="00563809" w:rsidRDefault="00D05C1D">
      <w:pPr>
        <w:pStyle w:val="ManualConsidrant"/>
        <w:spacing w:line="276" w:lineRule="auto"/>
        <w:rPr>
          <w:noProof/>
          <w:sz w:val="22"/>
        </w:rPr>
      </w:pPr>
      <w:r>
        <w:rPr>
          <w:noProof/>
        </w:rPr>
        <w:t>(14)</w:t>
      </w:r>
      <w:r>
        <w:rPr>
          <w:noProof/>
        </w:rPr>
        <w:tab/>
      </w:r>
      <w:r w:rsidRPr="00563809">
        <w:rPr>
          <w:noProof/>
        </w:rPr>
        <w:t>Departamentul consultativ din cadrul Consiliului de Stat (CoS) a emis un aviz cu privire la previziunile macroeconomice și la ipotezele macroeconomice care stau la baza traiectoriei cheltuielilor nete din plan. CoS nu a exprimat o opinie cu privire la plauzibilitatea generală a acestor previziuni și ipoteze, dar a remarcat că acestea diferă de cele ale Biroului pentru analiza politicilor economice din Țările de Jos (CPB), care urmează să stea la baza estimărilor soldului bugetar și ale datoriei publice în conformitate cu cadrul bugetar național. CoS a remarcat, de asemenea, că, potrivit proiecțiilor pe termen mediu ale CPB până în 2039, valorile de referință pentru ponderea deficitului public și a datoriei publice vor fi depășite cu o marjă mică (deficit de 3,1 % din PIB începând din 2034 și datorie de 62 % din PIB în 2039), în timp ce, potrivit proiecțiilor din planul pe termen mediu, acest lucru nu s-ar întâmpla. CoS a indicat că această diferență se datorează în principal faptului că proiecțiile CPB includ o estimare a impactului politicilor anunțate în următorii ani (inclusiv impactul acestora după 2029 și până în 2034), în timp ce Comisia, în evaluarea planurilor pe termen mediu, utilizează o ipoteză de menținere a politicilor actuale după perioada de ajustare.</w:t>
      </w:r>
    </w:p>
    <w:p w14:paraId="510288A0" w14:textId="77777777" w:rsidR="00670448" w:rsidRPr="00563809" w:rsidRDefault="00D05C1D">
      <w:pPr>
        <w:pStyle w:val="ManualConsidrant"/>
        <w:spacing w:line="276" w:lineRule="auto"/>
        <w:rPr>
          <w:noProof/>
        </w:rPr>
      </w:pPr>
      <w:r>
        <w:rPr>
          <w:noProof/>
        </w:rPr>
        <w:t>(15)</w:t>
      </w:r>
      <w:r>
        <w:rPr>
          <w:noProof/>
        </w:rPr>
        <w:tab/>
      </w:r>
      <w:r w:rsidRPr="00563809">
        <w:rPr>
          <w:noProof/>
        </w:rPr>
        <w:t>Planul a fost prezentat parlamentului național la 13 aprilie 2026.</w:t>
      </w:r>
    </w:p>
    <w:p w14:paraId="5F0D12A0" w14:textId="77777777" w:rsidR="00670448" w:rsidRPr="00563809" w:rsidRDefault="00D05C1D">
      <w:pPr>
        <w:spacing w:line="276" w:lineRule="auto"/>
        <w:rPr>
          <w:rFonts w:eastAsia="Calibri"/>
          <w:b/>
          <w:noProof/>
        </w:rPr>
      </w:pPr>
      <w:r w:rsidRPr="00563809">
        <w:rPr>
          <w:b/>
          <w:noProof/>
        </w:rPr>
        <w:t>REZUMATUL PLANULUI ȘI EVALUAREA ACESTUIA DE CĂTRE COMISIE</w:t>
      </w:r>
    </w:p>
    <w:p w14:paraId="13907CD6" w14:textId="77777777" w:rsidR="00670448" w:rsidRPr="00563809" w:rsidRDefault="00D05C1D">
      <w:pPr>
        <w:pStyle w:val="ManualConsidrant"/>
        <w:spacing w:line="276" w:lineRule="auto"/>
        <w:rPr>
          <w:noProof/>
        </w:rPr>
      </w:pPr>
      <w:r>
        <w:rPr>
          <w:noProof/>
        </w:rPr>
        <w:t>(16)</w:t>
      </w:r>
      <w:r>
        <w:rPr>
          <w:noProof/>
        </w:rPr>
        <w:tab/>
      </w:r>
      <w:r w:rsidRPr="00563809">
        <w:rPr>
          <w:noProof/>
        </w:rPr>
        <w:t>În conformitate cu articolul 16 din Regulamentul (UE) 2024/1263, Comisia a evaluat planul din aprilie 2026 după cum urmează:</w:t>
      </w:r>
    </w:p>
    <w:p w14:paraId="2F2919C3" w14:textId="77777777" w:rsidR="00670448" w:rsidRPr="00563809" w:rsidRDefault="00D05C1D">
      <w:pPr>
        <w:spacing w:line="276" w:lineRule="auto"/>
        <w:rPr>
          <w:rFonts w:eastAsia="Calibri"/>
          <w:b/>
          <w:bCs/>
          <w:noProof/>
        </w:rPr>
      </w:pPr>
      <w:r w:rsidRPr="00563809">
        <w:rPr>
          <w:b/>
          <w:noProof/>
        </w:rPr>
        <w:t xml:space="preserve">Contextul: situația și perspectivele macroeconomice și bugetare </w:t>
      </w:r>
    </w:p>
    <w:p w14:paraId="56CE1CF7" w14:textId="77777777" w:rsidR="00670448" w:rsidRPr="00563809" w:rsidRDefault="00D05C1D">
      <w:pPr>
        <w:pStyle w:val="ManualConsidrant"/>
        <w:spacing w:line="276" w:lineRule="auto"/>
        <w:rPr>
          <w:noProof/>
        </w:rPr>
      </w:pPr>
      <w:r>
        <w:rPr>
          <w:noProof/>
        </w:rPr>
        <w:t>(17)</w:t>
      </w:r>
      <w:r>
        <w:rPr>
          <w:noProof/>
        </w:rPr>
        <w:tab/>
      </w:r>
      <w:r w:rsidRPr="00563809">
        <w:rPr>
          <w:noProof/>
        </w:rPr>
        <w:t>PIB-ul real în Țările de Jos a crescut cu 1,8 % în 2025 din cauza cererii interne solide și în pofida incertitudinilor globale care afectează comerțul. Potrivit previziunilor Comisiei Europene din primăvara anului 2026, se preconizează că economia va crește cu 1,0 % în 2026, deoarece incertitudinile ridicate la nivel mondial, exacerbate de conflictul din Orientul Mijlociu, frânează consumul, investițiile și comerțul. În 2027, se preconizează că PIB-ul real va crește cu 1,1 %, dat fiind că economia se confruntă cu efectele persistente ale conflictului din Orientul Mijlociu. Conform estimărilor, contribuția consumului privat și a investițiilor va fi limitată, iar importurile vor depăși exporturile, ceea ce va avea ca rezultat o contribuție negativă a comerțului net la creștere. În perioada analizată în previziuni (și anume 2026-2027), se preconizează că creșterea PIB-ului potențial în Țările de Jos își va continua tendința descendentă de la 2,0 % în 2023 la 1,3 % până în 2027, determinată în principal de o creștere mai scăzută a populației în vârstă de muncă, precum și de o scădere a ratei investițiilor. Rata șomajului a fost de 3,9 % în 2025 și, potrivit estimărilor Comisiei, va atinge 4,2 % în 2026 și 4,4 % în 2027. Se preconizează că inflația (deflatorul PIB) va scădea de la 3,3 % în 2025 la 3,2 % în 2026 și va ajunge la 2,5 % în 2027.</w:t>
      </w:r>
    </w:p>
    <w:p w14:paraId="3C3A0260" w14:textId="77777777" w:rsidR="00670448" w:rsidRPr="00563809" w:rsidRDefault="00D05C1D">
      <w:pPr>
        <w:pStyle w:val="ManualConsidrant"/>
        <w:spacing w:line="276" w:lineRule="auto"/>
        <w:rPr>
          <w:noProof/>
        </w:rPr>
      </w:pPr>
      <w:r>
        <w:rPr>
          <w:noProof/>
        </w:rPr>
        <w:t>(18)</w:t>
      </w:r>
      <w:r>
        <w:rPr>
          <w:noProof/>
        </w:rPr>
        <w:tab/>
      </w:r>
      <w:r w:rsidRPr="00563809">
        <w:rPr>
          <w:noProof/>
        </w:rPr>
        <w:t>În ceea ce privește evoluțiile bugetare, deficitul public al Țărilor de Jos a fost de 1,6 % din PIB în 2025. Conform previziunilor Comisiei Europene din primăvara anului 2026, se preconizează că acesta va atinge 2,5 % din PIB în 2026 și va scădea la 1,9 % din PIB în 2027. Previziunile Comisiei Europene din primăvara anului 2026 țin seama de proiectul de buget al Țărilor de Jos pentru 2026. Datoria publică era de 44,4 % din PIB la sfârșitul anului 2025. Potrivit previziunilor Comisiei Europene din primăvara anului 2026, se preconizează că ponderea datoriei va crește la 46,9 % din PIB la sfârșitul anului 2026. Se preconizează că aceasta se va stabiliza, în linii mari, la 47,0 % din PIB la sfârșitul anului 2027. Previziunile bugetare ale Comisiei nu iau în considerare angajamentele de politică din planurile bugetar-structurale pe termen mediu în forma actuală până când acestea nu sunt sprijinite de măsuri concrete de politică anunțate în mod credibil și detaliate suficient.</w:t>
      </w:r>
    </w:p>
    <w:p w14:paraId="1BFD2501" w14:textId="77777777" w:rsidR="00670448" w:rsidRPr="00563809" w:rsidRDefault="00D05C1D">
      <w:pPr>
        <w:spacing w:line="276" w:lineRule="auto"/>
        <w:rPr>
          <w:rFonts w:eastAsia="Calibri"/>
          <w:b/>
          <w:noProof/>
          <w:szCs w:val="24"/>
        </w:rPr>
      </w:pPr>
      <w:r w:rsidRPr="00563809">
        <w:rPr>
          <w:b/>
          <w:noProof/>
        </w:rPr>
        <w:t>Ratele maxime de creștere a cheltuielilor nete și principalele ipoteze macroeconomice prevăzute în planul din aprilie 2026</w:t>
      </w:r>
    </w:p>
    <w:p w14:paraId="598167FC" w14:textId="77777777" w:rsidR="00670448" w:rsidRPr="00563809" w:rsidRDefault="00D05C1D">
      <w:pPr>
        <w:pStyle w:val="ManualConsidrant"/>
        <w:spacing w:line="276" w:lineRule="auto"/>
        <w:rPr>
          <w:noProof/>
        </w:rPr>
      </w:pPr>
      <w:r>
        <w:rPr>
          <w:noProof/>
        </w:rPr>
        <w:t>(19)</w:t>
      </w:r>
      <w:r>
        <w:rPr>
          <w:noProof/>
        </w:rPr>
        <w:tab/>
      </w:r>
      <w:r w:rsidRPr="00563809">
        <w:rPr>
          <w:noProof/>
        </w:rPr>
        <w:t xml:space="preserve">Planul include perioada 2026-2030 și prezintă o ajustare bugetară pe o perioadă de patru ani. </w:t>
      </w:r>
    </w:p>
    <w:p w14:paraId="547F1978" w14:textId="77777777" w:rsidR="00670448" w:rsidRPr="00563809" w:rsidRDefault="00D05C1D">
      <w:pPr>
        <w:pStyle w:val="ManualConsidrant"/>
        <w:spacing w:line="276" w:lineRule="auto"/>
        <w:rPr>
          <w:noProof/>
        </w:rPr>
      </w:pPr>
      <w:r>
        <w:rPr>
          <w:noProof/>
        </w:rPr>
        <w:t>(20)</w:t>
      </w:r>
      <w:r>
        <w:rPr>
          <w:noProof/>
        </w:rPr>
        <w:tab/>
      </w:r>
      <w:r w:rsidRPr="00563809">
        <w:rPr>
          <w:noProof/>
        </w:rPr>
        <w:t xml:space="preserve">Planul conține toate informațiile prevăzute la articolul 13 din Regulamentul (UE) 2024/1263. </w:t>
      </w:r>
    </w:p>
    <w:p w14:paraId="2B00F227" w14:textId="549046CF" w:rsidR="00670448" w:rsidRPr="00563809" w:rsidRDefault="00D05C1D">
      <w:pPr>
        <w:pStyle w:val="ManualConsidrant"/>
        <w:spacing w:line="276" w:lineRule="auto"/>
        <w:rPr>
          <w:noProof/>
        </w:rPr>
      </w:pPr>
      <w:r>
        <w:rPr>
          <w:noProof/>
        </w:rPr>
        <w:t>(21)</w:t>
      </w:r>
      <w:r>
        <w:rPr>
          <w:noProof/>
        </w:rPr>
        <w:tab/>
      </w:r>
      <w:r w:rsidRPr="00563809">
        <w:rPr>
          <w:noProof/>
        </w:rPr>
        <w:t>Planul prevede angajamentul de a respecta ratele maxime de creștere a cheltuielilor nete indicate în tabelul 2 de mai jos, care corespund unei creșteri medii anuale a cheltuielilor nete de 3,7 % atât în perioada de ajustare (2026-2029), cât și în perioada acoperită de plan (2026-2030). Informațiile tehnice (în ipoteza unei traiectorii de ajustare liniare) corespund unei creșteri medii a cheltuielilor nete de 3,3 %, atât în perioada de ajustare (2026-2029), cât și în perioada 2026-2030.</w:t>
      </w:r>
    </w:p>
    <w:p w14:paraId="38C62BC4" w14:textId="77777777" w:rsidR="00670448" w:rsidRPr="00563809" w:rsidRDefault="00D05C1D">
      <w:pPr>
        <w:rPr>
          <w:b/>
          <w:bCs/>
          <w:noProof/>
        </w:rPr>
      </w:pPr>
      <w:r w:rsidRPr="00563809">
        <w:rPr>
          <w:b/>
          <w:noProof/>
        </w:rPr>
        <w:t xml:space="preserve">Tabelul 2: Creșterea maximă a cheltuielilor nete și principalele ipoteze din planul Țărilor de Jos </w:t>
      </w:r>
    </w:p>
    <w:tbl>
      <w:tblPr>
        <w:tblStyle w:val="TableGrid"/>
        <w:tblW w:w="9001" w:type="dxa"/>
        <w:jc w:val="center"/>
        <w:tblBorders>
          <w:left w:val="none" w:sz="0" w:space="0" w:color="auto"/>
          <w:right w:val="none" w:sz="0" w:space="0" w:color="auto"/>
        </w:tblBorders>
        <w:tblLayout w:type="fixed"/>
        <w:tblLook w:val="04A0" w:firstRow="1" w:lastRow="0" w:firstColumn="1" w:lastColumn="0" w:noHBand="0" w:noVBand="1"/>
      </w:tblPr>
      <w:tblGrid>
        <w:gridCol w:w="2372"/>
        <w:gridCol w:w="766"/>
        <w:gridCol w:w="766"/>
        <w:gridCol w:w="766"/>
        <w:gridCol w:w="766"/>
        <w:gridCol w:w="803"/>
        <w:gridCol w:w="1416"/>
        <w:gridCol w:w="1346"/>
      </w:tblGrid>
      <w:tr w:rsidR="00670448" w:rsidRPr="00563809" w14:paraId="43011C81" w14:textId="77777777">
        <w:trPr>
          <w:jc w:val="center"/>
        </w:trPr>
        <w:tc>
          <w:tcPr>
            <w:tcW w:w="2372" w:type="dxa"/>
          </w:tcPr>
          <w:p w14:paraId="2589CCA8" w14:textId="77777777" w:rsidR="00670448" w:rsidRPr="00563809" w:rsidRDefault="00670448">
            <w:pPr>
              <w:spacing w:before="0" w:after="200" w:line="276" w:lineRule="auto"/>
              <w:jc w:val="center"/>
              <w:rPr>
                <w:rFonts w:eastAsia="Aptos"/>
                <w:b/>
                <w:noProof/>
                <w:sz w:val="20"/>
                <w:lang w:eastAsia="ja-JP"/>
              </w:rPr>
            </w:pPr>
          </w:p>
        </w:tc>
        <w:tc>
          <w:tcPr>
            <w:tcW w:w="766" w:type="dxa"/>
          </w:tcPr>
          <w:p w14:paraId="327D0354" w14:textId="77777777" w:rsidR="00670448" w:rsidRPr="00563809" w:rsidRDefault="00D05C1D">
            <w:pPr>
              <w:spacing w:before="0" w:after="200" w:line="276" w:lineRule="auto"/>
              <w:jc w:val="center"/>
              <w:rPr>
                <w:rFonts w:eastAsia="Aptos"/>
                <w:noProof/>
                <w:sz w:val="20"/>
              </w:rPr>
            </w:pPr>
            <w:r w:rsidRPr="00563809">
              <w:rPr>
                <w:noProof/>
                <w:sz w:val="22"/>
              </w:rPr>
              <w:t>2026</w:t>
            </w:r>
          </w:p>
        </w:tc>
        <w:tc>
          <w:tcPr>
            <w:tcW w:w="766" w:type="dxa"/>
          </w:tcPr>
          <w:p w14:paraId="00F56D22" w14:textId="77777777" w:rsidR="00670448" w:rsidRPr="00563809" w:rsidRDefault="00D05C1D">
            <w:pPr>
              <w:spacing w:before="0" w:after="200" w:line="276" w:lineRule="auto"/>
              <w:jc w:val="center"/>
              <w:rPr>
                <w:rFonts w:eastAsia="Aptos"/>
                <w:noProof/>
                <w:sz w:val="20"/>
              </w:rPr>
            </w:pPr>
            <w:r w:rsidRPr="00563809">
              <w:rPr>
                <w:noProof/>
                <w:sz w:val="22"/>
              </w:rPr>
              <w:t>2027</w:t>
            </w:r>
          </w:p>
        </w:tc>
        <w:tc>
          <w:tcPr>
            <w:tcW w:w="766" w:type="dxa"/>
          </w:tcPr>
          <w:p w14:paraId="62686CFE" w14:textId="77777777" w:rsidR="00670448" w:rsidRPr="00563809" w:rsidRDefault="00D05C1D">
            <w:pPr>
              <w:spacing w:before="0" w:after="200" w:line="276" w:lineRule="auto"/>
              <w:jc w:val="center"/>
              <w:rPr>
                <w:rFonts w:eastAsia="Aptos"/>
                <w:noProof/>
                <w:sz w:val="20"/>
              </w:rPr>
            </w:pPr>
            <w:r w:rsidRPr="00563809">
              <w:rPr>
                <w:noProof/>
                <w:sz w:val="22"/>
              </w:rPr>
              <w:t>2028</w:t>
            </w:r>
          </w:p>
        </w:tc>
        <w:tc>
          <w:tcPr>
            <w:tcW w:w="766" w:type="dxa"/>
          </w:tcPr>
          <w:p w14:paraId="5B2A3C97" w14:textId="77777777" w:rsidR="00670448" w:rsidRPr="00563809" w:rsidRDefault="00D05C1D">
            <w:pPr>
              <w:spacing w:before="0" w:after="200" w:line="276" w:lineRule="auto"/>
              <w:jc w:val="center"/>
              <w:rPr>
                <w:rFonts w:eastAsia="Aptos"/>
                <w:noProof/>
                <w:sz w:val="20"/>
              </w:rPr>
            </w:pPr>
            <w:r w:rsidRPr="00563809">
              <w:rPr>
                <w:noProof/>
                <w:sz w:val="22"/>
              </w:rPr>
              <w:t>2029</w:t>
            </w:r>
          </w:p>
        </w:tc>
        <w:tc>
          <w:tcPr>
            <w:tcW w:w="803" w:type="dxa"/>
          </w:tcPr>
          <w:p w14:paraId="7E635CDF" w14:textId="77777777" w:rsidR="00670448" w:rsidRPr="00563809" w:rsidRDefault="00D05C1D">
            <w:pPr>
              <w:spacing w:before="0" w:after="200" w:line="276" w:lineRule="auto"/>
              <w:jc w:val="center"/>
              <w:rPr>
                <w:rFonts w:eastAsia="Aptos"/>
                <w:noProof/>
                <w:sz w:val="20"/>
              </w:rPr>
            </w:pPr>
            <w:r w:rsidRPr="00563809">
              <w:rPr>
                <w:noProof/>
                <w:sz w:val="22"/>
              </w:rPr>
              <w:t>2030</w:t>
            </w:r>
          </w:p>
        </w:tc>
        <w:tc>
          <w:tcPr>
            <w:tcW w:w="1416" w:type="dxa"/>
          </w:tcPr>
          <w:p w14:paraId="44EEC60E" w14:textId="77777777" w:rsidR="00670448" w:rsidRPr="00563809" w:rsidRDefault="00D05C1D">
            <w:pPr>
              <w:spacing w:before="0" w:after="200" w:line="276" w:lineRule="auto"/>
              <w:jc w:val="center"/>
              <w:rPr>
                <w:rFonts w:eastAsia="Calibri"/>
                <w:noProof/>
                <w:sz w:val="20"/>
              </w:rPr>
            </w:pPr>
            <w:r w:rsidRPr="00563809">
              <w:rPr>
                <w:noProof/>
                <w:sz w:val="22"/>
              </w:rPr>
              <w:t>Media pe perioada de valabilitate a planului</w:t>
            </w:r>
          </w:p>
          <w:p w14:paraId="1730E86C" w14:textId="77777777" w:rsidR="00670448" w:rsidRPr="00563809" w:rsidRDefault="00D05C1D">
            <w:pPr>
              <w:spacing w:before="0" w:after="200" w:line="276" w:lineRule="auto"/>
              <w:jc w:val="center"/>
              <w:rPr>
                <w:rFonts w:eastAsia="Aptos"/>
                <w:noProof/>
                <w:sz w:val="20"/>
              </w:rPr>
            </w:pPr>
            <w:r w:rsidRPr="00563809">
              <w:rPr>
                <w:noProof/>
                <w:sz w:val="22"/>
              </w:rPr>
              <w:t>2026-2030</w:t>
            </w:r>
          </w:p>
        </w:tc>
        <w:tc>
          <w:tcPr>
            <w:tcW w:w="1346" w:type="dxa"/>
          </w:tcPr>
          <w:p w14:paraId="4A5128D6" w14:textId="77777777" w:rsidR="00670448" w:rsidRPr="00563809" w:rsidRDefault="00D05C1D">
            <w:pPr>
              <w:spacing w:before="0" w:after="200" w:line="276" w:lineRule="auto"/>
              <w:jc w:val="center"/>
              <w:rPr>
                <w:rFonts w:eastAsia="Calibri"/>
                <w:noProof/>
                <w:sz w:val="20"/>
              </w:rPr>
            </w:pPr>
            <w:r w:rsidRPr="00563809">
              <w:rPr>
                <w:noProof/>
                <w:sz w:val="22"/>
              </w:rPr>
              <w:t>Media pe perioada de ajustare</w:t>
            </w:r>
          </w:p>
          <w:p w14:paraId="26987D06" w14:textId="77777777" w:rsidR="00670448" w:rsidRPr="00563809" w:rsidRDefault="00D05C1D">
            <w:pPr>
              <w:spacing w:before="0" w:after="200" w:line="276" w:lineRule="auto"/>
              <w:jc w:val="center"/>
              <w:rPr>
                <w:rFonts w:eastAsia="Aptos"/>
                <w:b/>
                <w:noProof/>
                <w:sz w:val="20"/>
              </w:rPr>
            </w:pPr>
            <w:r w:rsidRPr="00563809">
              <w:rPr>
                <w:noProof/>
                <w:sz w:val="22"/>
              </w:rPr>
              <w:t>2026-2029</w:t>
            </w:r>
          </w:p>
        </w:tc>
      </w:tr>
      <w:tr w:rsidR="00670448" w:rsidRPr="00563809" w14:paraId="559EF0B9" w14:textId="77777777">
        <w:trPr>
          <w:jc w:val="center"/>
        </w:trPr>
        <w:tc>
          <w:tcPr>
            <w:tcW w:w="2372" w:type="dxa"/>
            <w:tcBorders>
              <w:bottom w:val="single" w:sz="4" w:space="0" w:color="auto"/>
            </w:tcBorders>
            <w:vAlign w:val="center"/>
          </w:tcPr>
          <w:p w14:paraId="1CAF6C17" w14:textId="6BCF43BD" w:rsidR="00670448" w:rsidRPr="00563809" w:rsidRDefault="00D05C1D">
            <w:pPr>
              <w:spacing w:before="0" w:after="200" w:line="276" w:lineRule="auto"/>
              <w:jc w:val="center"/>
              <w:rPr>
                <w:rFonts w:eastAsia="Aptos"/>
                <w:b/>
                <w:noProof/>
                <w:sz w:val="20"/>
              </w:rPr>
            </w:pPr>
            <w:r w:rsidRPr="00563809">
              <w:rPr>
                <w:noProof/>
                <w:sz w:val="22"/>
              </w:rPr>
              <w:t>Creșterea cheltuielilor nete</w:t>
            </w:r>
            <w:r w:rsidRPr="00563809">
              <w:rPr>
                <w:noProof/>
              </w:rPr>
              <w:br/>
            </w:r>
            <w:r w:rsidRPr="00563809">
              <w:rPr>
                <w:noProof/>
                <w:sz w:val="22"/>
              </w:rPr>
              <w:t>(anuală, %)</w:t>
            </w:r>
          </w:p>
        </w:tc>
        <w:tc>
          <w:tcPr>
            <w:tcW w:w="766" w:type="dxa"/>
            <w:tcBorders>
              <w:bottom w:val="single" w:sz="4" w:space="0" w:color="auto"/>
            </w:tcBorders>
            <w:vAlign w:val="center"/>
          </w:tcPr>
          <w:p w14:paraId="10D25F10" w14:textId="77777777" w:rsidR="00670448" w:rsidRPr="00563809" w:rsidRDefault="00D05C1D">
            <w:pPr>
              <w:spacing w:before="0" w:after="200" w:line="276" w:lineRule="auto"/>
              <w:jc w:val="center"/>
              <w:rPr>
                <w:rFonts w:eastAsia="Aptos"/>
                <w:noProof/>
                <w:sz w:val="22"/>
                <w:szCs w:val="22"/>
              </w:rPr>
            </w:pPr>
            <w:r w:rsidRPr="00563809">
              <w:rPr>
                <w:noProof/>
                <w:sz w:val="22"/>
              </w:rPr>
              <w:t>4,7</w:t>
            </w:r>
          </w:p>
        </w:tc>
        <w:tc>
          <w:tcPr>
            <w:tcW w:w="766" w:type="dxa"/>
            <w:tcBorders>
              <w:bottom w:val="single" w:sz="4" w:space="0" w:color="auto"/>
            </w:tcBorders>
            <w:vAlign w:val="center"/>
          </w:tcPr>
          <w:p w14:paraId="71959ED5" w14:textId="77777777" w:rsidR="00670448" w:rsidRPr="00563809" w:rsidRDefault="00D05C1D">
            <w:pPr>
              <w:spacing w:before="0" w:after="200" w:line="276" w:lineRule="auto"/>
              <w:jc w:val="center"/>
              <w:rPr>
                <w:rFonts w:eastAsia="Aptos"/>
                <w:noProof/>
                <w:sz w:val="22"/>
                <w:szCs w:val="22"/>
              </w:rPr>
            </w:pPr>
            <w:r w:rsidRPr="00563809">
              <w:rPr>
                <w:noProof/>
                <w:sz w:val="22"/>
              </w:rPr>
              <w:t>3,5</w:t>
            </w:r>
          </w:p>
        </w:tc>
        <w:tc>
          <w:tcPr>
            <w:tcW w:w="766" w:type="dxa"/>
            <w:tcBorders>
              <w:bottom w:val="single" w:sz="4" w:space="0" w:color="auto"/>
            </w:tcBorders>
            <w:vAlign w:val="center"/>
          </w:tcPr>
          <w:p w14:paraId="13FB5029" w14:textId="77777777" w:rsidR="00670448" w:rsidRPr="00563809" w:rsidRDefault="00D05C1D">
            <w:pPr>
              <w:spacing w:before="0" w:after="200" w:line="276" w:lineRule="auto"/>
              <w:jc w:val="center"/>
              <w:rPr>
                <w:rFonts w:eastAsia="Aptos"/>
                <w:noProof/>
                <w:sz w:val="22"/>
                <w:szCs w:val="22"/>
              </w:rPr>
            </w:pPr>
            <w:r w:rsidRPr="00563809">
              <w:rPr>
                <w:noProof/>
                <w:sz w:val="22"/>
              </w:rPr>
              <w:t>3,1</w:t>
            </w:r>
          </w:p>
        </w:tc>
        <w:tc>
          <w:tcPr>
            <w:tcW w:w="766" w:type="dxa"/>
            <w:tcBorders>
              <w:bottom w:val="single" w:sz="4" w:space="0" w:color="auto"/>
            </w:tcBorders>
            <w:vAlign w:val="center"/>
          </w:tcPr>
          <w:p w14:paraId="2B3EF542" w14:textId="77777777" w:rsidR="00670448" w:rsidRPr="00563809" w:rsidRDefault="00D05C1D">
            <w:pPr>
              <w:spacing w:before="0" w:after="200" w:line="276" w:lineRule="auto"/>
              <w:jc w:val="center"/>
              <w:rPr>
                <w:rFonts w:eastAsia="Aptos"/>
                <w:noProof/>
                <w:sz w:val="22"/>
                <w:szCs w:val="22"/>
              </w:rPr>
            </w:pPr>
            <w:r w:rsidRPr="00563809">
              <w:rPr>
                <w:noProof/>
                <w:sz w:val="22"/>
              </w:rPr>
              <w:t>3,5</w:t>
            </w:r>
          </w:p>
        </w:tc>
        <w:tc>
          <w:tcPr>
            <w:tcW w:w="803" w:type="dxa"/>
            <w:tcBorders>
              <w:bottom w:val="single" w:sz="4" w:space="0" w:color="auto"/>
            </w:tcBorders>
            <w:vAlign w:val="center"/>
          </w:tcPr>
          <w:p w14:paraId="2953BFF1" w14:textId="77777777" w:rsidR="00670448" w:rsidRPr="00563809" w:rsidRDefault="00D05C1D">
            <w:pPr>
              <w:spacing w:before="0" w:after="200" w:line="276" w:lineRule="auto"/>
              <w:jc w:val="center"/>
              <w:rPr>
                <w:rFonts w:eastAsia="Aptos"/>
                <w:noProof/>
                <w:sz w:val="22"/>
                <w:szCs w:val="22"/>
              </w:rPr>
            </w:pPr>
            <w:r w:rsidRPr="00563809">
              <w:rPr>
                <w:noProof/>
                <w:sz w:val="22"/>
              </w:rPr>
              <w:t>3,7</w:t>
            </w:r>
          </w:p>
        </w:tc>
        <w:tc>
          <w:tcPr>
            <w:tcW w:w="1416" w:type="dxa"/>
            <w:tcBorders>
              <w:bottom w:val="single" w:sz="4" w:space="0" w:color="auto"/>
            </w:tcBorders>
            <w:vAlign w:val="center"/>
          </w:tcPr>
          <w:p w14:paraId="0CF747A9" w14:textId="77777777" w:rsidR="00670448" w:rsidRPr="00563809" w:rsidRDefault="00D05C1D">
            <w:pPr>
              <w:spacing w:before="0" w:after="200" w:line="276" w:lineRule="auto"/>
              <w:jc w:val="center"/>
              <w:rPr>
                <w:rFonts w:eastAsia="Aptos"/>
                <w:noProof/>
                <w:sz w:val="22"/>
                <w:szCs w:val="22"/>
              </w:rPr>
            </w:pPr>
            <w:r w:rsidRPr="00563809">
              <w:rPr>
                <w:noProof/>
                <w:sz w:val="22"/>
              </w:rPr>
              <w:t>3,7</w:t>
            </w:r>
          </w:p>
        </w:tc>
        <w:tc>
          <w:tcPr>
            <w:tcW w:w="1346" w:type="dxa"/>
            <w:tcBorders>
              <w:bottom w:val="single" w:sz="4" w:space="0" w:color="auto"/>
            </w:tcBorders>
            <w:vAlign w:val="center"/>
          </w:tcPr>
          <w:p w14:paraId="0584E056" w14:textId="77777777" w:rsidR="00670448" w:rsidRPr="00563809" w:rsidRDefault="00D05C1D">
            <w:pPr>
              <w:spacing w:before="0" w:after="200" w:line="276" w:lineRule="auto"/>
              <w:jc w:val="center"/>
              <w:rPr>
                <w:rFonts w:eastAsia="Aptos"/>
                <w:noProof/>
                <w:sz w:val="22"/>
                <w:szCs w:val="22"/>
              </w:rPr>
            </w:pPr>
            <w:r w:rsidRPr="00563809">
              <w:rPr>
                <w:noProof/>
                <w:sz w:val="22"/>
              </w:rPr>
              <w:t>3,7</w:t>
            </w:r>
          </w:p>
        </w:tc>
      </w:tr>
      <w:tr w:rsidR="00670448" w:rsidRPr="00563809" w14:paraId="4672267D" w14:textId="77777777">
        <w:trPr>
          <w:jc w:val="center"/>
        </w:trPr>
        <w:tc>
          <w:tcPr>
            <w:tcW w:w="2372" w:type="dxa"/>
            <w:tcBorders>
              <w:bottom w:val="single" w:sz="4" w:space="0" w:color="auto"/>
            </w:tcBorders>
            <w:vAlign w:val="center"/>
          </w:tcPr>
          <w:p w14:paraId="4D85CCDC" w14:textId="0966AA77" w:rsidR="00670448" w:rsidRPr="00563809" w:rsidRDefault="00D05C1D">
            <w:pPr>
              <w:spacing w:before="0" w:after="200" w:line="276" w:lineRule="auto"/>
              <w:jc w:val="center"/>
              <w:rPr>
                <w:rFonts w:eastAsia="Aptos"/>
                <w:b/>
                <w:noProof/>
                <w:sz w:val="20"/>
              </w:rPr>
            </w:pPr>
            <w:r w:rsidRPr="00563809">
              <w:rPr>
                <w:noProof/>
                <w:sz w:val="22"/>
              </w:rPr>
              <w:t>Creșterea cheltuielilor nete</w:t>
            </w:r>
            <w:r w:rsidRPr="00563809">
              <w:rPr>
                <w:noProof/>
              </w:rPr>
              <w:br/>
            </w:r>
            <w:r w:rsidRPr="00563809">
              <w:rPr>
                <w:noProof/>
                <w:sz w:val="22"/>
              </w:rPr>
              <w:t>(cumulată, începând cu anul de referință 2025, %)</w:t>
            </w:r>
          </w:p>
        </w:tc>
        <w:tc>
          <w:tcPr>
            <w:tcW w:w="766" w:type="dxa"/>
            <w:tcBorders>
              <w:bottom w:val="single" w:sz="4" w:space="0" w:color="auto"/>
            </w:tcBorders>
            <w:vAlign w:val="center"/>
          </w:tcPr>
          <w:p w14:paraId="21110417" w14:textId="77777777" w:rsidR="00670448" w:rsidRPr="00563809" w:rsidRDefault="00D05C1D">
            <w:pPr>
              <w:spacing w:before="0" w:after="200" w:line="276" w:lineRule="auto"/>
              <w:jc w:val="center"/>
              <w:rPr>
                <w:rFonts w:eastAsia="Aptos"/>
                <w:noProof/>
                <w:sz w:val="22"/>
                <w:szCs w:val="22"/>
              </w:rPr>
            </w:pPr>
            <w:r w:rsidRPr="00563809">
              <w:rPr>
                <w:noProof/>
                <w:sz w:val="22"/>
              </w:rPr>
              <w:t>4,7</w:t>
            </w:r>
          </w:p>
        </w:tc>
        <w:tc>
          <w:tcPr>
            <w:tcW w:w="766" w:type="dxa"/>
            <w:tcBorders>
              <w:bottom w:val="single" w:sz="4" w:space="0" w:color="auto"/>
            </w:tcBorders>
            <w:vAlign w:val="center"/>
          </w:tcPr>
          <w:p w14:paraId="24D6BCF9" w14:textId="77777777" w:rsidR="00670448" w:rsidRPr="00563809" w:rsidRDefault="00D05C1D">
            <w:pPr>
              <w:spacing w:before="0" w:after="200" w:line="276" w:lineRule="auto"/>
              <w:jc w:val="center"/>
              <w:rPr>
                <w:rFonts w:eastAsia="Aptos"/>
                <w:noProof/>
                <w:sz w:val="22"/>
                <w:szCs w:val="22"/>
              </w:rPr>
            </w:pPr>
            <w:r w:rsidRPr="00563809">
              <w:rPr>
                <w:noProof/>
                <w:sz w:val="22"/>
              </w:rPr>
              <w:t>8,4</w:t>
            </w:r>
          </w:p>
        </w:tc>
        <w:tc>
          <w:tcPr>
            <w:tcW w:w="766" w:type="dxa"/>
            <w:tcBorders>
              <w:bottom w:val="single" w:sz="4" w:space="0" w:color="auto"/>
            </w:tcBorders>
            <w:vAlign w:val="center"/>
          </w:tcPr>
          <w:p w14:paraId="5D1C7565" w14:textId="77777777" w:rsidR="00670448" w:rsidRPr="00563809" w:rsidRDefault="00D05C1D">
            <w:pPr>
              <w:spacing w:before="0" w:after="200" w:line="276" w:lineRule="auto"/>
              <w:jc w:val="center"/>
              <w:rPr>
                <w:rFonts w:eastAsia="Aptos"/>
                <w:noProof/>
                <w:sz w:val="22"/>
                <w:szCs w:val="22"/>
              </w:rPr>
            </w:pPr>
            <w:r w:rsidRPr="00563809">
              <w:rPr>
                <w:noProof/>
                <w:sz w:val="22"/>
              </w:rPr>
              <w:t>11,7</w:t>
            </w:r>
          </w:p>
        </w:tc>
        <w:tc>
          <w:tcPr>
            <w:tcW w:w="766" w:type="dxa"/>
            <w:tcBorders>
              <w:bottom w:val="single" w:sz="4" w:space="0" w:color="auto"/>
            </w:tcBorders>
            <w:vAlign w:val="center"/>
          </w:tcPr>
          <w:p w14:paraId="27D094D6" w14:textId="77777777" w:rsidR="00670448" w:rsidRPr="00563809" w:rsidRDefault="00D05C1D">
            <w:pPr>
              <w:spacing w:before="0" w:after="200" w:line="276" w:lineRule="auto"/>
              <w:jc w:val="center"/>
              <w:rPr>
                <w:rFonts w:eastAsia="Aptos"/>
                <w:noProof/>
                <w:sz w:val="22"/>
                <w:szCs w:val="22"/>
              </w:rPr>
            </w:pPr>
            <w:r w:rsidRPr="00563809">
              <w:rPr>
                <w:noProof/>
                <w:sz w:val="22"/>
              </w:rPr>
              <w:t>15,6</w:t>
            </w:r>
          </w:p>
        </w:tc>
        <w:tc>
          <w:tcPr>
            <w:tcW w:w="803" w:type="dxa"/>
            <w:tcBorders>
              <w:bottom w:val="single" w:sz="4" w:space="0" w:color="auto"/>
            </w:tcBorders>
            <w:vAlign w:val="center"/>
          </w:tcPr>
          <w:p w14:paraId="07EA93DD" w14:textId="77777777" w:rsidR="00670448" w:rsidRPr="00563809" w:rsidRDefault="00D05C1D">
            <w:pPr>
              <w:spacing w:before="0" w:after="200" w:line="276" w:lineRule="auto"/>
              <w:jc w:val="center"/>
              <w:rPr>
                <w:rFonts w:eastAsia="Aptos"/>
                <w:noProof/>
                <w:sz w:val="22"/>
                <w:szCs w:val="22"/>
              </w:rPr>
            </w:pPr>
            <w:r w:rsidRPr="00563809">
              <w:rPr>
                <w:noProof/>
                <w:sz w:val="22"/>
              </w:rPr>
              <w:t>19,9</w:t>
            </w:r>
          </w:p>
        </w:tc>
        <w:tc>
          <w:tcPr>
            <w:tcW w:w="1416" w:type="dxa"/>
            <w:tcBorders>
              <w:bottom w:val="single" w:sz="4" w:space="0" w:color="auto"/>
            </w:tcBorders>
            <w:vAlign w:val="center"/>
          </w:tcPr>
          <w:p w14:paraId="4D3728A7" w14:textId="77777777" w:rsidR="00670448" w:rsidRPr="00563809" w:rsidRDefault="00D05C1D">
            <w:pPr>
              <w:spacing w:before="0" w:after="200" w:line="276" w:lineRule="auto"/>
              <w:jc w:val="center"/>
              <w:rPr>
                <w:rFonts w:eastAsia="Aptos"/>
                <w:noProof/>
                <w:sz w:val="22"/>
                <w:szCs w:val="22"/>
              </w:rPr>
            </w:pPr>
            <w:r w:rsidRPr="00563809">
              <w:rPr>
                <w:noProof/>
                <w:sz w:val="22"/>
              </w:rPr>
              <w:t>nu se aplică</w:t>
            </w:r>
          </w:p>
        </w:tc>
        <w:tc>
          <w:tcPr>
            <w:tcW w:w="1346" w:type="dxa"/>
            <w:tcBorders>
              <w:bottom w:val="single" w:sz="4" w:space="0" w:color="auto"/>
            </w:tcBorders>
            <w:vAlign w:val="center"/>
          </w:tcPr>
          <w:p w14:paraId="581F5E51" w14:textId="77777777" w:rsidR="00670448" w:rsidRPr="00563809" w:rsidRDefault="00D05C1D">
            <w:pPr>
              <w:spacing w:before="0" w:after="200" w:line="276" w:lineRule="auto"/>
              <w:jc w:val="center"/>
              <w:rPr>
                <w:rFonts w:eastAsia="Aptos"/>
                <w:noProof/>
                <w:sz w:val="22"/>
                <w:szCs w:val="22"/>
              </w:rPr>
            </w:pPr>
            <w:r w:rsidRPr="00563809">
              <w:rPr>
                <w:noProof/>
                <w:sz w:val="22"/>
              </w:rPr>
              <w:t>nu se aplică</w:t>
            </w:r>
          </w:p>
        </w:tc>
      </w:tr>
      <w:tr w:rsidR="00670448" w:rsidRPr="00563809" w14:paraId="79A42544" w14:textId="77777777">
        <w:trPr>
          <w:jc w:val="center"/>
        </w:trPr>
        <w:tc>
          <w:tcPr>
            <w:tcW w:w="2372" w:type="dxa"/>
            <w:tcBorders>
              <w:top w:val="double" w:sz="4" w:space="0" w:color="auto"/>
            </w:tcBorders>
            <w:vAlign w:val="center"/>
          </w:tcPr>
          <w:p w14:paraId="243B53D1" w14:textId="77777777" w:rsidR="00670448" w:rsidRPr="00563809" w:rsidRDefault="00D05C1D">
            <w:pPr>
              <w:spacing w:before="0" w:after="200" w:line="276" w:lineRule="auto"/>
              <w:jc w:val="center"/>
              <w:rPr>
                <w:rFonts w:eastAsia="Aptos"/>
                <w:b/>
                <w:noProof/>
                <w:sz w:val="20"/>
              </w:rPr>
            </w:pPr>
            <w:r w:rsidRPr="00563809">
              <w:rPr>
                <w:noProof/>
                <w:sz w:val="22"/>
              </w:rPr>
              <w:t>Creșterea PIB-ului potențial (%)</w:t>
            </w:r>
          </w:p>
        </w:tc>
        <w:tc>
          <w:tcPr>
            <w:tcW w:w="766" w:type="dxa"/>
            <w:tcBorders>
              <w:top w:val="double" w:sz="4" w:space="0" w:color="auto"/>
            </w:tcBorders>
            <w:vAlign w:val="center"/>
          </w:tcPr>
          <w:p w14:paraId="130B3A91" w14:textId="77777777" w:rsidR="00670448" w:rsidRPr="00563809" w:rsidRDefault="00D05C1D">
            <w:pPr>
              <w:spacing w:before="0" w:after="200" w:line="276" w:lineRule="auto"/>
              <w:jc w:val="center"/>
              <w:rPr>
                <w:rFonts w:eastAsia="Aptos"/>
                <w:noProof/>
                <w:sz w:val="22"/>
                <w:szCs w:val="22"/>
              </w:rPr>
            </w:pPr>
            <w:r w:rsidRPr="00563809">
              <w:rPr>
                <w:noProof/>
                <w:sz w:val="22"/>
              </w:rPr>
              <w:t>1,4</w:t>
            </w:r>
          </w:p>
        </w:tc>
        <w:tc>
          <w:tcPr>
            <w:tcW w:w="766" w:type="dxa"/>
            <w:tcBorders>
              <w:top w:val="double" w:sz="4" w:space="0" w:color="auto"/>
            </w:tcBorders>
            <w:vAlign w:val="center"/>
          </w:tcPr>
          <w:p w14:paraId="30D284A6" w14:textId="77777777" w:rsidR="00670448" w:rsidRPr="00563809" w:rsidRDefault="00D05C1D">
            <w:pPr>
              <w:spacing w:before="0" w:after="200" w:line="276" w:lineRule="auto"/>
              <w:jc w:val="center"/>
              <w:rPr>
                <w:rFonts w:eastAsia="Aptos"/>
                <w:noProof/>
                <w:sz w:val="22"/>
                <w:szCs w:val="22"/>
              </w:rPr>
            </w:pPr>
            <w:r w:rsidRPr="00563809">
              <w:rPr>
                <w:noProof/>
                <w:sz w:val="22"/>
              </w:rPr>
              <w:t>1,3</w:t>
            </w:r>
          </w:p>
        </w:tc>
        <w:tc>
          <w:tcPr>
            <w:tcW w:w="766" w:type="dxa"/>
            <w:tcBorders>
              <w:top w:val="double" w:sz="4" w:space="0" w:color="auto"/>
            </w:tcBorders>
            <w:vAlign w:val="center"/>
          </w:tcPr>
          <w:p w14:paraId="1737A215" w14:textId="77777777" w:rsidR="00670448" w:rsidRPr="00563809" w:rsidRDefault="00D05C1D">
            <w:pPr>
              <w:spacing w:before="0" w:after="200" w:line="276" w:lineRule="auto"/>
              <w:jc w:val="center"/>
              <w:rPr>
                <w:rFonts w:eastAsia="Aptos"/>
                <w:noProof/>
                <w:sz w:val="22"/>
                <w:szCs w:val="22"/>
              </w:rPr>
            </w:pPr>
            <w:r w:rsidRPr="00563809">
              <w:rPr>
                <w:noProof/>
                <w:sz w:val="22"/>
              </w:rPr>
              <w:t>1,2</w:t>
            </w:r>
          </w:p>
        </w:tc>
        <w:tc>
          <w:tcPr>
            <w:tcW w:w="766" w:type="dxa"/>
            <w:tcBorders>
              <w:top w:val="double" w:sz="4" w:space="0" w:color="auto"/>
            </w:tcBorders>
            <w:vAlign w:val="center"/>
          </w:tcPr>
          <w:p w14:paraId="4C51C7EF" w14:textId="77777777" w:rsidR="00670448" w:rsidRPr="00563809" w:rsidRDefault="00D05C1D">
            <w:pPr>
              <w:spacing w:before="0" w:after="200" w:line="276" w:lineRule="auto"/>
              <w:jc w:val="center"/>
              <w:rPr>
                <w:rFonts w:eastAsia="Aptos"/>
                <w:noProof/>
                <w:sz w:val="22"/>
                <w:szCs w:val="22"/>
              </w:rPr>
            </w:pPr>
            <w:r w:rsidRPr="00563809">
              <w:rPr>
                <w:noProof/>
                <w:sz w:val="22"/>
              </w:rPr>
              <w:t>1,1</w:t>
            </w:r>
          </w:p>
        </w:tc>
        <w:tc>
          <w:tcPr>
            <w:tcW w:w="803" w:type="dxa"/>
            <w:tcBorders>
              <w:top w:val="double" w:sz="4" w:space="0" w:color="auto"/>
            </w:tcBorders>
            <w:vAlign w:val="center"/>
          </w:tcPr>
          <w:p w14:paraId="78700086" w14:textId="77777777" w:rsidR="00670448" w:rsidRPr="00563809" w:rsidRDefault="00D05C1D">
            <w:pPr>
              <w:spacing w:before="0" w:after="200" w:line="276" w:lineRule="auto"/>
              <w:jc w:val="center"/>
              <w:rPr>
                <w:rFonts w:eastAsia="Aptos"/>
                <w:noProof/>
                <w:sz w:val="22"/>
                <w:szCs w:val="22"/>
              </w:rPr>
            </w:pPr>
            <w:r w:rsidRPr="00563809">
              <w:rPr>
                <w:noProof/>
                <w:sz w:val="22"/>
              </w:rPr>
              <w:t>1,1</w:t>
            </w:r>
          </w:p>
        </w:tc>
        <w:tc>
          <w:tcPr>
            <w:tcW w:w="1416" w:type="dxa"/>
            <w:tcBorders>
              <w:top w:val="double" w:sz="4" w:space="0" w:color="auto"/>
            </w:tcBorders>
            <w:vAlign w:val="center"/>
          </w:tcPr>
          <w:p w14:paraId="7BD119AD" w14:textId="77777777" w:rsidR="00670448" w:rsidRPr="00563809" w:rsidRDefault="00D05C1D">
            <w:pPr>
              <w:spacing w:before="0" w:after="200" w:line="276" w:lineRule="auto"/>
              <w:jc w:val="center"/>
              <w:rPr>
                <w:rFonts w:eastAsia="Aptos"/>
                <w:noProof/>
                <w:sz w:val="22"/>
                <w:szCs w:val="22"/>
              </w:rPr>
            </w:pPr>
            <w:r w:rsidRPr="00563809">
              <w:rPr>
                <w:noProof/>
                <w:sz w:val="22"/>
              </w:rPr>
              <w:t>1,2</w:t>
            </w:r>
          </w:p>
        </w:tc>
        <w:tc>
          <w:tcPr>
            <w:tcW w:w="1346" w:type="dxa"/>
            <w:tcBorders>
              <w:top w:val="double" w:sz="4" w:space="0" w:color="auto"/>
            </w:tcBorders>
            <w:vAlign w:val="center"/>
          </w:tcPr>
          <w:p w14:paraId="1FD2EB93" w14:textId="77777777" w:rsidR="00670448" w:rsidRPr="00563809" w:rsidRDefault="00D05C1D">
            <w:pPr>
              <w:spacing w:before="0" w:after="200" w:line="276" w:lineRule="auto"/>
              <w:jc w:val="center"/>
              <w:rPr>
                <w:rFonts w:eastAsia="Aptos"/>
                <w:noProof/>
                <w:sz w:val="22"/>
                <w:szCs w:val="22"/>
              </w:rPr>
            </w:pPr>
            <w:r w:rsidRPr="00563809">
              <w:rPr>
                <w:noProof/>
                <w:sz w:val="22"/>
              </w:rPr>
              <w:t>1,2</w:t>
            </w:r>
          </w:p>
        </w:tc>
      </w:tr>
      <w:tr w:rsidR="00670448" w:rsidRPr="00563809" w14:paraId="01A851A7" w14:textId="77777777">
        <w:trPr>
          <w:jc w:val="center"/>
        </w:trPr>
        <w:tc>
          <w:tcPr>
            <w:tcW w:w="2372" w:type="dxa"/>
            <w:tcBorders>
              <w:bottom w:val="single" w:sz="4" w:space="0" w:color="auto"/>
            </w:tcBorders>
            <w:vAlign w:val="center"/>
          </w:tcPr>
          <w:p w14:paraId="29368AC1" w14:textId="77777777" w:rsidR="00670448" w:rsidRPr="00563809" w:rsidRDefault="00D05C1D">
            <w:pPr>
              <w:spacing w:before="0" w:after="200" w:line="276" w:lineRule="auto"/>
              <w:jc w:val="center"/>
              <w:rPr>
                <w:rFonts w:eastAsia="Aptos"/>
                <w:b/>
                <w:noProof/>
                <w:sz w:val="20"/>
              </w:rPr>
            </w:pPr>
            <w:r w:rsidRPr="00563809">
              <w:rPr>
                <w:noProof/>
                <w:sz w:val="22"/>
              </w:rPr>
              <w:t>Inflația (creșterea deflatorului PIB) (%)</w:t>
            </w:r>
          </w:p>
        </w:tc>
        <w:tc>
          <w:tcPr>
            <w:tcW w:w="766" w:type="dxa"/>
            <w:tcBorders>
              <w:bottom w:val="single" w:sz="4" w:space="0" w:color="auto"/>
            </w:tcBorders>
            <w:vAlign w:val="center"/>
          </w:tcPr>
          <w:p w14:paraId="2C75DB11" w14:textId="77777777" w:rsidR="00670448" w:rsidRPr="00563809" w:rsidRDefault="00D05C1D">
            <w:pPr>
              <w:spacing w:before="0" w:after="200" w:line="276" w:lineRule="auto"/>
              <w:jc w:val="center"/>
              <w:rPr>
                <w:rFonts w:eastAsia="Aptos"/>
                <w:noProof/>
                <w:sz w:val="22"/>
                <w:szCs w:val="22"/>
              </w:rPr>
            </w:pPr>
            <w:r w:rsidRPr="00563809">
              <w:rPr>
                <w:noProof/>
                <w:sz w:val="22"/>
              </w:rPr>
              <w:t>3,3</w:t>
            </w:r>
          </w:p>
        </w:tc>
        <w:tc>
          <w:tcPr>
            <w:tcW w:w="766" w:type="dxa"/>
            <w:tcBorders>
              <w:bottom w:val="single" w:sz="4" w:space="0" w:color="auto"/>
            </w:tcBorders>
            <w:vAlign w:val="center"/>
          </w:tcPr>
          <w:p w14:paraId="4061E38F" w14:textId="77777777" w:rsidR="00670448" w:rsidRPr="00563809" w:rsidRDefault="00D05C1D">
            <w:pPr>
              <w:spacing w:before="0" w:after="200" w:line="276" w:lineRule="auto"/>
              <w:jc w:val="center"/>
              <w:rPr>
                <w:rFonts w:eastAsia="Aptos"/>
                <w:noProof/>
                <w:sz w:val="22"/>
                <w:szCs w:val="22"/>
              </w:rPr>
            </w:pPr>
            <w:r w:rsidRPr="00563809">
              <w:rPr>
                <w:noProof/>
                <w:sz w:val="22"/>
              </w:rPr>
              <w:t>2,5</w:t>
            </w:r>
          </w:p>
        </w:tc>
        <w:tc>
          <w:tcPr>
            <w:tcW w:w="766" w:type="dxa"/>
            <w:tcBorders>
              <w:bottom w:val="single" w:sz="4" w:space="0" w:color="auto"/>
            </w:tcBorders>
            <w:vAlign w:val="center"/>
          </w:tcPr>
          <w:p w14:paraId="0663AA43" w14:textId="77777777" w:rsidR="00670448" w:rsidRPr="00563809" w:rsidRDefault="00D05C1D">
            <w:pPr>
              <w:spacing w:before="0" w:after="200" w:line="276" w:lineRule="auto"/>
              <w:jc w:val="center"/>
              <w:rPr>
                <w:rFonts w:eastAsia="Aptos"/>
                <w:noProof/>
                <w:sz w:val="22"/>
                <w:szCs w:val="22"/>
              </w:rPr>
            </w:pPr>
            <w:r w:rsidRPr="00563809">
              <w:rPr>
                <w:noProof/>
                <w:sz w:val="22"/>
              </w:rPr>
              <w:t>2,4</w:t>
            </w:r>
          </w:p>
        </w:tc>
        <w:tc>
          <w:tcPr>
            <w:tcW w:w="766" w:type="dxa"/>
            <w:tcBorders>
              <w:bottom w:val="single" w:sz="4" w:space="0" w:color="auto"/>
            </w:tcBorders>
            <w:vAlign w:val="center"/>
          </w:tcPr>
          <w:p w14:paraId="3887807E" w14:textId="77777777" w:rsidR="00670448" w:rsidRPr="00563809" w:rsidRDefault="00D05C1D">
            <w:pPr>
              <w:spacing w:before="0" w:after="200" w:line="276" w:lineRule="auto"/>
              <w:jc w:val="center"/>
              <w:rPr>
                <w:rFonts w:eastAsia="Aptos"/>
                <w:noProof/>
                <w:sz w:val="22"/>
                <w:szCs w:val="22"/>
              </w:rPr>
            </w:pPr>
            <w:r w:rsidRPr="00563809">
              <w:rPr>
                <w:noProof/>
                <w:sz w:val="22"/>
              </w:rPr>
              <w:t>2,4</w:t>
            </w:r>
          </w:p>
        </w:tc>
        <w:tc>
          <w:tcPr>
            <w:tcW w:w="803" w:type="dxa"/>
            <w:tcBorders>
              <w:bottom w:val="single" w:sz="4" w:space="0" w:color="auto"/>
            </w:tcBorders>
            <w:vAlign w:val="center"/>
          </w:tcPr>
          <w:p w14:paraId="4159256F" w14:textId="77777777" w:rsidR="00670448" w:rsidRPr="00563809" w:rsidRDefault="00D05C1D">
            <w:pPr>
              <w:spacing w:before="0" w:after="200" w:line="276" w:lineRule="auto"/>
              <w:jc w:val="center"/>
              <w:rPr>
                <w:rFonts w:eastAsia="Aptos"/>
                <w:noProof/>
                <w:sz w:val="22"/>
                <w:szCs w:val="22"/>
              </w:rPr>
            </w:pPr>
            <w:r w:rsidRPr="00563809">
              <w:rPr>
                <w:noProof/>
                <w:sz w:val="22"/>
              </w:rPr>
              <w:t>2,4</w:t>
            </w:r>
          </w:p>
        </w:tc>
        <w:tc>
          <w:tcPr>
            <w:tcW w:w="1416" w:type="dxa"/>
            <w:tcBorders>
              <w:bottom w:val="single" w:sz="4" w:space="0" w:color="auto"/>
            </w:tcBorders>
            <w:vAlign w:val="center"/>
          </w:tcPr>
          <w:p w14:paraId="13FDEDFE" w14:textId="77777777" w:rsidR="00670448" w:rsidRPr="00563809" w:rsidRDefault="00D05C1D">
            <w:pPr>
              <w:spacing w:before="0" w:after="200" w:line="276" w:lineRule="auto"/>
              <w:jc w:val="center"/>
              <w:rPr>
                <w:rFonts w:eastAsia="Aptos"/>
                <w:noProof/>
                <w:sz w:val="22"/>
                <w:szCs w:val="22"/>
              </w:rPr>
            </w:pPr>
            <w:r w:rsidRPr="00563809">
              <w:rPr>
                <w:noProof/>
                <w:sz w:val="22"/>
              </w:rPr>
              <w:t>2,6</w:t>
            </w:r>
          </w:p>
        </w:tc>
        <w:tc>
          <w:tcPr>
            <w:tcW w:w="1346" w:type="dxa"/>
            <w:tcBorders>
              <w:bottom w:val="single" w:sz="4" w:space="0" w:color="auto"/>
            </w:tcBorders>
            <w:vAlign w:val="center"/>
          </w:tcPr>
          <w:p w14:paraId="0F9FD483" w14:textId="77777777" w:rsidR="00670448" w:rsidRPr="00563809" w:rsidRDefault="00D05C1D">
            <w:pPr>
              <w:spacing w:before="0" w:after="200" w:line="276" w:lineRule="auto"/>
              <w:jc w:val="center"/>
              <w:rPr>
                <w:rFonts w:eastAsia="Aptos"/>
                <w:noProof/>
                <w:sz w:val="22"/>
                <w:szCs w:val="22"/>
              </w:rPr>
            </w:pPr>
            <w:r w:rsidRPr="00563809">
              <w:rPr>
                <w:noProof/>
                <w:sz w:val="22"/>
              </w:rPr>
              <w:t>2,6</w:t>
            </w:r>
          </w:p>
        </w:tc>
      </w:tr>
      <w:tr w:rsidR="00670448" w:rsidRPr="00563809" w14:paraId="1038150D" w14:textId="77777777">
        <w:trPr>
          <w:jc w:val="center"/>
        </w:trPr>
        <w:tc>
          <w:tcPr>
            <w:tcW w:w="9001" w:type="dxa"/>
            <w:gridSpan w:val="8"/>
            <w:tcBorders>
              <w:bottom w:val="nil"/>
            </w:tcBorders>
          </w:tcPr>
          <w:p w14:paraId="31511FA7" w14:textId="77777777" w:rsidR="00670448" w:rsidRPr="00563809" w:rsidRDefault="00D05C1D">
            <w:pPr>
              <w:spacing w:line="276" w:lineRule="auto"/>
              <w:rPr>
                <w:noProof/>
              </w:rPr>
            </w:pPr>
            <w:r w:rsidRPr="00563809">
              <w:rPr>
                <w:noProof/>
              </w:rPr>
              <w:t xml:space="preserve">Sursa: planul bugetar-structural pe termen mediu al Țărilor de Jos (aprilie 2026) și calculele Comisiei. </w:t>
            </w:r>
          </w:p>
        </w:tc>
      </w:tr>
    </w:tbl>
    <w:p w14:paraId="528C485C" w14:textId="77777777" w:rsidR="00670448" w:rsidRPr="00563809" w:rsidRDefault="00D05C1D">
      <w:pPr>
        <w:pStyle w:val="ManualConsidrant"/>
        <w:spacing w:line="276" w:lineRule="auto"/>
        <w:rPr>
          <w:noProof/>
        </w:rPr>
      </w:pPr>
      <w:r>
        <w:rPr>
          <w:noProof/>
        </w:rPr>
        <w:t>(22)</w:t>
      </w:r>
      <w:r>
        <w:rPr>
          <w:noProof/>
        </w:rPr>
        <w:tab/>
      </w:r>
      <w:r w:rsidRPr="00563809">
        <w:rPr>
          <w:noProof/>
        </w:rPr>
        <w:t>Traiectoria cheltuielilor nete pe care statul membru s-a angajat să o respecte conform planului ar urma să conducă la un sold primar structural de 0,0 % din PIB la sfârșitul perioadei de ajustare (2029). Acesta este inferior nivelului minim al soldului primar structural de 0,1 % din PIB pentru 2029 indicat de Comisie în informațiile tehnice din 26 februarie 2026</w:t>
      </w:r>
      <w:r w:rsidRPr="00563809">
        <w:rPr>
          <w:rStyle w:val="FootnoteReference"/>
          <w:noProof/>
          <w:lang w:eastAsia="ja-JP"/>
        </w:rPr>
        <w:footnoteReference w:id="10"/>
      </w:r>
      <w:r w:rsidRPr="00563809">
        <w:rPr>
          <w:noProof/>
        </w:rPr>
        <w:t>. Planul se bazează pe ipoteza unei scăderi a creșterii PIB-ului potențial la 1,4 % în 2026 (de la 1,7 % în 2025), urmată de o scădere suplimentară la 1,1 % în 2030. În plus, planul preconizează că rata de creștere a deflatorului PIB va scădea la 2,5 % în 2027 (de la 3,2 % în 2025), urmând să scadă suplimentar la 2,4 % în 2030.</w:t>
      </w:r>
    </w:p>
    <w:p w14:paraId="6AC0CF31" w14:textId="77777777" w:rsidR="00670448" w:rsidRPr="00563809" w:rsidRDefault="00D05C1D">
      <w:pPr>
        <w:autoSpaceDE w:val="0"/>
        <w:autoSpaceDN w:val="0"/>
        <w:spacing w:before="40" w:after="40" w:line="276" w:lineRule="auto"/>
        <w:rPr>
          <w:noProof/>
          <w:szCs w:val="24"/>
        </w:rPr>
      </w:pPr>
      <w:r w:rsidRPr="00563809">
        <w:rPr>
          <w:b/>
          <w:noProof/>
        </w:rPr>
        <w:t>Implicațiile pentru soldul bugetului public ale angajamentelor din plan privind cheltuielile nete</w:t>
      </w:r>
    </w:p>
    <w:p w14:paraId="01D98430" w14:textId="77777777" w:rsidR="00670448" w:rsidRPr="00563809" w:rsidRDefault="00D05C1D">
      <w:pPr>
        <w:pStyle w:val="ManualConsidrant"/>
        <w:spacing w:line="276" w:lineRule="auto"/>
        <w:rPr>
          <w:noProof/>
        </w:rPr>
      </w:pPr>
      <w:r>
        <w:rPr>
          <w:noProof/>
        </w:rPr>
        <w:t>(23)</w:t>
      </w:r>
      <w:r>
        <w:rPr>
          <w:noProof/>
        </w:rPr>
        <w:tab/>
      </w:r>
      <w:r w:rsidRPr="00563809">
        <w:rPr>
          <w:noProof/>
        </w:rPr>
        <w:t>Pe baza ratelor maxime de creștere a cheltuielilor nete și a ipotezelor planului, deficitul public ar urma mai întâi să crească la 2,4 % din PIB în 2026 și să scadă progresiv la 1,2 % din PIB la sfârșitul perioadei de ajustare.</w:t>
      </w:r>
      <w:r w:rsidRPr="00563809">
        <w:rPr>
          <w:i/>
          <w:noProof/>
        </w:rPr>
        <w:t xml:space="preserve"> </w:t>
      </w:r>
      <w:r w:rsidRPr="00563809">
        <w:rPr>
          <w:noProof/>
        </w:rPr>
        <w:t xml:space="preserve">Astfel, conform planului, soldul bugetului public nu ar depăși valoarea de referință de 3 % din PIB la sfârșitul perioadei de ajustare (2029). În plus, în cei zece ani care urmează perioadei de ajustare (și anume până în 2039), deficitul public nu ar depăși 3 % din PIB. </w:t>
      </w:r>
    </w:p>
    <w:p w14:paraId="10B0E2CF" w14:textId="77777777" w:rsidR="00670448" w:rsidRPr="00563809" w:rsidRDefault="00D05C1D" w:rsidP="00CC4EB5">
      <w:pPr>
        <w:pStyle w:val="Text1"/>
        <w:rPr>
          <w:noProof/>
        </w:rPr>
      </w:pPr>
      <w:r w:rsidRPr="00563809">
        <w:rPr>
          <w:noProof/>
        </w:rPr>
        <w:t>Prin urmare, pe baza angajamentelor de politică și a ipotezelor macroeconomice ale planului, traiectoria cheltuielilor nete prezentată în plan este compatibilă cu cerința privind deficitul prevăzută la articolul 16 alineatul (2) din Regulamentul (UE) 2024/1263.</w:t>
      </w:r>
    </w:p>
    <w:p w14:paraId="6CF9C99C" w14:textId="77777777" w:rsidR="00670448" w:rsidRPr="00563809" w:rsidRDefault="00D05C1D">
      <w:pPr>
        <w:autoSpaceDE w:val="0"/>
        <w:autoSpaceDN w:val="0"/>
        <w:spacing w:before="40" w:after="40" w:line="276" w:lineRule="auto"/>
        <w:rPr>
          <w:rFonts w:eastAsia="Calibri"/>
          <w:b/>
          <w:bCs/>
          <w:noProof/>
          <w:szCs w:val="24"/>
        </w:rPr>
      </w:pPr>
      <w:r w:rsidRPr="00563809">
        <w:rPr>
          <w:b/>
          <w:noProof/>
        </w:rPr>
        <w:t xml:space="preserve">Implicațiile pentru datoria publică ale angajamentelor din plan privind cheltuielile nete </w:t>
      </w:r>
    </w:p>
    <w:p w14:paraId="45B84F2C" w14:textId="77777777" w:rsidR="00670448" w:rsidRPr="00563809" w:rsidRDefault="00D05C1D">
      <w:pPr>
        <w:pStyle w:val="ManualConsidrant"/>
        <w:spacing w:line="276" w:lineRule="auto"/>
        <w:rPr>
          <w:noProof/>
        </w:rPr>
      </w:pPr>
      <w:r>
        <w:rPr>
          <w:noProof/>
        </w:rPr>
        <w:t>(24)</w:t>
      </w:r>
      <w:r>
        <w:rPr>
          <w:noProof/>
        </w:rPr>
        <w:tab/>
      </w:r>
      <w:r w:rsidRPr="00563809">
        <w:rPr>
          <w:noProof/>
        </w:rPr>
        <w:t xml:space="preserve">Dacă se materializează ratele maxime de creștere a cheltuielilor nete pentru care s-au asumat angajamente în plan și ipotezele subiacente, datoria publică ar scădea treptat, conform planului, de la 46,8 % din PIB în 2026 la 45,6 % din PIB la sfârșitul perioadei de ajustare (2029), astfel cum se arată în tabelul 3. În cei zece ani care urmează perioadei de ajustare, se preconizează că datoria publică va rămâne pe o traiectorie descendentă până în 2032, pentru a crește apoi treptat la 51,2 % din PIB în 2039. Astfel, conform planului, datoria publică ar urma să rămână sub valoarea de referință de 60 % din PIB prevăzută în tratat pe termen mediu. </w:t>
      </w:r>
    </w:p>
    <w:p w14:paraId="4AC21B3B" w14:textId="77777777" w:rsidR="00670448" w:rsidRPr="00563809" w:rsidRDefault="00D05C1D" w:rsidP="00CC4EB5">
      <w:pPr>
        <w:pStyle w:val="Text1"/>
        <w:rPr>
          <w:noProof/>
        </w:rPr>
      </w:pPr>
      <w:r w:rsidRPr="00563809">
        <w:rPr>
          <w:noProof/>
        </w:rPr>
        <w:t>Prin urmare, pe baza angajamentelor de politică și a ipotezelor macroeconomice ale planului, ratele maxime de creștere a cheltuielilor nete prezentate în plan sunt în concordanță cu cerința privind datoria prevăzută la articolul 16 alineatul (2) din Regulamentul (UE) 2024/1263.</w:t>
      </w:r>
    </w:p>
    <w:p w14:paraId="139B94E2" w14:textId="77777777" w:rsidR="00670448" w:rsidRPr="00563809" w:rsidRDefault="00D05C1D">
      <w:pPr>
        <w:rPr>
          <w:b/>
          <w:bCs/>
          <w:noProof/>
        </w:rPr>
      </w:pPr>
      <w:r w:rsidRPr="00563809">
        <w:rPr>
          <w:b/>
          <w:noProof/>
        </w:rPr>
        <w:t>Tabelul 3: Evoluția datoriei publice și a soldului bugetului public în planul Țărilor de Jos</w:t>
      </w:r>
    </w:p>
    <w:tbl>
      <w:tblPr>
        <w:tblStyle w:val="TableGrid"/>
        <w:tblW w:w="9019" w:type="dxa"/>
        <w:jc w:val="center"/>
        <w:tblBorders>
          <w:left w:val="none" w:sz="0" w:space="0" w:color="auto"/>
          <w:right w:val="none" w:sz="0" w:space="0" w:color="auto"/>
        </w:tblBorders>
        <w:tblLayout w:type="fixed"/>
        <w:tblLook w:val="04A0" w:firstRow="1" w:lastRow="0" w:firstColumn="1" w:lastColumn="0" w:noHBand="0" w:noVBand="1"/>
      </w:tblPr>
      <w:tblGrid>
        <w:gridCol w:w="3765"/>
        <w:gridCol w:w="877"/>
        <w:gridCol w:w="877"/>
        <w:gridCol w:w="877"/>
        <w:gridCol w:w="877"/>
        <w:gridCol w:w="877"/>
        <w:gridCol w:w="869"/>
      </w:tblGrid>
      <w:tr w:rsidR="00670448" w:rsidRPr="00563809" w14:paraId="35325ADA" w14:textId="77777777">
        <w:trPr>
          <w:jc w:val="center"/>
        </w:trPr>
        <w:tc>
          <w:tcPr>
            <w:tcW w:w="2088" w:type="pct"/>
          </w:tcPr>
          <w:p w14:paraId="52AB4B89" w14:textId="77777777" w:rsidR="00670448" w:rsidRPr="00563809" w:rsidRDefault="00670448">
            <w:pPr>
              <w:spacing w:before="0" w:after="200" w:line="276" w:lineRule="auto"/>
              <w:jc w:val="center"/>
              <w:rPr>
                <w:rFonts w:eastAsia="Aptos"/>
                <w:b/>
                <w:bCs/>
                <w:noProof/>
                <w:sz w:val="20"/>
              </w:rPr>
            </w:pPr>
          </w:p>
        </w:tc>
        <w:tc>
          <w:tcPr>
            <w:tcW w:w="486" w:type="pct"/>
            <w:vAlign w:val="center"/>
          </w:tcPr>
          <w:p w14:paraId="107DB1C5" w14:textId="77777777" w:rsidR="00670448" w:rsidRPr="00563809" w:rsidRDefault="00D05C1D">
            <w:pPr>
              <w:keepNext/>
              <w:keepLines/>
              <w:spacing w:before="0" w:after="200" w:line="276" w:lineRule="auto"/>
              <w:jc w:val="center"/>
              <w:rPr>
                <w:rFonts w:eastAsia="Aptos"/>
                <w:noProof/>
                <w:sz w:val="20"/>
              </w:rPr>
            </w:pPr>
            <w:r w:rsidRPr="00563809">
              <w:rPr>
                <w:noProof/>
                <w:sz w:val="22"/>
              </w:rPr>
              <w:t>2026</w:t>
            </w:r>
          </w:p>
        </w:tc>
        <w:tc>
          <w:tcPr>
            <w:tcW w:w="486" w:type="pct"/>
            <w:vAlign w:val="center"/>
          </w:tcPr>
          <w:p w14:paraId="411994BA" w14:textId="77777777" w:rsidR="00670448" w:rsidRPr="00563809" w:rsidRDefault="00D05C1D">
            <w:pPr>
              <w:keepNext/>
              <w:keepLines/>
              <w:spacing w:before="0" w:after="200" w:line="276" w:lineRule="auto"/>
              <w:jc w:val="center"/>
              <w:rPr>
                <w:rFonts w:eastAsia="Aptos"/>
                <w:noProof/>
                <w:sz w:val="20"/>
              </w:rPr>
            </w:pPr>
            <w:r w:rsidRPr="00563809">
              <w:rPr>
                <w:noProof/>
                <w:sz w:val="22"/>
              </w:rPr>
              <w:t>2027</w:t>
            </w:r>
          </w:p>
        </w:tc>
        <w:tc>
          <w:tcPr>
            <w:tcW w:w="486" w:type="pct"/>
            <w:vAlign w:val="center"/>
          </w:tcPr>
          <w:p w14:paraId="0D6B8C53" w14:textId="77777777" w:rsidR="00670448" w:rsidRPr="00563809" w:rsidRDefault="00D05C1D">
            <w:pPr>
              <w:keepNext/>
              <w:keepLines/>
              <w:spacing w:before="0" w:after="200" w:line="276" w:lineRule="auto"/>
              <w:jc w:val="center"/>
              <w:rPr>
                <w:rFonts w:eastAsia="Aptos"/>
                <w:noProof/>
                <w:sz w:val="20"/>
              </w:rPr>
            </w:pPr>
            <w:r w:rsidRPr="00563809">
              <w:rPr>
                <w:noProof/>
                <w:sz w:val="22"/>
              </w:rPr>
              <w:t>2028</w:t>
            </w:r>
          </w:p>
        </w:tc>
        <w:tc>
          <w:tcPr>
            <w:tcW w:w="486" w:type="pct"/>
            <w:vAlign w:val="center"/>
          </w:tcPr>
          <w:p w14:paraId="71F2FD14" w14:textId="77777777" w:rsidR="00670448" w:rsidRPr="00563809" w:rsidRDefault="00D05C1D">
            <w:pPr>
              <w:spacing w:before="0" w:after="200" w:line="276" w:lineRule="auto"/>
              <w:jc w:val="center"/>
              <w:rPr>
                <w:rFonts w:eastAsia="Aptos"/>
                <w:noProof/>
                <w:sz w:val="20"/>
              </w:rPr>
            </w:pPr>
            <w:r w:rsidRPr="00563809">
              <w:rPr>
                <w:noProof/>
                <w:sz w:val="22"/>
              </w:rPr>
              <w:t>2029</w:t>
            </w:r>
          </w:p>
        </w:tc>
        <w:tc>
          <w:tcPr>
            <w:tcW w:w="486" w:type="pct"/>
            <w:vAlign w:val="center"/>
          </w:tcPr>
          <w:p w14:paraId="11E3D98F" w14:textId="77777777" w:rsidR="00670448" w:rsidRPr="00563809" w:rsidRDefault="00D05C1D">
            <w:pPr>
              <w:spacing w:before="0" w:after="200" w:line="276" w:lineRule="auto"/>
              <w:jc w:val="center"/>
              <w:rPr>
                <w:rFonts w:eastAsia="Aptos"/>
                <w:noProof/>
                <w:sz w:val="20"/>
              </w:rPr>
            </w:pPr>
            <w:r w:rsidRPr="00563809">
              <w:rPr>
                <w:noProof/>
                <w:sz w:val="22"/>
              </w:rPr>
              <w:t>2030</w:t>
            </w:r>
          </w:p>
        </w:tc>
        <w:tc>
          <w:tcPr>
            <w:tcW w:w="481" w:type="pct"/>
          </w:tcPr>
          <w:p w14:paraId="6D1E0F00" w14:textId="77777777" w:rsidR="00670448" w:rsidRPr="00563809" w:rsidRDefault="00D05C1D">
            <w:pPr>
              <w:spacing w:before="0" w:after="200" w:line="276" w:lineRule="auto"/>
              <w:jc w:val="center"/>
              <w:rPr>
                <w:rFonts w:eastAsia="Aptos"/>
                <w:noProof/>
                <w:sz w:val="20"/>
              </w:rPr>
            </w:pPr>
            <w:r w:rsidRPr="00563809">
              <w:rPr>
                <w:noProof/>
                <w:sz w:val="22"/>
              </w:rPr>
              <w:t xml:space="preserve">2039 </w:t>
            </w:r>
          </w:p>
        </w:tc>
      </w:tr>
      <w:tr w:rsidR="00670448" w:rsidRPr="00563809" w14:paraId="35158A06" w14:textId="77777777">
        <w:trPr>
          <w:jc w:val="center"/>
        </w:trPr>
        <w:tc>
          <w:tcPr>
            <w:tcW w:w="2088" w:type="pct"/>
          </w:tcPr>
          <w:p w14:paraId="67D42DBE" w14:textId="77777777" w:rsidR="00670448" w:rsidRPr="00563809" w:rsidRDefault="00D05C1D">
            <w:pPr>
              <w:spacing w:before="0" w:after="0" w:line="276" w:lineRule="auto"/>
              <w:jc w:val="center"/>
              <w:rPr>
                <w:rFonts w:eastAsia="Aptos"/>
                <w:noProof/>
                <w:sz w:val="20"/>
              </w:rPr>
            </w:pPr>
            <w:r w:rsidRPr="00563809">
              <w:rPr>
                <w:noProof/>
                <w:sz w:val="22"/>
              </w:rPr>
              <w:t>Datoria publică</w:t>
            </w:r>
          </w:p>
          <w:p w14:paraId="51EBB5FA" w14:textId="77777777" w:rsidR="00670448" w:rsidRPr="00563809" w:rsidRDefault="00D05C1D">
            <w:pPr>
              <w:spacing w:before="0" w:after="0" w:line="276" w:lineRule="auto"/>
              <w:jc w:val="center"/>
              <w:rPr>
                <w:rFonts w:eastAsia="Aptos"/>
                <w:b/>
                <w:bCs/>
                <w:noProof/>
                <w:sz w:val="20"/>
              </w:rPr>
            </w:pPr>
            <w:r w:rsidRPr="00563809">
              <w:rPr>
                <w:noProof/>
                <w:sz w:val="22"/>
              </w:rPr>
              <w:t>(% din PIB)</w:t>
            </w:r>
          </w:p>
        </w:tc>
        <w:tc>
          <w:tcPr>
            <w:tcW w:w="486" w:type="pct"/>
            <w:vAlign w:val="center"/>
          </w:tcPr>
          <w:p w14:paraId="5AB11D7F" w14:textId="77777777" w:rsidR="00670448" w:rsidRPr="00563809" w:rsidRDefault="00D05C1D">
            <w:pPr>
              <w:spacing w:before="0" w:after="200" w:line="276" w:lineRule="auto"/>
              <w:jc w:val="center"/>
              <w:rPr>
                <w:rFonts w:eastAsia="Aptos"/>
                <w:noProof/>
                <w:sz w:val="22"/>
                <w:szCs w:val="22"/>
              </w:rPr>
            </w:pPr>
            <w:r w:rsidRPr="00563809">
              <w:rPr>
                <w:noProof/>
                <w:sz w:val="22"/>
              </w:rPr>
              <w:t>46,8</w:t>
            </w:r>
          </w:p>
        </w:tc>
        <w:tc>
          <w:tcPr>
            <w:tcW w:w="486" w:type="pct"/>
            <w:vAlign w:val="center"/>
          </w:tcPr>
          <w:p w14:paraId="57C57DA2" w14:textId="77777777" w:rsidR="00670448" w:rsidRPr="00563809" w:rsidRDefault="00D05C1D">
            <w:pPr>
              <w:spacing w:before="0" w:after="200" w:line="276" w:lineRule="auto"/>
              <w:jc w:val="center"/>
              <w:rPr>
                <w:rFonts w:eastAsia="Aptos"/>
                <w:noProof/>
                <w:sz w:val="22"/>
                <w:szCs w:val="22"/>
              </w:rPr>
            </w:pPr>
            <w:r w:rsidRPr="00563809">
              <w:rPr>
                <w:noProof/>
                <w:sz w:val="22"/>
              </w:rPr>
              <w:t>46,5</w:t>
            </w:r>
          </w:p>
        </w:tc>
        <w:tc>
          <w:tcPr>
            <w:tcW w:w="486" w:type="pct"/>
            <w:vAlign w:val="center"/>
          </w:tcPr>
          <w:p w14:paraId="4E718A4A" w14:textId="77777777" w:rsidR="00670448" w:rsidRPr="00563809" w:rsidRDefault="00D05C1D">
            <w:pPr>
              <w:spacing w:before="0" w:after="200" w:line="276" w:lineRule="auto"/>
              <w:jc w:val="center"/>
              <w:rPr>
                <w:rFonts w:eastAsia="Aptos"/>
                <w:noProof/>
                <w:sz w:val="22"/>
                <w:szCs w:val="22"/>
              </w:rPr>
            </w:pPr>
            <w:r w:rsidRPr="00563809">
              <w:rPr>
                <w:noProof/>
                <w:sz w:val="22"/>
              </w:rPr>
              <w:t>46,1</w:t>
            </w:r>
          </w:p>
        </w:tc>
        <w:tc>
          <w:tcPr>
            <w:tcW w:w="486" w:type="pct"/>
            <w:vAlign w:val="center"/>
          </w:tcPr>
          <w:p w14:paraId="74D31BEF" w14:textId="77777777" w:rsidR="00670448" w:rsidRPr="00563809" w:rsidRDefault="00D05C1D">
            <w:pPr>
              <w:spacing w:before="0" w:after="200" w:line="276" w:lineRule="auto"/>
              <w:jc w:val="center"/>
              <w:rPr>
                <w:rFonts w:eastAsia="Aptos"/>
                <w:noProof/>
                <w:sz w:val="22"/>
                <w:szCs w:val="22"/>
              </w:rPr>
            </w:pPr>
            <w:r w:rsidRPr="00563809">
              <w:rPr>
                <w:noProof/>
                <w:sz w:val="22"/>
              </w:rPr>
              <w:t>45,6</w:t>
            </w:r>
          </w:p>
        </w:tc>
        <w:tc>
          <w:tcPr>
            <w:tcW w:w="486" w:type="pct"/>
            <w:vAlign w:val="center"/>
          </w:tcPr>
          <w:p w14:paraId="61E3A4F8" w14:textId="77777777" w:rsidR="00670448" w:rsidRPr="00563809" w:rsidRDefault="00D05C1D">
            <w:pPr>
              <w:spacing w:before="0" w:after="200" w:line="276" w:lineRule="auto"/>
              <w:jc w:val="center"/>
              <w:rPr>
                <w:rFonts w:eastAsia="Aptos"/>
                <w:noProof/>
                <w:sz w:val="22"/>
                <w:szCs w:val="22"/>
              </w:rPr>
            </w:pPr>
            <w:r w:rsidRPr="00563809">
              <w:rPr>
                <w:noProof/>
                <w:sz w:val="22"/>
              </w:rPr>
              <w:t>45,2</w:t>
            </w:r>
          </w:p>
        </w:tc>
        <w:tc>
          <w:tcPr>
            <w:tcW w:w="481" w:type="pct"/>
            <w:vAlign w:val="center"/>
          </w:tcPr>
          <w:p w14:paraId="753CB5C0" w14:textId="77777777" w:rsidR="00670448" w:rsidRPr="00563809" w:rsidRDefault="00D05C1D">
            <w:pPr>
              <w:spacing w:before="0" w:after="200" w:line="276" w:lineRule="auto"/>
              <w:jc w:val="center"/>
              <w:rPr>
                <w:rFonts w:eastAsia="Aptos"/>
                <w:noProof/>
                <w:sz w:val="22"/>
                <w:szCs w:val="22"/>
              </w:rPr>
            </w:pPr>
            <w:r w:rsidRPr="00563809">
              <w:rPr>
                <w:noProof/>
                <w:sz w:val="22"/>
              </w:rPr>
              <w:t>51,2</w:t>
            </w:r>
          </w:p>
        </w:tc>
      </w:tr>
      <w:tr w:rsidR="00670448" w:rsidRPr="00563809" w14:paraId="7771D94E" w14:textId="77777777">
        <w:trPr>
          <w:jc w:val="center"/>
        </w:trPr>
        <w:tc>
          <w:tcPr>
            <w:tcW w:w="2088" w:type="pct"/>
            <w:tcBorders>
              <w:bottom w:val="single" w:sz="4" w:space="0" w:color="auto"/>
            </w:tcBorders>
          </w:tcPr>
          <w:p w14:paraId="165CEB03" w14:textId="77777777" w:rsidR="00670448" w:rsidRPr="00563809" w:rsidRDefault="00D05C1D">
            <w:pPr>
              <w:spacing w:before="0" w:after="0" w:line="276" w:lineRule="auto"/>
              <w:jc w:val="center"/>
              <w:rPr>
                <w:rFonts w:eastAsia="Aptos"/>
                <w:noProof/>
                <w:sz w:val="20"/>
              </w:rPr>
            </w:pPr>
            <w:r w:rsidRPr="00563809">
              <w:rPr>
                <w:noProof/>
                <w:sz w:val="22"/>
              </w:rPr>
              <w:t>Soldul bugetar</w:t>
            </w:r>
          </w:p>
          <w:p w14:paraId="05B09BF9" w14:textId="77777777" w:rsidR="00670448" w:rsidRPr="00563809" w:rsidRDefault="00D05C1D">
            <w:pPr>
              <w:spacing w:before="0" w:after="200" w:line="276" w:lineRule="auto"/>
              <w:jc w:val="center"/>
              <w:rPr>
                <w:rFonts w:eastAsia="Aptos"/>
                <w:noProof/>
                <w:sz w:val="20"/>
              </w:rPr>
            </w:pPr>
            <w:r w:rsidRPr="00563809">
              <w:rPr>
                <w:noProof/>
                <w:sz w:val="22"/>
              </w:rPr>
              <w:t>(% din PIB)</w:t>
            </w:r>
          </w:p>
        </w:tc>
        <w:tc>
          <w:tcPr>
            <w:tcW w:w="486" w:type="pct"/>
            <w:tcBorders>
              <w:bottom w:val="single" w:sz="4" w:space="0" w:color="auto"/>
            </w:tcBorders>
            <w:vAlign w:val="center"/>
          </w:tcPr>
          <w:p w14:paraId="635C56AD" w14:textId="77777777" w:rsidR="00670448" w:rsidRPr="00563809" w:rsidRDefault="00D05C1D">
            <w:pPr>
              <w:spacing w:before="0" w:after="200" w:line="276" w:lineRule="auto"/>
              <w:jc w:val="center"/>
              <w:rPr>
                <w:rFonts w:eastAsia="Aptos"/>
                <w:noProof/>
                <w:sz w:val="22"/>
                <w:szCs w:val="22"/>
              </w:rPr>
            </w:pPr>
            <w:r w:rsidRPr="00563809">
              <w:rPr>
                <w:noProof/>
                <w:sz w:val="22"/>
              </w:rPr>
              <w:t>-2,4</w:t>
            </w:r>
          </w:p>
        </w:tc>
        <w:tc>
          <w:tcPr>
            <w:tcW w:w="486" w:type="pct"/>
            <w:tcBorders>
              <w:bottom w:val="single" w:sz="4" w:space="0" w:color="auto"/>
            </w:tcBorders>
            <w:vAlign w:val="center"/>
          </w:tcPr>
          <w:p w14:paraId="68762607" w14:textId="77777777" w:rsidR="00670448" w:rsidRPr="00563809" w:rsidRDefault="00D05C1D">
            <w:pPr>
              <w:spacing w:before="0" w:after="200" w:line="276" w:lineRule="auto"/>
              <w:jc w:val="center"/>
              <w:rPr>
                <w:rFonts w:eastAsia="Aptos"/>
                <w:noProof/>
                <w:sz w:val="22"/>
                <w:szCs w:val="22"/>
              </w:rPr>
            </w:pPr>
            <w:r w:rsidRPr="00563809">
              <w:rPr>
                <w:noProof/>
                <w:sz w:val="22"/>
              </w:rPr>
              <w:t>-1,5</w:t>
            </w:r>
          </w:p>
        </w:tc>
        <w:tc>
          <w:tcPr>
            <w:tcW w:w="486" w:type="pct"/>
            <w:tcBorders>
              <w:bottom w:val="single" w:sz="4" w:space="0" w:color="auto"/>
            </w:tcBorders>
            <w:vAlign w:val="center"/>
          </w:tcPr>
          <w:p w14:paraId="179DCC10" w14:textId="77777777" w:rsidR="00670448" w:rsidRPr="00563809" w:rsidRDefault="00D05C1D">
            <w:pPr>
              <w:spacing w:before="0" w:after="200" w:line="276" w:lineRule="auto"/>
              <w:jc w:val="center"/>
              <w:rPr>
                <w:rFonts w:eastAsia="Aptos"/>
                <w:noProof/>
                <w:sz w:val="22"/>
                <w:szCs w:val="22"/>
              </w:rPr>
            </w:pPr>
            <w:r w:rsidRPr="00563809">
              <w:rPr>
                <w:noProof/>
                <w:sz w:val="22"/>
              </w:rPr>
              <w:t>-1,3</w:t>
            </w:r>
          </w:p>
        </w:tc>
        <w:tc>
          <w:tcPr>
            <w:tcW w:w="486" w:type="pct"/>
            <w:tcBorders>
              <w:bottom w:val="single" w:sz="4" w:space="0" w:color="auto"/>
            </w:tcBorders>
            <w:vAlign w:val="center"/>
          </w:tcPr>
          <w:p w14:paraId="1BAA3C69" w14:textId="77777777" w:rsidR="00670448" w:rsidRPr="00563809" w:rsidRDefault="00D05C1D">
            <w:pPr>
              <w:spacing w:before="0" w:after="200" w:line="276" w:lineRule="auto"/>
              <w:jc w:val="center"/>
              <w:rPr>
                <w:rFonts w:eastAsia="Aptos"/>
                <w:noProof/>
                <w:sz w:val="22"/>
                <w:szCs w:val="22"/>
              </w:rPr>
            </w:pPr>
            <w:r w:rsidRPr="00563809">
              <w:rPr>
                <w:noProof/>
                <w:sz w:val="22"/>
              </w:rPr>
              <w:t>-1,2</w:t>
            </w:r>
          </w:p>
        </w:tc>
        <w:tc>
          <w:tcPr>
            <w:tcW w:w="486" w:type="pct"/>
            <w:tcBorders>
              <w:bottom w:val="single" w:sz="4" w:space="0" w:color="auto"/>
            </w:tcBorders>
            <w:vAlign w:val="center"/>
          </w:tcPr>
          <w:p w14:paraId="6CDC3D44" w14:textId="77777777" w:rsidR="00670448" w:rsidRPr="00563809" w:rsidRDefault="00D05C1D">
            <w:pPr>
              <w:spacing w:before="0" w:after="200" w:line="276" w:lineRule="auto"/>
              <w:jc w:val="center"/>
              <w:rPr>
                <w:rFonts w:eastAsia="Aptos"/>
                <w:noProof/>
                <w:sz w:val="22"/>
                <w:szCs w:val="22"/>
              </w:rPr>
            </w:pPr>
            <w:r w:rsidRPr="00563809">
              <w:rPr>
                <w:noProof/>
                <w:sz w:val="22"/>
              </w:rPr>
              <w:t>-1,2</w:t>
            </w:r>
          </w:p>
        </w:tc>
        <w:tc>
          <w:tcPr>
            <w:tcW w:w="481" w:type="pct"/>
            <w:tcBorders>
              <w:bottom w:val="single" w:sz="4" w:space="0" w:color="auto"/>
            </w:tcBorders>
            <w:vAlign w:val="center"/>
          </w:tcPr>
          <w:p w14:paraId="58275196" w14:textId="77777777" w:rsidR="00670448" w:rsidRPr="00563809" w:rsidRDefault="00D05C1D">
            <w:pPr>
              <w:spacing w:before="0" w:after="200" w:line="276" w:lineRule="auto"/>
              <w:jc w:val="center"/>
              <w:rPr>
                <w:rFonts w:eastAsia="Aptos"/>
                <w:noProof/>
                <w:sz w:val="22"/>
                <w:szCs w:val="22"/>
              </w:rPr>
            </w:pPr>
            <w:r w:rsidRPr="00563809">
              <w:rPr>
                <w:noProof/>
                <w:sz w:val="22"/>
              </w:rPr>
              <w:t>-3,0</w:t>
            </w:r>
          </w:p>
        </w:tc>
      </w:tr>
      <w:tr w:rsidR="00670448" w:rsidRPr="00563809" w14:paraId="595076C6" w14:textId="77777777">
        <w:trPr>
          <w:jc w:val="center"/>
        </w:trPr>
        <w:tc>
          <w:tcPr>
            <w:tcW w:w="5000" w:type="pct"/>
            <w:gridSpan w:val="7"/>
            <w:tcBorders>
              <w:bottom w:val="nil"/>
            </w:tcBorders>
          </w:tcPr>
          <w:p w14:paraId="65AA822A" w14:textId="77777777" w:rsidR="00670448" w:rsidRPr="00563809" w:rsidRDefault="00D05C1D">
            <w:pPr>
              <w:spacing w:line="276" w:lineRule="auto"/>
              <w:rPr>
                <w:b/>
                <w:bCs/>
                <w:noProof/>
              </w:rPr>
            </w:pPr>
            <w:r w:rsidRPr="00563809">
              <w:rPr>
                <w:noProof/>
              </w:rPr>
              <w:t>Sursa: planul bugetar-structural pe termen mediu al Țărilor de Jos (aprilie 2026)</w:t>
            </w:r>
          </w:p>
        </w:tc>
      </w:tr>
    </w:tbl>
    <w:p w14:paraId="7EE96AE2" w14:textId="77777777" w:rsidR="00670448" w:rsidRPr="00563809" w:rsidRDefault="00D05C1D">
      <w:pPr>
        <w:spacing w:line="276" w:lineRule="auto"/>
        <w:rPr>
          <w:rFonts w:eastAsia="Calibri"/>
          <w:b/>
          <w:noProof/>
          <w:szCs w:val="24"/>
        </w:rPr>
      </w:pPr>
      <w:r w:rsidRPr="00563809">
        <w:rPr>
          <w:b/>
          <w:noProof/>
        </w:rPr>
        <w:t>Ipotezele macroeconomice ale planului</w:t>
      </w:r>
    </w:p>
    <w:p w14:paraId="5BB661F3" w14:textId="77777777" w:rsidR="00670448" w:rsidRPr="00563809" w:rsidRDefault="00D05C1D">
      <w:pPr>
        <w:pStyle w:val="ManualConsidrant"/>
        <w:spacing w:line="276" w:lineRule="auto"/>
        <w:rPr>
          <w:noProof/>
        </w:rPr>
      </w:pPr>
      <w:r>
        <w:rPr>
          <w:noProof/>
        </w:rPr>
        <w:t>(25)</w:t>
      </w:r>
      <w:r>
        <w:rPr>
          <w:noProof/>
        </w:rPr>
        <w:tab/>
      </w:r>
      <w:r w:rsidRPr="00563809">
        <w:rPr>
          <w:noProof/>
        </w:rPr>
        <w:t xml:space="preserve">Planul se bazează pe un set de ipoteze care diferă de ipotezele Comisiei, care au fost transmise Țărilor de Jos la 26 februarie 2026. În special, planul utilizează ipoteze diferite pentru punctul de plecare al soldului primar structural și al creșterii deflatorului PIB. Datoria publică și creșterea PIB-ului pentru 2025 au fost actualizate conform datelor privind rezultatul bugetar furnizate de Institutul de Statistică al Țărilor de Jos. </w:t>
      </w:r>
    </w:p>
    <w:p w14:paraId="7ED89F3C" w14:textId="77777777" w:rsidR="00670448" w:rsidRPr="00563809" w:rsidRDefault="00D05C1D" w:rsidP="00CC4EB5">
      <w:pPr>
        <w:pStyle w:val="Text1"/>
        <w:rPr>
          <w:noProof/>
        </w:rPr>
      </w:pPr>
      <w:r w:rsidRPr="00563809">
        <w:rPr>
          <w:noProof/>
        </w:rPr>
        <w:t xml:space="preserve">Este necesară o evaluare atentă a acestor diferențe între ipoteze, cu atât mai mult cu cât creșterea maximă medie a cheltuielilor nete prevăzută în plan este mai mare decât cea care a rezultat din informațiile tehnice. </w:t>
      </w:r>
    </w:p>
    <w:p w14:paraId="5761B995" w14:textId="77777777" w:rsidR="00670448" w:rsidRPr="00563809" w:rsidRDefault="00D05C1D" w:rsidP="00CC4EB5">
      <w:pPr>
        <w:pStyle w:val="Text1"/>
        <w:rPr>
          <w:noProof/>
        </w:rPr>
      </w:pPr>
      <w:r w:rsidRPr="00563809">
        <w:rPr>
          <w:noProof/>
        </w:rPr>
        <w:t xml:space="preserve">Diferențele dintre ipoteze cu cel mai semnificativ impact asupra creșterii maxime medii a cheltuielilor nete sunt enumerate și evaluate mai jos. </w:t>
      </w:r>
    </w:p>
    <w:p w14:paraId="5B195B79" w14:textId="77777777" w:rsidR="00670448" w:rsidRPr="00563809" w:rsidRDefault="00D05C1D">
      <w:pPr>
        <w:pStyle w:val="Bullet1"/>
        <w:numPr>
          <w:ilvl w:val="0"/>
          <w:numId w:val="8"/>
        </w:numPr>
        <w:rPr>
          <w:noProof/>
        </w:rPr>
      </w:pPr>
      <w:r w:rsidRPr="00563809">
        <w:rPr>
          <w:noProof/>
        </w:rPr>
        <w:t xml:space="preserve">Planul se bazează pe ipoteza că punctul de plecare al soldului primar structural este de -0,4 % din PIB, în locul procentului de -0,6 % din PIB estimat în informațiile tehnice ale Comisiei, care s-au bazat pe previziunile Comisiei din toamna anului 2025. Acest lucru contribuie la o creștere maximă medie a cheltuielilor nete pe parcursul perioadei de ajustare în cadrul planului mai mare decât cea din ipotezele Comisiei. Valoarea soldului primar structural din plan se bazează pe cele mai recente previziuni ale Biroului pentru analiza politicilor economice din Țările de Jos (CPB) din martie 2026 și este în concordanță cu datele privind rezultatul bugetar în ceea ce privește deficitul. În consecință, se consideră că această ipoteză este justificată în mod corespunzător. </w:t>
      </w:r>
    </w:p>
    <w:p w14:paraId="76D722B2" w14:textId="3DF94685" w:rsidR="00670448" w:rsidRPr="00563809" w:rsidRDefault="00D05C1D">
      <w:pPr>
        <w:pStyle w:val="Bullet1"/>
        <w:rPr>
          <w:noProof/>
        </w:rPr>
      </w:pPr>
      <w:r w:rsidRPr="00563809">
        <w:rPr>
          <w:noProof/>
        </w:rPr>
        <w:t>Planul se bazează pe ipoteza că deflatorul PIB se va situa la 2,5 % în 2027, în loc de 2,1 %, conform informațiilor tehnice ale Comisiei. Acest lucru contribuie la o creștere maximă medie a cheltuielilor nete pe parcursul perioadei de ajustare în cadrul planului mai mare decât cea din ipotezele Comisiei. Previziunile privind deflatorul mai ridicat se explică prin efectele economice ale conflictului din Orientul Mijlociu, care, conform estimărilor, va crește deflatorul ca urmare a repercutării prețurilor mai mari ale energiei importate asupra prețurilor interne. În consecință, se consideră că această ipoteză este justificată în mod corespunzător. După 2027, se estimează că deflatorul PIB va converge liniar pentru a atinge 2,3 % în 2035, în conformitate cu metodologia DSA.</w:t>
      </w:r>
    </w:p>
    <w:p w14:paraId="365AFC87" w14:textId="77777777" w:rsidR="00670448" w:rsidRPr="00563809" w:rsidRDefault="00D05C1D" w:rsidP="00CC4EB5">
      <w:pPr>
        <w:pStyle w:val="Text1"/>
        <w:rPr>
          <w:noProof/>
        </w:rPr>
      </w:pPr>
      <w:r w:rsidRPr="00563809">
        <w:rPr>
          <w:noProof/>
        </w:rPr>
        <w:t xml:space="preserve">Celelalte diferențe dintre ipoteze nu au un impact semnificativ asupra creșterii maxime medii a cheltuielilor nete în comparație cu informațiile tehnice ale Comisiei. </w:t>
      </w:r>
    </w:p>
    <w:p w14:paraId="5B96963E" w14:textId="77777777" w:rsidR="00670448" w:rsidRPr="00563809" w:rsidRDefault="00D05C1D" w:rsidP="00CC4EB5">
      <w:pPr>
        <w:pStyle w:val="Text1"/>
        <w:rPr>
          <w:noProof/>
        </w:rPr>
      </w:pPr>
      <w:r w:rsidRPr="00563809">
        <w:rPr>
          <w:noProof/>
        </w:rPr>
        <w:t xml:space="preserve">Acest lucru implică faptul că diferența dintre ratele maxime de creștere a cheltuielilor nete din plan și din informațiile tehnice se explică prin diferențe între ipoteze care pot fi acceptate în ansamblu, în conformitate cu articolul 13 litera (b) din Regulamentul (UE) 2024/1263. În ansamblu, diferențele dintre ipoteze luate împreună duc la o creștere maximă medie a cheltuielilor nete mai mare decât creșterea maximă medie a cheltuielilor nete care rezultă din informațiile tehnice. </w:t>
      </w:r>
    </w:p>
    <w:p w14:paraId="3B0EA223" w14:textId="77777777" w:rsidR="00670448" w:rsidRPr="00563809" w:rsidRDefault="00D05C1D" w:rsidP="00CC4EB5">
      <w:pPr>
        <w:pStyle w:val="Text1"/>
        <w:rPr>
          <w:noProof/>
        </w:rPr>
      </w:pPr>
      <w:r w:rsidRPr="00563809">
        <w:rPr>
          <w:noProof/>
        </w:rPr>
        <w:t>Comisia va lua în considerare analiza de mai sus a ipotezelor planului în viitoarele sale evaluări ale respectării ratelor maxime de creștere a cheltuielilor nete.</w:t>
      </w:r>
    </w:p>
    <w:p w14:paraId="3B6EFBD8" w14:textId="77777777" w:rsidR="00670448" w:rsidRPr="00563809" w:rsidRDefault="00D05C1D">
      <w:pPr>
        <w:spacing w:line="276" w:lineRule="auto"/>
        <w:rPr>
          <w:rFonts w:eastAsia="Calibri"/>
          <w:b/>
          <w:bCs/>
          <w:noProof/>
          <w:szCs w:val="24"/>
        </w:rPr>
      </w:pPr>
      <w:r w:rsidRPr="00563809">
        <w:rPr>
          <w:b/>
          <w:noProof/>
        </w:rPr>
        <w:t xml:space="preserve">Strategia bugetară din plan </w:t>
      </w:r>
    </w:p>
    <w:p w14:paraId="2BC07339" w14:textId="1F13358F" w:rsidR="00670448" w:rsidRPr="00563809" w:rsidRDefault="00D05C1D">
      <w:pPr>
        <w:pStyle w:val="ManualConsidrant"/>
        <w:spacing w:line="276" w:lineRule="auto"/>
        <w:rPr>
          <w:noProof/>
        </w:rPr>
      </w:pPr>
      <w:r>
        <w:rPr>
          <w:noProof/>
        </w:rPr>
        <w:t>(26)</w:t>
      </w:r>
      <w:r>
        <w:rPr>
          <w:noProof/>
        </w:rPr>
        <w:tab/>
      </w:r>
      <w:r w:rsidRPr="00563809">
        <w:rPr>
          <w:noProof/>
        </w:rPr>
        <w:t>Conform strategiei bugetare orientative din plan, angajamentele legate de cheltuielile nete se vor concretiza în principal prin creșteri discreționare ale veniturilor care sunt coerente cu creșterile suplimentare ale cheltuielii publice. Planul preconizează o creștere a impozitării veniturilor gospodăriilor și a contribuțiilor la asigurările sociale pentru angajatori, printre alte măsuri privind veniturile, precum și o creștere a cheltuielilor pentru apărare, de la 1,7 % din PIB în 2025 la 2,7 % din PIB în 2030.</w:t>
      </w:r>
    </w:p>
    <w:p w14:paraId="11111ED0" w14:textId="77777777" w:rsidR="00670448" w:rsidRPr="00563809" w:rsidRDefault="00D05C1D">
      <w:pPr>
        <w:pStyle w:val="ManualConsidrant"/>
        <w:spacing w:line="276" w:lineRule="auto"/>
        <w:rPr>
          <w:noProof/>
        </w:rPr>
      </w:pPr>
      <w:r>
        <w:rPr>
          <w:noProof/>
        </w:rPr>
        <w:t>(27)</w:t>
      </w:r>
      <w:r>
        <w:rPr>
          <w:noProof/>
        </w:rPr>
        <w:tab/>
      </w:r>
      <w:r w:rsidRPr="00563809">
        <w:rPr>
          <w:noProof/>
        </w:rPr>
        <w:t>Specificarea măsurilor de politică ce urmează a fi adoptate trebuie confirmată sau ajustată și cuantificată în bugetele anuale. În acest sens, Țările de Jos ar trebui să ia în considerare impactul politicilor anunțate asupra proiecțiilor pe termen mediu, astfel cum au fost estimate de Biroul pentru analiza politicilor economice din Țările de Jos (CPB).</w:t>
      </w:r>
    </w:p>
    <w:p w14:paraId="58D7C184" w14:textId="77777777" w:rsidR="00670448" w:rsidRPr="00563809" w:rsidRDefault="00D05C1D">
      <w:pPr>
        <w:spacing w:line="276" w:lineRule="auto"/>
        <w:rPr>
          <w:noProof/>
        </w:rPr>
      </w:pPr>
      <w:r w:rsidRPr="00563809">
        <w:rPr>
          <w:b/>
          <w:noProof/>
        </w:rPr>
        <w:t xml:space="preserve">Intenții în materie de reforme și de investiții din plan care răspund principalelor provocări identificate în contextul semestrului european și priorităților comune ale Uniunii </w:t>
      </w:r>
    </w:p>
    <w:p w14:paraId="6827C861" w14:textId="77777777" w:rsidR="00670448" w:rsidRPr="00563809" w:rsidRDefault="00D05C1D">
      <w:pPr>
        <w:pStyle w:val="ManualConsidrant"/>
        <w:spacing w:line="276" w:lineRule="auto"/>
        <w:rPr>
          <w:i/>
          <w:noProof/>
        </w:rPr>
      </w:pPr>
      <w:r>
        <w:rPr>
          <w:noProof/>
        </w:rPr>
        <w:t>(28)</w:t>
      </w:r>
      <w:r>
        <w:rPr>
          <w:noProof/>
        </w:rPr>
        <w:tab/>
      </w:r>
      <w:r w:rsidRPr="00563809">
        <w:rPr>
          <w:noProof/>
        </w:rPr>
        <w:t>Planul descrie intențiile privind reformele și investițiile menite să răspundă principalelor provocări identificate în contextul semestrului european, astfel cum se prevede în special în recomandările specifice fiecărei țări din 2025</w:t>
      </w:r>
      <w:r w:rsidRPr="00563809">
        <w:rPr>
          <w:rStyle w:val="FootnoteReference"/>
          <w:noProof/>
          <w:lang w:eastAsia="ja-JP"/>
        </w:rPr>
        <w:footnoteReference w:id="11"/>
      </w:r>
      <w:r w:rsidRPr="00563809">
        <w:rPr>
          <w:noProof/>
        </w:rPr>
        <w:t>, inclusiv în cele referitoare la procedura privind dezechilibrele macroeconomice, și în concordanță cu prioritățile Comunicării intitulate „O Busolă pentru competitivitatea UE”</w:t>
      </w:r>
      <w:r w:rsidRPr="00563809">
        <w:rPr>
          <w:rStyle w:val="FootnoteReference"/>
          <w:noProof/>
        </w:rPr>
        <w:footnoteReference w:id="12"/>
      </w:r>
      <w:r w:rsidRPr="00563809">
        <w:rPr>
          <w:noProof/>
        </w:rPr>
        <w:t xml:space="preserve">. Planul include aproximativ 85 de reforme și investiții, dintre care 10 sunt sprijinite financiar prin Mecanismul de redresare și reziliență (MRR). Reformele și investițiile prevăzute în plan se bazează pe acordul de coaliție, precum și pe alte inițiative în curs. </w:t>
      </w:r>
    </w:p>
    <w:p w14:paraId="593F32DD" w14:textId="77777777" w:rsidR="00670448" w:rsidRPr="00563809" w:rsidRDefault="00D05C1D">
      <w:pPr>
        <w:pStyle w:val="ManualConsidrant"/>
        <w:spacing w:line="276" w:lineRule="auto"/>
        <w:rPr>
          <w:noProof/>
        </w:rPr>
      </w:pPr>
      <w:r>
        <w:rPr>
          <w:noProof/>
        </w:rPr>
        <w:t>(29)</w:t>
      </w:r>
      <w:r>
        <w:rPr>
          <w:noProof/>
        </w:rPr>
        <w:tab/>
      </w:r>
      <w:r w:rsidRPr="00563809">
        <w:rPr>
          <w:noProof/>
        </w:rPr>
        <w:t xml:space="preserve">În ceea ce privește prioritatea comună a unei tranziții verzi și digitale echitabile, inclusiv obiectivele climatice prevăzute în Regulamentul (UE) 2021/1119, planul cuprinde peste 20 de reforme și investiții, cum ar fi pachetul de investiții pentru agricultura durabilă și gestionarea azotului, Fondul pentru climă și energie și Programul pentru accelerarea durabilității mediului construit. Planul descrie, de asemenea, măsurile din cadrul planului de redresare și reziliență (PRR) de reducere a dependenței de combustibilii fosili, cum ar fi continuarea subvenției pentru investiții în energie durabilă și economii de energie (ISDE + + +). Reformele și investițiile incluse în plan urmăresc să dea curs recomandărilor specifice țării emise în 2025 privind creșterea cheltuielilor pentru C&amp;D, abordarea deficitului de finanțare pentru start-upuri și întreprinderile în faza de extindere, reducerea dependenței generale de combustibilii fosili, reducerea congestionării rețelei de energie electrică și abordarea depunerilor excesive de azot și a deteriorării calității apei. </w:t>
      </w:r>
    </w:p>
    <w:p w14:paraId="688F2B43" w14:textId="77777777" w:rsidR="00670448" w:rsidRPr="00563809" w:rsidRDefault="00D05C1D">
      <w:pPr>
        <w:pStyle w:val="ManualConsidrant"/>
        <w:spacing w:line="276" w:lineRule="auto"/>
        <w:rPr>
          <w:noProof/>
        </w:rPr>
      </w:pPr>
      <w:r>
        <w:rPr>
          <w:noProof/>
        </w:rPr>
        <w:t>(30)</w:t>
      </w:r>
      <w:r>
        <w:rPr>
          <w:noProof/>
        </w:rPr>
        <w:tab/>
      </w:r>
      <w:r w:rsidRPr="00563809">
        <w:rPr>
          <w:noProof/>
        </w:rPr>
        <w:t xml:space="preserve">În ceea ce privește prioritatea comună a rezilienței sociale și economice, inclusiv Pilonul european al drepturilor sociale, planul cuprinde o listă amplă de peste 50 de reforme și investiții grupate în mai multe domenii de politică, cum ar fi piața locuințelor, educație, asistența medicală, piața forței de muncă și impozitarea. Unele dintre aceste investiții și reforme sunt incluse în PRR, cum ar fi măsurile de combatere a activităților independente fictive, sprijinirea locuințelor la prețuri accesibile și extinderea serviciilor de terapie intensivă. Aceste 50 de reforme și investiții incluse în plan urmăresc să dea curs recomandărilor specifice fiecărei țări emise în 2025 privind abordarea creșterii preconizate a cheltuielilor legate de îmbătrânirea populației în domeniul îngrijirii pe termen lung, reducerea stimulentelor pentru utilizarea contractelor flexibile sau temporare, abordarea deficitului de forță de muncă și de competențe, îmbunătățirea competențelor de bază și stimularea participării la programele STEM. În plus, planul include reforme și investiții pe piața locuințelor care sunt relevante pentru procedura privind dezechilibrele macroeconomice și care intenționează să dea curs recomandărilor specifice fiecărei țări care aliniază impozitarea diferitelor tipuri de venituri din avere, sprijină dezvoltarea unui sector privat al închirierilor la prețuri accesibile și elimină obstacolele din calea construcțiilor rezidențiale. </w:t>
      </w:r>
    </w:p>
    <w:p w14:paraId="577BA785" w14:textId="3EFA6F3D" w:rsidR="00670448" w:rsidRPr="00563809" w:rsidRDefault="00D05C1D">
      <w:pPr>
        <w:pStyle w:val="ManualConsidrant"/>
        <w:spacing w:line="276" w:lineRule="auto"/>
        <w:rPr>
          <w:noProof/>
        </w:rPr>
      </w:pPr>
      <w:r>
        <w:rPr>
          <w:noProof/>
        </w:rPr>
        <w:t>(31)</w:t>
      </w:r>
      <w:r>
        <w:rPr>
          <w:noProof/>
        </w:rPr>
        <w:tab/>
      </w:r>
      <w:r w:rsidRPr="00563809">
        <w:rPr>
          <w:noProof/>
        </w:rPr>
        <w:t>În ceea ce privește prioritatea comună a securității energetice, planul include un pachet de reformă a pieței energiei (inclus în PRR) pentru a permite utilizarea flexibilă a rețelei atunci când rețeaua este saturată, pentru a stabili cadrul pentru investițiile în rețeaua de energie electrică ale operatorilor de sistem, pentru a institui proiecte de infrastructură legate de extinderea rețelei de energie electrică și pentru a introduce modificări ale procedurilor de autorizare pentru rețeaua de energie electrică. Planul include, de asemenea, Legea privind criza congestionării rețelei menită să accelereze procedurile pentru proiectele de infrastructură energetică. În plus, planul include acte legislative pentru gestionarea crizelor gazelor, revizuirea cerințelor privind constituirea de stocuri de petrol, consolidarea rezilienței cibernetice și fizice a infrastructurii energetice prin directive ale UE și investiții în producția de hidrogen și strategii diversificate de import pentru a reduce riscurile de dependență.</w:t>
      </w:r>
    </w:p>
    <w:p w14:paraId="3DD66EA9" w14:textId="77777777" w:rsidR="00670448" w:rsidRPr="00563809" w:rsidRDefault="00D05C1D">
      <w:pPr>
        <w:pStyle w:val="ManualConsidrant"/>
        <w:spacing w:line="276" w:lineRule="auto"/>
        <w:rPr>
          <w:noProof/>
        </w:rPr>
      </w:pPr>
      <w:r>
        <w:rPr>
          <w:noProof/>
        </w:rPr>
        <w:t>(32)</w:t>
      </w:r>
      <w:r>
        <w:rPr>
          <w:noProof/>
        </w:rPr>
        <w:tab/>
      </w:r>
      <w:r w:rsidRPr="00563809">
        <w:rPr>
          <w:noProof/>
        </w:rPr>
        <w:t xml:space="preserve">În ceea ce privește prioritatea comună a capabilităților de apărare, planul include un set de investiții care urmează să fie puse în aplicare în perioada 2024-2028 și care constau în achiziționarea de echipamente, reînnoirea infrastructurii imobiliare, inclusiv pentru a se asigura sustenabilitatea acesteia, și modernizarea și înlocuirea infrastructurii informatice tactice. Planul include o trimitere la creșterea generală a cheltuielilor pentru apărare, de la 1,7 % din PIB în 2025 la 2,7 % din PIB în 2030. </w:t>
      </w:r>
    </w:p>
    <w:p w14:paraId="66601EF6" w14:textId="77777777" w:rsidR="00670448" w:rsidRPr="00563809" w:rsidRDefault="00D05C1D">
      <w:pPr>
        <w:pStyle w:val="ManualConsidrant"/>
        <w:spacing w:line="276" w:lineRule="auto"/>
        <w:rPr>
          <w:noProof/>
        </w:rPr>
      </w:pPr>
      <w:r>
        <w:rPr>
          <w:noProof/>
        </w:rPr>
        <w:t>(33)</w:t>
      </w:r>
      <w:r>
        <w:rPr>
          <w:noProof/>
        </w:rPr>
        <w:tab/>
      </w:r>
      <w:r w:rsidRPr="00563809">
        <w:rPr>
          <w:noProof/>
        </w:rPr>
        <w:t xml:space="preserve">Planul oferă informații cu privire la coerența și, după caz, complementaritatea cu PRR al Țărilor de Jos. Reformele și investițiile prezentate în plan completează mai multe acțiuni întreprinse în cadrul PRR, care contribuie, de asemenea, la prioritățile comune ale UE. Noile reforme și investiții din plan sunt în concordanță cu măsurile din cadrul PRR. </w:t>
      </w:r>
    </w:p>
    <w:p w14:paraId="1090ADD8" w14:textId="77777777" w:rsidR="00670448" w:rsidRPr="00563809" w:rsidRDefault="00D05C1D">
      <w:pPr>
        <w:pStyle w:val="ManualConsidrant"/>
        <w:rPr>
          <w:noProof/>
        </w:rPr>
      </w:pPr>
      <w:r>
        <w:rPr>
          <w:noProof/>
        </w:rPr>
        <w:t>(34)</w:t>
      </w:r>
      <w:r>
        <w:rPr>
          <w:noProof/>
        </w:rPr>
        <w:tab/>
      </w:r>
      <w:r w:rsidRPr="00563809">
        <w:rPr>
          <w:noProof/>
        </w:rPr>
        <w:t>Planul nu oferă o imagine de ansamblu a nevoilor de investiții publice ale Țărilor de Jos legate de prioritățile comune ale Uniunii.</w:t>
      </w:r>
    </w:p>
    <w:p w14:paraId="0EAE42A7" w14:textId="77777777" w:rsidR="00670448" w:rsidRPr="00563809" w:rsidRDefault="00D05C1D">
      <w:pPr>
        <w:spacing w:line="276" w:lineRule="auto"/>
        <w:rPr>
          <w:noProof/>
          <w:szCs w:val="24"/>
        </w:rPr>
      </w:pPr>
      <w:r w:rsidRPr="00563809">
        <w:rPr>
          <w:b/>
          <w:noProof/>
        </w:rPr>
        <w:t>Concluzia evaluării Comisiei</w:t>
      </w:r>
    </w:p>
    <w:p w14:paraId="4E3FBDE2" w14:textId="77777777" w:rsidR="00670448" w:rsidRPr="00563809" w:rsidRDefault="00D05C1D">
      <w:pPr>
        <w:pStyle w:val="ManualConsidrant"/>
        <w:spacing w:line="276" w:lineRule="auto"/>
        <w:rPr>
          <w:noProof/>
        </w:rPr>
      </w:pPr>
      <w:r>
        <w:rPr>
          <w:noProof/>
        </w:rPr>
        <w:t>(35)</w:t>
      </w:r>
      <w:r>
        <w:rPr>
          <w:noProof/>
        </w:rPr>
        <w:tab/>
      </w:r>
      <w:r w:rsidRPr="00563809">
        <w:rPr>
          <w:noProof/>
        </w:rPr>
        <w:t xml:space="preserve">În ansamblu, Comisia consideră că planul Țărilor de Jos din aprilie 2026 îndeplinește cerințele Regulamentului (UE) 2024/1263. </w:t>
      </w:r>
    </w:p>
    <w:p w14:paraId="6E3514B5" w14:textId="77777777" w:rsidR="00670448" w:rsidRPr="00563809" w:rsidRDefault="00D05C1D">
      <w:pPr>
        <w:spacing w:line="276" w:lineRule="auto"/>
        <w:rPr>
          <w:b/>
          <w:noProof/>
          <w:szCs w:val="24"/>
        </w:rPr>
      </w:pPr>
      <w:r w:rsidRPr="00563809">
        <w:rPr>
          <w:b/>
          <w:noProof/>
        </w:rPr>
        <w:t>CONCLUZIE GENERALĂ</w:t>
      </w:r>
    </w:p>
    <w:p w14:paraId="056862C3" w14:textId="77777777" w:rsidR="00670448" w:rsidRPr="00563809" w:rsidRDefault="00D05C1D">
      <w:pPr>
        <w:pStyle w:val="ManualConsidrant"/>
        <w:spacing w:line="276" w:lineRule="auto"/>
        <w:rPr>
          <w:noProof/>
        </w:rPr>
      </w:pPr>
      <w:r>
        <w:rPr>
          <w:noProof/>
        </w:rPr>
        <w:t>(36)</w:t>
      </w:r>
      <w:r>
        <w:rPr>
          <w:noProof/>
        </w:rPr>
        <w:tab/>
      </w:r>
      <w:r w:rsidRPr="00563809">
        <w:rPr>
          <w:noProof/>
        </w:rPr>
        <w:t xml:space="preserve">Prezenta recomandare înlocuiește Recomandarea din 21 ianuarie 2025. </w:t>
      </w:r>
    </w:p>
    <w:p w14:paraId="10A181D3" w14:textId="77777777" w:rsidR="00670448" w:rsidRPr="00563809" w:rsidRDefault="00D05C1D">
      <w:pPr>
        <w:pStyle w:val="ManualConsidrant"/>
        <w:spacing w:line="276" w:lineRule="auto"/>
        <w:rPr>
          <w:noProof/>
        </w:rPr>
      </w:pPr>
      <w:r>
        <w:rPr>
          <w:noProof/>
        </w:rPr>
        <w:t>(37)</w:t>
      </w:r>
      <w:r>
        <w:rPr>
          <w:noProof/>
        </w:rPr>
        <w:tab/>
      </w:r>
      <w:r w:rsidRPr="00563809">
        <w:rPr>
          <w:noProof/>
        </w:rPr>
        <w:t xml:space="preserve">În conformitate cu articolul 17 din Regulamentul (UE) 2024/1263, Consiliul ar trebui să recomande Țărilor de Jos ratele maxime de creștere a cheltuielilor nete pe care statul membru s-a angajat să le respecte conform planului din aprilie 2026. </w:t>
      </w:r>
    </w:p>
    <w:p w14:paraId="15245705" w14:textId="77777777" w:rsidR="00670448" w:rsidRPr="00563809" w:rsidRDefault="00D05C1D">
      <w:pPr>
        <w:pStyle w:val="Formuledadoption"/>
        <w:spacing w:line="276" w:lineRule="auto"/>
        <w:rPr>
          <w:i/>
          <w:noProof/>
        </w:rPr>
      </w:pPr>
      <w:r w:rsidRPr="00563809">
        <w:rPr>
          <w:noProof/>
        </w:rPr>
        <w:t>RECOMANDĂ ȚĂRILOR DE JOS:</w:t>
      </w:r>
    </w:p>
    <w:p w14:paraId="2E2B13B0" w14:textId="77777777" w:rsidR="00670448" w:rsidRPr="00563809" w:rsidRDefault="00D05C1D">
      <w:pPr>
        <w:pStyle w:val="Point0"/>
        <w:rPr>
          <w:noProof/>
        </w:rPr>
      </w:pPr>
      <w:r>
        <w:rPr>
          <w:noProof/>
        </w:rPr>
        <w:t>(1)</w:t>
      </w:r>
      <w:r>
        <w:rPr>
          <w:noProof/>
        </w:rPr>
        <w:tab/>
      </w:r>
      <w:r w:rsidRPr="00563809">
        <w:rPr>
          <w:noProof/>
        </w:rPr>
        <w:t>Să se asigure că creșterea cheltuielilor nete nu depășește valorile maxime stabilite în anexa I la prezenta recomandare.</w:t>
      </w:r>
    </w:p>
    <w:p w14:paraId="03F2ECE4" w14:textId="77777777" w:rsidR="00670448" w:rsidRPr="00563809" w:rsidRDefault="00D05C1D">
      <w:pPr>
        <w:contextualSpacing/>
        <w:jc w:val="center"/>
        <w:rPr>
          <w:b/>
          <w:bCs/>
          <w:noProof/>
          <w:szCs w:val="24"/>
        </w:rPr>
      </w:pPr>
      <w:r w:rsidRPr="00563809">
        <w:rPr>
          <w:b/>
          <w:noProof/>
        </w:rPr>
        <w:t>ANEXA I</w:t>
      </w:r>
    </w:p>
    <w:p w14:paraId="1976A9AB" w14:textId="42A653FF" w:rsidR="00670448" w:rsidRPr="00563809" w:rsidRDefault="00D05C1D">
      <w:pPr>
        <w:contextualSpacing/>
        <w:jc w:val="center"/>
        <w:rPr>
          <w:noProof/>
          <w:szCs w:val="24"/>
        </w:rPr>
      </w:pPr>
      <w:r w:rsidRPr="00563809">
        <w:rPr>
          <w:noProof/>
        </w:rPr>
        <w:t>Ratele maxime de creștere a cheltuielilor nete</w:t>
      </w:r>
      <w:r w:rsidRPr="00563809">
        <w:rPr>
          <w:noProof/>
        </w:rPr>
        <w:br/>
        <w:t>(rate de creștere anuale și cumulate, în termeni nominali)</w:t>
      </w:r>
    </w:p>
    <w:p w14:paraId="7857B97E" w14:textId="77777777" w:rsidR="00670448" w:rsidRPr="00563809" w:rsidRDefault="00D05C1D">
      <w:pPr>
        <w:contextualSpacing/>
        <w:jc w:val="center"/>
        <w:rPr>
          <w:noProof/>
          <w:szCs w:val="24"/>
        </w:rPr>
      </w:pPr>
      <w:r w:rsidRPr="00563809">
        <w:rPr>
          <w:noProof/>
        </w:rPr>
        <w:t>Țările de Jos</w:t>
      </w:r>
    </w:p>
    <w:tbl>
      <w:tblPr>
        <w:tblStyle w:val="TableGrid"/>
        <w:tblW w:w="8505" w:type="dxa"/>
        <w:jc w:val="center"/>
        <w:tblBorders>
          <w:left w:val="none" w:sz="0" w:space="0" w:color="auto"/>
          <w:right w:val="none" w:sz="0" w:space="0" w:color="auto"/>
        </w:tblBorders>
        <w:tblLayout w:type="fixed"/>
        <w:tblLook w:val="04A0" w:firstRow="1" w:lastRow="0" w:firstColumn="1" w:lastColumn="0" w:noHBand="0" w:noVBand="1"/>
      </w:tblPr>
      <w:tblGrid>
        <w:gridCol w:w="1864"/>
        <w:gridCol w:w="1665"/>
        <w:gridCol w:w="963"/>
        <w:gridCol w:w="963"/>
        <w:gridCol w:w="963"/>
        <w:gridCol w:w="963"/>
        <w:gridCol w:w="1124"/>
      </w:tblGrid>
      <w:tr w:rsidR="00670448" w:rsidRPr="00563809" w14:paraId="7CF0C923" w14:textId="77777777">
        <w:trPr>
          <w:jc w:val="center"/>
        </w:trPr>
        <w:tc>
          <w:tcPr>
            <w:tcW w:w="2075" w:type="pct"/>
            <w:gridSpan w:val="2"/>
          </w:tcPr>
          <w:p w14:paraId="787168D6" w14:textId="77777777" w:rsidR="00670448" w:rsidRPr="00563809" w:rsidRDefault="00D05C1D">
            <w:pPr>
              <w:jc w:val="center"/>
              <w:rPr>
                <w:noProof/>
                <w:szCs w:val="24"/>
              </w:rPr>
            </w:pPr>
            <w:r w:rsidRPr="00563809">
              <w:rPr>
                <w:noProof/>
              </w:rPr>
              <w:t>Anii</w:t>
            </w:r>
          </w:p>
        </w:tc>
        <w:tc>
          <w:tcPr>
            <w:tcW w:w="566" w:type="pct"/>
            <w:vAlign w:val="center"/>
          </w:tcPr>
          <w:p w14:paraId="31CFE0C4" w14:textId="77777777" w:rsidR="00670448" w:rsidRPr="00563809" w:rsidRDefault="00D05C1D">
            <w:pPr>
              <w:keepNext/>
              <w:keepLines/>
              <w:jc w:val="center"/>
              <w:rPr>
                <w:b/>
                <w:bCs/>
                <w:noProof/>
                <w:szCs w:val="24"/>
              </w:rPr>
            </w:pPr>
            <w:r w:rsidRPr="00563809">
              <w:rPr>
                <w:noProof/>
              </w:rPr>
              <w:t>2026</w:t>
            </w:r>
          </w:p>
        </w:tc>
        <w:tc>
          <w:tcPr>
            <w:tcW w:w="566" w:type="pct"/>
            <w:vAlign w:val="center"/>
          </w:tcPr>
          <w:p w14:paraId="0EEE7EF8" w14:textId="77777777" w:rsidR="00670448" w:rsidRPr="00563809" w:rsidRDefault="00D05C1D">
            <w:pPr>
              <w:keepNext/>
              <w:keepLines/>
              <w:jc w:val="center"/>
              <w:rPr>
                <w:b/>
                <w:bCs/>
                <w:noProof/>
                <w:szCs w:val="24"/>
              </w:rPr>
            </w:pPr>
            <w:r w:rsidRPr="00563809">
              <w:rPr>
                <w:noProof/>
              </w:rPr>
              <w:t>2027</w:t>
            </w:r>
          </w:p>
        </w:tc>
        <w:tc>
          <w:tcPr>
            <w:tcW w:w="566" w:type="pct"/>
            <w:vAlign w:val="center"/>
          </w:tcPr>
          <w:p w14:paraId="6E89B9AC" w14:textId="77777777" w:rsidR="00670448" w:rsidRPr="00563809" w:rsidRDefault="00D05C1D">
            <w:pPr>
              <w:keepNext/>
              <w:keepLines/>
              <w:jc w:val="center"/>
              <w:rPr>
                <w:b/>
                <w:bCs/>
                <w:noProof/>
                <w:szCs w:val="24"/>
              </w:rPr>
            </w:pPr>
            <w:r w:rsidRPr="00563809">
              <w:rPr>
                <w:noProof/>
              </w:rPr>
              <w:t>2028</w:t>
            </w:r>
          </w:p>
        </w:tc>
        <w:tc>
          <w:tcPr>
            <w:tcW w:w="566" w:type="pct"/>
            <w:vAlign w:val="center"/>
          </w:tcPr>
          <w:p w14:paraId="34A4E390" w14:textId="77777777" w:rsidR="00670448" w:rsidRPr="00563809" w:rsidRDefault="00D05C1D">
            <w:pPr>
              <w:jc w:val="center"/>
              <w:rPr>
                <w:b/>
                <w:bCs/>
                <w:noProof/>
                <w:szCs w:val="24"/>
              </w:rPr>
            </w:pPr>
            <w:r w:rsidRPr="00563809">
              <w:rPr>
                <w:noProof/>
              </w:rPr>
              <w:t>2029</w:t>
            </w:r>
          </w:p>
        </w:tc>
        <w:tc>
          <w:tcPr>
            <w:tcW w:w="661" w:type="pct"/>
            <w:vAlign w:val="center"/>
          </w:tcPr>
          <w:p w14:paraId="34BACA54" w14:textId="77777777" w:rsidR="00670448" w:rsidRPr="00563809" w:rsidRDefault="00D05C1D">
            <w:pPr>
              <w:jc w:val="center"/>
              <w:rPr>
                <w:b/>
                <w:bCs/>
                <w:noProof/>
                <w:szCs w:val="24"/>
              </w:rPr>
            </w:pPr>
            <w:r w:rsidRPr="00563809">
              <w:rPr>
                <w:noProof/>
              </w:rPr>
              <w:t>2030</w:t>
            </w:r>
          </w:p>
        </w:tc>
      </w:tr>
      <w:tr w:rsidR="00670448" w:rsidRPr="00563809" w14:paraId="309F2D9E" w14:textId="77777777">
        <w:trPr>
          <w:jc w:val="center"/>
        </w:trPr>
        <w:tc>
          <w:tcPr>
            <w:tcW w:w="1096" w:type="pct"/>
            <w:vMerge w:val="restart"/>
          </w:tcPr>
          <w:p w14:paraId="3C612EA3" w14:textId="77777777" w:rsidR="00670448" w:rsidRPr="00563809" w:rsidRDefault="00D05C1D">
            <w:pPr>
              <w:jc w:val="center"/>
              <w:rPr>
                <w:b/>
                <w:bCs/>
                <w:noProof/>
                <w:szCs w:val="24"/>
              </w:rPr>
            </w:pPr>
            <w:r w:rsidRPr="00563809">
              <w:rPr>
                <w:noProof/>
              </w:rPr>
              <w:t>Rate de creștere (%)</w:t>
            </w:r>
          </w:p>
        </w:tc>
        <w:tc>
          <w:tcPr>
            <w:tcW w:w="979" w:type="pct"/>
          </w:tcPr>
          <w:p w14:paraId="774704D8" w14:textId="77777777" w:rsidR="00670448" w:rsidRPr="00563809" w:rsidRDefault="00D05C1D">
            <w:pPr>
              <w:jc w:val="center"/>
              <w:rPr>
                <w:noProof/>
                <w:szCs w:val="24"/>
              </w:rPr>
            </w:pPr>
            <w:r w:rsidRPr="00563809">
              <w:rPr>
                <w:noProof/>
              </w:rPr>
              <w:t>Anuale</w:t>
            </w:r>
          </w:p>
        </w:tc>
        <w:tc>
          <w:tcPr>
            <w:tcW w:w="566" w:type="pct"/>
          </w:tcPr>
          <w:p w14:paraId="7A91C64E" w14:textId="77777777" w:rsidR="00670448" w:rsidRPr="00563809" w:rsidRDefault="00D05C1D">
            <w:pPr>
              <w:jc w:val="center"/>
              <w:rPr>
                <w:noProof/>
                <w:szCs w:val="24"/>
              </w:rPr>
            </w:pPr>
            <w:r w:rsidRPr="00563809">
              <w:rPr>
                <w:noProof/>
              </w:rPr>
              <w:t>4,7</w:t>
            </w:r>
          </w:p>
        </w:tc>
        <w:tc>
          <w:tcPr>
            <w:tcW w:w="566" w:type="pct"/>
          </w:tcPr>
          <w:p w14:paraId="457197A5" w14:textId="77777777" w:rsidR="00670448" w:rsidRPr="00563809" w:rsidRDefault="00D05C1D">
            <w:pPr>
              <w:jc w:val="center"/>
              <w:rPr>
                <w:noProof/>
                <w:szCs w:val="24"/>
              </w:rPr>
            </w:pPr>
            <w:r w:rsidRPr="00563809">
              <w:rPr>
                <w:noProof/>
              </w:rPr>
              <w:t>3,5</w:t>
            </w:r>
          </w:p>
        </w:tc>
        <w:tc>
          <w:tcPr>
            <w:tcW w:w="566" w:type="pct"/>
          </w:tcPr>
          <w:p w14:paraId="31D371C7" w14:textId="77777777" w:rsidR="00670448" w:rsidRPr="00563809" w:rsidRDefault="00D05C1D">
            <w:pPr>
              <w:jc w:val="center"/>
              <w:rPr>
                <w:noProof/>
                <w:szCs w:val="24"/>
              </w:rPr>
            </w:pPr>
            <w:r w:rsidRPr="00563809">
              <w:rPr>
                <w:noProof/>
              </w:rPr>
              <w:t>3,1</w:t>
            </w:r>
          </w:p>
        </w:tc>
        <w:tc>
          <w:tcPr>
            <w:tcW w:w="566" w:type="pct"/>
          </w:tcPr>
          <w:p w14:paraId="17C0BB28" w14:textId="77777777" w:rsidR="00670448" w:rsidRPr="00563809" w:rsidRDefault="00D05C1D">
            <w:pPr>
              <w:jc w:val="center"/>
              <w:rPr>
                <w:noProof/>
                <w:szCs w:val="24"/>
              </w:rPr>
            </w:pPr>
            <w:r w:rsidRPr="00563809">
              <w:rPr>
                <w:noProof/>
              </w:rPr>
              <w:t>3,5</w:t>
            </w:r>
          </w:p>
        </w:tc>
        <w:tc>
          <w:tcPr>
            <w:tcW w:w="661" w:type="pct"/>
          </w:tcPr>
          <w:p w14:paraId="57D8BB88" w14:textId="77777777" w:rsidR="00670448" w:rsidRPr="00563809" w:rsidRDefault="00D05C1D">
            <w:pPr>
              <w:jc w:val="center"/>
              <w:rPr>
                <w:noProof/>
                <w:szCs w:val="24"/>
              </w:rPr>
            </w:pPr>
            <w:r w:rsidRPr="00563809">
              <w:rPr>
                <w:noProof/>
              </w:rPr>
              <w:t>3,7</w:t>
            </w:r>
          </w:p>
        </w:tc>
      </w:tr>
      <w:tr w:rsidR="00670448" w:rsidRPr="00563809" w14:paraId="6704E2F2" w14:textId="77777777">
        <w:trPr>
          <w:jc w:val="center"/>
        </w:trPr>
        <w:tc>
          <w:tcPr>
            <w:tcW w:w="1096" w:type="pct"/>
            <w:vMerge/>
          </w:tcPr>
          <w:p w14:paraId="65A5DEBD" w14:textId="77777777" w:rsidR="00670448" w:rsidRPr="00563809" w:rsidRDefault="00670448">
            <w:pPr>
              <w:jc w:val="center"/>
              <w:rPr>
                <w:noProof/>
                <w:szCs w:val="24"/>
              </w:rPr>
            </w:pPr>
          </w:p>
        </w:tc>
        <w:tc>
          <w:tcPr>
            <w:tcW w:w="979" w:type="pct"/>
          </w:tcPr>
          <w:p w14:paraId="275ED86C" w14:textId="77777777" w:rsidR="00670448" w:rsidRPr="00563809" w:rsidRDefault="00D05C1D">
            <w:pPr>
              <w:jc w:val="center"/>
              <w:rPr>
                <w:noProof/>
                <w:szCs w:val="24"/>
              </w:rPr>
            </w:pPr>
            <w:r w:rsidRPr="00563809">
              <w:rPr>
                <w:noProof/>
              </w:rPr>
              <w:t>Cumulate (*)</w:t>
            </w:r>
          </w:p>
        </w:tc>
        <w:tc>
          <w:tcPr>
            <w:tcW w:w="566" w:type="pct"/>
          </w:tcPr>
          <w:p w14:paraId="7CA15FF4" w14:textId="77777777" w:rsidR="00670448" w:rsidRPr="00563809" w:rsidRDefault="00D05C1D">
            <w:pPr>
              <w:jc w:val="center"/>
              <w:rPr>
                <w:noProof/>
                <w:szCs w:val="24"/>
              </w:rPr>
            </w:pPr>
            <w:r w:rsidRPr="00563809">
              <w:rPr>
                <w:noProof/>
              </w:rPr>
              <w:t>4,7</w:t>
            </w:r>
          </w:p>
        </w:tc>
        <w:tc>
          <w:tcPr>
            <w:tcW w:w="566" w:type="pct"/>
          </w:tcPr>
          <w:p w14:paraId="55EB00BC" w14:textId="77777777" w:rsidR="00670448" w:rsidRPr="00563809" w:rsidRDefault="00D05C1D">
            <w:pPr>
              <w:jc w:val="center"/>
              <w:rPr>
                <w:noProof/>
                <w:szCs w:val="24"/>
              </w:rPr>
            </w:pPr>
            <w:r w:rsidRPr="00563809">
              <w:rPr>
                <w:noProof/>
              </w:rPr>
              <w:t>8,4</w:t>
            </w:r>
          </w:p>
        </w:tc>
        <w:tc>
          <w:tcPr>
            <w:tcW w:w="566" w:type="pct"/>
          </w:tcPr>
          <w:p w14:paraId="3388181F" w14:textId="77777777" w:rsidR="00670448" w:rsidRPr="00563809" w:rsidRDefault="00D05C1D">
            <w:pPr>
              <w:jc w:val="center"/>
              <w:rPr>
                <w:noProof/>
                <w:szCs w:val="24"/>
              </w:rPr>
            </w:pPr>
            <w:r w:rsidRPr="00563809">
              <w:rPr>
                <w:noProof/>
              </w:rPr>
              <w:t>11,7</w:t>
            </w:r>
          </w:p>
        </w:tc>
        <w:tc>
          <w:tcPr>
            <w:tcW w:w="566" w:type="pct"/>
          </w:tcPr>
          <w:p w14:paraId="07121F5A" w14:textId="77777777" w:rsidR="00670448" w:rsidRPr="00563809" w:rsidRDefault="00D05C1D">
            <w:pPr>
              <w:jc w:val="center"/>
              <w:rPr>
                <w:noProof/>
                <w:szCs w:val="24"/>
              </w:rPr>
            </w:pPr>
            <w:r w:rsidRPr="00563809">
              <w:rPr>
                <w:noProof/>
              </w:rPr>
              <w:t>15,6</w:t>
            </w:r>
          </w:p>
        </w:tc>
        <w:tc>
          <w:tcPr>
            <w:tcW w:w="661" w:type="pct"/>
          </w:tcPr>
          <w:p w14:paraId="5D497B1D" w14:textId="77777777" w:rsidR="00670448" w:rsidRPr="00563809" w:rsidRDefault="00D05C1D">
            <w:pPr>
              <w:jc w:val="center"/>
              <w:rPr>
                <w:noProof/>
                <w:szCs w:val="24"/>
              </w:rPr>
            </w:pPr>
            <w:r w:rsidRPr="00563809">
              <w:rPr>
                <w:noProof/>
              </w:rPr>
              <w:t>19,9</w:t>
            </w:r>
          </w:p>
        </w:tc>
      </w:tr>
      <w:tr w:rsidR="00670448" w:rsidRPr="00563809" w14:paraId="30BB36BC" w14:textId="77777777">
        <w:trPr>
          <w:trHeight w:val="1194"/>
          <w:jc w:val="center"/>
        </w:trPr>
        <w:tc>
          <w:tcPr>
            <w:tcW w:w="5000" w:type="pct"/>
            <w:gridSpan w:val="7"/>
          </w:tcPr>
          <w:p w14:paraId="41834ED5" w14:textId="77777777" w:rsidR="00670448" w:rsidRPr="00563809" w:rsidRDefault="00D05C1D">
            <w:pPr>
              <w:contextualSpacing/>
              <w:rPr>
                <w:noProof/>
              </w:rPr>
            </w:pPr>
            <w:r w:rsidRPr="00563809">
              <w:rPr>
                <w:noProof/>
              </w:rPr>
              <w:t>(*) Ratele de creștere cumulate se calculează în raport cu anul de bază 2025. Ratele de creștere cumulate sunt utilizate în monitorizarea anuală a conformității ex-post în contul de control.</w:t>
            </w:r>
          </w:p>
          <w:p w14:paraId="657410F3" w14:textId="77777777" w:rsidR="00670448" w:rsidRPr="00563809" w:rsidRDefault="00670448">
            <w:pPr>
              <w:contextualSpacing/>
              <w:rPr>
                <w:noProof/>
                <w:lang w:eastAsia="ja-JP"/>
              </w:rPr>
            </w:pPr>
          </w:p>
        </w:tc>
      </w:tr>
    </w:tbl>
    <w:p w14:paraId="192F98D3" w14:textId="77777777" w:rsidR="00670448" w:rsidRPr="00563809" w:rsidRDefault="00670448">
      <w:pPr>
        <w:spacing w:before="0" w:after="200" w:line="276" w:lineRule="auto"/>
        <w:jc w:val="left"/>
        <w:rPr>
          <w:noProof/>
          <w:szCs w:val="24"/>
        </w:rPr>
      </w:pPr>
    </w:p>
    <w:p w14:paraId="520697EA" w14:textId="6174D2E6" w:rsidR="00670448" w:rsidRPr="00563809" w:rsidRDefault="00F366AB" w:rsidP="000532C5">
      <w:pPr>
        <w:pStyle w:val="Fait"/>
        <w:rPr>
          <w:noProof/>
        </w:rPr>
      </w:pPr>
      <w:r>
        <w:rPr>
          <w:noProof/>
        </w:rPr>
        <w:t>Adoptată la Bruxelles,</w:t>
      </w:r>
    </w:p>
    <w:p w14:paraId="61FECDDD" w14:textId="77777777" w:rsidR="00670448" w:rsidRPr="00563809" w:rsidRDefault="00D05C1D" w:rsidP="000532C5">
      <w:pPr>
        <w:pStyle w:val="Institutionquisigne"/>
        <w:spacing w:line="276" w:lineRule="auto"/>
        <w:outlineLvl w:val="0"/>
        <w:rPr>
          <w:noProof/>
        </w:rPr>
      </w:pPr>
      <w:r w:rsidRPr="00563809">
        <w:rPr>
          <w:noProof/>
        </w:rPr>
        <w:tab/>
        <w:t>Pentru Consiliu</w:t>
      </w:r>
    </w:p>
    <w:p w14:paraId="072C79AB" w14:textId="77777777" w:rsidR="00670448" w:rsidRPr="00563809" w:rsidRDefault="00D05C1D">
      <w:pPr>
        <w:pStyle w:val="Personnequisigne"/>
        <w:spacing w:line="276" w:lineRule="auto"/>
        <w:rPr>
          <w:noProof/>
        </w:rPr>
      </w:pPr>
      <w:r w:rsidRPr="00563809">
        <w:rPr>
          <w:noProof/>
        </w:rPr>
        <w:tab/>
        <w:t>Președintele</w:t>
      </w:r>
    </w:p>
    <w:sectPr w:rsidR="00670448" w:rsidRPr="00563809" w:rsidSect="000F746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C89492" w14:textId="77777777" w:rsidR="00670448" w:rsidRDefault="00D05C1D">
      <w:pPr>
        <w:spacing w:before="0" w:after="0"/>
      </w:pPr>
      <w:r>
        <w:separator/>
      </w:r>
    </w:p>
  </w:endnote>
  <w:endnote w:type="continuationSeparator" w:id="0">
    <w:p w14:paraId="56148756" w14:textId="77777777" w:rsidR="00670448" w:rsidRDefault="00D05C1D">
      <w:pPr>
        <w:spacing w:before="0" w:after="0"/>
      </w:pPr>
      <w:r>
        <w:continuationSeparator/>
      </w:r>
    </w:p>
  </w:endnote>
  <w:endnote w:type="continuationNotice" w:id="1">
    <w:p w14:paraId="3B7493F3" w14:textId="77777777" w:rsidR="00670448" w:rsidRDefault="0067044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3490D" w14:textId="58D70CB2" w:rsidR="000F746E" w:rsidRPr="000F746E" w:rsidRDefault="000F746E" w:rsidP="000F746E">
    <w:pPr>
      <w:pStyle w:val="Footer"/>
      <w:rPr>
        <w:rFonts w:ascii="Arial" w:hAnsi="Arial" w:cs="Arial"/>
        <w:b/>
        <w:sz w:val="48"/>
      </w:rPr>
    </w:pPr>
    <w:r w:rsidRPr="000F746E">
      <w:rPr>
        <w:rFonts w:ascii="Arial" w:hAnsi="Arial" w:cs="Arial"/>
        <w:b/>
        <w:sz w:val="48"/>
      </w:rPr>
      <w:t>RO</w:t>
    </w:r>
    <w:r w:rsidRPr="000F746E">
      <w:rPr>
        <w:rFonts w:ascii="Arial" w:hAnsi="Arial" w:cs="Arial"/>
        <w:b/>
        <w:sz w:val="48"/>
      </w:rPr>
      <w:tab/>
    </w:r>
    <w:r w:rsidRPr="000F746E">
      <w:rPr>
        <w:rFonts w:ascii="Arial" w:hAnsi="Arial" w:cs="Arial"/>
        <w:b/>
        <w:sz w:val="48"/>
      </w:rPr>
      <w:tab/>
    </w:r>
    <w:r w:rsidRPr="000F746E">
      <w:tab/>
    </w:r>
    <w:r w:rsidRPr="000F746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724D6" w14:textId="56C1C397" w:rsidR="000F746E" w:rsidRPr="000F746E" w:rsidRDefault="000F746E" w:rsidP="000F746E">
    <w:pPr>
      <w:pStyle w:val="Footer"/>
      <w:rPr>
        <w:rFonts w:ascii="Arial" w:hAnsi="Arial" w:cs="Arial"/>
        <w:b/>
        <w:sz w:val="48"/>
      </w:rPr>
    </w:pPr>
    <w:r w:rsidRPr="000F746E">
      <w:rPr>
        <w:rFonts w:ascii="Arial" w:hAnsi="Arial" w:cs="Arial"/>
        <w:b/>
        <w:sz w:val="48"/>
      </w:rPr>
      <w:t>RO</w:t>
    </w:r>
    <w:r w:rsidRPr="000F746E">
      <w:rPr>
        <w:rFonts w:ascii="Arial" w:hAnsi="Arial" w:cs="Arial"/>
        <w:b/>
        <w:sz w:val="48"/>
      </w:rPr>
      <w:tab/>
    </w:r>
    <w:r w:rsidRPr="000F746E">
      <w:rPr>
        <w:rFonts w:ascii="Arial" w:hAnsi="Arial" w:cs="Arial"/>
        <w:b/>
        <w:sz w:val="48"/>
      </w:rPr>
      <w:tab/>
    </w:r>
    <w:r w:rsidRPr="000F746E">
      <w:tab/>
    </w:r>
    <w:r w:rsidRPr="000F746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E55CF" w14:textId="77777777" w:rsidR="000F746E" w:rsidRDefault="000F74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CBAB4" w14:textId="4499DB13" w:rsidR="000F746E" w:rsidRPr="000F746E" w:rsidRDefault="000F746E" w:rsidP="000F746E">
    <w:pPr>
      <w:pStyle w:val="Footer"/>
      <w:rPr>
        <w:rFonts w:ascii="Arial" w:hAnsi="Arial" w:cs="Arial"/>
        <w:b/>
        <w:sz w:val="48"/>
      </w:rPr>
    </w:pPr>
    <w:r w:rsidRPr="000F746E">
      <w:rPr>
        <w:rFonts w:ascii="Arial" w:hAnsi="Arial" w:cs="Arial"/>
        <w:b/>
        <w:sz w:val="48"/>
      </w:rPr>
      <w:t>RO</w:t>
    </w:r>
    <w:r w:rsidRPr="000F746E">
      <w:rPr>
        <w:rFonts w:ascii="Arial" w:hAnsi="Arial" w:cs="Arial"/>
        <w:b/>
        <w:sz w:val="48"/>
      </w:rPr>
      <w:tab/>
    </w:r>
    <w:r>
      <w:fldChar w:fldCharType="begin"/>
    </w:r>
    <w:r>
      <w:instrText xml:space="preserve"> PAGE  \* MERGEFORMAT </w:instrText>
    </w:r>
    <w:r>
      <w:fldChar w:fldCharType="separate"/>
    </w:r>
    <w:r w:rsidR="000532C5">
      <w:rPr>
        <w:noProof/>
      </w:rPr>
      <w:t>11</w:t>
    </w:r>
    <w:r>
      <w:fldChar w:fldCharType="end"/>
    </w:r>
    <w:r>
      <w:tab/>
    </w:r>
    <w:r w:rsidRPr="000F746E">
      <w:tab/>
    </w:r>
    <w:r w:rsidRPr="000F746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8B281" w14:textId="77777777" w:rsidR="000F746E" w:rsidRDefault="000F746E" w:rsidP="000F74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B2516" w14:textId="77777777" w:rsidR="00670448" w:rsidRDefault="00D05C1D">
      <w:pPr>
        <w:spacing w:before="0" w:after="0"/>
      </w:pPr>
      <w:r>
        <w:separator/>
      </w:r>
    </w:p>
  </w:footnote>
  <w:footnote w:type="continuationSeparator" w:id="0">
    <w:p w14:paraId="481DACEA" w14:textId="77777777" w:rsidR="00670448" w:rsidRDefault="00D05C1D">
      <w:pPr>
        <w:spacing w:before="0" w:after="0"/>
      </w:pPr>
      <w:r>
        <w:continuationSeparator/>
      </w:r>
    </w:p>
  </w:footnote>
  <w:footnote w:type="continuationNotice" w:id="1">
    <w:p w14:paraId="73854568" w14:textId="77777777" w:rsidR="00670448" w:rsidRDefault="00670448">
      <w:pPr>
        <w:spacing w:before="0" w:after="0"/>
      </w:pPr>
    </w:p>
  </w:footnote>
  <w:footnote w:id="2">
    <w:p w14:paraId="31C69C38" w14:textId="177C27EB" w:rsidR="00670448" w:rsidRDefault="00D05C1D" w:rsidP="00CC4EB5">
      <w:pPr>
        <w:pStyle w:val="FootnoteText"/>
      </w:pPr>
      <w:r>
        <w:rPr>
          <w:rStyle w:val="FootnoteReference"/>
        </w:rPr>
        <w:footnoteRef/>
      </w:r>
      <w:r>
        <w:tab/>
        <w:t xml:space="preserve">Regulamentul (UE) </w:t>
      </w:r>
      <w:r w:rsidRPr="00563809">
        <w:t>2024</w:t>
      </w:r>
      <w:r>
        <w:t>/</w:t>
      </w:r>
      <w:r w:rsidRPr="00563809">
        <w:t>1263</w:t>
      </w:r>
      <w:r>
        <w:t xml:space="preserve"> al Parlamentului European și al Consiliului din </w:t>
      </w:r>
      <w:r w:rsidRPr="00563809">
        <w:t>29</w:t>
      </w:r>
      <w:r>
        <w:t xml:space="preserve"> aprilie </w:t>
      </w:r>
      <w:r w:rsidRPr="00563809">
        <w:t>2024</w:t>
      </w:r>
      <w:r>
        <w:t xml:space="preserve"> privind coordonarea eficientă a politicilor economice și supravegherea bugetară multilaterală (JO L, </w:t>
      </w:r>
      <w:r w:rsidRPr="00563809">
        <w:t>2024</w:t>
      </w:r>
      <w:r>
        <w:t>/</w:t>
      </w:r>
      <w:r w:rsidRPr="00563809">
        <w:t>1263</w:t>
      </w:r>
      <w:r>
        <w:t xml:space="preserve">, </w:t>
      </w:r>
      <w:r w:rsidRPr="00563809">
        <w:t>30</w:t>
      </w:r>
      <w:r>
        <w:t>.</w:t>
      </w:r>
      <w:r w:rsidRPr="00563809">
        <w:t>4</w:t>
      </w:r>
      <w:r>
        <w:t>.</w:t>
      </w:r>
      <w:r w:rsidRPr="00563809">
        <w:t>2024</w:t>
      </w:r>
      <w:r>
        <w:t xml:space="preserve">, ELI: </w:t>
      </w:r>
      <w:hyperlink r:id="rId1" w:history="1">
        <w:r>
          <w:rPr>
            <w:rStyle w:val="Hyperlink"/>
          </w:rPr>
          <w:t>http://data.europa.eu/eli/reg/</w:t>
        </w:r>
        <w:r w:rsidRPr="00563809">
          <w:rPr>
            <w:rStyle w:val="Hyperlink"/>
          </w:rPr>
          <w:t>2024</w:t>
        </w:r>
        <w:r>
          <w:rPr>
            <w:rStyle w:val="Hyperlink"/>
          </w:rPr>
          <w:t>/</w:t>
        </w:r>
        <w:r w:rsidRPr="00563809">
          <w:rPr>
            <w:rStyle w:val="Hyperlink"/>
          </w:rPr>
          <w:t>1263</w:t>
        </w:r>
        <w:r>
          <w:rPr>
            <w:rStyle w:val="Hyperlink"/>
          </w:rPr>
          <w:t>/oj</w:t>
        </w:r>
      </w:hyperlink>
      <w:r>
        <w:t>), alături de Regulamentul (CE) nr. </w:t>
      </w:r>
      <w:r w:rsidRPr="00563809">
        <w:t>1467</w:t>
      </w:r>
      <w:r>
        <w:t>/</w:t>
      </w:r>
      <w:r w:rsidRPr="00563809">
        <w:t>97</w:t>
      </w:r>
      <w:r>
        <w:t xml:space="preserve"> al Consiliului din </w:t>
      </w:r>
      <w:r w:rsidRPr="00563809">
        <w:t>7</w:t>
      </w:r>
      <w:r>
        <w:t xml:space="preserve"> iulie </w:t>
      </w:r>
      <w:r w:rsidRPr="00563809">
        <w:t>1997</w:t>
      </w:r>
      <w:r>
        <w:t xml:space="preserve"> privind accelerarea și clarificarea aplicării procedurii de deficit excesiv (JO</w:t>
      </w:r>
      <w:r w:rsidR="00563809">
        <w:t> </w:t>
      </w:r>
      <w:r>
        <w:t xml:space="preserve">L, </w:t>
      </w:r>
      <w:r w:rsidRPr="00563809">
        <w:t>209</w:t>
      </w:r>
      <w:r>
        <w:t xml:space="preserve">, </w:t>
      </w:r>
      <w:r w:rsidRPr="00563809">
        <w:t>2</w:t>
      </w:r>
      <w:r>
        <w:t>.</w:t>
      </w:r>
      <w:r w:rsidRPr="00563809">
        <w:t>8</w:t>
      </w:r>
      <w:r>
        <w:t>.</w:t>
      </w:r>
      <w:r w:rsidRPr="00563809">
        <w:t>1997</w:t>
      </w:r>
      <w:r>
        <w:t xml:space="preserve">, ELI: </w:t>
      </w:r>
      <w:hyperlink r:id="rId2" w:history="1">
        <w:r>
          <w:rPr>
            <w:rStyle w:val="Hyperlink"/>
          </w:rPr>
          <w:t>http://data.europa.eu/eli/reg/</w:t>
        </w:r>
        <w:r w:rsidRPr="00563809">
          <w:rPr>
            <w:rStyle w:val="Hyperlink"/>
          </w:rPr>
          <w:t>1997</w:t>
        </w:r>
        <w:r>
          <w:rPr>
            <w:rStyle w:val="Hyperlink"/>
          </w:rPr>
          <w:t>/</w:t>
        </w:r>
        <w:r w:rsidRPr="00563809">
          <w:rPr>
            <w:rStyle w:val="Hyperlink"/>
          </w:rPr>
          <w:t>1467</w:t>
        </w:r>
        <w:r>
          <w:rPr>
            <w:rStyle w:val="Hyperlink"/>
          </w:rPr>
          <w:t>/</w:t>
        </w:r>
        <w:r w:rsidRPr="00563809">
          <w:rPr>
            <w:rStyle w:val="Hyperlink"/>
          </w:rPr>
          <w:t>2024</w:t>
        </w:r>
        <w:r>
          <w:rPr>
            <w:rStyle w:val="Hyperlink"/>
          </w:rPr>
          <w:t>-</w:t>
        </w:r>
        <w:r w:rsidRPr="00563809">
          <w:rPr>
            <w:rStyle w:val="Hyperlink"/>
          </w:rPr>
          <w:t>04</w:t>
        </w:r>
        <w:r>
          <w:rPr>
            <w:rStyle w:val="Hyperlink"/>
          </w:rPr>
          <w:t>-</w:t>
        </w:r>
        <w:r w:rsidRPr="00563809">
          <w:rPr>
            <w:rStyle w:val="Hyperlink"/>
          </w:rPr>
          <w:t>30</w:t>
        </w:r>
      </w:hyperlink>
      <w:r>
        <w:t xml:space="preserve">) și Directiva </w:t>
      </w:r>
      <w:r w:rsidRPr="00563809">
        <w:t>2011</w:t>
      </w:r>
      <w:r>
        <w:t>/</w:t>
      </w:r>
      <w:r w:rsidRPr="00563809">
        <w:t>85</w:t>
      </w:r>
      <w:r>
        <w:t xml:space="preserve">/UE a Consiliului din </w:t>
      </w:r>
      <w:r w:rsidRPr="00563809">
        <w:t>8</w:t>
      </w:r>
      <w:r>
        <w:t xml:space="preserve"> noiembrie </w:t>
      </w:r>
      <w:r w:rsidRPr="00563809">
        <w:t>2011</w:t>
      </w:r>
      <w:r>
        <w:t xml:space="preserve"> privind cerințele referitoare la cadrele bugetare ale statelor membre (JO L, </w:t>
      </w:r>
      <w:r w:rsidRPr="00563809">
        <w:t>306</w:t>
      </w:r>
      <w:r>
        <w:t xml:space="preserve">, </w:t>
      </w:r>
      <w:r w:rsidRPr="00563809">
        <w:t>23</w:t>
      </w:r>
      <w:r>
        <w:t>.</w:t>
      </w:r>
      <w:r w:rsidRPr="00563809">
        <w:t>11</w:t>
      </w:r>
      <w:r>
        <w:t>.</w:t>
      </w:r>
      <w:r w:rsidRPr="00563809">
        <w:t>2011</w:t>
      </w:r>
      <w:r>
        <w:t>, ELI: http://data.europa.eu/eli/dir/</w:t>
      </w:r>
      <w:r w:rsidRPr="00563809">
        <w:t>2011</w:t>
      </w:r>
      <w:r>
        <w:t>/</w:t>
      </w:r>
      <w:r w:rsidRPr="00563809">
        <w:t>85</w:t>
      </w:r>
      <w:r>
        <w:t>/</w:t>
      </w:r>
      <w:r w:rsidRPr="00563809">
        <w:t>2024</w:t>
      </w:r>
      <w:r>
        <w:t>-</w:t>
      </w:r>
      <w:r w:rsidRPr="00563809">
        <w:t>04</w:t>
      </w:r>
      <w:r>
        <w:t>-</w:t>
      </w:r>
      <w:r w:rsidRPr="00563809">
        <w:t>30</w:t>
      </w:r>
      <w:r>
        <w:t>).</w:t>
      </w:r>
    </w:p>
  </w:footnote>
  <w:footnote w:id="3">
    <w:p w14:paraId="2B63F007" w14:textId="77777777" w:rsidR="00670448" w:rsidRDefault="00D05C1D" w:rsidP="00CC4EB5">
      <w:pPr>
        <w:pStyle w:val="FootnoteText"/>
      </w:pPr>
      <w:r>
        <w:rPr>
          <w:rStyle w:val="FootnoteReference"/>
        </w:rPr>
        <w:footnoteRef/>
      </w:r>
      <w:r>
        <w:tab/>
        <w:t xml:space="preserve">„Cheltuieli nete” în sensul definiției de la articolul </w:t>
      </w:r>
      <w:r w:rsidRPr="00563809">
        <w:t>2</w:t>
      </w:r>
      <w:r>
        <w:t xml:space="preserve"> din Regulamentul (UE) </w:t>
      </w:r>
      <w:r w:rsidRPr="00563809">
        <w:t>2024</w:t>
      </w:r>
      <w:r>
        <w:t>/</w:t>
      </w:r>
      <w:r w:rsidRPr="00563809">
        <w:t>1263</w:t>
      </w:r>
      <w:r>
        <w:t xml:space="preserve">, și anume cheltuielile publice, excluzând (i) cheltuielile cu dobânzile, (ii) măsurile discreționare privind veniturile, (iii) cheltuielile aferente programelor Uniunii care sunt acoperite integral de venituri din fondurile Uniunii, (iv) cheltuielile naționale cu cofinanțarea programelor finanțate de Uniune, (v) elementele ciclice ale cheltuielilor cu indemnizațiile de șomaj și (vi) măsurile cu caracter excepțional, precum și alte măsuri temporare. </w:t>
      </w:r>
    </w:p>
  </w:footnote>
  <w:footnote w:id="4">
    <w:p w14:paraId="33FC14A9" w14:textId="77777777" w:rsidR="00670448" w:rsidRDefault="00D05C1D" w:rsidP="00CC4EB5">
      <w:pPr>
        <w:pStyle w:val="FootnoteText"/>
      </w:pPr>
      <w:r>
        <w:rPr>
          <w:rStyle w:val="FootnoteReference"/>
        </w:rPr>
        <w:footnoteRef/>
      </w:r>
      <w:r>
        <w:tab/>
        <w:t xml:space="preserve">Recomandarea Consiliului din </w:t>
      </w:r>
      <w:r w:rsidRPr="00563809">
        <w:t>21</w:t>
      </w:r>
      <w:r>
        <w:t xml:space="preserve"> ianuarie </w:t>
      </w:r>
      <w:r w:rsidRPr="00563809">
        <w:t>2025</w:t>
      </w:r>
      <w:r>
        <w:t xml:space="preserve"> de stabilire a traiectoriei cheltuielilor nete pentru Țările de Jos, JO C/</w:t>
      </w:r>
      <w:r w:rsidRPr="00563809">
        <w:t>2025</w:t>
      </w:r>
      <w:r>
        <w:t>/</w:t>
      </w:r>
      <w:r w:rsidRPr="00563809">
        <w:t>648</w:t>
      </w:r>
      <w:r>
        <w:t xml:space="preserve">, </w:t>
      </w:r>
      <w:r w:rsidRPr="00563809">
        <w:t>10</w:t>
      </w:r>
      <w:r>
        <w:t>.</w:t>
      </w:r>
      <w:r w:rsidRPr="00563809">
        <w:t>2</w:t>
      </w:r>
      <w:r>
        <w:t>.</w:t>
      </w:r>
      <w:r w:rsidRPr="00563809">
        <w:t>2025</w:t>
      </w:r>
      <w:r>
        <w:t>.</w:t>
      </w:r>
    </w:p>
  </w:footnote>
  <w:footnote w:id="5">
    <w:p w14:paraId="68B1623F" w14:textId="77777777" w:rsidR="00670448" w:rsidRDefault="00D05C1D" w:rsidP="00CC4EB5">
      <w:pPr>
        <w:pStyle w:val="FootnoteText"/>
      </w:pPr>
      <w:r>
        <w:rPr>
          <w:rStyle w:val="FootnoteReference"/>
        </w:rPr>
        <w:footnoteRef/>
      </w:r>
      <w:r>
        <w:tab/>
        <w:t>Recomandarea Consiliului privind politicile economice, sociale, de ocupare a forței de muncă, structurale și bugetare ale Țărilor de Jos, JO C/</w:t>
      </w:r>
      <w:r w:rsidRPr="00563809">
        <w:t>2025</w:t>
      </w:r>
      <w:r>
        <w:t>/</w:t>
      </w:r>
      <w:r w:rsidRPr="00563809">
        <w:t>3993</w:t>
      </w:r>
      <w:r>
        <w:t xml:space="preserve">, </w:t>
      </w:r>
      <w:r w:rsidRPr="00563809">
        <w:t>20</w:t>
      </w:r>
      <w:r>
        <w:t>.</w:t>
      </w:r>
      <w:r w:rsidRPr="00563809">
        <w:t>8</w:t>
      </w:r>
      <w:r>
        <w:t>.</w:t>
      </w:r>
      <w:r w:rsidRPr="00563809">
        <w:t>2025</w:t>
      </w:r>
      <w:r>
        <w:t xml:space="preserve">, p. </w:t>
      </w:r>
      <w:r w:rsidRPr="00563809">
        <w:t>9</w:t>
      </w:r>
      <w:r>
        <w:t>.</w:t>
      </w:r>
    </w:p>
  </w:footnote>
  <w:footnote w:id="6">
    <w:p w14:paraId="7812F655" w14:textId="77777777" w:rsidR="00670448" w:rsidRDefault="00D05C1D" w:rsidP="00CC4EB5">
      <w:pPr>
        <w:pStyle w:val="FootnoteText"/>
      </w:pPr>
      <w:r>
        <w:rPr>
          <w:rStyle w:val="FootnoteReference"/>
        </w:rPr>
        <w:footnoteRef/>
      </w:r>
      <w:r>
        <w:tab/>
        <w:t>Comunicarea Comisiei către Parlamentul European, Consiliu, Banca Centrală Europeană, Comitetul Economic și Social European, Comitetul Regiunilor și Banca Europeană de Investiții, COM(</w:t>
      </w:r>
      <w:r w:rsidRPr="00563809">
        <w:t>2026</w:t>
      </w:r>
      <w:r>
        <w:t xml:space="preserve">) </w:t>
      </w:r>
      <w:r w:rsidRPr="00563809">
        <w:t>200</w:t>
      </w:r>
      <w:r>
        <w:t xml:space="preserve"> final.</w:t>
      </w:r>
    </w:p>
  </w:footnote>
  <w:footnote w:id="7">
    <w:p w14:paraId="0A8106DB" w14:textId="77777777" w:rsidR="00670448" w:rsidRDefault="00D05C1D" w:rsidP="00CC4EB5">
      <w:pPr>
        <w:pStyle w:val="FootnoteText"/>
      </w:pPr>
      <w:r>
        <w:rPr>
          <w:rStyle w:val="FootnoteReference"/>
        </w:rPr>
        <w:footnoteRef/>
      </w:r>
      <w:r>
        <w:tab/>
        <w:t>Orientările prealabile transmise statelor membre și Comitetului economic și financiar includ informații tehnice (i) fără și cu prelungirea perioadei de ajustare (care acoperă patru și, respectiv, șapte ani) și (ii) cu și fără dispozitivul de siguranță privind reziliența deficitului. Ele includ, de asemenea, principalele condiții inițiale și ipotezele subiacente utilizate în cadrul pentru proiecțiile datoriei publice pe termen mediu al Comisiei. Informațiile tehnice au fost calculate pe baza metodologiei descrise în Monitorul privind sustenabilitatea datoriei (</w:t>
      </w:r>
      <w:r>
        <w:rPr>
          <w:i/>
          <w:iCs/>
        </w:rPr>
        <w:t>Debt Sustainability Monitor</w:t>
      </w:r>
      <w:r>
        <w:t xml:space="preserve">) din </w:t>
      </w:r>
      <w:r w:rsidRPr="00563809">
        <w:t>2023</w:t>
      </w:r>
      <w:r>
        <w:t xml:space="preserve"> al Comisiei (</w:t>
      </w:r>
      <w:hyperlink r:id="rId3" w:history="1">
        <w:r>
          <w:rPr>
            <w:rStyle w:val="Hyperlink"/>
          </w:rPr>
          <w:t>https://economy-finance.ec.europa.eu/publications/debt-sustainability-monitor-</w:t>
        </w:r>
        <w:r w:rsidRPr="00563809">
          <w:rPr>
            <w:rStyle w:val="Hyperlink"/>
          </w:rPr>
          <w:t>2023</w:t>
        </w:r>
        <w:r>
          <w:rPr>
            <w:rStyle w:val="Hyperlink"/>
          </w:rPr>
          <w:t>_en</w:t>
        </w:r>
      </w:hyperlink>
      <w:r>
        <w:t xml:space="preserve">) și pe baza modificărilor sale ulterioare stabilite în cadrul Grupului de lucru privind analiza sustenabilității datoriei (DSA). Ele se bazează pe previziunile Comisiei Europene din toamna anului </w:t>
      </w:r>
      <w:r w:rsidRPr="00563809">
        <w:t>2025</w:t>
      </w:r>
      <w:r>
        <w:t xml:space="preserve"> și pe prelungirea lor pe termen mediu până în </w:t>
      </w:r>
      <w:r w:rsidRPr="00563809">
        <w:t>2035</w:t>
      </w:r>
      <w:r>
        <w:t xml:space="preserve">, iar creșterea pe termen lung a PIB-ului și costurile legate de îmbătrânirea populației sunt în concordanță cu Raportul comun al Comisiei și al Consiliului din </w:t>
      </w:r>
      <w:r w:rsidRPr="00563809">
        <w:t>2024</w:t>
      </w:r>
      <w:r>
        <w:t xml:space="preserve"> privind îmbătrânirea populației (</w:t>
      </w:r>
      <w:hyperlink r:id="rId4" w:history="1">
        <w:r>
          <w:rPr>
            <w:rStyle w:val="Hyperlink"/>
          </w:rPr>
          <w:t>https://economy-finance.ec.europa.eu/publications/</w:t>
        </w:r>
        <w:r w:rsidRPr="00563809">
          <w:rPr>
            <w:rStyle w:val="Hyperlink"/>
          </w:rPr>
          <w:t>2024</w:t>
        </w:r>
        <w:r>
          <w:rPr>
            <w:rStyle w:val="Hyperlink"/>
          </w:rPr>
          <w:t>-ageing-report-economic-and-budgetary-projections-eu-member-states-</w:t>
        </w:r>
        <w:r w:rsidRPr="00563809">
          <w:rPr>
            <w:rStyle w:val="Hyperlink"/>
          </w:rPr>
          <w:t>2022</w:t>
        </w:r>
        <w:r>
          <w:rPr>
            <w:rStyle w:val="Hyperlink"/>
          </w:rPr>
          <w:t>-</w:t>
        </w:r>
        <w:r w:rsidRPr="00563809">
          <w:rPr>
            <w:rStyle w:val="Hyperlink"/>
          </w:rPr>
          <w:t>2070</w:t>
        </w:r>
        <w:r>
          <w:rPr>
            <w:rStyle w:val="Hyperlink"/>
          </w:rPr>
          <w:t>_en</w:t>
        </w:r>
      </w:hyperlink>
      <w:r>
        <w:t>).</w:t>
      </w:r>
    </w:p>
  </w:footnote>
  <w:footnote w:id="8">
    <w:p w14:paraId="12F0A94C" w14:textId="77777777" w:rsidR="00670448" w:rsidRDefault="00D05C1D" w:rsidP="00CC4EB5">
      <w:pPr>
        <w:pStyle w:val="FootnoteText"/>
      </w:pPr>
      <w:r>
        <w:rPr>
          <w:rStyle w:val="FootnoteReference"/>
        </w:rPr>
        <w:footnoteRef/>
      </w:r>
      <w:r>
        <w:tab/>
      </w:r>
      <w:hyperlink r:id="rId5" w:anchor="medium-term-fiscal-structural-plans" w:history="1">
        <w:r>
          <w:rPr>
            <w:rStyle w:val="Hyperlink"/>
          </w:rPr>
          <w:t>https://economy-finance.ec.europa.eu/economic-surveillance-eu-member-states/country-pages/netherlands/fiscal-surveillance-netherlands_en#medium-term-fiscal-structural-plans</w:t>
        </w:r>
      </w:hyperlink>
      <w:r>
        <w:t xml:space="preserve">. </w:t>
      </w:r>
    </w:p>
  </w:footnote>
  <w:footnote w:id="9">
    <w:p w14:paraId="359B82C1" w14:textId="77777777" w:rsidR="00670448" w:rsidRDefault="00D05C1D" w:rsidP="00CC4EB5">
      <w:pPr>
        <w:pStyle w:val="FootnoteText"/>
      </w:pPr>
      <w:r>
        <w:rPr>
          <w:rStyle w:val="FootnoteReference"/>
        </w:rPr>
        <w:footnoteRef/>
      </w:r>
      <w:r>
        <w:tab/>
        <w:t xml:space="preserve">Dispozitivul de siguranță privind reziliența deficitului prevăzut la articolul </w:t>
      </w:r>
      <w:r w:rsidRPr="00563809">
        <w:t>8</w:t>
      </w:r>
      <w:r>
        <w:t xml:space="preserve"> din Regulamentul (UE) </w:t>
      </w:r>
      <w:r w:rsidRPr="00563809">
        <w:t>2024</w:t>
      </w:r>
      <w:r>
        <w:t>/</w:t>
      </w:r>
      <w:r w:rsidRPr="00563809">
        <w:t>1263</w:t>
      </w:r>
      <w:r>
        <w:t xml:space="preserve"> stabilește că îmbunătățirea anuală a soldului primar structural este de </w:t>
      </w:r>
      <w:r w:rsidRPr="00563809">
        <w:t>0</w:t>
      </w:r>
      <w:r>
        <w:t>,</w:t>
      </w:r>
      <w:r w:rsidRPr="00563809">
        <w:t>4</w:t>
      </w:r>
      <w:r>
        <w:t xml:space="preserve"> puncte procentuale (sau de </w:t>
      </w:r>
      <w:r w:rsidRPr="00563809">
        <w:t>0</w:t>
      </w:r>
      <w:r>
        <w:t>,</w:t>
      </w:r>
      <w:r w:rsidRPr="00563809">
        <w:t>25</w:t>
      </w:r>
      <w:r>
        <w:t xml:space="preserve"> puncte procentuale în cazul unei prelungiri a perioadei de ajustare), până când deficitul structural scade sub </w:t>
      </w:r>
      <w:r w:rsidRPr="00563809">
        <w:t>1</w:t>
      </w:r>
      <w:r>
        <w:t>,</w:t>
      </w:r>
      <w:r w:rsidRPr="00563809">
        <w:t>5</w:t>
      </w:r>
      <w:r>
        <w:t> % din PIB.</w:t>
      </w:r>
    </w:p>
  </w:footnote>
  <w:footnote w:id="10">
    <w:p w14:paraId="29F3FE28" w14:textId="77777777" w:rsidR="00670448" w:rsidRDefault="00D05C1D" w:rsidP="00CC4EB5">
      <w:pPr>
        <w:pStyle w:val="FootnoteText"/>
      </w:pPr>
      <w:r>
        <w:rPr>
          <w:rStyle w:val="FootnoteReference"/>
        </w:rPr>
        <w:footnoteRef/>
      </w:r>
      <w:r>
        <w:tab/>
      </w:r>
      <w:hyperlink r:id="rId6" w:anchor="medium-term-fiscal-structural-plans" w:history="1">
        <w:r>
          <w:rPr>
            <w:rStyle w:val="Hyperlink"/>
          </w:rPr>
          <w:t>https://economy-finance.ec.europa.eu/economic-surveillance-eu-member-states/country-pages/netherlands/fiscal-surveillance-netherlands_en#medium-term-fiscal-structural-plans</w:t>
        </w:r>
      </w:hyperlink>
      <w:r>
        <w:t xml:space="preserve">. </w:t>
      </w:r>
    </w:p>
  </w:footnote>
  <w:footnote w:id="11">
    <w:p w14:paraId="106A086B" w14:textId="77777777" w:rsidR="00670448" w:rsidRDefault="00D05C1D">
      <w:pPr>
        <w:pStyle w:val="FootnoteText"/>
      </w:pPr>
      <w:r>
        <w:rPr>
          <w:rStyle w:val="FootnoteReference"/>
        </w:rPr>
        <w:footnoteRef/>
      </w:r>
      <w:r>
        <w:tab/>
        <w:t xml:space="preserve">A se vedea Recomandarea Consiliului din </w:t>
      </w:r>
      <w:r w:rsidRPr="00563809">
        <w:t>8</w:t>
      </w:r>
      <w:r>
        <w:t xml:space="preserve"> iulie </w:t>
      </w:r>
      <w:r w:rsidRPr="00563809">
        <w:t>2025</w:t>
      </w:r>
      <w:r>
        <w:t xml:space="preserve"> privind politicile economice, sociale, de ocupare a forței de muncă, structurale și bugetare ale Țărilor de Jos (JO C, C/</w:t>
      </w:r>
      <w:r w:rsidRPr="00563809">
        <w:t>2025</w:t>
      </w:r>
      <w:r>
        <w:t>/</w:t>
      </w:r>
      <w:r w:rsidRPr="00563809">
        <w:t>3993</w:t>
      </w:r>
      <w:r>
        <w:t xml:space="preserve">, </w:t>
      </w:r>
      <w:r w:rsidRPr="00563809">
        <w:t>20</w:t>
      </w:r>
      <w:r>
        <w:t>.</w:t>
      </w:r>
      <w:r w:rsidRPr="00563809">
        <w:t>8</w:t>
      </w:r>
      <w:r>
        <w:t>.</w:t>
      </w:r>
      <w:r w:rsidRPr="00563809">
        <w:t>2025</w:t>
      </w:r>
      <w:r>
        <w:t>, ELI: http://data.europa.eu/eli/C/</w:t>
      </w:r>
      <w:r w:rsidRPr="00563809">
        <w:t>2025</w:t>
      </w:r>
      <w:r>
        <w:t>/</w:t>
      </w:r>
      <w:r w:rsidRPr="00563809">
        <w:t>3993</w:t>
      </w:r>
      <w:r>
        <w:t>/oj).</w:t>
      </w:r>
    </w:p>
  </w:footnote>
  <w:footnote w:id="12">
    <w:p w14:paraId="4ED1BA13" w14:textId="77777777" w:rsidR="00670448" w:rsidRDefault="00D05C1D">
      <w:pPr>
        <w:pStyle w:val="FootnoteText"/>
      </w:pPr>
      <w:r>
        <w:rPr>
          <w:rStyle w:val="FootnoteReference"/>
        </w:rPr>
        <w:footnoteRef/>
      </w:r>
      <w:r>
        <w:tab/>
        <w:t xml:space="preserve">A se vedea Comunicarea Comisiei intitulată „O Busolă pentru competitivitatea UE” din </w:t>
      </w:r>
      <w:r w:rsidRPr="00563809">
        <w:t>29</w:t>
      </w:r>
      <w:r>
        <w:t xml:space="preserve"> ianuarie </w:t>
      </w:r>
      <w:r w:rsidRPr="00563809">
        <w:t>2025</w:t>
      </w:r>
      <w:r>
        <w:t>, COM(</w:t>
      </w:r>
      <w:r w:rsidRPr="00563809">
        <w:t>2025</w:t>
      </w:r>
      <w:r>
        <w:t xml:space="preserve">) </w:t>
      </w:r>
      <w:r w:rsidRPr="00563809">
        <w:t>30</w:t>
      </w:r>
      <w:r>
        <w:t xml:space="preserve">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D2A4D" w14:textId="77777777" w:rsidR="000F746E" w:rsidRDefault="000F74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9726F" w14:textId="77777777" w:rsidR="000F746E" w:rsidRDefault="000F74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B2E4F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DDA00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44A260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6DC2E8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3"/>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0 15:48: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73BE007-71A2-472E-BEA9-D03CC4866B3C"/>
    <w:docVar w:name="LW_COVERPAGE_TYPE" w:val="1"/>
    <w:docVar w:name="LW_CROSSREFERENCE" w:val="&lt;UNUSED&gt;"/>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probare a planului bugetar-structural na\u539?ional pe termen mediu al \u538?\u259?rilor de Jos"/>
    <w:docVar w:name="LW_TYPE.DOC.CP" w:val="RECOMANDARE A CONSILIULUI"/>
    <w:docVar w:name="LwApiVersions" w:val="LW4CoDe 1.24.5.0; LW 9.2, Build 20251112"/>
  </w:docVars>
  <w:rsids>
    <w:rsidRoot w:val="00670448"/>
    <w:rsid w:val="00007BC4"/>
    <w:rsid w:val="000324E6"/>
    <w:rsid w:val="00035E06"/>
    <w:rsid w:val="00041E11"/>
    <w:rsid w:val="000532C5"/>
    <w:rsid w:val="00081525"/>
    <w:rsid w:val="000E7B7B"/>
    <w:rsid w:val="000F171B"/>
    <w:rsid w:val="000F746E"/>
    <w:rsid w:val="001E4119"/>
    <w:rsid w:val="00232F39"/>
    <w:rsid w:val="00274C41"/>
    <w:rsid w:val="0030413B"/>
    <w:rsid w:val="00426946"/>
    <w:rsid w:val="00457629"/>
    <w:rsid w:val="004F73C8"/>
    <w:rsid w:val="00542383"/>
    <w:rsid w:val="00545B26"/>
    <w:rsid w:val="00547A66"/>
    <w:rsid w:val="00563809"/>
    <w:rsid w:val="00573D95"/>
    <w:rsid w:val="005B0385"/>
    <w:rsid w:val="0061225A"/>
    <w:rsid w:val="00670448"/>
    <w:rsid w:val="007262BB"/>
    <w:rsid w:val="007C039F"/>
    <w:rsid w:val="008D056D"/>
    <w:rsid w:val="008D1B52"/>
    <w:rsid w:val="008E4450"/>
    <w:rsid w:val="009233C8"/>
    <w:rsid w:val="009C23FD"/>
    <w:rsid w:val="00AC541D"/>
    <w:rsid w:val="00AD6AD9"/>
    <w:rsid w:val="00C46482"/>
    <w:rsid w:val="00CC40A9"/>
    <w:rsid w:val="00CC4EB5"/>
    <w:rsid w:val="00D05C1D"/>
    <w:rsid w:val="00D31BC0"/>
    <w:rsid w:val="00E91864"/>
    <w:rsid w:val="00EF60B8"/>
    <w:rsid w:val="00F366AB"/>
    <w:rsid w:val="00F73A1A"/>
    <w:rsid w:val="00FB29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32B5C6"/>
  <w15:docId w15:val="{B82A0A71-1129-41F9-81E5-006C2D0D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pPr>
      <w:spacing w:before="0" w:after="200" w:line="276" w:lineRule="auto"/>
      <w:ind w:left="720"/>
      <w:contextualSpacing/>
      <w:jc w:val="left"/>
    </w:pPr>
    <w:rPr>
      <w:rFonts w:asciiTheme="minorHAnsi" w:hAnsiTheme="minorHAnsi" w:cstheme="minorBidi"/>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Pr>
      <w:lang w:val="ro-RO"/>
    </w:rPr>
  </w:style>
  <w:style w:type="table" w:styleId="TableGrid">
    <w:name w:val="Table Grid"/>
    <w:basedOn w:val="TableNormal"/>
    <w:uiPriority w:val="3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ide">
    <w:name w:val="Conside"/>
    <w:basedOn w:val="Normal"/>
    <w:pPr>
      <w:spacing w:line="276" w:lineRule="auto"/>
      <w:ind w:left="360"/>
      <w:contextualSpacing/>
    </w:pPr>
    <w:rPr>
      <w:szCs w:val="24"/>
      <w:lang w:eastAsia="ja-JP"/>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customStyle="1" w:styleId="Mention">
    <w:name w:val="Mention"/>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normaltextrun">
    <w:name w:val="normaltextrun"/>
    <w:basedOn w:val="DefaultParagraphFont"/>
  </w:style>
  <w:style w:type="character" w:customStyle="1" w:styleId="findhit">
    <w:name w:val="findhit"/>
    <w:basedOn w:val="DefaultParagraphFont"/>
  </w:style>
  <w:style w:type="character" w:customStyle="1" w:styleId="cf01">
    <w:name w:val="cf01"/>
    <w:basedOn w:val="DefaultParagraphFont"/>
    <w:rPr>
      <w:rFonts w:ascii="Segoe UI" w:hAnsi="Segoe UI" w:cs="Segoe UI" w:hint="default"/>
      <w:sz w:val="18"/>
      <w:szCs w:val="18"/>
    </w:rPr>
  </w:style>
  <w:style w:type="character" w:styleId="Hyperlink">
    <w:name w:val="Hyperlink"/>
    <w:basedOn w:val="DefaultParagraphFont"/>
    <w:uiPriority w:val="99"/>
    <w:unhideWhenUsed/>
    <w:rPr>
      <w:color w:val="0000FF" w:themeColor="hyperlink"/>
      <w:u w:val="single"/>
    </w:rPr>
  </w:style>
  <w:style w:type="paragraph" w:customStyle="1" w:styleId="Considerant">
    <w:name w:val="Considerant"/>
    <w:basedOn w:val="Point0number"/>
    <w:rPr>
      <w:lang w:eastAsia="ja-JP"/>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0F746E"/>
    <w:rPr>
      <w:rFonts w:ascii="Times New Roman" w:hAnsi="Times New Roman" w:cs="Times New Roman"/>
      <w:sz w:val="24"/>
      <w:lang w:val="ro-RO"/>
    </w:rPr>
  </w:style>
  <w:style w:type="character" w:customStyle="1" w:styleId="FooterChar">
    <w:name w:val="Footer Char"/>
    <w:basedOn w:val="DefaultParagraphFont"/>
    <w:link w:val="Footer"/>
    <w:uiPriority w:val="99"/>
    <w:rsid w:val="000F746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0F746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F746E"/>
    <w:pPr>
      <w:spacing w:before="0"/>
      <w:jc w:val="right"/>
    </w:pPr>
    <w:rPr>
      <w:sz w:val="28"/>
    </w:rPr>
  </w:style>
  <w:style w:type="paragraph" w:customStyle="1" w:styleId="FooterSensitivity">
    <w:name w:val="Footer Sensitivity"/>
    <w:basedOn w:val="Normal"/>
    <w:rsid w:val="000F746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F746E"/>
    <w:pPr>
      <w:tabs>
        <w:tab w:val="center" w:pos="4535"/>
        <w:tab w:val="right" w:pos="9071"/>
      </w:tabs>
      <w:spacing w:before="0"/>
    </w:pPr>
  </w:style>
  <w:style w:type="paragraph" w:customStyle="1" w:styleId="HeaderLandscape">
    <w:name w:val="HeaderLandscape"/>
    <w:basedOn w:val="Normal"/>
    <w:rsid w:val="000F746E"/>
    <w:pPr>
      <w:tabs>
        <w:tab w:val="center" w:pos="7285"/>
        <w:tab w:val="right" w:pos="14003"/>
      </w:tabs>
      <w:spacing w:before="0"/>
    </w:pPr>
  </w:style>
  <w:style w:type="paragraph" w:styleId="Footer">
    <w:name w:val="footer"/>
    <w:basedOn w:val="Normal"/>
    <w:link w:val="FooterChar"/>
    <w:uiPriority w:val="99"/>
    <w:unhideWhenUsed/>
    <w:rsid w:val="000F746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F746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95114">
      <w:bodyDiv w:val="1"/>
      <w:marLeft w:val="0"/>
      <w:marRight w:val="0"/>
      <w:marTop w:val="0"/>
      <w:marBottom w:val="0"/>
      <w:divBdr>
        <w:top w:val="none" w:sz="0" w:space="0" w:color="auto"/>
        <w:left w:val="none" w:sz="0" w:space="0" w:color="auto"/>
        <w:bottom w:val="none" w:sz="0" w:space="0" w:color="auto"/>
        <w:right w:val="none" w:sz="0" w:space="0" w:color="auto"/>
      </w:divBdr>
    </w:div>
    <w:div w:id="902645446">
      <w:bodyDiv w:val="1"/>
      <w:marLeft w:val="0"/>
      <w:marRight w:val="0"/>
      <w:marTop w:val="0"/>
      <w:marBottom w:val="0"/>
      <w:divBdr>
        <w:top w:val="none" w:sz="0" w:space="0" w:color="auto"/>
        <w:left w:val="none" w:sz="0" w:space="0" w:color="auto"/>
        <w:bottom w:val="none" w:sz="0" w:space="0" w:color="auto"/>
        <w:right w:val="none" w:sz="0" w:space="0" w:color="auto"/>
      </w:divBdr>
    </w:div>
    <w:div w:id="1004091519">
      <w:bodyDiv w:val="1"/>
      <w:marLeft w:val="0"/>
      <w:marRight w:val="0"/>
      <w:marTop w:val="0"/>
      <w:marBottom w:val="0"/>
      <w:divBdr>
        <w:top w:val="none" w:sz="0" w:space="0" w:color="auto"/>
        <w:left w:val="none" w:sz="0" w:space="0" w:color="auto"/>
        <w:bottom w:val="none" w:sz="0" w:space="0" w:color="auto"/>
        <w:right w:val="none" w:sz="0" w:space="0" w:color="auto"/>
      </w:divBdr>
    </w:div>
    <w:div w:id="1184629531">
      <w:bodyDiv w:val="1"/>
      <w:marLeft w:val="0"/>
      <w:marRight w:val="0"/>
      <w:marTop w:val="0"/>
      <w:marBottom w:val="0"/>
      <w:divBdr>
        <w:top w:val="none" w:sz="0" w:space="0" w:color="auto"/>
        <w:left w:val="none" w:sz="0" w:space="0" w:color="auto"/>
        <w:bottom w:val="none" w:sz="0" w:space="0" w:color="auto"/>
        <w:right w:val="none" w:sz="0" w:space="0" w:color="auto"/>
      </w:divBdr>
    </w:div>
    <w:div w:id="1204708494">
      <w:bodyDiv w:val="1"/>
      <w:marLeft w:val="0"/>
      <w:marRight w:val="0"/>
      <w:marTop w:val="0"/>
      <w:marBottom w:val="0"/>
      <w:divBdr>
        <w:top w:val="none" w:sz="0" w:space="0" w:color="auto"/>
        <w:left w:val="none" w:sz="0" w:space="0" w:color="auto"/>
        <w:bottom w:val="none" w:sz="0" w:space="0" w:color="auto"/>
        <w:right w:val="none" w:sz="0" w:space="0" w:color="auto"/>
      </w:divBdr>
    </w:div>
    <w:div w:id="1480880482">
      <w:bodyDiv w:val="1"/>
      <w:marLeft w:val="0"/>
      <w:marRight w:val="0"/>
      <w:marTop w:val="0"/>
      <w:marBottom w:val="0"/>
      <w:divBdr>
        <w:top w:val="none" w:sz="0" w:space="0" w:color="auto"/>
        <w:left w:val="none" w:sz="0" w:space="0" w:color="auto"/>
        <w:bottom w:val="none" w:sz="0" w:space="0" w:color="auto"/>
        <w:right w:val="none" w:sz="0" w:space="0" w:color="auto"/>
      </w:divBdr>
    </w:div>
    <w:div w:id="1984046364">
      <w:bodyDiv w:val="1"/>
      <w:marLeft w:val="0"/>
      <w:marRight w:val="0"/>
      <w:marTop w:val="0"/>
      <w:marBottom w:val="0"/>
      <w:divBdr>
        <w:top w:val="none" w:sz="0" w:space="0" w:color="auto"/>
        <w:left w:val="none" w:sz="0" w:space="0" w:color="auto"/>
        <w:bottom w:val="none" w:sz="0" w:space="0" w:color="auto"/>
        <w:right w:val="none" w:sz="0" w:space="0" w:color="auto"/>
      </w:divBdr>
    </w:div>
    <w:div w:id="204436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publications/debt-sustainability-monitor-2023_en"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surveillance-eu-member-states/country-pages/netherlands/fiscal-surveillance-netherlands_en" TargetMode="External"/><Relationship Id="rId5" Type="http://schemas.openxmlformats.org/officeDocument/2006/relationships/hyperlink" Target="https://economy-finance.ec.europa.eu/economic-surveillance-eu-member-states/country-pages/netherlands/fiscal-surveillance-netherlands_en" TargetMode="External"/><Relationship Id="rId4" Type="http://schemas.openxmlformats.org/officeDocument/2006/relationships/hyperlink" Target="https://economy-finance.ec.europa.eu/publications/2024-ageing-report-economic-and-budgetary-projections-eu-member-states-2022-2070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14" ma:contentTypeDescription="Create a new document." ma:contentTypeScope="" ma:versionID="9ac753a35c47750dd6dec55588a0e556">
  <xsd:schema xmlns:xsd="http://www.w3.org/2001/XMLSchema" xmlns:xs="http://www.w3.org/2001/XMLSchema" xmlns:p="http://schemas.microsoft.com/office/2006/metadata/properties" xmlns:ns2="a5835c61-ca2e-49ee-8dca-a76e9f0344a3" xmlns:ns3="ba7bd860-1739-4001-af8a-147771a6eb05" targetNamespace="http://schemas.microsoft.com/office/2006/metadata/properties" ma:root="true" ma:fieldsID="47e91ae52e550a636b206ef053b42b07" ns2:_="" ns3:_="">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dbbffc9-8c22-476d-b69d-97a8b089e63e}"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a7bd860-1739-4001-af8a-147771a6eb05" xsi:nil="true"/>
    <lcf76f155ced4ddcb4097134ff3c332f xmlns="a5835c61-ca2e-49ee-8dca-a76e9f0344a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69005-E2F0-42EC-BC0A-7DDA43A5C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949D5C-9C27-4316-9985-EA1EEE678809}">
  <ds:schemaRefs>
    <ds:schemaRef ds:uri="http://schemas.microsoft.com/office/2006/metadata/properties"/>
    <ds:schemaRef ds:uri="http://schemas.microsoft.com/office/infopath/2007/PartnerControls"/>
    <ds:schemaRef ds:uri="ba7bd860-1739-4001-af8a-147771a6eb05"/>
    <ds:schemaRef ds:uri="a5835c61-ca2e-49ee-8dca-a76e9f0344a3"/>
  </ds:schemaRefs>
</ds:datastoreItem>
</file>

<file path=customXml/itemProps3.xml><?xml version="1.0" encoding="utf-8"?>
<ds:datastoreItem xmlns:ds="http://schemas.openxmlformats.org/officeDocument/2006/customXml" ds:itemID="{1A48BA55-A351-44FA-9BA5-BEC8F728D168}">
  <ds:schemaRefs>
    <ds:schemaRef ds:uri="http://schemas.microsoft.com/sharepoint/v3/contenttype/forms"/>
  </ds:schemaRefs>
</ds:datastoreItem>
</file>

<file path=customXml/itemProps4.xml><?xml version="1.0" encoding="utf-8"?>
<ds:datastoreItem xmlns:ds="http://schemas.openxmlformats.org/officeDocument/2006/customXml" ds:itemID="{BEEA2520-F0B0-40D1-BA6D-DC6B4E403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38</TotalTime>
  <Pages>10</Pages>
  <Words>4195</Words>
  <Characters>23918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28057</CharactersWithSpaces>
  <SharedDoc>false</SharedDoc>
  <HLinks>
    <vt:vector size="36" baseType="variant">
      <vt:variant>
        <vt:i4>5243003</vt:i4>
      </vt:variant>
      <vt:variant>
        <vt:i4>15</vt:i4>
      </vt:variant>
      <vt:variant>
        <vt:i4>0</vt:i4>
      </vt:variant>
      <vt:variant>
        <vt:i4>5</vt:i4>
      </vt:variant>
      <vt:variant>
        <vt:lpwstr>https://economy-finance.ec.europa.eu/economic-surveillance-eu-member-states/country-pages/netherlands/fiscal-surveillance-netherlands_en</vt:lpwstr>
      </vt:variant>
      <vt:variant>
        <vt:lpwstr>medium-term-fiscal-structural-plans</vt:lpwstr>
      </vt:variant>
      <vt:variant>
        <vt:i4>5243003</vt:i4>
      </vt:variant>
      <vt:variant>
        <vt:i4>12</vt:i4>
      </vt:variant>
      <vt:variant>
        <vt:i4>0</vt:i4>
      </vt:variant>
      <vt:variant>
        <vt:i4>5</vt:i4>
      </vt:variant>
      <vt:variant>
        <vt:lpwstr>https://economy-finance.ec.europa.eu/economic-surveillance-eu-member-states/country-pages/netherlands/fiscal-surveillance-netherlands_en</vt:lpwstr>
      </vt:variant>
      <vt:variant>
        <vt:lpwstr>medium-term-fiscal-structural-plans</vt:lpwstr>
      </vt:variant>
      <vt:variant>
        <vt:i4>4522110</vt:i4>
      </vt:variant>
      <vt:variant>
        <vt:i4>9</vt:i4>
      </vt:variant>
      <vt:variant>
        <vt:i4>0</vt:i4>
      </vt:variant>
      <vt:variant>
        <vt:i4>5</vt:i4>
      </vt:variant>
      <vt:variant>
        <vt:lpwstr>https://economy-finance.ec.europa.eu/publications/2024-ageing-report-economic-and-budgetary-projections-eu-member-states-2022-2070_en</vt:lpwstr>
      </vt:variant>
      <vt:variant>
        <vt:lpwstr/>
      </vt:variant>
      <vt:variant>
        <vt:i4>2031670</vt:i4>
      </vt:variant>
      <vt:variant>
        <vt:i4>6</vt:i4>
      </vt:variant>
      <vt:variant>
        <vt:i4>0</vt:i4>
      </vt:variant>
      <vt:variant>
        <vt:i4>5</vt:i4>
      </vt:variant>
      <vt:variant>
        <vt:lpwstr>https://economy-finance.ec.europa.eu/publications/debt-sustainability-monitor-2023_en</vt:lpwstr>
      </vt:variant>
      <vt:variant>
        <vt:lpwstr/>
      </vt:variant>
      <vt:variant>
        <vt:i4>2228258</vt:i4>
      </vt:variant>
      <vt:variant>
        <vt:i4>3</vt:i4>
      </vt:variant>
      <vt:variant>
        <vt:i4>0</vt:i4>
      </vt:variant>
      <vt:variant>
        <vt:i4>5</vt:i4>
      </vt:variant>
      <vt:variant>
        <vt:lpwstr>http://data.europa.eu/eli/reg/1997/1467/2024-04-30</vt:lpwstr>
      </vt:variant>
      <vt:variant>
        <vt:lpwstr/>
      </vt:variant>
      <vt:variant>
        <vt:i4>7012461</vt:i4>
      </vt:variant>
      <vt:variant>
        <vt:i4>0</vt:i4>
      </vt:variant>
      <vt:variant>
        <vt:i4>0</vt:i4>
      </vt:variant>
      <vt:variant>
        <vt:i4>5</vt:i4>
      </vt:variant>
      <vt:variant>
        <vt:lpwstr>http://data.europa.eu/eli/reg/2024/1263/oj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50</cp:revision>
  <dcterms:created xsi:type="dcterms:W3CDTF">2026-05-29T07:57:00Z</dcterms:created>
  <dcterms:modified xsi:type="dcterms:W3CDTF">2026-06-10T13:48:00Z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2024-10-18T13:39:54Z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aa8ba994-90a6-4b9e-8bb4-5d53fd416a54</vt:lpwstr>
  </property>
  <property fmtid="{D5CDD505-2E9C-101B-9397-08002B2CF9AE}" pid="16" name="MSIP_Label_6bd9ddd1-4d20-43f6-abfa-fc3c07406f94_ContentBits">
    <vt:lpwstr>0</vt:lpwstr>
  </property>
  <property fmtid="{D5CDD505-2E9C-101B-9397-08002B2CF9AE}" pid="17" name="ContentTypeId">
    <vt:lpwstr>0x0101008B18F24F2D4E8140A461B5DCD99F9D2E</vt:lpwstr>
  </property>
  <property fmtid="{D5CDD505-2E9C-101B-9397-08002B2CF9AE}" pid="18" name="MediaServiceImageTags">
    <vt:lpwstr/>
  </property>
  <property fmtid="{D5CDD505-2E9C-101B-9397-08002B2CF9AE}" pid="19" name="DQCStatus">
    <vt:lpwstr>Green (DQC version 03)</vt:lpwstr>
  </property>
</Properties>
</file>