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377D0C" w14:textId="6EE21A3F" w:rsidR="008B6986" w:rsidRDefault="00D538F8" w:rsidP="00D538F8">
      <w:pPr>
        <w:pStyle w:val="Pagedecouverture"/>
        <w:rPr>
          <w:noProof/>
        </w:rPr>
      </w:pPr>
      <w:r>
        <w:rPr>
          <w:noProof/>
        </w:rPr>
        <w:pict w14:anchorId="43BA25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A8D51DB-AA9C-4070-99CF-E685F6F4E48A" style="width:455.25pt;height:330.75pt">
            <v:imagedata r:id="rId11" o:title=""/>
          </v:shape>
        </w:pict>
      </w:r>
    </w:p>
    <w:p w14:paraId="061BDA03" w14:textId="0C5BB83E" w:rsidR="00B61B74" w:rsidRDefault="00B61B74" w:rsidP="00B61B74">
      <w:pPr>
        <w:rPr>
          <w:noProof/>
        </w:rPr>
        <w:sectPr w:rsidR="00B61B74" w:rsidSect="00D538F8">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758751E5" w14:textId="59D09354" w:rsidR="00CD37F0" w:rsidRDefault="00F05A66" w:rsidP="00F05A66">
      <w:pPr>
        <w:pStyle w:val="Statut"/>
        <w:rPr>
          <w:noProof/>
        </w:rPr>
      </w:pPr>
      <w:bookmarkStart w:id="0" w:name="_GoBack"/>
      <w:bookmarkEnd w:id="0"/>
      <w:r w:rsidRPr="00F05A66">
        <w:rPr>
          <w:noProof/>
        </w:rPr>
        <w:lastRenderedPageBreak/>
        <w:t>Recommendation for a</w:t>
      </w:r>
    </w:p>
    <w:p w14:paraId="635DAFDB" w14:textId="676AF96E" w:rsidR="00CD37F0" w:rsidRDefault="00F05A66" w:rsidP="00F05A66">
      <w:pPr>
        <w:pStyle w:val="Typedudocument"/>
        <w:rPr>
          <w:noProof/>
        </w:rPr>
      </w:pPr>
      <w:r w:rsidRPr="00F05A66">
        <w:rPr>
          <w:noProof/>
        </w:rPr>
        <w:t>COUNCIL DECISION</w:t>
      </w:r>
    </w:p>
    <w:p w14:paraId="1C305388" w14:textId="081AA452" w:rsidR="00CD37F0" w:rsidRDefault="00F05A66" w:rsidP="00F05A66">
      <w:pPr>
        <w:pStyle w:val="Titreobjet"/>
        <w:rPr>
          <w:noProof/>
        </w:rPr>
      </w:pPr>
      <w:r w:rsidRPr="00F05A66">
        <w:rPr>
          <w:noProof/>
        </w:rPr>
        <w:t>abrogating Council Decision (EU) 2024/2128 on the existence of an excessive deficit in Malta</w:t>
      </w:r>
      <w:r w:rsidRPr="00F05A66">
        <w:rPr>
          <w:noProof/>
        </w:rPr>
        <w:br/>
      </w:r>
    </w:p>
    <w:p w14:paraId="05013C43" w14:textId="77777777" w:rsidR="00CD37F0" w:rsidRDefault="00CD37F0" w:rsidP="00CD37F0">
      <w:pPr>
        <w:pStyle w:val="Institutionquiagit"/>
        <w:rPr>
          <w:noProof/>
        </w:rPr>
      </w:pPr>
      <w:r w:rsidRPr="008C4321">
        <w:rPr>
          <w:noProof/>
        </w:rPr>
        <w:t>THE COUNCIL OF THE EUROPEAN UNION,</w:t>
      </w:r>
    </w:p>
    <w:p w14:paraId="1B717E21" w14:textId="77777777" w:rsidR="00FC6DFC" w:rsidRPr="00FC6DFC" w:rsidRDefault="00FC6DFC" w:rsidP="00FC6DFC">
      <w:pPr>
        <w:pStyle w:val="ManualNumPar1"/>
        <w:spacing w:after="0"/>
        <w:rPr>
          <w:noProof/>
        </w:rPr>
      </w:pPr>
      <w:r w:rsidRPr="00FC6DFC">
        <w:rPr>
          <w:noProof/>
        </w:rPr>
        <w:t>Having regard to the Treaty on the Functioning of the European Union (TFEU), and in particular Article 126(12) thereof,</w:t>
      </w:r>
    </w:p>
    <w:p w14:paraId="6C007CC5" w14:textId="77777777" w:rsidR="00FC6DFC" w:rsidRPr="00FC6DFC" w:rsidRDefault="00FC6DFC" w:rsidP="00FC6DFC">
      <w:pPr>
        <w:pStyle w:val="ManualNumPar1"/>
        <w:spacing w:after="0"/>
        <w:rPr>
          <w:noProof/>
        </w:rPr>
      </w:pPr>
      <w:r w:rsidRPr="00FC6DFC">
        <w:rPr>
          <w:noProof/>
        </w:rPr>
        <w:t>Having regard to the recommendation from the European Commission,</w:t>
      </w:r>
    </w:p>
    <w:p w14:paraId="69BF8807" w14:textId="77777777" w:rsidR="00FC6DFC" w:rsidRPr="00FC6DFC" w:rsidRDefault="00FC6DFC" w:rsidP="00FC6DFC">
      <w:pPr>
        <w:pStyle w:val="ManualNumPar1"/>
        <w:spacing w:after="0"/>
        <w:rPr>
          <w:noProof/>
        </w:rPr>
      </w:pPr>
      <w:r w:rsidRPr="00FC6DFC">
        <w:rPr>
          <w:noProof/>
        </w:rPr>
        <w:t>Whereas:</w:t>
      </w:r>
    </w:p>
    <w:p w14:paraId="73D2551F" w14:textId="77777777" w:rsidR="00FC6DFC" w:rsidRPr="00FC6DFC" w:rsidRDefault="00FC6DFC" w:rsidP="00FC6DFC">
      <w:pPr>
        <w:rPr>
          <w:noProof/>
        </w:rPr>
      </w:pPr>
    </w:p>
    <w:p w14:paraId="67188BA2" w14:textId="77777777" w:rsidR="00FC6DFC" w:rsidRPr="00FC6DFC" w:rsidRDefault="00FC6DFC" w:rsidP="00FC6DFC">
      <w:pPr>
        <w:pStyle w:val="Recital"/>
      </w:pPr>
      <w:r w:rsidRPr="00FC6DFC">
        <w:t>Article 126(1) of TFEU provides that Member States are to avoid excessive government deficits.</w:t>
      </w:r>
    </w:p>
    <w:p w14:paraId="33B1ABFB" w14:textId="77777777" w:rsidR="00FC6DFC" w:rsidRPr="00FC6DFC" w:rsidRDefault="00FC6DFC" w:rsidP="00FC6DFC">
      <w:pPr>
        <w:pStyle w:val="Recital"/>
      </w:pPr>
      <w:r w:rsidRPr="00FC6DFC">
        <w:rPr>
          <w:lang w:val="en-GB"/>
        </w:rPr>
        <w:t>The Stability and Growth Pact is based on the objective of sound government finances as a means of strengthening the conditions for price stability and for strong, sustainable and inclusive growth underpinned by financial stability, thereby supporting the achievement of the Unions's objectives for sustainable growth and employment.</w:t>
      </w:r>
      <w:r w:rsidRPr="00FC6DFC">
        <w:t xml:space="preserve"> The Stability and Growth Pact includes Council Regulation (EC) No 1467/97 of 7 July 1997</w:t>
      </w:r>
      <w:r w:rsidRPr="00B94930">
        <w:rPr>
          <w:rStyle w:val="FootnoteReference"/>
        </w:rPr>
        <w:footnoteReference w:id="1"/>
      </w:r>
      <w:r w:rsidRPr="00FC6DFC">
        <w:t xml:space="preserve"> on speeding up and clarifying the implementation of the excessive deficit procedure, which was adopted in order to further the prompt correction of excessive general government deficits.</w:t>
      </w:r>
    </w:p>
    <w:p w14:paraId="421F85C3" w14:textId="77777777" w:rsidR="00FC6DFC" w:rsidRPr="00FC6DFC" w:rsidRDefault="00FC6DFC" w:rsidP="00FC6DFC">
      <w:pPr>
        <w:pStyle w:val="Recital"/>
      </w:pPr>
      <w:r w:rsidRPr="00FC6DFC">
        <w:t xml:space="preserve">On 26 July 2024, the </w:t>
      </w:r>
      <w:r w:rsidRPr="00FC6DFC">
        <w:rPr>
          <w:lang w:val="en-GB"/>
        </w:rPr>
        <w:t>Council</w:t>
      </w:r>
      <w:r w:rsidRPr="00FC6DFC">
        <w:t xml:space="preserve"> adopted Decision (EU) 2024/2128</w:t>
      </w:r>
      <w:r w:rsidRPr="00FC6DFC">
        <w:rPr>
          <w:rStyle w:val="FootnoteReference"/>
        </w:rPr>
        <w:footnoteReference w:id="2"/>
      </w:r>
      <w:r w:rsidRPr="00FC6DFC">
        <w:t xml:space="preserve"> under Article 126(6) TFEU on the existence of an excessive deficit in Malta due to non-compliance with the deficit criterion.</w:t>
      </w:r>
    </w:p>
    <w:p w14:paraId="4E5B71EA" w14:textId="77777777" w:rsidR="00FC6DFC" w:rsidRPr="00FC6DFC" w:rsidRDefault="00FC6DFC" w:rsidP="00FC6DFC">
      <w:pPr>
        <w:pStyle w:val="Recital"/>
        <w:ind w:left="720" w:hanging="720"/>
      </w:pPr>
      <w:r w:rsidRPr="00FC6DFC">
        <w:t xml:space="preserve">On </w:t>
      </w:r>
      <w:r w:rsidR="00852F1D" w:rsidRPr="000E085B">
        <w:t>21</w:t>
      </w:r>
      <w:r w:rsidRPr="000E085B">
        <w:t xml:space="preserve"> January 2025</w:t>
      </w:r>
      <w:r w:rsidRPr="00FC6DFC">
        <w:t>, the Council adopted a Recommendation under Article 126(7) TFEU</w:t>
      </w:r>
      <w:r w:rsidRPr="00FC6DFC">
        <w:rPr>
          <w:rStyle w:val="FootnoteReference"/>
        </w:rPr>
        <w:footnoteReference w:id="3"/>
      </w:r>
      <w:r w:rsidRPr="00FC6DFC">
        <w:t xml:space="preserve"> with a view to bringing an end to the situation of an excessive government deficit. The Council recommended a corrective path for Malta in accordance with Article 3(4) of Regulation (EC) 1467/97 with the following maximum growth rates of net expenditure</w:t>
      </w:r>
      <w:r w:rsidRPr="00FC6DFC">
        <w:rPr>
          <w:rStyle w:val="FootnoteReference"/>
        </w:rPr>
        <w:footnoteReference w:id="4"/>
      </w:r>
      <w:r w:rsidRPr="00FC6DFC">
        <w:t>: 6.0% in 2025, 5.8% in 2026 and 5.8% in 2027. This corresponds to the maximum cumulative growth rates calculated with reference to 2023 of 13.8% in 2025, 20.4% in 2026 and 27.4% in 2027. These are the same annual and cumulative growth rates for 2025-2027 set in the Recommendation endorsing the national medium-term fiscal-structural plan of Malta.</w:t>
      </w:r>
      <w:r w:rsidRPr="00FC6DFC">
        <w:rPr>
          <w:rStyle w:val="FootnoteReference"/>
        </w:rPr>
        <w:footnoteReference w:id="5"/>
      </w:r>
      <w:r w:rsidRPr="00FC6DFC">
        <w:t xml:space="preserve"> </w:t>
      </w:r>
      <w:r w:rsidRPr="00FC6DFC">
        <w:rPr>
          <w:lang w:val="en-GB"/>
        </w:rPr>
        <w:t>Based on the</w:t>
      </w:r>
      <w:r w:rsidRPr="00FC6DFC" w:rsidDel="004F1997">
        <w:rPr>
          <w:lang w:val="en-GB"/>
        </w:rPr>
        <w:t xml:space="preserve"> </w:t>
      </w:r>
      <w:r w:rsidRPr="00FC6DFC">
        <w:rPr>
          <w:lang w:val="en-GB"/>
        </w:rPr>
        <w:t>Commission Autumn 2024 Forecast that underpinned this recommendation and the Commission medium-term government debt projection framework, adherence to this corrective path was expected to lead to a deficit no longer exceeding the 3% of GDP reference value by 2027.</w:t>
      </w:r>
    </w:p>
    <w:p w14:paraId="252E0350" w14:textId="77777777" w:rsidR="00FC6DFC" w:rsidRPr="009D6C4F" w:rsidRDefault="00FC6DFC" w:rsidP="00FC6DFC">
      <w:pPr>
        <w:pStyle w:val="Recital"/>
      </w:pPr>
      <w:r w:rsidRPr="003D063F">
        <w:rPr>
          <w:lang w:val="en-GB"/>
        </w:rPr>
        <w:t xml:space="preserve">In accordance with Article 126(12) TFEU, a Council decision on the existence of an excessive deficit is to be abrogated when the excessive deficit in </w:t>
      </w:r>
      <w:r w:rsidR="00461CDD">
        <w:rPr>
          <w:lang w:val="en-GB"/>
        </w:rPr>
        <w:t>the Member State</w:t>
      </w:r>
      <w:r w:rsidRPr="003D063F">
        <w:rPr>
          <w:lang w:val="en-GB"/>
        </w:rPr>
        <w:t xml:space="preserve"> concerned has, in the view of the Council, been corrected.</w:t>
      </w:r>
    </w:p>
    <w:p w14:paraId="7141DDB7" w14:textId="77777777" w:rsidR="00FC6DFC" w:rsidRPr="00435ED2" w:rsidRDefault="00FC6DFC" w:rsidP="00FC6DFC">
      <w:pPr>
        <w:pStyle w:val="Recital"/>
      </w:pPr>
      <w:r>
        <w:t>I</w:t>
      </w:r>
      <w:r>
        <w:rPr>
          <w:lang w:val="en-GB"/>
        </w:rPr>
        <w:t>n</w:t>
      </w:r>
      <w:r w:rsidRPr="000129E9">
        <w:rPr>
          <w:lang w:val="en-GB"/>
        </w:rPr>
        <w:t xml:space="preserve"> accordance with Article 4 of Protocol No 12 on the excessive deficit procedure, annexed to the Treaty on European Union and the TFEU, the Commission provides the data for the implementation of the excessive deficit procedure. As part of the application of that Protocol, Member States are to </w:t>
      </w:r>
      <w:r>
        <w:rPr>
          <w:lang w:val="en-GB"/>
        </w:rPr>
        <w:t>report</w:t>
      </w:r>
      <w:r w:rsidRPr="000129E9">
        <w:rPr>
          <w:lang w:val="en-GB"/>
        </w:rPr>
        <w:t xml:space="preserve"> data on government deficits and debt and other associated variables twice a year, namely before 1 April and before 1 October, in accordance with Article 3 of Regulation (EC) No 479/2009</w:t>
      </w:r>
      <w:r>
        <w:rPr>
          <w:rStyle w:val="FootnoteReference"/>
          <w:lang w:val="en-GB"/>
        </w:rPr>
        <w:footnoteReference w:id="6"/>
      </w:r>
      <w:r w:rsidRPr="000129E9">
        <w:rPr>
          <w:lang w:val="en-GB"/>
        </w:rPr>
        <w:t>.</w:t>
      </w:r>
    </w:p>
    <w:p w14:paraId="06E3A487" w14:textId="77777777" w:rsidR="00FC6DFC" w:rsidRPr="009D6C4F" w:rsidRDefault="00FC6DFC" w:rsidP="00FC6DFC">
      <w:pPr>
        <w:pStyle w:val="Recital"/>
      </w:pPr>
      <w:r w:rsidRPr="00D148EA">
        <w:rPr>
          <w:lang w:val="en-GB"/>
        </w:rPr>
        <w:t>The Council takes a decision to abrogate a decision on the existence of an excessive deficit on the basis of data</w:t>
      </w:r>
      <w:r>
        <w:rPr>
          <w:lang w:val="en-GB"/>
        </w:rPr>
        <w:t xml:space="preserve"> provided by the Commission</w:t>
      </w:r>
      <w:r w:rsidRPr="00D148EA">
        <w:rPr>
          <w:lang w:val="en-GB"/>
        </w:rPr>
        <w:t xml:space="preserve">. </w:t>
      </w:r>
      <w:r>
        <w:rPr>
          <w:lang w:val="en-GB"/>
        </w:rPr>
        <w:t>A</w:t>
      </w:r>
      <w:r w:rsidRPr="00D148EA">
        <w:rPr>
          <w:lang w:val="en-GB"/>
        </w:rPr>
        <w:t xml:space="preserve"> decision on the existence of an excessive deficit </w:t>
      </w:r>
      <w:r>
        <w:rPr>
          <w:lang w:val="en-GB"/>
        </w:rPr>
        <w:t xml:space="preserve">due to non-compliance with the deficit criterion </w:t>
      </w:r>
      <w:r w:rsidRPr="00D148EA">
        <w:rPr>
          <w:lang w:val="en-GB"/>
        </w:rPr>
        <w:t xml:space="preserve">should be abrogated only if the deficit </w:t>
      </w:r>
      <w:r w:rsidRPr="0014484F">
        <w:rPr>
          <w:lang w:val="en-GB"/>
        </w:rPr>
        <w:t xml:space="preserve">has been brought below </w:t>
      </w:r>
      <w:r w:rsidRPr="00D148EA">
        <w:rPr>
          <w:lang w:val="en-GB"/>
        </w:rPr>
        <w:t>the 3%</w:t>
      </w:r>
      <w:r>
        <w:rPr>
          <w:lang w:val="en-GB"/>
        </w:rPr>
        <w:t xml:space="preserve"> </w:t>
      </w:r>
      <w:r w:rsidRPr="00D148EA">
        <w:rPr>
          <w:lang w:val="en-GB"/>
        </w:rPr>
        <w:t>of</w:t>
      </w:r>
      <w:r>
        <w:rPr>
          <w:lang w:val="en-GB"/>
        </w:rPr>
        <w:t xml:space="preserve"> </w:t>
      </w:r>
      <w:r w:rsidRPr="00D148EA">
        <w:rPr>
          <w:lang w:val="en-GB"/>
        </w:rPr>
        <w:t>GDP reference value</w:t>
      </w:r>
      <w:r w:rsidRPr="00D148EA" w:rsidDel="00F37918">
        <w:rPr>
          <w:lang w:val="en-GB"/>
        </w:rPr>
        <w:t xml:space="preserve"> </w:t>
      </w:r>
      <w:r w:rsidRPr="0014484F">
        <w:rPr>
          <w:lang w:val="en-GB"/>
        </w:rPr>
        <w:t xml:space="preserve">and </w:t>
      </w:r>
      <w:r>
        <w:rPr>
          <w:lang w:val="en-GB"/>
        </w:rPr>
        <w:t xml:space="preserve">the Commission forecasts indicate the deficit to </w:t>
      </w:r>
      <w:r w:rsidRPr="0014484F">
        <w:rPr>
          <w:lang w:val="en-GB"/>
        </w:rPr>
        <w:t>remain so in the current and following year</w:t>
      </w:r>
      <w:r>
        <w:rPr>
          <w:lang w:val="en-GB"/>
        </w:rPr>
        <w:t xml:space="preserve">, </w:t>
      </w:r>
      <w:r w:rsidRPr="000129E9">
        <w:rPr>
          <w:lang w:val="en-GB"/>
        </w:rPr>
        <w:t xml:space="preserve">in accordance with Article </w:t>
      </w:r>
      <w:r>
        <w:rPr>
          <w:lang w:val="en-GB"/>
        </w:rPr>
        <w:t>8(3)</w:t>
      </w:r>
      <w:r w:rsidRPr="000129E9">
        <w:rPr>
          <w:lang w:val="en-GB"/>
        </w:rPr>
        <w:t xml:space="preserve"> of Regulation (EC) No </w:t>
      </w:r>
      <w:r>
        <w:rPr>
          <w:lang w:val="en-GB"/>
        </w:rPr>
        <w:t>1467</w:t>
      </w:r>
      <w:r w:rsidRPr="000129E9">
        <w:rPr>
          <w:lang w:val="en-GB"/>
        </w:rPr>
        <w:t>/</w:t>
      </w:r>
      <w:r>
        <w:rPr>
          <w:lang w:val="en-GB"/>
        </w:rPr>
        <w:t>97</w:t>
      </w:r>
      <w:r w:rsidRPr="00D148EA">
        <w:rPr>
          <w:lang w:val="en-GB"/>
        </w:rPr>
        <w:t>.</w:t>
      </w:r>
    </w:p>
    <w:p w14:paraId="662B8A02" w14:textId="77777777" w:rsidR="00FC6DFC" w:rsidRPr="00FC6DFC" w:rsidRDefault="00FC6DFC" w:rsidP="00FC6DFC">
      <w:pPr>
        <w:pStyle w:val="Recital"/>
      </w:pPr>
      <w:r w:rsidRPr="00D92A0A">
        <w:rPr>
          <w:lang w:val="en-GB"/>
        </w:rPr>
        <w:t xml:space="preserve">Based on data </w:t>
      </w:r>
      <w:r w:rsidRPr="009D6C4F">
        <w:t>provided</w:t>
      </w:r>
      <w:r w:rsidRPr="00D92A0A">
        <w:rPr>
          <w:lang w:val="en-GB"/>
        </w:rPr>
        <w:t xml:space="preserve"> by the Commission (Eurostat</w:t>
      </w:r>
      <w:r w:rsidRPr="00FC6DFC">
        <w:rPr>
          <w:lang w:val="en-GB"/>
        </w:rPr>
        <w:t xml:space="preserve">) in accordance with Article 14 of Regulation (EC) No 479/2009, following the April 2026 reporting by </w:t>
      </w:r>
      <w:r w:rsidRPr="00FC6DFC">
        <w:t>Malta</w:t>
      </w:r>
      <w:r w:rsidRPr="00FC6DFC">
        <w:rPr>
          <w:rStyle w:val="FootnoteReference"/>
        </w:rPr>
        <w:footnoteReference w:id="7"/>
      </w:r>
      <w:r w:rsidRPr="00FC6DFC">
        <w:t>,</w:t>
      </w:r>
      <w:r w:rsidRPr="00FC6DFC">
        <w:rPr>
          <w:lang w:val="en-GB"/>
        </w:rPr>
        <w:t xml:space="preserve"> and by the Commission </w:t>
      </w:r>
      <w:r w:rsidRPr="00FC6DFC">
        <w:t>Spring 2026 Forecast</w:t>
      </w:r>
      <w:r w:rsidR="000001E9">
        <w:t>,</w:t>
      </w:r>
      <w:r w:rsidRPr="00FC6DFC">
        <w:rPr>
          <w:lang w:val="en-GB"/>
        </w:rPr>
        <w:t xml:space="preserve"> the following conclusions</w:t>
      </w:r>
      <w:r w:rsidR="000001E9">
        <w:rPr>
          <w:lang w:val="en-GB"/>
        </w:rPr>
        <w:t xml:space="preserve"> can be drawn</w:t>
      </w:r>
      <w:r w:rsidRPr="00FC6DFC">
        <w:rPr>
          <w:lang w:val="en-GB"/>
        </w:rPr>
        <w:t>:</w:t>
      </w:r>
    </w:p>
    <w:p w14:paraId="2F5A6D0F" w14:textId="60FC5F94" w:rsidR="00FC6DFC" w:rsidRPr="00FC6DFC" w:rsidRDefault="00FC6DFC" w:rsidP="00FC6DFC">
      <w:pPr>
        <w:pStyle w:val="ListNumberLevel3"/>
        <w:tabs>
          <w:tab w:val="num" w:pos="2126"/>
        </w:tabs>
        <w:ind w:left="1065" w:hanging="283"/>
        <w:jc w:val="both"/>
        <w:rPr>
          <w:rFonts w:ascii="Times New Roman" w:hAnsi="Times New Roman"/>
          <w:noProof/>
        </w:rPr>
      </w:pPr>
      <w:r w:rsidRPr="00FC6DFC">
        <w:rPr>
          <w:rFonts w:ascii="Times New Roman" w:hAnsi="Times New Roman"/>
          <w:noProof/>
        </w:rPr>
        <w:t xml:space="preserve">After reaching 3.4% of GDP in 2024, the general government deficit </w:t>
      </w:r>
      <w:r w:rsidR="00AA70DF">
        <w:rPr>
          <w:rFonts w:ascii="Times New Roman" w:hAnsi="Times New Roman"/>
          <w:noProof/>
        </w:rPr>
        <w:t xml:space="preserve">fell </w:t>
      </w:r>
      <w:r w:rsidRPr="00FC6DFC">
        <w:rPr>
          <w:rFonts w:ascii="Times New Roman" w:hAnsi="Times New Roman"/>
          <w:noProof/>
        </w:rPr>
        <w:t>to 2.2% of GDP in 2025, thus below the 3% of GDP reference value.</w:t>
      </w:r>
      <w:r w:rsidR="005F1D5A" w:rsidRPr="005F1D5A">
        <w:rPr>
          <w:noProof/>
          <w:color w:val="000000" w:themeColor="text1"/>
        </w:rPr>
        <w:t xml:space="preserve"> </w:t>
      </w:r>
      <w:r w:rsidR="005F1D5A" w:rsidRPr="0053192A">
        <w:rPr>
          <w:rFonts w:ascii="Times New Roman" w:hAnsi="Times New Roman" w:cs="Times New Roman"/>
          <w:noProof/>
          <w:color w:val="000000" w:themeColor="text1"/>
        </w:rPr>
        <w:t xml:space="preserve">The government deficit in 2024 included a sizable capital transfer to the national airline company. Notwithstanding the non-repetition of that capital transfer, </w:t>
      </w:r>
      <w:r w:rsidR="0053192A" w:rsidRPr="0053192A">
        <w:rPr>
          <w:rFonts w:ascii="Times New Roman" w:hAnsi="Times New Roman" w:cs="Times New Roman"/>
          <w:noProof/>
          <w:color w:val="000000" w:themeColor="text1"/>
        </w:rPr>
        <w:t>government expenditure</w:t>
      </w:r>
      <w:r w:rsidR="005F1D5A" w:rsidRPr="0053192A">
        <w:rPr>
          <w:rFonts w:ascii="Times New Roman" w:hAnsi="Times New Roman" w:cs="Times New Roman"/>
          <w:noProof/>
          <w:color w:val="000000" w:themeColor="text1"/>
        </w:rPr>
        <w:t xml:space="preserve"> gr</w:t>
      </w:r>
      <w:r w:rsidR="004313DC" w:rsidRPr="0053192A">
        <w:rPr>
          <w:rFonts w:ascii="Times New Roman" w:hAnsi="Times New Roman" w:cs="Times New Roman"/>
          <w:noProof/>
          <w:color w:val="000000" w:themeColor="text1"/>
        </w:rPr>
        <w:t>ew</w:t>
      </w:r>
      <w:r w:rsidR="005F1D5A" w:rsidRPr="0053192A">
        <w:rPr>
          <w:rFonts w:ascii="Times New Roman" w:hAnsi="Times New Roman" w:cs="Times New Roman"/>
          <w:noProof/>
          <w:color w:val="000000" w:themeColor="text1"/>
        </w:rPr>
        <w:t xml:space="preserve"> </w:t>
      </w:r>
      <w:r w:rsidR="004313DC" w:rsidRPr="0053192A">
        <w:rPr>
          <w:rFonts w:ascii="Times New Roman" w:hAnsi="Times New Roman" w:cs="Times New Roman"/>
          <w:noProof/>
          <w:color w:val="000000" w:themeColor="text1"/>
        </w:rPr>
        <w:t xml:space="preserve">substantially </w:t>
      </w:r>
      <w:r w:rsidR="005F1D5A" w:rsidRPr="0053192A">
        <w:rPr>
          <w:rFonts w:ascii="Times New Roman" w:hAnsi="Times New Roman" w:cs="Times New Roman"/>
          <w:noProof/>
          <w:color w:val="000000" w:themeColor="text1"/>
        </w:rPr>
        <w:t>in 202</w:t>
      </w:r>
      <w:r w:rsidR="004313DC" w:rsidRPr="0053192A">
        <w:rPr>
          <w:rFonts w:ascii="Times New Roman" w:hAnsi="Times New Roman" w:cs="Times New Roman"/>
          <w:noProof/>
          <w:color w:val="000000" w:themeColor="text1"/>
        </w:rPr>
        <w:t>5</w:t>
      </w:r>
      <w:r w:rsidR="005F1D5A" w:rsidRPr="0053192A">
        <w:rPr>
          <w:rFonts w:ascii="Times New Roman" w:hAnsi="Times New Roman" w:cs="Times New Roman"/>
          <w:noProof/>
          <w:color w:val="000000" w:themeColor="text1"/>
        </w:rPr>
        <w:t>, including as a result of sizeable increases in spending on intermediate consumption and compensation of employees</w:t>
      </w:r>
      <w:r w:rsidR="00515644">
        <w:rPr>
          <w:rFonts w:ascii="Times New Roman" w:hAnsi="Times New Roman" w:cs="Times New Roman"/>
          <w:noProof/>
          <w:color w:val="000000" w:themeColor="text1"/>
        </w:rPr>
        <w:t>,</w:t>
      </w:r>
      <w:r w:rsidR="00515644" w:rsidRPr="00515644">
        <w:rPr>
          <w:rFonts w:ascii="Times New Roman" w:hAnsi="Times New Roman" w:cs="Times New Roman"/>
          <w:noProof/>
          <w:color w:val="000000" w:themeColor="text1"/>
          <w:lang w:val="en-GB"/>
        </w:rPr>
        <w:t xml:space="preserve"> as well as a one-off expenditure arising from a court decision</w:t>
      </w:r>
      <w:r w:rsidR="005F1D5A" w:rsidRPr="0053192A">
        <w:rPr>
          <w:rFonts w:ascii="Times New Roman" w:hAnsi="Times New Roman" w:cs="Times New Roman"/>
          <w:noProof/>
          <w:color w:val="000000" w:themeColor="text1"/>
        </w:rPr>
        <w:t>.</w:t>
      </w:r>
      <w:r w:rsidR="005F1D5A" w:rsidRPr="000C6A96">
        <w:rPr>
          <w:rFonts w:ascii="Calibri" w:hAnsi="Calibri" w:cs="Calibri"/>
          <w:noProof/>
          <w:color w:val="000000" w:themeColor="text1"/>
          <w:sz w:val="22"/>
          <w:szCs w:val="22"/>
        </w:rPr>
        <w:t xml:space="preserve"> </w:t>
      </w:r>
      <w:r w:rsidRPr="00FC6DFC">
        <w:rPr>
          <w:rFonts w:ascii="Times New Roman" w:hAnsi="Times New Roman"/>
          <w:noProof/>
        </w:rPr>
        <w:t xml:space="preserve">The decrease in </w:t>
      </w:r>
      <w:r w:rsidR="006A3542">
        <w:rPr>
          <w:rFonts w:ascii="Times New Roman" w:hAnsi="Times New Roman"/>
          <w:noProof/>
        </w:rPr>
        <w:t xml:space="preserve">the </w:t>
      </w:r>
      <w:r w:rsidRPr="00FC6DFC">
        <w:rPr>
          <w:rFonts w:ascii="Times New Roman" w:hAnsi="Times New Roman"/>
          <w:noProof/>
        </w:rPr>
        <w:t xml:space="preserve">deficit </w:t>
      </w:r>
      <w:r w:rsidR="00AA70DF">
        <w:rPr>
          <w:rFonts w:ascii="Times New Roman" w:hAnsi="Times New Roman"/>
          <w:noProof/>
        </w:rPr>
        <w:t>wa</w:t>
      </w:r>
      <w:r w:rsidRPr="00FC6DFC">
        <w:rPr>
          <w:rFonts w:ascii="Times New Roman" w:hAnsi="Times New Roman"/>
          <w:noProof/>
        </w:rPr>
        <w:t xml:space="preserve">s </w:t>
      </w:r>
      <w:r w:rsidR="002277AC" w:rsidRPr="00E1334D">
        <w:rPr>
          <w:rFonts w:ascii="Times New Roman" w:hAnsi="Times New Roman"/>
          <w:noProof/>
        </w:rPr>
        <w:t>therefore</w:t>
      </w:r>
      <w:r w:rsidR="002277AC">
        <w:rPr>
          <w:rFonts w:ascii="Times New Roman" w:hAnsi="Times New Roman"/>
          <w:noProof/>
        </w:rPr>
        <w:t xml:space="preserve"> </w:t>
      </w:r>
      <w:r w:rsidRPr="00FC6DFC">
        <w:rPr>
          <w:rFonts w:ascii="Times New Roman" w:hAnsi="Times New Roman"/>
          <w:noProof/>
        </w:rPr>
        <w:t>mainly driven by strong government revenue growth, driven by nominal GDP growth and significant tax windfalls</w:t>
      </w:r>
      <w:r w:rsidRPr="00FC6DFC">
        <w:rPr>
          <w:rFonts w:ascii="Times New Roman" w:hAnsi="Times New Roman"/>
          <w:i/>
          <w:iCs/>
          <w:noProof/>
        </w:rPr>
        <w:t>.</w:t>
      </w:r>
      <w:r w:rsidRPr="00FC6DFC">
        <w:rPr>
          <w:rFonts w:ascii="Times New Roman" w:hAnsi="Times New Roman"/>
          <w:noProof/>
        </w:rPr>
        <w:t xml:space="preserve"> </w:t>
      </w:r>
      <w:r w:rsidR="005963FE">
        <w:rPr>
          <w:rFonts w:ascii="Times New Roman" w:hAnsi="Times New Roman"/>
          <w:noProof/>
        </w:rPr>
        <w:t>C</w:t>
      </w:r>
      <w:r w:rsidRPr="00FC6DFC">
        <w:rPr>
          <w:rFonts w:ascii="Times New Roman" w:hAnsi="Times New Roman"/>
          <w:noProof/>
        </w:rPr>
        <w:t>ompared with the planned deficit for 2025 reported in the October 2025 reporting, the 2025 deficit was 1.1</w:t>
      </w:r>
      <w:r w:rsidR="008D03B4">
        <w:rPr>
          <w:rFonts w:ascii="Times New Roman" w:hAnsi="Times New Roman"/>
          <w:noProof/>
        </w:rPr>
        <w:t xml:space="preserve"> pps. </w:t>
      </w:r>
      <w:r w:rsidRPr="00FC6DFC">
        <w:rPr>
          <w:rFonts w:ascii="Times New Roman" w:hAnsi="Times New Roman"/>
          <w:noProof/>
        </w:rPr>
        <w:t xml:space="preserve">of GDP lower, due to </w:t>
      </w:r>
      <w:r w:rsidR="00456988">
        <w:rPr>
          <w:rFonts w:ascii="Times New Roman" w:hAnsi="Times New Roman"/>
          <w:noProof/>
        </w:rPr>
        <w:t xml:space="preserve">lower-than-planned investment spending </w:t>
      </w:r>
      <w:r w:rsidRPr="00FC6DFC">
        <w:rPr>
          <w:rFonts w:ascii="Times New Roman" w:hAnsi="Times New Roman"/>
          <w:noProof/>
        </w:rPr>
        <w:t>and stronger</w:t>
      </w:r>
      <w:r w:rsidR="00456988">
        <w:rPr>
          <w:rFonts w:ascii="Times New Roman" w:hAnsi="Times New Roman"/>
          <w:noProof/>
        </w:rPr>
        <w:t>-than-expected</w:t>
      </w:r>
      <w:r w:rsidRPr="00FC6DFC">
        <w:rPr>
          <w:rFonts w:ascii="Times New Roman" w:hAnsi="Times New Roman"/>
          <w:noProof/>
        </w:rPr>
        <w:t xml:space="preserve"> revenues from corporate taxation</w:t>
      </w:r>
      <w:r w:rsidRPr="00FC6DFC">
        <w:rPr>
          <w:rFonts w:ascii="Times New Roman" w:hAnsi="Times New Roman"/>
          <w:i/>
          <w:iCs/>
          <w:noProof/>
        </w:rPr>
        <w:t>.</w:t>
      </w:r>
      <w:r w:rsidRPr="00FC6DFC">
        <w:rPr>
          <w:rFonts w:ascii="Times New Roman" w:hAnsi="Times New Roman"/>
          <w:noProof/>
        </w:rPr>
        <w:t xml:space="preserve"> </w:t>
      </w:r>
    </w:p>
    <w:p w14:paraId="3B16955E" w14:textId="77777777" w:rsidR="00FC6DFC" w:rsidRPr="00197FA0" w:rsidRDefault="00FC6DFC" w:rsidP="00FC6DFC">
      <w:pPr>
        <w:pStyle w:val="ListNumberLevel3"/>
        <w:tabs>
          <w:tab w:val="num" w:pos="2126"/>
        </w:tabs>
        <w:ind w:left="1065" w:hanging="283"/>
        <w:jc w:val="both"/>
        <w:rPr>
          <w:rFonts w:ascii="Times New Roman" w:hAnsi="Times New Roman"/>
          <w:noProof/>
        </w:rPr>
      </w:pPr>
      <w:r w:rsidRPr="00FC6DFC">
        <w:rPr>
          <w:rFonts w:ascii="Times New Roman" w:hAnsi="Times New Roman"/>
          <w:noProof/>
          <w:lang w:val="en-GB"/>
        </w:rPr>
        <w:t xml:space="preserve">The Commission </w:t>
      </w:r>
      <w:r w:rsidRPr="00FC6DFC">
        <w:rPr>
          <w:rFonts w:ascii="Times New Roman" w:hAnsi="Times New Roman"/>
          <w:noProof/>
        </w:rPr>
        <w:t>Spring 2026 Forecast</w:t>
      </w:r>
      <w:r w:rsidRPr="00FC6DFC">
        <w:rPr>
          <w:rFonts w:ascii="Times New Roman" w:hAnsi="Times New Roman"/>
          <w:noProof/>
          <w:lang w:val="en-GB"/>
        </w:rPr>
        <w:t xml:space="preserve"> projects a deficit of </w:t>
      </w:r>
      <w:r w:rsidRPr="00FC6DFC">
        <w:rPr>
          <w:rFonts w:ascii="Times New Roman" w:hAnsi="Times New Roman"/>
          <w:noProof/>
        </w:rPr>
        <w:t>2.</w:t>
      </w:r>
      <w:r w:rsidR="00823E1F">
        <w:rPr>
          <w:rFonts w:ascii="Times New Roman" w:hAnsi="Times New Roman"/>
          <w:noProof/>
        </w:rPr>
        <w:t>2</w:t>
      </w:r>
      <w:r w:rsidRPr="00FC6DFC">
        <w:rPr>
          <w:rFonts w:ascii="Times New Roman" w:hAnsi="Times New Roman"/>
          <w:noProof/>
          <w:lang w:val="en-GB"/>
        </w:rPr>
        <w:t xml:space="preserve">% of GDP in </w:t>
      </w:r>
      <w:r w:rsidRPr="00FC6DFC">
        <w:rPr>
          <w:rFonts w:ascii="Times New Roman" w:hAnsi="Times New Roman"/>
          <w:noProof/>
        </w:rPr>
        <w:t>2026</w:t>
      </w:r>
      <w:r w:rsidRPr="00FC6DFC">
        <w:rPr>
          <w:rFonts w:ascii="Times New Roman" w:hAnsi="Times New Roman"/>
          <w:noProof/>
          <w:lang w:val="en-GB"/>
        </w:rPr>
        <w:t xml:space="preserve"> and </w:t>
      </w:r>
      <w:r w:rsidRPr="00FC6DFC">
        <w:rPr>
          <w:rFonts w:ascii="Times New Roman" w:hAnsi="Times New Roman"/>
          <w:noProof/>
        </w:rPr>
        <w:t>2.</w:t>
      </w:r>
      <w:r w:rsidR="002434AB">
        <w:rPr>
          <w:rFonts w:ascii="Times New Roman" w:hAnsi="Times New Roman"/>
          <w:noProof/>
        </w:rPr>
        <w:t>1</w:t>
      </w:r>
      <w:r w:rsidRPr="00FC6DFC">
        <w:rPr>
          <w:rFonts w:ascii="Times New Roman" w:hAnsi="Times New Roman"/>
          <w:noProof/>
          <w:lang w:val="en-GB"/>
        </w:rPr>
        <w:t xml:space="preserve">% of GDP in </w:t>
      </w:r>
      <w:r w:rsidRPr="00FC6DFC">
        <w:rPr>
          <w:rFonts w:ascii="Times New Roman" w:hAnsi="Times New Roman"/>
          <w:noProof/>
        </w:rPr>
        <w:t>2027</w:t>
      </w:r>
      <w:r w:rsidRPr="00FC6DFC">
        <w:rPr>
          <w:rFonts w:ascii="Times New Roman" w:hAnsi="Times New Roman"/>
          <w:noProof/>
          <w:lang w:val="en-GB"/>
        </w:rPr>
        <w:t xml:space="preserve">, thus indicating that the deficit would remain below the 3% of GDP reference value. </w:t>
      </w:r>
      <w:r w:rsidRPr="00FC6DFC">
        <w:rPr>
          <w:rFonts w:ascii="Times New Roman" w:hAnsi="Times New Roman"/>
          <w:noProof/>
        </w:rPr>
        <w:t xml:space="preserve">The </w:t>
      </w:r>
      <w:r w:rsidR="00A861E7">
        <w:rPr>
          <w:rFonts w:ascii="Times New Roman" w:hAnsi="Times New Roman"/>
          <w:noProof/>
        </w:rPr>
        <w:t xml:space="preserve">projection of a </w:t>
      </w:r>
      <w:r w:rsidR="0075306B">
        <w:rPr>
          <w:rFonts w:ascii="Times New Roman" w:hAnsi="Times New Roman"/>
          <w:noProof/>
        </w:rPr>
        <w:t xml:space="preserve">broadly </w:t>
      </w:r>
      <w:r w:rsidR="00A861E7">
        <w:rPr>
          <w:rFonts w:ascii="Times New Roman" w:hAnsi="Times New Roman"/>
          <w:noProof/>
        </w:rPr>
        <w:t xml:space="preserve">stable </w:t>
      </w:r>
      <w:r w:rsidRPr="00FC6DFC">
        <w:rPr>
          <w:rFonts w:ascii="Times New Roman" w:hAnsi="Times New Roman"/>
          <w:noProof/>
        </w:rPr>
        <w:t>deficit</w:t>
      </w:r>
      <w:r w:rsidR="005865FD">
        <w:rPr>
          <w:rFonts w:ascii="Times New Roman" w:hAnsi="Times New Roman"/>
          <w:noProof/>
        </w:rPr>
        <w:t xml:space="preserve"> ratio</w:t>
      </w:r>
      <w:r w:rsidR="00A861E7">
        <w:rPr>
          <w:rFonts w:ascii="Times New Roman" w:hAnsi="Times New Roman"/>
          <w:noProof/>
        </w:rPr>
        <w:t xml:space="preserve"> </w:t>
      </w:r>
      <w:r w:rsidR="00136E39">
        <w:rPr>
          <w:rFonts w:ascii="Times New Roman" w:hAnsi="Times New Roman"/>
          <w:noProof/>
        </w:rPr>
        <w:t xml:space="preserve">reflects </w:t>
      </w:r>
      <w:r w:rsidR="00015CE7">
        <w:rPr>
          <w:rFonts w:ascii="Times New Roman" w:hAnsi="Times New Roman"/>
          <w:noProof/>
        </w:rPr>
        <w:t xml:space="preserve">expectations of </w:t>
      </w:r>
      <w:r w:rsidR="00136E39">
        <w:rPr>
          <w:rFonts w:ascii="Times New Roman" w:hAnsi="Times New Roman"/>
          <w:noProof/>
        </w:rPr>
        <w:t>continued s</w:t>
      </w:r>
      <w:r w:rsidR="00D434EF">
        <w:rPr>
          <w:rFonts w:ascii="Times New Roman" w:hAnsi="Times New Roman"/>
          <w:noProof/>
        </w:rPr>
        <w:t>izeable</w:t>
      </w:r>
      <w:r w:rsidR="00136E39">
        <w:rPr>
          <w:rFonts w:ascii="Times New Roman" w:hAnsi="Times New Roman"/>
          <w:noProof/>
        </w:rPr>
        <w:t xml:space="preserve"> expenditure </w:t>
      </w:r>
      <w:r w:rsidR="00895E23">
        <w:rPr>
          <w:rFonts w:ascii="Times New Roman" w:hAnsi="Times New Roman"/>
          <w:noProof/>
        </w:rPr>
        <w:t>growth</w:t>
      </w:r>
      <w:r w:rsidR="00136E39">
        <w:rPr>
          <w:rFonts w:ascii="Times New Roman" w:hAnsi="Times New Roman"/>
          <w:noProof/>
        </w:rPr>
        <w:t xml:space="preserve">, </w:t>
      </w:r>
      <w:r w:rsidR="00A6397F">
        <w:rPr>
          <w:rFonts w:ascii="Times New Roman" w:hAnsi="Times New Roman"/>
          <w:noProof/>
        </w:rPr>
        <w:t>including as a result of the higher cost of energy subsidies,</w:t>
      </w:r>
      <w:r w:rsidR="00895E23">
        <w:rPr>
          <w:rFonts w:ascii="Times New Roman" w:hAnsi="Times New Roman"/>
          <w:noProof/>
        </w:rPr>
        <w:t xml:space="preserve"> </w:t>
      </w:r>
      <w:r w:rsidR="00235319">
        <w:rPr>
          <w:rFonts w:ascii="Times New Roman" w:hAnsi="Times New Roman"/>
          <w:noProof/>
        </w:rPr>
        <w:t xml:space="preserve">offsetting </w:t>
      </w:r>
      <w:r w:rsidR="00935032">
        <w:rPr>
          <w:rFonts w:ascii="Times New Roman" w:hAnsi="Times New Roman"/>
          <w:noProof/>
        </w:rPr>
        <w:t>higher revenues</w:t>
      </w:r>
      <w:r w:rsidR="00F821D1">
        <w:rPr>
          <w:rFonts w:ascii="Times New Roman" w:hAnsi="Times New Roman"/>
          <w:noProof/>
        </w:rPr>
        <w:t xml:space="preserve"> from </w:t>
      </w:r>
      <w:r w:rsidR="00AA6B1B">
        <w:rPr>
          <w:rFonts w:ascii="Times New Roman" w:hAnsi="Times New Roman"/>
          <w:noProof/>
        </w:rPr>
        <w:t>favo</w:t>
      </w:r>
      <w:r w:rsidR="0075306B">
        <w:rPr>
          <w:rFonts w:ascii="Times New Roman" w:hAnsi="Times New Roman"/>
          <w:noProof/>
        </w:rPr>
        <w:t>u</w:t>
      </w:r>
      <w:r w:rsidR="00AA6B1B">
        <w:rPr>
          <w:rFonts w:ascii="Times New Roman" w:hAnsi="Times New Roman"/>
          <w:noProof/>
        </w:rPr>
        <w:t>rable</w:t>
      </w:r>
      <w:r w:rsidR="000104A8">
        <w:rPr>
          <w:rFonts w:ascii="Times New Roman" w:hAnsi="Times New Roman"/>
          <w:noProof/>
        </w:rPr>
        <w:t xml:space="preserve"> economic conditions</w:t>
      </w:r>
      <w:r w:rsidRPr="00FC6DFC">
        <w:rPr>
          <w:rFonts w:ascii="Times New Roman" w:hAnsi="Times New Roman"/>
          <w:i/>
          <w:iCs/>
          <w:noProof/>
        </w:rPr>
        <w:t xml:space="preserve">. </w:t>
      </w:r>
      <w:r w:rsidR="001D6E6F">
        <w:rPr>
          <w:rFonts w:ascii="Times New Roman" w:hAnsi="Times New Roman"/>
          <w:noProof/>
          <w:lang w:val="en-GB"/>
        </w:rPr>
        <w:t>I</w:t>
      </w:r>
      <w:r w:rsidRPr="00FC6DFC">
        <w:rPr>
          <w:rFonts w:ascii="Times New Roman" w:hAnsi="Times New Roman"/>
          <w:noProof/>
        </w:rPr>
        <w:t xml:space="preserve">n the April 2026 reporting, </w:t>
      </w:r>
      <w:r w:rsidRPr="00FC6DFC">
        <w:rPr>
          <w:rFonts w:ascii="Times New Roman" w:hAnsi="Times New Roman"/>
          <w:noProof/>
          <w:lang w:val="en-GB"/>
        </w:rPr>
        <w:t xml:space="preserve">Malta reported a </w:t>
      </w:r>
      <w:r w:rsidRPr="00FC6DFC">
        <w:rPr>
          <w:rFonts w:ascii="Times New Roman" w:hAnsi="Times New Roman"/>
          <w:noProof/>
        </w:rPr>
        <w:t xml:space="preserve">planned </w:t>
      </w:r>
      <w:r w:rsidRPr="00FC6DFC">
        <w:rPr>
          <w:rFonts w:ascii="Times New Roman" w:hAnsi="Times New Roman"/>
          <w:noProof/>
          <w:lang w:val="en-GB"/>
        </w:rPr>
        <w:t xml:space="preserve">general government deficit </w:t>
      </w:r>
      <w:r w:rsidRPr="00FC6DFC">
        <w:rPr>
          <w:rFonts w:ascii="Times New Roman" w:hAnsi="Times New Roman"/>
          <w:noProof/>
        </w:rPr>
        <w:t xml:space="preserve">for 2026 that would </w:t>
      </w:r>
      <w:r w:rsidRPr="00FC6DFC">
        <w:rPr>
          <w:rFonts w:ascii="Times New Roman" w:hAnsi="Times New Roman"/>
          <w:noProof/>
          <w:lang w:val="en-GB"/>
        </w:rPr>
        <w:t xml:space="preserve">decline </w:t>
      </w:r>
      <w:r w:rsidRPr="00D62259">
        <w:rPr>
          <w:rFonts w:ascii="Times New Roman" w:hAnsi="Times New Roman"/>
          <w:noProof/>
          <w:lang w:val="en-GB"/>
        </w:rPr>
        <w:t xml:space="preserve">to </w:t>
      </w:r>
      <w:r w:rsidR="001A1036" w:rsidRPr="00D62259">
        <w:rPr>
          <w:rFonts w:ascii="Times New Roman" w:hAnsi="Times New Roman"/>
          <w:noProof/>
        </w:rPr>
        <w:t>1</w:t>
      </w:r>
      <w:r w:rsidRPr="00D62259">
        <w:rPr>
          <w:rFonts w:ascii="Times New Roman" w:hAnsi="Times New Roman"/>
          <w:noProof/>
        </w:rPr>
        <w:t>.</w:t>
      </w:r>
      <w:r w:rsidR="001A1036" w:rsidRPr="00D62259">
        <w:rPr>
          <w:rFonts w:ascii="Times New Roman" w:hAnsi="Times New Roman"/>
          <w:noProof/>
        </w:rPr>
        <w:t>6</w:t>
      </w:r>
      <w:r w:rsidRPr="00D62259">
        <w:rPr>
          <w:rFonts w:ascii="Times New Roman" w:hAnsi="Times New Roman"/>
          <w:noProof/>
          <w:lang w:val="en-GB"/>
        </w:rPr>
        <w:t>% of GDP</w:t>
      </w:r>
      <w:r w:rsidRPr="00FC6DFC">
        <w:rPr>
          <w:rFonts w:ascii="Times New Roman" w:hAnsi="Times New Roman"/>
          <w:noProof/>
        </w:rPr>
        <w:t>.</w:t>
      </w:r>
    </w:p>
    <w:p w14:paraId="6C6D0479" w14:textId="2C341E71" w:rsidR="00FC6DFC" w:rsidRPr="0027652C" w:rsidRDefault="00FC6DFC" w:rsidP="00FC6DFC">
      <w:pPr>
        <w:pStyle w:val="Recital"/>
        <w:rPr>
          <w:bCs/>
          <w:shd w:val="clear" w:color="auto" w:fill="C7D4E8"/>
        </w:rPr>
      </w:pPr>
      <w:r w:rsidRPr="00FC6DFC">
        <w:t>Based on Commission calculations</w:t>
      </w:r>
      <w:r w:rsidRPr="00FC6DFC">
        <w:rPr>
          <w:rStyle w:val="FootnoteReference"/>
          <w:rFonts w:eastAsiaTheme="minorHAnsi"/>
          <w:lang w:val="en-IE"/>
        </w:rPr>
        <w:footnoteReference w:id="8"/>
      </w:r>
      <w:r w:rsidRPr="00FC6DFC">
        <w:t xml:space="preserve">, net </w:t>
      </w:r>
      <w:r w:rsidRPr="00FC6DFC">
        <w:rPr>
          <w:rFonts w:eastAsia="Times New Roman"/>
        </w:rPr>
        <w:t>expenditure</w:t>
      </w:r>
      <w:r w:rsidRPr="00FC6DFC">
        <w:t xml:space="preserve"> in Malta grew by </w:t>
      </w:r>
      <w:r w:rsidR="009025A3">
        <w:t>5</w:t>
      </w:r>
      <w:r w:rsidRPr="00FC6DFC">
        <w:t>.</w:t>
      </w:r>
      <w:r w:rsidR="00DE5E87">
        <w:t>6</w:t>
      </w:r>
      <w:r w:rsidRPr="00FC6DFC">
        <w:t>% in 2025 and 2</w:t>
      </w:r>
      <w:r w:rsidR="00572819">
        <w:t>2</w:t>
      </w:r>
      <w:r w:rsidRPr="00FC6DFC">
        <w:t xml:space="preserve">.2% cumulatively </w:t>
      </w:r>
      <w:r w:rsidR="002F1848">
        <w:t>over</w:t>
      </w:r>
      <w:r w:rsidR="002F1848" w:rsidRPr="00FC6DFC">
        <w:t xml:space="preserve"> </w:t>
      </w:r>
      <w:r w:rsidRPr="00FC6DFC">
        <w:t>2024</w:t>
      </w:r>
      <w:r w:rsidR="00500F5A">
        <w:t xml:space="preserve"> and </w:t>
      </w:r>
      <w:r w:rsidRPr="00FC6DFC">
        <w:t xml:space="preserve">2025. The net expenditure growth </w:t>
      </w:r>
      <w:r w:rsidR="000D4373">
        <w:t xml:space="preserve">rate </w:t>
      </w:r>
      <w:r w:rsidRPr="00FC6DFC">
        <w:t xml:space="preserve">in 2025 is </w:t>
      </w:r>
      <w:r w:rsidR="003A0CD7">
        <w:t xml:space="preserve">below </w:t>
      </w:r>
      <w:r w:rsidRPr="00FC6DFC">
        <w:t xml:space="preserve">the recommended </w:t>
      </w:r>
      <w:r w:rsidR="00AC3D66">
        <w:t xml:space="preserve">annual </w:t>
      </w:r>
      <w:r w:rsidRPr="00FC6DFC">
        <w:t xml:space="preserve">maximum growth rate. </w:t>
      </w:r>
      <w:r w:rsidR="00DB2DCA">
        <w:t>However, w</w:t>
      </w:r>
      <w:r w:rsidRPr="00FC6DFC">
        <w:t>hen considering 2024 and 2025 together, the cumulative growth rate of net expenditure is above the recommended maximum growth rate, corresponding to a deviation of 2.</w:t>
      </w:r>
      <w:r w:rsidR="009A5421">
        <w:t>3</w:t>
      </w:r>
      <w:r w:rsidRPr="00FC6DFC">
        <w:t>% of GDP in cumulative terms.</w:t>
      </w:r>
      <w:r w:rsidR="00F2733D" w:rsidRPr="00F2733D">
        <w:rPr>
          <w:rFonts w:ascii="Calibri" w:hAnsi="Calibri" w:cs="Calibri"/>
          <w:color w:val="FF0000"/>
          <w:sz w:val="22"/>
          <w:szCs w:val="22"/>
        </w:rPr>
        <w:t xml:space="preserve"> </w:t>
      </w:r>
      <w:r w:rsidR="00F2733D" w:rsidRPr="000C6A96">
        <w:rPr>
          <w:color w:val="000000" w:themeColor="text1"/>
        </w:rPr>
        <w:t xml:space="preserve">The high net expenditure growth </w:t>
      </w:r>
      <w:r w:rsidR="009C0E24">
        <w:rPr>
          <w:color w:val="000000" w:themeColor="text1"/>
        </w:rPr>
        <w:t xml:space="preserve">rate </w:t>
      </w:r>
      <w:r w:rsidR="00F2733D" w:rsidRPr="000C6A96">
        <w:rPr>
          <w:color w:val="000000" w:themeColor="text1"/>
        </w:rPr>
        <w:t xml:space="preserve">in 2024 was driven by </w:t>
      </w:r>
      <w:r w:rsidR="00073739">
        <w:rPr>
          <w:color w:val="000000" w:themeColor="text1"/>
        </w:rPr>
        <w:t>the above</w:t>
      </w:r>
      <w:r w:rsidR="006D40FA">
        <w:rPr>
          <w:color w:val="000000" w:themeColor="text1"/>
        </w:rPr>
        <w:t>-</w:t>
      </w:r>
      <w:r w:rsidR="00073739">
        <w:rPr>
          <w:color w:val="000000" w:themeColor="text1"/>
        </w:rPr>
        <w:t xml:space="preserve">mentioned </w:t>
      </w:r>
      <w:r w:rsidR="00F2733D" w:rsidRPr="000C6A96">
        <w:rPr>
          <w:color w:val="000000" w:themeColor="text1"/>
        </w:rPr>
        <w:t xml:space="preserve">capital transfer to the national airline company. </w:t>
      </w:r>
      <w:r w:rsidRPr="00FC6DFC">
        <w:t xml:space="preserve">Net </w:t>
      </w:r>
      <w:r w:rsidRPr="00FC6DFC">
        <w:rPr>
          <w:rFonts w:eastAsia="Times New Roman"/>
        </w:rPr>
        <w:t>expenditure</w:t>
      </w:r>
      <w:r w:rsidRPr="00FC6DFC">
        <w:t xml:space="preserve"> in Malta is projected to grow by </w:t>
      </w:r>
      <w:r w:rsidR="00601126">
        <w:t>6</w:t>
      </w:r>
      <w:r w:rsidRPr="00FC6DFC">
        <w:t>.</w:t>
      </w:r>
      <w:r w:rsidR="00601126">
        <w:t>1</w:t>
      </w:r>
      <w:r w:rsidRPr="00FC6DFC">
        <w:t xml:space="preserve">% in 2026 and </w:t>
      </w:r>
      <w:r w:rsidR="00723C77">
        <w:t>29</w:t>
      </w:r>
      <w:r w:rsidRPr="00FC6DFC">
        <w:t>.</w:t>
      </w:r>
      <w:r w:rsidR="00723C77">
        <w:t>7</w:t>
      </w:r>
      <w:r w:rsidRPr="00FC6DFC">
        <w:t xml:space="preserve">% cumulatively </w:t>
      </w:r>
      <w:r w:rsidR="002F1848">
        <w:t>over</w:t>
      </w:r>
      <w:r w:rsidR="002F1848" w:rsidRPr="00FC6DFC">
        <w:t xml:space="preserve"> </w:t>
      </w:r>
      <w:r w:rsidRPr="00FC6DFC">
        <w:rPr>
          <w:iCs/>
          <w:color w:val="000000" w:themeColor="text1"/>
        </w:rPr>
        <w:t xml:space="preserve">2024, </w:t>
      </w:r>
      <w:r w:rsidRPr="00FC6DFC">
        <w:t xml:space="preserve">2025 and 2026. The projected net expenditure growth </w:t>
      </w:r>
      <w:r w:rsidR="00372277">
        <w:t xml:space="preserve">rate </w:t>
      </w:r>
      <w:r w:rsidRPr="00FC6DFC">
        <w:t xml:space="preserve">in 2026 is </w:t>
      </w:r>
      <w:r w:rsidR="00857BA3">
        <w:t xml:space="preserve">above the </w:t>
      </w:r>
      <w:r w:rsidRPr="00FC6DFC">
        <w:t>recommended maximum growth rate</w:t>
      </w:r>
      <w:r w:rsidR="00660702">
        <w:t xml:space="preserve">, corresponding to a deviation </w:t>
      </w:r>
      <w:r w:rsidR="00630303">
        <w:t>of 0.1% of GDP in annual terms</w:t>
      </w:r>
      <w:r w:rsidRPr="00FC6DFC">
        <w:t xml:space="preserve">. When considering </w:t>
      </w:r>
      <w:r w:rsidRPr="00FC6DFC">
        <w:rPr>
          <w:iCs/>
          <w:color w:val="000000" w:themeColor="text1"/>
        </w:rPr>
        <w:t xml:space="preserve">2024, </w:t>
      </w:r>
      <w:r w:rsidRPr="00FC6DFC">
        <w:t xml:space="preserve">2025 and 2026 together, the projected cumulative growth rate of net expenditure is </w:t>
      </w:r>
      <w:r w:rsidR="00F255F3">
        <w:t xml:space="preserve">also </w:t>
      </w:r>
      <w:r w:rsidRPr="00FC6DFC">
        <w:t xml:space="preserve">above the recommended </w:t>
      </w:r>
      <w:r w:rsidRPr="0027652C">
        <w:t>maximum growth rate, corresponding to a deviation of 2.</w:t>
      </w:r>
      <w:r w:rsidR="001A4C90" w:rsidRPr="0027652C">
        <w:t>2</w:t>
      </w:r>
      <w:r w:rsidRPr="0027652C">
        <w:t>% of GDP in cumulative terms</w:t>
      </w:r>
      <w:r w:rsidR="0027652C">
        <w:t>.</w:t>
      </w:r>
    </w:p>
    <w:p w14:paraId="2D51812E" w14:textId="77777777" w:rsidR="00FC6DFC" w:rsidRPr="009523EB" w:rsidRDefault="00FC6DFC" w:rsidP="00FC6DFC">
      <w:pPr>
        <w:pStyle w:val="Recital"/>
      </w:pPr>
      <w:r w:rsidRPr="00FC6DFC">
        <w:t>The government debt-to-GDP ratio increased from 45.9% at the end of 2024 to 46.4% of GDP at the end of 2025</w:t>
      </w:r>
      <w:r w:rsidR="009C3628">
        <w:t>,</w:t>
      </w:r>
      <w:r w:rsidRPr="00FC6DFC">
        <w:t xml:space="preserve"> thus </w:t>
      </w:r>
      <w:r w:rsidR="009C3628">
        <w:t xml:space="preserve">remaining </w:t>
      </w:r>
      <w:r w:rsidRPr="00FC6DFC">
        <w:t>below the 60% of GDP reference value. The Commission Spring 2026 Forecast projects it to decrease to 46</w:t>
      </w:r>
      <w:r w:rsidR="00560F57">
        <w:t>.2</w:t>
      </w:r>
      <w:r w:rsidRPr="00FC6DFC">
        <w:t>% by the end of 2026,</w:t>
      </w:r>
      <w:r w:rsidR="00560F57">
        <w:t xml:space="preserve"> </w:t>
      </w:r>
      <w:r w:rsidRPr="00FC6DFC">
        <w:t xml:space="preserve">driven by the lower primary deficit and the </w:t>
      </w:r>
      <w:r w:rsidR="005840FB">
        <w:t>‘</w:t>
      </w:r>
      <w:r w:rsidRPr="00FC6DFC">
        <w:t xml:space="preserve">snowball </w:t>
      </w:r>
      <w:r w:rsidRPr="00873915">
        <w:t>effect</w:t>
      </w:r>
      <w:r w:rsidR="005840FB">
        <w:t>’</w:t>
      </w:r>
      <w:r w:rsidRPr="00FC6DFC">
        <w:t xml:space="preserve"> from real GDP growth and inflation.</w:t>
      </w:r>
    </w:p>
    <w:p w14:paraId="2AD598DB" w14:textId="7DA147F7" w:rsidR="00FC6DFC" w:rsidRPr="00FC6DFC" w:rsidRDefault="00FC6DFC" w:rsidP="00FC6DFC">
      <w:pPr>
        <w:pStyle w:val="Recital"/>
        <w:widowControl w:val="0"/>
      </w:pPr>
      <w:r w:rsidRPr="00FC6DFC">
        <w:rPr>
          <w:lang w:val="en-GB"/>
        </w:rPr>
        <w:t xml:space="preserve">In the view of the Council, the excessive deficit in </w:t>
      </w:r>
      <w:r w:rsidRPr="00FC6DFC">
        <w:t>Malta</w:t>
      </w:r>
      <w:r w:rsidRPr="00FC6DFC">
        <w:rPr>
          <w:lang w:val="en-GB"/>
        </w:rPr>
        <w:t xml:space="preserve"> has been corrected and Decision </w:t>
      </w:r>
      <w:r w:rsidR="008D03B4">
        <w:rPr>
          <w:lang w:val="en-GB"/>
        </w:rPr>
        <w:t xml:space="preserve">(EU) </w:t>
      </w:r>
      <w:r w:rsidRPr="00FC6DFC">
        <w:rPr>
          <w:lang w:val="en-GB"/>
        </w:rPr>
        <w:t>2024/2128 should therefore be abrogated.</w:t>
      </w:r>
    </w:p>
    <w:p w14:paraId="5F55C68C" w14:textId="28A9F388" w:rsidR="00FC6DFC" w:rsidRDefault="00FC6DFC" w:rsidP="00FC6DFC">
      <w:pPr>
        <w:pStyle w:val="Recital"/>
      </w:pPr>
      <w:r w:rsidRPr="0081612D">
        <w:t xml:space="preserve">The abrogation of Council Decision </w:t>
      </w:r>
      <w:r w:rsidR="008D03B4">
        <w:t xml:space="preserve">(EU) </w:t>
      </w:r>
      <w:r w:rsidRPr="00FC6DFC">
        <w:t>202</w:t>
      </w:r>
      <w:r w:rsidR="00E022AF">
        <w:t>4</w:t>
      </w:r>
      <w:r w:rsidRPr="00FC6DFC">
        <w:t>/</w:t>
      </w:r>
      <w:r w:rsidR="00E022AF">
        <w:t>2128</w:t>
      </w:r>
      <w:r w:rsidRPr="00A973E9">
        <w:t xml:space="preserve"> </w:t>
      </w:r>
      <w:r w:rsidRPr="0081612D">
        <w:t xml:space="preserve">makes </w:t>
      </w:r>
      <w:r w:rsidR="00745E8C">
        <w:t xml:space="preserve">the </w:t>
      </w:r>
      <w:r w:rsidRPr="0081612D">
        <w:t xml:space="preserve">Council Recommendation </w:t>
      </w:r>
      <w:r>
        <w:t xml:space="preserve">of </w:t>
      </w:r>
      <w:r w:rsidRPr="00FC6DFC">
        <w:t xml:space="preserve">26 July 2024 under Article 126(7) TFEU obsolete. Instead, </w:t>
      </w:r>
      <w:r w:rsidR="00745E8C">
        <w:t xml:space="preserve">the </w:t>
      </w:r>
      <w:r w:rsidRPr="00FC6DFC">
        <w:t xml:space="preserve">Council Recommendation of 21 January 2025 </w:t>
      </w:r>
      <w:r w:rsidRPr="00FC6DFC">
        <w:rPr>
          <w:lang w:val="en-GB"/>
        </w:rPr>
        <w:t xml:space="preserve">endorsing the national medium-term fiscal-structural plan of </w:t>
      </w:r>
      <w:r w:rsidRPr="00FC6DFC">
        <w:t>Malta continues to apply; therefore, Malta should</w:t>
      </w:r>
      <w:r w:rsidRPr="0081612D">
        <w:t xml:space="preserve"> ensure that net expenditure growth does not exceed the recommended maxima set out in point 1 and Annex I of that Council Recommendation</w:t>
      </w:r>
      <w:r w:rsidR="00F6457C">
        <w:t>.</w:t>
      </w:r>
    </w:p>
    <w:p w14:paraId="78AEE384" w14:textId="77777777" w:rsidR="00CD37F0" w:rsidRDefault="00CD37F0" w:rsidP="00CD37F0">
      <w:pPr>
        <w:pStyle w:val="Formuledadoption"/>
        <w:rPr>
          <w:noProof/>
        </w:rPr>
      </w:pPr>
      <w:r w:rsidRPr="008C4321">
        <w:rPr>
          <w:noProof/>
        </w:rPr>
        <w:t xml:space="preserve">HAS ADOPTED THIS DECISION: </w:t>
      </w:r>
    </w:p>
    <w:p w14:paraId="685B260D" w14:textId="77777777" w:rsidR="00CD37F0" w:rsidRDefault="00CD37F0" w:rsidP="00CD37F0">
      <w:pPr>
        <w:pStyle w:val="Titrearticle"/>
        <w:rPr>
          <w:noProof/>
        </w:rPr>
      </w:pPr>
      <w:r w:rsidRPr="008C4321">
        <w:rPr>
          <w:noProof/>
        </w:rPr>
        <w:t xml:space="preserve">Article </w:t>
      </w:r>
      <w:r w:rsidR="00FC6DFC" w:rsidRPr="00EC1FE8">
        <w:rPr>
          <w:noProof/>
        </w:rPr>
        <w:t>1</w:t>
      </w:r>
    </w:p>
    <w:p w14:paraId="0BCFBE88" w14:textId="77777777" w:rsidR="00FC6DFC" w:rsidRDefault="00FC6DFC" w:rsidP="00FC6DFC">
      <w:pPr>
        <w:rPr>
          <w:noProof/>
          <w:szCs w:val="24"/>
        </w:rPr>
      </w:pPr>
      <w:r w:rsidRPr="00A973E9">
        <w:rPr>
          <w:noProof/>
          <w:szCs w:val="24"/>
        </w:rPr>
        <w:t xml:space="preserve">From an overall assessment it follows that the excessive deficit situation in </w:t>
      </w:r>
      <w:r>
        <w:rPr>
          <w:noProof/>
          <w:szCs w:val="24"/>
        </w:rPr>
        <w:t>Malta</w:t>
      </w:r>
      <w:r w:rsidRPr="00A973E9">
        <w:rPr>
          <w:noProof/>
          <w:szCs w:val="24"/>
        </w:rPr>
        <w:t xml:space="preserve"> has been corrected. </w:t>
      </w:r>
    </w:p>
    <w:p w14:paraId="3BCD19E9" w14:textId="77777777" w:rsidR="00FC6DFC" w:rsidRPr="00EC1FE8" w:rsidRDefault="00FC6DFC" w:rsidP="00FC6DFC">
      <w:pPr>
        <w:pStyle w:val="Titrearticle"/>
        <w:outlineLvl w:val="0"/>
        <w:rPr>
          <w:noProof/>
        </w:rPr>
      </w:pPr>
      <w:r w:rsidRPr="00EC1FE8">
        <w:rPr>
          <w:noProof/>
        </w:rPr>
        <w:t xml:space="preserve">Article </w:t>
      </w:r>
      <w:r>
        <w:rPr>
          <w:noProof/>
        </w:rPr>
        <w:t>2</w:t>
      </w:r>
    </w:p>
    <w:p w14:paraId="4667C374" w14:textId="477B420C" w:rsidR="00FC6DFC" w:rsidRPr="005039A2" w:rsidRDefault="00FC6DFC" w:rsidP="00FC6DFC">
      <w:pPr>
        <w:rPr>
          <w:noProof/>
          <w:szCs w:val="24"/>
        </w:rPr>
      </w:pPr>
      <w:r w:rsidRPr="00FC6DFC">
        <w:rPr>
          <w:noProof/>
          <w:szCs w:val="24"/>
        </w:rPr>
        <w:t xml:space="preserve">Decision </w:t>
      </w:r>
      <w:r w:rsidR="008D03B4">
        <w:rPr>
          <w:noProof/>
          <w:szCs w:val="24"/>
        </w:rPr>
        <w:t xml:space="preserve">(EU) </w:t>
      </w:r>
      <w:r w:rsidRPr="00FC6DFC">
        <w:rPr>
          <w:noProof/>
          <w:szCs w:val="24"/>
        </w:rPr>
        <w:t>2024/2128 is hereby abrogated.</w:t>
      </w:r>
      <w:r w:rsidRPr="00A973E9">
        <w:rPr>
          <w:noProof/>
          <w:szCs w:val="24"/>
        </w:rPr>
        <w:t xml:space="preserve"> </w:t>
      </w:r>
    </w:p>
    <w:p w14:paraId="15C221BE" w14:textId="77777777" w:rsidR="00FC6DFC" w:rsidRPr="005039A2" w:rsidRDefault="00FC6DFC" w:rsidP="00FC6DFC">
      <w:pPr>
        <w:rPr>
          <w:noProof/>
          <w:szCs w:val="24"/>
        </w:rPr>
      </w:pPr>
    </w:p>
    <w:p w14:paraId="53953F61" w14:textId="77777777" w:rsidR="00FC6DFC" w:rsidRPr="00EC1FE8" w:rsidRDefault="00FC6DFC" w:rsidP="00FC6DFC">
      <w:pPr>
        <w:pStyle w:val="Titrearticle"/>
        <w:outlineLvl w:val="0"/>
        <w:rPr>
          <w:noProof/>
        </w:rPr>
      </w:pPr>
      <w:r w:rsidRPr="00EC1FE8">
        <w:rPr>
          <w:noProof/>
        </w:rPr>
        <w:t xml:space="preserve">Article </w:t>
      </w:r>
      <w:r>
        <w:rPr>
          <w:noProof/>
        </w:rPr>
        <w:t>3</w:t>
      </w:r>
    </w:p>
    <w:p w14:paraId="1FAD3F69" w14:textId="77777777" w:rsidR="00FC6DFC" w:rsidRPr="005039A2" w:rsidRDefault="00FC6DFC" w:rsidP="00FC6DFC">
      <w:pPr>
        <w:keepNext/>
        <w:keepLines/>
        <w:rPr>
          <w:noProof/>
          <w:szCs w:val="24"/>
        </w:rPr>
      </w:pPr>
      <w:r w:rsidRPr="005039A2">
        <w:rPr>
          <w:noProof/>
          <w:szCs w:val="24"/>
        </w:rPr>
        <w:t xml:space="preserve">This Decision is addressed to </w:t>
      </w:r>
      <w:r w:rsidR="009D6D7F">
        <w:rPr>
          <w:noProof/>
          <w:szCs w:val="24"/>
        </w:rPr>
        <w:t xml:space="preserve">the Republic of </w:t>
      </w:r>
      <w:r>
        <w:rPr>
          <w:noProof/>
          <w:szCs w:val="24"/>
        </w:rPr>
        <w:t>Malta</w:t>
      </w:r>
      <w:r w:rsidRPr="005039A2">
        <w:rPr>
          <w:noProof/>
          <w:szCs w:val="24"/>
        </w:rPr>
        <w:t>.</w:t>
      </w:r>
    </w:p>
    <w:p w14:paraId="54666A72" w14:textId="77777777" w:rsidR="00FC6DFC" w:rsidRDefault="00FC6DFC" w:rsidP="009D6D7F">
      <w:pPr>
        <w:rPr>
          <w:noProof/>
        </w:rPr>
      </w:pPr>
    </w:p>
    <w:p w14:paraId="780E864E" w14:textId="77777777" w:rsidR="00FC6DFC" w:rsidRDefault="00FC6DFC" w:rsidP="009D6D7F">
      <w:pPr>
        <w:rPr>
          <w:noProof/>
        </w:rPr>
      </w:pPr>
    </w:p>
    <w:p w14:paraId="604357F1" w14:textId="043C8ECF" w:rsidR="00FC6DFC" w:rsidRPr="00EC1FE8" w:rsidRDefault="00F05A66" w:rsidP="008C2AF7">
      <w:pPr>
        <w:pStyle w:val="Fait"/>
        <w:rPr>
          <w:noProof/>
        </w:rPr>
      </w:pPr>
      <w:r>
        <w:rPr>
          <w:noProof/>
        </w:rPr>
        <w:t>Done at Brussels,</w:t>
      </w:r>
    </w:p>
    <w:p w14:paraId="1291B143" w14:textId="77777777" w:rsidR="00CD37F0" w:rsidRDefault="00FC6DFC" w:rsidP="008C2AF7">
      <w:pPr>
        <w:pStyle w:val="Institutionquisigne"/>
        <w:rPr>
          <w:noProof/>
        </w:rPr>
      </w:pPr>
      <w:r w:rsidRPr="00EC1FE8">
        <w:rPr>
          <w:noProof/>
        </w:rPr>
        <w:tab/>
      </w:r>
      <w:r w:rsidR="00CD37F0" w:rsidRPr="008B6986">
        <w:rPr>
          <w:noProof/>
        </w:rPr>
        <w:t>For the Council</w:t>
      </w:r>
    </w:p>
    <w:p w14:paraId="7A4A22B7" w14:textId="77777777" w:rsidR="00CD37F0" w:rsidRPr="008B6986" w:rsidRDefault="00CD37F0" w:rsidP="00CD37F0">
      <w:pPr>
        <w:pStyle w:val="Personnequisigne"/>
        <w:rPr>
          <w:noProof/>
        </w:rPr>
      </w:pPr>
      <w:r w:rsidRPr="008B6986">
        <w:rPr>
          <w:noProof/>
        </w:rPr>
        <w:tab/>
        <w:t>The President</w:t>
      </w:r>
    </w:p>
    <w:sectPr w:rsidR="00CD37F0" w:rsidRPr="008B6986" w:rsidSect="00D538F8">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EEC266" w14:textId="77777777" w:rsidR="0086109A" w:rsidRDefault="0086109A" w:rsidP="008B6986">
      <w:pPr>
        <w:spacing w:before="0" w:after="0"/>
      </w:pPr>
      <w:r>
        <w:separator/>
      </w:r>
    </w:p>
  </w:endnote>
  <w:endnote w:type="continuationSeparator" w:id="0">
    <w:p w14:paraId="1EC5F832" w14:textId="77777777" w:rsidR="0086109A" w:rsidRDefault="0086109A" w:rsidP="008B698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E5A21" w14:textId="428B7ECF" w:rsidR="00D538F8" w:rsidRPr="00D538F8" w:rsidRDefault="00D538F8" w:rsidP="00D538F8">
    <w:pPr>
      <w:pStyle w:val="Footer"/>
      <w:rPr>
        <w:rFonts w:ascii="Arial" w:hAnsi="Arial" w:cs="Arial"/>
        <w:b/>
        <w:sz w:val="48"/>
      </w:rPr>
    </w:pPr>
    <w:r w:rsidRPr="00D538F8">
      <w:rPr>
        <w:rFonts w:ascii="Arial" w:hAnsi="Arial" w:cs="Arial"/>
        <w:b/>
        <w:sz w:val="48"/>
      </w:rPr>
      <w:t>EN</w:t>
    </w:r>
    <w:r w:rsidRPr="00D538F8">
      <w:rPr>
        <w:rFonts w:ascii="Arial" w:hAnsi="Arial" w:cs="Arial"/>
        <w:b/>
        <w:sz w:val="48"/>
      </w:rPr>
      <w:tab/>
    </w:r>
    <w:r w:rsidRPr="00D538F8">
      <w:rPr>
        <w:rFonts w:ascii="Arial" w:hAnsi="Arial" w:cs="Arial"/>
        <w:b/>
        <w:sz w:val="48"/>
      </w:rPr>
      <w:tab/>
    </w:r>
    <w:r w:rsidRPr="00D538F8">
      <w:tab/>
    </w:r>
    <w:r w:rsidRPr="00D538F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C5CDB" w14:textId="1FDFCBB5" w:rsidR="00D538F8" w:rsidRPr="00D538F8" w:rsidRDefault="00D538F8" w:rsidP="00D538F8">
    <w:pPr>
      <w:pStyle w:val="Footer"/>
      <w:rPr>
        <w:rFonts w:ascii="Arial" w:hAnsi="Arial" w:cs="Arial"/>
        <w:b/>
        <w:sz w:val="48"/>
      </w:rPr>
    </w:pPr>
    <w:r w:rsidRPr="00D538F8">
      <w:rPr>
        <w:rFonts w:ascii="Arial" w:hAnsi="Arial" w:cs="Arial"/>
        <w:b/>
        <w:sz w:val="48"/>
      </w:rPr>
      <w:t>EN</w:t>
    </w:r>
    <w:r w:rsidRPr="00D538F8">
      <w:rPr>
        <w:rFonts w:ascii="Arial" w:hAnsi="Arial" w:cs="Arial"/>
        <w:b/>
        <w:sz w:val="48"/>
      </w:rPr>
      <w:tab/>
    </w:r>
    <w:r w:rsidRPr="00D538F8">
      <w:rPr>
        <w:rFonts w:ascii="Arial" w:hAnsi="Arial" w:cs="Arial"/>
        <w:b/>
        <w:sz w:val="48"/>
      </w:rPr>
      <w:tab/>
    </w:r>
    <w:r w:rsidRPr="00D538F8">
      <w:tab/>
    </w:r>
    <w:r w:rsidRPr="00D538F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953D9E" w14:textId="77777777" w:rsidR="00D538F8" w:rsidRPr="00D538F8" w:rsidRDefault="00D538F8" w:rsidP="00D538F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ED249" w14:textId="77777777" w:rsidR="00D538F8" w:rsidRDefault="00D538F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B143C9" w14:textId="6D2608CB" w:rsidR="00D538F8" w:rsidRPr="00D538F8" w:rsidRDefault="00D538F8" w:rsidP="00D538F8">
    <w:pPr>
      <w:pStyle w:val="Footer"/>
      <w:rPr>
        <w:rFonts w:ascii="Arial" w:hAnsi="Arial" w:cs="Arial"/>
        <w:b/>
        <w:sz w:val="48"/>
      </w:rPr>
    </w:pPr>
    <w:r w:rsidRPr="00D538F8">
      <w:rPr>
        <w:rFonts w:ascii="Arial" w:hAnsi="Arial" w:cs="Arial"/>
        <w:b/>
        <w:sz w:val="48"/>
      </w:rPr>
      <w:t>EN</w:t>
    </w:r>
    <w:r w:rsidRPr="00D538F8">
      <w:rPr>
        <w:rFonts w:ascii="Arial" w:hAnsi="Arial" w:cs="Arial"/>
        <w:b/>
        <w:sz w:val="48"/>
      </w:rPr>
      <w:tab/>
    </w:r>
    <w:r>
      <w:fldChar w:fldCharType="begin"/>
    </w:r>
    <w:r>
      <w:instrText xml:space="preserve"> PAGE  \* MERGEFORMAT </w:instrText>
    </w:r>
    <w:r>
      <w:fldChar w:fldCharType="separate"/>
    </w:r>
    <w:r w:rsidR="008C2AF7">
      <w:rPr>
        <w:noProof/>
      </w:rPr>
      <w:t>4</w:t>
    </w:r>
    <w:r>
      <w:fldChar w:fldCharType="end"/>
    </w:r>
    <w:r>
      <w:tab/>
    </w:r>
    <w:r w:rsidRPr="00D538F8">
      <w:tab/>
    </w:r>
    <w:r w:rsidRPr="00D538F8">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1580C4" w14:textId="77777777" w:rsidR="00D538F8" w:rsidRDefault="00D538F8" w:rsidP="00D538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952DCE" w14:textId="77777777" w:rsidR="0086109A" w:rsidRDefault="0086109A" w:rsidP="008B6986">
      <w:pPr>
        <w:spacing w:before="0" w:after="0"/>
      </w:pPr>
      <w:r>
        <w:separator/>
      </w:r>
    </w:p>
  </w:footnote>
  <w:footnote w:type="continuationSeparator" w:id="0">
    <w:p w14:paraId="73F5391D" w14:textId="77777777" w:rsidR="0086109A" w:rsidRDefault="0086109A" w:rsidP="008B6986">
      <w:pPr>
        <w:spacing w:before="0" w:after="0"/>
      </w:pPr>
      <w:r>
        <w:continuationSeparator/>
      </w:r>
    </w:p>
  </w:footnote>
  <w:footnote w:id="1">
    <w:p w14:paraId="1D2A53FC" w14:textId="77777777" w:rsidR="00FC6DFC" w:rsidRPr="00FC6DFC" w:rsidRDefault="00FC6DFC" w:rsidP="00FC6DFC">
      <w:pPr>
        <w:pStyle w:val="FootnoteText"/>
        <w:ind w:left="709" w:hanging="352"/>
      </w:pPr>
      <w:r>
        <w:rPr>
          <w:rStyle w:val="FootnoteReference"/>
        </w:rPr>
        <w:footnoteRef/>
      </w:r>
      <w:r>
        <w:tab/>
      </w:r>
      <w:r w:rsidRPr="00FC6DFC">
        <w:t xml:space="preserve">Council Regulation (EC) No 1467/97 of 7 July 1997 on speeding up and clarifying the implementation of the excessive deficit procedure (OJ L 209, 2.8.1997, ELI: </w:t>
      </w:r>
      <w:hyperlink r:id="rId1" w:tooltip="Gives access to this document through its ELI URI." w:history="1">
        <w:r w:rsidRPr="00FC6DFC">
          <w:rPr>
            <w:rStyle w:val="Hyperlink"/>
          </w:rPr>
          <w:t>http://data.europa.eu/eli/reg/1997/1467/2024-04-30</w:t>
        </w:r>
      </w:hyperlink>
      <w:r w:rsidRPr="00FC6DFC">
        <w:t>) as last amended by Council Regulation (EU) 2024/1264 of 29 April 2024 (OJ L, 2024/1264, 30.4.2024).</w:t>
      </w:r>
    </w:p>
  </w:footnote>
  <w:footnote w:id="2">
    <w:p w14:paraId="7BE4B060" w14:textId="6D2C395C" w:rsidR="00FC6DFC" w:rsidRPr="00FC6DFC" w:rsidRDefault="00FC6DFC" w:rsidP="00FC6DFC">
      <w:pPr>
        <w:pStyle w:val="FootnoteText"/>
        <w:ind w:hanging="363"/>
        <w:rPr>
          <w:lang w:val="en-IE"/>
        </w:rPr>
      </w:pPr>
      <w:r w:rsidRPr="00B94930">
        <w:rPr>
          <w:rStyle w:val="FootnoteReference"/>
        </w:rPr>
        <w:footnoteRef/>
      </w:r>
      <w:r w:rsidR="00B94930">
        <w:tab/>
      </w:r>
      <w:r w:rsidRPr="00FC6DFC">
        <w:t>Council Decision (EU) 2024/2128 of 26 July 2024 on the existence of an excessive deficit in Malta</w:t>
      </w:r>
      <w:r w:rsidRPr="00FC6DFC" w:rsidDel="00391E4F">
        <w:t xml:space="preserve"> </w:t>
      </w:r>
      <w:r w:rsidRPr="00FC6DFC">
        <w:t>(OJ L</w:t>
      </w:r>
      <w:r w:rsidR="008D03B4">
        <w:t xml:space="preserve"> 2024/2128</w:t>
      </w:r>
      <w:r w:rsidRPr="00FC6DFC">
        <w:t xml:space="preserve">, 01.08.2024, ELI: </w:t>
      </w:r>
      <w:hyperlink r:id="rId2" w:history="1">
        <w:r w:rsidRPr="00FC6DFC">
          <w:rPr>
            <w:rStyle w:val="Hyperlink"/>
          </w:rPr>
          <w:t>http://data.europa.eu/eli/dec/2024/2128/oj</w:t>
        </w:r>
      </w:hyperlink>
      <w:r w:rsidRPr="00FC6DFC">
        <w:t>).</w:t>
      </w:r>
    </w:p>
  </w:footnote>
  <w:footnote w:id="3">
    <w:p w14:paraId="0F4F5E2C" w14:textId="53D2B808" w:rsidR="00FC6DFC" w:rsidRPr="00FC6DFC" w:rsidRDefault="00FC6DFC" w:rsidP="00FC6DFC">
      <w:pPr>
        <w:pStyle w:val="FootnoteText"/>
        <w:ind w:left="709" w:hanging="352"/>
      </w:pPr>
      <w:r w:rsidRPr="00B94930">
        <w:rPr>
          <w:rStyle w:val="FootnoteReference"/>
        </w:rPr>
        <w:footnoteRef/>
      </w:r>
      <w:r w:rsidR="00B94930">
        <w:tab/>
      </w:r>
      <w:r w:rsidRPr="00FC6DFC">
        <w:t xml:space="preserve">Council Recommendation of </w:t>
      </w:r>
      <w:r w:rsidR="006D3642">
        <w:t>21</w:t>
      </w:r>
      <w:r w:rsidR="007F077F">
        <w:t xml:space="preserve"> January </w:t>
      </w:r>
      <w:r w:rsidRPr="00FC6DFC">
        <w:t xml:space="preserve">2025 with a view to bringing an end to the situation of an excessive deficit in Malta. All documents related to the excessive deficit procedure of Malta can be found at: </w:t>
      </w:r>
      <w:hyperlink r:id="rId3" w:history="1">
        <w:r w:rsidR="007F077F" w:rsidRPr="008028C1">
          <w:rPr>
            <w:rStyle w:val="Hyperlink"/>
          </w:rPr>
          <w:t>https://economy-finance.ec.europa.eu/economic-governance-framework/stability-and-growth-pact/corrective-arm-excessive-deficit-procedure/excessive-deficit-procedures-overview/Malta_en</w:t>
        </w:r>
      </w:hyperlink>
      <w:r w:rsidRPr="00FC6DFC">
        <w:t>.</w:t>
      </w:r>
    </w:p>
  </w:footnote>
  <w:footnote w:id="4">
    <w:p w14:paraId="72DC64DF" w14:textId="4913007C" w:rsidR="00FC6DFC" w:rsidRPr="00FC6DFC" w:rsidRDefault="00FC6DFC" w:rsidP="00FC6DFC">
      <w:pPr>
        <w:pStyle w:val="FootnoteText"/>
        <w:ind w:left="709" w:hanging="352"/>
        <w:rPr>
          <w:lang w:val="en-IE"/>
        </w:rPr>
      </w:pPr>
      <w:r w:rsidRPr="00B94930">
        <w:rPr>
          <w:rStyle w:val="FootnoteReference"/>
        </w:rPr>
        <w:footnoteRef/>
      </w:r>
      <w:r w:rsidR="00B94930">
        <w:tab/>
      </w:r>
      <w:r w:rsidRPr="00FC6DFC">
        <w:t>According to Article 2(2) of Regulation (EU) 2024/1263, 'net expenditure' means government expenditure net of interest expenditure, discretionary revenue measures, expenditure on programmes of</w:t>
      </w:r>
      <w:r w:rsidRPr="003D023E">
        <w:t xml:space="preserve"> the Union fully matched by revenue from Union funds, national expenditure on co-financing of programmes funded by the Union, cyclical elements of unemployment benefit expenditure, and one-off and other temporary </w:t>
      </w:r>
      <w:r w:rsidRPr="00FC6DFC">
        <w:t>measures.</w:t>
      </w:r>
    </w:p>
  </w:footnote>
  <w:footnote w:id="5">
    <w:p w14:paraId="0C16A345" w14:textId="139D901C" w:rsidR="00FC6DFC" w:rsidRPr="00FC6DFC" w:rsidRDefault="00FC6DFC" w:rsidP="00FC6DFC">
      <w:pPr>
        <w:pStyle w:val="FootnoteText"/>
        <w:ind w:left="709" w:hanging="352"/>
      </w:pPr>
      <w:r w:rsidRPr="00B94930">
        <w:rPr>
          <w:rStyle w:val="FootnoteReference"/>
        </w:rPr>
        <w:footnoteRef/>
      </w:r>
      <w:r w:rsidR="00B94930">
        <w:tab/>
      </w:r>
      <w:r w:rsidRPr="00FC6DFC">
        <w:t>Council recommendation of 21 January 2025 endorsing the national medium-term fiscal-structural plan of Malta, (OJ C, C/2025/649, 10.02.2025, ELI: </w:t>
      </w:r>
      <w:hyperlink r:id="rId4" w:tooltip="Gives access to this document through its ELI URI." w:history="1">
        <w:r w:rsidRPr="00FC6DFC">
          <w:rPr>
            <w:rStyle w:val="Hyperlink"/>
          </w:rPr>
          <w:t>http://data.europa.eu/eli/C/2025/649/oj</w:t>
        </w:r>
      </w:hyperlink>
      <w:r w:rsidRPr="00FC6DFC">
        <w:t>).</w:t>
      </w:r>
    </w:p>
  </w:footnote>
  <w:footnote w:id="6">
    <w:p w14:paraId="5B82430A" w14:textId="309C2FA2" w:rsidR="00FC6DFC" w:rsidRPr="009D6C4F" w:rsidRDefault="00FC6DFC" w:rsidP="00FC6DFC">
      <w:pPr>
        <w:pStyle w:val="FootnoteText"/>
        <w:ind w:left="709" w:hanging="352"/>
        <w:rPr>
          <w:lang w:val="en-IE"/>
        </w:rPr>
      </w:pPr>
      <w:r w:rsidRPr="00B94930">
        <w:rPr>
          <w:rStyle w:val="FootnoteReference"/>
        </w:rPr>
        <w:footnoteRef/>
      </w:r>
      <w:r w:rsidR="00B94930">
        <w:tab/>
      </w:r>
      <w:r w:rsidRPr="00FC6DFC">
        <w:t>Council Regulation (EC) No 479/2009 of 25 May 2009 on the application of the Protocol on the excessive deficit procedure annexed to the Treaty establishing the European Community (OJ L 145, 10.6.2009, p. 1) as last amended by Commission Regulation (EU) No 220/2014 of 7 March 2014 (OJ L 69, 8.3.2014, p. 101–101).</w:t>
      </w:r>
    </w:p>
  </w:footnote>
  <w:footnote w:id="7">
    <w:p w14:paraId="2F52C095" w14:textId="6A30AD4A" w:rsidR="00FC6DFC" w:rsidRDefault="00FC6DFC" w:rsidP="00FC6DFC">
      <w:pPr>
        <w:pStyle w:val="FootnoteText"/>
        <w:ind w:left="709" w:hanging="352"/>
      </w:pPr>
      <w:r w:rsidRPr="00B94930">
        <w:rPr>
          <w:rStyle w:val="FootnoteReference"/>
        </w:rPr>
        <w:footnoteRef/>
      </w:r>
      <w:r w:rsidR="00B94930">
        <w:tab/>
      </w:r>
      <w:r w:rsidRPr="00D54F80">
        <w:rPr>
          <w:lang w:val="en-IE"/>
        </w:rPr>
        <w:t>See Eurostat Euro indi</w:t>
      </w:r>
      <w:r w:rsidRPr="00B4456B">
        <w:rPr>
          <w:lang w:val="en-IE"/>
        </w:rPr>
        <w:t>cators of 22 April</w:t>
      </w:r>
      <w:r w:rsidRPr="00D54F80">
        <w:rPr>
          <w:lang w:val="en-IE"/>
        </w:rPr>
        <w:t xml:space="preserve"> 2026 </w:t>
      </w:r>
      <w:hyperlink r:id="rId5" w:history="1">
        <w:r w:rsidRPr="001B5BEF">
          <w:rPr>
            <w:rStyle w:val="Hyperlink"/>
          </w:rPr>
          <w:t>https://ec.europa.eu/eurostat/web/products-euro-indicators/w/2-22042026-ap</w:t>
        </w:r>
      </w:hyperlink>
    </w:p>
  </w:footnote>
  <w:footnote w:id="8">
    <w:p w14:paraId="14B2E7D4" w14:textId="1A3C0CAD" w:rsidR="00FC6DFC" w:rsidRPr="00D54F80" w:rsidRDefault="00FC6DFC" w:rsidP="00FC6DFC">
      <w:pPr>
        <w:pStyle w:val="FootnoteText"/>
        <w:ind w:left="709" w:hanging="352"/>
        <w:rPr>
          <w:lang w:val="en-IE"/>
        </w:rPr>
      </w:pPr>
      <w:r w:rsidRPr="00B94930">
        <w:rPr>
          <w:rStyle w:val="FootnoteReference"/>
        </w:rPr>
        <w:footnoteRef/>
      </w:r>
      <w:r w:rsidR="00B94930">
        <w:rPr>
          <w:lang w:val="en-IE"/>
        </w:rPr>
        <w:tab/>
      </w:r>
      <w:r w:rsidR="00D6164B" w:rsidRPr="00325A1E">
        <w:t xml:space="preserve">Fiscal Statistical Tables providing background data relevant for the assessment of the budgetary policies of the Member States, SWD(2026) </w:t>
      </w:r>
      <w:r w:rsidR="00325A1E" w:rsidRPr="00325A1E">
        <w:t>200</w:t>
      </w:r>
      <w:r w:rsidR="00D6164B" w:rsidRPr="00325A1E">
        <w:t xml:space="preserve"> final, Brussels</w:t>
      </w:r>
      <w:r w:rsidRPr="00325A1E">
        <w:rPr>
          <w:lang w:val="en-IE"/>
        </w:rPr>
        <w:t>, 3.6.2026.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3FF80" w14:textId="77777777" w:rsidR="00D538F8" w:rsidRPr="00D538F8" w:rsidRDefault="00D538F8" w:rsidP="00D538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2045EA" w14:textId="77777777" w:rsidR="00D538F8" w:rsidRPr="00D538F8" w:rsidRDefault="00D538F8" w:rsidP="00D538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000C7" w14:textId="77777777" w:rsidR="00D538F8" w:rsidRPr="00D538F8" w:rsidRDefault="00D538F8" w:rsidP="00D538F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AD7C2F" w14:textId="77777777" w:rsidR="00D538F8" w:rsidRDefault="00D538F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885E1" w14:textId="77777777" w:rsidR="00D538F8" w:rsidRDefault="00D538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5270F78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AE0BC5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3DCE70A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8974B05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929642C"/>
    <w:multiLevelType w:val="multilevel"/>
    <w:tmpl w:val="DA80F4B4"/>
    <w:lvl w:ilvl="0">
      <w:start w:val="1"/>
      <w:numFmt w:val="decimal"/>
      <w:lvlRestart w:val="0"/>
      <w:pStyle w:val="ListNumber"/>
      <w:lvlText w:val="(%1)"/>
      <w:lvlJc w:val="left"/>
      <w:pPr>
        <w:tabs>
          <w:tab w:val="num" w:pos="709"/>
        </w:tabs>
        <w:ind w:left="709" w:hanging="709"/>
      </w:pPr>
      <w:rPr>
        <w:rFonts w:cs="Times New Roman"/>
        <w:color w:val="auto"/>
      </w:rPr>
    </w:lvl>
    <w:lvl w:ilvl="1">
      <w:start w:val="1"/>
      <w:numFmt w:val="lowerLetter"/>
      <w:pStyle w:val="ListNumberLevel2"/>
      <w:lvlText w:val="(%2)"/>
      <w:lvlJc w:val="left"/>
      <w:pPr>
        <w:tabs>
          <w:tab w:val="num" w:pos="1417"/>
        </w:tabs>
        <w:ind w:left="1417" w:hanging="708"/>
      </w:pPr>
      <w:rPr>
        <w:rFonts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4"/>
  </w:num>
  <w:num w:numId="2">
    <w:abstractNumId w:val="3"/>
  </w:num>
  <w:num w:numId="3">
    <w:abstractNumId w:val="2"/>
  </w:num>
  <w:num w:numId="4">
    <w:abstractNumId w:val="1"/>
  </w:num>
  <w:num w:numId="5">
    <w:abstractNumId w:val="0"/>
  </w:num>
  <w:num w:numId="6">
    <w:abstractNumId w:val="16"/>
  </w:num>
  <w:num w:numId="7">
    <w:abstractNumId w:val="9"/>
  </w:num>
  <w:num w:numId="8">
    <w:abstractNumId w:val="18"/>
  </w:num>
  <w:num w:numId="9">
    <w:abstractNumId w:val="8"/>
  </w:num>
  <w:num w:numId="10">
    <w:abstractNumId w:val="10"/>
  </w:num>
  <w:num w:numId="11">
    <w:abstractNumId w:val="11"/>
  </w:num>
  <w:num w:numId="12">
    <w:abstractNumId w:val="6"/>
  </w:num>
  <w:num w:numId="13">
    <w:abstractNumId w:val="17"/>
  </w:num>
  <w:num w:numId="14">
    <w:abstractNumId w:val="5"/>
  </w:num>
  <w:num w:numId="15">
    <w:abstractNumId w:val="12"/>
  </w:num>
  <w:num w:numId="16">
    <w:abstractNumId w:val="14"/>
  </w:num>
  <w:num w:numId="17">
    <w:abstractNumId w:val="15"/>
  </w:num>
  <w:num w:numId="18">
    <w:abstractNumId w:val="7"/>
  </w:num>
  <w:num w:numId="19">
    <w:abstractNumId w:val="13"/>
  </w:num>
  <w:num w:numId="20">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02 11:36:2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BA8D51DB-AA9C-4070-99CF-E685F6F4E48A"/>
    <w:docVar w:name="LW_COVERPAGE_TYPE" w:val="1"/>
    <w:docVar w:name="LW_CreatedUtc" w:val="2026-04-24T09:02:21.5022710Z"/>
    <w:docVar w:name="LW_CROSSREFERENCE" w:val="&lt;UNUSED&gt;"/>
    <w:docVar w:name="LW_DocType" w:val="COM"/>
    <w:docVar w:name="LW_EMISSION" w:val="3.6.2026"/>
    <w:docVar w:name="LW_EMISSION_ISODATE" w:val="2026-06-03"/>
    <w:docVar w:name="LW_EMISSION_LOCATION" w:val="BRX"/>
    <w:docVar w:name="LW_EMISSION_PREFIX" w:val="Brussels, "/>
    <w:docVar w:name="LW_EMISSION_SUFFIX" w:val=" "/>
    <w:docVar w:name="LW_ID_DOCMODEL" w:val="SG-001"/>
    <w:docVar w:name="LW_ID_DOCSIGNATURE" w:val="SG-001"/>
    <w:docVar w:name="LW_ID_DOCSTRUCTURE" w:val="COM/PL/ORG/NOEEA"/>
    <w:docVar w:name="LW_ID_DOCTYPE" w:val="SG-001"/>
    <w:docVar w:name="LW_ID_STATUT" w:val="SG-001"/>
    <w:docVar w:name="LW_INSERT_EXP.MOTIFS.NEW" w:val="1"/>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30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abrogating Council Decision (EU) 2024/2128 on the existence of an excessive deficit in Malta_x000b_"/>
    <w:docVar w:name="LW_TYPE.DOC.CP" w:val="COUNCIL DECISION"/>
    <w:docVar w:name="LwApiVersions" w:val="LW4CoDe 1.24.5.0; LW 9.2, Build 20251112"/>
  </w:docVars>
  <w:rsids>
    <w:rsidRoot w:val="008B6986"/>
    <w:rsid w:val="000001E9"/>
    <w:rsid w:val="000006DD"/>
    <w:rsid w:val="00000996"/>
    <w:rsid w:val="0000345B"/>
    <w:rsid w:val="00003D9E"/>
    <w:rsid w:val="00003FE8"/>
    <w:rsid w:val="00004908"/>
    <w:rsid w:val="00006F39"/>
    <w:rsid w:val="000075EB"/>
    <w:rsid w:val="000104A8"/>
    <w:rsid w:val="00011308"/>
    <w:rsid w:val="00011F02"/>
    <w:rsid w:val="00012845"/>
    <w:rsid w:val="00013244"/>
    <w:rsid w:val="00013C27"/>
    <w:rsid w:val="0001523D"/>
    <w:rsid w:val="00015CE7"/>
    <w:rsid w:val="000164DE"/>
    <w:rsid w:val="0001682D"/>
    <w:rsid w:val="00016AC9"/>
    <w:rsid w:val="0001701B"/>
    <w:rsid w:val="00017922"/>
    <w:rsid w:val="000203A9"/>
    <w:rsid w:val="00020B43"/>
    <w:rsid w:val="0002123F"/>
    <w:rsid w:val="00022FC6"/>
    <w:rsid w:val="0002340E"/>
    <w:rsid w:val="000239A8"/>
    <w:rsid w:val="000239BF"/>
    <w:rsid w:val="00023A64"/>
    <w:rsid w:val="00024578"/>
    <w:rsid w:val="00024770"/>
    <w:rsid w:val="00024CD6"/>
    <w:rsid w:val="00024E30"/>
    <w:rsid w:val="000256B4"/>
    <w:rsid w:val="00026F52"/>
    <w:rsid w:val="00027237"/>
    <w:rsid w:val="00030404"/>
    <w:rsid w:val="000309FE"/>
    <w:rsid w:val="00031EF1"/>
    <w:rsid w:val="00032666"/>
    <w:rsid w:val="00032906"/>
    <w:rsid w:val="00033F0C"/>
    <w:rsid w:val="000346CC"/>
    <w:rsid w:val="000347D3"/>
    <w:rsid w:val="00036D4E"/>
    <w:rsid w:val="000373E4"/>
    <w:rsid w:val="0003779B"/>
    <w:rsid w:val="00037D4B"/>
    <w:rsid w:val="00040422"/>
    <w:rsid w:val="00040DDE"/>
    <w:rsid w:val="000415A8"/>
    <w:rsid w:val="00041CD0"/>
    <w:rsid w:val="00042AE2"/>
    <w:rsid w:val="00043368"/>
    <w:rsid w:val="00043F15"/>
    <w:rsid w:val="0004463B"/>
    <w:rsid w:val="00047538"/>
    <w:rsid w:val="00047868"/>
    <w:rsid w:val="00047AC5"/>
    <w:rsid w:val="000505B4"/>
    <w:rsid w:val="00050E3B"/>
    <w:rsid w:val="000512C5"/>
    <w:rsid w:val="000529F3"/>
    <w:rsid w:val="00053975"/>
    <w:rsid w:val="00053BB2"/>
    <w:rsid w:val="00054832"/>
    <w:rsid w:val="000549AE"/>
    <w:rsid w:val="00055C88"/>
    <w:rsid w:val="000560AA"/>
    <w:rsid w:val="000560EC"/>
    <w:rsid w:val="00056B63"/>
    <w:rsid w:val="00056DE3"/>
    <w:rsid w:val="00056DE6"/>
    <w:rsid w:val="000575C6"/>
    <w:rsid w:val="000578C3"/>
    <w:rsid w:val="00057CE0"/>
    <w:rsid w:val="00060036"/>
    <w:rsid w:val="000601F2"/>
    <w:rsid w:val="000604A3"/>
    <w:rsid w:val="00061147"/>
    <w:rsid w:val="00061A3B"/>
    <w:rsid w:val="00061CC0"/>
    <w:rsid w:val="000630A8"/>
    <w:rsid w:val="0006359D"/>
    <w:rsid w:val="00063BDD"/>
    <w:rsid w:val="00064956"/>
    <w:rsid w:val="00064B45"/>
    <w:rsid w:val="00064C5F"/>
    <w:rsid w:val="00066FC6"/>
    <w:rsid w:val="00070635"/>
    <w:rsid w:val="000709A1"/>
    <w:rsid w:val="00070C76"/>
    <w:rsid w:val="00071306"/>
    <w:rsid w:val="000717F7"/>
    <w:rsid w:val="00072DF4"/>
    <w:rsid w:val="00073739"/>
    <w:rsid w:val="000747C3"/>
    <w:rsid w:val="00075145"/>
    <w:rsid w:val="000756D9"/>
    <w:rsid w:val="00075707"/>
    <w:rsid w:val="000763BE"/>
    <w:rsid w:val="000777FE"/>
    <w:rsid w:val="00077825"/>
    <w:rsid w:val="000779C4"/>
    <w:rsid w:val="0008106A"/>
    <w:rsid w:val="00081139"/>
    <w:rsid w:val="0008167D"/>
    <w:rsid w:val="000820BF"/>
    <w:rsid w:val="0008341F"/>
    <w:rsid w:val="00083EB6"/>
    <w:rsid w:val="00084539"/>
    <w:rsid w:val="0008475F"/>
    <w:rsid w:val="00084762"/>
    <w:rsid w:val="000852E0"/>
    <w:rsid w:val="00085CC0"/>
    <w:rsid w:val="00086892"/>
    <w:rsid w:val="00086E15"/>
    <w:rsid w:val="00087207"/>
    <w:rsid w:val="00090317"/>
    <w:rsid w:val="00090446"/>
    <w:rsid w:val="000905B6"/>
    <w:rsid w:val="0009099D"/>
    <w:rsid w:val="00091399"/>
    <w:rsid w:val="00091517"/>
    <w:rsid w:val="000917A8"/>
    <w:rsid w:val="000930F9"/>
    <w:rsid w:val="00093193"/>
    <w:rsid w:val="000934E0"/>
    <w:rsid w:val="00093F12"/>
    <w:rsid w:val="00094155"/>
    <w:rsid w:val="00094567"/>
    <w:rsid w:val="00094B49"/>
    <w:rsid w:val="0009530A"/>
    <w:rsid w:val="000953E4"/>
    <w:rsid w:val="00095A0E"/>
    <w:rsid w:val="00095B3D"/>
    <w:rsid w:val="00095FDB"/>
    <w:rsid w:val="000961F9"/>
    <w:rsid w:val="00096969"/>
    <w:rsid w:val="000970EC"/>
    <w:rsid w:val="00097449"/>
    <w:rsid w:val="000974B3"/>
    <w:rsid w:val="000A01FD"/>
    <w:rsid w:val="000A0245"/>
    <w:rsid w:val="000A0DD5"/>
    <w:rsid w:val="000A1DA8"/>
    <w:rsid w:val="000A2343"/>
    <w:rsid w:val="000A3432"/>
    <w:rsid w:val="000A44F8"/>
    <w:rsid w:val="000A45E4"/>
    <w:rsid w:val="000A4890"/>
    <w:rsid w:val="000A500B"/>
    <w:rsid w:val="000A62E1"/>
    <w:rsid w:val="000A671B"/>
    <w:rsid w:val="000A74C1"/>
    <w:rsid w:val="000B0633"/>
    <w:rsid w:val="000B1C35"/>
    <w:rsid w:val="000B265F"/>
    <w:rsid w:val="000B467D"/>
    <w:rsid w:val="000B4D28"/>
    <w:rsid w:val="000B4D61"/>
    <w:rsid w:val="000B4F81"/>
    <w:rsid w:val="000B527C"/>
    <w:rsid w:val="000B5B7C"/>
    <w:rsid w:val="000B64C6"/>
    <w:rsid w:val="000B664C"/>
    <w:rsid w:val="000B6655"/>
    <w:rsid w:val="000B6CEA"/>
    <w:rsid w:val="000C0594"/>
    <w:rsid w:val="000C0D6C"/>
    <w:rsid w:val="000C15D8"/>
    <w:rsid w:val="000C25A6"/>
    <w:rsid w:val="000C34BC"/>
    <w:rsid w:val="000C3FD6"/>
    <w:rsid w:val="000C4A8A"/>
    <w:rsid w:val="000C4C71"/>
    <w:rsid w:val="000C638C"/>
    <w:rsid w:val="000C6A96"/>
    <w:rsid w:val="000C6CC0"/>
    <w:rsid w:val="000C71B9"/>
    <w:rsid w:val="000C7A24"/>
    <w:rsid w:val="000C7D0A"/>
    <w:rsid w:val="000C7ED4"/>
    <w:rsid w:val="000D0238"/>
    <w:rsid w:val="000D1999"/>
    <w:rsid w:val="000D2936"/>
    <w:rsid w:val="000D2A07"/>
    <w:rsid w:val="000D3747"/>
    <w:rsid w:val="000D4373"/>
    <w:rsid w:val="000D5239"/>
    <w:rsid w:val="000D77F4"/>
    <w:rsid w:val="000D7CA3"/>
    <w:rsid w:val="000E034A"/>
    <w:rsid w:val="000E085B"/>
    <w:rsid w:val="000E0ACD"/>
    <w:rsid w:val="000E1062"/>
    <w:rsid w:val="000E17D0"/>
    <w:rsid w:val="000E291F"/>
    <w:rsid w:val="000E2FF6"/>
    <w:rsid w:val="000E36CF"/>
    <w:rsid w:val="000E37D8"/>
    <w:rsid w:val="000E5949"/>
    <w:rsid w:val="000E65CB"/>
    <w:rsid w:val="000E6D8F"/>
    <w:rsid w:val="000E7945"/>
    <w:rsid w:val="000E7B97"/>
    <w:rsid w:val="000F107A"/>
    <w:rsid w:val="000F148B"/>
    <w:rsid w:val="000F1FC2"/>
    <w:rsid w:val="000F2E88"/>
    <w:rsid w:val="000F681E"/>
    <w:rsid w:val="000F6A0E"/>
    <w:rsid w:val="000F7618"/>
    <w:rsid w:val="0010042E"/>
    <w:rsid w:val="00101557"/>
    <w:rsid w:val="00101C28"/>
    <w:rsid w:val="00101F9C"/>
    <w:rsid w:val="0010225E"/>
    <w:rsid w:val="0010271B"/>
    <w:rsid w:val="00102BFD"/>
    <w:rsid w:val="00103877"/>
    <w:rsid w:val="00103AB1"/>
    <w:rsid w:val="00103CCB"/>
    <w:rsid w:val="00103CEB"/>
    <w:rsid w:val="00103D94"/>
    <w:rsid w:val="001044CE"/>
    <w:rsid w:val="00104D97"/>
    <w:rsid w:val="00105051"/>
    <w:rsid w:val="001051C8"/>
    <w:rsid w:val="001065F5"/>
    <w:rsid w:val="001069E6"/>
    <w:rsid w:val="00111503"/>
    <w:rsid w:val="00111515"/>
    <w:rsid w:val="00113759"/>
    <w:rsid w:val="0011401A"/>
    <w:rsid w:val="00114A84"/>
    <w:rsid w:val="001153FB"/>
    <w:rsid w:val="00115852"/>
    <w:rsid w:val="00115D3D"/>
    <w:rsid w:val="00115F05"/>
    <w:rsid w:val="001171F0"/>
    <w:rsid w:val="00120DE6"/>
    <w:rsid w:val="00121302"/>
    <w:rsid w:val="0012135B"/>
    <w:rsid w:val="001220B3"/>
    <w:rsid w:val="0012218B"/>
    <w:rsid w:val="00122419"/>
    <w:rsid w:val="00122978"/>
    <w:rsid w:val="0012297D"/>
    <w:rsid w:val="00122DF1"/>
    <w:rsid w:val="001234DD"/>
    <w:rsid w:val="001237A7"/>
    <w:rsid w:val="001238EF"/>
    <w:rsid w:val="00124364"/>
    <w:rsid w:val="001248A6"/>
    <w:rsid w:val="00126592"/>
    <w:rsid w:val="00127582"/>
    <w:rsid w:val="00130FFE"/>
    <w:rsid w:val="001310C5"/>
    <w:rsid w:val="001313F7"/>
    <w:rsid w:val="00131476"/>
    <w:rsid w:val="001317E6"/>
    <w:rsid w:val="00131CF2"/>
    <w:rsid w:val="001322C1"/>
    <w:rsid w:val="001331C9"/>
    <w:rsid w:val="00134025"/>
    <w:rsid w:val="00135B69"/>
    <w:rsid w:val="00136E39"/>
    <w:rsid w:val="00137A67"/>
    <w:rsid w:val="001416E0"/>
    <w:rsid w:val="0014258E"/>
    <w:rsid w:val="0014287B"/>
    <w:rsid w:val="0014303D"/>
    <w:rsid w:val="00143CAA"/>
    <w:rsid w:val="00143CF7"/>
    <w:rsid w:val="00144CBA"/>
    <w:rsid w:val="00145783"/>
    <w:rsid w:val="001469F3"/>
    <w:rsid w:val="0014728C"/>
    <w:rsid w:val="00147469"/>
    <w:rsid w:val="00150A04"/>
    <w:rsid w:val="00150CC1"/>
    <w:rsid w:val="001514E8"/>
    <w:rsid w:val="00151945"/>
    <w:rsid w:val="00151C9C"/>
    <w:rsid w:val="001522C1"/>
    <w:rsid w:val="00153DE0"/>
    <w:rsid w:val="00154EF8"/>
    <w:rsid w:val="00155022"/>
    <w:rsid w:val="0015542D"/>
    <w:rsid w:val="00156684"/>
    <w:rsid w:val="00156708"/>
    <w:rsid w:val="00157090"/>
    <w:rsid w:val="00157EA8"/>
    <w:rsid w:val="001606F1"/>
    <w:rsid w:val="00160A6B"/>
    <w:rsid w:val="001627E2"/>
    <w:rsid w:val="001639B8"/>
    <w:rsid w:val="00163BFC"/>
    <w:rsid w:val="001642CF"/>
    <w:rsid w:val="0016505D"/>
    <w:rsid w:val="0016570A"/>
    <w:rsid w:val="00166143"/>
    <w:rsid w:val="0017032C"/>
    <w:rsid w:val="00170508"/>
    <w:rsid w:val="001713B2"/>
    <w:rsid w:val="001725DB"/>
    <w:rsid w:val="00172F5D"/>
    <w:rsid w:val="0017304E"/>
    <w:rsid w:val="00173525"/>
    <w:rsid w:val="001741E6"/>
    <w:rsid w:val="001750BB"/>
    <w:rsid w:val="0017665C"/>
    <w:rsid w:val="001769DB"/>
    <w:rsid w:val="00177597"/>
    <w:rsid w:val="001775FD"/>
    <w:rsid w:val="00177741"/>
    <w:rsid w:val="001804DD"/>
    <w:rsid w:val="00180B5E"/>
    <w:rsid w:val="00180D6E"/>
    <w:rsid w:val="00182E27"/>
    <w:rsid w:val="001835A1"/>
    <w:rsid w:val="001847D6"/>
    <w:rsid w:val="001849D3"/>
    <w:rsid w:val="001865E3"/>
    <w:rsid w:val="00186AC7"/>
    <w:rsid w:val="0018712F"/>
    <w:rsid w:val="0018713A"/>
    <w:rsid w:val="0018738E"/>
    <w:rsid w:val="0019074E"/>
    <w:rsid w:val="001908B1"/>
    <w:rsid w:val="00191556"/>
    <w:rsid w:val="001919DA"/>
    <w:rsid w:val="00193168"/>
    <w:rsid w:val="00193908"/>
    <w:rsid w:val="00193FA9"/>
    <w:rsid w:val="00195E1A"/>
    <w:rsid w:val="001965F7"/>
    <w:rsid w:val="00196F86"/>
    <w:rsid w:val="001973F7"/>
    <w:rsid w:val="00197613"/>
    <w:rsid w:val="00197C66"/>
    <w:rsid w:val="00197E85"/>
    <w:rsid w:val="001A1036"/>
    <w:rsid w:val="001A201E"/>
    <w:rsid w:val="001A217D"/>
    <w:rsid w:val="001A2D50"/>
    <w:rsid w:val="001A3209"/>
    <w:rsid w:val="001A324C"/>
    <w:rsid w:val="001A3491"/>
    <w:rsid w:val="001A39A5"/>
    <w:rsid w:val="001A41A1"/>
    <w:rsid w:val="001A486E"/>
    <w:rsid w:val="001A4C90"/>
    <w:rsid w:val="001A633D"/>
    <w:rsid w:val="001B03D2"/>
    <w:rsid w:val="001B1094"/>
    <w:rsid w:val="001B1ADB"/>
    <w:rsid w:val="001B1D41"/>
    <w:rsid w:val="001B2352"/>
    <w:rsid w:val="001B2D43"/>
    <w:rsid w:val="001B33F2"/>
    <w:rsid w:val="001B48C2"/>
    <w:rsid w:val="001B50A6"/>
    <w:rsid w:val="001B5241"/>
    <w:rsid w:val="001B52F3"/>
    <w:rsid w:val="001B5501"/>
    <w:rsid w:val="001B6B55"/>
    <w:rsid w:val="001C0AE3"/>
    <w:rsid w:val="001C0CD7"/>
    <w:rsid w:val="001C26D3"/>
    <w:rsid w:val="001C3153"/>
    <w:rsid w:val="001C4468"/>
    <w:rsid w:val="001C5020"/>
    <w:rsid w:val="001C5C50"/>
    <w:rsid w:val="001C6659"/>
    <w:rsid w:val="001C69AE"/>
    <w:rsid w:val="001C6A40"/>
    <w:rsid w:val="001D11FB"/>
    <w:rsid w:val="001D1D10"/>
    <w:rsid w:val="001D271D"/>
    <w:rsid w:val="001D329D"/>
    <w:rsid w:val="001D330B"/>
    <w:rsid w:val="001D3CF1"/>
    <w:rsid w:val="001D4B34"/>
    <w:rsid w:val="001D4D1B"/>
    <w:rsid w:val="001D4FF2"/>
    <w:rsid w:val="001D5555"/>
    <w:rsid w:val="001D66C8"/>
    <w:rsid w:val="001D6D1D"/>
    <w:rsid w:val="001D6E6F"/>
    <w:rsid w:val="001D711C"/>
    <w:rsid w:val="001D7EFF"/>
    <w:rsid w:val="001E1622"/>
    <w:rsid w:val="001E17F6"/>
    <w:rsid w:val="001E1FC6"/>
    <w:rsid w:val="001E3382"/>
    <w:rsid w:val="001E5085"/>
    <w:rsid w:val="001E58F1"/>
    <w:rsid w:val="001E6A76"/>
    <w:rsid w:val="001E6C96"/>
    <w:rsid w:val="001E787B"/>
    <w:rsid w:val="001E78AD"/>
    <w:rsid w:val="001F07DC"/>
    <w:rsid w:val="001F1CB1"/>
    <w:rsid w:val="001F2B4E"/>
    <w:rsid w:val="001F450B"/>
    <w:rsid w:val="001F60CC"/>
    <w:rsid w:val="001F737D"/>
    <w:rsid w:val="001F757F"/>
    <w:rsid w:val="001F79D0"/>
    <w:rsid w:val="00200515"/>
    <w:rsid w:val="00200527"/>
    <w:rsid w:val="002005A2"/>
    <w:rsid w:val="002010A8"/>
    <w:rsid w:val="00201BA6"/>
    <w:rsid w:val="00201BE9"/>
    <w:rsid w:val="00202C3F"/>
    <w:rsid w:val="0020345B"/>
    <w:rsid w:val="002057BC"/>
    <w:rsid w:val="00205A0D"/>
    <w:rsid w:val="00207A95"/>
    <w:rsid w:val="00207CBB"/>
    <w:rsid w:val="0021009A"/>
    <w:rsid w:val="00210122"/>
    <w:rsid w:val="002101D0"/>
    <w:rsid w:val="00210C07"/>
    <w:rsid w:val="00211A93"/>
    <w:rsid w:val="00212248"/>
    <w:rsid w:val="00212BD5"/>
    <w:rsid w:val="00212F33"/>
    <w:rsid w:val="00213276"/>
    <w:rsid w:val="002143A2"/>
    <w:rsid w:val="00214916"/>
    <w:rsid w:val="00214BC4"/>
    <w:rsid w:val="00214D0D"/>
    <w:rsid w:val="0021633C"/>
    <w:rsid w:val="00216F71"/>
    <w:rsid w:val="00216FBE"/>
    <w:rsid w:val="00217DAB"/>
    <w:rsid w:val="00217E86"/>
    <w:rsid w:val="00222307"/>
    <w:rsid w:val="0022240D"/>
    <w:rsid w:val="00223B35"/>
    <w:rsid w:val="00224195"/>
    <w:rsid w:val="0022445D"/>
    <w:rsid w:val="00225C08"/>
    <w:rsid w:val="002264E8"/>
    <w:rsid w:val="00226768"/>
    <w:rsid w:val="002277AC"/>
    <w:rsid w:val="00227C9A"/>
    <w:rsid w:val="00231312"/>
    <w:rsid w:val="00231839"/>
    <w:rsid w:val="00231D18"/>
    <w:rsid w:val="002327E0"/>
    <w:rsid w:val="00232F55"/>
    <w:rsid w:val="00233160"/>
    <w:rsid w:val="00233DC7"/>
    <w:rsid w:val="002348D6"/>
    <w:rsid w:val="00235319"/>
    <w:rsid w:val="002353B3"/>
    <w:rsid w:val="002355C8"/>
    <w:rsid w:val="002359FA"/>
    <w:rsid w:val="002363BA"/>
    <w:rsid w:val="0023653F"/>
    <w:rsid w:val="00240492"/>
    <w:rsid w:val="00241278"/>
    <w:rsid w:val="00242B03"/>
    <w:rsid w:val="0024329C"/>
    <w:rsid w:val="002434AB"/>
    <w:rsid w:val="002435E8"/>
    <w:rsid w:val="00243B17"/>
    <w:rsid w:val="00243E4A"/>
    <w:rsid w:val="002442B2"/>
    <w:rsid w:val="002442FA"/>
    <w:rsid w:val="00245681"/>
    <w:rsid w:val="002457D3"/>
    <w:rsid w:val="00245CC4"/>
    <w:rsid w:val="00245EEC"/>
    <w:rsid w:val="00246286"/>
    <w:rsid w:val="00246C31"/>
    <w:rsid w:val="00247779"/>
    <w:rsid w:val="00251F0B"/>
    <w:rsid w:val="00253A2A"/>
    <w:rsid w:val="00253CA0"/>
    <w:rsid w:val="00254753"/>
    <w:rsid w:val="002552AE"/>
    <w:rsid w:val="00255418"/>
    <w:rsid w:val="00256F9F"/>
    <w:rsid w:val="002574F6"/>
    <w:rsid w:val="00257A78"/>
    <w:rsid w:val="00261503"/>
    <w:rsid w:val="00261A01"/>
    <w:rsid w:val="0026224F"/>
    <w:rsid w:val="00262DC0"/>
    <w:rsid w:val="00263B2F"/>
    <w:rsid w:val="00263DDE"/>
    <w:rsid w:val="00264401"/>
    <w:rsid w:val="00265B9E"/>
    <w:rsid w:val="0026658E"/>
    <w:rsid w:val="002669E4"/>
    <w:rsid w:val="00266B6E"/>
    <w:rsid w:val="00266ECA"/>
    <w:rsid w:val="00267818"/>
    <w:rsid w:val="00270391"/>
    <w:rsid w:val="002708F0"/>
    <w:rsid w:val="002709C1"/>
    <w:rsid w:val="00270AC0"/>
    <w:rsid w:val="002716B5"/>
    <w:rsid w:val="00271AEE"/>
    <w:rsid w:val="0027200B"/>
    <w:rsid w:val="002722C8"/>
    <w:rsid w:val="00272959"/>
    <w:rsid w:val="0027348A"/>
    <w:rsid w:val="00274255"/>
    <w:rsid w:val="0027652C"/>
    <w:rsid w:val="0027676B"/>
    <w:rsid w:val="00276F0F"/>
    <w:rsid w:val="00277D4A"/>
    <w:rsid w:val="0028293E"/>
    <w:rsid w:val="00283111"/>
    <w:rsid w:val="0028548D"/>
    <w:rsid w:val="00285674"/>
    <w:rsid w:val="00285B92"/>
    <w:rsid w:val="00285BEE"/>
    <w:rsid w:val="00285EA5"/>
    <w:rsid w:val="002871B1"/>
    <w:rsid w:val="0028797D"/>
    <w:rsid w:val="0029011F"/>
    <w:rsid w:val="00290F9C"/>
    <w:rsid w:val="002910F5"/>
    <w:rsid w:val="002919C8"/>
    <w:rsid w:val="00291D0E"/>
    <w:rsid w:val="0029207B"/>
    <w:rsid w:val="0029322C"/>
    <w:rsid w:val="00293B2D"/>
    <w:rsid w:val="00294C21"/>
    <w:rsid w:val="0029514E"/>
    <w:rsid w:val="0029533F"/>
    <w:rsid w:val="00296636"/>
    <w:rsid w:val="00296D77"/>
    <w:rsid w:val="0029725B"/>
    <w:rsid w:val="002A0FCE"/>
    <w:rsid w:val="002A14F8"/>
    <w:rsid w:val="002A2FD3"/>
    <w:rsid w:val="002A4C11"/>
    <w:rsid w:val="002A5191"/>
    <w:rsid w:val="002A544A"/>
    <w:rsid w:val="002A65DB"/>
    <w:rsid w:val="002A7470"/>
    <w:rsid w:val="002B0140"/>
    <w:rsid w:val="002B1BCC"/>
    <w:rsid w:val="002B1C16"/>
    <w:rsid w:val="002B30AF"/>
    <w:rsid w:val="002B4572"/>
    <w:rsid w:val="002B673D"/>
    <w:rsid w:val="002B6ADB"/>
    <w:rsid w:val="002B6CEA"/>
    <w:rsid w:val="002B6DE3"/>
    <w:rsid w:val="002B7313"/>
    <w:rsid w:val="002C00BE"/>
    <w:rsid w:val="002C1514"/>
    <w:rsid w:val="002C1528"/>
    <w:rsid w:val="002C2C74"/>
    <w:rsid w:val="002C2EE9"/>
    <w:rsid w:val="002C3DE5"/>
    <w:rsid w:val="002C4089"/>
    <w:rsid w:val="002C4A85"/>
    <w:rsid w:val="002C4B7F"/>
    <w:rsid w:val="002C4D0F"/>
    <w:rsid w:val="002C5A32"/>
    <w:rsid w:val="002C7314"/>
    <w:rsid w:val="002D0848"/>
    <w:rsid w:val="002D3CDB"/>
    <w:rsid w:val="002D4839"/>
    <w:rsid w:val="002D6059"/>
    <w:rsid w:val="002D6086"/>
    <w:rsid w:val="002D6E39"/>
    <w:rsid w:val="002D72B8"/>
    <w:rsid w:val="002D7A05"/>
    <w:rsid w:val="002D7ECA"/>
    <w:rsid w:val="002D7EF1"/>
    <w:rsid w:val="002E06BB"/>
    <w:rsid w:val="002E0762"/>
    <w:rsid w:val="002E077D"/>
    <w:rsid w:val="002E1057"/>
    <w:rsid w:val="002E136D"/>
    <w:rsid w:val="002E1AED"/>
    <w:rsid w:val="002E211F"/>
    <w:rsid w:val="002E2800"/>
    <w:rsid w:val="002E43DD"/>
    <w:rsid w:val="002E485A"/>
    <w:rsid w:val="002E4B65"/>
    <w:rsid w:val="002E4FF5"/>
    <w:rsid w:val="002E5129"/>
    <w:rsid w:val="002E54D7"/>
    <w:rsid w:val="002E5D3F"/>
    <w:rsid w:val="002E5F17"/>
    <w:rsid w:val="002E620F"/>
    <w:rsid w:val="002E6A0A"/>
    <w:rsid w:val="002E7A2E"/>
    <w:rsid w:val="002F1848"/>
    <w:rsid w:val="002F1C70"/>
    <w:rsid w:val="002F24BD"/>
    <w:rsid w:val="002F349A"/>
    <w:rsid w:val="002F36B4"/>
    <w:rsid w:val="002F3D2E"/>
    <w:rsid w:val="002F5EFF"/>
    <w:rsid w:val="002F6DD0"/>
    <w:rsid w:val="002F6EE3"/>
    <w:rsid w:val="00300AEC"/>
    <w:rsid w:val="003010CE"/>
    <w:rsid w:val="00301AE2"/>
    <w:rsid w:val="0030273B"/>
    <w:rsid w:val="00302CFA"/>
    <w:rsid w:val="00303864"/>
    <w:rsid w:val="00304247"/>
    <w:rsid w:val="0030531F"/>
    <w:rsid w:val="00307452"/>
    <w:rsid w:val="00311B18"/>
    <w:rsid w:val="00311CE1"/>
    <w:rsid w:val="003125B5"/>
    <w:rsid w:val="00313CDE"/>
    <w:rsid w:val="00315009"/>
    <w:rsid w:val="003151B3"/>
    <w:rsid w:val="00315354"/>
    <w:rsid w:val="0031571C"/>
    <w:rsid w:val="003157D6"/>
    <w:rsid w:val="003173B5"/>
    <w:rsid w:val="00317D1B"/>
    <w:rsid w:val="00320D47"/>
    <w:rsid w:val="00321814"/>
    <w:rsid w:val="00321C27"/>
    <w:rsid w:val="00322194"/>
    <w:rsid w:val="00324338"/>
    <w:rsid w:val="00324C53"/>
    <w:rsid w:val="00324CCF"/>
    <w:rsid w:val="00325A1E"/>
    <w:rsid w:val="0032611D"/>
    <w:rsid w:val="003269F0"/>
    <w:rsid w:val="00326C96"/>
    <w:rsid w:val="00327568"/>
    <w:rsid w:val="003304E0"/>
    <w:rsid w:val="003307AB"/>
    <w:rsid w:val="00330C36"/>
    <w:rsid w:val="00332DE1"/>
    <w:rsid w:val="00333393"/>
    <w:rsid w:val="0033344A"/>
    <w:rsid w:val="003335EA"/>
    <w:rsid w:val="00333950"/>
    <w:rsid w:val="003345D0"/>
    <w:rsid w:val="00335660"/>
    <w:rsid w:val="00335934"/>
    <w:rsid w:val="0033646B"/>
    <w:rsid w:val="00336D41"/>
    <w:rsid w:val="00336DCB"/>
    <w:rsid w:val="003378E6"/>
    <w:rsid w:val="003410EA"/>
    <w:rsid w:val="00342163"/>
    <w:rsid w:val="003437BA"/>
    <w:rsid w:val="00343EA0"/>
    <w:rsid w:val="00344469"/>
    <w:rsid w:val="003448F9"/>
    <w:rsid w:val="00344BC8"/>
    <w:rsid w:val="0034515C"/>
    <w:rsid w:val="00345CE2"/>
    <w:rsid w:val="00347A10"/>
    <w:rsid w:val="003504D2"/>
    <w:rsid w:val="003505EE"/>
    <w:rsid w:val="00350659"/>
    <w:rsid w:val="003506E0"/>
    <w:rsid w:val="00350A2A"/>
    <w:rsid w:val="003513B0"/>
    <w:rsid w:val="0035243C"/>
    <w:rsid w:val="00352D1B"/>
    <w:rsid w:val="00356A14"/>
    <w:rsid w:val="00356B6F"/>
    <w:rsid w:val="00356F2E"/>
    <w:rsid w:val="00357A3C"/>
    <w:rsid w:val="00360013"/>
    <w:rsid w:val="003604A5"/>
    <w:rsid w:val="003607D3"/>
    <w:rsid w:val="003619BA"/>
    <w:rsid w:val="00363241"/>
    <w:rsid w:val="00365880"/>
    <w:rsid w:val="00365C29"/>
    <w:rsid w:val="003661EE"/>
    <w:rsid w:val="0036751F"/>
    <w:rsid w:val="003700DF"/>
    <w:rsid w:val="003704EE"/>
    <w:rsid w:val="00370769"/>
    <w:rsid w:val="00371784"/>
    <w:rsid w:val="003720A2"/>
    <w:rsid w:val="00372277"/>
    <w:rsid w:val="0037244D"/>
    <w:rsid w:val="003725CC"/>
    <w:rsid w:val="00372869"/>
    <w:rsid w:val="003729D1"/>
    <w:rsid w:val="003732C8"/>
    <w:rsid w:val="003738A4"/>
    <w:rsid w:val="00373CA3"/>
    <w:rsid w:val="003745D3"/>
    <w:rsid w:val="0037479C"/>
    <w:rsid w:val="003747B5"/>
    <w:rsid w:val="0037513D"/>
    <w:rsid w:val="00375F34"/>
    <w:rsid w:val="00376961"/>
    <w:rsid w:val="00376EC6"/>
    <w:rsid w:val="003773A9"/>
    <w:rsid w:val="00380AB7"/>
    <w:rsid w:val="00381400"/>
    <w:rsid w:val="00382408"/>
    <w:rsid w:val="0038270D"/>
    <w:rsid w:val="00382F95"/>
    <w:rsid w:val="00383669"/>
    <w:rsid w:val="00390B17"/>
    <w:rsid w:val="003914E6"/>
    <w:rsid w:val="00391D98"/>
    <w:rsid w:val="00392E72"/>
    <w:rsid w:val="00393DAD"/>
    <w:rsid w:val="00394003"/>
    <w:rsid w:val="00394117"/>
    <w:rsid w:val="00394407"/>
    <w:rsid w:val="00394655"/>
    <w:rsid w:val="00394D0C"/>
    <w:rsid w:val="00394E4E"/>
    <w:rsid w:val="00396899"/>
    <w:rsid w:val="00397F6E"/>
    <w:rsid w:val="003A05F9"/>
    <w:rsid w:val="003A0671"/>
    <w:rsid w:val="003A0CD7"/>
    <w:rsid w:val="003A235D"/>
    <w:rsid w:val="003A27E8"/>
    <w:rsid w:val="003A4996"/>
    <w:rsid w:val="003A4DCD"/>
    <w:rsid w:val="003A4DE3"/>
    <w:rsid w:val="003A5FB8"/>
    <w:rsid w:val="003A63DA"/>
    <w:rsid w:val="003A6600"/>
    <w:rsid w:val="003A67EC"/>
    <w:rsid w:val="003A71B4"/>
    <w:rsid w:val="003B0804"/>
    <w:rsid w:val="003B11E6"/>
    <w:rsid w:val="003B139B"/>
    <w:rsid w:val="003B2B57"/>
    <w:rsid w:val="003B341B"/>
    <w:rsid w:val="003B362C"/>
    <w:rsid w:val="003B47A3"/>
    <w:rsid w:val="003B52EC"/>
    <w:rsid w:val="003B5424"/>
    <w:rsid w:val="003B63FA"/>
    <w:rsid w:val="003B72A8"/>
    <w:rsid w:val="003B768D"/>
    <w:rsid w:val="003B78EC"/>
    <w:rsid w:val="003C0397"/>
    <w:rsid w:val="003C1F77"/>
    <w:rsid w:val="003C3A3C"/>
    <w:rsid w:val="003C3FBF"/>
    <w:rsid w:val="003C4E7E"/>
    <w:rsid w:val="003C52BC"/>
    <w:rsid w:val="003C57C3"/>
    <w:rsid w:val="003C5CFB"/>
    <w:rsid w:val="003D0483"/>
    <w:rsid w:val="003D0D3C"/>
    <w:rsid w:val="003D1FBA"/>
    <w:rsid w:val="003D2A90"/>
    <w:rsid w:val="003D2D74"/>
    <w:rsid w:val="003D2E26"/>
    <w:rsid w:val="003D33A9"/>
    <w:rsid w:val="003D389A"/>
    <w:rsid w:val="003D39F4"/>
    <w:rsid w:val="003D3D58"/>
    <w:rsid w:val="003D3E5B"/>
    <w:rsid w:val="003D3F3D"/>
    <w:rsid w:val="003D44C8"/>
    <w:rsid w:val="003D453E"/>
    <w:rsid w:val="003D5F91"/>
    <w:rsid w:val="003D635C"/>
    <w:rsid w:val="003D78B6"/>
    <w:rsid w:val="003D7A0B"/>
    <w:rsid w:val="003E0AD2"/>
    <w:rsid w:val="003E125D"/>
    <w:rsid w:val="003E17E6"/>
    <w:rsid w:val="003E21E2"/>
    <w:rsid w:val="003E2411"/>
    <w:rsid w:val="003E269B"/>
    <w:rsid w:val="003E2923"/>
    <w:rsid w:val="003E2A0F"/>
    <w:rsid w:val="003E34D4"/>
    <w:rsid w:val="003E3E79"/>
    <w:rsid w:val="003E41A7"/>
    <w:rsid w:val="003E46B0"/>
    <w:rsid w:val="003E4863"/>
    <w:rsid w:val="003E508F"/>
    <w:rsid w:val="003E5125"/>
    <w:rsid w:val="003E58E2"/>
    <w:rsid w:val="003E66FE"/>
    <w:rsid w:val="003E6B86"/>
    <w:rsid w:val="003E7FCC"/>
    <w:rsid w:val="003F0971"/>
    <w:rsid w:val="003F1545"/>
    <w:rsid w:val="003F1DBE"/>
    <w:rsid w:val="003F252A"/>
    <w:rsid w:val="003F4B76"/>
    <w:rsid w:val="003F50F3"/>
    <w:rsid w:val="003F53B0"/>
    <w:rsid w:val="003F67E5"/>
    <w:rsid w:val="003F6F97"/>
    <w:rsid w:val="003F7413"/>
    <w:rsid w:val="003F76CB"/>
    <w:rsid w:val="003F76E6"/>
    <w:rsid w:val="003F7A07"/>
    <w:rsid w:val="003F7C68"/>
    <w:rsid w:val="00400348"/>
    <w:rsid w:val="004018E1"/>
    <w:rsid w:val="00403172"/>
    <w:rsid w:val="00403A8F"/>
    <w:rsid w:val="00403C58"/>
    <w:rsid w:val="004043D3"/>
    <w:rsid w:val="00404B6C"/>
    <w:rsid w:val="0040723E"/>
    <w:rsid w:val="004072D5"/>
    <w:rsid w:val="004108F7"/>
    <w:rsid w:val="0041092F"/>
    <w:rsid w:val="00411B9D"/>
    <w:rsid w:val="004126AC"/>
    <w:rsid w:val="0041327D"/>
    <w:rsid w:val="004135E1"/>
    <w:rsid w:val="00414317"/>
    <w:rsid w:val="00415169"/>
    <w:rsid w:val="00415673"/>
    <w:rsid w:val="0042037F"/>
    <w:rsid w:val="00420B9E"/>
    <w:rsid w:val="00421427"/>
    <w:rsid w:val="00421B0E"/>
    <w:rsid w:val="0042311F"/>
    <w:rsid w:val="0042373E"/>
    <w:rsid w:val="00423947"/>
    <w:rsid w:val="00424939"/>
    <w:rsid w:val="004257DD"/>
    <w:rsid w:val="0042648E"/>
    <w:rsid w:val="00426612"/>
    <w:rsid w:val="004304E6"/>
    <w:rsid w:val="004313DC"/>
    <w:rsid w:val="00431479"/>
    <w:rsid w:val="00431C14"/>
    <w:rsid w:val="00432B4F"/>
    <w:rsid w:val="00432DEB"/>
    <w:rsid w:val="004330E2"/>
    <w:rsid w:val="004339F0"/>
    <w:rsid w:val="004341E8"/>
    <w:rsid w:val="004355FE"/>
    <w:rsid w:val="004357D6"/>
    <w:rsid w:val="00435C9F"/>
    <w:rsid w:val="00435ED2"/>
    <w:rsid w:val="00436158"/>
    <w:rsid w:val="00437385"/>
    <w:rsid w:val="00440B49"/>
    <w:rsid w:val="004410AD"/>
    <w:rsid w:val="00442BCD"/>
    <w:rsid w:val="0044349D"/>
    <w:rsid w:val="004439D4"/>
    <w:rsid w:val="00443CF3"/>
    <w:rsid w:val="00443EA4"/>
    <w:rsid w:val="0044550E"/>
    <w:rsid w:val="0044629C"/>
    <w:rsid w:val="00446332"/>
    <w:rsid w:val="00446B00"/>
    <w:rsid w:val="00446FFD"/>
    <w:rsid w:val="00447181"/>
    <w:rsid w:val="004501A3"/>
    <w:rsid w:val="00450611"/>
    <w:rsid w:val="00450E30"/>
    <w:rsid w:val="0045164E"/>
    <w:rsid w:val="0045254D"/>
    <w:rsid w:val="00453F03"/>
    <w:rsid w:val="00454E55"/>
    <w:rsid w:val="00455105"/>
    <w:rsid w:val="00455571"/>
    <w:rsid w:val="00456741"/>
    <w:rsid w:val="00456904"/>
    <w:rsid w:val="00456988"/>
    <w:rsid w:val="00460E11"/>
    <w:rsid w:val="00461147"/>
    <w:rsid w:val="00461829"/>
    <w:rsid w:val="00461ADA"/>
    <w:rsid w:val="00461CBF"/>
    <w:rsid w:val="00461CDD"/>
    <w:rsid w:val="00462321"/>
    <w:rsid w:val="00462599"/>
    <w:rsid w:val="00462C27"/>
    <w:rsid w:val="00463CCF"/>
    <w:rsid w:val="004641C7"/>
    <w:rsid w:val="00464673"/>
    <w:rsid w:val="004648E6"/>
    <w:rsid w:val="00464D0E"/>
    <w:rsid w:val="00464DE8"/>
    <w:rsid w:val="00464F2C"/>
    <w:rsid w:val="00465628"/>
    <w:rsid w:val="004664DF"/>
    <w:rsid w:val="0047029E"/>
    <w:rsid w:val="0047042E"/>
    <w:rsid w:val="00471211"/>
    <w:rsid w:val="004725CD"/>
    <w:rsid w:val="0047329E"/>
    <w:rsid w:val="00473A95"/>
    <w:rsid w:val="00474148"/>
    <w:rsid w:val="00475982"/>
    <w:rsid w:val="00480105"/>
    <w:rsid w:val="00480BC2"/>
    <w:rsid w:val="00481D0C"/>
    <w:rsid w:val="00481EF5"/>
    <w:rsid w:val="004824C8"/>
    <w:rsid w:val="00483990"/>
    <w:rsid w:val="00483F81"/>
    <w:rsid w:val="0048469B"/>
    <w:rsid w:val="00487900"/>
    <w:rsid w:val="004908D6"/>
    <w:rsid w:val="004913C9"/>
    <w:rsid w:val="00493066"/>
    <w:rsid w:val="0049316F"/>
    <w:rsid w:val="004936D2"/>
    <w:rsid w:val="004936FC"/>
    <w:rsid w:val="00495522"/>
    <w:rsid w:val="00495B8C"/>
    <w:rsid w:val="00495D57"/>
    <w:rsid w:val="00496CEF"/>
    <w:rsid w:val="00496DBC"/>
    <w:rsid w:val="0049773A"/>
    <w:rsid w:val="004978B1"/>
    <w:rsid w:val="00497D6E"/>
    <w:rsid w:val="004A0078"/>
    <w:rsid w:val="004A0FE4"/>
    <w:rsid w:val="004A16D5"/>
    <w:rsid w:val="004A1973"/>
    <w:rsid w:val="004A2CCD"/>
    <w:rsid w:val="004A3561"/>
    <w:rsid w:val="004A3667"/>
    <w:rsid w:val="004A4C5B"/>
    <w:rsid w:val="004A5241"/>
    <w:rsid w:val="004A676A"/>
    <w:rsid w:val="004A72D6"/>
    <w:rsid w:val="004A7A4C"/>
    <w:rsid w:val="004B018E"/>
    <w:rsid w:val="004B03B0"/>
    <w:rsid w:val="004B04BC"/>
    <w:rsid w:val="004B0887"/>
    <w:rsid w:val="004B091D"/>
    <w:rsid w:val="004B0CF2"/>
    <w:rsid w:val="004B2131"/>
    <w:rsid w:val="004B2AA0"/>
    <w:rsid w:val="004B4557"/>
    <w:rsid w:val="004B478C"/>
    <w:rsid w:val="004B4858"/>
    <w:rsid w:val="004B60D3"/>
    <w:rsid w:val="004B636B"/>
    <w:rsid w:val="004B65B3"/>
    <w:rsid w:val="004B6BA2"/>
    <w:rsid w:val="004B6C65"/>
    <w:rsid w:val="004B7A69"/>
    <w:rsid w:val="004C0F54"/>
    <w:rsid w:val="004C22EB"/>
    <w:rsid w:val="004C28C0"/>
    <w:rsid w:val="004C2D38"/>
    <w:rsid w:val="004C2ECC"/>
    <w:rsid w:val="004C3B61"/>
    <w:rsid w:val="004C4681"/>
    <w:rsid w:val="004C49E5"/>
    <w:rsid w:val="004C6926"/>
    <w:rsid w:val="004C705F"/>
    <w:rsid w:val="004D0A0B"/>
    <w:rsid w:val="004D1508"/>
    <w:rsid w:val="004D1785"/>
    <w:rsid w:val="004D18AC"/>
    <w:rsid w:val="004D2088"/>
    <w:rsid w:val="004D2624"/>
    <w:rsid w:val="004D31A3"/>
    <w:rsid w:val="004D4094"/>
    <w:rsid w:val="004D437B"/>
    <w:rsid w:val="004D605B"/>
    <w:rsid w:val="004D6BBD"/>
    <w:rsid w:val="004D6FCA"/>
    <w:rsid w:val="004D70FE"/>
    <w:rsid w:val="004D7D01"/>
    <w:rsid w:val="004E19F0"/>
    <w:rsid w:val="004E1DCD"/>
    <w:rsid w:val="004E1FB5"/>
    <w:rsid w:val="004E23A5"/>
    <w:rsid w:val="004E3967"/>
    <w:rsid w:val="004E5159"/>
    <w:rsid w:val="004E5545"/>
    <w:rsid w:val="004E6F0E"/>
    <w:rsid w:val="004E77AE"/>
    <w:rsid w:val="004F0542"/>
    <w:rsid w:val="004F0A2B"/>
    <w:rsid w:val="004F0C0B"/>
    <w:rsid w:val="004F2193"/>
    <w:rsid w:val="004F4529"/>
    <w:rsid w:val="004F6BBB"/>
    <w:rsid w:val="004F6C9F"/>
    <w:rsid w:val="004F730A"/>
    <w:rsid w:val="004F7485"/>
    <w:rsid w:val="005006E1"/>
    <w:rsid w:val="00500F5A"/>
    <w:rsid w:val="005025E6"/>
    <w:rsid w:val="005029AE"/>
    <w:rsid w:val="00502DD2"/>
    <w:rsid w:val="005030F2"/>
    <w:rsid w:val="00504A1A"/>
    <w:rsid w:val="00504ABD"/>
    <w:rsid w:val="00504BD3"/>
    <w:rsid w:val="00505163"/>
    <w:rsid w:val="005053CE"/>
    <w:rsid w:val="00505450"/>
    <w:rsid w:val="00505F8A"/>
    <w:rsid w:val="005062D9"/>
    <w:rsid w:val="0050644D"/>
    <w:rsid w:val="00506D78"/>
    <w:rsid w:val="00507B23"/>
    <w:rsid w:val="00510CDB"/>
    <w:rsid w:val="00510FB9"/>
    <w:rsid w:val="00512F15"/>
    <w:rsid w:val="00512F6A"/>
    <w:rsid w:val="00514007"/>
    <w:rsid w:val="005148DB"/>
    <w:rsid w:val="00514A67"/>
    <w:rsid w:val="0051537F"/>
    <w:rsid w:val="00515644"/>
    <w:rsid w:val="00517391"/>
    <w:rsid w:val="005174DB"/>
    <w:rsid w:val="005175F5"/>
    <w:rsid w:val="00520132"/>
    <w:rsid w:val="0052046D"/>
    <w:rsid w:val="00521575"/>
    <w:rsid w:val="005222D1"/>
    <w:rsid w:val="00522C7C"/>
    <w:rsid w:val="00525379"/>
    <w:rsid w:val="00525D07"/>
    <w:rsid w:val="0052680D"/>
    <w:rsid w:val="00526B46"/>
    <w:rsid w:val="005275B9"/>
    <w:rsid w:val="00527A8F"/>
    <w:rsid w:val="00530515"/>
    <w:rsid w:val="00530907"/>
    <w:rsid w:val="0053104A"/>
    <w:rsid w:val="005316E3"/>
    <w:rsid w:val="0053192A"/>
    <w:rsid w:val="00531958"/>
    <w:rsid w:val="005322F5"/>
    <w:rsid w:val="0053252E"/>
    <w:rsid w:val="005339EE"/>
    <w:rsid w:val="00533C9D"/>
    <w:rsid w:val="00536BF4"/>
    <w:rsid w:val="00536D4C"/>
    <w:rsid w:val="00537F70"/>
    <w:rsid w:val="00541905"/>
    <w:rsid w:val="00541EBD"/>
    <w:rsid w:val="0054303C"/>
    <w:rsid w:val="0054345B"/>
    <w:rsid w:val="00545121"/>
    <w:rsid w:val="0054530F"/>
    <w:rsid w:val="00545397"/>
    <w:rsid w:val="00545583"/>
    <w:rsid w:val="0054564A"/>
    <w:rsid w:val="005457E0"/>
    <w:rsid w:val="00545DF4"/>
    <w:rsid w:val="00546020"/>
    <w:rsid w:val="005473DB"/>
    <w:rsid w:val="00550845"/>
    <w:rsid w:val="00551119"/>
    <w:rsid w:val="005512C7"/>
    <w:rsid w:val="00551498"/>
    <w:rsid w:val="00551D42"/>
    <w:rsid w:val="00551F73"/>
    <w:rsid w:val="00552396"/>
    <w:rsid w:val="00552AF9"/>
    <w:rsid w:val="005534E7"/>
    <w:rsid w:val="0055412C"/>
    <w:rsid w:val="00554BDE"/>
    <w:rsid w:val="00554F2B"/>
    <w:rsid w:val="00555589"/>
    <w:rsid w:val="0055637B"/>
    <w:rsid w:val="00556BA2"/>
    <w:rsid w:val="00556FCB"/>
    <w:rsid w:val="00560164"/>
    <w:rsid w:val="00560F57"/>
    <w:rsid w:val="005613B9"/>
    <w:rsid w:val="00561DB0"/>
    <w:rsid w:val="005625D9"/>
    <w:rsid w:val="00563063"/>
    <w:rsid w:val="00563B0E"/>
    <w:rsid w:val="00564925"/>
    <w:rsid w:val="00564A47"/>
    <w:rsid w:val="00565F72"/>
    <w:rsid w:val="00566EFD"/>
    <w:rsid w:val="0056725C"/>
    <w:rsid w:val="005677DA"/>
    <w:rsid w:val="00567C50"/>
    <w:rsid w:val="00567DFE"/>
    <w:rsid w:val="00570742"/>
    <w:rsid w:val="00570B60"/>
    <w:rsid w:val="005719BD"/>
    <w:rsid w:val="00572819"/>
    <w:rsid w:val="00572D2E"/>
    <w:rsid w:val="00572D76"/>
    <w:rsid w:val="00572E51"/>
    <w:rsid w:val="00573728"/>
    <w:rsid w:val="005742FC"/>
    <w:rsid w:val="00576198"/>
    <w:rsid w:val="00576876"/>
    <w:rsid w:val="00577640"/>
    <w:rsid w:val="005803BE"/>
    <w:rsid w:val="00581B50"/>
    <w:rsid w:val="00581F33"/>
    <w:rsid w:val="0058247C"/>
    <w:rsid w:val="005832FE"/>
    <w:rsid w:val="0058364B"/>
    <w:rsid w:val="0058365A"/>
    <w:rsid w:val="005840FB"/>
    <w:rsid w:val="00584DA4"/>
    <w:rsid w:val="00585A4D"/>
    <w:rsid w:val="00585BE5"/>
    <w:rsid w:val="00586399"/>
    <w:rsid w:val="005865FD"/>
    <w:rsid w:val="005866A3"/>
    <w:rsid w:val="00587226"/>
    <w:rsid w:val="00587E88"/>
    <w:rsid w:val="005905A7"/>
    <w:rsid w:val="00593390"/>
    <w:rsid w:val="005934D5"/>
    <w:rsid w:val="00593AFA"/>
    <w:rsid w:val="00594AFF"/>
    <w:rsid w:val="00594DF8"/>
    <w:rsid w:val="00595F08"/>
    <w:rsid w:val="005963FE"/>
    <w:rsid w:val="005975BD"/>
    <w:rsid w:val="005A0961"/>
    <w:rsid w:val="005A0BF7"/>
    <w:rsid w:val="005A13A1"/>
    <w:rsid w:val="005A18B7"/>
    <w:rsid w:val="005A23FD"/>
    <w:rsid w:val="005A2B4F"/>
    <w:rsid w:val="005A36D9"/>
    <w:rsid w:val="005A38F7"/>
    <w:rsid w:val="005A4609"/>
    <w:rsid w:val="005A55E8"/>
    <w:rsid w:val="005A565B"/>
    <w:rsid w:val="005A611D"/>
    <w:rsid w:val="005A6201"/>
    <w:rsid w:val="005A652B"/>
    <w:rsid w:val="005A66E3"/>
    <w:rsid w:val="005A6B9D"/>
    <w:rsid w:val="005B13B3"/>
    <w:rsid w:val="005B1EB6"/>
    <w:rsid w:val="005B1FCF"/>
    <w:rsid w:val="005B285D"/>
    <w:rsid w:val="005B2A8C"/>
    <w:rsid w:val="005B2D2D"/>
    <w:rsid w:val="005B38BC"/>
    <w:rsid w:val="005B4667"/>
    <w:rsid w:val="005B53DB"/>
    <w:rsid w:val="005B56E1"/>
    <w:rsid w:val="005B5F97"/>
    <w:rsid w:val="005B619D"/>
    <w:rsid w:val="005B656A"/>
    <w:rsid w:val="005B70CB"/>
    <w:rsid w:val="005B746B"/>
    <w:rsid w:val="005C0AA7"/>
    <w:rsid w:val="005C1B15"/>
    <w:rsid w:val="005C20A8"/>
    <w:rsid w:val="005C3A61"/>
    <w:rsid w:val="005C3F1C"/>
    <w:rsid w:val="005C41A4"/>
    <w:rsid w:val="005C4325"/>
    <w:rsid w:val="005C432A"/>
    <w:rsid w:val="005C4397"/>
    <w:rsid w:val="005C73AD"/>
    <w:rsid w:val="005C7438"/>
    <w:rsid w:val="005C74A6"/>
    <w:rsid w:val="005D0107"/>
    <w:rsid w:val="005D0F44"/>
    <w:rsid w:val="005D1127"/>
    <w:rsid w:val="005D1ED6"/>
    <w:rsid w:val="005D1F90"/>
    <w:rsid w:val="005D2687"/>
    <w:rsid w:val="005D3B64"/>
    <w:rsid w:val="005D417F"/>
    <w:rsid w:val="005D45C2"/>
    <w:rsid w:val="005D6A57"/>
    <w:rsid w:val="005D73D4"/>
    <w:rsid w:val="005D7658"/>
    <w:rsid w:val="005E1C0C"/>
    <w:rsid w:val="005E3224"/>
    <w:rsid w:val="005E4C26"/>
    <w:rsid w:val="005E501F"/>
    <w:rsid w:val="005E5183"/>
    <w:rsid w:val="005E56B2"/>
    <w:rsid w:val="005E56CC"/>
    <w:rsid w:val="005E577A"/>
    <w:rsid w:val="005E5D16"/>
    <w:rsid w:val="005E657D"/>
    <w:rsid w:val="005E743F"/>
    <w:rsid w:val="005E76B6"/>
    <w:rsid w:val="005E7A1C"/>
    <w:rsid w:val="005F00C8"/>
    <w:rsid w:val="005F0892"/>
    <w:rsid w:val="005F151B"/>
    <w:rsid w:val="005F1D5A"/>
    <w:rsid w:val="005F2222"/>
    <w:rsid w:val="005F316F"/>
    <w:rsid w:val="005F39E1"/>
    <w:rsid w:val="005F514B"/>
    <w:rsid w:val="005F54DE"/>
    <w:rsid w:val="005F555F"/>
    <w:rsid w:val="005F6490"/>
    <w:rsid w:val="005F6510"/>
    <w:rsid w:val="00601126"/>
    <w:rsid w:val="00603F46"/>
    <w:rsid w:val="00604824"/>
    <w:rsid w:val="0060516D"/>
    <w:rsid w:val="00605258"/>
    <w:rsid w:val="006052EC"/>
    <w:rsid w:val="0060530E"/>
    <w:rsid w:val="00605533"/>
    <w:rsid w:val="00605AE5"/>
    <w:rsid w:val="00606B78"/>
    <w:rsid w:val="00607B4D"/>
    <w:rsid w:val="00607EAC"/>
    <w:rsid w:val="00607F80"/>
    <w:rsid w:val="00611009"/>
    <w:rsid w:val="00612BEF"/>
    <w:rsid w:val="00612EED"/>
    <w:rsid w:val="00613AFA"/>
    <w:rsid w:val="00614956"/>
    <w:rsid w:val="00614F69"/>
    <w:rsid w:val="006150A2"/>
    <w:rsid w:val="00615F63"/>
    <w:rsid w:val="00621468"/>
    <w:rsid w:val="0062213A"/>
    <w:rsid w:val="00623AF8"/>
    <w:rsid w:val="00624D25"/>
    <w:rsid w:val="0062652E"/>
    <w:rsid w:val="00626719"/>
    <w:rsid w:val="006272A4"/>
    <w:rsid w:val="0062730E"/>
    <w:rsid w:val="00630303"/>
    <w:rsid w:val="0063057C"/>
    <w:rsid w:val="00631CC2"/>
    <w:rsid w:val="00631E94"/>
    <w:rsid w:val="00632B70"/>
    <w:rsid w:val="00632F1C"/>
    <w:rsid w:val="00633D78"/>
    <w:rsid w:val="00634AF4"/>
    <w:rsid w:val="006354E0"/>
    <w:rsid w:val="00635919"/>
    <w:rsid w:val="0063605D"/>
    <w:rsid w:val="00636104"/>
    <w:rsid w:val="006366C2"/>
    <w:rsid w:val="0063696B"/>
    <w:rsid w:val="00636D35"/>
    <w:rsid w:val="00640965"/>
    <w:rsid w:val="00640DA6"/>
    <w:rsid w:val="00641699"/>
    <w:rsid w:val="0064358A"/>
    <w:rsid w:val="00643BEF"/>
    <w:rsid w:val="00643E2D"/>
    <w:rsid w:val="006442E7"/>
    <w:rsid w:val="00644338"/>
    <w:rsid w:val="0064496D"/>
    <w:rsid w:val="00644DE8"/>
    <w:rsid w:val="0064569B"/>
    <w:rsid w:val="00645A1A"/>
    <w:rsid w:val="00646E21"/>
    <w:rsid w:val="00647100"/>
    <w:rsid w:val="0064730F"/>
    <w:rsid w:val="0064737E"/>
    <w:rsid w:val="0065008A"/>
    <w:rsid w:val="006504FB"/>
    <w:rsid w:val="006505CA"/>
    <w:rsid w:val="00650F0E"/>
    <w:rsid w:val="006510F4"/>
    <w:rsid w:val="0065226F"/>
    <w:rsid w:val="006530A1"/>
    <w:rsid w:val="00653471"/>
    <w:rsid w:val="00653F53"/>
    <w:rsid w:val="00654A8B"/>
    <w:rsid w:val="00654B4E"/>
    <w:rsid w:val="00654C53"/>
    <w:rsid w:val="006556EA"/>
    <w:rsid w:val="0065583B"/>
    <w:rsid w:val="00655940"/>
    <w:rsid w:val="006566DC"/>
    <w:rsid w:val="00657180"/>
    <w:rsid w:val="00657626"/>
    <w:rsid w:val="00660702"/>
    <w:rsid w:val="00660F95"/>
    <w:rsid w:val="00661889"/>
    <w:rsid w:val="00661F70"/>
    <w:rsid w:val="006626B3"/>
    <w:rsid w:val="00662742"/>
    <w:rsid w:val="00662CEF"/>
    <w:rsid w:val="00662ECF"/>
    <w:rsid w:val="00663772"/>
    <w:rsid w:val="00663C00"/>
    <w:rsid w:val="006644CD"/>
    <w:rsid w:val="0066555E"/>
    <w:rsid w:val="00665D0E"/>
    <w:rsid w:val="00666242"/>
    <w:rsid w:val="00666C68"/>
    <w:rsid w:val="006709F0"/>
    <w:rsid w:val="00670AA0"/>
    <w:rsid w:val="00670F10"/>
    <w:rsid w:val="006718EF"/>
    <w:rsid w:val="00672110"/>
    <w:rsid w:val="006738CF"/>
    <w:rsid w:val="00673B45"/>
    <w:rsid w:val="00674947"/>
    <w:rsid w:val="00674E4C"/>
    <w:rsid w:val="00674FB6"/>
    <w:rsid w:val="00675EE0"/>
    <w:rsid w:val="00676982"/>
    <w:rsid w:val="00676C93"/>
    <w:rsid w:val="00676DB7"/>
    <w:rsid w:val="006779E6"/>
    <w:rsid w:val="0068223A"/>
    <w:rsid w:val="00682FA9"/>
    <w:rsid w:val="00683320"/>
    <w:rsid w:val="00683B1D"/>
    <w:rsid w:val="0068417A"/>
    <w:rsid w:val="0068450B"/>
    <w:rsid w:val="0068451A"/>
    <w:rsid w:val="006854A1"/>
    <w:rsid w:val="00687AF5"/>
    <w:rsid w:val="00687BCC"/>
    <w:rsid w:val="0069051E"/>
    <w:rsid w:val="0069057B"/>
    <w:rsid w:val="006917A3"/>
    <w:rsid w:val="006918B0"/>
    <w:rsid w:val="006928FA"/>
    <w:rsid w:val="006931CD"/>
    <w:rsid w:val="006950CE"/>
    <w:rsid w:val="006976FC"/>
    <w:rsid w:val="006A00DE"/>
    <w:rsid w:val="006A00E4"/>
    <w:rsid w:val="006A066E"/>
    <w:rsid w:val="006A122A"/>
    <w:rsid w:val="006A19EC"/>
    <w:rsid w:val="006A1CA1"/>
    <w:rsid w:val="006A2D6F"/>
    <w:rsid w:val="006A3542"/>
    <w:rsid w:val="006A367C"/>
    <w:rsid w:val="006A4732"/>
    <w:rsid w:val="006A4F77"/>
    <w:rsid w:val="006A5310"/>
    <w:rsid w:val="006A5BC8"/>
    <w:rsid w:val="006A633D"/>
    <w:rsid w:val="006A6D6B"/>
    <w:rsid w:val="006A703B"/>
    <w:rsid w:val="006A75E6"/>
    <w:rsid w:val="006B0514"/>
    <w:rsid w:val="006B15E9"/>
    <w:rsid w:val="006B1B76"/>
    <w:rsid w:val="006B2417"/>
    <w:rsid w:val="006B2984"/>
    <w:rsid w:val="006B3213"/>
    <w:rsid w:val="006B4EB6"/>
    <w:rsid w:val="006B6D55"/>
    <w:rsid w:val="006B73D0"/>
    <w:rsid w:val="006B78BB"/>
    <w:rsid w:val="006B7BFC"/>
    <w:rsid w:val="006C09EE"/>
    <w:rsid w:val="006C0A9A"/>
    <w:rsid w:val="006C12DD"/>
    <w:rsid w:val="006C2AE9"/>
    <w:rsid w:val="006C38B4"/>
    <w:rsid w:val="006C392A"/>
    <w:rsid w:val="006C3BE7"/>
    <w:rsid w:val="006C5676"/>
    <w:rsid w:val="006C6D46"/>
    <w:rsid w:val="006C6F22"/>
    <w:rsid w:val="006C7209"/>
    <w:rsid w:val="006C769B"/>
    <w:rsid w:val="006D0E7B"/>
    <w:rsid w:val="006D17D7"/>
    <w:rsid w:val="006D18F1"/>
    <w:rsid w:val="006D1ED2"/>
    <w:rsid w:val="006D33D4"/>
    <w:rsid w:val="006D3642"/>
    <w:rsid w:val="006D3FD2"/>
    <w:rsid w:val="006D40FA"/>
    <w:rsid w:val="006D48CD"/>
    <w:rsid w:val="006D4C76"/>
    <w:rsid w:val="006D57DF"/>
    <w:rsid w:val="006D64FC"/>
    <w:rsid w:val="006D65CB"/>
    <w:rsid w:val="006E03D3"/>
    <w:rsid w:val="006E05B9"/>
    <w:rsid w:val="006E07A9"/>
    <w:rsid w:val="006E239F"/>
    <w:rsid w:val="006E2F18"/>
    <w:rsid w:val="006E3271"/>
    <w:rsid w:val="006E391E"/>
    <w:rsid w:val="006E7861"/>
    <w:rsid w:val="006F1121"/>
    <w:rsid w:val="006F21A4"/>
    <w:rsid w:val="006F2466"/>
    <w:rsid w:val="006F24FE"/>
    <w:rsid w:val="006F25E5"/>
    <w:rsid w:val="006F2B77"/>
    <w:rsid w:val="006F36E6"/>
    <w:rsid w:val="006F4A74"/>
    <w:rsid w:val="0070016E"/>
    <w:rsid w:val="00700C92"/>
    <w:rsid w:val="007028A4"/>
    <w:rsid w:val="00703055"/>
    <w:rsid w:val="00703AAA"/>
    <w:rsid w:val="00703DAC"/>
    <w:rsid w:val="00704A13"/>
    <w:rsid w:val="00705652"/>
    <w:rsid w:val="007056B2"/>
    <w:rsid w:val="0070695F"/>
    <w:rsid w:val="00706A65"/>
    <w:rsid w:val="00707CB0"/>
    <w:rsid w:val="00710279"/>
    <w:rsid w:val="007115BD"/>
    <w:rsid w:val="00711F20"/>
    <w:rsid w:val="00712350"/>
    <w:rsid w:val="00712749"/>
    <w:rsid w:val="00713C22"/>
    <w:rsid w:val="007158C9"/>
    <w:rsid w:val="00715A7E"/>
    <w:rsid w:val="00715F67"/>
    <w:rsid w:val="00716846"/>
    <w:rsid w:val="00716E0D"/>
    <w:rsid w:val="00716F98"/>
    <w:rsid w:val="00717090"/>
    <w:rsid w:val="00717218"/>
    <w:rsid w:val="007173BD"/>
    <w:rsid w:val="00720B46"/>
    <w:rsid w:val="00721089"/>
    <w:rsid w:val="007224B6"/>
    <w:rsid w:val="007225F9"/>
    <w:rsid w:val="00722B90"/>
    <w:rsid w:val="007231A9"/>
    <w:rsid w:val="00723258"/>
    <w:rsid w:val="00723C77"/>
    <w:rsid w:val="00723F76"/>
    <w:rsid w:val="007240FE"/>
    <w:rsid w:val="00725F7F"/>
    <w:rsid w:val="007263B4"/>
    <w:rsid w:val="00726558"/>
    <w:rsid w:val="007309A2"/>
    <w:rsid w:val="00732614"/>
    <w:rsid w:val="00732A57"/>
    <w:rsid w:val="007332B9"/>
    <w:rsid w:val="007335A8"/>
    <w:rsid w:val="00733E23"/>
    <w:rsid w:val="00734B70"/>
    <w:rsid w:val="007357E6"/>
    <w:rsid w:val="00736DC2"/>
    <w:rsid w:val="007371ED"/>
    <w:rsid w:val="007372CE"/>
    <w:rsid w:val="0073764C"/>
    <w:rsid w:val="00737893"/>
    <w:rsid w:val="00741811"/>
    <w:rsid w:val="0074214F"/>
    <w:rsid w:val="007432EF"/>
    <w:rsid w:val="00743C33"/>
    <w:rsid w:val="00744B04"/>
    <w:rsid w:val="00744D9A"/>
    <w:rsid w:val="00745A3D"/>
    <w:rsid w:val="00745E8C"/>
    <w:rsid w:val="00746AC0"/>
    <w:rsid w:val="007501A4"/>
    <w:rsid w:val="00750965"/>
    <w:rsid w:val="0075196B"/>
    <w:rsid w:val="00751B1C"/>
    <w:rsid w:val="00751C47"/>
    <w:rsid w:val="00752397"/>
    <w:rsid w:val="0075306B"/>
    <w:rsid w:val="00753352"/>
    <w:rsid w:val="00754814"/>
    <w:rsid w:val="00754D26"/>
    <w:rsid w:val="007557DD"/>
    <w:rsid w:val="00755C1D"/>
    <w:rsid w:val="00755C65"/>
    <w:rsid w:val="00756060"/>
    <w:rsid w:val="0075617D"/>
    <w:rsid w:val="0075667B"/>
    <w:rsid w:val="00756DE0"/>
    <w:rsid w:val="00756E7A"/>
    <w:rsid w:val="00760D45"/>
    <w:rsid w:val="007626BF"/>
    <w:rsid w:val="007628E5"/>
    <w:rsid w:val="007634B2"/>
    <w:rsid w:val="00765201"/>
    <w:rsid w:val="00765B43"/>
    <w:rsid w:val="00766129"/>
    <w:rsid w:val="0076635F"/>
    <w:rsid w:val="007666B3"/>
    <w:rsid w:val="00766D0C"/>
    <w:rsid w:val="0076753D"/>
    <w:rsid w:val="00767854"/>
    <w:rsid w:val="00767959"/>
    <w:rsid w:val="00770A69"/>
    <w:rsid w:val="00772B7D"/>
    <w:rsid w:val="00773331"/>
    <w:rsid w:val="00773A1B"/>
    <w:rsid w:val="00773F8C"/>
    <w:rsid w:val="00774393"/>
    <w:rsid w:val="007743C1"/>
    <w:rsid w:val="00774470"/>
    <w:rsid w:val="00774B64"/>
    <w:rsid w:val="00774EC6"/>
    <w:rsid w:val="007750E4"/>
    <w:rsid w:val="00775DB5"/>
    <w:rsid w:val="00776B66"/>
    <w:rsid w:val="00776E5A"/>
    <w:rsid w:val="0077767D"/>
    <w:rsid w:val="00777D38"/>
    <w:rsid w:val="0078196A"/>
    <w:rsid w:val="00781BF7"/>
    <w:rsid w:val="007821D9"/>
    <w:rsid w:val="00783CEA"/>
    <w:rsid w:val="007855C7"/>
    <w:rsid w:val="0078764E"/>
    <w:rsid w:val="00790D83"/>
    <w:rsid w:val="0079151D"/>
    <w:rsid w:val="007932EF"/>
    <w:rsid w:val="00793460"/>
    <w:rsid w:val="00793C6C"/>
    <w:rsid w:val="007960D2"/>
    <w:rsid w:val="0079672C"/>
    <w:rsid w:val="00796D77"/>
    <w:rsid w:val="00797A4E"/>
    <w:rsid w:val="00797FD3"/>
    <w:rsid w:val="007A1427"/>
    <w:rsid w:val="007A156A"/>
    <w:rsid w:val="007A1E7A"/>
    <w:rsid w:val="007A2FE9"/>
    <w:rsid w:val="007A345F"/>
    <w:rsid w:val="007A3D18"/>
    <w:rsid w:val="007B0C27"/>
    <w:rsid w:val="007B0C95"/>
    <w:rsid w:val="007B0FD9"/>
    <w:rsid w:val="007B1073"/>
    <w:rsid w:val="007B1717"/>
    <w:rsid w:val="007B34F3"/>
    <w:rsid w:val="007B3982"/>
    <w:rsid w:val="007B3AB3"/>
    <w:rsid w:val="007B3CAD"/>
    <w:rsid w:val="007B4AE0"/>
    <w:rsid w:val="007B500D"/>
    <w:rsid w:val="007B55B3"/>
    <w:rsid w:val="007B5A4A"/>
    <w:rsid w:val="007B5B9C"/>
    <w:rsid w:val="007B6844"/>
    <w:rsid w:val="007B6DB8"/>
    <w:rsid w:val="007B7A18"/>
    <w:rsid w:val="007C00CE"/>
    <w:rsid w:val="007C0590"/>
    <w:rsid w:val="007C294C"/>
    <w:rsid w:val="007C2AF7"/>
    <w:rsid w:val="007C2CF5"/>
    <w:rsid w:val="007C3684"/>
    <w:rsid w:val="007C411E"/>
    <w:rsid w:val="007C48E2"/>
    <w:rsid w:val="007C4BD9"/>
    <w:rsid w:val="007C58EF"/>
    <w:rsid w:val="007C7AFD"/>
    <w:rsid w:val="007D1F84"/>
    <w:rsid w:val="007D2655"/>
    <w:rsid w:val="007D275D"/>
    <w:rsid w:val="007D2F70"/>
    <w:rsid w:val="007D3182"/>
    <w:rsid w:val="007D353B"/>
    <w:rsid w:val="007D3A40"/>
    <w:rsid w:val="007D3DA4"/>
    <w:rsid w:val="007D7A41"/>
    <w:rsid w:val="007D7D30"/>
    <w:rsid w:val="007E01E3"/>
    <w:rsid w:val="007E01FC"/>
    <w:rsid w:val="007E03F4"/>
    <w:rsid w:val="007E05B0"/>
    <w:rsid w:val="007E05E5"/>
    <w:rsid w:val="007E08D8"/>
    <w:rsid w:val="007E0A36"/>
    <w:rsid w:val="007E1BFE"/>
    <w:rsid w:val="007E1C68"/>
    <w:rsid w:val="007E2AF6"/>
    <w:rsid w:val="007E2E15"/>
    <w:rsid w:val="007E376F"/>
    <w:rsid w:val="007E3F33"/>
    <w:rsid w:val="007E4080"/>
    <w:rsid w:val="007E448A"/>
    <w:rsid w:val="007E4820"/>
    <w:rsid w:val="007E4AD2"/>
    <w:rsid w:val="007E4B27"/>
    <w:rsid w:val="007E4C71"/>
    <w:rsid w:val="007E554C"/>
    <w:rsid w:val="007E5851"/>
    <w:rsid w:val="007E6AEB"/>
    <w:rsid w:val="007E6B0B"/>
    <w:rsid w:val="007F077F"/>
    <w:rsid w:val="007F1CB3"/>
    <w:rsid w:val="007F1FED"/>
    <w:rsid w:val="007F3A7D"/>
    <w:rsid w:val="007F3D6A"/>
    <w:rsid w:val="007F51F0"/>
    <w:rsid w:val="007F6150"/>
    <w:rsid w:val="007F6773"/>
    <w:rsid w:val="007F6D73"/>
    <w:rsid w:val="00800153"/>
    <w:rsid w:val="008004CA"/>
    <w:rsid w:val="00800F5C"/>
    <w:rsid w:val="008018DE"/>
    <w:rsid w:val="00802C64"/>
    <w:rsid w:val="00803427"/>
    <w:rsid w:val="0080428C"/>
    <w:rsid w:val="00804C62"/>
    <w:rsid w:val="008055F6"/>
    <w:rsid w:val="00805973"/>
    <w:rsid w:val="00806257"/>
    <w:rsid w:val="00806E50"/>
    <w:rsid w:val="008101B3"/>
    <w:rsid w:val="00810583"/>
    <w:rsid w:val="00811014"/>
    <w:rsid w:val="0081104E"/>
    <w:rsid w:val="00811170"/>
    <w:rsid w:val="00811A4A"/>
    <w:rsid w:val="00812302"/>
    <w:rsid w:val="00812C15"/>
    <w:rsid w:val="0081394C"/>
    <w:rsid w:val="00813B35"/>
    <w:rsid w:val="0081604D"/>
    <w:rsid w:val="008173B3"/>
    <w:rsid w:val="0082053D"/>
    <w:rsid w:val="00821A13"/>
    <w:rsid w:val="008225D1"/>
    <w:rsid w:val="00822B3A"/>
    <w:rsid w:val="00822EAF"/>
    <w:rsid w:val="00822F09"/>
    <w:rsid w:val="0082338B"/>
    <w:rsid w:val="00823658"/>
    <w:rsid w:val="00823B87"/>
    <w:rsid w:val="00823E1F"/>
    <w:rsid w:val="00824CFE"/>
    <w:rsid w:val="00826057"/>
    <w:rsid w:val="00826302"/>
    <w:rsid w:val="008264BD"/>
    <w:rsid w:val="00826502"/>
    <w:rsid w:val="0082782B"/>
    <w:rsid w:val="008307DF"/>
    <w:rsid w:val="00830EE5"/>
    <w:rsid w:val="00830F98"/>
    <w:rsid w:val="0083267D"/>
    <w:rsid w:val="00832F1B"/>
    <w:rsid w:val="00833389"/>
    <w:rsid w:val="00833BA3"/>
    <w:rsid w:val="00833D30"/>
    <w:rsid w:val="00833E9B"/>
    <w:rsid w:val="00834AA0"/>
    <w:rsid w:val="00834CFD"/>
    <w:rsid w:val="008356B9"/>
    <w:rsid w:val="008363A4"/>
    <w:rsid w:val="0083721C"/>
    <w:rsid w:val="00837804"/>
    <w:rsid w:val="00841033"/>
    <w:rsid w:val="00841C22"/>
    <w:rsid w:val="00842370"/>
    <w:rsid w:val="00842543"/>
    <w:rsid w:val="00842A88"/>
    <w:rsid w:val="00842F44"/>
    <w:rsid w:val="0084332A"/>
    <w:rsid w:val="00843AA8"/>
    <w:rsid w:val="00843E4A"/>
    <w:rsid w:val="00844128"/>
    <w:rsid w:val="00844711"/>
    <w:rsid w:val="00844AD1"/>
    <w:rsid w:val="00845FAE"/>
    <w:rsid w:val="00846E29"/>
    <w:rsid w:val="00847720"/>
    <w:rsid w:val="00850215"/>
    <w:rsid w:val="00850435"/>
    <w:rsid w:val="0085077A"/>
    <w:rsid w:val="00851231"/>
    <w:rsid w:val="00851C1E"/>
    <w:rsid w:val="00851CD7"/>
    <w:rsid w:val="00852CEE"/>
    <w:rsid w:val="00852EA1"/>
    <w:rsid w:val="00852F1D"/>
    <w:rsid w:val="008534A8"/>
    <w:rsid w:val="008549BD"/>
    <w:rsid w:val="00854CC9"/>
    <w:rsid w:val="00854DEE"/>
    <w:rsid w:val="00855538"/>
    <w:rsid w:val="00855841"/>
    <w:rsid w:val="00857BA3"/>
    <w:rsid w:val="00860D7B"/>
    <w:rsid w:val="0086109A"/>
    <w:rsid w:val="00861B85"/>
    <w:rsid w:val="00861F82"/>
    <w:rsid w:val="008637D4"/>
    <w:rsid w:val="008638D7"/>
    <w:rsid w:val="0086411A"/>
    <w:rsid w:val="008647CF"/>
    <w:rsid w:val="00864EE4"/>
    <w:rsid w:val="0086514A"/>
    <w:rsid w:val="00865925"/>
    <w:rsid w:val="00865DF9"/>
    <w:rsid w:val="008667E9"/>
    <w:rsid w:val="00866F83"/>
    <w:rsid w:val="008703B5"/>
    <w:rsid w:val="00870AC4"/>
    <w:rsid w:val="00872AE3"/>
    <w:rsid w:val="00873625"/>
    <w:rsid w:val="00873915"/>
    <w:rsid w:val="00873D07"/>
    <w:rsid w:val="00874D22"/>
    <w:rsid w:val="00874D7D"/>
    <w:rsid w:val="008758DA"/>
    <w:rsid w:val="00876764"/>
    <w:rsid w:val="0088164C"/>
    <w:rsid w:val="00881997"/>
    <w:rsid w:val="00881D51"/>
    <w:rsid w:val="00882948"/>
    <w:rsid w:val="00882CBD"/>
    <w:rsid w:val="00882E56"/>
    <w:rsid w:val="00883BF0"/>
    <w:rsid w:val="00883EBD"/>
    <w:rsid w:val="00884056"/>
    <w:rsid w:val="0088488B"/>
    <w:rsid w:val="00885512"/>
    <w:rsid w:val="00885993"/>
    <w:rsid w:val="008869CC"/>
    <w:rsid w:val="00886B18"/>
    <w:rsid w:val="008871D6"/>
    <w:rsid w:val="00887C7F"/>
    <w:rsid w:val="00891B15"/>
    <w:rsid w:val="00891B8E"/>
    <w:rsid w:val="00891EEE"/>
    <w:rsid w:val="00892B22"/>
    <w:rsid w:val="008936D2"/>
    <w:rsid w:val="0089429B"/>
    <w:rsid w:val="00894627"/>
    <w:rsid w:val="00894DE9"/>
    <w:rsid w:val="00895163"/>
    <w:rsid w:val="0089562B"/>
    <w:rsid w:val="00895E23"/>
    <w:rsid w:val="008960E6"/>
    <w:rsid w:val="00896E89"/>
    <w:rsid w:val="0089781A"/>
    <w:rsid w:val="008A1795"/>
    <w:rsid w:val="008A1D70"/>
    <w:rsid w:val="008A27E0"/>
    <w:rsid w:val="008A2914"/>
    <w:rsid w:val="008A3F16"/>
    <w:rsid w:val="008A6096"/>
    <w:rsid w:val="008A6FCA"/>
    <w:rsid w:val="008A7960"/>
    <w:rsid w:val="008B12B2"/>
    <w:rsid w:val="008B1418"/>
    <w:rsid w:val="008B23B2"/>
    <w:rsid w:val="008B3331"/>
    <w:rsid w:val="008B37DA"/>
    <w:rsid w:val="008B3FC4"/>
    <w:rsid w:val="008B3FC7"/>
    <w:rsid w:val="008B44D5"/>
    <w:rsid w:val="008B5245"/>
    <w:rsid w:val="008B5A34"/>
    <w:rsid w:val="008B601F"/>
    <w:rsid w:val="008B649B"/>
    <w:rsid w:val="008B660C"/>
    <w:rsid w:val="008B6811"/>
    <w:rsid w:val="008B6986"/>
    <w:rsid w:val="008B6FC0"/>
    <w:rsid w:val="008B739C"/>
    <w:rsid w:val="008C2AF7"/>
    <w:rsid w:val="008C3BDC"/>
    <w:rsid w:val="008C45CB"/>
    <w:rsid w:val="008C472F"/>
    <w:rsid w:val="008C5A59"/>
    <w:rsid w:val="008C6184"/>
    <w:rsid w:val="008C6223"/>
    <w:rsid w:val="008C64F7"/>
    <w:rsid w:val="008C688C"/>
    <w:rsid w:val="008C6DB6"/>
    <w:rsid w:val="008C6E50"/>
    <w:rsid w:val="008C6EFC"/>
    <w:rsid w:val="008C7848"/>
    <w:rsid w:val="008C7F00"/>
    <w:rsid w:val="008D03B4"/>
    <w:rsid w:val="008D09DB"/>
    <w:rsid w:val="008D11F5"/>
    <w:rsid w:val="008D1644"/>
    <w:rsid w:val="008D1AA1"/>
    <w:rsid w:val="008D1BAA"/>
    <w:rsid w:val="008D1C36"/>
    <w:rsid w:val="008D2124"/>
    <w:rsid w:val="008D24E8"/>
    <w:rsid w:val="008D274E"/>
    <w:rsid w:val="008D3451"/>
    <w:rsid w:val="008D356C"/>
    <w:rsid w:val="008D4623"/>
    <w:rsid w:val="008D4AB5"/>
    <w:rsid w:val="008D5F7F"/>
    <w:rsid w:val="008D6484"/>
    <w:rsid w:val="008D7754"/>
    <w:rsid w:val="008E073B"/>
    <w:rsid w:val="008E07BD"/>
    <w:rsid w:val="008E0D4C"/>
    <w:rsid w:val="008E1CBF"/>
    <w:rsid w:val="008E49DD"/>
    <w:rsid w:val="008E4B14"/>
    <w:rsid w:val="008E4D8E"/>
    <w:rsid w:val="008E569F"/>
    <w:rsid w:val="008E57D0"/>
    <w:rsid w:val="008E643F"/>
    <w:rsid w:val="008E76A6"/>
    <w:rsid w:val="008E76F8"/>
    <w:rsid w:val="008E7D05"/>
    <w:rsid w:val="008F03A5"/>
    <w:rsid w:val="008F2473"/>
    <w:rsid w:val="008F2C22"/>
    <w:rsid w:val="008F430D"/>
    <w:rsid w:val="008F459B"/>
    <w:rsid w:val="008F4909"/>
    <w:rsid w:val="008F4E6F"/>
    <w:rsid w:val="008F5418"/>
    <w:rsid w:val="008F5C8D"/>
    <w:rsid w:val="008F5DDF"/>
    <w:rsid w:val="008F604C"/>
    <w:rsid w:val="008F7018"/>
    <w:rsid w:val="008F7BAE"/>
    <w:rsid w:val="00900722"/>
    <w:rsid w:val="009025A3"/>
    <w:rsid w:val="00902F59"/>
    <w:rsid w:val="0090363A"/>
    <w:rsid w:val="00904274"/>
    <w:rsid w:val="009047B3"/>
    <w:rsid w:val="009056D7"/>
    <w:rsid w:val="009058AE"/>
    <w:rsid w:val="00906947"/>
    <w:rsid w:val="0090723F"/>
    <w:rsid w:val="00907810"/>
    <w:rsid w:val="00907AEC"/>
    <w:rsid w:val="00910C0F"/>
    <w:rsid w:val="00911676"/>
    <w:rsid w:val="0091195C"/>
    <w:rsid w:val="00912A3C"/>
    <w:rsid w:val="00912F68"/>
    <w:rsid w:val="00913037"/>
    <w:rsid w:val="009150BD"/>
    <w:rsid w:val="0091635F"/>
    <w:rsid w:val="009163FF"/>
    <w:rsid w:val="00916766"/>
    <w:rsid w:val="00916EB0"/>
    <w:rsid w:val="00916FB2"/>
    <w:rsid w:val="009207CF"/>
    <w:rsid w:val="009218C1"/>
    <w:rsid w:val="009221DE"/>
    <w:rsid w:val="00922394"/>
    <w:rsid w:val="00923998"/>
    <w:rsid w:val="00923BC3"/>
    <w:rsid w:val="009249F3"/>
    <w:rsid w:val="00924FDD"/>
    <w:rsid w:val="009255E0"/>
    <w:rsid w:val="00926037"/>
    <w:rsid w:val="00926731"/>
    <w:rsid w:val="00930009"/>
    <w:rsid w:val="009304F0"/>
    <w:rsid w:val="00930524"/>
    <w:rsid w:val="0093076A"/>
    <w:rsid w:val="0093096C"/>
    <w:rsid w:val="00930991"/>
    <w:rsid w:val="0093372D"/>
    <w:rsid w:val="009339F6"/>
    <w:rsid w:val="00935032"/>
    <w:rsid w:val="00935911"/>
    <w:rsid w:val="00935A5B"/>
    <w:rsid w:val="009360B1"/>
    <w:rsid w:val="00937395"/>
    <w:rsid w:val="0093751B"/>
    <w:rsid w:val="00937C9A"/>
    <w:rsid w:val="009400A8"/>
    <w:rsid w:val="00940423"/>
    <w:rsid w:val="00940754"/>
    <w:rsid w:val="00940CBF"/>
    <w:rsid w:val="00940D52"/>
    <w:rsid w:val="0094101B"/>
    <w:rsid w:val="0094114E"/>
    <w:rsid w:val="00941EA9"/>
    <w:rsid w:val="00941F05"/>
    <w:rsid w:val="00941FEA"/>
    <w:rsid w:val="009434CF"/>
    <w:rsid w:val="0094352B"/>
    <w:rsid w:val="0094400D"/>
    <w:rsid w:val="00946C7E"/>
    <w:rsid w:val="009472EB"/>
    <w:rsid w:val="00947407"/>
    <w:rsid w:val="0095064C"/>
    <w:rsid w:val="00950704"/>
    <w:rsid w:val="0095080B"/>
    <w:rsid w:val="00950E99"/>
    <w:rsid w:val="009523EB"/>
    <w:rsid w:val="00952580"/>
    <w:rsid w:val="0095262B"/>
    <w:rsid w:val="00952F92"/>
    <w:rsid w:val="00952F99"/>
    <w:rsid w:val="00955179"/>
    <w:rsid w:val="00955283"/>
    <w:rsid w:val="00955C2C"/>
    <w:rsid w:val="0095630B"/>
    <w:rsid w:val="00956E80"/>
    <w:rsid w:val="0095755C"/>
    <w:rsid w:val="00957B4A"/>
    <w:rsid w:val="009603EA"/>
    <w:rsid w:val="00960724"/>
    <w:rsid w:val="009611C8"/>
    <w:rsid w:val="00961D99"/>
    <w:rsid w:val="00962433"/>
    <w:rsid w:val="009625E8"/>
    <w:rsid w:val="009629B0"/>
    <w:rsid w:val="00963104"/>
    <w:rsid w:val="009639FB"/>
    <w:rsid w:val="00964895"/>
    <w:rsid w:val="00965632"/>
    <w:rsid w:val="00965CBF"/>
    <w:rsid w:val="00965E2A"/>
    <w:rsid w:val="0096644F"/>
    <w:rsid w:val="0097016A"/>
    <w:rsid w:val="0097059D"/>
    <w:rsid w:val="00970B3A"/>
    <w:rsid w:val="0097169C"/>
    <w:rsid w:val="009718BE"/>
    <w:rsid w:val="00972945"/>
    <w:rsid w:val="009738F9"/>
    <w:rsid w:val="009744CE"/>
    <w:rsid w:val="00975301"/>
    <w:rsid w:val="00975CFF"/>
    <w:rsid w:val="0097613B"/>
    <w:rsid w:val="00977DAB"/>
    <w:rsid w:val="00977EDE"/>
    <w:rsid w:val="00981423"/>
    <w:rsid w:val="00981942"/>
    <w:rsid w:val="009836A3"/>
    <w:rsid w:val="00986B90"/>
    <w:rsid w:val="00987AFB"/>
    <w:rsid w:val="00990742"/>
    <w:rsid w:val="00991647"/>
    <w:rsid w:val="00991B0F"/>
    <w:rsid w:val="00991D49"/>
    <w:rsid w:val="00991F68"/>
    <w:rsid w:val="0099233D"/>
    <w:rsid w:val="00992C58"/>
    <w:rsid w:val="00993970"/>
    <w:rsid w:val="009945D1"/>
    <w:rsid w:val="00995260"/>
    <w:rsid w:val="009959B0"/>
    <w:rsid w:val="00997A85"/>
    <w:rsid w:val="00997A8D"/>
    <w:rsid w:val="009A08FA"/>
    <w:rsid w:val="009A0B90"/>
    <w:rsid w:val="009A1562"/>
    <w:rsid w:val="009A1598"/>
    <w:rsid w:val="009A1CA7"/>
    <w:rsid w:val="009A21DB"/>
    <w:rsid w:val="009A2A11"/>
    <w:rsid w:val="009A32B0"/>
    <w:rsid w:val="009A36D6"/>
    <w:rsid w:val="009A416A"/>
    <w:rsid w:val="009A43E6"/>
    <w:rsid w:val="009A4667"/>
    <w:rsid w:val="009A5421"/>
    <w:rsid w:val="009A5BB6"/>
    <w:rsid w:val="009A67AC"/>
    <w:rsid w:val="009A6EA3"/>
    <w:rsid w:val="009A6F45"/>
    <w:rsid w:val="009A7F8C"/>
    <w:rsid w:val="009B0DE6"/>
    <w:rsid w:val="009B1371"/>
    <w:rsid w:val="009B31B7"/>
    <w:rsid w:val="009B3450"/>
    <w:rsid w:val="009B38BA"/>
    <w:rsid w:val="009B3D90"/>
    <w:rsid w:val="009B5395"/>
    <w:rsid w:val="009B5550"/>
    <w:rsid w:val="009B6062"/>
    <w:rsid w:val="009B61C1"/>
    <w:rsid w:val="009B66C0"/>
    <w:rsid w:val="009B67AC"/>
    <w:rsid w:val="009B697A"/>
    <w:rsid w:val="009B6AA3"/>
    <w:rsid w:val="009C0E24"/>
    <w:rsid w:val="009C1398"/>
    <w:rsid w:val="009C1D7F"/>
    <w:rsid w:val="009C27C0"/>
    <w:rsid w:val="009C2A1E"/>
    <w:rsid w:val="009C2DEB"/>
    <w:rsid w:val="009C3381"/>
    <w:rsid w:val="009C3628"/>
    <w:rsid w:val="009C43F3"/>
    <w:rsid w:val="009C46ED"/>
    <w:rsid w:val="009C5340"/>
    <w:rsid w:val="009C5BFC"/>
    <w:rsid w:val="009C63A0"/>
    <w:rsid w:val="009C6BA7"/>
    <w:rsid w:val="009C6D60"/>
    <w:rsid w:val="009C7216"/>
    <w:rsid w:val="009C7456"/>
    <w:rsid w:val="009D04F5"/>
    <w:rsid w:val="009D1AED"/>
    <w:rsid w:val="009D1CB4"/>
    <w:rsid w:val="009D208B"/>
    <w:rsid w:val="009D23C9"/>
    <w:rsid w:val="009D24B4"/>
    <w:rsid w:val="009D2A5B"/>
    <w:rsid w:val="009D4299"/>
    <w:rsid w:val="009D4358"/>
    <w:rsid w:val="009D49C8"/>
    <w:rsid w:val="009D4D32"/>
    <w:rsid w:val="009D4F8E"/>
    <w:rsid w:val="009D5086"/>
    <w:rsid w:val="009D56C6"/>
    <w:rsid w:val="009D5D7A"/>
    <w:rsid w:val="009D6AC8"/>
    <w:rsid w:val="009D6D7F"/>
    <w:rsid w:val="009D6F99"/>
    <w:rsid w:val="009D71C8"/>
    <w:rsid w:val="009D7BF4"/>
    <w:rsid w:val="009D7EB6"/>
    <w:rsid w:val="009E056F"/>
    <w:rsid w:val="009E08B9"/>
    <w:rsid w:val="009E12BD"/>
    <w:rsid w:val="009E2114"/>
    <w:rsid w:val="009E2A93"/>
    <w:rsid w:val="009E48D6"/>
    <w:rsid w:val="009E4AF7"/>
    <w:rsid w:val="009E5EFB"/>
    <w:rsid w:val="009E6522"/>
    <w:rsid w:val="009E7713"/>
    <w:rsid w:val="009E78B8"/>
    <w:rsid w:val="009E7A65"/>
    <w:rsid w:val="009E7E75"/>
    <w:rsid w:val="009F0A74"/>
    <w:rsid w:val="009F1F74"/>
    <w:rsid w:val="009F29BB"/>
    <w:rsid w:val="009F32A5"/>
    <w:rsid w:val="009F3FAE"/>
    <w:rsid w:val="009F408D"/>
    <w:rsid w:val="009F40FF"/>
    <w:rsid w:val="009F42C6"/>
    <w:rsid w:val="009F49E3"/>
    <w:rsid w:val="009F4E6A"/>
    <w:rsid w:val="009F4F49"/>
    <w:rsid w:val="009F4FB8"/>
    <w:rsid w:val="009F4FBB"/>
    <w:rsid w:val="009F6B48"/>
    <w:rsid w:val="009F719B"/>
    <w:rsid w:val="009F721C"/>
    <w:rsid w:val="00A00419"/>
    <w:rsid w:val="00A00C09"/>
    <w:rsid w:val="00A01F21"/>
    <w:rsid w:val="00A0248A"/>
    <w:rsid w:val="00A028D1"/>
    <w:rsid w:val="00A042A1"/>
    <w:rsid w:val="00A04400"/>
    <w:rsid w:val="00A04F0F"/>
    <w:rsid w:val="00A04F2A"/>
    <w:rsid w:val="00A055CB"/>
    <w:rsid w:val="00A056D8"/>
    <w:rsid w:val="00A0758A"/>
    <w:rsid w:val="00A1275B"/>
    <w:rsid w:val="00A12869"/>
    <w:rsid w:val="00A12FBC"/>
    <w:rsid w:val="00A13D8B"/>
    <w:rsid w:val="00A13F13"/>
    <w:rsid w:val="00A14159"/>
    <w:rsid w:val="00A14458"/>
    <w:rsid w:val="00A144B1"/>
    <w:rsid w:val="00A1528B"/>
    <w:rsid w:val="00A1566F"/>
    <w:rsid w:val="00A17DDE"/>
    <w:rsid w:val="00A17F17"/>
    <w:rsid w:val="00A201CB"/>
    <w:rsid w:val="00A2337A"/>
    <w:rsid w:val="00A242A7"/>
    <w:rsid w:val="00A24A3D"/>
    <w:rsid w:val="00A27076"/>
    <w:rsid w:val="00A273D1"/>
    <w:rsid w:val="00A274D2"/>
    <w:rsid w:val="00A27626"/>
    <w:rsid w:val="00A278C1"/>
    <w:rsid w:val="00A27EB1"/>
    <w:rsid w:val="00A30071"/>
    <w:rsid w:val="00A30469"/>
    <w:rsid w:val="00A30B57"/>
    <w:rsid w:val="00A30FE2"/>
    <w:rsid w:val="00A31596"/>
    <w:rsid w:val="00A315FE"/>
    <w:rsid w:val="00A31B77"/>
    <w:rsid w:val="00A31D23"/>
    <w:rsid w:val="00A338AF"/>
    <w:rsid w:val="00A35736"/>
    <w:rsid w:val="00A36076"/>
    <w:rsid w:val="00A37076"/>
    <w:rsid w:val="00A37C07"/>
    <w:rsid w:val="00A37E8D"/>
    <w:rsid w:val="00A4100E"/>
    <w:rsid w:val="00A41B4A"/>
    <w:rsid w:val="00A41C0E"/>
    <w:rsid w:val="00A424B7"/>
    <w:rsid w:val="00A42C61"/>
    <w:rsid w:val="00A43351"/>
    <w:rsid w:val="00A4354F"/>
    <w:rsid w:val="00A43A41"/>
    <w:rsid w:val="00A43BCA"/>
    <w:rsid w:val="00A449B6"/>
    <w:rsid w:val="00A44F4C"/>
    <w:rsid w:val="00A450C7"/>
    <w:rsid w:val="00A462A2"/>
    <w:rsid w:val="00A47639"/>
    <w:rsid w:val="00A5042E"/>
    <w:rsid w:val="00A51030"/>
    <w:rsid w:val="00A53E99"/>
    <w:rsid w:val="00A54BB2"/>
    <w:rsid w:val="00A55086"/>
    <w:rsid w:val="00A55BF6"/>
    <w:rsid w:val="00A55C44"/>
    <w:rsid w:val="00A563DB"/>
    <w:rsid w:val="00A564D9"/>
    <w:rsid w:val="00A57377"/>
    <w:rsid w:val="00A5757C"/>
    <w:rsid w:val="00A577D6"/>
    <w:rsid w:val="00A57BD1"/>
    <w:rsid w:val="00A605A2"/>
    <w:rsid w:val="00A62D96"/>
    <w:rsid w:val="00A62F7F"/>
    <w:rsid w:val="00A6397F"/>
    <w:rsid w:val="00A65ED1"/>
    <w:rsid w:val="00A6681F"/>
    <w:rsid w:val="00A66ED8"/>
    <w:rsid w:val="00A67EDB"/>
    <w:rsid w:val="00A703D7"/>
    <w:rsid w:val="00A70B7A"/>
    <w:rsid w:val="00A7109C"/>
    <w:rsid w:val="00A71111"/>
    <w:rsid w:val="00A71195"/>
    <w:rsid w:val="00A712AF"/>
    <w:rsid w:val="00A71DB5"/>
    <w:rsid w:val="00A731A4"/>
    <w:rsid w:val="00A733E9"/>
    <w:rsid w:val="00A737B6"/>
    <w:rsid w:val="00A74DBC"/>
    <w:rsid w:val="00A751CF"/>
    <w:rsid w:val="00A7583F"/>
    <w:rsid w:val="00A75E5E"/>
    <w:rsid w:val="00A763BA"/>
    <w:rsid w:val="00A76AA6"/>
    <w:rsid w:val="00A76ED2"/>
    <w:rsid w:val="00A77302"/>
    <w:rsid w:val="00A7769D"/>
    <w:rsid w:val="00A808B0"/>
    <w:rsid w:val="00A80D08"/>
    <w:rsid w:val="00A825DB"/>
    <w:rsid w:val="00A830EE"/>
    <w:rsid w:val="00A8428B"/>
    <w:rsid w:val="00A84DD0"/>
    <w:rsid w:val="00A85D3B"/>
    <w:rsid w:val="00A861E7"/>
    <w:rsid w:val="00A86E96"/>
    <w:rsid w:val="00A871CA"/>
    <w:rsid w:val="00A8759A"/>
    <w:rsid w:val="00A9026F"/>
    <w:rsid w:val="00A9049A"/>
    <w:rsid w:val="00A91BEB"/>
    <w:rsid w:val="00A92964"/>
    <w:rsid w:val="00A959B6"/>
    <w:rsid w:val="00A96147"/>
    <w:rsid w:val="00A96801"/>
    <w:rsid w:val="00A9683A"/>
    <w:rsid w:val="00A96916"/>
    <w:rsid w:val="00A97266"/>
    <w:rsid w:val="00A97645"/>
    <w:rsid w:val="00A97941"/>
    <w:rsid w:val="00A97B2B"/>
    <w:rsid w:val="00AA06F1"/>
    <w:rsid w:val="00AA0DE3"/>
    <w:rsid w:val="00AA1AB9"/>
    <w:rsid w:val="00AA3626"/>
    <w:rsid w:val="00AA39EB"/>
    <w:rsid w:val="00AA46A2"/>
    <w:rsid w:val="00AA49D6"/>
    <w:rsid w:val="00AA4EA9"/>
    <w:rsid w:val="00AA51A7"/>
    <w:rsid w:val="00AA68AC"/>
    <w:rsid w:val="00AA6B1B"/>
    <w:rsid w:val="00AA70DF"/>
    <w:rsid w:val="00AA745D"/>
    <w:rsid w:val="00AB0BF9"/>
    <w:rsid w:val="00AB2A8B"/>
    <w:rsid w:val="00AB3332"/>
    <w:rsid w:val="00AB38CA"/>
    <w:rsid w:val="00AB3EB4"/>
    <w:rsid w:val="00AB4887"/>
    <w:rsid w:val="00AB50BF"/>
    <w:rsid w:val="00AB511E"/>
    <w:rsid w:val="00AB54C6"/>
    <w:rsid w:val="00AB56A7"/>
    <w:rsid w:val="00AB7450"/>
    <w:rsid w:val="00AC254B"/>
    <w:rsid w:val="00AC33D5"/>
    <w:rsid w:val="00AC3412"/>
    <w:rsid w:val="00AC36E6"/>
    <w:rsid w:val="00AC3752"/>
    <w:rsid w:val="00AC3D66"/>
    <w:rsid w:val="00AC426C"/>
    <w:rsid w:val="00AC48CA"/>
    <w:rsid w:val="00AC5148"/>
    <w:rsid w:val="00AC5E70"/>
    <w:rsid w:val="00AC6E52"/>
    <w:rsid w:val="00AC6E5B"/>
    <w:rsid w:val="00AC799C"/>
    <w:rsid w:val="00AD0AC2"/>
    <w:rsid w:val="00AD0CAC"/>
    <w:rsid w:val="00AD1495"/>
    <w:rsid w:val="00AD4BC2"/>
    <w:rsid w:val="00AD5547"/>
    <w:rsid w:val="00AD55B4"/>
    <w:rsid w:val="00AD6C87"/>
    <w:rsid w:val="00AD7340"/>
    <w:rsid w:val="00AE01EE"/>
    <w:rsid w:val="00AE1836"/>
    <w:rsid w:val="00AE4CFF"/>
    <w:rsid w:val="00AE61B4"/>
    <w:rsid w:val="00AE7C2C"/>
    <w:rsid w:val="00AE7F8C"/>
    <w:rsid w:val="00AF0616"/>
    <w:rsid w:val="00AF0C73"/>
    <w:rsid w:val="00AF0EC2"/>
    <w:rsid w:val="00AF0FD0"/>
    <w:rsid w:val="00AF101C"/>
    <w:rsid w:val="00AF1CBD"/>
    <w:rsid w:val="00AF2571"/>
    <w:rsid w:val="00AF3626"/>
    <w:rsid w:val="00AF56A1"/>
    <w:rsid w:val="00AF58C4"/>
    <w:rsid w:val="00AF618C"/>
    <w:rsid w:val="00AF662D"/>
    <w:rsid w:val="00AF67D5"/>
    <w:rsid w:val="00AF6F13"/>
    <w:rsid w:val="00AF7BBE"/>
    <w:rsid w:val="00AF7E4D"/>
    <w:rsid w:val="00B0079B"/>
    <w:rsid w:val="00B007CD"/>
    <w:rsid w:val="00B01119"/>
    <w:rsid w:val="00B0128C"/>
    <w:rsid w:val="00B02D64"/>
    <w:rsid w:val="00B031AC"/>
    <w:rsid w:val="00B0385B"/>
    <w:rsid w:val="00B03921"/>
    <w:rsid w:val="00B03CB8"/>
    <w:rsid w:val="00B04D67"/>
    <w:rsid w:val="00B05A44"/>
    <w:rsid w:val="00B07C6E"/>
    <w:rsid w:val="00B10D2B"/>
    <w:rsid w:val="00B11A7C"/>
    <w:rsid w:val="00B11EC0"/>
    <w:rsid w:val="00B12C7D"/>
    <w:rsid w:val="00B1306A"/>
    <w:rsid w:val="00B13661"/>
    <w:rsid w:val="00B1371B"/>
    <w:rsid w:val="00B13A00"/>
    <w:rsid w:val="00B15153"/>
    <w:rsid w:val="00B156F9"/>
    <w:rsid w:val="00B15A6E"/>
    <w:rsid w:val="00B15C21"/>
    <w:rsid w:val="00B17570"/>
    <w:rsid w:val="00B179FD"/>
    <w:rsid w:val="00B17C3B"/>
    <w:rsid w:val="00B17D80"/>
    <w:rsid w:val="00B21095"/>
    <w:rsid w:val="00B2195E"/>
    <w:rsid w:val="00B21C86"/>
    <w:rsid w:val="00B2329E"/>
    <w:rsid w:val="00B237F3"/>
    <w:rsid w:val="00B243F4"/>
    <w:rsid w:val="00B244D5"/>
    <w:rsid w:val="00B24A98"/>
    <w:rsid w:val="00B2510E"/>
    <w:rsid w:val="00B259E6"/>
    <w:rsid w:val="00B25DB2"/>
    <w:rsid w:val="00B26C1A"/>
    <w:rsid w:val="00B274D7"/>
    <w:rsid w:val="00B27701"/>
    <w:rsid w:val="00B27F6F"/>
    <w:rsid w:val="00B307B4"/>
    <w:rsid w:val="00B30814"/>
    <w:rsid w:val="00B30CFC"/>
    <w:rsid w:val="00B31E1C"/>
    <w:rsid w:val="00B31FBA"/>
    <w:rsid w:val="00B3219C"/>
    <w:rsid w:val="00B32252"/>
    <w:rsid w:val="00B323F0"/>
    <w:rsid w:val="00B33521"/>
    <w:rsid w:val="00B33980"/>
    <w:rsid w:val="00B34A95"/>
    <w:rsid w:val="00B34CC1"/>
    <w:rsid w:val="00B35A3B"/>
    <w:rsid w:val="00B3674F"/>
    <w:rsid w:val="00B40227"/>
    <w:rsid w:val="00B416DE"/>
    <w:rsid w:val="00B42669"/>
    <w:rsid w:val="00B427E6"/>
    <w:rsid w:val="00B4294E"/>
    <w:rsid w:val="00B429A4"/>
    <w:rsid w:val="00B42A42"/>
    <w:rsid w:val="00B444A6"/>
    <w:rsid w:val="00B451E8"/>
    <w:rsid w:val="00B454C3"/>
    <w:rsid w:val="00B45769"/>
    <w:rsid w:val="00B45C92"/>
    <w:rsid w:val="00B46DF9"/>
    <w:rsid w:val="00B47476"/>
    <w:rsid w:val="00B50C30"/>
    <w:rsid w:val="00B51CD0"/>
    <w:rsid w:val="00B51FDA"/>
    <w:rsid w:val="00B52E82"/>
    <w:rsid w:val="00B5378E"/>
    <w:rsid w:val="00B54A7C"/>
    <w:rsid w:val="00B552E8"/>
    <w:rsid w:val="00B555F7"/>
    <w:rsid w:val="00B55DA6"/>
    <w:rsid w:val="00B56BF1"/>
    <w:rsid w:val="00B57053"/>
    <w:rsid w:val="00B57693"/>
    <w:rsid w:val="00B578C1"/>
    <w:rsid w:val="00B6072A"/>
    <w:rsid w:val="00B608D1"/>
    <w:rsid w:val="00B61B74"/>
    <w:rsid w:val="00B61DBD"/>
    <w:rsid w:val="00B61FA2"/>
    <w:rsid w:val="00B6211D"/>
    <w:rsid w:val="00B62370"/>
    <w:rsid w:val="00B627C0"/>
    <w:rsid w:val="00B62AA6"/>
    <w:rsid w:val="00B62AA8"/>
    <w:rsid w:val="00B632FE"/>
    <w:rsid w:val="00B63B9F"/>
    <w:rsid w:val="00B63EE8"/>
    <w:rsid w:val="00B643BD"/>
    <w:rsid w:val="00B647A3"/>
    <w:rsid w:val="00B64865"/>
    <w:rsid w:val="00B64A4A"/>
    <w:rsid w:val="00B6518B"/>
    <w:rsid w:val="00B65947"/>
    <w:rsid w:val="00B67559"/>
    <w:rsid w:val="00B7075A"/>
    <w:rsid w:val="00B708C4"/>
    <w:rsid w:val="00B70F82"/>
    <w:rsid w:val="00B762C7"/>
    <w:rsid w:val="00B77EB3"/>
    <w:rsid w:val="00B80D45"/>
    <w:rsid w:val="00B810FD"/>
    <w:rsid w:val="00B815F8"/>
    <w:rsid w:val="00B84418"/>
    <w:rsid w:val="00B8531E"/>
    <w:rsid w:val="00B853B9"/>
    <w:rsid w:val="00B86250"/>
    <w:rsid w:val="00B8691E"/>
    <w:rsid w:val="00B87484"/>
    <w:rsid w:val="00B913E0"/>
    <w:rsid w:val="00B94930"/>
    <w:rsid w:val="00B94C20"/>
    <w:rsid w:val="00B953C3"/>
    <w:rsid w:val="00B954A6"/>
    <w:rsid w:val="00B95751"/>
    <w:rsid w:val="00B95A1E"/>
    <w:rsid w:val="00B95E74"/>
    <w:rsid w:val="00B966A8"/>
    <w:rsid w:val="00B96B1E"/>
    <w:rsid w:val="00BA05AC"/>
    <w:rsid w:val="00BA1A6F"/>
    <w:rsid w:val="00BA2A6F"/>
    <w:rsid w:val="00BA3374"/>
    <w:rsid w:val="00BA3D4C"/>
    <w:rsid w:val="00BA44D5"/>
    <w:rsid w:val="00BA75CA"/>
    <w:rsid w:val="00BA7B8F"/>
    <w:rsid w:val="00BB0212"/>
    <w:rsid w:val="00BB02EC"/>
    <w:rsid w:val="00BB113C"/>
    <w:rsid w:val="00BB138F"/>
    <w:rsid w:val="00BB21D1"/>
    <w:rsid w:val="00BB2B34"/>
    <w:rsid w:val="00BB3A6B"/>
    <w:rsid w:val="00BB3C80"/>
    <w:rsid w:val="00BB3F97"/>
    <w:rsid w:val="00BB4E1D"/>
    <w:rsid w:val="00BB5147"/>
    <w:rsid w:val="00BB6845"/>
    <w:rsid w:val="00BB7433"/>
    <w:rsid w:val="00BB7441"/>
    <w:rsid w:val="00BB7B49"/>
    <w:rsid w:val="00BC1088"/>
    <w:rsid w:val="00BC10E6"/>
    <w:rsid w:val="00BC1981"/>
    <w:rsid w:val="00BC2031"/>
    <w:rsid w:val="00BC2648"/>
    <w:rsid w:val="00BC2838"/>
    <w:rsid w:val="00BC3913"/>
    <w:rsid w:val="00BC4F95"/>
    <w:rsid w:val="00BC5BFF"/>
    <w:rsid w:val="00BC6431"/>
    <w:rsid w:val="00BC6FDA"/>
    <w:rsid w:val="00BC77CD"/>
    <w:rsid w:val="00BC786B"/>
    <w:rsid w:val="00BC7FF0"/>
    <w:rsid w:val="00BD0592"/>
    <w:rsid w:val="00BD2EE4"/>
    <w:rsid w:val="00BD5182"/>
    <w:rsid w:val="00BD5C21"/>
    <w:rsid w:val="00BD6312"/>
    <w:rsid w:val="00BE28E2"/>
    <w:rsid w:val="00BE2B9F"/>
    <w:rsid w:val="00BE2C1E"/>
    <w:rsid w:val="00BE2CC6"/>
    <w:rsid w:val="00BE3DA0"/>
    <w:rsid w:val="00BE47A8"/>
    <w:rsid w:val="00BE4DD5"/>
    <w:rsid w:val="00BE51BC"/>
    <w:rsid w:val="00BE546E"/>
    <w:rsid w:val="00BE711D"/>
    <w:rsid w:val="00BF00E3"/>
    <w:rsid w:val="00BF01A6"/>
    <w:rsid w:val="00BF10CD"/>
    <w:rsid w:val="00BF19B8"/>
    <w:rsid w:val="00BF204D"/>
    <w:rsid w:val="00BF3022"/>
    <w:rsid w:val="00BF415A"/>
    <w:rsid w:val="00BF433D"/>
    <w:rsid w:val="00BF5862"/>
    <w:rsid w:val="00BF5A31"/>
    <w:rsid w:val="00BF5DD9"/>
    <w:rsid w:val="00BF67C6"/>
    <w:rsid w:val="00BF701D"/>
    <w:rsid w:val="00C003F0"/>
    <w:rsid w:val="00C004F8"/>
    <w:rsid w:val="00C00E6E"/>
    <w:rsid w:val="00C018F3"/>
    <w:rsid w:val="00C02570"/>
    <w:rsid w:val="00C02BFB"/>
    <w:rsid w:val="00C0351D"/>
    <w:rsid w:val="00C05218"/>
    <w:rsid w:val="00C0602E"/>
    <w:rsid w:val="00C06129"/>
    <w:rsid w:val="00C069DF"/>
    <w:rsid w:val="00C07052"/>
    <w:rsid w:val="00C075DA"/>
    <w:rsid w:val="00C077B3"/>
    <w:rsid w:val="00C07827"/>
    <w:rsid w:val="00C07DBA"/>
    <w:rsid w:val="00C1095B"/>
    <w:rsid w:val="00C10D62"/>
    <w:rsid w:val="00C11472"/>
    <w:rsid w:val="00C11DCE"/>
    <w:rsid w:val="00C12201"/>
    <w:rsid w:val="00C12301"/>
    <w:rsid w:val="00C12394"/>
    <w:rsid w:val="00C12618"/>
    <w:rsid w:val="00C12806"/>
    <w:rsid w:val="00C12EB9"/>
    <w:rsid w:val="00C14A4D"/>
    <w:rsid w:val="00C21712"/>
    <w:rsid w:val="00C21EDC"/>
    <w:rsid w:val="00C220EA"/>
    <w:rsid w:val="00C225A9"/>
    <w:rsid w:val="00C2362E"/>
    <w:rsid w:val="00C23743"/>
    <w:rsid w:val="00C239C1"/>
    <w:rsid w:val="00C23B32"/>
    <w:rsid w:val="00C23D5F"/>
    <w:rsid w:val="00C24170"/>
    <w:rsid w:val="00C2449E"/>
    <w:rsid w:val="00C24608"/>
    <w:rsid w:val="00C24A33"/>
    <w:rsid w:val="00C24F8C"/>
    <w:rsid w:val="00C25026"/>
    <w:rsid w:val="00C251A2"/>
    <w:rsid w:val="00C25C09"/>
    <w:rsid w:val="00C30478"/>
    <w:rsid w:val="00C32635"/>
    <w:rsid w:val="00C340D9"/>
    <w:rsid w:val="00C3410F"/>
    <w:rsid w:val="00C344F3"/>
    <w:rsid w:val="00C35C8B"/>
    <w:rsid w:val="00C36DF9"/>
    <w:rsid w:val="00C376A4"/>
    <w:rsid w:val="00C40A15"/>
    <w:rsid w:val="00C42A41"/>
    <w:rsid w:val="00C430D5"/>
    <w:rsid w:val="00C4373C"/>
    <w:rsid w:val="00C439E8"/>
    <w:rsid w:val="00C441DF"/>
    <w:rsid w:val="00C44563"/>
    <w:rsid w:val="00C44996"/>
    <w:rsid w:val="00C44E9F"/>
    <w:rsid w:val="00C4560F"/>
    <w:rsid w:val="00C4701C"/>
    <w:rsid w:val="00C50E28"/>
    <w:rsid w:val="00C5195C"/>
    <w:rsid w:val="00C5251B"/>
    <w:rsid w:val="00C52687"/>
    <w:rsid w:val="00C52B82"/>
    <w:rsid w:val="00C52CFB"/>
    <w:rsid w:val="00C538D9"/>
    <w:rsid w:val="00C53A89"/>
    <w:rsid w:val="00C53F9F"/>
    <w:rsid w:val="00C5486F"/>
    <w:rsid w:val="00C54CD1"/>
    <w:rsid w:val="00C5502D"/>
    <w:rsid w:val="00C55DB1"/>
    <w:rsid w:val="00C56339"/>
    <w:rsid w:val="00C57440"/>
    <w:rsid w:val="00C6216A"/>
    <w:rsid w:val="00C6268A"/>
    <w:rsid w:val="00C64D69"/>
    <w:rsid w:val="00C6575B"/>
    <w:rsid w:val="00C659A0"/>
    <w:rsid w:val="00C65B9F"/>
    <w:rsid w:val="00C66847"/>
    <w:rsid w:val="00C673DA"/>
    <w:rsid w:val="00C67B9B"/>
    <w:rsid w:val="00C70230"/>
    <w:rsid w:val="00C7030C"/>
    <w:rsid w:val="00C708F2"/>
    <w:rsid w:val="00C70D89"/>
    <w:rsid w:val="00C716BB"/>
    <w:rsid w:val="00C7210B"/>
    <w:rsid w:val="00C726DF"/>
    <w:rsid w:val="00C72FDD"/>
    <w:rsid w:val="00C73325"/>
    <w:rsid w:val="00C7357C"/>
    <w:rsid w:val="00C736F7"/>
    <w:rsid w:val="00C74C65"/>
    <w:rsid w:val="00C74D6A"/>
    <w:rsid w:val="00C74F16"/>
    <w:rsid w:val="00C76C85"/>
    <w:rsid w:val="00C76CB4"/>
    <w:rsid w:val="00C77BE5"/>
    <w:rsid w:val="00C803ED"/>
    <w:rsid w:val="00C81004"/>
    <w:rsid w:val="00C81D03"/>
    <w:rsid w:val="00C8271B"/>
    <w:rsid w:val="00C839DB"/>
    <w:rsid w:val="00C83BD9"/>
    <w:rsid w:val="00C846CE"/>
    <w:rsid w:val="00C849E7"/>
    <w:rsid w:val="00C8568D"/>
    <w:rsid w:val="00C86EF9"/>
    <w:rsid w:val="00C87A74"/>
    <w:rsid w:val="00C87EDB"/>
    <w:rsid w:val="00C905E8"/>
    <w:rsid w:val="00C917D2"/>
    <w:rsid w:val="00C91B69"/>
    <w:rsid w:val="00C925C0"/>
    <w:rsid w:val="00C92867"/>
    <w:rsid w:val="00C93950"/>
    <w:rsid w:val="00C94166"/>
    <w:rsid w:val="00C950B1"/>
    <w:rsid w:val="00C95191"/>
    <w:rsid w:val="00C95763"/>
    <w:rsid w:val="00C95B52"/>
    <w:rsid w:val="00C95BD2"/>
    <w:rsid w:val="00C95BFD"/>
    <w:rsid w:val="00C96697"/>
    <w:rsid w:val="00C97C44"/>
    <w:rsid w:val="00C97DDE"/>
    <w:rsid w:val="00CA0E33"/>
    <w:rsid w:val="00CA17AA"/>
    <w:rsid w:val="00CA1C54"/>
    <w:rsid w:val="00CA268F"/>
    <w:rsid w:val="00CA2F02"/>
    <w:rsid w:val="00CA3218"/>
    <w:rsid w:val="00CA3BFC"/>
    <w:rsid w:val="00CA4476"/>
    <w:rsid w:val="00CA4CDD"/>
    <w:rsid w:val="00CA6235"/>
    <w:rsid w:val="00CA6936"/>
    <w:rsid w:val="00CA74E4"/>
    <w:rsid w:val="00CB34F9"/>
    <w:rsid w:val="00CB4277"/>
    <w:rsid w:val="00CB42A0"/>
    <w:rsid w:val="00CB440A"/>
    <w:rsid w:val="00CB4AA7"/>
    <w:rsid w:val="00CB68DA"/>
    <w:rsid w:val="00CB709D"/>
    <w:rsid w:val="00CB7300"/>
    <w:rsid w:val="00CC0148"/>
    <w:rsid w:val="00CC0268"/>
    <w:rsid w:val="00CC0DB4"/>
    <w:rsid w:val="00CC255B"/>
    <w:rsid w:val="00CC28DE"/>
    <w:rsid w:val="00CC2D3C"/>
    <w:rsid w:val="00CC2E45"/>
    <w:rsid w:val="00CC37CC"/>
    <w:rsid w:val="00CC3ADC"/>
    <w:rsid w:val="00CC4176"/>
    <w:rsid w:val="00CC4269"/>
    <w:rsid w:val="00CC43C3"/>
    <w:rsid w:val="00CC4EC1"/>
    <w:rsid w:val="00CC5049"/>
    <w:rsid w:val="00CC5207"/>
    <w:rsid w:val="00CC6585"/>
    <w:rsid w:val="00CC6E9D"/>
    <w:rsid w:val="00CD08D9"/>
    <w:rsid w:val="00CD17A9"/>
    <w:rsid w:val="00CD19D4"/>
    <w:rsid w:val="00CD1FDE"/>
    <w:rsid w:val="00CD300C"/>
    <w:rsid w:val="00CD34B4"/>
    <w:rsid w:val="00CD37F0"/>
    <w:rsid w:val="00CD3920"/>
    <w:rsid w:val="00CD399E"/>
    <w:rsid w:val="00CD3D46"/>
    <w:rsid w:val="00CD5AD9"/>
    <w:rsid w:val="00CD5FD1"/>
    <w:rsid w:val="00CD6312"/>
    <w:rsid w:val="00CE087B"/>
    <w:rsid w:val="00CE285D"/>
    <w:rsid w:val="00CE28FF"/>
    <w:rsid w:val="00CE3432"/>
    <w:rsid w:val="00CE6793"/>
    <w:rsid w:val="00CE690D"/>
    <w:rsid w:val="00CE6D14"/>
    <w:rsid w:val="00CF190F"/>
    <w:rsid w:val="00CF3316"/>
    <w:rsid w:val="00CF39B1"/>
    <w:rsid w:val="00CF404F"/>
    <w:rsid w:val="00CF4980"/>
    <w:rsid w:val="00CF4DE0"/>
    <w:rsid w:val="00CF5C1D"/>
    <w:rsid w:val="00CF709F"/>
    <w:rsid w:val="00CF7EF0"/>
    <w:rsid w:val="00D00093"/>
    <w:rsid w:val="00D003AE"/>
    <w:rsid w:val="00D004EB"/>
    <w:rsid w:val="00D009BD"/>
    <w:rsid w:val="00D01309"/>
    <w:rsid w:val="00D01685"/>
    <w:rsid w:val="00D0265E"/>
    <w:rsid w:val="00D02CD0"/>
    <w:rsid w:val="00D0466A"/>
    <w:rsid w:val="00D04A0A"/>
    <w:rsid w:val="00D04A64"/>
    <w:rsid w:val="00D04DA1"/>
    <w:rsid w:val="00D056B0"/>
    <w:rsid w:val="00D0743A"/>
    <w:rsid w:val="00D07585"/>
    <w:rsid w:val="00D076E2"/>
    <w:rsid w:val="00D07EE7"/>
    <w:rsid w:val="00D1001A"/>
    <w:rsid w:val="00D11B6D"/>
    <w:rsid w:val="00D1236E"/>
    <w:rsid w:val="00D1312B"/>
    <w:rsid w:val="00D13908"/>
    <w:rsid w:val="00D14375"/>
    <w:rsid w:val="00D14566"/>
    <w:rsid w:val="00D14D7D"/>
    <w:rsid w:val="00D1562C"/>
    <w:rsid w:val="00D15817"/>
    <w:rsid w:val="00D1659D"/>
    <w:rsid w:val="00D17134"/>
    <w:rsid w:val="00D17424"/>
    <w:rsid w:val="00D20222"/>
    <w:rsid w:val="00D20381"/>
    <w:rsid w:val="00D204C9"/>
    <w:rsid w:val="00D2125C"/>
    <w:rsid w:val="00D213AE"/>
    <w:rsid w:val="00D21B05"/>
    <w:rsid w:val="00D220BB"/>
    <w:rsid w:val="00D22408"/>
    <w:rsid w:val="00D22B00"/>
    <w:rsid w:val="00D2440B"/>
    <w:rsid w:val="00D24BE5"/>
    <w:rsid w:val="00D25386"/>
    <w:rsid w:val="00D25F98"/>
    <w:rsid w:val="00D27301"/>
    <w:rsid w:val="00D27D1E"/>
    <w:rsid w:val="00D313E6"/>
    <w:rsid w:val="00D31612"/>
    <w:rsid w:val="00D3178C"/>
    <w:rsid w:val="00D3235D"/>
    <w:rsid w:val="00D32675"/>
    <w:rsid w:val="00D339E0"/>
    <w:rsid w:val="00D35B69"/>
    <w:rsid w:val="00D363C9"/>
    <w:rsid w:val="00D364A6"/>
    <w:rsid w:val="00D36A33"/>
    <w:rsid w:val="00D36E64"/>
    <w:rsid w:val="00D40248"/>
    <w:rsid w:val="00D413F7"/>
    <w:rsid w:val="00D4183D"/>
    <w:rsid w:val="00D41E5F"/>
    <w:rsid w:val="00D426BC"/>
    <w:rsid w:val="00D42FAC"/>
    <w:rsid w:val="00D434EF"/>
    <w:rsid w:val="00D44661"/>
    <w:rsid w:val="00D446CA"/>
    <w:rsid w:val="00D44B7D"/>
    <w:rsid w:val="00D44E7F"/>
    <w:rsid w:val="00D46637"/>
    <w:rsid w:val="00D47B10"/>
    <w:rsid w:val="00D5079F"/>
    <w:rsid w:val="00D51690"/>
    <w:rsid w:val="00D51D76"/>
    <w:rsid w:val="00D523FD"/>
    <w:rsid w:val="00D52941"/>
    <w:rsid w:val="00D52C8D"/>
    <w:rsid w:val="00D53409"/>
    <w:rsid w:val="00D53854"/>
    <w:rsid w:val="00D538F8"/>
    <w:rsid w:val="00D53B76"/>
    <w:rsid w:val="00D53BD8"/>
    <w:rsid w:val="00D545AE"/>
    <w:rsid w:val="00D5564A"/>
    <w:rsid w:val="00D56253"/>
    <w:rsid w:val="00D56457"/>
    <w:rsid w:val="00D56B99"/>
    <w:rsid w:val="00D56C74"/>
    <w:rsid w:val="00D6164B"/>
    <w:rsid w:val="00D62259"/>
    <w:rsid w:val="00D629FA"/>
    <w:rsid w:val="00D62BCB"/>
    <w:rsid w:val="00D62DBA"/>
    <w:rsid w:val="00D63786"/>
    <w:rsid w:val="00D63805"/>
    <w:rsid w:val="00D63A32"/>
    <w:rsid w:val="00D63E6E"/>
    <w:rsid w:val="00D643A5"/>
    <w:rsid w:val="00D6652B"/>
    <w:rsid w:val="00D66EF7"/>
    <w:rsid w:val="00D67CC8"/>
    <w:rsid w:val="00D67D4F"/>
    <w:rsid w:val="00D67F59"/>
    <w:rsid w:val="00D70831"/>
    <w:rsid w:val="00D70BBC"/>
    <w:rsid w:val="00D70C01"/>
    <w:rsid w:val="00D70F46"/>
    <w:rsid w:val="00D7235E"/>
    <w:rsid w:val="00D7242A"/>
    <w:rsid w:val="00D72AE4"/>
    <w:rsid w:val="00D7313B"/>
    <w:rsid w:val="00D744B3"/>
    <w:rsid w:val="00D75425"/>
    <w:rsid w:val="00D75A09"/>
    <w:rsid w:val="00D75B18"/>
    <w:rsid w:val="00D762A5"/>
    <w:rsid w:val="00D77CA4"/>
    <w:rsid w:val="00D80009"/>
    <w:rsid w:val="00D802BE"/>
    <w:rsid w:val="00D80976"/>
    <w:rsid w:val="00D82341"/>
    <w:rsid w:val="00D8274E"/>
    <w:rsid w:val="00D83D2E"/>
    <w:rsid w:val="00D846B4"/>
    <w:rsid w:val="00D85892"/>
    <w:rsid w:val="00D875A9"/>
    <w:rsid w:val="00D90F2E"/>
    <w:rsid w:val="00D92538"/>
    <w:rsid w:val="00D92993"/>
    <w:rsid w:val="00D93941"/>
    <w:rsid w:val="00D93A5B"/>
    <w:rsid w:val="00D93B23"/>
    <w:rsid w:val="00D93DA9"/>
    <w:rsid w:val="00D93E0F"/>
    <w:rsid w:val="00D9410A"/>
    <w:rsid w:val="00D94337"/>
    <w:rsid w:val="00D943FC"/>
    <w:rsid w:val="00D95507"/>
    <w:rsid w:val="00D96DA9"/>
    <w:rsid w:val="00D9709F"/>
    <w:rsid w:val="00D97151"/>
    <w:rsid w:val="00DA0BBB"/>
    <w:rsid w:val="00DA0EDE"/>
    <w:rsid w:val="00DA2369"/>
    <w:rsid w:val="00DA25BF"/>
    <w:rsid w:val="00DA4806"/>
    <w:rsid w:val="00DA4E60"/>
    <w:rsid w:val="00DA6776"/>
    <w:rsid w:val="00DA6906"/>
    <w:rsid w:val="00DA6C1F"/>
    <w:rsid w:val="00DA72B6"/>
    <w:rsid w:val="00DA78F5"/>
    <w:rsid w:val="00DA7A50"/>
    <w:rsid w:val="00DA7E9D"/>
    <w:rsid w:val="00DB1075"/>
    <w:rsid w:val="00DB14DE"/>
    <w:rsid w:val="00DB1509"/>
    <w:rsid w:val="00DB2313"/>
    <w:rsid w:val="00DB2DCA"/>
    <w:rsid w:val="00DB2F8F"/>
    <w:rsid w:val="00DB302A"/>
    <w:rsid w:val="00DB63F0"/>
    <w:rsid w:val="00DC08A4"/>
    <w:rsid w:val="00DC1AE9"/>
    <w:rsid w:val="00DC1C44"/>
    <w:rsid w:val="00DC1F7E"/>
    <w:rsid w:val="00DC2604"/>
    <w:rsid w:val="00DC299F"/>
    <w:rsid w:val="00DC47ED"/>
    <w:rsid w:val="00DC4F59"/>
    <w:rsid w:val="00DC5803"/>
    <w:rsid w:val="00DC6FFF"/>
    <w:rsid w:val="00DC73C1"/>
    <w:rsid w:val="00DD019D"/>
    <w:rsid w:val="00DD0211"/>
    <w:rsid w:val="00DD0C46"/>
    <w:rsid w:val="00DD15A4"/>
    <w:rsid w:val="00DD1BE6"/>
    <w:rsid w:val="00DD2A0F"/>
    <w:rsid w:val="00DD38EE"/>
    <w:rsid w:val="00DD41E4"/>
    <w:rsid w:val="00DD4E16"/>
    <w:rsid w:val="00DD51E9"/>
    <w:rsid w:val="00DD6656"/>
    <w:rsid w:val="00DD6BE9"/>
    <w:rsid w:val="00DD7030"/>
    <w:rsid w:val="00DD748E"/>
    <w:rsid w:val="00DD7AA8"/>
    <w:rsid w:val="00DD7B0F"/>
    <w:rsid w:val="00DE04AB"/>
    <w:rsid w:val="00DE0D58"/>
    <w:rsid w:val="00DE2822"/>
    <w:rsid w:val="00DE2990"/>
    <w:rsid w:val="00DE2BC4"/>
    <w:rsid w:val="00DE38AC"/>
    <w:rsid w:val="00DE4935"/>
    <w:rsid w:val="00DE5E87"/>
    <w:rsid w:val="00DE68AC"/>
    <w:rsid w:val="00DF2CF4"/>
    <w:rsid w:val="00DF3926"/>
    <w:rsid w:val="00DF3A07"/>
    <w:rsid w:val="00DF3BF3"/>
    <w:rsid w:val="00DF45CA"/>
    <w:rsid w:val="00DF49B4"/>
    <w:rsid w:val="00DF4AA4"/>
    <w:rsid w:val="00DF4ADB"/>
    <w:rsid w:val="00DF52D2"/>
    <w:rsid w:val="00DF5305"/>
    <w:rsid w:val="00DF5411"/>
    <w:rsid w:val="00DF56A4"/>
    <w:rsid w:val="00DF5863"/>
    <w:rsid w:val="00DF589D"/>
    <w:rsid w:val="00DF58F4"/>
    <w:rsid w:val="00DF59E0"/>
    <w:rsid w:val="00DF670A"/>
    <w:rsid w:val="00DF67A2"/>
    <w:rsid w:val="00DF6B49"/>
    <w:rsid w:val="00DF6CDD"/>
    <w:rsid w:val="00DF76B6"/>
    <w:rsid w:val="00DF7B8F"/>
    <w:rsid w:val="00E007BA"/>
    <w:rsid w:val="00E00A8A"/>
    <w:rsid w:val="00E01082"/>
    <w:rsid w:val="00E01A51"/>
    <w:rsid w:val="00E022AF"/>
    <w:rsid w:val="00E025C4"/>
    <w:rsid w:val="00E0267D"/>
    <w:rsid w:val="00E034E8"/>
    <w:rsid w:val="00E04845"/>
    <w:rsid w:val="00E04935"/>
    <w:rsid w:val="00E0592B"/>
    <w:rsid w:val="00E06206"/>
    <w:rsid w:val="00E10465"/>
    <w:rsid w:val="00E10D94"/>
    <w:rsid w:val="00E11F9B"/>
    <w:rsid w:val="00E11FF6"/>
    <w:rsid w:val="00E1334D"/>
    <w:rsid w:val="00E14453"/>
    <w:rsid w:val="00E14796"/>
    <w:rsid w:val="00E151E2"/>
    <w:rsid w:val="00E15244"/>
    <w:rsid w:val="00E1733B"/>
    <w:rsid w:val="00E17DEE"/>
    <w:rsid w:val="00E200E2"/>
    <w:rsid w:val="00E210C2"/>
    <w:rsid w:val="00E211F2"/>
    <w:rsid w:val="00E21211"/>
    <w:rsid w:val="00E21C26"/>
    <w:rsid w:val="00E21ECE"/>
    <w:rsid w:val="00E22059"/>
    <w:rsid w:val="00E223EB"/>
    <w:rsid w:val="00E22687"/>
    <w:rsid w:val="00E2291A"/>
    <w:rsid w:val="00E25376"/>
    <w:rsid w:val="00E253A8"/>
    <w:rsid w:val="00E26E4B"/>
    <w:rsid w:val="00E27DD7"/>
    <w:rsid w:val="00E30104"/>
    <w:rsid w:val="00E31213"/>
    <w:rsid w:val="00E32694"/>
    <w:rsid w:val="00E32BA7"/>
    <w:rsid w:val="00E336C4"/>
    <w:rsid w:val="00E3391C"/>
    <w:rsid w:val="00E33BC0"/>
    <w:rsid w:val="00E35A74"/>
    <w:rsid w:val="00E3708C"/>
    <w:rsid w:val="00E3776B"/>
    <w:rsid w:val="00E37C80"/>
    <w:rsid w:val="00E4021A"/>
    <w:rsid w:val="00E407E9"/>
    <w:rsid w:val="00E409C3"/>
    <w:rsid w:val="00E41636"/>
    <w:rsid w:val="00E41E64"/>
    <w:rsid w:val="00E422D8"/>
    <w:rsid w:val="00E425AB"/>
    <w:rsid w:val="00E43083"/>
    <w:rsid w:val="00E435BF"/>
    <w:rsid w:val="00E43EDA"/>
    <w:rsid w:val="00E4455D"/>
    <w:rsid w:val="00E448F4"/>
    <w:rsid w:val="00E44C16"/>
    <w:rsid w:val="00E46DB3"/>
    <w:rsid w:val="00E47214"/>
    <w:rsid w:val="00E4781C"/>
    <w:rsid w:val="00E509C9"/>
    <w:rsid w:val="00E50AFD"/>
    <w:rsid w:val="00E51F13"/>
    <w:rsid w:val="00E52296"/>
    <w:rsid w:val="00E52A56"/>
    <w:rsid w:val="00E5338D"/>
    <w:rsid w:val="00E55532"/>
    <w:rsid w:val="00E55F6F"/>
    <w:rsid w:val="00E57379"/>
    <w:rsid w:val="00E57786"/>
    <w:rsid w:val="00E60277"/>
    <w:rsid w:val="00E60AE1"/>
    <w:rsid w:val="00E62605"/>
    <w:rsid w:val="00E633C5"/>
    <w:rsid w:val="00E6404E"/>
    <w:rsid w:val="00E65935"/>
    <w:rsid w:val="00E664ED"/>
    <w:rsid w:val="00E66D57"/>
    <w:rsid w:val="00E711C0"/>
    <w:rsid w:val="00E718EF"/>
    <w:rsid w:val="00E72196"/>
    <w:rsid w:val="00E72A3D"/>
    <w:rsid w:val="00E73D0E"/>
    <w:rsid w:val="00E7563E"/>
    <w:rsid w:val="00E7585F"/>
    <w:rsid w:val="00E775F4"/>
    <w:rsid w:val="00E806B7"/>
    <w:rsid w:val="00E810E0"/>
    <w:rsid w:val="00E81D28"/>
    <w:rsid w:val="00E81D70"/>
    <w:rsid w:val="00E81E75"/>
    <w:rsid w:val="00E81F71"/>
    <w:rsid w:val="00E82A55"/>
    <w:rsid w:val="00E83A46"/>
    <w:rsid w:val="00E849FE"/>
    <w:rsid w:val="00E852E4"/>
    <w:rsid w:val="00E85BB6"/>
    <w:rsid w:val="00E85C95"/>
    <w:rsid w:val="00E87030"/>
    <w:rsid w:val="00E8731F"/>
    <w:rsid w:val="00E9022E"/>
    <w:rsid w:val="00E905AC"/>
    <w:rsid w:val="00E90618"/>
    <w:rsid w:val="00E9078C"/>
    <w:rsid w:val="00E90F58"/>
    <w:rsid w:val="00E91036"/>
    <w:rsid w:val="00E91E66"/>
    <w:rsid w:val="00E92813"/>
    <w:rsid w:val="00E92E56"/>
    <w:rsid w:val="00E92F03"/>
    <w:rsid w:val="00E94C33"/>
    <w:rsid w:val="00E96E52"/>
    <w:rsid w:val="00EA0BB5"/>
    <w:rsid w:val="00EA14CD"/>
    <w:rsid w:val="00EA16D2"/>
    <w:rsid w:val="00EA3EA0"/>
    <w:rsid w:val="00EA4F1F"/>
    <w:rsid w:val="00EA58CB"/>
    <w:rsid w:val="00EA5B95"/>
    <w:rsid w:val="00EA6425"/>
    <w:rsid w:val="00EA7AF7"/>
    <w:rsid w:val="00EB0D2F"/>
    <w:rsid w:val="00EB0F84"/>
    <w:rsid w:val="00EB1551"/>
    <w:rsid w:val="00EB2D13"/>
    <w:rsid w:val="00EB30C7"/>
    <w:rsid w:val="00EB3D23"/>
    <w:rsid w:val="00EB3E46"/>
    <w:rsid w:val="00EB4482"/>
    <w:rsid w:val="00EB5C75"/>
    <w:rsid w:val="00EB63F0"/>
    <w:rsid w:val="00EC080F"/>
    <w:rsid w:val="00EC16A2"/>
    <w:rsid w:val="00EC1765"/>
    <w:rsid w:val="00EC1CDD"/>
    <w:rsid w:val="00EC1E9F"/>
    <w:rsid w:val="00EC216A"/>
    <w:rsid w:val="00EC4A15"/>
    <w:rsid w:val="00EC686F"/>
    <w:rsid w:val="00EC6B64"/>
    <w:rsid w:val="00EC755A"/>
    <w:rsid w:val="00EC7B2B"/>
    <w:rsid w:val="00ED17F0"/>
    <w:rsid w:val="00ED1BC3"/>
    <w:rsid w:val="00ED23C9"/>
    <w:rsid w:val="00ED2DCA"/>
    <w:rsid w:val="00ED33AC"/>
    <w:rsid w:val="00ED53AF"/>
    <w:rsid w:val="00ED580B"/>
    <w:rsid w:val="00ED5B74"/>
    <w:rsid w:val="00ED6B88"/>
    <w:rsid w:val="00ED7A8D"/>
    <w:rsid w:val="00EE0A03"/>
    <w:rsid w:val="00EE0AC4"/>
    <w:rsid w:val="00EE1ED7"/>
    <w:rsid w:val="00EE1F96"/>
    <w:rsid w:val="00EE20E9"/>
    <w:rsid w:val="00EE25C8"/>
    <w:rsid w:val="00EE32A1"/>
    <w:rsid w:val="00EE3328"/>
    <w:rsid w:val="00EE494C"/>
    <w:rsid w:val="00EE4CD2"/>
    <w:rsid w:val="00EE5866"/>
    <w:rsid w:val="00EE5D62"/>
    <w:rsid w:val="00EE6B0D"/>
    <w:rsid w:val="00EE70B2"/>
    <w:rsid w:val="00EE7FC2"/>
    <w:rsid w:val="00EF1453"/>
    <w:rsid w:val="00EF1811"/>
    <w:rsid w:val="00EF45AC"/>
    <w:rsid w:val="00EF4772"/>
    <w:rsid w:val="00EF4E0C"/>
    <w:rsid w:val="00EF4F10"/>
    <w:rsid w:val="00EF5784"/>
    <w:rsid w:val="00EF5C9E"/>
    <w:rsid w:val="00EF5F6F"/>
    <w:rsid w:val="00EF6CF3"/>
    <w:rsid w:val="00EF7231"/>
    <w:rsid w:val="00EF77F0"/>
    <w:rsid w:val="00EF7F89"/>
    <w:rsid w:val="00F0087B"/>
    <w:rsid w:val="00F00954"/>
    <w:rsid w:val="00F01845"/>
    <w:rsid w:val="00F01920"/>
    <w:rsid w:val="00F01A85"/>
    <w:rsid w:val="00F023C0"/>
    <w:rsid w:val="00F027DE"/>
    <w:rsid w:val="00F02DF7"/>
    <w:rsid w:val="00F03675"/>
    <w:rsid w:val="00F0434F"/>
    <w:rsid w:val="00F0476B"/>
    <w:rsid w:val="00F05A66"/>
    <w:rsid w:val="00F079E6"/>
    <w:rsid w:val="00F1021D"/>
    <w:rsid w:val="00F10FFE"/>
    <w:rsid w:val="00F11F70"/>
    <w:rsid w:val="00F12460"/>
    <w:rsid w:val="00F13282"/>
    <w:rsid w:val="00F1335F"/>
    <w:rsid w:val="00F1340D"/>
    <w:rsid w:val="00F14338"/>
    <w:rsid w:val="00F14434"/>
    <w:rsid w:val="00F144BB"/>
    <w:rsid w:val="00F14855"/>
    <w:rsid w:val="00F150C6"/>
    <w:rsid w:val="00F1510A"/>
    <w:rsid w:val="00F153E7"/>
    <w:rsid w:val="00F167A8"/>
    <w:rsid w:val="00F169F6"/>
    <w:rsid w:val="00F16D4A"/>
    <w:rsid w:val="00F175EC"/>
    <w:rsid w:val="00F20A19"/>
    <w:rsid w:val="00F20BDC"/>
    <w:rsid w:val="00F21835"/>
    <w:rsid w:val="00F22843"/>
    <w:rsid w:val="00F2361D"/>
    <w:rsid w:val="00F239FA"/>
    <w:rsid w:val="00F23C51"/>
    <w:rsid w:val="00F24FF9"/>
    <w:rsid w:val="00F2512C"/>
    <w:rsid w:val="00F251C3"/>
    <w:rsid w:val="00F254B8"/>
    <w:rsid w:val="00F255F3"/>
    <w:rsid w:val="00F268BA"/>
    <w:rsid w:val="00F26EC2"/>
    <w:rsid w:val="00F2733D"/>
    <w:rsid w:val="00F278A2"/>
    <w:rsid w:val="00F27E78"/>
    <w:rsid w:val="00F30450"/>
    <w:rsid w:val="00F318EA"/>
    <w:rsid w:val="00F335F7"/>
    <w:rsid w:val="00F33893"/>
    <w:rsid w:val="00F34037"/>
    <w:rsid w:val="00F34141"/>
    <w:rsid w:val="00F3699A"/>
    <w:rsid w:val="00F3721B"/>
    <w:rsid w:val="00F3742A"/>
    <w:rsid w:val="00F37C0A"/>
    <w:rsid w:val="00F40CEF"/>
    <w:rsid w:val="00F4108D"/>
    <w:rsid w:val="00F410A9"/>
    <w:rsid w:val="00F417C7"/>
    <w:rsid w:val="00F43643"/>
    <w:rsid w:val="00F440DC"/>
    <w:rsid w:val="00F444B9"/>
    <w:rsid w:val="00F44646"/>
    <w:rsid w:val="00F44719"/>
    <w:rsid w:val="00F44A01"/>
    <w:rsid w:val="00F4655F"/>
    <w:rsid w:val="00F4662F"/>
    <w:rsid w:val="00F4667A"/>
    <w:rsid w:val="00F46842"/>
    <w:rsid w:val="00F47118"/>
    <w:rsid w:val="00F4743E"/>
    <w:rsid w:val="00F527A3"/>
    <w:rsid w:val="00F53AC0"/>
    <w:rsid w:val="00F54485"/>
    <w:rsid w:val="00F54DDF"/>
    <w:rsid w:val="00F55801"/>
    <w:rsid w:val="00F5659F"/>
    <w:rsid w:val="00F566AF"/>
    <w:rsid w:val="00F56BF3"/>
    <w:rsid w:val="00F56EEF"/>
    <w:rsid w:val="00F57AC6"/>
    <w:rsid w:val="00F57F6D"/>
    <w:rsid w:val="00F6033E"/>
    <w:rsid w:val="00F6070E"/>
    <w:rsid w:val="00F60E40"/>
    <w:rsid w:val="00F6153F"/>
    <w:rsid w:val="00F61F29"/>
    <w:rsid w:val="00F62B8C"/>
    <w:rsid w:val="00F6313C"/>
    <w:rsid w:val="00F63517"/>
    <w:rsid w:val="00F64300"/>
    <w:rsid w:val="00F6457C"/>
    <w:rsid w:val="00F660DA"/>
    <w:rsid w:val="00F6644B"/>
    <w:rsid w:val="00F6655A"/>
    <w:rsid w:val="00F7135D"/>
    <w:rsid w:val="00F7177E"/>
    <w:rsid w:val="00F717A4"/>
    <w:rsid w:val="00F726DE"/>
    <w:rsid w:val="00F72BF2"/>
    <w:rsid w:val="00F73C9D"/>
    <w:rsid w:val="00F74786"/>
    <w:rsid w:val="00F74789"/>
    <w:rsid w:val="00F751CD"/>
    <w:rsid w:val="00F7557F"/>
    <w:rsid w:val="00F76241"/>
    <w:rsid w:val="00F76360"/>
    <w:rsid w:val="00F80BDA"/>
    <w:rsid w:val="00F81B98"/>
    <w:rsid w:val="00F821D1"/>
    <w:rsid w:val="00F823A5"/>
    <w:rsid w:val="00F829B3"/>
    <w:rsid w:val="00F83620"/>
    <w:rsid w:val="00F839AF"/>
    <w:rsid w:val="00F852E2"/>
    <w:rsid w:val="00F8550C"/>
    <w:rsid w:val="00F855B4"/>
    <w:rsid w:val="00F86DC7"/>
    <w:rsid w:val="00F875C1"/>
    <w:rsid w:val="00F87B0B"/>
    <w:rsid w:val="00F90CA8"/>
    <w:rsid w:val="00F91373"/>
    <w:rsid w:val="00F915FD"/>
    <w:rsid w:val="00F917C5"/>
    <w:rsid w:val="00F9242F"/>
    <w:rsid w:val="00F9276A"/>
    <w:rsid w:val="00F94026"/>
    <w:rsid w:val="00F947C4"/>
    <w:rsid w:val="00F94A97"/>
    <w:rsid w:val="00F95A66"/>
    <w:rsid w:val="00F96077"/>
    <w:rsid w:val="00F9640B"/>
    <w:rsid w:val="00F96BF0"/>
    <w:rsid w:val="00F97639"/>
    <w:rsid w:val="00F97673"/>
    <w:rsid w:val="00FA0139"/>
    <w:rsid w:val="00FA07D0"/>
    <w:rsid w:val="00FA08BE"/>
    <w:rsid w:val="00FA1A6E"/>
    <w:rsid w:val="00FA2CE6"/>
    <w:rsid w:val="00FA2F39"/>
    <w:rsid w:val="00FA38EE"/>
    <w:rsid w:val="00FA394A"/>
    <w:rsid w:val="00FA4A21"/>
    <w:rsid w:val="00FA4BB3"/>
    <w:rsid w:val="00FA5407"/>
    <w:rsid w:val="00FA5CB5"/>
    <w:rsid w:val="00FA60E4"/>
    <w:rsid w:val="00FA77DC"/>
    <w:rsid w:val="00FB0850"/>
    <w:rsid w:val="00FB1A30"/>
    <w:rsid w:val="00FB222D"/>
    <w:rsid w:val="00FB23A9"/>
    <w:rsid w:val="00FB3000"/>
    <w:rsid w:val="00FB33BD"/>
    <w:rsid w:val="00FB39B8"/>
    <w:rsid w:val="00FB3C3A"/>
    <w:rsid w:val="00FB4B6D"/>
    <w:rsid w:val="00FB5392"/>
    <w:rsid w:val="00FB5AB4"/>
    <w:rsid w:val="00FB6594"/>
    <w:rsid w:val="00FB6A1C"/>
    <w:rsid w:val="00FB6A30"/>
    <w:rsid w:val="00FB6AED"/>
    <w:rsid w:val="00FB7630"/>
    <w:rsid w:val="00FB7847"/>
    <w:rsid w:val="00FB7F5F"/>
    <w:rsid w:val="00FC09E0"/>
    <w:rsid w:val="00FC14DC"/>
    <w:rsid w:val="00FC1BA5"/>
    <w:rsid w:val="00FC2B14"/>
    <w:rsid w:val="00FC369A"/>
    <w:rsid w:val="00FC3807"/>
    <w:rsid w:val="00FC38F8"/>
    <w:rsid w:val="00FC4154"/>
    <w:rsid w:val="00FC50FB"/>
    <w:rsid w:val="00FC52D7"/>
    <w:rsid w:val="00FC61CA"/>
    <w:rsid w:val="00FC6B93"/>
    <w:rsid w:val="00FC6DFC"/>
    <w:rsid w:val="00FC73A6"/>
    <w:rsid w:val="00FC73EF"/>
    <w:rsid w:val="00FC762A"/>
    <w:rsid w:val="00FC7952"/>
    <w:rsid w:val="00FD01B5"/>
    <w:rsid w:val="00FD278B"/>
    <w:rsid w:val="00FD2FFA"/>
    <w:rsid w:val="00FD3311"/>
    <w:rsid w:val="00FD3EB3"/>
    <w:rsid w:val="00FD42B1"/>
    <w:rsid w:val="00FD4AA5"/>
    <w:rsid w:val="00FD4EF3"/>
    <w:rsid w:val="00FD5DC7"/>
    <w:rsid w:val="00FD6185"/>
    <w:rsid w:val="00FD6E65"/>
    <w:rsid w:val="00FD72C7"/>
    <w:rsid w:val="00FE1402"/>
    <w:rsid w:val="00FE1582"/>
    <w:rsid w:val="00FE3704"/>
    <w:rsid w:val="00FE3FE1"/>
    <w:rsid w:val="00FE4F4F"/>
    <w:rsid w:val="00FE5746"/>
    <w:rsid w:val="00FE591E"/>
    <w:rsid w:val="00FE62BF"/>
    <w:rsid w:val="00FE6EC8"/>
    <w:rsid w:val="00FE767D"/>
    <w:rsid w:val="00FE7893"/>
    <w:rsid w:val="00FE7B63"/>
    <w:rsid w:val="00FF0393"/>
    <w:rsid w:val="00FF0D80"/>
    <w:rsid w:val="00FF3561"/>
    <w:rsid w:val="00FF3EAD"/>
    <w:rsid w:val="00FF45DB"/>
    <w:rsid w:val="00FF7BDC"/>
    <w:rsid w:val="00FF7E45"/>
    <w:rsid w:val="00FF7E60"/>
    <w:rsid w:val="00FF7F1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392F544"/>
  <w15:docId w15:val="{DF50B68F-232C-44DF-B737-970740EC4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6DFC"/>
    <w:rPr>
      <w:color w:val="0000FF" w:themeColor="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FC6DFC"/>
    <w:pPr>
      <w:spacing w:after="160" w:line="240" w:lineRule="exact"/>
      <w:ind w:left="357"/>
    </w:pPr>
    <w:rPr>
      <w:rFonts w:asciiTheme="minorHAnsi" w:hAnsiTheme="minorHAnsi" w:cstheme="minorBidi"/>
      <w:sz w:val="22"/>
      <w:vertAlign w:val="superscript"/>
      <w:lang w:val="en-US"/>
    </w:rPr>
  </w:style>
  <w:style w:type="character" w:styleId="CommentReference">
    <w:name w:val="annotation reference"/>
    <w:basedOn w:val="DefaultParagraphFont"/>
    <w:uiPriority w:val="99"/>
    <w:semiHidden/>
    <w:unhideWhenUsed/>
    <w:rsid w:val="00FC6DFC"/>
    <w:rPr>
      <w:sz w:val="16"/>
      <w:szCs w:val="16"/>
    </w:rPr>
  </w:style>
  <w:style w:type="paragraph" w:styleId="CommentText">
    <w:name w:val="annotation text"/>
    <w:basedOn w:val="Normal"/>
    <w:link w:val="CommentTextChar"/>
    <w:uiPriority w:val="99"/>
    <w:unhideWhenUsed/>
    <w:rsid w:val="00FC6DFC"/>
    <w:pPr>
      <w:ind w:left="357"/>
    </w:pPr>
    <w:rPr>
      <w:rFonts w:cstheme="minorBidi"/>
      <w:sz w:val="20"/>
      <w:szCs w:val="20"/>
    </w:rPr>
  </w:style>
  <w:style w:type="character" w:customStyle="1" w:styleId="CommentTextChar">
    <w:name w:val="Comment Text Char"/>
    <w:basedOn w:val="DefaultParagraphFont"/>
    <w:link w:val="CommentText"/>
    <w:uiPriority w:val="99"/>
    <w:rsid w:val="00FC6DFC"/>
    <w:rPr>
      <w:rFonts w:ascii="Times New Roman" w:hAnsi="Times New Roman"/>
      <w:sz w:val="20"/>
      <w:szCs w:val="20"/>
      <w:lang w:val="en-GB"/>
    </w:rPr>
  </w:style>
  <w:style w:type="character" w:customStyle="1" w:styleId="Mention">
    <w:name w:val="Mention"/>
    <w:basedOn w:val="DefaultParagraphFont"/>
    <w:uiPriority w:val="99"/>
    <w:unhideWhenUsed/>
    <w:rsid w:val="00FC6DFC"/>
    <w:rPr>
      <w:color w:val="2B579A"/>
      <w:shd w:val="clear" w:color="auto" w:fill="E1DFDD"/>
    </w:rPr>
  </w:style>
  <w:style w:type="paragraph" w:styleId="ListNumber">
    <w:name w:val="List Number"/>
    <w:basedOn w:val="Normal"/>
    <w:uiPriority w:val="99"/>
    <w:unhideWhenUsed/>
    <w:rsid w:val="00FC6DFC"/>
    <w:pPr>
      <w:numPr>
        <w:numId w:val="1"/>
      </w:numPr>
      <w:tabs>
        <w:tab w:val="clear" w:pos="709"/>
      </w:tabs>
      <w:spacing w:before="0" w:after="160" w:line="279" w:lineRule="auto"/>
      <w:ind w:left="0" w:firstLine="0"/>
      <w:contextualSpacing/>
      <w:jc w:val="left"/>
    </w:pPr>
    <w:rPr>
      <w:rFonts w:asciiTheme="minorHAnsi" w:eastAsiaTheme="minorEastAsia" w:hAnsiTheme="minorHAnsi" w:cstheme="minorBidi"/>
      <w:szCs w:val="24"/>
      <w:lang w:val="en-US" w:eastAsia="ja-JP"/>
    </w:rPr>
  </w:style>
  <w:style w:type="paragraph" w:customStyle="1" w:styleId="ListNumberLevel2">
    <w:name w:val="List Number (Level 2)"/>
    <w:basedOn w:val="Normal"/>
    <w:rsid w:val="00FC6DFC"/>
    <w:pPr>
      <w:numPr>
        <w:ilvl w:val="1"/>
        <w:numId w:val="1"/>
      </w:numPr>
      <w:tabs>
        <w:tab w:val="clear" w:pos="1417"/>
      </w:tabs>
      <w:spacing w:before="0" w:after="160" w:line="279" w:lineRule="auto"/>
      <w:ind w:left="0" w:firstLine="0"/>
      <w:jc w:val="left"/>
    </w:pPr>
    <w:rPr>
      <w:rFonts w:asciiTheme="minorHAnsi" w:eastAsiaTheme="minorEastAsia" w:hAnsiTheme="minorHAnsi" w:cstheme="minorBidi"/>
      <w:szCs w:val="24"/>
      <w:lang w:val="en-US" w:eastAsia="ja-JP"/>
    </w:rPr>
  </w:style>
  <w:style w:type="paragraph" w:customStyle="1" w:styleId="ListNumberLevel3">
    <w:name w:val="List Number (Level 3)"/>
    <w:basedOn w:val="Normal"/>
    <w:rsid w:val="00FC6DFC"/>
    <w:pPr>
      <w:numPr>
        <w:ilvl w:val="2"/>
        <w:numId w:val="1"/>
      </w:numPr>
      <w:tabs>
        <w:tab w:val="clear" w:pos="2126"/>
      </w:tabs>
      <w:spacing w:before="0" w:after="160" w:line="279" w:lineRule="auto"/>
      <w:ind w:left="0" w:firstLine="0"/>
      <w:jc w:val="left"/>
    </w:pPr>
    <w:rPr>
      <w:rFonts w:asciiTheme="minorHAnsi" w:eastAsiaTheme="minorEastAsia" w:hAnsiTheme="minorHAnsi" w:cstheme="minorBidi"/>
      <w:szCs w:val="24"/>
      <w:lang w:val="en-US" w:eastAsia="ja-JP"/>
    </w:rPr>
  </w:style>
  <w:style w:type="paragraph" w:customStyle="1" w:styleId="ListNumberLevel4">
    <w:name w:val="List Number (Level 4)"/>
    <w:basedOn w:val="Normal"/>
    <w:rsid w:val="00FC6DFC"/>
    <w:pPr>
      <w:numPr>
        <w:ilvl w:val="3"/>
        <w:numId w:val="1"/>
      </w:numPr>
      <w:tabs>
        <w:tab w:val="clear" w:pos="2835"/>
      </w:tabs>
      <w:spacing w:before="0" w:after="160" w:line="279" w:lineRule="auto"/>
      <w:ind w:left="0" w:firstLine="0"/>
      <w:jc w:val="left"/>
    </w:pPr>
    <w:rPr>
      <w:rFonts w:asciiTheme="minorHAnsi" w:eastAsiaTheme="minorEastAsia" w:hAnsiTheme="minorHAnsi" w:cstheme="minorBidi"/>
      <w:szCs w:val="24"/>
      <w:lang w:val="en-US" w:eastAsia="ja-JP"/>
    </w:rPr>
  </w:style>
  <w:style w:type="paragraph" w:customStyle="1" w:styleId="Recital">
    <w:name w:val="Recital"/>
    <w:basedOn w:val="ListNumber"/>
    <w:link w:val="RecitalChar"/>
    <w:qFormat/>
    <w:rsid w:val="00FC6DFC"/>
    <w:pPr>
      <w:tabs>
        <w:tab w:val="num" w:pos="709"/>
      </w:tabs>
      <w:spacing w:before="120" w:after="280" w:line="240" w:lineRule="auto"/>
      <w:ind w:left="709" w:hanging="709"/>
      <w:contextualSpacing w:val="0"/>
      <w:jc w:val="both"/>
    </w:pPr>
    <w:rPr>
      <w:rFonts w:ascii="Times New Roman" w:hAnsi="Times New Roman" w:cs="Times New Roman"/>
      <w:noProof/>
    </w:rPr>
  </w:style>
  <w:style w:type="character" w:customStyle="1" w:styleId="RecitalChar">
    <w:name w:val="Recital Char"/>
    <w:basedOn w:val="DefaultParagraphFont"/>
    <w:link w:val="Recital"/>
    <w:rsid w:val="00FC6DFC"/>
    <w:rPr>
      <w:rFonts w:ascii="Times New Roman" w:eastAsiaTheme="minorEastAsia" w:hAnsi="Times New Roman" w:cs="Times New Roman"/>
      <w:noProof/>
      <w:sz w:val="24"/>
      <w:szCs w:val="24"/>
      <w:lang w:eastAsia="ja-JP"/>
    </w:rPr>
  </w:style>
  <w:style w:type="character" w:customStyle="1" w:styleId="UnresolvedMention">
    <w:name w:val="Unresolved Mention"/>
    <w:basedOn w:val="DefaultParagraphFont"/>
    <w:uiPriority w:val="99"/>
    <w:semiHidden/>
    <w:unhideWhenUsed/>
    <w:rsid w:val="007F077F"/>
    <w:rPr>
      <w:color w:val="605E5C"/>
      <w:shd w:val="clear" w:color="auto" w:fill="E1DFDD"/>
    </w:rPr>
  </w:style>
  <w:style w:type="paragraph" w:styleId="Revision">
    <w:name w:val="Revision"/>
    <w:hidden/>
    <w:uiPriority w:val="99"/>
    <w:semiHidden/>
    <w:rsid w:val="007F077F"/>
    <w:pPr>
      <w:spacing w:after="0" w:line="240" w:lineRule="auto"/>
    </w:pPr>
    <w:rPr>
      <w:rFonts w:ascii="Times New Roman" w:hAnsi="Times New Roman" w:cs="Times New Roman"/>
      <w:sz w:val="24"/>
      <w:lang w:val="en-GB"/>
    </w:rPr>
  </w:style>
  <w:style w:type="paragraph" w:styleId="CommentSubject">
    <w:name w:val="annotation subject"/>
    <w:basedOn w:val="CommentText"/>
    <w:next w:val="CommentText"/>
    <w:link w:val="CommentSubjectChar"/>
    <w:uiPriority w:val="99"/>
    <w:semiHidden/>
    <w:unhideWhenUsed/>
    <w:rsid w:val="001310C5"/>
    <w:pPr>
      <w:ind w:left="0"/>
    </w:pPr>
    <w:rPr>
      <w:rFonts w:cs="Times New Roman"/>
      <w:b/>
      <w:bCs/>
    </w:rPr>
  </w:style>
  <w:style w:type="character" w:customStyle="1" w:styleId="CommentSubjectChar">
    <w:name w:val="Comment Subject Char"/>
    <w:basedOn w:val="CommentTextChar"/>
    <w:link w:val="CommentSubject"/>
    <w:uiPriority w:val="99"/>
    <w:semiHidden/>
    <w:rsid w:val="001310C5"/>
    <w:rPr>
      <w:rFonts w:ascii="Times New Roman" w:hAnsi="Times New Roman" w:cs="Times New Roman"/>
      <w:b/>
      <w:bCs/>
      <w:sz w:val="20"/>
      <w:szCs w:val="20"/>
      <w:lang w:val="en-GB"/>
    </w:rPr>
  </w:style>
  <w:style w:type="character" w:styleId="FollowedHyperlink">
    <w:name w:val="FollowedHyperlink"/>
    <w:basedOn w:val="DefaultParagraphFont"/>
    <w:uiPriority w:val="99"/>
    <w:semiHidden/>
    <w:unhideWhenUsed/>
    <w:rsid w:val="00525379"/>
    <w:rPr>
      <w:color w:val="800080" w:themeColor="followedHyperlink"/>
      <w:u w:val="single"/>
    </w:rPr>
  </w:style>
  <w:style w:type="paragraph" w:styleId="ListBullet">
    <w:name w:val="List Bullet"/>
    <w:basedOn w:val="Normal"/>
    <w:uiPriority w:val="99"/>
    <w:semiHidden/>
    <w:unhideWhenUsed/>
    <w:rsid w:val="002359FA"/>
    <w:pPr>
      <w:numPr>
        <w:numId w:val="2"/>
      </w:numPr>
      <w:contextualSpacing/>
    </w:pPr>
  </w:style>
  <w:style w:type="paragraph" w:styleId="ListBullet2">
    <w:name w:val="List Bullet 2"/>
    <w:basedOn w:val="Normal"/>
    <w:uiPriority w:val="99"/>
    <w:semiHidden/>
    <w:unhideWhenUsed/>
    <w:rsid w:val="002359FA"/>
    <w:pPr>
      <w:numPr>
        <w:numId w:val="3"/>
      </w:numPr>
      <w:contextualSpacing/>
    </w:pPr>
  </w:style>
  <w:style w:type="paragraph" w:styleId="ListBullet3">
    <w:name w:val="List Bullet 3"/>
    <w:basedOn w:val="Normal"/>
    <w:uiPriority w:val="99"/>
    <w:semiHidden/>
    <w:unhideWhenUsed/>
    <w:rsid w:val="002359FA"/>
    <w:pPr>
      <w:numPr>
        <w:numId w:val="4"/>
      </w:numPr>
      <w:contextualSpacing/>
    </w:pPr>
  </w:style>
  <w:style w:type="paragraph" w:styleId="ListBullet4">
    <w:name w:val="List Bullet 4"/>
    <w:basedOn w:val="Normal"/>
    <w:uiPriority w:val="99"/>
    <w:semiHidden/>
    <w:unhideWhenUsed/>
    <w:rsid w:val="002359FA"/>
    <w:pPr>
      <w:numPr>
        <w:numId w:val="5"/>
      </w:numPr>
      <w:contextualSpacing/>
    </w:pPr>
  </w:style>
  <w:style w:type="character" w:customStyle="1" w:styleId="HeaderChar">
    <w:name w:val="Header Char"/>
    <w:basedOn w:val="DefaultParagraphFont"/>
    <w:link w:val="Header"/>
    <w:uiPriority w:val="99"/>
    <w:rsid w:val="00D538F8"/>
    <w:rPr>
      <w:rFonts w:ascii="Times New Roman" w:hAnsi="Times New Roman" w:cs="Times New Roman"/>
      <w:sz w:val="24"/>
      <w:lang w:val="en-GB"/>
    </w:rPr>
  </w:style>
  <w:style w:type="character" w:customStyle="1" w:styleId="FooterChar">
    <w:name w:val="Footer Char"/>
    <w:basedOn w:val="DefaultParagraphFont"/>
    <w:link w:val="Footer"/>
    <w:uiPriority w:val="99"/>
    <w:rsid w:val="00D538F8"/>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D538F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538F8"/>
    <w:pPr>
      <w:spacing w:before="0"/>
      <w:jc w:val="right"/>
    </w:pPr>
    <w:rPr>
      <w:sz w:val="28"/>
    </w:rPr>
  </w:style>
  <w:style w:type="paragraph" w:customStyle="1" w:styleId="FooterSensitivity">
    <w:name w:val="Footer Sensitivity"/>
    <w:basedOn w:val="Normal"/>
    <w:rsid w:val="00D538F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
      </w:numPr>
    </w:pPr>
  </w:style>
  <w:style w:type="paragraph" w:customStyle="1" w:styleId="Tiret1">
    <w:name w:val="Tiret 1"/>
    <w:basedOn w:val="Point1"/>
    <w:pPr>
      <w:numPr>
        <w:numId w:val="7"/>
      </w:numPr>
    </w:pPr>
  </w:style>
  <w:style w:type="paragraph" w:customStyle="1" w:styleId="Tiret2">
    <w:name w:val="Tiret 2"/>
    <w:basedOn w:val="Point2"/>
    <w:pPr>
      <w:numPr>
        <w:numId w:val="8"/>
      </w:numPr>
    </w:pPr>
  </w:style>
  <w:style w:type="paragraph" w:customStyle="1" w:styleId="Tiret3">
    <w:name w:val="Tiret 3"/>
    <w:basedOn w:val="Point3"/>
    <w:pPr>
      <w:numPr>
        <w:numId w:val="9"/>
      </w:numPr>
    </w:pPr>
  </w:style>
  <w:style w:type="paragraph" w:customStyle="1" w:styleId="Tiret4">
    <w:name w:val="Tiret 4"/>
    <w:basedOn w:val="Point4"/>
    <w:pPr>
      <w:numPr>
        <w:numId w:val="10"/>
      </w:numPr>
    </w:pPr>
  </w:style>
  <w:style w:type="paragraph" w:customStyle="1" w:styleId="Tiret5">
    <w:name w:val="Tiret 5"/>
    <w:basedOn w:val="Point5"/>
    <w:pPr>
      <w:numPr>
        <w:numId w:val="1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2"/>
      </w:numPr>
    </w:pPr>
  </w:style>
  <w:style w:type="paragraph" w:customStyle="1" w:styleId="NumPar2">
    <w:name w:val="NumPar 2"/>
    <w:basedOn w:val="Normal"/>
    <w:next w:val="Text1"/>
    <w:pPr>
      <w:numPr>
        <w:ilvl w:val="1"/>
        <w:numId w:val="12"/>
      </w:numPr>
    </w:pPr>
  </w:style>
  <w:style w:type="paragraph" w:customStyle="1" w:styleId="NumPar3">
    <w:name w:val="NumPar 3"/>
    <w:basedOn w:val="Normal"/>
    <w:next w:val="Text1"/>
    <w:pPr>
      <w:numPr>
        <w:ilvl w:val="2"/>
        <w:numId w:val="12"/>
      </w:numPr>
    </w:pPr>
  </w:style>
  <w:style w:type="paragraph" w:customStyle="1" w:styleId="NumPar4">
    <w:name w:val="NumPar 4"/>
    <w:basedOn w:val="Normal"/>
    <w:next w:val="Text1"/>
    <w:pPr>
      <w:numPr>
        <w:ilvl w:val="3"/>
        <w:numId w:val="12"/>
      </w:numPr>
    </w:pPr>
  </w:style>
  <w:style w:type="paragraph" w:customStyle="1" w:styleId="NumPar5">
    <w:name w:val="NumPar 5"/>
    <w:basedOn w:val="Normal"/>
    <w:next w:val="Text2"/>
    <w:pPr>
      <w:numPr>
        <w:ilvl w:val="4"/>
        <w:numId w:val="12"/>
      </w:numPr>
    </w:pPr>
  </w:style>
  <w:style w:type="paragraph" w:customStyle="1" w:styleId="NumPar6">
    <w:name w:val="NumPar 6"/>
    <w:basedOn w:val="Normal"/>
    <w:next w:val="Text2"/>
    <w:pPr>
      <w:numPr>
        <w:ilvl w:val="5"/>
        <w:numId w:val="12"/>
      </w:numPr>
    </w:pPr>
  </w:style>
  <w:style w:type="paragraph" w:customStyle="1" w:styleId="NumPar7">
    <w:name w:val="NumPar 7"/>
    <w:basedOn w:val="Normal"/>
    <w:next w:val="Text2"/>
    <w:pPr>
      <w:numPr>
        <w:ilvl w:val="6"/>
        <w:numId w:val="1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4"/>
      </w:numPr>
    </w:pPr>
  </w:style>
  <w:style w:type="paragraph" w:customStyle="1" w:styleId="Point1number">
    <w:name w:val="Point 1 (number)"/>
    <w:basedOn w:val="Normal"/>
    <w:pPr>
      <w:numPr>
        <w:ilvl w:val="2"/>
        <w:numId w:val="14"/>
      </w:numPr>
    </w:pPr>
  </w:style>
  <w:style w:type="paragraph" w:customStyle="1" w:styleId="Point2number">
    <w:name w:val="Point 2 (number)"/>
    <w:basedOn w:val="Normal"/>
    <w:pPr>
      <w:numPr>
        <w:ilvl w:val="4"/>
        <w:numId w:val="14"/>
      </w:numPr>
    </w:pPr>
  </w:style>
  <w:style w:type="paragraph" w:customStyle="1" w:styleId="Point3number">
    <w:name w:val="Point 3 (number)"/>
    <w:basedOn w:val="Normal"/>
    <w:pPr>
      <w:numPr>
        <w:ilvl w:val="6"/>
        <w:numId w:val="14"/>
      </w:numPr>
    </w:pPr>
  </w:style>
  <w:style w:type="paragraph" w:customStyle="1" w:styleId="Point0letter">
    <w:name w:val="Point 0 (letter)"/>
    <w:basedOn w:val="Normal"/>
    <w:pPr>
      <w:numPr>
        <w:ilvl w:val="1"/>
        <w:numId w:val="14"/>
      </w:numPr>
    </w:pPr>
  </w:style>
  <w:style w:type="paragraph" w:customStyle="1" w:styleId="Point1letter">
    <w:name w:val="Point 1 (letter)"/>
    <w:basedOn w:val="Normal"/>
    <w:pPr>
      <w:numPr>
        <w:ilvl w:val="3"/>
        <w:numId w:val="14"/>
      </w:numPr>
    </w:pPr>
  </w:style>
  <w:style w:type="paragraph" w:customStyle="1" w:styleId="Point2letter">
    <w:name w:val="Point 2 (letter)"/>
    <w:basedOn w:val="Normal"/>
    <w:pPr>
      <w:numPr>
        <w:ilvl w:val="5"/>
        <w:numId w:val="14"/>
      </w:numPr>
    </w:pPr>
  </w:style>
  <w:style w:type="paragraph" w:customStyle="1" w:styleId="Point3letter">
    <w:name w:val="Point 3 (letter)"/>
    <w:basedOn w:val="Normal"/>
    <w:pPr>
      <w:numPr>
        <w:ilvl w:val="7"/>
        <w:numId w:val="14"/>
      </w:numPr>
    </w:pPr>
  </w:style>
  <w:style w:type="paragraph" w:customStyle="1" w:styleId="Point4letter">
    <w:name w:val="Point 4 (letter)"/>
    <w:basedOn w:val="Normal"/>
    <w:pPr>
      <w:numPr>
        <w:ilvl w:val="8"/>
        <w:numId w:val="14"/>
      </w:numPr>
    </w:pPr>
  </w:style>
  <w:style w:type="paragraph" w:customStyle="1" w:styleId="Bullet0">
    <w:name w:val="Bullet 0"/>
    <w:basedOn w:val="Normal"/>
    <w:pPr>
      <w:numPr>
        <w:numId w:val="15"/>
      </w:numPr>
    </w:pPr>
  </w:style>
  <w:style w:type="paragraph" w:customStyle="1" w:styleId="Bullet1">
    <w:name w:val="Bullet 1"/>
    <w:basedOn w:val="Normal"/>
    <w:pPr>
      <w:numPr>
        <w:numId w:val="16"/>
      </w:numPr>
    </w:pPr>
  </w:style>
  <w:style w:type="paragraph" w:customStyle="1" w:styleId="Bullet2">
    <w:name w:val="Bullet 2"/>
    <w:basedOn w:val="Normal"/>
    <w:pPr>
      <w:numPr>
        <w:numId w:val="17"/>
      </w:numPr>
    </w:pPr>
  </w:style>
  <w:style w:type="paragraph" w:customStyle="1" w:styleId="Bullet3">
    <w:name w:val="Bullet 3"/>
    <w:basedOn w:val="Normal"/>
    <w:pPr>
      <w:numPr>
        <w:numId w:val="18"/>
      </w:numPr>
    </w:pPr>
  </w:style>
  <w:style w:type="paragraph" w:customStyle="1" w:styleId="Bullet4">
    <w:name w:val="Bullet 4"/>
    <w:basedOn w:val="Normal"/>
    <w:pPr>
      <w:numPr>
        <w:numId w:val="1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D538F8"/>
    <w:pPr>
      <w:tabs>
        <w:tab w:val="center" w:pos="4535"/>
        <w:tab w:val="right" w:pos="9071"/>
      </w:tabs>
      <w:spacing w:before="0"/>
    </w:pPr>
  </w:style>
  <w:style w:type="paragraph" w:customStyle="1" w:styleId="HeaderLandscape">
    <w:name w:val="HeaderLandscape"/>
    <w:basedOn w:val="Normal"/>
    <w:rsid w:val="00D538F8"/>
    <w:pPr>
      <w:tabs>
        <w:tab w:val="center" w:pos="7285"/>
        <w:tab w:val="right" w:pos="14003"/>
      </w:tabs>
      <w:spacing w:before="0"/>
    </w:pPr>
  </w:style>
  <w:style w:type="paragraph" w:styleId="Footer">
    <w:name w:val="footer"/>
    <w:basedOn w:val="Normal"/>
    <w:link w:val="FooterChar"/>
    <w:uiPriority w:val="99"/>
    <w:unhideWhenUsed/>
    <w:rsid w:val="00D538F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538F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s://economy-finance.ec.europa.eu/economic-governance-framework/stability-and-growth-pact/corrective-arm-excessive-deficit-procedure/excessive-deficit-procedures-overview/Malta_en" TargetMode="External"/><Relationship Id="rId2" Type="http://schemas.openxmlformats.org/officeDocument/2006/relationships/hyperlink" Target="http://data.europa.eu/eli/dec/2024/2128/oj" TargetMode="External"/><Relationship Id="rId1" Type="http://schemas.openxmlformats.org/officeDocument/2006/relationships/hyperlink" Target="http://data.europa.eu/eli/reg/1997/1467/2024-04-30" TargetMode="External"/><Relationship Id="rId5" Type="http://schemas.openxmlformats.org/officeDocument/2006/relationships/hyperlink" Target="https://ec.europa.eu/eurostat/web/products-euro-indicators/w/2-22042026-ap" TargetMode="External"/><Relationship Id="rId4" Type="http://schemas.openxmlformats.org/officeDocument/2006/relationships/hyperlink" Target="http://data.europa.eu/eli/C/2025/64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6BF9CE7B864144AB9135903AF2016F" ma:contentTypeVersion="8" ma:contentTypeDescription="Create a new document." ma:contentTypeScope="" ma:versionID="a07eca62e7eb427ed19d0d0876781e78">
  <xsd:schema xmlns:xsd="http://www.w3.org/2001/XMLSchema" xmlns:xs="http://www.w3.org/2001/XMLSchema" xmlns:p="http://schemas.microsoft.com/office/2006/metadata/properties" xmlns:ns2="248cd52f-b46b-4611-a611-1f804cc55ba9" xmlns:ns3="ee00aed3-c832-4f67-975b-fd0d79c6c939" targetNamespace="http://schemas.microsoft.com/office/2006/metadata/properties" ma:root="true" ma:fieldsID="84b05a78eab309583d88f99c55b6a78c" ns2:_="" ns3:_="">
    <xsd:import namespace="248cd52f-b46b-4611-a611-1f804cc55ba9"/>
    <xsd:import namespace="ee00aed3-c832-4f67-975b-fd0d79c6c9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tus" minOccurs="0"/>
                <xsd:element ref="ns3:SharedWithUsers" minOccurs="0"/>
                <xsd:element ref="ns3:SharedWithDetail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8cd52f-b46b-4611-a611-1f804cc55b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tus" ma:index="12" nillable="true" ma:displayName="Status" ma:format="Dropdown" ma:internalName="Status">
      <xsd:simpleType>
        <xsd:restriction base="dms:Choice">
          <xsd:enumeration value="Draft"/>
          <xsd:enumeration value="Info"/>
          <xsd:enumeration value="Pending CAB approval"/>
          <xsd:enumeration value="Final"/>
        </xsd:restriction>
      </xsd:simpleType>
    </xsd:element>
    <xsd:element name="Doctype" ma:index="15" nillable="true" ma:displayName="Doc type" ma:format="Dropdown" ma:internalName="Doctype">
      <xsd:simpleType>
        <xsd:restriction base="dms:Choice">
          <xsd:enumeration value="Template"/>
          <xsd:enumeration value="Choice 2"/>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ee00aed3-c832-4f67-975b-fd0d79c6c93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tatus xmlns="248cd52f-b46b-4611-a611-1f804cc55ba9" xsi:nil="true"/>
    <Doctype xmlns="248cd52f-b46b-4611-a611-1f804cc55ba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44D908-51A2-42BE-AE0A-E0E3FBF904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8cd52f-b46b-4611-a611-1f804cc55ba9"/>
    <ds:schemaRef ds:uri="ee00aed3-c832-4f67-975b-fd0d79c6c9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9D2717-DA7E-4665-84DC-F3CB18B2930F}">
  <ds:schemaRef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infopath/2007/PartnerControls"/>
    <ds:schemaRef ds:uri="http://purl.org/dc/terms/"/>
    <ds:schemaRef ds:uri="ee00aed3-c832-4f67-975b-fd0d79c6c939"/>
    <ds:schemaRef ds:uri="248cd52f-b46b-4611-a611-1f804cc55ba9"/>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5AF7594E-ED10-4C4C-A88C-D87ED1AF8622}">
  <ds:schemaRefs>
    <ds:schemaRef ds:uri="http://schemas.microsoft.com/sharepoint/v3/contenttype/forms"/>
  </ds:schemaRefs>
</ds:datastoreItem>
</file>

<file path=customXml/itemProps4.xml><?xml version="1.0" encoding="utf-8"?>
<ds:datastoreItem xmlns:ds="http://schemas.openxmlformats.org/officeDocument/2006/customXml" ds:itemID="{3778423F-62B8-473E-8450-2BF19AECD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TotalTime>
  <Pages>5</Pages>
  <Words>1108</Words>
  <Characters>6322</Characters>
  <Application>Microsoft Office Word</Application>
  <DocSecurity>0</DocSecurity>
  <Lines>52</Lines>
  <Paragraphs>14</Paragraphs>
  <ScaleCrop>false</ScaleCrop>
  <Manager/>
  <Company/>
  <LinksUpToDate>false</LinksUpToDate>
  <CharactersWithSpaces>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18</cp:revision>
  <dcterms:created xsi:type="dcterms:W3CDTF">2026-06-02T08:47:00Z</dcterms:created>
  <dcterms:modified xsi:type="dcterms:W3CDTF">2026-06-02T09:36:00Z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SG-001</vt:lpwstr>
  </property>
  <property fmtid="{D5CDD505-2E9C-101B-9397-08002B2CF9AE}" pid="10" name="MSIP_Label_6bd9ddd1-4d20-43f6-abfa-fc3c07406f94_Enabled">
    <vt:lpwstr>true</vt:lpwstr>
  </property>
  <property fmtid="{D5CDD505-2E9C-101B-9397-08002B2CF9AE}" pid="11" name="MSIP_Label_6bd9ddd1-4d20-43f6-abfa-fc3c07406f94_SetDate">
    <vt:lpwstr>2026-04-24T09:06:32Z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bb18bd2b-312e-4c73-8fd6-f6c35c51ae2d</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0x010100756BF9CE7B864144AB9135903AF2016F</vt:lpwstr>
  </property>
  <property fmtid="{D5CDD505-2E9C-101B-9397-08002B2CF9AE}" pid="19" name="DQCStatus">
    <vt:lpwstr>Green (DQC version 03)</vt:lpwstr>
  </property>
</Properties>
</file>