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377D0C" w14:textId="50E3381E" w:rsidR="008B6986" w:rsidRPr="005D4880" w:rsidRDefault="00CE0520" w:rsidP="00CE0520">
      <w:pPr>
        <w:pStyle w:val="Pagedecouverture"/>
        <w:rPr>
          <w:noProof/>
        </w:rPr>
      </w:pPr>
      <w:r>
        <w:rPr>
          <w:noProof/>
        </w:rPr>
        <w:pict w14:anchorId="37D9A3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24626D1-070B-46DB-965E-807B742F7DC8" style="width:455.25pt;height:330.75pt">
            <v:imagedata r:id="rId11" o:title=""/>
          </v:shape>
        </w:pict>
      </w:r>
    </w:p>
    <w:p w14:paraId="061BDA03" w14:textId="0C5BB83E" w:rsidR="00B61B74" w:rsidRPr="005D4880" w:rsidRDefault="00B61B74" w:rsidP="00B61B74">
      <w:pPr>
        <w:rPr>
          <w:noProof/>
        </w:rPr>
        <w:sectPr w:rsidR="00B61B74" w:rsidRPr="005D4880" w:rsidSect="00CE0520">
          <w:footerReference w:type="even" r:id="rId12"/>
          <w:footerReference w:type="default" r:id="rId13"/>
          <w:pgSz w:w="11907" w:h="16839"/>
          <w:pgMar w:top="1134" w:right="1417" w:bottom="1134" w:left="1417" w:header="709" w:footer="709" w:gutter="0"/>
          <w:pgNumType w:start="0"/>
          <w:cols w:space="720"/>
          <w:docGrid w:linePitch="360"/>
        </w:sectPr>
      </w:pPr>
    </w:p>
    <w:p w14:paraId="758751E5" w14:textId="3DF4E1D5" w:rsidR="00CD37F0" w:rsidRPr="005D4880" w:rsidRDefault="005D4880" w:rsidP="005D4880">
      <w:pPr>
        <w:pStyle w:val="Statut"/>
        <w:rPr>
          <w:noProof/>
        </w:rPr>
      </w:pPr>
      <w:bookmarkStart w:id="0" w:name="_GoBack"/>
      <w:bookmarkEnd w:id="0"/>
      <w:r w:rsidRPr="005D4880">
        <w:rPr>
          <w:noProof/>
        </w:rPr>
        <w:lastRenderedPageBreak/>
        <w:t>Recommandation de</w:t>
      </w:r>
    </w:p>
    <w:p w14:paraId="635DAFDB" w14:textId="6D7715D5" w:rsidR="00CD37F0" w:rsidRPr="005D4880" w:rsidRDefault="005D4880" w:rsidP="005D4880">
      <w:pPr>
        <w:pStyle w:val="Typedudocument"/>
        <w:rPr>
          <w:noProof/>
        </w:rPr>
      </w:pPr>
      <w:r w:rsidRPr="005D4880">
        <w:rPr>
          <w:noProof/>
        </w:rPr>
        <w:t>DÉCISION DU CONSEIL</w:t>
      </w:r>
    </w:p>
    <w:p w14:paraId="1C305388" w14:textId="392E9493" w:rsidR="00CD37F0" w:rsidRPr="005D4880" w:rsidRDefault="005D4880" w:rsidP="005D4880">
      <w:pPr>
        <w:pStyle w:val="Titreobjet"/>
        <w:rPr>
          <w:noProof/>
        </w:rPr>
      </w:pPr>
      <w:r w:rsidRPr="005D4880">
        <w:rPr>
          <w:noProof/>
        </w:rPr>
        <w:t xml:space="preserve">abrogeant la décision (UE) 2024/2128 du Conseil sur l’existence d’un déficit excessif à Malte </w:t>
      </w:r>
      <w:r w:rsidRPr="005D4880">
        <w:rPr>
          <w:noProof/>
        </w:rPr>
        <w:br/>
      </w:r>
    </w:p>
    <w:p w14:paraId="05013C43" w14:textId="77777777" w:rsidR="00CD37F0" w:rsidRPr="005D4880" w:rsidRDefault="00CD37F0" w:rsidP="00CD37F0">
      <w:pPr>
        <w:pStyle w:val="Institutionquiagit"/>
        <w:rPr>
          <w:noProof/>
        </w:rPr>
      </w:pPr>
      <w:r w:rsidRPr="005D4880">
        <w:rPr>
          <w:noProof/>
        </w:rPr>
        <w:t>LE CONSEIL DE L’UNION EUROPÉENNE,</w:t>
      </w:r>
    </w:p>
    <w:p w14:paraId="1B717E21" w14:textId="77777777" w:rsidR="00FC6DFC" w:rsidRPr="005D4880" w:rsidRDefault="00FC6DFC" w:rsidP="00FC6DFC">
      <w:pPr>
        <w:pStyle w:val="ManualNumPar1"/>
        <w:spacing w:after="0"/>
        <w:rPr>
          <w:noProof/>
        </w:rPr>
      </w:pPr>
      <w:r w:rsidRPr="005D4880">
        <w:rPr>
          <w:noProof/>
        </w:rPr>
        <w:t>vu le traité sur le fonctionnement de l’Union européenne (TFUE), et notamment son article 126, paragraphe 12,</w:t>
      </w:r>
    </w:p>
    <w:p w14:paraId="6C007CC5" w14:textId="77777777" w:rsidR="00FC6DFC" w:rsidRPr="005D4880" w:rsidRDefault="00FC6DFC" w:rsidP="00FC6DFC">
      <w:pPr>
        <w:pStyle w:val="ManualNumPar1"/>
        <w:spacing w:after="0"/>
        <w:rPr>
          <w:noProof/>
        </w:rPr>
      </w:pPr>
      <w:r w:rsidRPr="005D4880">
        <w:rPr>
          <w:noProof/>
        </w:rPr>
        <w:t>vu la recommandation de la Commission européenne,</w:t>
      </w:r>
    </w:p>
    <w:p w14:paraId="69BF8807" w14:textId="77777777" w:rsidR="00FC6DFC" w:rsidRPr="005D4880" w:rsidRDefault="00FC6DFC" w:rsidP="00FC6DFC">
      <w:pPr>
        <w:pStyle w:val="ManualNumPar1"/>
        <w:spacing w:after="0"/>
        <w:rPr>
          <w:noProof/>
        </w:rPr>
      </w:pPr>
      <w:r w:rsidRPr="005D4880">
        <w:rPr>
          <w:noProof/>
        </w:rPr>
        <w:t>considérant ce qui suit:</w:t>
      </w:r>
    </w:p>
    <w:p w14:paraId="73D2551F" w14:textId="77777777" w:rsidR="00FC6DFC" w:rsidRPr="005D4880" w:rsidRDefault="00FC6DFC" w:rsidP="00FC6DFC">
      <w:pPr>
        <w:rPr>
          <w:noProof/>
        </w:rPr>
      </w:pPr>
    </w:p>
    <w:p w14:paraId="67188BA2" w14:textId="77777777" w:rsidR="00FC6DFC" w:rsidRPr="005D4880" w:rsidRDefault="00FC6DFC" w:rsidP="00FC6DFC">
      <w:pPr>
        <w:pStyle w:val="Recital"/>
      </w:pPr>
      <w:r w:rsidRPr="005D4880">
        <w:t>L’article 126, paragraphe 1, du TFUE prévoit que les États membres doivent éviter les déficits publics excessifs.</w:t>
      </w:r>
    </w:p>
    <w:p w14:paraId="33B1ABFB" w14:textId="77777777" w:rsidR="00FC6DFC" w:rsidRPr="005D4880" w:rsidRDefault="00FC6DFC" w:rsidP="00FC6DFC">
      <w:pPr>
        <w:pStyle w:val="Recital"/>
      </w:pPr>
      <w:r w:rsidRPr="005D4880">
        <w:t>Le pacte de stabilité et de croissance repose sur l’objectif de finances publiques saines en tant que moyen de renforcer les conditions assurant la stabilité des prix et une croissance forte, durable et inclusive soutenue par la stabilité financière, et ainsi de favoriser la réalisation des objectifs de l’Union en matière de croissance durable et d’emplois. Il comprend le règlement (CE) nº 1467/97 du Conseil du 7 juillet 1997</w:t>
      </w:r>
      <w:r w:rsidRPr="005D4880">
        <w:rPr>
          <w:rStyle w:val="FootnoteReference"/>
        </w:rPr>
        <w:footnoteReference w:id="1"/>
      </w:r>
      <w:r w:rsidRPr="005D4880">
        <w:t xml:space="preserve"> visant à accélérer et à clarifier la mise en œuvre de la procédure concernant les déficits excessifs, adopté pour favoriser une correction rapide des déficits publics excessifs.</w:t>
      </w:r>
    </w:p>
    <w:p w14:paraId="421F85C3" w14:textId="77777777" w:rsidR="00FC6DFC" w:rsidRPr="005D4880" w:rsidRDefault="00FC6DFC" w:rsidP="00FC6DFC">
      <w:pPr>
        <w:pStyle w:val="Recital"/>
      </w:pPr>
      <w:r w:rsidRPr="005D4880">
        <w:t>Le 26 juillet 2024, le Conseil a adopté, au titre de l’article 126, paragraphe 6, du TFUE, la décision (UE) 2024/2128</w:t>
      </w:r>
      <w:r w:rsidRPr="005D4880">
        <w:rPr>
          <w:rStyle w:val="FootnoteReference"/>
        </w:rPr>
        <w:footnoteReference w:id="2"/>
      </w:r>
      <w:r w:rsidRPr="005D4880">
        <w:t xml:space="preserve"> sur l’existence d’un déficit excessif à Malte en raison du non-respect du critère du déficit.</w:t>
      </w:r>
    </w:p>
    <w:p w14:paraId="4E5B71EA" w14:textId="77777777" w:rsidR="00FC6DFC" w:rsidRPr="005D4880" w:rsidRDefault="00FC6DFC" w:rsidP="00FC6DFC">
      <w:pPr>
        <w:pStyle w:val="Recital"/>
        <w:ind w:left="720" w:hanging="720"/>
      </w:pPr>
      <w:r w:rsidRPr="005D4880">
        <w:t>Le 21 janvier 2025, le Conseil a adopté une recommandation au titre de l’article 126, paragraphe 7, du TFUE</w:t>
      </w:r>
      <w:r w:rsidRPr="005D4880">
        <w:rPr>
          <w:rStyle w:val="FootnoteReference"/>
        </w:rPr>
        <w:footnoteReference w:id="3"/>
      </w:r>
      <w:r w:rsidRPr="005D4880">
        <w:t xml:space="preserve"> visant à ce qu’il soit mis un terme à la situation de déficit public excessif. Le Conseil a recommandé à Malte, en vertu de l’article 3, paragraphe 4, du règlement (CE) nº 1467/97, une trajectoire de correction imposant les taux de croissance maximaux des dépenses nettes suivants</w:t>
      </w:r>
      <w:r w:rsidRPr="005D4880">
        <w:rPr>
          <w:rStyle w:val="FootnoteReference"/>
        </w:rPr>
        <w:footnoteReference w:id="4"/>
      </w:r>
      <w:r w:rsidRPr="005D4880">
        <w:t>: 6,0 % en 2025, 5,8 % en 2026 et 5,8 % en 2027, ce qui correspond à des taux de croissance cumulés maximaux, calculés par référence à 2023, de 13,8 % en 2025, 20,4 % en 2026 et 27,4 % en 2027. Les taux de croissance annuels et cumulés pour la période 2025-2027 correspondent à ceux fixés dans la recommandation approuvant le plan budgétaire et structurel national à moyen terme de Malte</w:t>
      </w:r>
      <w:r w:rsidRPr="005D4880">
        <w:rPr>
          <w:rStyle w:val="FootnoteReference"/>
        </w:rPr>
        <w:footnoteReference w:id="5"/>
      </w:r>
      <w:r w:rsidRPr="005D4880">
        <w:t>. Sur la base des prévisions de l’automne 2024 de la Commission qui sous-tendaient cette recommandation et du cadre de projection de la dette publique à moyen terme de la Commission, le respect de cette trajectoire de correction devait conduire à ce que le déficit ne dépasse plus la valeur de référence de 3 % du PIB d’ici à 2027.</w:t>
      </w:r>
    </w:p>
    <w:p w14:paraId="252E0350" w14:textId="77777777" w:rsidR="00FC6DFC" w:rsidRPr="005D4880" w:rsidRDefault="00FC6DFC" w:rsidP="00FC6DFC">
      <w:pPr>
        <w:pStyle w:val="Recital"/>
      </w:pPr>
      <w:r w:rsidRPr="005D4880">
        <w:t>Conformément à l’article 126, paragraphe 12, du TFUE, une décision du Conseil constatant l’existence d’un déficit excessif doit être abrogée lorsque, de l’avis du Conseil, le déficit excessif dans l’État membre concerné a été corrigé.</w:t>
      </w:r>
    </w:p>
    <w:p w14:paraId="7141DDB7" w14:textId="77777777" w:rsidR="00FC6DFC" w:rsidRPr="005D4880" w:rsidRDefault="00FC6DFC" w:rsidP="00FC6DFC">
      <w:pPr>
        <w:pStyle w:val="Recital"/>
      </w:pPr>
      <w:r w:rsidRPr="005D4880">
        <w:t>Conformément à l’article 4 du protocole nº 12 sur la procédure concernant les déficits excessifs annexé au traité sur l’Union européenne et au TFUE, la Commission fournit les données nécessaires à la mise en œuvre de la procédure concernant les déficits excessifs. Dans le cadre de l’application de ce protocole, les États membres doivent communiquer des données relatives au déficit public et à la dette publique et d’autres variables liées deux fois par an, avant le 1</w:t>
      </w:r>
      <w:r w:rsidRPr="005D4880">
        <w:rPr>
          <w:vertAlign w:val="superscript"/>
        </w:rPr>
        <w:t>er</w:t>
      </w:r>
      <w:r w:rsidRPr="005D4880">
        <w:t> avril et avant le 1</w:t>
      </w:r>
      <w:r w:rsidRPr="005D4880">
        <w:rPr>
          <w:vertAlign w:val="superscript"/>
        </w:rPr>
        <w:t>er</w:t>
      </w:r>
      <w:r w:rsidRPr="005D4880">
        <w:t> octobre, conformément à l’article 3 du règlement (CE) nº 479/2009</w:t>
      </w:r>
      <w:r w:rsidRPr="005D4880">
        <w:rPr>
          <w:rStyle w:val="FootnoteReference"/>
        </w:rPr>
        <w:footnoteReference w:id="6"/>
      </w:r>
      <w:r w:rsidRPr="005D4880">
        <w:t>.</w:t>
      </w:r>
    </w:p>
    <w:p w14:paraId="06E3A487" w14:textId="77777777" w:rsidR="00FC6DFC" w:rsidRPr="005D4880" w:rsidRDefault="00FC6DFC" w:rsidP="00FC6DFC">
      <w:pPr>
        <w:pStyle w:val="Recital"/>
      </w:pPr>
      <w:r w:rsidRPr="005D4880">
        <w:t>Le Conseil prend la décision d’abroger une décision constatant l’existence d’un déficit excessif sur la base des données fournies par la Commission. Une décision constatant l’existence d’un déficit excessif en raison du non-respect du critère du déficit ne devrait être abrogée que si le déficit a été ramené sous la valeur de référence de 3 % du PIB et si les prévisions de la Commission indiquent qu’il devrait s’y maintenir pour l’exercice en cours et l’exercice suivant, comme le prévoit l’article 8, paragraphe 3, du règlement (CE) nº 1467/97.</w:t>
      </w:r>
    </w:p>
    <w:p w14:paraId="662B8A02" w14:textId="77777777" w:rsidR="00FC6DFC" w:rsidRPr="005D4880" w:rsidRDefault="00FC6DFC" w:rsidP="00FC6DFC">
      <w:pPr>
        <w:pStyle w:val="Recital"/>
      </w:pPr>
      <w:r w:rsidRPr="005D4880">
        <w:t>Les données communiquées par la Commission (Eurostat) conformément à l’article 14 du règlement (CE) nº 479/2009 à la suite de la notification effectuée par Malte en avril 2026</w:t>
      </w:r>
      <w:r w:rsidRPr="005D4880">
        <w:rPr>
          <w:rStyle w:val="FootnoteReference"/>
        </w:rPr>
        <w:footnoteReference w:id="7"/>
      </w:r>
      <w:r w:rsidRPr="005D4880">
        <w:t xml:space="preserve"> et les prévisions du printemps 2026 de la Commission permettent de tirer les conclusions suivantes:</w:t>
      </w:r>
    </w:p>
    <w:p w14:paraId="2F5A6D0F" w14:textId="60FC5F94" w:rsidR="00FC6DFC" w:rsidRPr="005D4880" w:rsidRDefault="00FC6DFC" w:rsidP="00FC6DFC">
      <w:pPr>
        <w:pStyle w:val="ListNumberLevel3"/>
        <w:tabs>
          <w:tab w:val="num" w:pos="2126"/>
        </w:tabs>
        <w:ind w:left="1065" w:hanging="283"/>
        <w:jc w:val="both"/>
        <w:rPr>
          <w:rFonts w:ascii="Times New Roman" w:hAnsi="Times New Roman"/>
          <w:noProof/>
        </w:rPr>
      </w:pPr>
      <w:r w:rsidRPr="005D4880">
        <w:rPr>
          <w:rFonts w:ascii="Times New Roman" w:hAnsi="Times New Roman"/>
          <w:noProof/>
        </w:rPr>
        <w:t>après avoir atteint 3,4 % du PIB en 2024, le déficit public est tombé à 2,2 % du PIB en 2025, soit un niveau inférieur à la valeur de référence de 3 % du PIB.</w:t>
      </w:r>
      <w:r w:rsidRPr="005D4880">
        <w:rPr>
          <w:noProof/>
          <w:color w:val="000000" w:themeColor="text1"/>
        </w:rPr>
        <w:t xml:space="preserve"> </w:t>
      </w:r>
      <w:r w:rsidRPr="005D4880">
        <w:rPr>
          <w:rFonts w:ascii="Times New Roman" w:hAnsi="Times New Roman"/>
          <w:noProof/>
          <w:color w:val="000000" w:themeColor="text1"/>
        </w:rPr>
        <w:t>Le déficit public de 2024 comprenait un important transfert en capital à la compagnie aérienne nationale. Malgré la non-répétition de ce transfert en capital, les dépenses publiques ont considérablement augmenté en 2025, notamment en raison d’augmentations importantes des dépenses de consommation intermédiaire et de rémunération des salariés, ainsi que d’une dépense ponctuelle résultant d’une décision de justice.</w:t>
      </w:r>
      <w:r w:rsidRPr="005D4880">
        <w:rPr>
          <w:rFonts w:ascii="Calibri" w:hAnsi="Calibri"/>
          <w:noProof/>
          <w:color w:val="000000" w:themeColor="text1"/>
          <w:sz w:val="22"/>
        </w:rPr>
        <w:t xml:space="preserve"> </w:t>
      </w:r>
      <w:r w:rsidRPr="005D4880">
        <w:rPr>
          <w:rFonts w:ascii="Times New Roman" w:hAnsi="Times New Roman"/>
          <w:noProof/>
        </w:rPr>
        <w:t xml:space="preserve">La diminution du déficit a donc été principalement due à la forte croissance des recettes publiques, sous l’effet de la croissance du PIB nominal et d’importantes recettes fiscales supplémentaires. Par rapport au déficit prévu pour 2025 dans la notification d’octobre 2025, le déficit de 2025 était inférieur de 1,1 pp du PIB, en raison de dépenses d’investissement plus faibles que prévu et de recettes plus élevées que prévu provenant de la fiscalité des entreprises; </w:t>
      </w:r>
    </w:p>
    <w:p w14:paraId="3B16955E" w14:textId="77777777" w:rsidR="00FC6DFC" w:rsidRPr="005D4880" w:rsidRDefault="00FC6DFC" w:rsidP="00FC6DFC">
      <w:pPr>
        <w:pStyle w:val="ListNumberLevel3"/>
        <w:tabs>
          <w:tab w:val="num" w:pos="2126"/>
        </w:tabs>
        <w:ind w:left="1065" w:hanging="283"/>
        <w:jc w:val="both"/>
        <w:rPr>
          <w:rFonts w:ascii="Times New Roman" w:hAnsi="Times New Roman"/>
          <w:noProof/>
        </w:rPr>
      </w:pPr>
      <w:r w:rsidRPr="005D4880">
        <w:rPr>
          <w:rFonts w:ascii="Times New Roman" w:hAnsi="Times New Roman"/>
          <w:noProof/>
        </w:rPr>
        <w:t>les prévisions du printemps 2026 de la Commission tablent sur un déficit de 2,2 % du PIB en 2026 et de 2,1 % du PIB en 2027, ce qui indique que le déficit resterait inférieur à la valeur de référence de 3 % du PIB. La projection d’un ratio de déficit globalement stable traduit les anticipations de poursuite d’une croissance importante des dépenses, notamment en raison de l’augmentation du coût des subventions à l’énergie, contrebalançant l’augmentation des recettes provenant de conditions économiques favorables.</w:t>
      </w:r>
      <w:r w:rsidRPr="005D4880">
        <w:rPr>
          <w:rFonts w:ascii="Times New Roman" w:hAnsi="Times New Roman"/>
          <w:i/>
          <w:noProof/>
        </w:rPr>
        <w:t xml:space="preserve"> </w:t>
      </w:r>
      <w:r w:rsidRPr="005D4880">
        <w:rPr>
          <w:rFonts w:ascii="Times New Roman" w:hAnsi="Times New Roman"/>
          <w:noProof/>
        </w:rPr>
        <w:t>Dans la notification d’avril 2026, Malte a fait état d’un déficit public prévu pour 2026 qui devrait retomber à 1,6 % du PIB.</w:t>
      </w:r>
    </w:p>
    <w:p w14:paraId="6C6D0479" w14:textId="2C341E71" w:rsidR="00FC6DFC" w:rsidRPr="005D4880" w:rsidRDefault="00FC6DFC" w:rsidP="00FC6DFC">
      <w:pPr>
        <w:pStyle w:val="Recital"/>
        <w:rPr>
          <w:bCs/>
          <w:shd w:val="clear" w:color="auto" w:fill="C7D4E8"/>
        </w:rPr>
      </w:pPr>
      <w:r w:rsidRPr="005D4880">
        <w:t>D’après les calculs de la Commission</w:t>
      </w:r>
      <w:r w:rsidRPr="005D4880">
        <w:rPr>
          <w:rStyle w:val="FootnoteReference"/>
          <w:rFonts w:eastAsiaTheme="minorHAnsi"/>
        </w:rPr>
        <w:footnoteReference w:id="8"/>
      </w:r>
      <w:r w:rsidRPr="005D4880">
        <w:t>, les dépenses nettes de Malte ont augmenté de 5,6 % en 2025 et de 22,2 %, en cumulé, sur 2024 et 2025. Le taux de croissance des dépenses nettes en 2025 est inférieur au taux de croissance maximal recommandé. Cependant, si l’on considère conjointement les années 2024 et 2025, le taux de croissance cumulé des dépenses nettes est supérieur au taux de croissance maximal recommandé, avec un écart de 2,3 % du PIB sur une base cumulée.</w:t>
      </w:r>
      <w:r w:rsidRPr="005D4880">
        <w:rPr>
          <w:rFonts w:ascii="Calibri" w:hAnsi="Calibri"/>
          <w:color w:val="FF0000"/>
          <w:sz w:val="22"/>
        </w:rPr>
        <w:t xml:space="preserve"> </w:t>
      </w:r>
      <w:r w:rsidRPr="005D4880">
        <w:rPr>
          <w:color w:val="000000" w:themeColor="text1"/>
        </w:rPr>
        <w:t xml:space="preserve">Le taux élevé de croissance des dépenses nettes en 2024 s’explique par le transfert en capital susmentionné à la compagnie aérienne nationale. </w:t>
      </w:r>
      <w:r w:rsidRPr="005D4880">
        <w:t>Les dépenses nettes de Malte devraient augmenter de 6,1 % en 2026 et de 29,7 %, en cumulé, sur 2024, 2025 et 2026. Le taux de croissance prévu des dépenses nettes en 2026 est supérieur au taux de croissance maximal recommandé, avec un écart de 0,1 % du PIB en termes annuels. Si l’on considère conjointement les années 2024, 2025 et 2026, le taux de croissance cumulé des dépenses nettes est également supérieur au taux de croissance maximal recommandé, avec un écart de 2,2 % du PIB sur une base cumulée.</w:t>
      </w:r>
    </w:p>
    <w:p w14:paraId="2D51812E" w14:textId="77777777" w:rsidR="00FC6DFC" w:rsidRPr="005D4880" w:rsidRDefault="00FC6DFC" w:rsidP="00FC6DFC">
      <w:pPr>
        <w:pStyle w:val="Recital"/>
      </w:pPr>
      <w:r w:rsidRPr="005D4880">
        <w:t>Le ratio de la dette publique au PIB a augmenté, passant de 45,9 % à la fin de l’année 2024 à 46,4 % du PIB à la fin de l’année 2025, restant ainsi inférieur à la valeur de référence de 60 % du PIB. Selon les prévisions du printemps 2026 de la Commission, il devrait diminuer pour s’établir à 46,2 % d’ici à la fin de l’année 2026, sous l’effet de la baisse du déficit primaire et de l’«effet boule de neige» de la croissance du PIB réel et de l’inflation.</w:t>
      </w:r>
    </w:p>
    <w:p w14:paraId="2AD598DB" w14:textId="7DA147F7" w:rsidR="00FC6DFC" w:rsidRPr="005D4880" w:rsidRDefault="00FC6DFC" w:rsidP="00FC6DFC">
      <w:pPr>
        <w:pStyle w:val="Recital"/>
        <w:widowControl w:val="0"/>
      </w:pPr>
      <w:r w:rsidRPr="005D4880">
        <w:t>De l’avis du Conseil, le déficit excessif a été corrigé à Malte, et la décision (UE) 2024/2128 devrait donc être abrogée.</w:t>
      </w:r>
    </w:p>
    <w:p w14:paraId="5F55C68C" w14:textId="28A9F388" w:rsidR="00FC6DFC" w:rsidRPr="005D4880" w:rsidRDefault="00FC6DFC" w:rsidP="00FC6DFC">
      <w:pPr>
        <w:pStyle w:val="Recital"/>
      </w:pPr>
      <w:r w:rsidRPr="005D4880">
        <w:t>L’abrogation de la décision (UE) 2024/2128 du Conseil rend obsolète la recommandation du Conseil du 26 juillet 2024 au titre de l’article 126, paragraphe 7, du TFUE. En revanche, la recommandation du Conseil du 21 janvier 2025 approuvant le plan budgétaire et structurel national à moyen terme de Malte continue de s’appliquer; il convient par conséquent que Malte veille à ce que la croissance de ses dépenses nettes ne dépasse pas les maximaux recommandés figurant au point 1 et à l’annexe I de ladite recommandation du Conseil,</w:t>
      </w:r>
    </w:p>
    <w:p w14:paraId="78AEE384" w14:textId="77777777" w:rsidR="00CD37F0" w:rsidRPr="005D4880" w:rsidRDefault="00CD37F0" w:rsidP="00CD37F0">
      <w:pPr>
        <w:pStyle w:val="Formuledadoption"/>
        <w:rPr>
          <w:noProof/>
        </w:rPr>
      </w:pPr>
      <w:r w:rsidRPr="005D4880">
        <w:rPr>
          <w:noProof/>
        </w:rPr>
        <w:t xml:space="preserve">A ADOPTÉ LA PRÉSENTE DÉCISION: </w:t>
      </w:r>
    </w:p>
    <w:p w14:paraId="685B260D" w14:textId="77777777" w:rsidR="00CD37F0" w:rsidRPr="005D4880" w:rsidRDefault="00CD37F0" w:rsidP="00CD37F0">
      <w:pPr>
        <w:pStyle w:val="Titrearticle"/>
        <w:rPr>
          <w:noProof/>
        </w:rPr>
      </w:pPr>
      <w:r w:rsidRPr="005D4880">
        <w:rPr>
          <w:noProof/>
        </w:rPr>
        <w:t>Article premier</w:t>
      </w:r>
    </w:p>
    <w:p w14:paraId="0BCFBE88" w14:textId="77777777" w:rsidR="00FC6DFC" w:rsidRPr="005D4880" w:rsidRDefault="00FC6DFC" w:rsidP="00FC6DFC">
      <w:pPr>
        <w:rPr>
          <w:noProof/>
          <w:szCs w:val="24"/>
        </w:rPr>
      </w:pPr>
      <w:r w:rsidRPr="005D4880">
        <w:rPr>
          <w:noProof/>
        </w:rPr>
        <w:t xml:space="preserve">Il ressort d’une évaluation globale que la situation de déficit excessif a été corrigée à Malte. </w:t>
      </w:r>
    </w:p>
    <w:p w14:paraId="3BCD19E9" w14:textId="77777777" w:rsidR="00FC6DFC" w:rsidRPr="005D4880" w:rsidRDefault="00FC6DFC" w:rsidP="00FC6DFC">
      <w:pPr>
        <w:pStyle w:val="Titrearticle"/>
        <w:outlineLvl w:val="0"/>
        <w:rPr>
          <w:noProof/>
        </w:rPr>
      </w:pPr>
      <w:r w:rsidRPr="005D4880">
        <w:rPr>
          <w:noProof/>
        </w:rPr>
        <w:t>Article 2</w:t>
      </w:r>
    </w:p>
    <w:p w14:paraId="4667C374" w14:textId="477B420C" w:rsidR="00FC6DFC" w:rsidRPr="005D4880" w:rsidRDefault="00FC6DFC" w:rsidP="00FC6DFC">
      <w:pPr>
        <w:rPr>
          <w:noProof/>
          <w:szCs w:val="24"/>
        </w:rPr>
      </w:pPr>
      <w:r w:rsidRPr="005D4880">
        <w:rPr>
          <w:noProof/>
        </w:rPr>
        <w:t xml:space="preserve">La décision (UE) 2024/2128 est abrogée. </w:t>
      </w:r>
    </w:p>
    <w:p w14:paraId="15C221BE" w14:textId="77777777" w:rsidR="00FC6DFC" w:rsidRPr="005D4880" w:rsidRDefault="00FC6DFC" w:rsidP="00FC6DFC">
      <w:pPr>
        <w:rPr>
          <w:noProof/>
          <w:szCs w:val="24"/>
        </w:rPr>
      </w:pPr>
    </w:p>
    <w:p w14:paraId="53953F61" w14:textId="77777777" w:rsidR="00FC6DFC" w:rsidRPr="005D4880" w:rsidRDefault="00FC6DFC" w:rsidP="00FC6DFC">
      <w:pPr>
        <w:pStyle w:val="Titrearticle"/>
        <w:outlineLvl w:val="0"/>
        <w:rPr>
          <w:noProof/>
        </w:rPr>
      </w:pPr>
      <w:r w:rsidRPr="005D4880">
        <w:rPr>
          <w:noProof/>
        </w:rPr>
        <w:t>Article 3</w:t>
      </w:r>
    </w:p>
    <w:p w14:paraId="1FAD3F69" w14:textId="77777777" w:rsidR="00FC6DFC" w:rsidRPr="005D4880" w:rsidRDefault="00FC6DFC" w:rsidP="00FC6DFC">
      <w:pPr>
        <w:keepNext/>
        <w:keepLines/>
        <w:rPr>
          <w:noProof/>
          <w:szCs w:val="24"/>
        </w:rPr>
      </w:pPr>
      <w:r w:rsidRPr="005D4880">
        <w:rPr>
          <w:noProof/>
        </w:rPr>
        <w:t>La République de Malte est destinataire de la présente décision.</w:t>
      </w:r>
    </w:p>
    <w:p w14:paraId="54666A72" w14:textId="77777777" w:rsidR="00FC6DFC" w:rsidRPr="005D4880" w:rsidRDefault="00FC6DFC" w:rsidP="009D6D7F">
      <w:pPr>
        <w:rPr>
          <w:noProof/>
        </w:rPr>
      </w:pPr>
    </w:p>
    <w:p w14:paraId="780E864E" w14:textId="77777777" w:rsidR="00FC6DFC" w:rsidRPr="005D4880" w:rsidRDefault="00FC6DFC" w:rsidP="009D6D7F">
      <w:pPr>
        <w:rPr>
          <w:noProof/>
        </w:rPr>
      </w:pPr>
    </w:p>
    <w:p w14:paraId="604357F1" w14:textId="79F4DAA6" w:rsidR="00FC6DFC" w:rsidRPr="005D4880" w:rsidRDefault="005D4880" w:rsidP="00E14089">
      <w:pPr>
        <w:pStyle w:val="Fait"/>
        <w:rPr>
          <w:noProof/>
        </w:rPr>
      </w:pPr>
      <w:r>
        <w:rPr>
          <w:noProof/>
        </w:rPr>
        <w:t>Fait à Bruxelles, le</w:t>
      </w:r>
    </w:p>
    <w:p w14:paraId="1291B143" w14:textId="77777777" w:rsidR="00CD37F0" w:rsidRPr="005D4880" w:rsidRDefault="00FC6DFC" w:rsidP="00E14089">
      <w:pPr>
        <w:pStyle w:val="Institutionquisigne"/>
        <w:rPr>
          <w:noProof/>
        </w:rPr>
      </w:pPr>
      <w:r w:rsidRPr="005D4880">
        <w:rPr>
          <w:noProof/>
        </w:rPr>
        <w:tab/>
        <w:t>Par le Conseil</w:t>
      </w:r>
    </w:p>
    <w:p w14:paraId="7A4A22B7" w14:textId="77777777" w:rsidR="00CD37F0" w:rsidRPr="005D4880" w:rsidRDefault="00CD37F0" w:rsidP="00CD37F0">
      <w:pPr>
        <w:pStyle w:val="Personnequisigne"/>
        <w:rPr>
          <w:noProof/>
        </w:rPr>
      </w:pPr>
      <w:r w:rsidRPr="005D4880">
        <w:rPr>
          <w:noProof/>
        </w:rPr>
        <w:tab/>
        <w:t>Le président/La présidente</w:t>
      </w:r>
    </w:p>
    <w:sectPr w:rsidR="00CD37F0" w:rsidRPr="005D4880" w:rsidSect="00CE052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EC266" w14:textId="77777777" w:rsidR="0086109A" w:rsidRDefault="0086109A" w:rsidP="008B6986">
      <w:pPr>
        <w:spacing w:before="0" w:after="0"/>
      </w:pPr>
      <w:r>
        <w:separator/>
      </w:r>
    </w:p>
  </w:endnote>
  <w:endnote w:type="continuationSeparator" w:id="0">
    <w:p w14:paraId="1EC5F832" w14:textId="77777777" w:rsidR="0086109A" w:rsidRDefault="0086109A" w:rsidP="008B698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BAE82" w14:textId="08EBEF93" w:rsidR="00CE0520" w:rsidRPr="00CE0520" w:rsidRDefault="00CE0520" w:rsidP="00CE0520">
    <w:pPr>
      <w:pStyle w:val="Footer"/>
      <w:rPr>
        <w:rFonts w:ascii="Arial" w:hAnsi="Arial" w:cs="Arial"/>
        <w:b/>
        <w:sz w:val="48"/>
      </w:rPr>
    </w:pPr>
    <w:r w:rsidRPr="00CE0520">
      <w:rPr>
        <w:rFonts w:ascii="Arial" w:hAnsi="Arial" w:cs="Arial"/>
        <w:b/>
        <w:sz w:val="48"/>
      </w:rPr>
      <w:t>FR</w:t>
    </w:r>
    <w:r w:rsidRPr="00CE0520">
      <w:rPr>
        <w:rFonts w:ascii="Arial" w:hAnsi="Arial" w:cs="Arial"/>
        <w:b/>
        <w:sz w:val="48"/>
      </w:rPr>
      <w:tab/>
    </w:r>
    <w:r w:rsidRPr="00CE0520">
      <w:rPr>
        <w:rFonts w:ascii="Arial" w:hAnsi="Arial" w:cs="Arial"/>
        <w:b/>
        <w:sz w:val="48"/>
      </w:rPr>
      <w:tab/>
    </w:r>
    <w:r w:rsidRPr="00CE0520">
      <w:tab/>
    </w:r>
    <w:r w:rsidRPr="00CE052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360AE" w14:textId="689CCF4B" w:rsidR="00CE0520" w:rsidRPr="00CE0520" w:rsidRDefault="00CE0520" w:rsidP="00CE0520">
    <w:pPr>
      <w:pStyle w:val="Footer"/>
      <w:rPr>
        <w:rFonts w:ascii="Arial" w:hAnsi="Arial" w:cs="Arial"/>
        <w:b/>
        <w:sz w:val="48"/>
      </w:rPr>
    </w:pPr>
    <w:r w:rsidRPr="00CE0520">
      <w:rPr>
        <w:rFonts w:ascii="Arial" w:hAnsi="Arial" w:cs="Arial"/>
        <w:b/>
        <w:sz w:val="48"/>
      </w:rPr>
      <w:t>FR</w:t>
    </w:r>
    <w:r w:rsidRPr="00CE0520">
      <w:rPr>
        <w:rFonts w:ascii="Arial" w:hAnsi="Arial" w:cs="Arial"/>
        <w:b/>
        <w:sz w:val="48"/>
      </w:rPr>
      <w:tab/>
    </w:r>
    <w:r w:rsidRPr="00CE0520">
      <w:rPr>
        <w:rFonts w:ascii="Arial" w:hAnsi="Arial" w:cs="Arial"/>
        <w:b/>
        <w:sz w:val="48"/>
      </w:rPr>
      <w:tab/>
    </w:r>
    <w:r w:rsidRPr="00CE0520">
      <w:tab/>
    </w:r>
    <w:r w:rsidRPr="00CE052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054BE" w14:textId="77777777" w:rsidR="00CE0520" w:rsidRDefault="00CE05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04E53" w14:textId="59668003" w:rsidR="00CE0520" w:rsidRPr="00CE0520" w:rsidRDefault="00CE0520" w:rsidP="00CE0520">
    <w:pPr>
      <w:pStyle w:val="Footer"/>
      <w:rPr>
        <w:rFonts w:ascii="Arial" w:hAnsi="Arial" w:cs="Arial"/>
        <w:b/>
        <w:sz w:val="48"/>
      </w:rPr>
    </w:pPr>
    <w:r w:rsidRPr="00CE0520">
      <w:rPr>
        <w:rFonts w:ascii="Arial" w:hAnsi="Arial" w:cs="Arial"/>
        <w:b/>
        <w:sz w:val="48"/>
      </w:rPr>
      <w:t>FR</w:t>
    </w:r>
    <w:r w:rsidRPr="00CE0520">
      <w:rPr>
        <w:rFonts w:ascii="Arial" w:hAnsi="Arial" w:cs="Arial"/>
        <w:b/>
        <w:sz w:val="48"/>
      </w:rPr>
      <w:tab/>
    </w:r>
    <w:r>
      <w:fldChar w:fldCharType="begin"/>
    </w:r>
    <w:r>
      <w:instrText xml:space="preserve"> PAGE  \* MERGEFORMAT </w:instrText>
    </w:r>
    <w:r>
      <w:fldChar w:fldCharType="separate"/>
    </w:r>
    <w:r w:rsidR="00E14089">
      <w:rPr>
        <w:noProof/>
      </w:rPr>
      <w:t>4</w:t>
    </w:r>
    <w:r>
      <w:fldChar w:fldCharType="end"/>
    </w:r>
    <w:r>
      <w:tab/>
    </w:r>
    <w:r w:rsidRPr="00CE0520">
      <w:tab/>
    </w:r>
    <w:r w:rsidRPr="00CE0520">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2F521" w14:textId="77777777" w:rsidR="00CE0520" w:rsidRDefault="00CE0520" w:rsidP="00CE0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52DCE" w14:textId="77777777" w:rsidR="0086109A" w:rsidRDefault="0086109A" w:rsidP="008B6986">
      <w:pPr>
        <w:spacing w:before="0" w:after="0"/>
      </w:pPr>
      <w:r>
        <w:separator/>
      </w:r>
    </w:p>
  </w:footnote>
  <w:footnote w:type="continuationSeparator" w:id="0">
    <w:p w14:paraId="73F5391D" w14:textId="77777777" w:rsidR="0086109A" w:rsidRDefault="0086109A" w:rsidP="008B6986">
      <w:pPr>
        <w:spacing w:before="0" w:after="0"/>
      </w:pPr>
      <w:r>
        <w:continuationSeparator/>
      </w:r>
    </w:p>
  </w:footnote>
  <w:footnote w:id="1">
    <w:p w14:paraId="1D2A53FC" w14:textId="77777777" w:rsidR="00FC6DFC" w:rsidRPr="005D4880" w:rsidRDefault="00FC6DFC" w:rsidP="00FC6DFC">
      <w:pPr>
        <w:pStyle w:val="FootnoteText"/>
        <w:ind w:left="709" w:hanging="352"/>
        <w:rPr>
          <w:lang w:val="fr-BE"/>
        </w:rPr>
      </w:pPr>
      <w:r>
        <w:rPr>
          <w:rStyle w:val="FootnoteReference"/>
        </w:rPr>
        <w:footnoteRef/>
      </w:r>
      <w:r w:rsidRPr="005D4880">
        <w:rPr>
          <w:lang w:val="fr-BE"/>
        </w:rPr>
        <w:tab/>
        <w:t>Règlement (CE) nº 1467/97 du Conseil du 7 juillet 1997 visant à accélérer et à clarifier la mise en œuvre de la procédure concernant les déficits excessifs (JO L 209 du 2.8.1997, ELI: </w:t>
      </w:r>
      <w:hyperlink r:id="rId1" w:tooltip="Permet d’accéder à ce document par l’intermédiaire de son URI ELI." w:history="1">
        <w:r w:rsidRPr="005D4880">
          <w:rPr>
            <w:rStyle w:val="Hyperlink"/>
            <w:lang w:val="fr-BE"/>
          </w:rPr>
          <w:t>http://data.europa.eu/eli/reg/1997/1467/2024-04-30</w:t>
        </w:r>
      </w:hyperlink>
      <w:r w:rsidRPr="005D4880">
        <w:rPr>
          <w:lang w:val="fr-BE"/>
        </w:rPr>
        <w:t>), modifié en dernier lieu par le règlement (UE) 2024/1264 du Conseil du 29 avril 2024 (JO L, 2024/1264, 30.4.2024).</w:t>
      </w:r>
    </w:p>
  </w:footnote>
  <w:footnote w:id="2">
    <w:p w14:paraId="7BE4B060" w14:textId="6D2C395C" w:rsidR="00FC6DFC" w:rsidRPr="005D4880" w:rsidRDefault="00FC6DFC" w:rsidP="00FC6DFC">
      <w:pPr>
        <w:pStyle w:val="FootnoteText"/>
        <w:ind w:hanging="363"/>
        <w:rPr>
          <w:lang w:val="fr-BE"/>
        </w:rPr>
      </w:pPr>
      <w:r>
        <w:rPr>
          <w:rStyle w:val="FootnoteReference"/>
        </w:rPr>
        <w:footnoteRef/>
      </w:r>
      <w:r w:rsidRPr="005D4880">
        <w:rPr>
          <w:lang w:val="fr-BE"/>
        </w:rPr>
        <w:tab/>
        <w:t>Décision (UE) 2024/2128 du Conseil du 26 juillet 2024 sur l’existence d’un déficit excessif à Malte (JO L, 2024/2128, 1.8.2024, ELI: </w:t>
      </w:r>
      <w:hyperlink r:id="rId2" w:history="1">
        <w:r w:rsidRPr="005D4880">
          <w:rPr>
            <w:rStyle w:val="Hyperlink"/>
            <w:lang w:val="fr-BE"/>
          </w:rPr>
          <w:t>http://data.europa.eu/eli/dec/2024/2128/oj</w:t>
        </w:r>
      </w:hyperlink>
      <w:r w:rsidRPr="005D4880">
        <w:rPr>
          <w:lang w:val="fr-BE"/>
        </w:rPr>
        <w:t>).</w:t>
      </w:r>
    </w:p>
  </w:footnote>
  <w:footnote w:id="3">
    <w:p w14:paraId="0F4F5E2C" w14:textId="53D2B808" w:rsidR="00FC6DFC" w:rsidRPr="005D4880" w:rsidRDefault="00FC6DFC" w:rsidP="00FC6DFC">
      <w:pPr>
        <w:pStyle w:val="FootnoteText"/>
        <w:ind w:left="709" w:hanging="352"/>
        <w:rPr>
          <w:lang w:val="fr-BE"/>
        </w:rPr>
      </w:pPr>
      <w:r>
        <w:rPr>
          <w:rStyle w:val="FootnoteReference"/>
        </w:rPr>
        <w:footnoteRef/>
      </w:r>
      <w:r w:rsidRPr="005D4880">
        <w:rPr>
          <w:lang w:val="fr-BE"/>
        </w:rPr>
        <w:tab/>
        <w:t xml:space="preserve">Recommandation du Conseil du 21 janvier 2025 visant à ce qu’il soit mis un terme à la situation de déficit excessif à Malte. Tous les documents relatifs à la procédure concernant les déficits excessifs de Malte sont disponibles à l’adresse suivante: </w:t>
      </w:r>
      <w:hyperlink r:id="rId3" w:history="1">
        <w:r w:rsidRPr="005D4880">
          <w:rPr>
            <w:rStyle w:val="Hyperlink"/>
            <w:lang w:val="fr-BE"/>
          </w:rPr>
          <w:t>https://economy-finance.ec.europa.eu/economic-governance-framework/stability-and-growth-pact/corrective-arm-excessive-deficit-procedure/excessive-deficit-procedures-overview/Malta_en?prefLang=fr&amp;etrans=fr</w:t>
        </w:r>
      </w:hyperlink>
      <w:r w:rsidRPr="005D4880">
        <w:rPr>
          <w:lang w:val="fr-BE"/>
        </w:rPr>
        <w:t>.</w:t>
      </w:r>
    </w:p>
  </w:footnote>
  <w:footnote w:id="4">
    <w:p w14:paraId="72DC64DF" w14:textId="4913007C" w:rsidR="00FC6DFC" w:rsidRPr="005D4880" w:rsidRDefault="00FC6DFC" w:rsidP="00FC6DFC">
      <w:pPr>
        <w:pStyle w:val="FootnoteText"/>
        <w:ind w:left="709" w:hanging="352"/>
        <w:rPr>
          <w:lang w:val="fr-BE"/>
        </w:rPr>
      </w:pPr>
      <w:r>
        <w:rPr>
          <w:rStyle w:val="FootnoteReference"/>
        </w:rPr>
        <w:footnoteRef/>
      </w:r>
      <w:r w:rsidRPr="005D4880">
        <w:rPr>
          <w:lang w:val="fr-BE"/>
        </w:rPr>
        <w:tab/>
        <w:t>Aux termes de l’article 2, point 2), du règlement (UE) 2024/1263, on entend par «dépenses nettes», les dépenses publiques, déduction faite des dépenses d’intérêts, des mesures discrétionnaires en matière de recettes, des dépenses relatives aux programmes de l’Union entièrement compensées par des recettes provenant de fonds de l’Union, des dépenses nationales de cofinancement des programmes financés par l’Union, des éléments cycliques des dépenses liées aux indemnités de chômage et des mesures ponctuelles et autres mesures temporaires.</w:t>
      </w:r>
    </w:p>
  </w:footnote>
  <w:footnote w:id="5">
    <w:p w14:paraId="0C16A345" w14:textId="139D901C" w:rsidR="00FC6DFC" w:rsidRPr="005D4880" w:rsidRDefault="00FC6DFC" w:rsidP="00FC6DFC">
      <w:pPr>
        <w:pStyle w:val="FootnoteText"/>
        <w:ind w:left="709" w:hanging="352"/>
        <w:rPr>
          <w:lang w:val="fr-BE"/>
        </w:rPr>
      </w:pPr>
      <w:r>
        <w:rPr>
          <w:rStyle w:val="FootnoteReference"/>
        </w:rPr>
        <w:footnoteRef/>
      </w:r>
      <w:r w:rsidRPr="005D4880">
        <w:rPr>
          <w:lang w:val="fr-BE"/>
        </w:rPr>
        <w:tab/>
        <w:t>Recommandation du Conseil du 21 janvier 2025 approuvant le plan budgétaire et structurel national à moyen terme de Malte (JO C, C/2025/649, 10.2.2025, ELI: </w:t>
      </w:r>
      <w:hyperlink r:id="rId4" w:tooltip="Permet d’accéder à ce document par l’intermédiaire de son URI ELI." w:history="1">
        <w:r w:rsidRPr="005D4880">
          <w:rPr>
            <w:rStyle w:val="Hyperlink"/>
            <w:lang w:val="fr-BE"/>
          </w:rPr>
          <w:t>http://data.europa.eu/eli/C/2025/649/oj</w:t>
        </w:r>
      </w:hyperlink>
      <w:r w:rsidRPr="005D4880">
        <w:rPr>
          <w:lang w:val="fr-BE"/>
        </w:rPr>
        <w:t>).</w:t>
      </w:r>
    </w:p>
  </w:footnote>
  <w:footnote w:id="6">
    <w:p w14:paraId="5B82430A" w14:textId="309C2FA2" w:rsidR="00FC6DFC" w:rsidRPr="005D4880" w:rsidRDefault="00FC6DFC" w:rsidP="00FC6DFC">
      <w:pPr>
        <w:pStyle w:val="FootnoteText"/>
        <w:ind w:left="709" w:hanging="352"/>
        <w:rPr>
          <w:lang w:val="fr-BE"/>
        </w:rPr>
      </w:pPr>
      <w:r>
        <w:rPr>
          <w:rStyle w:val="FootnoteReference"/>
        </w:rPr>
        <w:footnoteRef/>
      </w:r>
      <w:r w:rsidRPr="005D4880">
        <w:rPr>
          <w:lang w:val="fr-BE"/>
        </w:rPr>
        <w:tab/>
        <w:t>Règlement (CE) nº 479/2009 du Conseil du 25 mai 2009 relatif à l’application du protocole sur la procédure concernant les déficits excessifs annexé au traité instituant la Communauté européenne (JO L 145 du 10.6.2009, p. 1), modifié en dernier lieu par le règlement (UE) nº 220/2014 de la Commission du 7 mars 2014 (JO L 69 du 8.3.2014, p. 101).</w:t>
      </w:r>
    </w:p>
  </w:footnote>
  <w:footnote w:id="7">
    <w:p w14:paraId="2F52C095" w14:textId="6A30AD4A" w:rsidR="00FC6DFC" w:rsidRPr="005D4880" w:rsidRDefault="00FC6DFC" w:rsidP="00FC6DFC">
      <w:pPr>
        <w:pStyle w:val="FootnoteText"/>
        <w:ind w:left="709" w:hanging="352"/>
        <w:rPr>
          <w:lang w:val="fr-BE"/>
        </w:rPr>
      </w:pPr>
      <w:r>
        <w:rPr>
          <w:rStyle w:val="FootnoteReference"/>
        </w:rPr>
        <w:footnoteRef/>
      </w:r>
      <w:r w:rsidRPr="005D4880">
        <w:rPr>
          <w:lang w:val="fr-BE"/>
        </w:rPr>
        <w:tab/>
        <w:t xml:space="preserve">Voir les euro-indicateurs d’Eurostat du 22 avril 2026, </w:t>
      </w:r>
      <w:hyperlink r:id="rId5" w:history="1">
        <w:r w:rsidRPr="005D4880">
          <w:rPr>
            <w:rStyle w:val="Hyperlink"/>
            <w:lang w:val="fr-BE"/>
          </w:rPr>
          <w:t>https://ec.europa.eu/eurostat/web/products-euro-indicators/w/2-22042026-ap?etrans=fr</w:t>
        </w:r>
      </w:hyperlink>
      <w:r w:rsidRPr="005D4880">
        <w:rPr>
          <w:lang w:val="fr-BE"/>
        </w:rPr>
        <w:t>.</w:t>
      </w:r>
    </w:p>
  </w:footnote>
  <w:footnote w:id="8">
    <w:p w14:paraId="14B2E7D4" w14:textId="1A3C0CAD" w:rsidR="00FC6DFC" w:rsidRPr="005D4880" w:rsidRDefault="00FC6DFC" w:rsidP="00FC6DFC">
      <w:pPr>
        <w:pStyle w:val="FootnoteText"/>
        <w:ind w:left="709" w:hanging="352"/>
        <w:rPr>
          <w:lang w:val="fr-BE"/>
        </w:rPr>
      </w:pPr>
      <w:r>
        <w:rPr>
          <w:rStyle w:val="FootnoteReference"/>
        </w:rPr>
        <w:footnoteRef/>
      </w:r>
      <w:r w:rsidRPr="005D4880">
        <w:rPr>
          <w:lang w:val="fr-BE"/>
        </w:rPr>
        <w:tab/>
        <w:t>Fiscal Statistical Tables providing background data relevant for the assessment of the budgetary policies of the Member States [Tableaux statistiques budgétaires fournissant des données générales pertinentes pour l’évaluation des politiques budgétaires des États membres], SWD(2026) 200 final, Bruxelles, 3.6.2026.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F758D" w14:textId="77777777" w:rsidR="00CE0520" w:rsidRDefault="00CE05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6E601" w14:textId="77777777" w:rsidR="00CE0520" w:rsidRDefault="00CE05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270F78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AE0BC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DCE70A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974B05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929642C"/>
    <w:multiLevelType w:val="multilevel"/>
    <w:tmpl w:val="DA80F4B4"/>
    <w:lvl w:ilvl="0">
      <w:start w:val="1"/>
      <w:numFmt w:val="decimal"/>
      <w:lvlRestart w:val="0"/>
      <w:pStyle w:val="ListNumber"/>
      <w:lvlText w:val="(%1)"/>
      <w:lvlJc w:val="left"/>
      <w:pPr>
        <w:tabs>
          <w:tab w:val="num" w:pos="709"/>
        </w:tabs>
        <w:ind w:left="709" w:hanging="709"/>
      </w:pPr>
      <w:rPr>
        <w:rFonts w:cs="Times New Roman"/>
        <w:color w:val="auto"/>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3"/>
  </w:num>
  <w:num w:numId="3">
    <w:abstractNumId w:val="2"/>
  </w:num>
  <w:num w:numId="4">
    <w:abstractNumId w:val="1"/>
  </w:num>
  <w:num w:numId="5">
    <w:abstractNumId w:val="0"/>
  </w:num>
  <w:num w:numId="6">
    <w:abstractNumId w:val="16"/>
  </w:num>
  <w:num w:numId="7">
    <w:abstractNumId w:val="9"/>
  </w:num>
  <w:num w:numId="8">
    <w:abstractNumId w:val="18"/>
  </w:num>
  <w:num w:numId="9">
    <w:abstractNumId w:val="8"/>
  </w:num>
  <w:num w:numId="10">
    <w:abstractNumId w:val="10"/>
  </w:num>
  <w:num w:numId="11">
    <w:abstractNumId w:val="11"/>
  </w:num>
  <w:num w:numId="12">
    <w:abstractNumId w:val="6"/>
  </w:num>
  <w:num w:numId="13">
    <w:abstractNumId w:val="17"/>
  </w:num>
  <w:num w:numId="14">
    <w:abstractNumId w:val="5"/>
  </w:num>
  <w:num w:numId="15">
    <w:abstractNumId w:val="12"/>
  </w:num>
  <w:num w:numId="16">
    <w:abstractNumId w:val="14"/>
  </w:num>
  <w:num w:numId="17">
    <w:abstractNumId w:val="15"/>
  </w:num>
  <w:num w:numId="18">
    <w:abstractNumId w:val="7"/>
  </w:num>
  <w:num w:numId="19">
    <w:abstractNumId w:val="13"/>
  </w:num>
  <w:num w:numId="20">
    <w:abstractNumId w:val="19"/>
  </w:num>
  <w:num w:numId="21">
    <w:abstractNumId w:val="16"/>
  </w:num>
  <w:num w:numId="22">
    <w:abstractNumId w:val="9"/>
  </w:num>
  <w:num w:numId="23">
    <w:abstractNumId w:val="18"/>
  </w:num>
  <w:num w:numId="24">
    <w:abstractNumId w:val="8"/>
  </w:num>
  <w:num w:numId="25">
    <w:abstractNumId w:val="10"/>
  </w:num>
  <w:num w:numId="26">
    <w:abstractNumId w:val="11"/>
  </w:num>
  <w:num w:numId="27">
    <w:abstractNumId w:val="6"/>
  </w:num>
  <w:num w:numId="28">
    <w:abstractNumId w:val="17"/>
  </w:num>
  <w:num w:numId="29">
    <w:abstractNumId w:val="5"/>
  </w:num>
  <w:num w:numId="30">
    <w:abstractNumId w:val="12"/>
  </w:num>
  <w:num w:numId="31">
    <w:abstractNumId w:val="14"/>
  </w:num>
  <w:num w:numId="32">
    <w:abstractNumId w:val="15"/>
  </w:num>
  <w:num w:numId="33">
    <w:abstractNumId w:val="7"/>
  </w:num>
  <w:num w:numId="34">
    <w:abstractNumId w:val="13"/>
  </w:num>
  <w:num w:numId="35">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8 10:31: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724626D1-070B-46DB-965E-807B742F7DC8"/>
    <w:docVar w:name="LW_COVERPAGE_TYPE" w:val="1"/>
    <w:docVar w:name="LW_CreatedUtc" w:val="2026-04-24T09:02:21.5022710Z"/>
    <w:docVar w:name="LW_CROSSREFERENCE" w:val="&lt;UNUSED&gt;"/>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brogeant la décision (UE) 2024/2128 du Conseil sur l\u8217?existence d\u8217?un déficit excessif à Malte _x000b_"/>
    <w:docVar w:name="LW_TYPE.DOC.CP" w:val="DÉCISION DU CONSEIL"/>
    <w:docVar w:name="LwApiVersions" w:val="LW4CoDe 1.24.5.0; LW 9.2, Build 20251112"/>
  </w:docVars>
  <w:rsids>
    <w:rsidRoot w:val="008B6986"/>
    <w:rsid w:val="000001E9"/>
    <w:rsid w:val="000006DD"/>
    <w:rsid w:val="00000996"/>
    <w:rsid w:val="0000345B"/>
    <w:rsid w:val="00003D9E"/>
    <w:rsid w:val="00003FE8"/>
    <w:rsid w:val="00004908"/>
    <w:rsid w:val="00006F39"/>
    <w:rsid w:val="000075EB"/>
    <w:rsid w:val="000104A8"/>
    <w:rsid w:val="00011308"/>
    <w:rsid w:val="00011F02"/>
    <w:rsid w:val="00012845"/>
    <w:rsid w:val="00013244"/>
    <w:rsid w:val="00013C27"/>
    <w:rsid w:val="0001523D"/>
    <w:rsid w:val="00015CE7"/>
    <w:rsid w:val="000164DE"/>
    <w:rsid w:val="0001682D"/>
    <w:rsid w:val="00016AC9"/>
    <w:rsid w:val="0001701B"/>
    <w:rsid w:val="00017922"/>
    <w:rsid w:val="000203A9"/>
    <w:rsid w:val="00020B43"/>
    <w:rsid w:val="0002123F"/>
    <w:rsid w:val="00022FC6"/>
    <w:rsid w:val="0002340E"/>
    <w:rsid w:val="000239A8"/>
    <w:rsid w:val="000239BF"/>
    <w:rsid w:val="00023A64"/>
    <w:rsid w:val="00024578"/>
    <w:rsid w:val="00024770"/>
    <w:rsid w:val="00024CD6"/>
    <w:rsid w:val="00024E30"/>
    <w:rsid w:val="000256B4"/>
    <w:rsid w:val="00026F52"/>
    <w:rsid w:val="00027237"/>
    <w:rsid w:val="00030404"/>
    <w:rsid w:val="000309FE"/>
    <w:rsid w:val="00031EF1"/>
    <w:rsid w:val="00032666"/>
    <w:rsid w:val="00032906"/>
    <w:rsid w:val="00033F0C"/>
    <w:rsid w:val="000346CC"/>
    <w:rsid w:val="000347D3"/>
    <w:rsid w:val="00036D4E"/>
    <w:rsid w:val="000373E4"/>
    <w:rsid w:val="0003779B"/>
    <w:rsid w:val="00037D4B"/>
    <w:rsid w:val="00040422"/>
    <w:rsid w:val="00040DDE"/>
    <w:rsid w:val="000415A8"/>
    <w:rsid w:val="00041CD0"/>
    <w:rsid w:val="00042AE2"/>
    <w:rsid w:val="00043368"/>
    <w:rsid w:val="00043F15"/>
    <w:rsid w:val="0004463B"/>
    <w:rsid w:val="00047538"/>
    <w:rsid w:val="00047868"/>
    <w:rsid w:val="00047AC5"/>
    <w:rsid w:val="000505B4"/>
    <w:rsid w:val="00050E3B"/>
    <w:rsid w:val="000512C5"/>
    <w:rsid w:val="000529F3"/>
    <w:rsid w:val="00053975"/>
    <w:rsid w:val="00053BB2"/>
    <w:rsid w:val="00054832"/>
    <w:rsid w:val="000549AE"/>
    <w:rsid w:val="00055C88"/>
    <w:rsid w:val="000560AA"/>
    <w:rsid w:val="000560EC"/>
    <w:rsid w:val="00056B63"/>
    <w:rsid w:val="00056DE3"/>
    <w:rsid w:val="000575C6"/>
    <w:rsid w:val="000578C3"/>
    <w:rsid w:val="00057CE0"/>
    <w:rsid w:val="00060036"/>
    <w:rsid w:val="000601F2"/>
    <w:rsid w:val="000604A3"/>
    <w:rsid w:val="00061147"/>
    <w:rsid w:val="00061A3B"/>
    <w:rsid w:val="00061CC0"/>
    <w:rsid w:val="000630A8"/>
    <w:rsid w:val="0006359D"/>
    <w:rsid w:val="00063BDD"/>
    <w:rsid w:val="00064956"/>
    <w:rsid w:val="00064B45"/>
    <w:rsid w:val="00064C5F"/>
    <w:rsid w:val="00066FC6"/>
    <w:rsid w:val="00070635"/>
    <w:rsid w:val="000709A1"/>
    <w:rsid w:val="00070C76"/>
    <w:rsid w:val="00071306"/>
    <w:rsid w:val="000717F7"/>
    <w:rsid w:val="00072DF4"/>
    <w:rsid w:val="00073739"/>
    <w:rsid w:val="000747C3"/>
    <w:rsid w:val="00075145"/>
    <w:rsid w:val="000756D9"/>
    <w:rsid w:val="00075707"/>
    <w:rsid w:val="000763BE"/>
    <w:rsid w:val="000777FE"/>
    <w:rsid w:val="00077825"/>
    <w:rsid w:val="000779C4"/>
    <w:rsid w:val="0008106A"/>
    <w:rsid w:val="00081139"/>
    <w:rsid w:val="000813FE"/>
    <w:rsid w:val="0008167D"/>
    <w:rsid w:val="000820BF"/>
    <w:rsid w:val="0008341F"/>
    <w:rsid w:val="00083EB6"/>
    <w:rsid w:val="00084539"/>
    <w:rsid w:val="0008475F"/>
    <w:rsid w:val="00084762"/>
    <w:rsid w:val="000852E0"/>
    <w:rsid w:val="00085CC0"/>
    <w:rsid w:val="00086892"/>
    <w:rsid w:val="00086E15"/>
    <w:rsid w:val="00087207"/>
    <w:rsid w:val="00090317"/>
    <w:rsid w:val="00090446"/>
    <w:rsid w:val="000905B6"/>
    <w:rsid w:val="0009099D"/>
    <w:rsid w:val="00091399"/>
    <w:rsid w:val="00091517"/>
    <w:rsid w:val="000917A8"/>
    <w:rsid w:val="000930F9"/>
    <w:rsid w:val="00093193"/>
    <w:rsid w:val="000934E0"/>
    <w:rsid w:val="00093F12"/>
    <w:rsid w:val="00094155"/>
    <w:rsid w:val="00094567"/>
    <w:rsid w:val="00094B49"/>
    <w:rsid w:val="0009530A"/>
    <w:rsid w:val="000953E4"/>
    <w:rsid w:val="00095A0E"/>
    <w:rsid w:val="00095B3D"/>
    <w:rsid w:val="00095FDB"/>
    <w:rsid w:val="000961F9"/>
    <w:rsid w:val="00096969"/>
    <w:rsid w:val="000970EC"/>
    <w:rsid w:val="00097449"/>
    <w:rsid w:val="000974B3"/>
    <w:rsid w:val="000A01FD"/>
    <w:rsid w:val="000A0245"/>
    <w:rsid w:val="000A0DD5"/>
    <w:rsid w:val="000A1DA8"/>
    <w:rsid w:val="000A2343"/>
    <w:rsid w:val="000A3432"/>
    <w:rsid w:val="000A44F8"/>
    <w:rsid w:val="000A45E4"/>
    <w:rsid w:val="000A4890"/>
    <w:rsid w:val="000A500B"/>
    <w:rsid w:val="000A62E1"/>
    <w:rsid w:val="000A671B"/>
    <w:rsid w:val="000A74C1"/>
    <w:rsid w:val="000B0633"/>
    <w:rsid w:val="000B1C35"/>
    <w:rsid w:val="000B265F"/>
    <w:rsid w:val="000B467D"/>
    <w:rsid w:val="000B4D28"/>
    <w:rsid w:val="000B4D61"/>
    <w:rsid w:val="000B4F81"/>
    <w:rsid w:val="000B527C"/>
    <w:rsid w:val="000B5B7C"/>
    <w:rsid w:val="000B64C6"/>
    <w:rsid w:val="000B664C"/>
    <w:rsid w:val="000B6655"/>
    <w:rsid w:val="000B6CEA"/>
    <w:rsid w:val="000C0594"/>
    <w:rsid w:val="000C0D6C"/>
    <w:rsid w:val="000C15D8"/>
    <w:rsid w:val="000C25A6"/>
    <w:rsid w:val="000C34BC"/>
    <w:rsid w:val="000C3FD6"/>
    <w:rsid w:val="000C4A8A"/>
    <w:rsid w:val="000C4C71"/>
    <w:rsid w:val="000C638C"/>
    <w:rsid w:val="000C6A96"/>
    <w:rsid w:val="000C6CC0"/>
    <w:rsid w:val="000C71B9"/>
    <w:rsid w:val="000C7A24"/>
    <w:rsid w:val="000C7D0A"/>
    <w:rsid w:val="000C7ED4"/>
    <w:rsid w:val="000D0238"/>
    <w:rsid w:val="000D1999"/>
    <w:rsid w:val="000D2936"/>
    <w:rsid w:val="000D2A07"/>
    <w:rsid w:val="000D3747"/>
    <w:rsid w:val="000D4373"/>
    <w:rsid w:val="000D5239"/>
    <w:rsid w:val="000D77F4"/>
    <w:rsid w:val="000D7CA3"/>
    <w:rsid w:val="000E034A"/>
    <w:rsid w:val="000E085B"/>
    <w:rsid w:val="000E0ACD"/>
    <w:rsid w:val="000E1062"/>
    <w:rsid w:val="000E17D0"/>
    <w:rsid w:val="000E291F"/>
    <w:rsid w:val="000E2FF6"/>
    <w:rsid w:val="000E36CF"/>
    <w:rsid w:val="000E37D8"/>
    <w:rsid w:val="000E5949"/>
    <w:rsid w:val="000E65CB"/>
    <w:rsid w:val="000E6D8F"/>
    <w:rsid w:val="000E7945"/>
    <w:rsid w:val="000E7B97"/>
    <w:rsid w:val="000F107A"/>
    <w:rsid w:val="000F148B"/>
    <w:rsid w:val="000F1FC2"/>
    <w:rsid w:val="000F2E88"/>
    <w:rsid w:val="000F681E"/>
    <w:rsid w:val="000F6A0E"/>
    <w:rsid w:val="000F7618"/>
    <w:rsid w:val="0010042E"/>
    <w:rsid w:val="00101557"/>
    <w:rsid w:val="00101C28"/>
    <w:rsid w:val="00101F9C"/>
    <w:rsid w:val="0010225E"/>
    <w:rsid w:val="0010271B"/>
    <w:rsid w:val="00102BFD"/>
    <w:rsid w:val="00103877"/>
    <w:rsid w:val="00103AB1"/>
    <w:rsid w:val="00103CCB"/>
    <w:rsid w:val="00103CEB"/>
    <w:rsid w:val="00103D94"/>
    <w:rsid w:val="001044CE"/>
    <w:rsid w:val="00104D97"/>
    <w:rsid w:val="00105051"/>
    <w:rsid w:val="001051C8"/>
    <w:rsid w:val="001065F5"/>
    <w:rsid w:val="001069E6"/>
    <w:rsid w:val="00111503"/>
    <w:rsid w:val="00111515"/>
    <w:rsid w:val="00113759"/>
    <w:rsid w:val="0011401A"/>
    <w:rsid w:val="00114A84"/>
    <w:rsid w:val="001153FB"/>
    <w:rsid w:val="00115852"/>
    <w:rsid w:val="00115D3D"/>
    <w:rsid w:val="00115F05"/>
    <w:rsid w:val="001171F0"/>
    <w:rsid w:val="00120DE6"/>
    <w:rsid w:val="00121302"/>
    <w:rsid w:val="0012135B"/>
    <w:rsid w:val="001220B3"/>
    <w:rsid w:val="0012218B"/>
    <w:rsid w:val="00122419"/>
    <w:rsid w:val="00122978"/>
    <w:rsid w:val="0012297D"/>
    <w:rsid w:val="00122DF1"/>
    <w:rsid w:val="001234DD"/>
    <w:rsid w:val="001237A7"/>
    <w:rsid w:val="001238EF"/>
    <w:rsid w:val="00124364"/>
    <w:rsid w:val="001248A6"/>
    <w:rsid w:val="00126592"/>
    <w:rsid w:val="00127582"/>
    <w:rsid w:val="00130FFE"/>
    <w:rsid w:val="001310C5"/>
    <w:rsid w:val="001313F7"/>
    <w:rsid w:val="00131476"/>
    <w:rsid w:val="001317E6"/>
    <w:rsid w:val="00131CF2"/>
    <w:rsid w:val="001322C1"/>
    <w:rsid w:val="001331C9"/>
    <w:rsid w:val="00134025"/>
    <w:rsid w:val="00135B69"/>
    <w:rsid w:val="00136E39"/>
    <w:rsid w:val="00137A67"/>
    <w:rsid w:val="001416E0"/>
    <w:rsid w:val="0014258E"/>
    <w:rsid w:val="0014287B"/>
    <w:rsid w:val="0014303D"/>
    <w:rsid w:val="00143CAA"/>
    <w:rsid w:val="00143CF7"/>
    <w:rsid w:val="00144CBA"/>
    <w:rsid w:val="00145783"/>
    <w:rsid w:val="001469F3"/>
    <w:rsid w:val="0014728C"/>
    <w:rsid w:val="00147469"/>
    <w:rsid w:val="00150A04"/>
    <w:rsid w:val="00150CC1"/>
    <w:rsid w:val="001514E8"/>
    <w:rsid w:val="00151945"/>
    <w:rsid w:val="00151C9C"/>
    <w:rsid w:val="001522C1"/>
    <w:rsid w:val="00153DE0"/>
    <w:rsid w:val="00154EF8"/>
    <w:rsid w:val="00155022"/>
    <w:rsid w:val="0015542D"/>
    <w:rsid w:val="00156684"/>
    <w:rsid w:val="00156708"/>
    <w:rsid w:val="00157090"/>
    <w:rsid w:val="00157EA8"/>
    <w:rsid w:val="001606F1"/>
    <w:rsid w:val="00160A6B"/>
    <w:rsid w:val="001627E2"/>
    <w:rsid w:val="001639B8"/>
    <w:rsid w:val="00163BFC"/>
    <w:rsid w:val="001642CF"/>
    <w:rsid w:val="0016505D"/>
    <w:rsid w:val="0016570A"/>
    <w:rsid w:val="00166143"/>
    <w:rsid w:val="0017032C"/>
    <w:rsid w:val="00170508"/>
    <w:rsid w:val="001713B2"/>
    <w:rsid w:val="001725DB"/>
    <w:rsid w:val="00172F5D"/>
    <w:rsid w:val="0017304E"/>
    <w:rsid w:val="00173525"/>
    <w:rsid w:val="001741E6"/>
    <w:rsid w:val="001750BB"/>
    <w:rsid w:val="0017665C"/>
    <w:rsid w:val="001769DB"/>
    <w:rsid w:val="00177597"/>
    <w:rsid w:val="001775FD"/>
    <w:rsid w:val="00177741"/>
    <w:rsid w:val="001804DD"/>
    <w:rsid w:val="00180B5E"/>
    <w:rsid w:val="00180D6E"/>
    <w:rsid w:val="00182E27"/>
    <w:rsid w:val="001835A1"/>
    <w:rsid w:val="001847D6"/>
    <w:rsid w:val="001849D3"/>
    <w:rsid w:val="001865E3"/>
    <w:rsid w:val="00186AC7"/>
    <w:rsid w:val="0018712F"/>
    <w:rsid w:val="0018713A"/>
    <w:rsid w:val="0018738E"/>
    <w:rsid w:val="0019074E"/>
    <w:rsid w:val="001908B1"/>
    <w:rsid w:val="00191556"/>
    <w:rsid w:val="001919DA"/>
    <w:rsid w:val="00193168"/>
    <w:rsid w:val="00193908"/>
    <w:rsid w:val="00193FA9"/>
    <w:rsid w:val="00195E1A"/>
    <w:rsid w:val="001965F7"/>
    <w:rsid w:val="00196F86"/>
    <w:rsid w:val="001973F7"/>
    <w:rsid w:val="00197613"/>
    <w:rsid w:val="00197C66"/>
    <w:rsid w:val="00197E85"/>
    <w:rsid w:val="001A1036"/>
    <w:rsid w:val="001A201E"/>
    <w:rsid w:val="001A217D"/>
    <w:rsid w:val="001A2D50"/>
    <w:rsid w:val="001A3209"/>
    <w:rsid w:val="001A324C"/>
    <w:rsid w:val="001A3491"/>
    <w:rsid w:val="001A39A5"/>
    <w:rsid w:val="001A41A1"/>
    <w:rsid w:val="001A486E"/>
    <w:rsid w:val="001A4C90"/>
    <w:rsid w:val="001A633D"/>
    <w:rsid w:val="001B03D2"/>
    <w:rsid w:val="001B1094"/>
    <w:rsid w:val="001B1ADB"/>
    <w:rsid w:val="001B1D41"/>
    <w:rsid w:val="001B2352"/>
    <w:rsid w:val="001B2D43"/>
    <w:rsid w:val="001B33F2"/>
    <w:rsid w:val="001B48C2"/>
    <w:rsid w:val="001B50A6"/>
    <w:rsid w:val="001B5241"/>
    <w:rsid w:val="001B52F3"/>
    <w:rsid w:val="001B5501"/>
    <w:rsid w:val="001B6B55"/>
    <w:rsid w:val="001C0AE3"/>
    <w:rsid w:val="001C0CD7"/>
    <w:rsid w:val="001C26D3"/>
    <w:rsid w:val="001C3153"/>
    <w:rsid w:val="001C4468"/>
    <w:rsid w:val="001C5020"/>
    <w:rsid w:val="001C5C50"/>
    <w:rsid w:val="001C6659"/>
    <w:rsid w:val="001C69AE"/>
    <w:rsid w:val="001C6A40"/>
    <w:rsid w:val="001D11FB"/>
    <w:rsid w:val="001D1D10"/>
    <w:rsid w:val="001D271D"/>
    <w:rsid w:val="001D329D"/>
    <w:rsid w:val="001D330B"/>
    <w:rsid w:val="001D3CF1"/>
    <w:rsid w:val="001D4B34"/>
    <w:rsid w:val="001D4D1B"/>
    <w:rsid w:val="001D4FF2"/>
    <w:rsid w:val="001D5555"/>
    <w:rsid w:val="001D66C8"/>
    <w:rsid w:val="001D6D1D"/>
    <w:rsid w:val="001D6E6F"/>
    <w:rsid w:val="001D711C"/>
    <w:rsid w:val="001D7EFF"/>
    <w:rsid w:val="001E1622"/>
    <w:rsid w:val="001E17F6"/>
    <w:rsid w:val="001E1FC6"/>
    <w:rsid w:val="001E3382"/>
    <w:rsid w:val="001E5085"/>
    <w:rsid w:val="001E58F1"/>
    <w:rsid w:val="001E6A76"/>
    <w:rsid w:val="001E6C96"/>
    <w:rsid w:val="001E787B"/>
    <w:rsid w:val="001E78AD"/>
    <w:rsid w:val="001F07DC"/>
    <w:rsid w:val="001F1CB1"/>
    <w:rsid w:val="001F2B4E"/>
    <w:rsid w:val="001F450B"/>
    <w:rsid w:val="001F60CC"/>
    <w:rsid w:val="001F737D"/>
    <w:rsid w:val="001F757F"/>
    <w:rsid w:val="001F79D0"/>
    <w:rsid w:val="00200515"/>
    <w:rsid w:val="00200527"/>
    <w:rsid w:val="002005A2"/>
    <w:rsid w:val="002010A8"/>
    <w:rsid w:val="00201BA6"/>
    <w:rsid w:val="00201BE9"/>
    <w:rsid w:val="00202C3F"/>
    <w:rsid w:val="0020345B"/>
    <w:rsid w:val="002057BC"/>
    <w:rsid w:val="00205A0D"/>
    <w:rsid w:val="00207A95"/>
    <w:rsid w:val="00207CBB"/>
    <w:rsid w:val="0021009A"/>
    <w:rsid w:val="00210122"/>
    <w:rsid w:val="002101D0"/>
    <w:rsid w:val="00210C07"/>
    <w:rsid w:val="00211A93"/>
    <w:rsid w:val="00212248"/>
    <w:rsid w:val="00212BD5"/>
    <w:rsid w:val="00212F33"/>
    <w:rsid w:val="00213276"/>
    <w:rsid w:val="002143A2"/>
    <w:rsid w:val="00214916"/>
    <w:rsid w:val="00214BC4"/>
    <w:rsid w:val="00214D0D"/>
    <w:rsid w:val="0021633C"/>
    <w:rsid w:val="00216F71"/>
    <w:rsid w:val="00216FBE"/>
    <w:rsid w:val="00217DAB"/>
    <w:rsid w:val="00217E86"/>
    <w:rsid w:val="00222307"/>
    <w:rsid w:val="0022240D"/>
    <w:rsid w:val="00223B35"/>
    <w:rsid w:val="00224195"/>
    <w:rsid w:val="0022445D"/>
    <w:rsid w:val="00225C08"/>
    <w:rsid w:val="002264E8"/>
    <w:rsid w:val="00226768"/>
    <w:rsid w:val="002277AC"/>
    <w:rsid w:val="00227C9A"/>
    <w:rsid w:val="00231312"/>
    <w:rsid w:val="00231839"/>
    <w:rsid w:val="00231D18"/>
    <w:rsid w:val="002327E0"/>
    <w:rsid w:val="00232F55"/>
    <w:rsid w:val="00233160"/>
    <w:rsid w:val="00233DC7"/>
    <w:rsid w:val="002348D6"/>
    <w:rsid w:val="00235319"/>
    <w:rsid w:val="002353B3"/>
    <w:rsid w:val="002355C8"/>
    <w:rsid w:val="002359FA"/>
    <w:rsid w:val="002363BA"/>
    <w:rsid w:val="0023653F"/>
    <w:rsid w:val="00240492"/>
    <w:rsid w:val="00241278"/>
    <w:rsid w:val="00242B03"/>
    <w:rsid w:val="0024329C"/>
    <w:rsid w:val="002434AB"/>
    <w:rsid w:val="002435E8"/>
    <w:rsid w:val="00243B17"/>
    <w:rsid w:val="00243E4A"/>
    <w:rsid w:val="002442B2"/>
    <w:rsid w:val="002442FA"/>
    <w:rsid w:val="00245681"/>
    <w:rsid w:val="002457D3"/>
    <w:rsid w:val="00245CC4"/>
    <w:rsid w:val="00245EEC"/>
    <w:rsid w:val="00246286"/>
    <w:rsid w:val="00246C31"/>
    <w:rsid w:val="00247779"/>
    <w:rsid w:val="00251F0B"/>
    <w:rsid w:val="00253A2A"/>
    <w:rsid w:val="00253CA0"/>
    <w:rsid w:val="00254753"/>
    <w:rsid w:val="002552AE"/>
    <w:rsid w:val="00255418"/>
    <w:rsid w:val="00256F9F"/>
    <w:rsid w:val="002574F6"/>
    <w:rsid w:val="00257A78"/>
    <w:rsid w:val="00261503"/>
    <w:rsid w:val="00261A01"/>
    <w:rsid w:val="0026224F"/>
    <w:rsid w:val="00262DC0"/>
    <w:rsid w:val="00263B2F"/>
    <w:rsid w:val="00263DDE"/>
    <w:rsid w:val="00264401"/>
    <w:rsid w:val="00265B9E"/>
    <w:rsid w:val="0026658E"/>
    <w:rsid w:val="002669E4"/>
    <w:rsid w:val="00266B6E"/>
    <w:rsid w:val="00266ECA"/>
    <w:rsid w:val="00267818"/>
    <w:rsid w:val="00270391"/>
    <w:rsid w:val="002708F0"/>
    <w:rsid w:val="002709C1"/>
    <w:rsid w:val="00270AC0"/>
    <w:rsid w:val="002716B5"/>
    <w:rsid w:val="00271AEE"/>
    <w:rsid w:val="0027200B"/>
    <w:rsid w:val="002722C8"/>
    <w:rsid w:val="00272959"/>
    <w:rsid w:val="0027348A"/>
    <w:rsid w:val="00274255"/>
    <w:rsid w:val="0027652C"/>
    <w:rsid w:val="0027676B"/>
    <w:rsid w:val="00276F0F"/>
    <w:rsid w:val="00277D4A"/>
    <w:rsid w:val="0028293E"/>
    <w:rsid w:val="00283111"/>
    <w:rsid w:val="0028548D"/>
    <w:rsid w:val="00285674"/>
    <w:rsid w:val="00285B92"/>
    <w:rsid w:val="00285BEE"/>
    <w:rsid w:val="00285EA5"/>
    <w:rsid w:val="002871B1"/>
    <w:rsid w:val="0028797D"/>
    <w:rsid w:val="0029011F"/>
    <w:rsid w:val="00290F9C"/>
    <w:rsid w:val="002910F5"/>
    <w:rsid w:val="002919C8"/>
    <w:rsid w:val="00291D0E"/>
    <w:rsid w:val="0029207B"/>
    <w:rsid w:val="0029322C"/>
    <w:rsid w:val="00293B2D"/>
    <w:rsid w:val="00294C21"/>
    <w:rsid w:val="0029514E"/>
    <w:rsid w:val="0029533F"/>
    <w:rsid w:val="00296636"/>
    <w:rsid w:val="00296D77"/>
    <w:rsid w:val="0029725B"/>
    <w:rsid w:val="00297E70"/>
    <w:rsid w:val="002A0FCE"/>
    <w:rsid w:val="002A14F8"/>
    <w:rsid w:val="002A2FD3"/>
    <w:rsid w:val="002A4C11"/>
    <w:rsid w:val="002A5191"/>
    <w:rsid w:val="002A544A"/>
    <w:rsid w:val="002A65DB"/>
    <w:rsid w:val="002A7470"/>
    <w:rsid w:val="002B0140"/>
    <w:rsid w:val="002B1BCC"/>
    <w:rsid w:val="002B1C16"/>
    <w:rsid w:val="002B30AF"/>
    <w:rsid w:val="002B4572"/>
    <w:rsid w:val="002B673D"/>
    <w:rsid w:val="002B6ADB"/>
    <w:rsid w:val="002B6CEA"/>
    <w:rsid w:val="002B6DE3"/>
    <w:rsid w:val="002B7313"/>
    <w:rsid w:val="002C00BE"/>
    <w:rsid w:val="002C1514"/>
    <w:rsid w:val="002C1528"/>
    <w:rsid w:val="002C2C74"/>
    <w:rsid w:val="002C2EE9"/>
    <w:rsid w:val="002C3DE5"/>
    <w:rsid w:val="002C4089"/>
    <w:rsid w:val="002C4A85"/>
    <w:rsid w:val="002C4B7F"/>
    <w:rsid w:val="002C4D0F"/>
    <w:rsid w:val="002C5A32"/>
    <w:rsid w:val="002C7314"/>
    <w:rsid w:val="002D0848"/>
    <w:rsid w:val="002D3CDB"/>
    <w:rsid w:val="002D4839"/>
    <w:rsid w:val="002D6059"/>
    <w:rsid w:val="002D6086"/>
    <w:rsid w:val="002D6E39"/>
    <w:rsid w:val="002D72B8"/>
    <w:rsid w:val="002D7A05"/>
    <w:rsid w:val="002D7ECA"/>
    <w:rsid w:val="002D7EF1"/>
    <w:rsid w:val="002E06BB"/>
    <w:rsid w:val="002E0762"/>
    <w:rsid w:val="002E077D"/>
    <w:rsid w:val="002E1057"/>
    <w:rsid w:val="002E136D"/>
    <w:rsid w:val="002E1AED"/>
    <w:rsid w:val="002E211F"/>
    <w:rsid w:val="002E2800"/>
    <w:rsid w:val="002E43DD"/>
    <w:rsid w:val="002E485A"/>
    <w:rsid w:val="002E4B65"/>
    <w:rsid w:val="002E4FF5"/>
    <w:rsid w:val="002E5129"/>
    <w:rsid w:val="002E54D7"/>
    <w:rsid w:val="002E5D3F"/>
    <w:rsid w:val="002E5F17"/>
    <w:rsid w:val="002E620F"/>
    <w:rsid w:val="002E6A0A"/>
    <w:rsid w:val="002E7A2E"/>
    <w:rsid w:val="002F1848"/>
    <w:rsid w:val="002F1C70"/>
    <w:rsid w:val="002F24BD"/>
    <w:rsid w:val="002F349A"/>
    <w:rsid w:val="002F36B4"/>
    <w:rsid w:val="002F3D2E"/>
    <w:rsid w:val="002F5EFF"/>
    <w:rsid w:val="002F6DD0"/>
    <w:rsid w:val="002F6EE3"/>
    <w:rsid w:val="00300AEC"/>
    <w:rsid w:val="003010CE"/>
    <w:rsid w:val="00301AE2"/>
    <w:rsid w:val="0030273B"/>
    <w:rsid w:val="00302CFA"/>
    <w:rsid w:val="00303864"/>
    <w:rsid w:val="00304247"/>
    <w:rsid w:val="0030531F"/>
    <w:rsid w:val="00305F7A"/>
    <w:rsid w:val="00307452"/>
    <w:rsid w:val="00311B18"/>
    <w:rsid w:val="00311CE1"/>
    <w:rsid w:val="003125B5"/>
    <w:rsid w:val="00313CDE"/>
    <w:rsid w:val="00315009"/>
    <w:rsid w:val="003151B3"/>
    <w:rsid w:val="00315354"/>
    <w:rsid w:val="0031571C"/>
    <w:rsid w:val="003157D6"/>
    <w:rsid w:val="003173B5"/>
    <w:rsid w:val="00317D1B"/>
    <w:rsid w:val="00320D47"/>
    <w:rsid w:val="00321814"/>
    <w:rsid w:val="00321C27"/>
    <w:rsid w:val="00322194"/>
    <w:rsid w:val="00324338"/>
    <w:rsid w:val="00324C53"/>
    <w:rsid w:val="00324CCF"/>
    <w:rsid w:val="00325A1E"/>
    <w:rsid w:val="0032611D"/>
    <w:rsid w:val="003269F0"/>
    <w:rsid w:val="00326C96"/>
    <w:rsid w:val="00327568"/>
    <w:rsid w:val="003304E0"/>
    <w:rsid w:val="003307AB"/>
    <w:rsid w:val="00330C36"/>
    <w:rsid w:val="00332DE1"/>
    <w:rsid w:val="00333393"/>
    <w:rsid w:val="0033344A"/>
    <w:rsid w:val="003335EA"/>
    <w:rsid w:val="00333950"/>
    <w:rsid w:val="003345D0"/>
    <w:rsid w:val="00335660"/>
    <w:rsid w:val="00335934"/>
    <w:rsid w:val="0033646B"/>
    <w:rsid w:val="00336D41"/>
    <w:rsid w:val="00336DCB"/>
    <w:rsid w:val="003378E6"/>
    <w:rsid w:val="003410EA"/>
    <w:rsid w:val="00342163"/>
    <w:rsid w:val="003437BA"/>
    <w:rsid w:val="00343EA0"/>
    <w:rsid w:val="00344469"/>
    <w:rsid w:val="003448F9"/>
    <w:rsid w:val="00344BC8"/>
    <w:rsid w:val="0034515C"/>
    <w:rsid w:val="00345CE2"/>
    <w:rsid w:val="00347A10"/>
    <w:rsid w:val="003504D2"/>
    <w:rsid w:val="003504D9"/>
    <w:rsid w:val="003505EE"/>
    <w:rsid w:val="00350659"/>
    <w:rsid w:val="003506E0"/>
    <w:rsid w:val="00350A2A"/>
    <w:rsid w:val="003513B0"/>
    <w:rsid w:val="0035243C"/>
    <w:rsid w:val="00352D1B"/>
    <w:rsid w:val="00356A14"/>
    <w:rsid w:val="00356B6F"/>
    <w:rsid w:val="00356F2E"/>
    <w:rsid w:val="00357A3C"/>
    <w:rsid w:val="00360013"/>
    <w:rsid w:val="003604A5"/>
    <w:rsid w:val="003607D3"/>
    <w:rsid w:val="003619BA"/>
    <w:rsid w:val="00363241"/>
    <w:rsid w:val="00365880"/>
    <w:rsid w:val="00365C29"/>
    <w:rsid w:val="003661EE"/>
    <w:rsid w:val="0036751F"/>
    <w:rsid w:val="003700DF"/>
    <w:rsid w:val="003704EE"/>
    <w:rsid w:val="00370769"/>
    <w:rsid w:val="00371784"/>
    <w:rsid w:val="003720A2"/>
    <w:rsid w:val="00372277"/>
    <w:rsid w:val="0037244D"/>
    <w:rsid w:val="003725CC"/>
    <w:rsid w:val="00372869"/>
    <w:rsid w:val="003729D1"/>
    <w:rsid w:val="003732C8"/>
    <w:rsid w:val="003738A4"/>
    <w:rsid w:val="00373CA3"/>
    <w:rsid w:val="003745D3"/>
    <w:rsid w:val="0037479C"/>
    <w:rsid w:val="003747B5"/>
    <w:rsid w:val="0037513D"/>
    <w:rsid w:val="00375F34"/>
    <w:rsid w:val="00376961"/>
    <w:rsid w:val="00376EC6"/>
    <w:rsid w:val="003773A9"/>
    <w:rsid w:val="00380AB7"/>
    <w:rsid w:val="00381400"/>
    <w:rsid w:val="00382408"/>
    <w:rsid w:val="0038270D"/>
    <w:rsid w:val="00382F95"/>
    <w:rsid w:val="00383669"/>
    <w:rsid w:val="00390B17"/>
    <w:rsid w:val="003914E6"/>
    <w:rsid w:val="00391D98"/>
    <w:rsid w:val="00392E72"/>
    <w:rsid w:val="00393DAD"/>
    <w:rsid w:val="00394003"/>
    <w:rsid w:val="00394117"/>
    <w:rsid w:val="00394407"/>
    <w:rsid w:val="00394655"/>
    <w:rsid w:val="00394D0C"/>
    <w:rsid w:val="00394E4E"/>
    <w:rsid w:val="00396899"/>
    <w:rsid w:val="00397F6E"/>
    <w:rsid w:val="003A05F9"/>
    <w:rsid w:val="003A0671"/>
    <w:rsid w:val="003A0CD7"/>
    <w:rsid w:val="003A235D"/>
    <w:rsid w:val="003A27E8"/>
    <w:rsid w:val="003A4996"/>
    <w:rsid w:val="003A4DCD"/>
    <w:rsid w:val="003A4DE3"/>
    <w:rsid w:val="003A5FB8"/>
    <w:rsid w:val="003A63DA"/>
    <w:rsid w:val="003A6600"/>
    <w:rsid w:val="003A67EC"/>
    <w:rsid w:val="003A71B4"/>
    <w:rsid w:val="003B0804"/>
    <w:rsid w:val="003B11E6"/>
    <w:rsid w:val="003B139B"/>
    <w:rsid w:val="003B2B57"/>
    <w:rsid w:val="003B341B"/>
    <w:rsid w:val="003B362C"/>
    <w:rsid w:val="003B47A3"/>
    <w:rsid w:val="003B52EC"/>
    <w:rsid w:val="003B5424"/>
    <w:rsid w:val="003B63FA"/>
    <w:rsid w:val="003B72A8"/>
    <w:rsid w:val="003B768D"/>
    <w:rsid w:val="003B78EC"/>
    <w:rsid w:val="003C0397"/>
    <w:rsid w:val="003C1F77"/>
    <w:rsid w:val="003C3A3C"/>
    <w:rsid w:val="003C3FBF"/>
    <w:rsid w:val="003C4E7E"/>
    <w:rsid w:val="003C52BC"/>
    <w:rsid w:val="003C57C3"/>
    <w:rsid w:val="003C5CFB"/>
    <w:rsid w:val="003D0483"/>
    <w:rsid w:val="003D0D3C"/>
    <w:rsid w:val="003D1FBA"/>
    <w:rsid w:val="003D2A90"/>
    <w:rsid w:val="003D2D74"/>
    <w:rsid w:val="003D2E26"/>
    <w:rsid w:val="003D33A9"/>
    <w:rsid w:val="003D389A"/>
    <w:rsid w:val="003D39F4"/>
    <w:rsid w:val="003D3D58"/>
    <w:rsid w:val="003D3E5B"/>
    <w:rsid w:val="003D3F3D"/>
    <w:rsid w:val="003D44C8"/>
    <w:rsid w:val="003D453E"/>
    <w:rsid w:val="003D5F91"/>
    <w:rsid w:val="003D635C"/>
    <w:rsid w:val="003D78B6"/>
    <w:rsid w:val="003D7A0B"/>
    <w:rsid w:val="003E0AD2"/>
    <w:rsid w:val="003E125D"/>
    <w:rsid w:val="003E17E6"/>
    <w:rsid w:val="003E21E2"/>
    <w:rsid w:val="003E2411"/>
    <w:rsid w:val="003E269B"/>
    <w:rsid w:val="003E2923"/>
    <w:rsid w:val="003E2A0F"/>
    <w:rsid w:val="003E34D4"/>
    <w:rsid w:val="003E3E79"/>
    <w:rsid w:val="003E41A7"/>
    <w:rsid w:val="003E46B0"/>
    <w:rsid w:val="003E4863"/>
    <w:rsid w:val="003E508F"/>
    <w:rsid w:val="003E5125"/>
    <w:rsid w:val="003E58E2"/>
    <w:rsid w:val="003E66FE"/>
    <w:rsid w:val="003E6B86"/>
    <w:rsid w:val="003E7FCC"/>
    <w:rsid w:val="003F0971"/>
    <w:rsid w:val="003F1545"/>
    <w:rsid w:val="003F1DBE"/>
    <w:rsid w:val="003F252A"/>
    <w:rsid w:val="003F4B76"/>
    <w:rsid w:val="003F50F3"/>
    <w:rsid w:val="003F53B0"/>
    <w:rsid w:val="003F67E5"/>
    <w:rsid w:val="003F6F97"/>
    <w:rsid w:val="003F7413"/>
    <w:rsid w:val="003F76CB"/>
    <w:rsid w:val="003F76E6"/>
    <w:rsid w:val="003F7A07"/>
    <w:rsid w:val="003F7C68"/>
    <w:rsid w:val="00400348"/>
    <w:rsid w:val="004018E1"/>
    <w:rsid w:val="00403172"/>
    <w:rsid w:val="00403A8F"/>
    <w:rsid w:val="00403C58"/>
    <w:rsid w:val="004043D3"/>
    <w:rsid w:val="00404B6C"/>
    <w:rsid w:val="0040723E"/>
    <w:rsid w:val="004072D5"/>
    <w:rsid w:val="004108F7"/>
    <w:rsid w:val="0041092F"/>
    <w:rsid w:val="00411B9D"/>
    <w:rsid w:val="004126AC"/>
    <w:rsid w:val="0041327D"/>
    <w:rsid w:val="004135E1"/>
    <w:rsid w:val="00414317"/>
    <w:rsid w:val="00415169"/>
    <w:rsid w:val="00415673"/>
    <w:rsid w:val="0042037F"/>
    <w:rsid w:val="00420B9E"/>
    <w:rsid w:val="00421427"/>
    <w:rsid w:val="00421B0E"/>
    <w:rsid w:val="0042311F"/>
    <w:rsid w:val="0042373E"/>
    <w:rsid w:val="00423947"/>
    <w:rsid w:val="00424939"/>
    <w:rsid w:val="004257DD"/>
    <w:rsid w:val="0042648E"/>
    <w:rsid w:val="00426612"/>
    <w:rsid w:val="004304E6"/>
    <w:rsid w:val="004313DC"/>
    <w:rsid w:val="00431479"/>
    <w:rsid w:val="00431C14"/>
    <w:rsid w:val="00432B4F"/>
    <w:rsid w:val="00432DEB"/>
    <w:rsid w:val="004330E2"/>
    <w:rsid w:val="004339F0"/>
    <w:rsid w:val="004341E8"/>
    <w:rsid w:val="004355FE"/>
    <w:rsid w:val="004357D6"/>
    <w:rsid w:val="00435C9F"/>
    <w:rsid w:val="00435ED2"/>
    <w:rsid w:val="00436158"/>
    <w:rsid w:val="00437385"/>
    <w:rsid w:val="00440B49"/>
    <w:rsid w:val="004410AD"/>
    <w:rsid w:val="00442BCD"/>
    <w:rsid w:val="0044349D"/>
    <w:rsid w:val="004439D4"/>
    <w:rsid w:val="00443CF3"/>
    <w:rsid w:val="00443EA4"/>
    <w:rsid w:val="0044550E"/>
    <w:rsid w:val="0044629C"/>
    <w:rsid w:val="00446332"/>
    <w:rsid w:val="00446B00"/>
    <w:rsid w:val="00446FFD"/>
    <w:rsid w:val="00447181"/>
    <w:rsid w:val="004501A3"/>
    <w:rsid w:val="00450611"/>
    <w:rsid w:val="00450E30"/>
    <w:rsid w:val="0045164E"/>
    <w:rsid w:val="0045254D"/>
    <w:rsid w:val="00453F03"/>
    <w:rsid w:val="00454E55"/>
    <w:rsid w:val="00455105"/>
    <w:rsid w:val="00455571"/>
    <w:rsid w:val="00456741"/>
    <w:rsid w:val="00456904"/>
    <w:rsid w:val="00456988"/>
    <w:rsid w:val="00460E11"/>
    <w:rsid w:val="00461147"/>
    <w:rsid w:val="00461829"/>
    <w:rsid w:val="00461ADA"/>
    <w:rsid w:val="00461CBF"/>
    <w:rsid w:val="00461CDD"/>
    <w:rsid w:val="00462321"/>
    <w:rsid w:val="00462599"/>
    <w:rsid w:val="00462C27"/>
    <w:rsid w:val="00463CCF"/>
    <w:rsid w:val="004641C7"/>
    <w:rsid w:val="00464673"/>
    <w:rsid w:val="004648E6"/>
    <w:rsid w:val="00464D0E"/>
    <w:rsid w:val="00464DE8"/>
    <w:rsid w:val="00464F2C"/>
    <w:rsid w:val="00465628"/>
    <w:rsid w:val="004664DF"/>
    <w:rsid w:val="0047029E"/>
    <w:rsid w:val="0047042E"/>
    <w:rsid w:val="00471211"/>
    <w:rsid w:val="004725CD"/>
    <w:rsid w:val="0047329E"/>
    <w:rsid w:val="00473A95"/>
    <w:rsid w:val="00474148"/>
    <w:rsid w:val="00475982"/>
    <w:rsid w:val="00480105"/>
    <w:rsid w:val="00480BC2"/>
    <w:rsid w:val="00481D0C"/>
    <w:rsid w:val="00481EF5"/>
    <w:rsid w:val="004824C8"/>
    <w:rsid w:val="00483990"/>
    <w:rsid w:val="00483F81"/>
    <w:rsid w:val="0048469B"/>
    <w:rsid w:val="00487900"/>
    <w:rsid w:val="004908D6"/>
    <w:rsid w:val="004913C9"/>
    <w:rsid w:val="00493066"/>
    <w:rsid w:val="0049316F"/>
    <w:rsid w:val="004936D2"/>
    <w:rsid w:val="004936FC"/>
    <w:rsid w:val="00495522"/>
    <w:rsid w:val="00495B8C"/>
    <w:rsid w:val="00495D57"/>
    <w:rsid w:val="00496CEF"/>
    <w:rsid w:val="00496DBC"/>
    <w:rsid w:val="0049773A"/>
    <w:rsid w:val="004978B1"/>
    <w:rsid w:val="00497D6E"/>
    <w:rsid w:val="004A0078"/>
    <w:rsid w:val="004A0FE4"/>
    <w:rsid w:val="004A16D5"/>
    <w:rsid w:val="004A1973"/>
    <w:rsid w:val="004A2CCD"/>
    <w:rsid w:val="004A3561"/>
    <w:rsid w:val="004A3667"/>
    <w:rsid w:val="004A4C5B"/>
    <w:rsid w:val="004A5241"/>
    <w:rsid w:val="004A676A"/>
    <w:rsid w:val="004A72D6"/>
    <w:rsid w:val="004A7A4C"/>
    <w:rsid w:val="004B018E"/>
    <w:rsid w:val="004B03B0"/>
    <w:rsid w:val="004B04BC"/>
    <w:rsid w:val="004B0887"/>
    <w:rsid w:val="004B091D"/>
    <w:rsid w:val="004B0CF2"/>
    <w:rsid w:val="004B2131"/>
    <w:rsid w:val="004B2AA0"/>
    <w:rsid w:val="004B4557"/>
    <w:rsid w:val="004B478C"/>
    <w:rsid w:val="004B4858"/>
    <w:rsid w:val="004B60D3"/>
    <w:rsid w:val="004B636B"/>
    <w:rsid w:val="004B65B3"/>
    <w:rsid w:val="004B6BA2"/>
    <w:rsid w:val="004B6C65"/>
    <w:rsid w:val="004B7A69"/>
    <w:rsid w:val="004C0F54"/>
    <w:rsid w:val="004C22EB"/>
    <w:rsid w:val="004C28C0"/>
    <w:rsid w:val="004C2D38"/>
    <w:rsid w:val="004C2ECC"/>
    <w:rsid w:val="004C3B61"/>
    <w:rsid w:val="004C4681"/>
    <w:rsid w:val="004C49E5"/>
    <w:rsid w:val="004C6926"/>
    <w:rsid w:val="004C705F"/>
    <w:rsid w:val="004D0A0B"/>
    <w:rsid w:val="004D1508"/>
    <w:rsid w:val="004D1785"/>
    <w:rsid w:val="004D18AC"/>
    <w:rsid w:val="004D2088"/>
    <w:rsid w:val="004D2624"/>
    <w:rsid w:val="004D31A3"/>
    <w:rsid w:val="004D4094"/>
    <w:rsid w:val="004D437B"/>
    <w:rsid w:val="004D605B"/>
    <w:rsid w:val="004D6BBD"/>
    <w:rsid w:val="004D6FCA"/>
    <w:rsid w:val="004D70FE"/>
    <w:rsid w:val="004D7D01"/>
    <w:rsid w:val="004E19F0"/>
    <w:rsid w:val="004E1DCD"/>
    <w:rsid w:val="004E1FB5"/>
    <w:rsid w:val="004E23A5"/>
    <w:rsid w:val="004E3967"/>
    <w:rsid w:val="004E5159"/>
    <w:rsid w:val="004E5545"/>
    <w:rsid w:val="004E6F0E"/>
    <w:rsid w:val="004E77AE"/>
    <w:rsid w:val="004F0542"/>
    <w:rsid w:val="004F0A2B"/>
    <w:rsid w:val="004F0C0B"/>
    <w:rsid w:val="004F2193"/>
    <w:rsid w:val="004F4529"/>
    <w:rsid w:val="004F6BBB"/>
    <w:rsid w:val="004F6C9F"/>
    <w:rsid w:val="004F730A"/>
    <w:rsid w:val="004F7485"/>
    <w:rsid w:val="005006E1"/>
    <w:rsid w:val="00500F5A"/>
    <w:rsid w:val="005025E6"/>
    <w:rsid w:val="005029AE"/>
    <w:rsid w:val="00502DD2"/>
    <w:rsid w:val="005030F2"/>
    <w:rsid w:val="00504A1A"/>
    <w:rsid w:val="00504ABD"/>
    <w:rsid w:val="00504BD3"/>
    <w:rsid w:val="00505163"/>
    <w:rsid w:val="005053CE"/>
    <w:rsid w:val="00505450"/>
    <w:rsid w:val="00505E7E"/>
    <w:rsid w:val="00505F8A"/>
    <w:rsid w:val="005062D9"/>
    <w:rsid w:val="0050644D"/>
    <w:rsid w:val="00507B23"/>
    <w:rsid w:val="00510CDB"/>
    <w:rsid w:val="00510FB9"/>
    <w:rsid w:val="00512F15"/>
    <w:rsid w:val="00512F6A"/>
    <w:rsid w:val="00514007"/>
    <w:rsid w:val="005148DB"/>
    <w:rsid w:val="00514A67"/>
    <w:rsid w:val="0051537F"/>
    <w:rsid w:val="00515644"/>
    <w:rsid w:val="00517391"/>
    <w:rsid w:val="005174DB"/>
    <w:rsid w:val="005175F5"/>
    <w:rsid w:val="00520132"/>
    <w:rsid w:val="0052046D"/>
    <w:rsid w:val="00521575"/>
    <w:rsid w:val="005222D1"/>
    <w:rsid w:val="00522C7C"/>
    <w:rsid w:val="00525379"/>
    <w:rsid w:val="00525D07"/>
    <w:rsid w:val="0052680D"/>
    <w:rsid w:val="00526B46"/>
    <w:rsid w:val="005275B9"/>
    <w:rsid w:val="00527A8F"/>
    <w:rsid w:val="00530515"/>
    <w:rsid w:val="0053104A"/>
    <w:rsid w:val="005316E3"/>
    <w:rsid w:val="0053192A"/>
    <w:rsid w:val="00531958"/>
    <w:rsid w:val="005322F5"/>
    <w:rsid w:val="0053252E"/>
    <w:rsid w:val="005339EE"/>
    <w:rsid w:val="00533C9D"/>
    <w:rsid w:val="00536BF4"/>
    <w:rsid w:val="00536D4C"/>
    <w:rsid w:val="00537F70"/>
    <w:rsid w:val="00541905"/>
    <w:rsid w:val="00541EBD"/>
    <w:rsid w:val="0054303C"/>
    <w:rsid w:val="0054345B"/>
    <w:rsid w:val="00545121"/>
    <w:rsid w:val="0054530F"/>
    <w:rsid w:val="00545397"/>
    <w:rsid w:val="00545583"/>
    <w:rsid w:val="0054564A"/>
    <w:rsid w:val="005457E0"/>
    <w:rsid w:val="00545DF4"/>
    <w:rsid w:val="00546020"/>
    <w:rsid w:val="005473DB"/>
    <w:rsid w:val="00550845"/>
    <w:rsid w:val="00551119"/>
    <w:rsid w:val="005512C7"/>
    <w:rsid w:val="00551498"/>
    <w:rsid w:val="00551D42"/>
    <w:rsid w:val="00551F73"/>
    <w:rsid w:val="00552396"/>
    <w:rsid w:val="00552AF9"/>
    <w:rsid w:val="005534E7"/>
    <w:rsid w:val="0055412C"/>
    <w:rsid w:val="00554BDE"/>
    <w:rsid w:val="00554F2B"/>
    <w:rsid w:val="00555589"/>
    <w:rsid w:val="0055637B"/>
    <w:rsid w:val="00556BA2"/>
    <w:rsid w:val="00556FCB"/>
    <w:rsid w:val="00560164"/>
    <w:rsid w:val="00560F57"/>
    <w:rsid w:val="005613B9"/>
    <w:rsid w:val="00561DB0"/>
    <w:rsid w:val="005625D9"/>
    <w:rsid w:val="00563063"/>
    <w:rsid w:val="00563B0E"/>
    <w:rsid w:val="00564925"/>
    <w:rsid w:val="00564A47"/>
    <w:rsid w:val="00565F72"/>
    <w:rsid w:val="00566EFD"/>
    <w:rsid w:val="0056725C"/>
    <w:rsid w:val="005677DA"/>
    <w:rsid w:val="00567C50"/>
    <w:rsid w:val="00567DFE"/>
    <w:rsid w:val="00570742"/>
    <w:rsid w:val="00570B60"/>
    <w:rsid w:val="005719BD"/>
    <w:rsid w:val="00572819"/>
    <w:rsid w:val="00572D2E"/>
    <w:rsid w:val="00572D76"/>
    <w:rsid w:val="00572E51"/>
    <w:rsid w:val="00573728"/>
    <w:rsid w:val="005742FC"/>
    <w:rsid w:val="00576198"/>
    <w:rsid w:val="00576876"/>
    <w:rsid w:val="00577640"/>
    <w:rsid w:val="005803BE"/>
    <w:rsid w:val="00581B50"/>
    <w:rsid w:val="00581F33"/>
    <w:rsid w:val="0058247C"/>
    <w:rsid w:val="005832FE"/>
    <w:rsid w:val="0058364B"/>
    <w:rsid w:val="0058365A"/>
    <w:rsid w:val="005840FB"/>
    <w:rsid w:val="00584DA4"/>
    <w:rsid w:val="00585A4D"/>
    <w:rsid w:val="00585BE5"/>
    <w:rsid w:val="00586399"/>
    <w:rsid w:val="005865FD"/>
    <w:rsid w:val="005866A3"/>
    <w:rsid w:val="00587226"/>
    <w:rsid w:val="00587E88"/>
    <w:rsid w:val="005905A7"/>
    <w:rsid w:val="00593390"/>
    <w:rsid w:val="005934D5"/>
    <w:rsid w:val="00593AFA"/>
    <w:rsid w:val="00594AFF"/>
    <w:rsid w:val="00594DF8"/>
    <w:rsid w:val="00595F08"/>
    <w:rsid w:val="005963FE"/>
    <w:rsid w:val="005975BD"/>
    <w:rsid w:val="005A0961"/>
    <w:rsid w:val="005A0BF7"/>
    <w:rsid w:val="005A13A1"/>
    <w:rsid w:val="005A18B7"/>
    <w:rsid w:val="005A23FD"/>
    <w:rsid w:val="005A2B4F"/>
    <w:rsid w:val="005A36D9"/>
    <w:rsid w:val="005A38F7"/>
    <w:rsid w:val="005A4609"/>
    <w:rsid w:val="005A55E8"/>
    <w:rsid w:val="005A565B"/>
    <w:rsid w:val="005A611D"/>
    <w:rsid w:val="005A6201"/>
    <w:rsid w:val="005A652B"/>
    <w:rsid w:val="005A66E3"/>
    <w:rsid w:val="005A6B9D"/>
    <w:rsid w:val="005B13B3"/>
    <w:rsid w:val="005B1EB6"/>
    <w:rsid w:val="005B1FCF"/>
    <w:rsid w:val="005B285D"/>
    <w:rsid w:val="005B2A8C"/>
    <w:rsid w:val="005B2D2D"/>
    <w:rsid w:val="005B38BC"/>
    <w:rsid w:val="005B4667"/>
    <w:rsid w:val="005B53DB"/>
    <w:rsid w:val="005B56E1"/>
    <w:rsid w:val="005B5F97"/>
    <w:rsid w:val="005B619D"/>
    <w:rsid w:val="005B656A"/>
    <w:rsid w:val="005B70CB"/>
    <w:rsid w:val="005B746B"/>
    <w:rsid w:val="005C0AA7"/>
    <w:rsid w:val="005C1B15"/>
    <w:rsid w:val="005C20A8"/>
    <w:rsid w:val="005C3A61"/>
    <w:rsid w:val="005C3F1C"/>
    <w:rsid w:val="005C41A4"/>
    <w:rsid w:val="005C4325"/>
    <w:rsid w:val="005C432A"/>
    <w:rsid w:val="005C4397"/>
    <w:rsid w:val="005C73AD"/>
    <w:rsid w:val="005C7438"/>
    <w:rsid w:val="005C74A6"/>
    <w:rsid w:val="005D0107"/>
    <w:rsid w:val="005D0F44"/>
    <w:rsid w:val="005D1127"/>
    <w:rsid w:val="005D1ED6"/>
    <w:rsid w:val="005D1F90"/>
    <w:rsid w:val="005D2687"/>
    <w:rsid w:val="005D3B64"/>
    <w:rsid w:val="005D417F"/>
    <w:rsid w:val="005D45C2"/>
    <w:rsid w:val="005D4880"/>
    <w:rsid w:val="005D6A57"/>
    <w:rsid w:val="005D73D4"/>
    <w:rsid w:val="005D7658"/>
    <w:rsid w:val="005E1C0C"/>
    <w:rsid w:val="005E3224"/>
    <w:rsid w:val="005E4C26"/>
    <w:rsid w:val="005E501F"/>
    <w:rsid w:val="005E5183"/>
    <w:rsid w:val="005E56B2"/>
    <w:rsid w:val="005E56CC"/>
    <w:rsid w:val="005E577A"/>
    <w:rsid w:val="005E5D16"/>
    <w:rsid w:val="005E657D"/>
    <w:rsid w:val="005E743F"/>
    <w:rsid w:val="005E76B6"/>
    <w:rsid w:val="005E7A1C"/>
    <w:rsid w:val="005F00C8"/>
    <w:rsid w:val="005F0892"/>
    <w:rsid w:val="005F151B"/>
    <w:rsid w:val="005F1D5A"/>
    <w:rsid w:val="005F2222"/>
    <w:rsid w:val="005F316F"/>
    <w:rsid w:val="005F39E1"/>
    <w:rsid w:val="005F514B"/>
    <w:rsid w:val="005F54DE"/>
    <w:rsid w:val="005F555F"/>
    <w:rsid w:val="005F6490"/>
    <w:rsid w:val="005F6510"/>
    <w:rsid w:val="00601126"/>
    <w:rsid w:val="00603F46"/>
    <w:rsid w:val="00604824"/>
    <w:rsid w:val="0060516D"/>
    <w:rsid w:val="00605258"/>
    <w:rsid w:val="006052EC"/>
    <w:rsid w:val="0060530E"/>
    <w:rsid w:val="00605533"/>
    <w:rsid w:val="00605AE5"/>
    <w:rsid w:val="00606B78"/>
    <w:rsid w:val="00607B4D"/>
    <w:rsid w:val="00607EAC"/>
    <w:rsid w:val="00607F80"/>
    <w:rsid w:val="00611009"/>
    <w:rsid w:val="00612BEF"/>
    <w:rsid w:val="00612EED"/>
    <w:rsid w:val="00613AFA"/>
    <w:rsid w:val="00614956"/>
    <w:rsid w:val="00614F69"/>
    <w:rsid w:val="006150A2"/>
    <w:rsid w:val="00615F63"/>
    <w:rsid w:val="00621468"/>
    <w:rsid w:val="0062213A"/>
    <w:rsid w:val="00623AF8"/>
    <w:rsid w:val="00624D25"/>
    <w:rsid w:val="0062652E"/>
    <w:rsid w:val="00626719"/>
    <w:rsid w:val="006272A4"/>
    <w:rsid w:val="0062730E"/>
    <w:rsid w:val="00630303"/>
    <w:rsid w:val="0063057C"/>
    <w:rsid w:val="00631CC2"/>
    <w:rsid w:val="00631E94"/>
    <w:rsid w:val="00632B70"/>
    <w:rsid w:val="00632F1C"/>
    <w:rsid w:val="00633D78"/>
    <w:rsid w:val="00634AF4"/>
    <w:rsid w:val="006354E0"/>
    <w:rsid w:val="00635919"/>
    <w:rsid w:val="0063605D"/>
    <w:rsid w:val="00636104"/>
    <w:rsid w:val="006366C2"/>
    <w:rsid w:val="0063696B"/>
    <w:rsid w:val="00636D35"/>
    <w:rsid w:val="00640965"/>
    <w:rsid w:val="00640DA6"/>
    <w:rsid w:val="00641699"/>
    <w:rsid w:val="0064358A"/>
    <w:rsid w:val="00643BEF"/>
    <w:rsid w:val="00643E2D"/>
    <w:rsid w:val="006442E7"/>
    <w:rsid w:val="00644338"/>
    <w:rsid w:val="0064496D"/>
    <w:rsid w:val="00644DE8"/>
    <w:rsid w:val="0064569B"/>
    <w:rsid w:val="00645A1A"/>
    <w:rsid w:val="00646E21"/>
    <w:rsid w:val="00647100"/>
    <w:rsid w:val="0064730F"/>
    <w:rsid w:val="0064737E"/>
    <w:rsid w:val="0065008A"/>
    <w:rsid w:val="006504FB"/>
    <w:rsid w:val="006505CA"/>
    <w:rsid w:val="00650F0E"/>
    <w:rsid w:val="006510F4"/>
    <w:rsid w:val="0065226F"/>
    <w:rsid w:val="006530A1"/>
    <w:rsid w:val="00653471"/>
    <w:rsid w:val="00653F53"/>
    <w:rsid w:val="00654A8B"/>
    <w:rsid w:val="00654B4E"/>
    <w:rsid w:val="00654C53"/>
    <w:rsid w:val="006556EA"/>
    <w:rsid w:val="0065583B"/>
    <w:rsid w:val="00655940"/>
    <w:rsid w:val="006566DC"/>
    <w:rsid w:val="00657180"/>
    <w:rsid w:val="00657626"/>
    <w:rsid w:val="00660702"/>
    <w:rsid w:val="00660F95"/>
    <w:rsid w:val="00661889"/>
    <w:rsid w:val="00661F70"/>
    <w:rsid w:val="006626B3"/>
    <w:rsid w:val="00662742"/>
    <w:rsid w:val="00662CEF"/>
    <w:rsid w:val="00662ECF"/>
    <w:rsid w:val="00663772"/>
    <w:rsid w:val="00663C00"/>
    <w:rsid w:val="006644CD"/>
    <w:rsid w:val="0066555E"/>
    <w:rsid w:val="00665D0E"/>
    <w:rsid w:val="00666242"/>
    <w:rsid w:val="00666C68"/>
    <w:rsid w:val="006709F0"/>
    <w:rsid w:val="00670AA0"/>
    <w:rsid w:val="00670F10"/>
    <w:rsid w:val="006718EF"/>
    <w:rsid w:val="00672110"/>
    <w:rsid w:val="006738CF"/>
    <w:rsid w:val="00673B45"/>
    <w:rsid w:val="00674947"/>
    <w:rsid w:val="00674E4C"/>
    <w:rsid w:val="00674FB6"/>
    <w:rsid w:val="00675EE0"/>
    <w:rsid w:val="00676982"/>
    <w:rsid w:val="00676C93"/>
    <w:rsid w:val="00676DB7"/>
    <w:rsid w:val="006779E6"/>
    <w:rsid w:val="0068223A"/>
    <w:rsid w:val="00682FA9"/>
    <w:rsid w:val="00683320"/>
    <w:rsid w:val="00683B1D"/>
    <w:rsid w:val="0068417A"/>
    <w:rsid w:val="0068450B"/>
    <w:rsid w:val="0068451A"/>
    <w:rsid w:val="006854A1"/>
    <w:rsid w:val="00687AF5"/>
    <w:rsid w:val="00687BCC"/>
    <w:rsid w:val="0069051E"/>
    <w:rsid w:val="0069057B"/>
    <w:rsid w:val="00690669"/>
    <w:rsid w:val="006917A3"/>
    <w:rsid w:val="006918B0"/>
    <w:rsid w:val="006928FA"/>
    <w:rsid w:val="006931CD"/>
    <w:rsid w:val="006950CE"/>
    <w:rsid w:val="006976FC"/>
    <w:rsid w:val="006A00DE"/>
    <w:rsid w:val="006A00E4"/>
    <w:rsid w:val="006A066E"/>
    <w:rsid w:val="006A122A"/>
    <w:rsid w:val="006A19EC"/>
    <w:rsid w:val="006A1CA1"/>
    <w:rsid w:val="006A2D6F"/>
    <w:rsid w:val="006A3542"/>
    <w:rsid w:val="006A367C"/>
    <w:rsid w:val="006A4732"/>
    <w:rsid w:val="006A4F77"/>
    <w:rsid w:val="006A5310"/>
    <w:rsid w:val="006A5BC8"/>
    <w:rsid w:val="006A633D"/>
    <w:rsid w:val="006A6D6B"/>
    <w:rsid w:val="006A703B"/>
    <w:rsid w:val="006A75E6"/>
    <w:rsid w:val="006B0514"/>
    <w:rsid w:val="006B15E9"/>
    <w:rsid w:val="006B1B76"/>
    <w:rsid w:val="006B2417"/>
    <w:rsid w:val="006B2984"/>
    <w:rsid w:val="006B3213"/>
    <w:rsid w:val="006B4EB6"/>
    <w:rsid w:val="006B6D55"/>
    <w:rsid w:val="006B73D0"/>
    <w:rsid w:val="006B78BB"/>
    <w:rsid w:val="006B7BFC"/>
    <w:rsid w:val="006C09EE"/>
    <w:rsid w:val="006C0A9A"/>
    <w:rsid w:val="006C12DD"/>
    <w:rsid w:val="006C2AE9"/>
    <w:rsid w:val="006C38B4"/>
    <w:rsid w:val="006C392A"/>
    <w:rsid w:val="006C3BE7"/>
    <w:rsid w:val="006C5676"/>
    <w:rsid w:val="006C6D46"/>
    <w:rsid w:val="006C6F22"/>
    <w:rsid w:val="006C7209"/>
    <w:rsid w:val="006C769B"/>
    <w:rsid w:val="006D0E7B"/>
    <w:rsid w:val="006D17D7"/>
    <w:rsid w:val="006D18F1"/>
    <w:rsid w:val="006D1ED2"/>
    <w:rsid w:val="006D33D4"/>
    <w:rsid w:val="006D3642"/>
    <w:rsid w:val="006D3FD2"/>
    <w:rsid w:val="006D40FA"/>
    <w:rsid w:val="006D48CD"/>
    <w:rsid w:val="006D4C76"/>
    <w:rsid w:val="006D57DF"/>
    <w:rsid w:val="006D64FC"/>
    <w:rsid w:val="006D65CB"/>
    <w:rsid w:val="006E03D3"/>
    <w:rsid w:val="006E05B9"/>
    <w:rsid w:val="006E07A9"/>
    <w:rsid w:val="006E239F"/>
    <w:rsid w:val="006E2F18"/>
    <w:rsid w:val="006E3271"/>
    <w:rsid w:val="006E391E"/>
    <w:rsid w:val="006E7861"/>
    <w:rsid w:val="006F1121"/>
    <w:rsid w:val="006F21A4"/>
    <w:rsid w:val="006F2466"/>
    <w:rsid w:val="006F24FE"/>
    <w:rsid w:val="006F25E5"/>
    <w:rsid w:val="006F2B77"/>
    <w:rsid w:val="006F36E6"/>
    <w:rsid w:val="006F4A74"/>
    <w:rsid w:val="0070016E"/>
    <w:rsid w:val="00700C92"/>
    <w:rsid w:val="007028A4"/>
    <w:rsid w:val="00703055"/>
    <w:rsid w:val="00703AAA"/>
    <w:rsid w:val="00703DAC"/>
    <w:rsid w:val="00704A13"/>
    <w:rsid w:val="00705652"/>
    <w:rsid w:val="007056B2"/>
    <w:rsid w:val="0070695F"/>
    <w:rsid w:val="00706A65"/>
    <w:rsid w:val="00707CB0"/>
    <w:rsid w:val="00710279"/>
    <w:rsid w:val="007115BD"/>
    <w:rsid w:val="00711F20"/>
    <w:rsid w:val="00712350"/>
    <w:rsid w:val="00712749"/>
    <w:rsid w:val="00713C22"/>
    <w:rsid w:val="007158C9"/>
    <w:rsid w:val="00715A7E"/>
    <w:rsid w:val="00715F67"/>
    <w:rsid w:val="00716846"/>
    <w:rsid w:val="00716E0D"/>
    <w:rsid w:val="00716F98"/>
    <w:rsid w:val="00717090"/>
    <w:rsid w:val="00717218"/>
    <w:rsid w:val="007173BD"/>
    <w:rsid w:val="00720B46"/>
    <w:rsid w:val="00721089"/>
    <w:rsid w:val="007224B6"/>
    <w:rsid w:val="007225F9"/>
    <w:rsid w:val="00722B90"/>
    <w:rsid w:val="007231A9"/>
    <w:rsid w:val="00723258"/>
    <w:rsid w:val="00723C77"/>
    <w:rsid w:val="00723F76"/>
    <w:rsid w:val="007240FE"/>
    <w:rsid w:val="00725F7F"/>
    <w:rsid w:val="007263B4"/>
    <w:rsid w:val="00726558"/>
    <w:rsid w:val="007309A2"/>
    <w:rsid w:val="00732614"/>
    <w:rsid w:val="00732A57"/>
    <w:rsid w:val="007332B9"/>
    <w:rsid w:val="007335A8"/>
    <w:rsid w:val="00733C9E"/>
    <w:rsid w:val="00733E23"/>
    <w:rsid w:val="00734B70"/>
    <w:rsid w:val="007357E6"/>
    <w:rsid w:val="00736DC2"/>
    <w:rsid w:val="007371ED"/>
    <w:rsid w:val="007372CE"/>
    <w:rsid w:val="0073764C"/>
    <w:rsid w:val="00737893"/>
    <w:rsid w:val="00741811"/>
    <w:rsid w:val="0074214F"/>
    <w:rsid w:val="007432EF"/>
    <w:rsid w:val="00743C33"/>
    <w:rsid w:val="00744B04"/>
    <w:rsid w:val="00744D9A"/>
    <w:rsid w:val="00745A3D"/>
    <w:rsid w:val="00745E8C"/>
    <w:rsid w:val="00746AC0"/>
    <w:rsid w:val="007501A4"/>
    <w:rsid w:val="00750965"/>
    <w:rsid w:val="0075196B"/>
    <w:rsid w:val="00751B1C"/>
    <w:rsid w:val="00751C47"/>
    <w:rsid w:val="00752397"/>
    <w:rsid w:val="0075306B"/>
    <w:rsid w:val="00753352"/>
    <w:rsid w:val="00754814"/>
    <w:rsid w:val="00754D26"/>
    <w:rsid w:val="007557DD"/>
    <w:rsid w:val="00755C1D"/>
    <w:rsid w:val="00755C65"/>
    <w:rsid w:val="00756060"/>
    <w:rsid w:val="0075617D"/>
    <w:rsid w:val="0075667B"/>
    <w:rsid w:val="00756DE0"/>
    <w:rsid w:val="00756E7A"/>
    <w:rsid w:val="00760D45"/>
    <w:rsid w:val="007626BF"/>
    <w:rsid w:val="007628E5"/>
    <w:rsid w:val="007634B2"/>
    <w:rsid w:val="00765201"/>
    <w:rsid w:val="00765B43"/>
    <w:rsid w:val="00766129"/>
    <w:rsid w:val="0076635F"/>
    <w:rsid w:val="007666B3"/>
    <w:rsid w:val="00766D0C"/>
    <w:rsid w:val="0076753D"/>
    <w:rsid w:val="00767854"/>
    <w:rsid w:val="00767959"/>
    <w:rsid w:val="00770A69"/>
    <w:rsid w:val="00772B7D"/>
    <w:rsid w:val="00773331"/>
    <w:rsid w:val="00773A1B"/>
    <w:rsid w:val="00773F8C"/>
    <w:rsid w:val="00774393"/>
    <w:rsid w:val="007743C1"/>
    <w:rsid w:val="00774470"/>
    <w:rsid w:val="00774B64"/>
    <w:rsid w:val="00774EC6"/>
    <w:rsid w:val="007750E4"/>
    <w:rsid w:val="00775DB5"/>
    <w:rsid w:val="00776B66"/>
    <w:rsid w:val="00776E5A"/>
    <w:rsid w:val="0077767D"/>
    <w:rsid w:val="00777D38"/>
    <w:rsid w:val="0078196A"/>
    <w:rsid w:val="00781BF7"/>
    <w:rsid w:val="007821D9"/>
    <w:rsid w:val="00783CEA"/>
    <w:rsid w:val="007855C7"/>
    <w:rsid w:val="0078764E"/>
    <w:rsid w:val="00790D83"/>
    <w:rsid w:val="0079151D"/>
    <w:rsid w:val="007932EF"/>
    <w:rsid w:val="00793460"/>
    <w:rsid w:val="00793C6C"/>
    <w:rsid w:val="007960D2"/>
    <w:rsid w:val="0079672C"/>
    <w:rsid w:val="00796D77"/>
    <w:rsid w:val="00797A4E"/>
    <w:rsid w:val="00797FD3"/>
    <w:rsid w:val="007A1427"/>
    <w:rsid w:val="007A156A"/>
    <w:rsid w:val="007A1E7A"/>
    <w:rsid w:val="007A2FE9"/>
    <w:rsid w:val="007A345F"/>
    <w:rsid w:val="007A3D18"/>
    <w:rsid w:val="007B0C27"/>
    <w:rsid w:val="007B0C95"/>
    <w:rsid w:val="007B0FD9"/>
    <w:rsid w:val="007B1073"/>
    <w:rsid w:val="007B1717"/>
    <w:rsid w:val="007B34F3"/>
    <w:rsid w:val="007B3982"/>
    <w:rsid w:val="007B3AB3"/>
    <w:rsid w:val="007B3CAD"/>
    <w:rsid w:val="007B4AE0"/>
    <w:rsid w:val="007B500D"/>
    <w:rsid w:val="007B55B3"/>
    <w:rsid w:val="007B5A4A"/>
    <w:rsid w:val="007B5B9C"/>
    <w:rsid w:val="007B6844"/>
    <w:rsid w:val="007B6DB8"/>
    <w:rsid w:val="007B7A18"/>
    <w:rsid w:val="007C00CE"/>
    <w:rsid w:val="007C0590"/>
    <w:rsid w:val="007C294C"/>
    <w:rsid w:val="007C2AF7"/>
    <w:rsid w:val="007C2CF5"/>
    <w:rsid w:val="007C3684"/>
    <w:rsid w:val="007C411E"/>
    <w:rsid w:val="007C48E2"/>
    <w:rsid w:val="007C4BD9"/>
    <w:rsid w:val="007C58EF"/>
    <w:rsid w:val="007C7AFD"/>
    <w:rsid w:val="007D1F84"/>
    <w:rsid w:val="007D2655"/>
    <w:rsid w:val="007D275D"/>
    <w:rsid w:val="007D2F70"/>
    <w:rsid w:val="007D3182"/>
    <w:rsid w:val="007D353B"/>
    <w:rsid w:val="007D3A40"/>
    <w:rsid w:val="007D3DA4"/>
    <w:rsid w:val="007D7A41"/>
    <w:rsid w:val="007D7D30"/>
    <w:rsid w:val="007E01E3"/>
    <w:rsid w:val="007E01FC"/>
    <w:rsid w:val="007E03F4"/>
    <w:rsid w:val="007E05B0"/>
    <w:rsid w:val="007E05E5"/>
    <w:rsid w:val="007E08D8"/>
    <w:rsid w:val="007E0A36"/>
    <w:rsid w:val="007E1BFE"/>
    <w:rsid w:val="007E1C68"/>
    <w:rsid w:val="007E2AF6"/>
    <w:rsid w:val="007E2E15"/>
    <w:rsid w:val="007E376F"/>
    <w:rsid w:val="007E3F33"/>
    <w:rsid w:val="007E4080"/>
    <w:rsid w:val="007E448A"/>
    <w:rsid w:val="007E4820"/>
    <w:rsid w:val="007E4AD2"/>
    <w:rsid w:val="007E4B27"/>
    <w:rsid w:val="007E4C71"/>
    <w:rsid w:val="007E554C"/>
    <w:rsid w:val="007E5851"/>
    <w:rsid w:val="007E6AEB"/>
    <w:rsid w:val="007E6B0B"/>
    <w:rsid w:val="007F077F"/>
    <w:rsid w:val="007F1CB3"/>
    <w:rsid w:val="007F1FED"/>
    <w:rsid w:val="007F3A7D"/>
    <w:rsid w:val="007F3D6A"/>
    <w:rsid w:val="007F51F0"/>
    <w:rsid w:val="007F6150"/>
    <w:rsid w:val="007F6773"/>
    <w:rsid w:val="007F6D73"/>
    <w:rsid w:val="00800153"/>
    <w:rsid w:val="008004CA"/>
    <w:rsid w:val="00800F5C"/>
    <w:rsid w:val="008018DE"/>
    <w:rsid w:val="00802C64"/>
    <w:rsid w:val="00803427"/>
    <w:rsid w:val="0080428C"/>
    <w:rsid w:val="00804C47"/>
    <w:rsid w:val="00804C62"/>
    <w:rsid w:val="008055F6"/>
    <w:rsid w:val="00805973"/>
    <w:rsid w:val="00806257"/>
    <w:rsid w:val="00806E50"/>
    <w:rsid w:val="008101B3"/>
    <w:rsid w:val="00810583"/>
    <w:rsid w:val="00811014"/>
    <w:rsid w:val="0081104E"/>
    <w:rsid w:val="00811170"/>
    <w:rsid w:val="00811A4A"/>
    <w:rsid w:val="00812302"/>
    <w:rsid w:val="00812C15"/>
    <w:rsid w:val="0081394C"/>
    <w:rsid w:val="00813B35"/>
    <w:rsid w:val="0081604D"/>
    <w:rsid w:val="008168DD"/>
    <w:rsid w:val="008173B3"/>
    <w:rsid w:val="0082053D"/>
    <w:rsid w:val="00821A13"/>
    <w:rsid w:val="008225D1"/>
    <w:rsid w:val="00822B3A"/>
    <w:rsid w:val="00822EAF"/>
    <w:rsid w:val="00822F09"/>
    <w:rsid w:val="0082338B"/>
    <w:rsid w:val="00823658"/>
    <w:rsid w:val="00823B87"/>
    <w:rsid w:val="00823E1F"/>
    <w:rsid w:val="00824CFE"/>
    <w:rsid w:val="00826057"/>
    <w:rsid w:val="00826302"/>
    <w:rsid w:val="008264BD"/>
    <w:rsid w:val="00826502"/>
    <w:rsid w:val="0082782B"/>
    <w:rsid w:val="008307DF"/>
    <w:rsid w:val="00830EE5"/>
    <w:rsid w:val="00830F98"/>
    <w:rsid w:val="0083267D"/>
    <w:rsid w:val="00832F1B"/>
    <w:rsid w:val="00833389"/>
    <w:rsid w:val="00833BA3"/>
    <w:rsid w:val="00833D30"/>
    <w:rsid w:val="00833E9B"/>
    <w:rsid w:val="00834AA0"/>
    <w:rsid w:val="00834CFD"/>
    <w:rsid w:val="008356B9"/>
    <w:rsid w:val="008363A4"/>
    <w:rsid w:val="0083721C"/>
    <w:rsid w:val="00837804"/>
    <w:rsid w:val="00841033"/>
    <w:rsid w:val="00841C22"/>
    <w:rsid w:val="00842370"/>
    <w:rsid w:val="00842543"/>
    <w:rsid w:val="00842A88"/>
    <w:rsid w:val="00842F44"/>
    <w:rsid w:val="0084332A"/>
    <w:rsid w:val="00843AA8"/>
    <w:rsid w:val="00843E4A"/>
    <w:rsid w:val="00844128"/>
    <w:rsid w:val="00844711"/>
    <w:rsid w:val="00844AD1"/>
    <w:rsid w:val="00845FAE"/>
    <w:rsid w:val="00846E29"/>
    <w:rsid w:val="00847720"/>
    <w:rsid w:val="00850215"/>
    <w:rsid w:val="00850435"/>
    <w:rsid w:val="0085077A"/>
    <w:rsid w:val="00851231"/>
    <w:rsid w:val="00851C1E"/>
    <w:rsid w:val="00851CD7"/>
    <w:rsid w:val="00852CEE"/>
    <w:rsid w:val="00852EA1"/>
    <w:rsid w:val="00852F1D"/>
    <w:rsid w:val="008534A8"/>
    <w:rsid w:val="008549BD"/>
    <w:rsid w:val="00854CC9"/>
    <w:rsid w:val="00854DEE"/>
    <w:rsid w:val="00855538"/>
    <w:rsid w:val="00855841"/>
    <w:rsid w:val="00857BA3"/>
    <w:rsid w:val="00860D7B"/>
    <w:rsid w:val="0086109A"/>
    <w:rsid w:val="00861B85"/>
    <w:rsid w:val="00861F82"/>
    <w:rsid w:val="008637D4"/>
    <w:rsid w:val="008638D7"/>
    <w:rsid w:val="0086411A"/>
    <w:rsid w:val="00864727"/>
    <w:rsid w:val="008647CF"/>
    <w:rsid w:val="00864EE4"/>
    <w:rsid w:val="0086514A"/>
    <w:rsid w:val="00865925"/>
    <w:rsid w:val="00865DF9"/>
    <w:rsid w:val="008667E9"/>
    <w:rsid w:val="00866F83"/>
    <w:rsid w:val="008703B5"/>
    <w:rsid w:val="00870AC4"/>
    <w:rsid w:val="00872AE3"/>
    <w:rsid w:val="00873625"/>
    <w:rsid w:val="00873915"/>
    <w:rsid w:val="00873D07"/>
    <w:rsid w:val="00874D22"/>
    <w:rsid w:val="00874D7D"/>
    <w:rsid w:val="008758DA"/>
    <w:rsid w:val="00876764"/>
    <w:rsid w:val="0088164C"/>
    <w:rsid w:val="00881997"/>
    <w:rsid w:val="00881D51"/>
    <w:rsid w:val="00882948"/>
    <w:rsid w:val="00882CBD"/>
    <w:rsid w:val="00882E56"/>
    <w:rsid w:val="00883BF0"/>
    <w:rsid w:val="00883EBD"/>
    <w:rsid w:val="00884056"/>
    <w:rsid w:val="0088488B"/>
    <w:rsid w:val="00885512"/>
    <w:rsid w:val="00885993"/>
    <w:rsid w:val="008869CC"/>
    <w:rsid w:val="00886B18"/>
    <w:rsid w:val="008871D6"/>
    <w:rsid w:val="00887C7F"/>
    <w:rsid w:val="00891B15"/>
    <w:rsid w:val="00891B8E"/>
    <w:rsid w:val="00891EEE"/>
    <w:rsid w:val="00892B22"/>
    <w:rsid w:val="008936D2"/>
    <w:rsid w:val="0089429B"/>
    <w:rsid w:val="00894627"/>
    <w:rsid w:val="00894DE9"/>
    <w:rsid w:val="00895163"/>
    <w:rsid w:val="0089562B"/>
    <w:rsid w:val="00895E23"/>
    <w:rsid w:val="008960E6"/>
    <w:rsid w:val="00896E89"/>
    <w:rsid w:val="0089781A"/>
    <w:rsid w:val="008A1795"/>
    <w:rsid w:val="008A1D70"/>
    <w:rsid w:val="008A27E0"/>
    <w:rsid w:val="008A2914"/>
    <w:rsid w:val="008A3F16"/>
    <w:rsid w:val="008A6096"/>
    <w:rsid w:val="008A6FCA"/>
    <w:rsid w:val="008A7960"/>
    <w:rsid w:val="008B12B2"/>
    <w:rsid w:val="008B1418"/>
    <w:rsid w:val="008B23B2"/>
    <w:rsid w:val="008B3331"/>
    <w:rsid w:val="008B37DA"/>
    <w:rsid w:val="008B3FC4"/>
    <w:rsid w:val="008B3FC7"/>
    <w:rsid w:val="008B44D5"/>
    <w:rsid w:val="008B5245"/>
    <w:rsid w:val="008B5A34"/>
    <w:rsid w:val="008B601F"/>
    <w:rsid w:val="008B649B"/>
    <w:rsid w:val="008B660C"/>
    <w:rsid w:val="008B6811"/>
    <w:rsid w:val="008B6986"/>
    <w:rsid w:val="008B6FC0"/>
    <w:rsid w:val="008B739C"/>
    <w:rsid w:val="008C3BDC"/>
    <w:rsid w:val="008C45CB"/>
    <w:rsid w:val="008C472F"/>
    <w:rsid w:val="008C5A59"/>
    <w:rsid w:val="008C6184"/>
    <w:rsid w:val="008C6223"/>
    <w:rsid w:val="008C64F7"/>
    <w:rsid w:val="008C688C"/>
    <w:rsid w:val="008C6DB6"/>
    <w:rsid w:val="008C6E50"/>
    <w:rsid w:val="008C6EFC"/>
    <w:rsid w:val="008C7848"/>
    <w:rsid w:val="008C7F00"/>
    <w:rsid w:val="008D03B4"/>
    <w:rsid w:val="008D09DB"/>
    <w:rsid w:val="008D11F5"/>
    <w:rsid w:val="008D1644"/>
    <w:rsid w:val="008D1AA1"/>
    <w:rsid w:val="008D1BAA"/>
    <w:rsid w:val="008D1C36"/>
    <w:rsid w:val="008D2124"/>
    <w:rsid w:val="008D24E8"/>
    <w:rsid w:val="008D274E"/>
    <w:rsid w:val="008D3451"/>
    <w:rsid w:val="008D356C"/>
    <w:rsid w:val="008D4623"/>
    <w:rsid w:val="008D4AB5"/>
    <w:rsid w:val="008D5F7F"/>
    <w:rsid w:val="008D6484"/>
    <w:rsid w:val="008D7754"/>
    <w:rsid w:val="008E073B"/>
    <w:rsid w:val="008E07BD"/>
    <w:rsid w:val="008E0D4C"/>
    <w:rsid w:val="008E1CBF"/>
    <w:rsid w:val="008E49DD"/>
    <w:rsid w:val="008E4B14"/>
    <w:rsid w:val="008E4D8E"/>
    <w:rsid w:val="008E569F"/>
    <w:rsid w:val="008E57D0"/>
    <w:rsid w:val="008E643F"/>
    <w:rsid w:val="008E76A6"/>
    <w:rsid w:val="008E76F8"/>
    <w:rsid w:val="008E7D05"/>
    <w:rsid w:val="008F03A5"/>
    <w:rsid w:val="008F2473"/>
    <w:rsid w:val="008F2C22"/>
    <w:rsid w:val="008F430D"/>
    <w:rsid w:val="008F459B"/>
    <w:rsid w:val="008F4909"/>
    <w:rsid w:val="008F4E6F"/>
    <w:rsid w:val="008F5418"/>
    <w:rsid w:val="008F5C8D"/>
    <w:rsid w:val="008F5DDF"/>
    <w:rsid w:val="008F604C"/>
    <w:rsid w:val="008F7018"/>
    <w:rsid w:val="008F7BAE"/>
    <w:rsid w:val="00900722"/>
    <w:rsid w:val="009025A3"/>
    <w:rsid w:val="00902F59"/>
    <w:rsid w:val="0090363A"/>
    <w:rsid w:val="00904274"/>
    <w:rsid w:val="009047B3"/>
    <w:rsid w:val="009056D7"/>
    <w:rsid w:val="009058AE"/>
    <w:rsid w:val="00906947"/>
    <w:rsid w:val="0090723F"/>
    <w:rsid w:val="00907810"/>
    <w:rsid w:val="00907AEC"/>
    <w:rsid w:val="00910C0F"/>
    <w:rsid w:val="00911676"/>
    <w:rsid w:val="0091195C"/>
    <w:rsid w:val="00912A3C"/>
    <w:rsid w:val="00912F68"/>
    <w:rsid w:val="00913037"/>
    <w:rsid w:val="009150BD"/>
    <w:rsid w:val="0091635F"/>
    <w:rsid w:val="009163FF"/>
    <w:rsid w:val="00916766"/>
    <w:rsid w:val="00916EB0"/>
    <w:rsid w:val="00916FB2"/>
    <w:rsid w:val="009207CF"/>
    <w:rsid w:val="009218C1"/>
    <w:rsid w:val="009221DE"/>
    <w:rsid w:val="00922394"/>
    <w:rsid w:val="00923998"/>
    <w:rsid w:val="00923BC3"/>
    <w:rsid w:val="009249F3"/>
    <w:rsid w:val="00924FDD"/>
    <w:rsid w:val="009255E0"/>
    <w:rsid w:val="00926037"/>
    <w:rsid w:val="00926731"/>
    <w:rsid w:val="00930009"/>
    <w:rsid w:val="00930524"/>
    <w:rsid w:val="0093076A"/>
    <w:rsid w:val="0093096C"/>
    <w:rsid w:val="00930991"/>
    <w:rsid w:val="0093372D"/>
    <w:rsid w:val="009339F6"/>
    <w:rsid w:val="00935032"/>
    <w:rsid w:val="00935911"/>
    <w:rsid w:val="00935A5B"/>
    <w:rsid w:val="009360B1"/>
    <w:rsid w:val="00937395"/>
    <w:rsid w:val="0093751B"/>
    <w:rsid w:val="00937C9A"/>
    <w:rsid w:val="009400A8"/>
    <w:rsid w:val="00940423"/>
    <w:rsid w:val="00940754"/>
    <w:rsid w:val="00940CBF"/>
    <w:rsid w:val="00940D52"/>
    <w:rsid w:val="0094101B"/>
    <w:rsid w:val="0094114E"/>
    <w:rsid w:val="00941EA9"/>
    <w:rsid w:val="00941F05"/>
    <w:rsid w:val="00941FEA"/>
    <w:rsid w:val="009434CF"/>
    <w:rsid w:val="0094352B"/>
    <w:rsid w:val="0094400D"/>
    <w:rsid w:val="00946C7E"/>
    <w:rsid w:val="009472EB"/>
    <w:rsid w:val="00947407"/>
    <w:rsid w:val="0095064C"/>
    <w:rsid w:val="00950704"/>
    <w:rsid w:val="0095080B"/>
    <w:rsid w:val="00950E99"/>
    <w:rsid w:val="009523EB"/>
    <w:rsid w:val="00952580"/>
    <w:rsid w:val="0095262B"/>
    <w:rsid w:val="00952F92"/>
    <w:rsid w:val="00952F99"/>
    <w:rsid w:val="00955179"/>
    <w:rsid w:val="00955283"/>
    <w:rsid w:val="00955C2C"/>
    <w:rsid w:val="0095630B"/>
    <w:rsid w:val="00956E80"/>
    <w:rsid w:val="0095755C"/>
    <w:rsid w:val="00957B4A"/>
    <w:rsid w:val="009603EA"/>
    <w:rsid w:val="00960724"/>
    <w:rsid w:val="009611C8"/>
    <w:rsid w:val="00961D99"/>
    <w:rsid w:val="00962433"/>
    <w:rsid w:val="009625E8"/>
    <w:rsid w:val="009629B0"/>
    <w:rsid w:val="00963104"/>
    <w:rsid w:val="009639FB"/>
    <w:rsid w:val="00964895"/>
    <w:rsid w:val="00965632"/>
    <w:rsid w:val="00965CBF"/>
    <w:rsid w:val="00965E2A"/>
    <w:rsid w:val="0096644F"/>
    <w:rsid w:val="0097016A"/>
    <w:rsid w:val="0097059D"/>
    <w:rsid w:val="00970B3A"/>
    <w:rsid w:val="0097169C"/>
    <w:rsid w:val="009718BE"/>
    <w:rsid w:val="00972945"/>
    <w:rsid w:val="009738F9"/>
    <w:rsid w:val="009744CE"/>
    <w:rsid w:val="00975301"/>
    <w:rsid w:val="00975CFF"/>
    <w:rsid w:val="0097613B"/>
    <w:rsid w:val="00977DAB"/>
    <w:rsid w:val="00977EDE"/>
    <w:rsid w:val="00981423"/>
    <w:rsid w:val="00981942"/>
    <w:rsid w:val="009836A3"/>
    <w:rsid w:val="00986B90"/>
    <w:rsid w:val="00987AFB"/>
    <w:rsid w:val="00990742"/>
    <w:rsid w:val="00991647"/>
    <w:rsid w:val="00991B0F"/>
    <w:rsid w:val="00991D49"/>
    <w:rsid w:val="00991F68"/>
    <w:rsid w:val="0099233D"/>
    <w:rsid w:val="00992C58"/>
    <w:rsid w:val="00993970"/>
    <w:rsid w:val="009945D1"/>
    <w:rsid w:val="00995260"/>
    <w:rsid w:val="009959B0"/>
    <w:rsid w:val="00997A85"/>
    <w:rsid w:val="00997A8D"/>
    <w:rsid w:val="009A08FA"/>
    <w:rsid w:val="009A0B90"/>
    <w:rsid w:val="009A1562"/>
    <w:rsid w:val="009A1598"/>
    <w:rsid w:val="009A1CA7"/>
    <w:rsid w:val="009A21DB"/>
    <w:rsid w:val="009A2A11"/>
    <w:rsid w:val="009A32B0"/>
    <w:rsid w:val="009A36D6"/>
    <w:rsid w:val="009A416A"/>
    <w:rsid w:val="009A43E6"/>
    <w:rsid w:val="009A4667"/>
    <w:rsid w:val="009A5421"/>
    <w:rsid w:val="009A5BB6"/>
    <w:rsid w:val="009A67AC"/>
    <w:rsid w:val="009A6EA3"/>
    <w:rsid w:val="009A6F45"/>
    <w:rsid w:val="009A7F8C"/>
    <w:rsid w:val="009B0DE6"/>
    <w:rsid w:val="009B1371"/>
    <w:rsid w:val="009B31B7"/>
    <w:rsid w:val="009B3450"/>
    <w:rsid w:val="009B38BA"/>
    <w:rsid w:val="009B3D90"/>
    <w:rsid w:val="009B5395"/>
    <w:rsid w:val="009B5550"/>
    <w:rsid w:val="009B6062"/>
    <w:rsid w:val="009B61C1"/>
    <w:rsid w:val="009B66C0"/>
    <w:rsid w:val="009B67AC"/>
    <w:rsid w:val="009B697A"/>
    <w:rsid w:val="009B6AA3"/>
    <w:rsid w:val="009C0E24"/>
    <w:rsid w:val="009C1398"/>
    <w:rsid w:val="009C1D7F"/>
    <w:rsid w:val="009C27C0"/>
    <w:rsid w:val="009C2A1E"/>
    <w:rsid w:val="009C2DEB"/>
    <w:rsid w:val="009C3381"/>
    <w:rsid w:val="009C3628"/>
    <w:rsid w:val="009C43F3"/>
    <w:rsid w:val="009C46ED"/>
    <w:rsid w:val="009C5340"/>
    <w:rsid w:val="009C5BFC"/>
    <w:rsid w:val="009C63A0"/>
    <w:rsid w:val="009C6BA7"/>
    <w:rsid w:val="009C6D60"/>
    <w:rsid w:val="009C7216"/>
    <w:rsid w:val="009C7456"/>
    <w:rsid w:val="009D04F5"/>
    <w:rsid w:val="009D1AED"/>
    <w:rsid w:val="009D1CB4"/>
    <w:rsid w:val="009D208B"/>
    <w:rsid w:val="009D23C9"/>
    <w:rsid w:val="009D24B4"/>
    <w:rsid w:val="009D2A5B"/>
    <w:rsid w:val="009D4299"/>
    <w:rsid w:val="009D4358"/>
    <w:rsid w:val="009D49C8"/>
    <w:rsid w:val="009D4D32"/>
    <w:rsid w:val="009D4F8E"/>
    <w:rsid w:val="009D5086"/>
    <w:rsid w:val="009D56C6"/>
    <w:rsid w:val="009D5D7A"/>
    <w:rsid w:val="009D6AC8"/>
    <w:rsid w:val="009D6D7F"/>
    <w:rsid w:val="009D6F99"/>
    <w:rsid w:val="009D71C8"/>
    <w:rsid w:val="009D7BF4"/>
    <w:rsid w:val="009D7EB6"/>
    <w:rsid w:val="009E056F"/>
    <w:rsid w:val="009E08B9"/>
    <w:rsid w:val="009E12BD"/>
    <w:rsid w:val="009E2114"/>
    <w:rsid w:val="009E2A93"/>
    <w:rsid w:val="009E48D6"/>
    <w:rsid w:val="009E4AF7"/>
    <w:rsid w:val="009E5EFB"/>
    <w:rsid w:val="009E6522"/>
    <w:rsid w:val="009E7713"/>
    <w:rsid w:val="009E78B8"/>
    <w:rsid w:val="009E7A65"/>
    <w:rsid w:val="009E7E75"/>
    <w:rsid w:val="009F0A74"/>
    <w:rsid w:val="009F1F74"/>
    <w:rsid w:val="009F29BB"/>
    <w:rsid w:val="009F32A5"/>
    <w:rsid w:val="009F3FAE"/>
    <w:rsid w:val="009F408D"/>
    <w:rsid w:val="009F40FF"/>
    <w:rsid w:val="009F42C6"/>
    <w:rsid w:val="009F49E3"/>
    <w:rsid w:val="009F4E6A"/>
    <w:rsid w:val="009F4F49"/>
    <w:rsid w:val="009F4FB8"/>
    <w:rsid w:val="009F4FBB"/>
    <w:rsid w:val="009F6B48"/>
    <w:rsid w:val="009F719B"/>
    <w:rsid w:val="009F721C"/>
    <w:rsid w:val="00A00419"/>
    <w:rsid w:val="00A00C09"/>
    <w:rsid w:val="00A01F21"/>
    <w:rsid w:val="00A0248A"/>
    <w:rsid w:val="00A028D1"/>
    <w:rsid w:val="00A042A1"/>
    <w:rsid w:val="00A04400"/>
    <w:rsid w:val="00A04F0F"/>
    <w:rsid w:val="00A04F2A"/>
    <w:rsid w:val="00A055CB"/>
    <w:rsid w:val="00A056D8"/>
    <w:rsid w:val="00A0758A"/>
    <w:rsid w:val="00A1275B"/>
    <w:rsid w:val="00A12869"/>
    <w:rsid w:val="00A12FBC"/>
    <w:rsid w:val="00A13D8B"/>
    <w:rsid w:val="00A13F13"/>
    <w:rsid w:val="00A14159"/>
    <w:rsid w:val="00A14458"/>
    <w:rsid w:val="00A144B1"/>
    <w:rsid w:val="00A1528B"/>
    <w:rsid w:val="00A1566F"/>
    <w:rsid w:val="00A17DDE"/>
    <w:rsid w:val="00A17F17"/>
    <w:rsid w:val="00A201CB"/>
    <w:rsid w:val="00A2337A"/>
    <w:rsid w:val="00A242A7"/>
    <w:rsid w:val="00A24A3D"/>
    <w:rsid w:val="00A27076"/>
    <w:rsid w:val="00A273D1"/>
    <w:rsid w:val="00A274D2"/>
    <w:rsid w:val="00A27626"/>
    <w:rsid w:val="00A278C1"/>
    <w:rsid w:val="00A27EB1"/>
    <w:rsid w:val="00A30071"/>
    <w:rsid w:val="00A30469"/>
    <w:rsid w:val="00A30B57"/>
    <w:rsid w:val="00A30FE2"/>
    <w:rsid w:val="00A31596"/>
    <w:rsid w:val="00A315FE"/>
    <w:rsid w:val="00A31B77"/>
    <w:rsid w:val="00A31D23"/>
    <w:rsid w:val="00A338AF"/>
    <w:rsid w:val="00A35736"/>
    <w:rsid w:val="00A36076"/>
    <w:rsid w:val="00A37076"/>
    <w:rsid w:val="00A37C07"/>
    <w:rsid w:val="00A37E8D"/>
    <w:rsid w:val="00A4100E"/>
    <w:rsid w:val="00A41B4A"/>
    <w:rsid w:val="00A41C0E"/>
    <w:rsid w:val="00A424B7"/>
    <w:rsid w:val="00A42C61"/>
    <w:rsid w:val="00A43351"/>
    <w:rsid w:val="00A4354F"/>
    <w:rsid w:val="00A43A41"/>
    <w:rsid w:val="00A43BCA"/>
    <w:rsid w:val="00A449B6"/>
    <w:rsid w:val="00A44F4C"/>
    <w:rsid w:val="00A450C7"/>
    <w:rsid w:val="00A462A2"/>
    <w:rsid w:val="00A47639"/>
    <w:rsid w:val="00A5042E"/>
    <w:rsid w:val="00A51030"/>
    <w:rsid w:val="00A53E99"/>
    <w:rsid w:val="00A54AB3"/>
    <w:rsid w:val="00A54BB2"/>
    <w:rsid w:val="00A55086"/>
    <w:rsid w:val="00A55BF6"/>
    <w:rsid w:val="00A55C44"/>
    <w:rsid w:val="00A563DB"/>
    <w:rsid w:val="00A564D9"/>
    <w:rsid w:val="00A57377"/>
    <w:rsid w:val="00A5757C"/>
    <w:rsid w:val="00A577D6"/>
    <w:rsid w:val="00A57BD1"/>
    <w:rsid w:val="00A605A2"/>
    <w:rsid w:val="00A62D96"/>
    <w:rsid w:val="00A62F7F"/>
    <w:rsid w:val="00A6397F"/>
    <w:rsid w:val="00A65ED1"/>
    <w:rsid w:val="00A6681F"/>
    <w:rsid w:val="00A66ED8"/>
    <w:rsid w:val="00A67EDB"/>
    <w:rsid w:val="00A703D7"/>
    <w:rsid w:val="00A70B7A"/>
    <w:rsid w:val="00A7109C"/>
    <w:rsid w:val="00A71111"/>
    <w:rsid w:val="00A71195"/>
    <w:rsid w:val="00A712AF"/>
    <w:rsid w:val="00A71DB5"/>
    <w:rsid w:val="00A731A4"/>
    <w:rsid w:val="00A733E9"/>
    <w:rsid w:val="00A737B6"/>
    <w:rsid w:val="00A74DBC"/>
    <w:rsid w:val="00A751CF"/>
    <w:rsid w:val="00A7583F"/>
    <w:rsid w:val="00A75E5E"/>
    <w:rsid w:val="00A763BA"/>
    <w:rsid w:val="00A76AA6"/>
    <w:rsid w:val="00A76ED2"/>
    <w:rsid w:val="00A77302"/>
    <w:rsid w:val="00A7769D"/>
    <w:rsid w:val="00A808B0"/>
    <w:rsid w:val="00A80D08"/>
    <w:rsid w:val="00A825DB"/>
    <w:rsid w:val="00A830EE"/>
    <w:rsid w:val="00A8428B"/>
    <w:rsid w:val="00A84DD0"/>
    <w:rsid w:val="00A85D3B"/>
    <w:rsid w:val="00A861E7"/>
    <w:rsid w:val="00A86E96"/>
    <w:rsid w:val="00A871CA"/>
    <w:rsid w:val="00A8759A"/>
    <w:rsid w:val="00A9026F"/>
    <w:rsid w:val="00A9049A"/>
    <w:rsid w:val="00A91BEB"/>
    <w:rsid w:val="00A92964"/>
    <w:rsid w:val="00A959B6"/>
    <w:rsid w:val="00A96147"/>
    <w:rsid w:val="00A96801"/>
    <w:rsid w:val="00A9683A"/>
    <w:rsid w:val="00A96916"/>
    <w:rsid w:val="00A97266"/>
    <w:rsid w:val="00A97645"/>
    <w:rsid w:val="00A97941"/>
    <w:rsid w:val="00A97B2B"/>
    <w:rsid w:val="00AA06F1"/>
    <w:rsid w:val="00AA0DE3"/>
    <w:rsid w:val="00AA1AB9"/>
    <w:rsid w:val="00AA3626"/>
    <w:rsid w:val="00AA39EB"/>
    <w:rsid w:val="00AA46A2"/>
    <w:rsid w:val="00AA49D6"/>
    <w:rsid w:val="00AA4EA9"/>
    <w:rsid w:val="00AA51A7"/>
    <w:rsid w:val="00AA59D3"/>
    <w:rsid w:val="00AA68AC"/>
    <w:rsid w:val="00AA6B1B"/>
    <w:rsid w:val="00AA70DF"/>
    <w:rsid w:val="00AA745D"/>
    <w:rsid w:val="00AB0BF9"/>
    <w:rsid w:val="00AB2A8B"/>
    <w:rsid w:val="00AB3332"/>
    <w:rsid w:val="00AB38CA"/>
    <w:rsid w:val="00AB3EB4"/>
    <w:rsid w:val="00AB4887"/>
    <w:rsid w:val="00AB50BF"/>
    <w:rsid w:val="00AB511E"/>
    <w:rsid w:val="00AB54C6"/>
    <w:rsid w:val="00AB56A7"/>
    <w:rsid w:val="00AB7450"/>
    <w:rsid w:val="00AC254B"/>
    <w:rsid w:val="00AC33D5"/>
    <w:rsid w:val="00AC3412"/>
    <w:rsid w:val="00AC36E6"/>
    <w:rsid w:val="00AC3752"/>
    <w:rsid w:val="00AC3D66"/>
    <w:rsid w:val="00AC426C"/>
    <w:rsid w:val="00AC48CA"/>
    <w:rsid w:val="00AC5148"/>
    <w:rsid w:val="00AC5E70"/>
    <w:rsid w:val="00AC6E52"/>
    <w:rsid w:val="00AC6E5B"/>
    <w:rsid w:val="00AC799C"/>
    <w:rsid w:val="00AD0AC2"/>
    <w:rsid w:val="00AD0CAC"/>
    <w:rsid w:val="00AD1495"/>
    <w:rsid w:val="00AD4BC2"/>
    <w:rsid w:val="00AD5547"/>
    <w:rsid w:val="00AD55B4"/>
    <w:rsid w:val="00AD6C87"/>
    <w:rsid w:val="00AD7340"/>
    <w:rsid w:val="00AE01EE"/>
    <w:rsid w:val="00AE1836"/>
    <w:rsid w:val="00AE4CFF"/>
    <w:rsid w:val="00AE61B4"/>
    <w:rsid w:val="00AE7C2C"/>
    <w:rsid w:val="00AE7F8C"/>
    <w:rsid w:val="00AF0616"/>
    <w:rsid w:val="00AF0C73"/>
    <w:rsid w:val="00AF0EC2"/>
    <w:rsid w:val="00AF0FD0"/>
    <w:rsid w:val="00AF101C"/>
    <w:rsid w:val="00AF1CBD"/>
    <w:rsid w:val="00AF2571"/>
    <w:rsid w:val="00AF3626"/>
    <w:rsid w:val="00AF56A1"/>
    <w:rsid w:val="00AF58C4"/>
    <w:rsid w:val="00AF618C"/>
    <w:rsid w:val="00AF662D"/>
    <w:rsid w:val="00AF67D5"/>
    <w:rsid w:val="00AF6F13"/>
    <w:rsid w:val="00AF7BBE"/>
    <w:rsid w:val="00AF7E4D"/>
    <w:rsid w:val="00B0079B"/>
    <w:rsid w:val="00B007CD"/>
    <w:rsid w:val="00B01119"/>
    <w:rsid w:val="00B0128C"/>
    <w:rsid w:val="00B02D64"/>
    <w:rsid w:val="00B031AC"/>
    <w:rsid w:val="00B0385B"/>
    <w:rsid w:val="00B03921"/>
    <w:rsid w:val="00B03CB8"/>
    <w:rsid w:val="00B04D67"/>
    <w:rsid w:val="00B05A44"/>
    <w:rsid w:val="00B07C6E"/>
    <w:rsid w:val="00B10D2B"/>
    <w:rsid w:val="00B11A7C"/>
    <w:rsid w:val="00B11EC0"/>
    <w:rsid w:val="00B12C7D"/>
    <w:rsid w:val="00B1306A"/>
    <w:rsid w:val="00B13661"/>
    <w:rsid w:val="00B1371B"/>
    <w:rsid w:val="00B13A00"/>
    <w:rsid w:val="00B15153"/>
    <w:rsid w:val="00B156F9"/>
    <w:rsid w:val="00B15A6E"/>
    <w:rsid w:val="00B15C21"/>
    <w:rsid w:val="00B17570"/>
    <w:rsid w:val="00B179FD"/>
    <w:rsid w:val="00B17C3B"/>
    <w:rsid w:val="00B17D80"/>
    <w:rsid w:val="00B21095"/>
    <w:rsid w:val="00B2195E"/>
    <w:rsid w:val="00B21C86"/>
    <w:rsid w:val="00B2329E"/>
    <w:rsid w:val="00B237F3"/>
    <w:rsid w:val="00B243F4"/>
    <w:rsid w:val="00B244D5"/>
    <w:rsid w:val="00B24A98"/>
    <w:rsid w:val="00B2510E"/>
    <w:rsid w:val="00B259E6"/>
    <w:rsid w:val="00B25DB2"/>
    <w:rsid w:val="00B26C1A"/>
    <w:rsid w:val="00B274D7"/>
    <w:rsid w:val="00B27701"/>
    <w:rsid w:val="00B27F6F"/>
    <w:rsid w:val="00B307B4"/>
    <w:rsid w:val="00B30814"/>
    <w:rsid w:val="00B30CFC"/>
    <w:rsid w:val="00B31E1C"/>
    <w:rsid w:val="00B31FBA"/>
    <w:rsid w:val="00B3219C"/>
    <w:rsid w:val="00B32252"/>
    <w:rsid w:val="00B323F0"/>
    <w:rsid w:val="00B33521"/>
    <w:rsid w:val="00B33980"/>
    <w:rsid w:val="00B34A95"/>
    <w:rsid w:val="00B34CC1"/>
    <w:rsid w:val="00B35A3B"/>
    <w:rsid w:val="00B3674F"/>
    <w:rsid w:val="00B40227"/>
    <w:rsid w:val="00B416DE"/>
    <w:rsid w:val="00B42669"/>
    <w:rsid w:val="00B427E6"/>
    <w:rsid w:val="00B4294E"/>
    <w:rsid w:val="00B429A4"/>
    <w:rsid w:val="00B42A42"/>
    <w:rsid w:val="00B444A6"/>
    <w:rsid w:val="00B451E8"/>
    <w:rsid w:val="00B454C3"/>
    <w:rsid w:val="00B45769"/>
    <w:rsid w:val="00B45C92"/>
    <w:rsid w:val="00B46DF9"/>
    <w:rsid w:val="00B47476"/>
    <w:rsid w:val="00B50C30"/>
    <w:rsid w:val="00B51CD0"/>
    <w:rsid w:val="00B51FDA"/>
    <w:rsid w:val="00B52E82"/>
    <w:rsid w:val="00B5378E"/>
    <w:rsid w:val="00B54A7C"/>
    <w:rsid w:val="00B552E8"/>
    <w:rsid w:val="00B555F7"/>
    <w:rsid w:val="00B55DA6"/>
    <w:rsid w:val="00B56BF1"/>
    <w:rsid w:val="00B57053"/>
    <w:rsid w:val="00B57693"/>
    <w:rsid w:val="00B578C1"/>
    <w:rsid w:val="00B6072A"/>
    <w:rsid w:val="00B608D1"/>
    <w:rsid w:val="00B61B74"/>
    <w:rsid w:val="00B61DBD"/>
    <w:rsid w:val="00B61FA2"/>
    <w:rsid w:val="00B6211D"/>
    <w:rsid w:val="00B62370"/>
    <w:rsid w:val="00B627C0"/>
    <w:rsid w:val="00B62AA6"/>
    <w:rsid w:val="00B62AA8"/>
    <w:rsid w:val="00B632FE"/>
    <w:rsid w:val="00B63B9F"/>
    <w:rsid w:val="00B63EE8"/>
    <w:rsid w:val="00B643BD"/>
    <w:rsid w:val="00B647A3"/>
    <w:rsid w:val="00B64865"/>
    <w:rsid w:val="00B64A4A"/>
    <w:rsid w:val="00B6518B"/>
    <w:rsid w:val="00B65947"/>
    <w:rsid w:val="00B67559"/>
    <w:rsid w:val="00B7075A"/>
    <w:rsid w:val="00B708C4"/>
    <w:rsid w:val="00B70F82"/>
    <w:rsid w:val="00B762C7"/>
    <w:rsid w:val="00B77EB3"/>
    <w:rsid w:val="00B80D45"/>
    <w:rsid w:val="00B810FD"/>
    <w:rsid w:val="00B815F8"/>
    <w:rsid w:val="00B84418"/>
    <w:rsid w:val="00B8531E"/>
    <w:rsid w:val="00B853B9"/>
    <w:rsid w:val="00B86250"/>
    <w:rsid w:val="00B8691E"/>
    <w:rsid w:val="00B87484"/>
    <w:rsid w:val="00B913E0"/>
    <w:rsid w:val="00B94930"/>
    <w:rsid w:val="00B94C20"/>
    <w:rsid w:val="00B953C3"/>
    <w:rsid w:val="00B954A6"/>
    <w:rsid w:val="00B95751"/>
    <w:rsid w:val="00B95A1E"/>
    <w:rsid w:val="00B95E74"/>
    <w:rsid w:val="00B966A8"/>
    <w:rsid w:val="00B96B1E"/>
    <w:rsid w:val="00BA05AC"/>
    <w:rsid w:val="00BA1A6F"/>
    <w:rsid w:val="00BA2A6F"/>
    <w:rsid w:val="00BA3374"/>
    <w:rsid w:val="00BA3D4C"/>
    <w:rsid w:val="00BA44D5"/>
    <w:rsid w:val="00BA75CA"/>
    <w:rsid w:val="00BA7B8F"/>
    <w:rsid w:val="00BB0212"/>
    <w:rsid w:val="00BB02EC"/>
    <w:rsid w:val="00BB113C"/>
    <w:rsid w:val="00BB138F"/>
    <w:rsid w:val="00BB21D1"/>
    <w:rsid w:val="00BB2B34"/>
    <w:rsid w:val="00BB3A6B"/>
    <w:rsid w:val="00BB3C80"/>
    <w:rsid w:val="00BB3F97"/>
    <w:rsid w:val="00BB4E1D"/>
    <w:rsid w:val="00BB5147"/>
    <w:rsid w:val="00BB6845"/>
    <w:rsid w:val="00BB7433"/>
    <w:rsid w:val="00BB7441"/>
    <w:rsid w:val="00BB7B49"/>
    <w:rsid w:val="00BC1088"/>
    <w:rsid w:val="00BC10E6"/>
    <w:rsid w:val="00BC1981"/>
    <w:rsid w:val="00BC2031"/>
    <w:rsid w:val="00BC2648"/>
    <w:rsid w:val="00BC2838"/>
    <w:rsid w:val="00BC3913"/>
    <w:rsid w:val="00BC4F95"/>
    <w:rsid w:val="00BC5BFF"/>
    <w:rsid w:val="00BC6431"/>
    <w:rsid w:val="00BC6FDA"/>
    <w:rsid w:val="00BC77CD"/>
    <w:rsid w:val="00BC786B"/>
    <w:rsid w:val="00BC7FF0"/>
    <w:rsid w:val="00BD0592"/>
    <w:rsid w:val="00BD2EE4"/>
    <w:rsid w:val="00BD5182"/>
    <w:rsid w:val="00BD5C21"/>
    <w:rsid w:val="00BD6312"/>
    <w:rsid w:val="00BE28E2"/>
    <w:rsid w:val="00BE2B9F"/>
    <w:rsid w:val="00BE2C1E"/>
    <w:rsid w:val="00BE2CC6"/>
    <w:rsid w:val="00BE3DA0"/>
    <w:rsid w:val="00BE47A8"/>
    <w:rsid w:val="00BE4DD5"/>
    <w:rsid w:val="00BE51BC"/>
    <w:rsid w:val="00BE546E"/>
    <w:rsid w:val="00BE711D"/>
    <w:rsid w:val="00BF00E3"/>
    <w:rsid w:val="00BF01A6"/>
    <w:rsid w:val="00BF10CD"/>
    <w:rsid w:val="00BF19B8"/>
    <w:rsid w:val="00BF204D"/>
    <w:rsid w:val="00BF3022"/>
    <w:rsid w:val="00BF415A"/>
    <w:rsid w:val="00BF433D"/>
    <w:rsid w:val="00BF5862"/>
    <w:rsid w:val="00BF5A31"/>
    <w:rsid w:val="00BF5DD9"/>
    <w:rsid w:val="00BF67C6"/>
    <w:rsid w:val="00BF701D"/>
    <w:rsid w:val="00C003F0"/>
    <w:rsid w:val="00C004F8"/>
    <w:rsid w:val="00C00E6E"/>
    <w:rsid w:val="00C018F3"/>
    <w:rsid w:val="00C02570"/>
    <w:rsid w:val="00C02BFB"/>
    <w:rsid w:val="00C0351D"/>
    <w:rsid w:val="00C05218"/>
    <w:rsid w:val="00C0602E"/>
    <w:rsid w:val="00C06129"/>
    <w:rsid w:val="00C069DF"/>
    <w:rsid w:val="00C07052"/>
    <w:rsid w:val="00C075DA"/>
    <w:rsid w:val="00C077B3"/>
    <w:rsid w:val="00C07827"/>
    <w:rsid w:val="00C07DBA"/>
    <w:rsid w:val="00C1095B"/>
    <w:rsid w:val="00C10D62"/>
    <w:rsid w:val="00C11472"/>
    <w:rsid w:val="00C11DCE"/>
    <w:rsid w:val="00C12201"/>
    <w:rsid w:val="00C12301"/>
    <w:rsid w:val="00C12394"/>
    <w:rsid w:val="00C12618"/>
    <w:rsid w:val="00C12806"/>
    <w:rsid w:val="00C12EB9"/>
    <w:rsid w:val="00C14A4D"/>
    <w:rsid w:val="00C21712"/>
    <w:rsid w:val="00C21EDC"/>
    <w:rsid w:val="00C220EA"/>
    <w:rsid w:val="00C225A9"/>
    <w:rsid w:val="00C2362E"/>
    <w:rsid w:val="00C23743"/>
    <w:rsid w:val="00C239C1"/>
    <w:rsid w:val="00C23B32"/>
    <w:rsid w:val="00C23D5F"/>
    <w:rsid w:val="00C24170"/>
    <w:rsid w:val="00C2449E"/>
    <w:rsid w:val="00C24608"/>
    <w:rsid w:val="00C24A33"/>
    <w:rsid w:val="00C24F8C"/>
    <w:rsid w:val="00C25026"/>
    <w:rsid w:val="00C251A2"/>
    <w:rsid w:val="00C25C09"/>
    <w:rsid w:val="00C30478"/>
    <w:rsid w:val="00C32635"/>
    <w:rsid w:val="00C340D9"/>
    <w:rsid w:val="00C3410F"/>
    <w:rsid w:val="00C344F3"/>
    <w:rsid w:val="00C35C8B"/>
    <w:rsid w:val="00C36DF9"/>
    <w:rsid w:val="00C376A4"/>
    <w:rsid w:val="00C40A15"/>
    <w:rsid w:val="00C42A41"/>
    <w:rsid w:val="00C430D5"/>
    <w:rsid w:val="00C4373C"/>
    <w:rsid w:val="00C439E8"/>
    <w:rsid w:val="00C441DF"/>
    <w:rsid w:val="00C44563"/>
    <w:rsid w:val="00C44996"/>
    <w:rsid w:val="00C44E9F"/>
    <w:rsid w:val="00C4560F"/>
    <w:rsid w:val="00C4701C"/>
    <w:rsid w:val="00C50E28"/>
    <w:rsid w:val="00C5195C"/>
    <w:rsid w:val="00C5251B"/>
    <w:rsid w:val="00C52687"/>
    <w:rsid w:val="00C52B82"/>
    <w:rsid w:val="00C52CFB"/>
    <w:rsid w:val="00C538D9"/>
    <w:rsid w:val="00C53A89"/>
    <w:rsid w:val="00C53F9F"/>
    <w:rsid w:val="00C5486F"/>
    <w:rsid w:val="00C54CD1"/>
    <w:rsid w:val="00C5502D"/>
    <w:rsid w:val="00C55DB1"/>
    <w:rsid w:val="00C56339"/>
    <w:rsid w:val="00C57440"/>
    <w:rsid w:val="00C6216A"/>
    <w:rsid w:val="00C6268A"/>
    <w:rsid w:val="00C64D69"/>
    <w:rsid w:val="00C6575B"/>
    <w:rsid w:val="00C659A0"/>
    <w:rsid w:val="00C65B9F"/>
    <w:rsid w:val="00C66847"/>
    <w:rsid w:val="00C673DA"/>
    <w:rsid w:val="00C67B9B"/>
    <w:rsid w:val="00C70230"/>
    <w:rsid w:val="00C7030C"/>
    <w:rsid w:val="00C708F2"/>
    <w:rsid w:val="00C70D89"/>
    <w:rsid w:val="00C716BB"/>
    <w:rsid w:val="00C7210B"/>
    <w:rsid w:val="00C726DF"/>
    <w:rsid w:val="00C72FDD"/>
    <w:rsid w:val="00C73325"/>
    <w:rsid w:val="00C7357C"/>
    <w:rsid w:val="00C736F7"/>
    <w:rsid w:val="00C74C65"/>
    <w:rsid w:val="00C74D6A"/>
    <w:rsid w:val="00C74F16"/>
    <w:rsid w:val="00C76C85"/>
    <w:rsid w:val="00C76CB4"/>
    <w:rsid w:val="00C77BE5"/>
    <w:rsid w:val="00C803ED"/>
    <w:rsid w:val="00C81004"/>
    <w:rsid w:val="00C81D03"/>
    <w:rsid w:val="00C8271B"/>
    <w:rsid w:val="00C839DB"/>
    <w:rsid w:val="00C83BD9"/>
    <w:rsid w:val="00C846CE"/>
    <w:rsid w:val="00C849E7"/>
    <w:rsid w:val="00C8568D"/>
    <w:rsid w:val="00C86EF9"/>
    <w:rsid w:val="00C87A74"/>
    <w:rsid w:val="00C87EDB"/>
    <w:rsid w:val="00C905E8"/>
    <w:rsid w:val="00C917D2"/>
    <w:rsid w:val="00C91B69"/>
    <w:rsid w:val="00C925C0"/>
    <w:rsid w:val="00C92867"/>
    <w:rsid w:val="00C93950"/>
    <w:rsid w:val="00C94166"/>
    <w:rsid w:val="00C950B1"/>
    <w:rsid w:val="00C95191"/>
    <w:rsid w:val="00C95763"/>
    <w:rsid w:val="00C95B52"/>
    <w:rsid w:val="00C95BD2"/>
    <w:rsid w:val="00C95BFD"/>
    <w:rsid w:val="00C96697"/>
    <w:rsid w:val="00C97C44"/>
    <w:rsid w:val="00C97DDE"/>
    <w:rsid w:val="00CA0E33"/>
    <w:rsid w:val="00CA17AA"/>
    <w:rsid w:val="00CA1C54"/>
    <w:rsid w:val="00CA268F"/>
    <w:rsid w:val="00CA2F02"/>
    <w:rsid w:val="00CA3218"/>
    <w:rsid w:val="00CA3BFC"/>
    <w:rsid w:val="00CA4476"/>
    <w:rsid w:val="00CA4CDD"/>
    <w:rsid w:val="00CA6235"/>
    <w:rsid w:val="00CA6936"/>
    <w:rsid w:val="00CA74E4"/>
    <w:rsid w:val="00CB34F9"/>
    <w:rsid w:val="00CB4277"/>
    <w:rsid w:val="00CB42A0"/>
    <w:rsid w:val="00CB440A"/>
    <w:rsid w:val="00CB4AA7"/>
    <w:rsid w:val="00CB68DA"/>
    <w:rsid w:val="00CB709D"/>
    <w:rsid w:val="00CB7300"/>
    <w:rsid w:val="00CC0148"/>
    <w:rsid w:val="00CC0268"/>
    <w:rsid w:val="00CC0DB4"/>
    <w:rsid w:val="00CC255B"/>
    <w:rsid w:val="00CC28DE"/>
    <w:rsid w:val="00CC2D3C"/>
    <w:rsid w:val="00CC2E45"/>
    <w:rsid w:val="00CC37CC"/>
    <w:rsid w:val="00CC3ADC"/>
    <w:rsid w:val="00CC4176"/>
    <w:rsid w:val="00CC4269"/>
    <w:rsid w:val="00CC43C3"/>
    <w:rsid w:val="00CC4EC1"/>
    <w:rsid w:val="00CC5049"/>
    <w:rsid w:val="00CC5207"/>
    <w:rsid w:val="00CC6585"/>
    <w:rsid w:val="00CC6E9D"/>
    <w:rsid w:val="00CD08D9"/>
    <w:rsid w:val="00CD17A9"/>
    <w:rsid w:val="00CD19D4"/>
    <w:rsid w:val="00CD1FDE"/>
    <w:rsid w:val="00CD300C"/>
    <w:rsid w:val="00CD34B4"/>
    <w:rsid w:val="00CD37F0"/>
    <w:rsid w:val="00CD3920"/>
    <w:rsid w:val="00CD399E"/>
    <w:rsid w:val="00CD3D46"/>
    <w:rsid w:val="00CD5AD9"/>
    <w:rsid w:val="00CD5FD1"/>
    <w:rsid w:val="00CD6312"/>
    <w:rsid w:val="00CE0520"/>
    <w:rsid w:val="00CE087B"/>
    <w:rsid w:val="00CE285D"/>
    <w:rsid w:val="00CE28FF"/>
    <w:rsid w:val="00CE3432"/>
    <w:rsid w:val="00CE433E"/>
    <w:rsid w:val="00CE6793"/>
    <w:rsid w:val="00CE690D"/>
    <w:rsid w:val="00CE6D14"/>
    <w:rsid w:val="00CF190F"/>
    <w:rsid w:val="00CF3316"/>
    <w:rsid w:val="00CF39B1"/>
    <w:rsid w:val="00CF404F"/>
    <w:rsid w:val="00CF4980"/>
    <w:rsid w:val="00CF4DE0"/>
    <w:rsid w:val="00CF5C1D"/>
    <w:rsid w:val="00CF709F"/>
    <w:rsid w:val="00CF7EF0"/>
    <w:rsid w:val="00D00093"/>
    <w:rsid w:val="00D003AE"/>
    <w:rsid w:val="00D004EB"/>
    <w:rsid w:val="00D009BD"/>
    <w:rsid w:val="00D01309"/>
    <w:rsid w:val="00D01685"/>
    <w:rsid w:val="00D0265E"/>
    <w:rsid w:val="00D02CD0"/>
    <w:rsid w:val="00D0466A"/>
    <w:rsid w:val="00D04A0A"/>
    <w:rsid w:val="00D04A64"/>
    <w:rsid w:val="00D04DA1"/>
    <w:rsid w:val="00D056B0"/>
    <w:rsid w:val="00D0743A"/>
    <w:rsid w:val="00D07585"/>
    <w:rsid w:val="00D076E2"/>
    <w:rsid w:val="00D07EE7"/>
    <w:rsid w:val="00D1001A"/>
    <w:rsid w:val="00D11B6D"/>
    <w:rsid w:val="00D1236E"/>
    <w:rsid w:val="00D1312B"/>
    <w:rsid w:val="00D13908"/>
    <w:rsid w:val="00D14375"/>
    <w:rsid w:val="00D14566"/>
    <w:rsid w:val="00D14D7D"/>
    <w:rsid w:val="00D1562C"/>
    <w:rsid w:val="00D15817"/>
    <w:rsid w:val="00D1659D"/>
    <w:rsid w:val="00D17134"/>
    <w:rsid w:val="00D17424"/>
    <w:rsid w:val="00D20222"/>
    <w:rsid w:val="00D20381"/>
    <w:rsid w:val="00D204C9"/>
    <w:rsid w:val="00D2125C"/>
    <w:rsid w:val="00D213AE"/>
    <w:rsid w:val="00D21B05"/>
    <w:rsid w:val="00D220BB"/>
    <w:rsid w:val="00D22408"/>
    <w:rsid w:val="00D22B00"/>
    <w:rsid w:val="00D2440B"/>
    <w:rsid w:val="00D24BE5"/>
    <w:rsid w:val="00D25386"/>
    <w:rsid w:val="00D25F98"/>
    <w:rsid w:val="00D27301"/>
    <w:rsid w:val="00D27D1E"/>
    <w:rsid w:val="00D313E6"/>
    <w:rsid w:val="00D31612"/>
    <w:rsid w:val="00D3178C"/>
    <w:rsid w:val="00D3235D"/>
    <w:rsid w:val="00D32675"/>
    <w:rsid w:val="00D339E0"/>
    <w:rsid w:val="00D35B69"/>
    <w:rsid w:val="00D363C9"/>
    <w:rsid w:val="00D364A6"/>
    <w:rsid w:val="00D36A33"/>
    <w:rsid w:val="00D36E64"/>
    <w:rsid w:val="00D40248"/>
    <w:rsid w:val="00D413F7"/>
    <w:rsid w:val="00D4183D"/>
    <w:rsid w:val="00D41E5F"/>
    <w:rsid w:val="00D426BC"/>
    <w:rsid w:val="00D42FAC"/>
    <w:rsid w:val="00D434EF"/>
    <w:rsid w:val="00D44661"/>
    <w:rsid w:val="00D446CA"/>
    <w:rsid w:val="00D44B7D"/>
    <w:rsid w:val="00D44E7F"/>
    <w:rsid w:val="00D46637"/>
    <w:rsid w:val="00D47B10"/>
    <w:rsid w:val="00D5079F"/>
    <w:rsid w:val="00D51690"/>
    <w:rsid w:val="00D51D76"/>
    <w:rsid w:val="00D523FD"/>
    <w:rsid w:val="00D52941"/>
    <w:rsid w:val="00D52C8D"/>
    <w:rsid w:val="00D53409"/>
    <w:rsid w:val="00D53854"/>
    <w:rsid w:val="00D53B76"/>
    <w:rsid w:val="00D53BD8"/>
    <w:rsid w:val="00D545AE"/>
    <w:rsid w:val="00D5564A"/>
    <w:rsid w:val="00D56253"/>
    <w:rsid w:val="00D56457"/>
    <w:rsid w:val="00D56B99"/>
    <w:rsid w:val="00D56C74"/>
    <w:rsid w:val="00D6164B"/>
    <w:rsid w:val="00D62259"/>
    <w:rsid w:val="00D629FA"/>
    <w:rsid w:val="00D62BCB"/>
    <w:rsid w:val="00D62DBA"/>
    <w:rsid w:val="00D63786"/>
    <w:rsid w:val="00D63805"/>
    <w:rsid w:val="00D63A32"/>
    <w:rsid w:val="00D63E6E"/>
    <w:rsid w:val="00D643A5"/>
    <w:rsid w:val="00D6652B"/>
    <w:rsid w:val="00D66EF7"/>
    <w:rsid w:val="00D67CC8"/>
    <w:rsid w:val="00D67D4F"/>
    <w:rsid w:val="00D67F59"/>
    <w:rsid w:val="00D70831"/>
    <w:rsid w:val="00D70BBC"/>
    <w:rsid w:val="00D70C01"/>
    <w:rsid w:val="00D70F46"/>
    <w:rsid w:val="00D7235E"/>
    <w:rsid w:val="00D7242A"/>
    <w:rsid w:val="00D72AE4"/>
    <w:rsid w:val="00D7313B"/>
    <w:rsid w:val="00D744B3"/>
    <w:rsid w:val="00D75425"/>
    <w:rsid w:val="00D75A09"/>
    <w:rsid w:val="00D75B18"/>
    <w:rsid w:val="00D762A5"/>
    <w:rsid w:val="00D77CA4"/>
    <w:rsid w:val="00D80009"/>
    <w:rsid w:val="00D802BE"/>
    <w:rsid w:val="00D80976"/>
    <w:rsid w:val="00D82341"/>
    <w:rsid w:val="00D8274E"/>
    <w:rsid w:val="00D83D2E"/>
    <w:rsid w:val="00D846B4"/>
    <w:rsid w:val="00D85892"/>
    <w:rsid w:val="00D875A9"/>
    <w:rsid w:val="00D90F2E"/>
    <w:rsid w:val="00D92538"/>
    <w:rsid w:val="00D92993"/>
    <w:rsid w:val="00D93941"/>
    <w:rsid w:val="00D93A5B"/>
    <w:rsid w:val="00D93B23"/>
    <w:rsid w:val="00D93DA9"/>
    <w:rsid w:val="00D93E0F"/>
    <w:rsid w:val="00D9410A"/>
    <w:rsid w:val="00D94337"/>
    <w:rsid w:val="00D943FC"/>
    <w:rsid w:val="00D95507"/>
    <w:rsid w:val="00D96DA9"/>
    <w:rsid w:val="00D9709F"/>
    <w:rsid w:val="00D97151"/>
    <w:rsid w:val="00DA0BBB"/>
    <w:rsid w:val="00DA0EDE"/>
    <w:rsid w:val="00DA2369"/>
    <w:rsid w:val="00DA25BF"/>
    <w:rsid w:val="00DA4806"/>
    <w:rsid w:val="00DA4E60"/>
    <w:rsid w:val="00DA6776"/>
    <w:rsid w:val="00DA6906"/>
    <w:rsid w:val="00DA6C1F"/>
    <w:rsid w:val="00DA72B6"/>
    <w:rsid w:val="00DA78F5"/>
    <w:rsid w:val="00DA7A50"/>
    <w:rsid w:val="00DA7E9D"/>
    <w:rsid w:val="00DB1075"/>
    <w:rsid w:val="00DB14DE"/>
    <w:rsid w:val="00DB1509"/>
    <w:rsid w:val="00DB2313"/>
    <w:rsid w:val="00DB2DCA"/>
    <w:rsid w:val="00DB2F8F"/>
    <w:rsid w:val="00DB302A"/>
    <w:rsid w:val="00DB63F0"/>
    <w:rsid w:val="00DC08A4"/>
    <w:rsid w:val="00DC1AE9"/>
    <w:rsid w:val="00DC1C44"/>
    <w:rsid w:val="00DC1F7E"/>
    <w:rsid w:val="00DC2604"/>
    <w:rsid w:val="00DC299F"/>
    <w:rsid w:val="00DC47ED"/>
    <w:rsid w:val="00DC4F59"/>
    <w:rsid w:val="00DC5803"/>
    <w:rsid w:val="00DC6FFF"/>
    <w:rsid w:val="00DC73C1"/>
    <w:rsid w:val="00DD019D"/>
    <w:rsid w:val="00DD0211"/>
    <w:rsid w:val="00DD0C46"/>
    <w:rsid w:val="00DD15A4"/>
    <w:rsid w:val="00DD1BE6"/>
    <w:rsid w:val="00DD2A0F"/>
    <w:rsid w:val="00DD38EE"/>
    <w:rsid w:val="00DD41E4"/>
    <w:rsid w:val="00DD4E16"/>
    <w:rsid w:val="00DD51E9"/>
    <w:rsid w:val="00DD6656"/>
    <w:rsid w:val="00DD6BE9"/>
    <w:rsid w:val="00DD7030"/>
    <w:rsid w:val="00DD748E"/>
    <w:rsid w:val="00DD7AA8"/>
    <w:rsid w:val="00DD7B0F"/>
    <w:rsid w:val="00DE04AB"/>
    <w:rsid w:val="00DE0D58"/>
    <w:rsid w:val="00DE2822"/>
    <w:rsid w:val="00DE2990"/>
    <w:rsid w:val="00DE2BC4"/>
    <w:rsid w:val="00DE38AC"/>
    <w:rsid w:val="00DE4935"/>
    <w:rsid w:val="00DE5E87"/>
    <w:rsid w:val="00DE68AC"/>
    <w:rsid w:val="00DF2CF4"/>
    <w:rsid w:val="00DF3926"/>
    <w:rsid w:val="00DF3A07"/>
    <w:rsid w:val="00DF3BF3"/>
    <w:rsid w:val="00DF45CA"/>
    <w:rsid w:val="00DF49B4"/>
    <w:rsid w:val="00DF4AA4"/>
    <w:rsid w:val="00DF4ADB"/>
    <w:rsid w:val="00DF52D2"/>
    <w:rsid w:val="00DF5305"/>
    <w:rsid w:val="00DF5411"/>
    <w:rsid w:val="00DF56A4"/>
    <w:rsid w:val="00DF5863"/>
    <w:rsid w:val="00DF589D"/>
    <w:rsid w:val="00DF58F4"/>
    <w:rsid w:val="00DF59E0"/>
    <w:rsid w:val="00DF670A"/>
    <w:rsid w:val="00DF67A2"/>
    <w:rsid w:val="00DF6B49"/>
    <w:rsid w:val="00DF6CDD"/>
    <w:rsid w:val="00DF76B6"/>
    <w:rsid w:val="00DF7B8F"/>
    <w:rsid w:val="00E007BA"/>
    <w:rsid w:val="00E00A8A"/>
    <w:rsid w:val="00E01082"/>
    <w:rsid w:val="00E01A51"/>
    <w:rsid w:val="00E022AF"/>
    <w:rsid w:val="00E025C4"/>
    <w:rsid w:val="00E0267D"/>
    <w:rsid w:val="00E034E8"/>
    <w:rsid w:val="00E04845"/>
    <w:rsid w:val="00E04935"/>
    <w:rsid w:val="00E0592B"/>
    <w:rsid w:val="00E06206"/>
    <w:rsid w:val="00E10465"/>
    <w:rsid w:val="00E10D94"/>
    <w:rsid w:val="00E11F9B"/>
    <w:rsid w:val="00E11FF6"/>
    <w:rsid w:val="00E1334D"/>
    <w:rsid w:val="00E14089"/>
    <w:rsid w:val="00E14453"/>
    <w:rsid w:val="00E14796"/>
    <w:rsid w:val="00E151E2"/>
    <w:rsid w:val="00E15244"/>
    <w:rsid w:val="00E1733B"/>
    <w:rsid w:val="00E17DEE"/>
    <w:rsid w:val="00E200E2"/>
    <w:rsid w:val="00E210C2"/>
    <w:rsid w:val="00E211F2"/>
    <w:rsid w:val="00E21211"/>
    <w:rsid w:val="00E21C26"/>
    <w:rsid w:val="00E21ECE"/>
    <w:rsid w:val="00E22059"/>
    <w:rsid w:val="00E223EB"/>
    <w:rsid w:val="00E22687"/>
    <w:rsid w:val="00E2291A"/>
    <w:rsid w:val="00E25376"/>
    <w:rsid w:val="00E253A8"/>
    <w:rsid w:val="00E26E4B"/>
    <w:rsid w:val="00E27DD7"/>
    <w:rsid w:val="00E30104"/>
    <w:rsid w:val="00E31213"/>
    <w:rsid w:val="00E32694"/>
    <w:rsid w:val="00E32BA7"/>
    <w:rsid w:val="00E336C4"/>
    <w:rsid w:val="00E3391C"/>
    <w:rsid w:val="00E33BC0"/>
    <w:rsid w:val="00E35A74"/>
    <w:rsid w:val="00E3708C"/>
    <w:rsid w:val="00E37700"/>
    <w:rsid w:val="00E3776B"/>
    <w:rsid w:val="00E37C80"/>
    <w:rsid w:val="00E4021A"/>
    <w:rsid w:val="00E407E9"/>
    <w:rsid w:val="00E409C3"/>
    <w:rsid w:val="00E41636"/>
    <w:rsid w:val="00E41E64"/>
    <w:rsid w:val="00E422D8"/>
    <w:rsid w:val="00E425AB"/>
    <w:rsid w:val="00E43083"/>
    <w:rsid w:val="00E435BF"/>
    <w:rsid w:val="00E43EDA"/>
    <w:rsid w:val="00E4455D"/>
    <w:rsid w:val="00E448F4"/>
    <w:rsid w:val="00E44C16"/>
    <w:rsid w:val="00E46DB3"/>
    <w:rsid w:val="00E47214"/>
    <w:rsid w:val="00E4781C"/>
    <w:rsid w:val="00E509C9"/>
    <w:rsid w:val="00E50AFD"/>
    <w:rsid w:val="00E51F13"/>
    <w:rsid w:val="00E52296"/>
    <w:rsid w:val="00E52A56"/>
    <w:rsid w:val="00E5338D"/>
    <w:rsid w:val="00E55098"/>
    <w:rsid w:val="00E55532"/>
    <w:rsid w:val="00E55F6F"/>
    <w:rsid w:val="00E57379"/>
    <w:rsid w:val="00E57786"/>
    <w:rsid w:val="00E60277"/>
    <w:rsid w:val="00E60AE1"/>
    <w:rsid w:val="00E62605"/>
    <w:rsid w:val="00E633C5"/>
    <w:rsid w:val="00E6404E"/>
    <w:rsid w:val="00E65935"/>
    <w:rsid w:val="00E66054"/>
    <w:rsid w:val="00E664ED"/>
    <w:rsid w:val="00E66D57"/>
    <w:rsid w:val="00E711C0"/>
    <w:rsid w:val="00E718EF"/>
    <w:rsid w:val="00E72196"/>
    <w:rsid w:val="00E72A3D"/>
    <w:rsid w:val="00E73D0E"/>
    <w:rsid w:val="00E7563E"/>
    <w:rsid w:val="00E7585F"/>
    <w:rsid w:val="00E775F4"/>
    <w:rsid w:val="00E806B7"/>
    <w:rsid w:val="00E810E0"/>
    <w:rsid w:val="00E81D28"/>
    <w:rsid w:val="00E81D70"/>
    <w:rsid w:val="00E81E75"/>
    <w:rsid w:val="00E81F71"/>
    <w:rsid w:val="00E82A55"/>
    <w:rsid w:val="00E83A46"/>
    <w:rsid w:val="00E849FE"/>
    <w:rsid w:val="00E852E4"/>
    <w:rsid w:val="00E85BB6"/>
    <w:rsid w:val="00E85C95"/>
    <w:rsid w:val="00E87030"/>
    <w:rsid w:val="00E8731F"/>
    <w:rsid w:val="00E9022E"/>
    <w:rsid w:val="00E905AC"/>
    <w:rsid w:val="00E90618"/>
    <w:rsid w:val="00E9078C"/>
    <w:rsid w:val="00E90F58"/>
    <w:rsid w:val="00E91036"/>
    <w:rsid w:val="00E91E66"/>
    <w:rsid w:val="00E92813"/>
    <w:rsid w:val="00E92E56"/>
    <w:rsid w:val="00E92F03"/>
    <w:rsid w:val="00E94C33"/>
    <w:rsid w:val="00E96E52"/>
    <w:rsid w:val="00EA0BB5"/>
    <w:rsid w:val="00EA14CD"/>
    <w:rsid w:val="00EA16D2"/>
    <w:rsid w:val="00EA3EA0"/>
    <w:rsid w:val="00EA4F1F"/>
    <w:rsid w:val="00EA58CB"/>
    <w:rsid w:val="00EA5B95"/>
    <w:rsid w:val="00EA6425"/>
    <w:rsid w:val="00EA7AF7"/>
    <w:rsid w:val="00EB0D2F"/>
    <w:rsid w:val="00EB0F84"/>
    <w:rsid w:val="00EB1551"/>
    <w:rsid w:val="00EB2D13"/>
    <w:rsid w:val="00EB30C7"/>
    <w:rsid w:val="00EB3D23"/>
    <w:rsid w:val="00EB3E46"/>
    <w:rsid w:val="00EB4482"/>
    <w:rsid w:val="00EB5C75"/>
    <w:rsid w:val="00EB63F0"/>
    <w:rsid w:val="00EC080F"/>
    <w:rsid w:val="00EC16A2"/>
    <w:rsid w:val="00EC1765"/>
    <w:rsid w:val="00EC1CDD"/>
    <w:rsid w:val="00EC1E9F"/>
    <w:rsid w:val="00EC216A"/>
    <w:rsid w:val="00EC4A15"/>
    <w:rsid w:val="00EC686F"/>
    <w:rsid w:val="00EC6B64"/>
    <w:rsid w:val="00EC755A"/>
    <w:rsid w:val="00EC7B2B"/>
    <w:rsid w:val="00ED17F0"/>
    <w:rsid w:val="00ED1BC3"/>
    <w:rsid w:val="00ED23C9"/>
    <w:rsid w:val="00ED2DCA"/>
    <w:rsid w:val="00ED33AC"/>
    <w:rsid w:val="00ED53AF"/>
    <w:rsid w:val="00ED580B"/>
    <w:rsid w:val="00ED5B74"/>
    <w:rsid w:val="00ED6B88"/>
    <w:rsid w:val="00ED7A8D"/>
    <w:rsid w:val="00EE0A03"/>
    <w:rsid w:val="00EE0AC4"/>
    <w:rsid w:val="00EE1ED7"/>
    <w:rsid w:val="00EE1F96"/>
    <w:rsid w:val="00EE20E9"/>
    <w:rsid w:val="00EE25C8"/>
    <w:rsid w:val="00EE32A1"/>
    <w:rsid w:val="00EE3328"/>
    <w:rsid w:val="00EE494C"/>
    <w:rsid w:val="00EE4CD2"/>
    <w:rsid w:val="00EE5866"/>
    <w:rsid w:val="00EE5D62"/>
    <w:rsid w:val="00EE6B0D"/>
    <w:rsid w:val="00EE70B2"/>
    <w:rsid w:val="00EE7FC2"/>
    <w:rsid w:val="00EF1453"/>
    <w:rsid w:val="00EF1811"/>
    <w:rsid w:val="00EF45AC"/>
    <w:rsid w:val="00EF4772"/>
    <w:rsid w:val="00EF4E0C"/>
    <w:rsid w:val="00EF4F10"/>
    <w:rsid w:val="00EF5784"/>
    <w:rsid w:val="00EF5C9E"/>
    <w:rsid w:val="00EF5F6F"/>
    <w:rsid w:val="00EF6CF3"/>
    <w:rsid w:val="00EF7231"/>
    <w:rsid w:val="00EF77F0"/>
    <w:rsid w:val="00EF7F89"/>
    <w:rsid w:val="00F0087B"/>
    <w:rsid w:val="00F00954"/>
    <w:rsid w:val="00F01845"/>
    <w:rsid w:val="00F01920"/>
    <w:rsid w:val="00F01A85"/>
    <w:rsid w:val="00F023C0"/>
    <w:rsid w:val="00F027DE"/>
    <w:rsid w:val="00F02DF7"/>
    <w:rsid w:val="00F03675"/>
    <w:rsid w:val="00F0434F"/>
    <w:rsid w:val="00F0476B"/>
    <w:rsid w:val="00F05A66"/>
    <w:rsid w:val="00F079E6"/>
    <w:rsid w:val="00F1021D"/>
    <w:rsid w:val="00F10FFE"/>
    <w:rsid w:val="00F11F70"/>
    <w:rsid w:val="00F12460"/>
    <w:rsid w:val="00F13282"/>
    <w:rsid w:val="00F1335F"/>
    <w:rsid w:val="00F1340D"/>
    <w:rsid w:val="00F14338"/>
    <w:rsid w:val="00F14434"/>
    <w:rsid w:val="00F144BB"/>
    <w:rsid w:val="00F14855"/>
    <w:rsid w:val="00F150C6"/>
    <w:rsid w:val="00F1510A"/>
    <w:rsid w:val="00F153E7"/>
    <w:rsid w:val="00F167A8"/>
    <w:rsid w:val="00F169F6"/>
    <w:rsid w:val="00F16D4A"/>
    <w:rsid w:val="00F175EC"/>
    <w:rsid w:val="00F20A19"/>
    <w:rsid w:val="00F20BDC"/>
    <w:rsid w:val="00F21835"/>
    <w:rsid w:val="00F22843"/>
    <w:rsid w:val="00F2361D"/>
    <w:rsid w:val="00F239FA"/>
    <w:rsid w:val="00F23C51"/>
    <w:rsid w:val="00F24FF9"/>
    <w:rsid w:val="00F2512C"/>
    <w:rsid w:val="00F251C3"/>
    <w:rsid w:val="00F254B8"/>
    <w:rsid w:val="00F255F3"/>
    <w:rsid w:val="00F268BA"/>
    <w:rsid w:val="00F26EC2"/>
    <w:rsid w:val="00F2733D"/>
    <w:rsid w:val="00F278A2"/>
    <w:rsid w:val="00F27E78"/>
    <w:rsid w:val="00F30450"/>
    <w:rsid w:val="00F318EA"/>
    <w:rsid w:val="00F335F7"/>
    <w:rsid w:val="00F33893"/>
    <w:rsid w:val="00F34037"/>
    <w:rsid w:val="00F34141"/>
    <w:rsid w:val="00F3699A"/>
    <w:rsid w:val="00F3721B"/>
    <w:rsid w:val="00F3742A"/>
    <w:rsid w:val="00F37C0A"/>
    <w:rsid w:val="00F40CEF"/>
    <w:rsid w:val="00F4108D"/>
    <w:rsid w:val="00F410A9"/>
    <w:rsid w:val="00F417C7"/>
    <w:rsid w:val="00F43643"/>
    <w:rsid w:val="00F440DC"/>
    <w:rsid w:val="00F444B9"/>
    <w:rsid w:val="00F44646"/>
    <w:rsid w:val="00F44719"/>
    <w:rsid w:val="00F44A01"/>
    <w:rsid w:val="00F4655F"/>
    <w:rsid w:val="00F4662F"/>
    <w:rsid w:val="00F4667A"/>
    <w:rsid w:val="00F46842"/>
    <w:rsid w:val="00F47118"/>
    <w:rsid w:val="00F4743E"/>
    <w:rsid w:val="00F527A3"/>
    <w:rsid w:val="00F53AC0"/>
    <w:rsid w:val="00F54485"/>
    <w:rsid w:val="00F54DDF"/>
    <w:rsid w:val="00F55801"/>
    <w:rsid w:val="00F5659F"/>
    <w:rsid w:val="00F566AF"/>
    <w:rsid w:val="00F56BF3"/>
    <w:rsid w:val="00F56EEF"/>
    <w:rsid w:val="00F57AC6"/>
    <w:rsid w:val="00F57F6D"/>
    <w:rsid w:val="00F6033E"/>
    <w:rsid w:val="00F6070E"/>
    <w:rsid w:val="00F60E40"/>
    <w:rsid w:val="00F6153F"/>
    <w:rsid w:val="00F61F29"/>
    <w:rsid w:val="00F62B8C"/>
    <w:rsid w:val="00F6313C"/>
    <w:rsid w:val="00F63517"/>
    <w:rsid w:val="00F64300"/>
    <w:rsid w:val="00F6457C"/>
    <w:rsid w:val="00F660DA"/>
    <w:rsid w:val="00F6644B"/>
    <w:rsid w:val="00F6655A"/>
    <w:rsid w:val="00F7135D"/>
    <w:rsid w:val="00F7177E"/>
    <w:rsid w:val="00F717A4"/>
    <w:rsid w:val="00F726DE"/>
    <w:rsid w:val="00F72BF2"/>
    <w:rsid w:val="00F73C9D"/>
    <w:rsid w:val="00F74786"/>
    <w:rsid w:val="00F74789"/>
    <w:rsid w:val="00F751CD"/>
    <w:rsid w:val="00F7557F"/>
    <w:rsid w:val="00F76241"/>
    <w:rsid w:val="00F76360"/>
    <w:rsid w:val="00F80BDA"/>
    <w:rsid w:val="00F81B98"/>
    <w:rsid w:val="00F821D1"/>
    <w:rsid w:val="00F823A5"/>
    <w:rsid w:val="00F829B3"/>
    <w:rsid w:val="00F83620"/>
    <w:rsid w:val="00F839AF"/>
    <w:rsid w:val="00F852E2"/>
    <w:rsid w:val="00F8550C"/>
    <w:rsid w:val="00F855B4"/>
    <w:rsid w:val="00F86DC7"/>
    <w:rsid w:val="00F875C1"/>
    <w:rsid w:val="00F87B0B"/>
    <w:rsid w:val="00F90CA8"/>
    <w:rsid w:val="00F91373"/>
    <w:rsid w:val="00F915FD"/>
    <w:rsid w:val="00F917C5"/>
    <w:rsid w:val="00F9242F"/>
    <w:rsid w:val="00F9276A"/>
    <w:rsid w:val="00F94026"/>
    <w:rsid w:val="00F947C4"/>
    <w:rsid w:val="00F94A97"/>
    <w:rsid w:val="00F95A66"/>
    <w:rsid w:val="00F96077"/>
    <w:rsid w:val="00F9640B"/>
    <w:rsid w:val="00F96BF0"/>
    <w:rsid w:val="00F97639"/>
    <w:rsid w:val="00F97673"/>
    <w:rsid w:val="00FA0139"/>
    <w:rsid w:val="00FA07D0"/>
    <w:rsid w:val="00FA08BE"/>
    <w:rsid w:val="00FA1A6E"/>
    <w:rsid w:val="00FA2CE6"/>
    <w:rsid w:val="00FA2F39"/>
    <w:rsid w:val="00FA38EE"/>
    <w:rsid w:val="00FA394A"/>
    <w:rsid w:val="00FA4A21"/>
    <w:rsid w:val="00FA4BB3"/>
    <w:rsid w:val="00FA5407"/>
    <w:rsid w:val="00FA5CB5"/>
    <w:rsid w:val="00FA60E4"/>
    <w:rsid w:val="00FA77DC"/>
    <w:rsid w:val="00FB0850"/>
    <w:rsid w:val="00FB1A30"/>
    <w:rsid w:val="00FB222D"/>
    <w:rsid w:val="00FB23A9"/>
    <w:rsid w:val="00FB3000"/>
    <w:rsid w:val="00FB33BD"/>
    <w:rsid w:val="00FB39B8"/>
    <w:rsid w:val="00FB3C3A"/>
    <w:rsid w:val="00FB4B6D"/>
    <w:rsid w:val="00FB5392"/>
    <w:rsid w:val="00FB5AB4"/>
    <w:rsid w:val="00FB6594"/>
    <w:rsid w:val="00FB6A1C"/>
    <w:rsid w:val="00FB6A30"/>
    <w:rsid w:val="00FB6AED"/>
    <w:rsid w:val="00FB7630"/>
    <w:rsid w:val="00FB7847"/>
    <w:rsid w:val="00FB7F5F"/>
    <w:rsid w:val="00FC09E0"/>
    <w:rsid w:val="00FC14DC"/>
    <w:rsid w:val="00FC1BA5"/>
    <w:rsid w:val="00FC2B14"/>
    <w:rsid w:val="00FC369A"/>
    <w:rsid w:val="00FC3807"/>
    <w:rsid w:val="00FC38F8"/>
    <w:rsid w:val="00FC4154"/>
    <w:rsid w:val="00FC50FB"/>
    <w:rsid w:val="00FC52D7"/>
    <w:rsid w:val="00FC61CA"/>
    <w:rsid w:val="00FC6B93"/>
    <w:rsid w:val="00FC6DFC"/>
    <w:rsid w:val="00FC73A6"/>
    <w:rsid w:val="00FC762A"/>
    <w:rsid w:val="00FC7952"/>
    <w:rsid w:val="00FD01B5"/>
    <w:rsid w:val="00FD278B"/>
    <w:rsid w:val="00FD2FFA"/>
    <w:rsid w:val="00FD3311"/>
    <w:rsid w:val="00FD3EB3"/>
    <w:rsid w:val="00FD42B1"/>
    <w:rsid w:val="00FD4AA5"/>
    <w:rsid w:val="00FD4EF3"/>
    <w:rsid w:val="00FD6185"/>
    <w:rsid w:val="00FD6E65"/>
    <w:rsid w:val="00FD72C7"/>
    <w:rsid w:val="00FE1402"/>
    <w:rsid w:val="00FE1582"/>
    <w:rsid w:val="00FE3704"/>
    <w:rsid w:val="00FE3FE1"/>
    <w:rsid w:val="00FE4F4F"/>
    <w:rsid w:val="00FE5746"/>
    <w:rsid w:val="00FE591E"/>
    <w:rsid w:val="00FE62BF"/>
    <w:rsid w:val="00FE6EC8"/>
    <w:rsid w:val="00FE767D"/>
    <w:rsid w:val="00FE7893"/>
    <w:rsid w:val="00FE7B63"/>
    <w:rsid w:val="00FF0393"/>
    <w:rsid w:val="00FF0D80"/>
    <w:rsid w:val="00FF3561"/>
    <w:rsid w:val="00FF3EAD"/>
    <w:rsid w:val="00FF45DB"/>
    <w:rsid w:val="00FF7BDC"/>
    <w:rsid w:val="00FF7E45"/>
    <w:rsid w:val="00FF7E60"/>
    <w:rsid w:val="00FF7F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392F544"/>
  <w15:docId w15:val="{DF50B68F-232C-44DF-B737-970740EC4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6DFC"/>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FC6DFC"/>
    <w:pPr>
      <w:spacing w:after="160" w:line="240" w:lineRule="exact"/>
      <w:ind w:left="357"/>
    </w:pPr>
    <w:rPr>
      <w:rFonts w:asciiTheme="minorHAnsi" w:hAnsiTheme="minorHAnsi" w:cstheme="minorBidi"/>
      <w:sz w:val="22"/>
      <w:vertAlign w:val="superscript"/>
    </w:rPr>
  </w:style>
  <w:style w:type="character" w:styleId="CommentReference">
    <w:name w:val="annotation reference"/>
    <w:basedOn w:val="DefaultParagraphFont"/>
    <w:uiPriority w:val="99"/>
    <w:semiHidden/>
    <w:unhideWhenUsed/>
    <w:rsid w:val="00FC6DFC"/>
    <w:rPr>
      <w:sz w:val="16"/>
      <w:szCs w:val="16"/>
    </w:rPr>
  </w:style>
  <w:style w:type="paragraph" w:styleId="CommentText">
    <w:name w:val="annotation text"/>
    <w:basedOn w:val="Normal"/>
    <w:link w:val="CommentTextChar"/>
    <w:uiPriority w:val="99"/>
    <w:unhideWhenUsed/>
    <w:rsid w:val="00FC6DFC"/>
    <w:pPr>
      <w:ind w:left="357"/>
    </w:pPr>
    <w:rPr>
      <w:rFonts w:cstheme="minorBidi"/>
      <w:sz w:val="20"/>
      <w:szCs w:val="20"/>
    </w:rPr>
  </w:style>
  <w:style w:type="character" w:customStyle="1" w:styleId="CommentTextChar">
    <w:name w:val="Comment Text Char"/>
    <w:basedOn w:val="DefaultParagraphFont"/>
    <w:link w:val="CommentText"/>
    <w:uiPriority w:val="99"/>
    <w:rsid w:val="00FC6DFC"/>
    <w:rPr>
      <w:rFonts w:ascii="Times New Roman" w:hAnsi="Times New Roman"/>
      <w:sz w:val="20"/>
      <w:szCs w:val="20"/>
      <w:lang w:val="fr-FR"/>
    </w:rPr>
  </w:style>
  <w:style w:type="character" w:customStyle="1" w:styleId="Mention">
    <w:name w:val="Mention"/>
    <w:basedOn w:val="DefaultParagraphFont"/>
    <w:uiPriority w:val="99"/>
    <w:unhideWhenUsed/>
    <w:rsid w:val="00FC6DFC"/>
    <w:rPr>
      <w:color w:val="2B579A"/>
      <w:shd w:val="clear" w:color="auto" w:fill="E1DFDD"/>
    </w:rPr>
  </w:style>
  <w:style w:type="paragraph" w:styleId="ListNumber">
    <w:name w:val="List Number"/>
    <w:basedOn w:val="Normal"/>
    <w:uiPriority w:val="99"/>
    <w:unhideWhenUsed/>
    <w:rsid w:val="00FC6DFC"/>
    <w:pPr>
      <w:numPr>
        <w:numId w:val="1"/>
      </w:numPr>
      <w:tabs>
        <w:tab w:val="clear" w:pos="709"/>
      </w:tabs>
      <w:spacing w:before="0" w:after="160" w:line="279" w:lineRule="auto"/>
      <w:ind w:left="0" w:firstLine="0"/>
      <w:contextualSpacing/>
      <w:jc w:val="left"/>
    </w:pPr>
    <w:rPr>
      <w:rFonts w:asciiTheme="minorHAnsi" w:eastAsiaTheme="minorEastAsia" w:hAnsiTheme="minorHAnsi" w:cstheme="minorBidi"/>
      <w:szCs w:val="24"/>
      <w:lang w:eastAsia="ja-JP"/>
    </w:rPr>
  </w:style>
  <w:style w:type="paragraph" w:customStyle="1" w:styleId="ListNumberLevel2">
    <w:name w:val="List Number (Level 2)"/>
    <w:basedOn w:val="Normal"/>
    <w:rsid w:val="00FC6DFC"/>
    <w:pPr>
      <w:numPr>
        <w:ilvl w:val="1"/>
        <w:numId w:val="1"/>
      </w:numPr>
      <w:tabs>
        <w:tab w:val="clear" w:pos="1417"/>
      </w:tabs>
      <w:spacing w:before="0" w:after="160" w:line="279" w:lineRule="auto"/>
      <w:ind w:left="0" w:firstLine="0"/>
      <w:jc w:val="left"/>
    </w:pPr>
    <w:rPr>
      <w:rFonts w:asciiTheme="minorHAnsi" w:eastAsiaTheme="minorEastAsia" w:hAnsiTheme="minorHAnsi" w:cstheme="minorBidi"/>
      <w:szCs w:val="24"/>
      <w:lang w:eastAsia="ja-JP"/>
    </w:rPr>
  </w:style>
  <w:style w:type="paragraph" w:customStyle="1" w:styleId="ListNumberLevel3">
    <w:name w:val="List Number (Level 3)"/>
    <w:basedOn w:val="Normal"/>
    <w:rsid w:val="00FC6DFC"/>
    <w:pPr>
      <w:numPr>
        <w:ilvl w:val="2"/>
        <w:numId w:val="1"/>
      </w:numPr>
      <w:tabs>
        <w:tab w:val="clear" w:pos="2126"/>
      </w:tabs>
      <w:spacing w:before="0" w:after="160" w:line="279" w:lineRule="auto"/>
      <w:ind w:left="0" w:firstLine="0"/>
      <w:jc w:val="left"/>
    </w:pPr>
    <w:rPr>
      <w:rFonts w:asciiTheme="minorHAnsi" w:eastAsiaTheme="minorEastAsia" w:hAnsiTheme="minorHAnsi" w:cstheme="minorBidi"/>
      <w:szCs w:val="24"/>
      <w:lang w:eastAsia="ja-JP"/>
    </w:rPr>
  </w:style>
  <w:style w:type="paragraph" w:customStyle="1" w:styleId="ListNumberLevel4">
    <w:name w:val="List Number (Level 4)"/>
    <w:basedOn w:val="Normal"/>
    <w:rsid w:val="00FC6DFC"/>
    <w:pPr>
      <w:numPr>
        <w:ilvl w:val="3"/>
        <w:numId w:val="1"/>
      </w:numPr>
      <w:tabs>
        <w:tab w:val="clear" w:pos="2835"/>
      </w:tabs>
      <w:spacing w:before="0" w:after="160" w:line="279" w:lineRule="auto"/>
      <w:ind w:left="0" w:firstLine="0"/>
      <w:jc w:val="left"/>
    </w:pPr>
    <w:rPr>
      <w:rFonts w:asciiTheme="minorHAnsi" w:eastAsiaTheme="minorEastAsia" w:hAnsiTheme="minorHAnsi" w:cstheme="minorBidi"/>
      <w:szCs w:val="24"/>
      <w:lang w:eastAsia="ja-JP"/>
    </w:rPr>
  </w:style>
  <w:style w:type="paragraph" w:customStyle="1" w:styleId="Recital">
    <w:name w:val="Recital"/>
    <w:basedOn w:val="ListNumber"/>
    <w:link w:val="RecitalChar"/>
    <w:qFormat/>
    <w:rsid w:val="00FC6DFC"/>
    <w:pPr>
      <w:tabs>
        <w:tab w:val="num" w:pos="709"/>
      </w:tabs>
      <w:spacing w:before="120" w:after="280" w:line="240" w:lineRule="auto"/>
      <w:ind w:left="709" w:hanging="709"/>
      <w:contextualSpacing w:val="0"/>
      <w:jc w:val="both"/>
    </w:pPr>
    <w:rPr>
      <w:rFonts w:ascii="Times New Roman" w:hAnsi="Times New Roman" w:cs="Times New Roman"/>
      <w:noProof/>
    </w:rPr>
  </w:style>
  <w:style w:type="character" w:customStyle="1" w:styleId="RecitalChar">
    <w:name w:val="Recital Char"/>
    <w:basedOn w:val="DefaultParagraphFont"/>
    <w:link w:val="Recital"/>
    <w:rsid w:val="00FC6DFC"/>
    <w:rPr>
      <w:rFonts w:ascii="Times New Roman" w:eastAsiaTheme="minorEastAsia" w:hAnsi="Times New Roman" w:cs="Times New Roman"/>
      <w:noProof/>
      <w:sz w:val="24"/>
      <w:szCs w:val="24"/>
      <w:lang w:eastAsia="ja-JP"/>
    </w:rPr>
  </w:style>
  <w:style w:type="character" w:customStyle="1" w:styleId="UnresolvedMention">
    <w:name w:val="Unresolved Mention"/>
    <w:basedOn w:val="DefaultParagraphFont"/>
    <w:uiPriority w:val="99"/>
    <w:semiHidden/>
    <w:unhideWhenUsed/>
    <w:rsid w:val="007F077F"/>
    <w:rPr>
      <w:color w:val="605E5C"/>
      <w:shd w:val="clear" w:color="auto" w:fill="E1DFDD"/>
    </w:rPr>
  </w:style>
  <w:style w:type="paragraph" w:styleId="Revision">
    <w:name w:val="Revision"/>
    <w:hidden/>
    <w:uiPriority w:val="99"/>
    <w:semiHidden/>
    <w:rsid w:val="007F077F"/>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1310C5"/>
    <w:pPr>
      <w:ind w:left="0"/>
    </w:pPr>
    <w:rPr>
      <w:rFonts w:cs="Times New Roman"/>
      <w:b/>
      <w:bCs/>
    </w:rPr>
  </w:style>
  <w:style w:type="character" w:customStyle="1" w:styleId="CommentSubjectChar">
    <w:name w:val="Comment Subject Char"/>
    <w:basedOn w:val="CommentTextChar"/>
    <w:link w:val="CommentSubject"/>
    <w:uiPriority w:val="99"/>
    <w:semiHidden/>
    <w:rsid w:val="001310C5"/>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sid w:val="00525379"/>
    <w:rPr>
      <w:color w:val="800080" w:themeColor="followedHyperlink"/>
      <w:u w:val="single"/>
    </w:rPr>
  </w:style>
  <w:style w:type="paragraph" w:styleId="ListBullet">
    <w:name w:val="List Bullet"/>
    <w:basedOn w:val="Normal"/>
    <w:uiPriority w:val="99"/>
    <w:semiHidden/>
    <w:unhideWhenUsed/>
    <w:rsid w:val="002359FA"/>
    <w:pPr>
      <w:numPr>
        <w:numId w:val="2"/>
      </w:numPr>
      <w:contextualSpacing/>
    </w:pPr>
  </w:style>
  <w:style w:type="paragraph" w:styleId="ListBullet2">
    <w:name w:val="List Bullet 2"/>
    <w:basedOn w:val="Normal"/>
    <w:uiPriority w:val="99"/>
    <w:semiHidden/>
    <w:unhideWhenUsed/>
    <w:rsid w:val="002359FA"/>
    <w:pPr>
      <w:numPr>
        <w:numId w:val="3"/>
      </w:numPr>
      <w:contextualSpacing/>
    </w:pPr>
  </w:style>
  <w:style w:type="paragraph" w:styleId="ListBullet3">
    <w:name w:val="List Bullet 3"/>
    <w:basedOn w:val="Normal"/>
    <w:uiPriority w:val="99"/>
    <w:semiHidden/>
    <w:unhideWhenUsed/>
    <w:rsid w:val="002359FA"/>
    <w:pPr>
      <w:numPr>
        <w:numId w:val="4"/>
      </w:numPr>
      <w:contextualSpacing/>
    </w:pPr>
  </w:style>
  <w:style w:type="paragraph" w:styleId="ListBullet4">
    <w:name w:val="List Bullet 4"/>
    <w:basedOn w:val="Normal"/>
    <w:uiPriority w:val="99"/>
    <w:semiHidden/>
    <w:unhideWhenUsed/>
    <w:rsid w:val="002359FA"/>
    <w:pPr>
      <w:numPr>
        <w:numId w:val="5"/>
      </w:numPr>
      <w:contextualSpacing/>
    </w:pPr>
  </w:style>
  <w:style w:type="character" w:customStyle="1" w:styleId="HeaderChar">
    <w:name w:val="Header Char"/>
    <w:basedOn w:val="DefaultParagraphFont"/>
    <w:link w:val="Header"/>
    <w:uiPriority w:val="99"/>
    <w:rsid w:val="00CE0520"/>
    <w:rPr>
      <w:rFonts w:ascii="Times New Roman" w:hAnsi="Times New Roman" w:cs="Times New Roman"/>
      <w:sz w:val="24"/>
      <w:lang w:val="fr-FR"/>
    </w:rPr>
  </w:style>
  <w:style w:type="character" w:customStyle="1" w:styleId="FooterChar">
    <w:name w:val="Footer Char"/>
    <w:basedOn w:val="DefaultParagraphFont"/>
    <w:link w:val="Footer"/>
    <w:uiPriority w:val="99"/>
    <w:rsid w:val="00CE052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CE052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E0520"/>
    <w:pPr>
      <w:spacing w:before="0"/>
      <w:jc w:val="right"/>
    </w:pPr>
    <w:rPr>
      <w:sz w:val="28"/>
    </w:rPr>
  </w:style>
  <w:style w:type="paragraph" w:customStyle="1" w:styleId="FooterSensitivity">
    <w:name w:val="Footer Sensitivity"/>
    <w:basedOn w:val="Normal"/>
    <w:rsid w:val="00CE052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E0520"/>
    <w:pPr>
      <w:tabs>
        <w:tab w:val="center" w:pos="4535"/>
        <w:tab w:val="right" w:pos="9071"/>
      </w:tabs>
      <w:spacing w:before="0"/>
    </w:pPr>
  </w:style>
  <w:style w:type="paragraph" w:customStyle="1" w:styleId="HeaderLandscape">
    <w:name w:val="HeaderLandscape"/>
    <w:basedOn w:val="Normal"/>
    <w:rsid w:val="00CE0520"/>
    <w:pPr>
      <w:tabs>
        <w:tab w:val="center" w:pos="7285"/>
        <w:tab w:val="right" w:pos="14003"/>
      </w:tabs>
      <w:spacing w:before="0"/>
    </w:pPr>
  </w:style>
  <w:style w:type="paragraph" w:styleId="Footer">
    <w:name w:val="footer"/>
    <w:basedOn w:val="Normal"/>
    <w:link w:val="FooterChar"/>
    <w:uiPriority w:val="99"/>
    <w:unhideWhenUsed/>
    <w:rsid w:val="00CE052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E052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economic-governance-framework/stability-and-growth-pact/corrective-arm-excessive-deficit-procedure/excessive-deficit-procedures-overview/Malta_en?prefLang=fr&amp;etrans=fr" TargetMode="External"/><Relationship Id="rId2" Type="http://schemas.openxmlformats.org/officeDocument/2006/relationships/hyperlink" Target="http://data.europa.eu/eli/dec/2024/2128/oj" TargetMode="External"/><Relationship Id="rId1" Type="http://schemas.openxmlformats.org/officeDocument/2006/relationships/hyperlink" Target="http://data.europa.eu/eli/reg/1997/1467/2024-04-30" TargetMode="External"/><Relationship Id="rId5" Type="http://schemas.openxmlformats.org/officeDocument/2006/relationships/hyperlink" Target="https://ec.europa.eu/eurostat/web/products-euro-indicators/w/2-22042026-ap?etrans=fr" TargetMode="External"/><Relationship Id="rId4" Type="http://schemas.openxmlformats.org/officeDocument/2006/relationships/hyperlink" Target="http://data.europa.eu/eli/C/2025/64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248cd52f-b46b-4611-a611-1f804cc55ba9" xsi:nil="true"/>
    <Doctype xmlns="248cd52f-b46b-4611-a611-1f804cc55ba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4D908-51A2-42BE-AE0A-E0E3FBF90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9D2717-DA7E-4665-84DC-F3CB18B2930F}">
  <ds:schemaRef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http://purl.org/dc/terms/"/>
    <ds:schemaRef ds:uri="ee00aed3-c832-4f67-975b-fd0d79c6c939"/>
    <ds:schemaRef ds:uri="248cd52f-b46b-4611-a611-1f804cc55ba9"/>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5AF7594E-ED10-4C4C-A88C-D87ED1AF8622}">
  <ds:schemaRefs>
    <ds:schemaRef ds:uri="http://schemas.microsoft.com/sharepoint/v3/contenttype/forms"/>
  </ds:schemaRefs>
</ds:datastoreItem>
</file>

<file path=customXml/itemProps4.xml><?xml version="1.0" encoding="utf-8"?>
<ds:datastoreItem xmlns:ds="http://schemas.openxmlformats.org/officeDocument/2006/customXml" ds:itemID="{D5F4890E-0522-4D29-BC56-4121F6752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30</TotalTime>
  <Pages>5</Pages>
  <Words>1237</Words>
  <Characters>7052</Characters>
  <Application>Microsoft Office Word</Application>
  <DocSecurity>0</DocSecurity>
  <Lines>58</Lines>
  <Paragraphs>16</Paragraphs>
  <ScaleCrop>false</ScaleCrop>
  <Manager/>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2026-06-02T08:47:00Z</dcterms:created>
  <dcterms:modified xsi:type="dcterms:W3CDTF">2026-06-08T08:31:00Z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2026-04-24T09:06:32Z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bb18bd2b-312e-4c73-8fd6-f6c35c51ae2d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0x010100756BF9CE7B864144AB9135903AF2016F</vt:lpwstr>
  </property>
  <property fmtid="{D5CDD505-2E9C-101B-9397-08002B2CF9AE}" pid="19" name="DQCStatus">
    <vt:lpwstr>Green (DQC version 03)</vt:lpwstr>
  </property>
</Properties>
</file>