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377D0C" w14:textId="7822EDB4" w:rsidR="008B6986" w:rsidRPr="00C34ED4" w:rsidRDefault="00733032" w:rsidP="00733032">
      <w:pPr>
        <w:pStyle w:val="Pagedecouverture"/>
        <w:rPr>
          <w:noProof/>
        </w:rPr>
      </w:pPr>
      <w:r>
        <w:rPr>
          <w:noProof/>
        </w:rPr>
        <w:pict w14:anchorId="62C8D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4FDC476-E264-429B-88EE-B2C4ED54236A" style="width:455.25pt;height:330.75pt">
            <v:imagedata r:id="rId11" o:title=""/>
          </v:shape>
        </w:pict>
      </w:r>
    </w:p>
    <w:p w14:paraId="061BDA03" w14:textId="0C5BB83E" w:rsidR="00B61B74" w:rsidRPr="00C34ED4" w:rsidRDefault="00B61B74" w:rsidP="00B61B74">
      <w:pPr>
        <w:rPr>
          <w:noProof/>
        </w:rPr>
        <w:sectPr w:rsidR="00B61B74" w:rsidRPr="00C34ED4" w:rsidSect="00733032">
          <w:footerReference w:type="even" r:id="rId12"/>
          <w:footerReference w:type="default" r:id="rId13"/>
          <w:pgSz w:w="11907" w:h="16839"/>
          <w:pgMar w:top="1134" w:right="1417" w:bottom="1134" w:left="1417" w:header="709" w:footer="709" w:gutter="0"/>
          <w:pgNumType w:start="0"/>
          <w:cols w:space="720"/>
          <w:docGrid w:linePitch="360"/>
        </w:sectPr>
      </w:pPr>
    </w:p>
    <w:p w14:paraId="758751E5" w14:textId="41527BE2" w:rsidR="00CD37F0" w:rsidRPr="00C34ED4" w:rsidRDefault="005A0056" w:rsidP="005A0056">
      <w:pPr>
        <w:pStyle w:val="Statut"/>
        <w:rPr>
          <w:noProof/>
        </w:rPr>
      </w:pPr>
      <w:bookmarkStart w:id="0" w:name="_GoBack"/>
      <w:bookmarkEnd w:id="0"/>
      <w:r w:rsidRPr="00C34ED4">
        <w:rPr>
          <w:noProof/>
        </w:rPr>
        <w:lastRenderedPageBreak/>
        <w:t>Recomandare de</w:t>
      </w:r>
    </w:p>
    <w:p w14:paraId="635DAFDB" w14:textId="5EF33110" w:rsidR="00CD37F0" w:rsidRPr="00C34ED4" w:rsidRDefault="005A0056" w:rsidP="005A0056">
      <w:pPr>
        <w:pStyle w:val="Typedudocument"/>
        <w:rPr>
          <w:noProof/>
        </w:rPr>
      </w:pPr>
      <w:r w:rsidRPr="00C34ED4">
        <w:rPr>
          <w:noProof/>
        </w:rPr>
        <w:t>DECIZIE A CONSILIULUI</w:t>
      </w:r>
    </w:p>
    <w:p w14:paraId="1C305388" w14:textId="40D96523" w:rsidR="00CD37F0" w:rsidRPr="00C34ED4" w:rsidRDefault="005A0056" w:rsidP="005A0056">
      <w:pPr>
        <w:pStyle w:val="Titreobjet"/>
        <w:rPr>
          <w:noProof/>
        </w:rPr>
      </w:pPr>
      <w:r w:rsidRPr="00C34ED4">
        <w:rPr>
          <w:noProof/>
        </w:rPr>
        <w:t xml:space="preserve">de abrogare a Deciziei (UE) 2024/2128 a Consiliului privind existența unui deficit excesiv în Malta </w:t>
      </w:r>
      <w:r w:rsidRPr="00C34ED4">
        <w:rPr>
          <w:noProof/>
        </w:rPr>
        <w:br/>
      </w:r>
    </w:p>
    <w:p w14:paraId="05013C43" w14:textId="77777777" w:rsidR="00CD37F0" w:rsidRPr="00C34ED4" w:rsidRDefault="00CD37F0" w:rsidP="00CD37F0">
      <w:pPr>
        <w:pStyle w:val="Institutionquiagit"/>
        <w:rPr>
          <w:noProof/>
        </w:rPr>
      </w:pPr>
      <w:r w:rsidRPr="00C34ED4">
        <w:rPr>
          <w:noProof/>
        </w:rPr>
        <w:t>CONSILIUL UNIUNII EUROPENE,</w:t>
      </w:r>
    </w:p>
    <w:p w14:paraId="1B717E21" w14:textId="77777777" w:rsidR="00FC6DFC" w:rsidRPr="00C34ED4" w:rsidRDefault="00FC6DFC" w:rsidP="00C34ED4">
      <w:pPr>
        <w:pStyle w:val="ManualNumPar1"/>
        <w:spacing w:after="0"/>
        <w:ind w:left="0" w:firstLine="0"/>
        <w:rPr>
          <w:noProof/>
        </w:rPr>
      </w:pPr>
      <w:r w:rsidRPr="00C34ED4">
        <w:rPr>
          <w:noProof/>
        </w:rPr>
        <w:t>având în vedere Tratatul privind funcționarea Uniunii Europene (TFUE), în special articolul 126 alineatul (12),</w:t>
      </w:r>
    </w:p>
    <w:p w14:paraId="6C007CC5" w14:textId="77777777" w:rsidR="00FC6DFC" w:rsidRPr="00C34ED4" w:rsidRDefault="00FC6DFC" w:rsidP="00FC6DFC">
      <w:pPr>
        <w:pStyle w:val="ManualNumPar1"/>
        <w:spacing w:after="0"/>
        <w:rPr>
          <w:noProof/>
        </w:rPr>
      </w:pPr>
      <w:r w:rsidRPr="00C34ED4">
        <w:rPr>
          <w:noProof/>
        </w:rPr>
        <w:t>având în vedere recomandarea Comisiei Europene,</w:t>
      </w:r>
    </w:p>
    <w:p w14:paraId="69BF8807" w14:textId="77777777" w:rsidR="00FC6DFC" w:rsidRPr="00C34ED4" w:rsidRDefault="00FC6DFC" w:rsidP="00FC6DFC">
      <w:pPr>
        <w:pStyle w:val="ManualNumPar1"/>
        <w:spacing w:after="0"/>
        <w:rPr>
          <w:noProof/>
        </w:rPr>
      </w:pPr>
      <w:r w:rsidRPr="00C34ED4">
        <w:rPr>
          <w:noProof/>
        </w:rPr>
        <w:t>întrucât:</w:t>
      </w:r>
    </w:p>
    <w:p w14:paraId="73D2551F" w14:textId="77777777" w:rsidR="00FC6DFC" w:rsidRPr="00C34ED4" w:rsidRDefault="00FC6DFC" w:rsidP="00FC6DFC">
      <w:pPr>
        <w:rPr>
          <w:noProof/>
        </w:rPr>
      </w:pPr>
    </w:p>
    <w:p w14:paraId="67188BA2" w14:textId="77777777" w:rsidR="00FC6DFC" w:rsidRPr="00C34ED4" w:rsidRDefault="00FC6DFC" w:rsidP="00FC6DFC">
      <w:pPr>
        <w:pStyle w:val="Recital"/>
      </w:pPr>
      <w:r w:rsidRPr="00C34ED4">
        <w:t>Articolul 126 alineatul (1) din TFUE prevede că statele membre trebuie să evite deficitele publice excesive.</w:t>
      </w:r>
    </w:p>
    <w:p w14:paraId="33B1ABFB" w14:textId="77777777" w:rsidR="00FC6DFC" w:rsidRPr="00C34ED4" w:rsidRDefault="00FC6DFC" w:rsidP="00FC6DFC">
      <w:pPr>
        <w:pStyle w:val="Recital"/>
      </w:pPr>
      <w:r w:rsidRPr="00C34ED4">
        <w:t>Pactul de stabilitate și de creștere are la bază obiectivul unor finanțe publice solide ca mijloc de consolidare a condițiilor de realizare a stabilității prețurilor și a unei creșteri susținute, durabile și favorabile incluziunii, bazată pe stabilitatea financiară, sprijinind astfel realizarea obiectivelor Uniunii privind creșterea economică durabilă și ocuparea forței de muncă. Pactul de stabilitate și de creștere include Regulamentul (CE) nr. 1467/97 al Consiliului din 7 iulie 1997</w:t>
      </w:r>
      <w:r w:rsidRPr="00C34ED4">
        <w:rPr>
          <w:rStyle w:val="FootnoteReference"/>
        </w:rPr>
        <w:footnoteReference w:id="1"/>
      </w:r>
      <w:r w:rsidRPr="00C34ED4">
        <w:t xml:space="preserve"> privind accelerarea și clarificarea aplicării procedurii de deficit excesiv, care a fost adoptat cu scopul de a favoriza corectarea rapidă a deficitelor publice excesive.</w:t>
      </w:r>
    </w:p>
    <w:p w14:paraId="421F85C3" w14:textId="77777777" w:rsidR="00FC6DFC" w:rsidRPr="00C34ED4" w:rsidRDefault="00FC6DFC" w:rsidP="00FC6DFC">
      <w:pPr>
        <w:pStyle w:val="Recital"/>
      </w:pPr>
      <w:r w:rsidRPr="00C34ED4">
        <w:t>La 26 iulie 2024, Consiliul a adoptat Decizia (UE) 2024/2128</w:t>
      </w:r>
      <w:r w:rsidRPr="00C34ED4">
        <w:rPr>
          <w:rStyle w:val="FootnoteReference"/>
        </w:rPr>
        <w:footnoteReference w:id="2"/>
      </w:r>
      <w:r w:rsidRPr="00C34ED4">
        <w:t xml:space="preserve"> în temeiul articolului 126 alineatul (6) din TFUE privind existența unui deficit excesiv în Malta cauzat de nerespectarea criteriului deficitului.</w:t>
      </w:r>
    </w:p>
    <w:p w14:paraId="4E5B71EA" w14:textId="77777777" w:rsidR="00FC6DFC" w:rsidRPr="00C34ED4" w:rsidRDefault="00FC6DFC" w:rsidP="00FC6DFC">
      <w:pPr>
        <w:pStyle w:val="Recital"/>
        <w:ind w:left="720" w:hanging="720"/>
      </w:pPr>
      <w:r w:rsidRPr="00C34ED4">
        <w:t>La 21 ianuarie 2025, Consiliul a adoptat o recomandare în temeiul articolului 126 alineatul (7) din TFUE</w:t>
      </w:r>
      <w:r w:rsidRPr="00C34ED4">
        <w:rPr>
          <w:rStyle w:val="FootnoteReference"/>
        </w:rPr>
        <w:footnoteReference w:id="3"/>
      </w:r>
      <w:r w:rsidRPr="00C34ED4">
        <w:t xml:space="preserve"> cu scopul de a pune capăt situației de deficit public excesiv. Consiliul a recomandat o traiectorie corectivă pentru Malta, în conformitate cu articolul 3 alineatul (4) din Regulamentul (CE) nr. 1467/97, cu următoarele rate maxime de creștere a cheltuielilor nete</w:t>
      </w:r>
      <w:r w:rsidRPr="00C34ED4">
        <w:rPr>
          <w:rStyle w:val="FootnoteReference"/>
        </w:rPr>
        <w:footnoteReference w:id="4"/>
      </w:r>
      <w:r w:rsidRPr="00C34ED4">
        <w:t>: 6,0 % în 2025, 5,8 % în 2026 și 5,8 % în 2027. Acest lucru corespunde ratelor maxime cumulate de creștere, calculate prin raportare la 2023, de 13,8 % în 2025, de 20,4 % în 2026 și de 27,4 % în 2027. Acestea sunt aceleași rate de creștere anuale și cumulate pentru perioada 2025-2027 stabilite în Recomandarea de aprobare a planului bugetar-structural național pe termen mediu al Maltei</w:t>
      </w:r>
      <w:r w:rsidRPr="00C34ED4">
        <w:rPr>
          <w:rStyle w:val="FootnoteReference"/>
        </w:rPr>
        <w:footnoteReference w:id="5"/>
      </w:r>
      <w:r w:rsidRPr="00C34ED4">
        <w:t>. Pe baza previziunilor Comisiei din toamna anului 2024 care au stat la baza prezentei recomandări și a cadrului de proiecție a datoriei publice pe termen mediu al Comisiei, se preconiza că respectarea acestei traiectorii corective va conduce la un deficit care nu va mai depăși valoarea de referință de 3 % din PIB până în 2027.</w:t>
      </w:r>
    </w:p>
    <w:p w14:paraId="252E0350" w14:textId="77777777" w:rsidR="00FC6DFC" w:rsidRPr="00C34ED4" w:rsidRDefault="00FC6DFC" w:rsidP="00FC6DFC">
      <w:pPr>
        <w:pStyle w:val="Recital"/>
      </w:pPr>
      <w:r w:rsidRPr="00C34ED4">
        <w:t>În conformitate cu articolul 126 alineatul (12) din TFUE, o decizie a Consiliului privind existența unui deficit excesiv trebuie abrogată atunci când, din punctul de vedere al Consiliului, deficitul excesiv din statul membru în cauză a fost corectat.</w:t>
      </w:r>
    </w:p>
    <w:p w14:paraId="7141DDB7" w14:textId="77777777" w:rsidR="00FC6DFC" w:rsidRPr="00C34ED4" w:rsidRDefault="00FC6DFC" w:rsidP="00FC6DFC">
      <w:pPr>
        <w:pStyle w:val="Recital"/>
      </w:pPr>
      <w:r w:rsidRPr="00C34ED4">
        <w:t>În conformitate cu articolul 4 din Protocolul nr. 12 privind procedura aplicabilă deficitelor excesive, anexat la Tratatul privind Uniunea Europeană și la TFUE, Comisia furnizează datele necesare pentru punerea în aplicare a procedurii aplicabile deficitelor excesive. În cadrul aplicării protocolului respectiv, statele membre trebuie să raporteze date privind deficitele și datoriile publice și alte variabile conexe de două ori pe an, și anume înainte de 1 aprilie și înainte de 1 octombrie, în conformitate cu articolul 3 din Regulamentul (CE) nr. 479/2009</w:t>
      </w:r>
      <w:r w:rsidRPr="00C34ED4">
        <w:rPr>
          <w:rStyle w:val="FootnoteReference"/>
        </w:rPr>
        <w:footnoteReference w:id="6"/>
      </w:r>
      <w:r w:rsidRPr="00C34ED4">
        <w:t>.</w:t>
      </w:r>
    </w:p>
    <w:p w14:paraId="06E3A487" w14:textId="77777777" w:rsidR="00FC6DFC" w:rsidRPr="00C34ED4" w:rsidRDefault="00FC6DFC" w:rsidP="00FC6DFC">
      <w:pPr>
        <w:pStyle w:val="Recital"/>
      </w:pPr>
      <w:r w:rsidRPr="00C34ED4">
        <w:t>Pe baza datelor furnizate de Comisie, Consiliul ia o decizie de abrogare a deciziei privind existența unui deficit excesiv. O decizie privind existența unui deficit excesiv cauzat de nerespectarea criteriului deficitului trebuie abrogată numai în cazul în care deficitul a fost adus sub valoarea de referință de 3 % din PIB, iar previziunile Comisiei indică faptul că deficitul va rămâne astfel în anul curent și în anul următor, în conformitate cu articolul 8 alineatul (3) din Regulamentul (CE) nr. 1467/97.</w:t>
      </w:r>
    </w:p>
    <w:p w14:paraId="662B8A02" w14:textId="77777777" w:rsidR="00FC6DFC" w:rsidRPr="00C34ED4" w:rsidRDefault="00FC6DFC" w:rsidP="00FC6DFC">
      <w:pPr>
        <w:pStyle w:val="Recital"/>
      </w:pPr>
      <w:r w:rsidRPr="00C34ED4">
        <w:t>Pe baza datelor furnizate de Comisie (Eurostat) în conformitate cu articolul 14 din Regulamentul (CE) nr. 479/2009, în urma notificării efectuate de Malta în aprilie 2026</w:t>
      </w:r>
      <w:r w:rsidRPr="00C34ED4">
        <w:rPr>
          <w:rStyle w:val="FootnoteReference"/>
        </w:rPr>
        <w:footnoteReference w:id="7"/>
      </w:r>
      <w:r w:rsidRPr="00C34ED4">
        <w:t>, și pe baza previziunilor Comisiei din primăvara anului 2026, se pot extrage următoarele concluzii:</w:t>
      </w:r>
    </w:p>
    <w:p w14:paraId="2F5A6D0F" w14:textId="60FC5F94" w:rsidR="00FC6DFC" w:rsidRPr="00C34ED4" w:rsidRDefault="00FC6DFC" w:rsidP="00FC6DFC">
      <w:pPr>
        <w:pStyle w:val="ListNumberLevel3"/>
        <w:tabs>
          <w:tab w:val="num" w:pos="2126"/>
        </w:tabs>
        <w:ind w:left="1065" w:hanging="283"/>
        <w:jc w:val="both"/>
        <w:rPr>
          <w:rFonts w:ascii="Times New Roman" w:hAnsi="Times New Roman"/>
          <w:noProof/>
        </w:rPr>
      </w:pPr>
      <w:r w:rsidRPr="00C34ED4">
        <w:rPr>
          <w:rFonts w:ascii="Times New Roman" w:hAnsi="Times New Roman"/>
          <w:noProof/>
        </w:rPr>
        <w:t>După ce a atins 3,4 % din PIB în 2024, deficitul public a scăzut la 2,2 % din PIB în 2025, situându-se astfel sub valoarea de referință de 3 % din PIB.</w:t>
      </w:r>
      <w:r w:rsidRPr="00C34ED4">
        <w:rPr>
          <w:noProof/>
          <w:color w:val="000000" w:themeColor="text1"/>
        </w:rPr>
        <w:t xml:space="preserve"> </w:t>
      </w:r>
      <w:r w:rsidRPr="00C34ED4">
        <w:rPr>
          <w:rFonts w:ascii="Times New Roman" w:hAnsi="Times New Roman"/>
          <w:noProof/>
          <w:color w:val="000000" w:themeColor="text1"/>
        </w:rPr>
        <w:t>Deficitul public din 2024 a inclus un transfer considerabil de capital către compania aeriană națională. În pofida nerepetării acestui transfer de capital, cheltuielile publice au crescut substanțial în 2025, inclusiv ca urmare a unor creșteri considerabile ale cheltuielilor cu consumul intermediar și cu remunerarea angajaților, precum și a unei cheltuieli cu caracter excepțional generate de o hotărâre judecătorească.</w:t>
      </w:r>
      <w:r w:rsidRPr="00C34ED4">
        <w:rPr>
          <w:rFonts w:ascii="Calibri" w:hAnsi="Calibri"/>
          <w:noProof/>
          <w:color w:val="000000" w:themeColor="text1"/>
          <w:sz w:val="22"/>
        </w:rPr>
        <w:t xml:space="preserve"> </w:t>
      </w:r>
      <w:r w:rsidRPr="00C34ED4">
        <w:rPr>
          <w:rFonts w:ascii="Times New Roman" w:hAnsi="Times New Roman"/>
          <w:noProof/>
        </w:rPr>
        <w:t xml:space="preserve">Prin urmare, scăderea deficitului a fost determinată în principal de creșterea puternică a veniturilor publice, determinată de creșterea PIB-ului nominal și de veniturile fiscale excepționale semnificative. În comparație cu deficitul prevăzut pentru 2025 în notificarea din octombrie 2025, deficitul din 2025 a fost cu 1,1 puncte procentuale din PIB mai scăzut, ca urmare a cheltuielilor de investiții mai mici decât cele planificate și a veniturilor mai mari decât se preconizase provenite din impozitarea întreprinderilor. </w:t>
      </w:r>
    </w:p>
    <w:p w14:paraId="3B16955E" w14:textId="77777777" w:rsidR="00FC6DFC" w:rsidRPr="00C34ED4" w:rsidRDefault="00FC6DFC" w:rsidP="00FC6DFC">
      <w:pPr>
        <w:pStyle w:val="ListNumberLevel3"/>
        <w:tabs>
          <w:tab w:val="num" w:pos="2126"/>
        </w:tabs>
        <w:ind w:left="1065" w:hanging="283"/>
        <w:jc w:val="both"/>
        <w:rPr>
          <w:rFonts w:ascii="Times New Roman" w:hAnsi="Times New Roman"/>
          <w:noProof/>
        </w:rPr>
      </w:pPr>
      <w:r w:rsidRPr="00C34ED4">
        <w:rPr>
          <w:rFonts w:ascii="Times New Roman" w:hAnsi="Times New Roman"/>
          <w:noProof/>
        </w:rPr>
        <w:t>Previziunile Comisiei din primăvara anului 2026 preconizează un deficit de 2,2 % din PIB în 2026 și de 2,1 % din PIB în 2027, indicând astfel că deficitul ar rămâne sub valoarea de referință de 3 % din PIB. Proiecția unei ponderi a deficitului în general stabile reflectă anticipațiile privind continuarea creșterii considerabile a cheltuielilor, inclusiv ca urmare a costului mai ridicat al subvențiilor pentru energie, contrabalansând veniturile mai mari generate de condițiile economice favorabile.</w:t>
      </w:r>
      <w:r w:rsidRPr="00C34ED4">
        <w:rPr>
          <w:rFonts w:ascii="Times New Roman" w:hAnsi="Times New Roman"/>
          <w:iCs/>
          <w:noProof/>
        </w:rPr>
        <w:t xml:space="preserve"> </w:t>
      </w:r>
      <w:r w:rsidRPr="00C34ED4">
        <w:rPr>
          <w:rFonts w:ascii="Times New Roman" w:hAnsi="Times New Roman"/>
          <w:noProof/>
        </w:rPr>
        <w:t>În notificarea din aprilie 2026, Malta a raportat un deficit public planificat pentru 2026 care ar urma să scadă la 1,6 % din PIB.</w:t>
      </w:r>
    </w:p>
    <w:p w14:paraId="6C6D0479" w14:textId="2C341E71" w:rsidR="00FC6DFC" w:rsidRPr="00C34ED4" w:rsidRDefault="00FC6DFC" w:rsidP="00FC6DFC">
      <w:pPr>
        <w:pStyle w:val="Recital"/>
        <w:rPr>
          <w:bCs/>
          <w:shd w:val="clear" w:color="auto" w:fill="C7D4E8"/>
        </w:rPr>
      </w:pPr>
      <w:r w:rsidRPr="00C34ED4">
        <w:t>Pe baza calculelor Comisiei</w:t>
      </w:r>
      <w:r w:rsidRPr="00C34ED4">
        <w:rPr>
          <w:rStyle w:val="FootnoteReference"/>
          <w:rFonts w:eastAsiaTheme="minorHAnsi"/>
        </w:rPr>
        <w:footnoteReference w:id="8"/>
      </w:r>
      <w:r w:rsidRPr="00C34ED4">
        <w:t>, cheltuielile nete ale Maltei au crescut cu 5,6 % în 2025 și cu 22,2 %, cumulat, în 2024 și 2025. Rata de creștere a cheltuielilor nete în 2025 se situează sub rata maximă de creștere anuală recomandată. Cu toate acestea, dacă se iau în considerare împreună anii 2024 și 2025, rata cumulată de creștere a cheltuielilor nete depășește rata maximă de creștere recomandată, ceea ce corespunde unei abateri de 2,3 % din PIB în termeni cumulativi.</w:t>
      </w:r>
      <w:r w:rsidRPr="00C34ED4">
        <w:rPr>
          <w:rFonts w:ascii="Calibri" w:hAnsi="Calibri"/>
          <w:color w:val="FF0000"/>
          <w:sz w:val="22"/>
        </w:rPr>
        <w:t xml:space="preserve"> </w:t>
      </w:r>
      <w:r w:rsidRPr="00C34ED4">
        <w:rPr>
          <w:color w:val="000000" w:themeColor="text1"/>
        </w:rPr>
        <w:t xml:space="preserve">Rata ridicată de creștere a cheltuielilor nete în 2024 a fost determinată de transferul de capital menționat mai sus către compania aeriană națională. </w:t>
      </w:r>
      <w:r w:rsidRPr="00C34ED4">
        <w:t>Se preconizează o creștere a cheltuielilor nete ale Maltei cu 6,1 % în 2026 și cu 29,7 %, cumulat, în 2024, 2025 și 2026. Rate de creștere preconizată a cheltuielilor nete în 2026 depășește rata maximă de creștere recomandată, ceea ce corespunde unei abateri de 0,1 % din PIB în termeni anuali. Dacă se consideră 2024, 2025 și 2026 împreună, rata cumulată preconizată de creștere a cheltuielilor nete depășește rata maximă de creștere recomandată, corespunzând unei abateri de 2,2 % din PIB în termeni cumulativi.</w:t>
      </w:r>
    </w:p>
    <w:p w14:paraId="2D51812E" w14:textId="77777777" w:rsidR="00FC6DFC" w:rsidRPr="00C34ED4" w:rsidRDefault="00FC6DFC" w:rsidP="00FC6DFC">
      <w:pPr>
        <w:pStyle w:val="Recital"/>
      </w:pPr>
      <w:r w:rsidRPr="00C34ED4">
        <w:t>Ponderea datoriei publice în PIB a crescut de la 45,9 % la sfârșitul anului 2024 la 46,4 % din PIB la sfârșitul anului 2025, rămânând astfel sub valoarea de referință de 60 % din PIB. În previziunile Comisiei din primăvara anului 2026 se estimează că aceasta va scădea la 46,2 % până la sfârșitul anului 2026, ca urmare a scăderii deficitului primar și a „efectului bulgărelui de zăpadă” generat de creșterea PIB-ului real și de inflație.</w:t>
      </w:r>
    </w:p>
    <w:p w14:paraId="2AD598DB" w14:textId="7DA147F7" w:rsidR="00FC6DFC" w:rsidRPr="00C34ED4" w:rsidRDefault="00FC6DFC" w:rsidP="00FC6DFC">
      <w:pPr>
        <w:pStyle w:val="Recital"/>
        <w:widowControl w:val="0"/>
      </w:pPr>
      <w:r w:rsidRPr="00C34ED4">
        <w:t>În opinia Consiliului, deficitul excesiv din Malta a fost corectat, iar Decizia (UE) 2024/2128 trebuie abrogată în consecință,</w:t>
      </w:r>
    </w:p>
    <w:p w14:paraId="5F55C68C" w14:textId="28A9F388" w:rsidR="00FC6DFC" w:rsidRPr="00C34ED4" w:rsidRDefault="00FC6DFC" w:rsidP="00FC6DFC">
      <w:pPr>
        <w:pStyle w:val="Recital"/>
      </w:pPr>
      <w:r w:rsidRPr="00C34ED4">
        <w:t>Abrogarea Deciziei (UE 2024/2128 a Consiliului face ca Recomandarea Consiliului din 26 iulie 2024 în temeiul articolului 126 alineatul (7) din TFUE să devină caducă. În schimb, Recomandarea Consiliului din 21 ianuarie 2025 de aprobare a planului bugetar-structural național pe termen mediu al Maltei continuă să se aplice; prin urmare, Malta trebuie să se asigure că creșterea cheltuielilor nete nu depășește valorile maxime recomandate prevăzute la punctul 1 și în anexa I la recomandarea respectivă a Consiliului.</w:t>
      </w:r>
    </w:p>
    <w:p w14:paraId="78AEE384" w14:textId="77777777" w:rsidR="00CD37F0" w:rsidRPr="00C34ED4" w:rsidRDefault="00CD37F0" w:rsidP="00CD37F0">
      <w:pPr>
        <w:pStyle w:val="Formuledadoption"/>
        <w:rPr>
          <w:noProof/>
        </w:rPr>
      </w:pPr>
      <w:r w:rsidRPr="00C34ED4">
        <w:rPr>
          <w:noProof/>
        </w:rPr>
        <w:t xml:space="preserve">ADOPTĂ PREZENTA DECIZIE: </w:t>
      </w:r>
    </w:p>
    <w:p w14:paraId="685B260D" w14:textId="77777777" w:rsidR="00CD37F0" w:rsidRPr="00C34ED4" w:rsidRDefault="00CD37F0" w:rsidP="00CD37F0">
      <w:pPr>
        <w:pStyle w:val="Titrearticle"/>
        <w:rPr>
          <w:noProof/>
        </w:rPr>
      </w:pPr>
      <w:r w:rsidRPr="00C34ED4">
        <w:rPr>
          <w:noProof/>
        </w:rPr>
        <w:t>Articolul 1</w:t>
      </w:r>
    </w:p>
    <w:p w14:paraId="0BCFBE88" w14:textId="77777777" w:rsidR="00FC6DFC" w:rsidRPr="00C34ED4" w:rsidRDefault="00FC6DFC" w:rsidP="00FC6DFC">
      <w:pPr>
        <w:rPr>
          <w:noProof/>
          <w:szCs w:val="24"/>
        </w:rPr>
      </w:pPr>
      <w:r w:rsidRPr="00C34ED4">
        <w:rPr>
          <w:noProof/>
        </w:rPr>
        <w:t xml:space="preserve">În urma unei evaluări globale rezultă că situația deficitului excesiv în Malta a fost corectată. </w:t>
      </w:r>
    </w:p>
    <w:p w14:paraId="3BCD19E9" w14:textId="77777777" w:rsidR="00FC6DFC" w:rsidRPr="00C34ED4" w:rsidRDefault="00FC6DFC" w:rsidP="00FC6DFC">
      <w:pPr>
        <w:pStyle w:val="Titrearticle"/>
        <w:outlineLvl w:val="0"/>
        <w:rPr>
          <w:noProof/>
        </w:rPr>
      </w:pPr>
      <w:r w:rsidRPr="00C34ED4">
        <w:rPr>
          <w:noProof/>
        </w:rPr>
        <w:t>Articolul 2</w:t>
      </w:r>
    </w:p>
    <w:p w14:paraId="4667C374" w14:textId="477B420C" w:rsidR="00FC6DFC" w:rsidRPr="00C34ED4" w:rsidRDefault="00FC6DFC" w:rsidP="00FC6DFC">
      <w:pPr>
        <w:rPr>
          <w:noProof/>
          <w:szCs w:val="24"/>
        </w:rPr>
      </w:pPr>
      <w:r w:rsidRPr="00C34ED4">
        <w:rPr>
          <w:noProof/>
        </w:rPr>
        <w:t xml:space="preserve">Decizia (UE) 2024/2128 se abrogă. </w:t>
      </w:r>
    </w:p>
    <w:p w14:paraId="15C221BE" w14:textId="77777777" w:rsidR="00FC6DFC" w:rsidRPr="00C34ED4" w:rsidRDefault="00FC6DFC" w:rsidP="00FC6DFC">
      <w:pPr>
        <w:rPr>
          <w:noProof/>
          <w:szCs w:val="24"/>
        </w:rPr>
      </w:pPr>
    </w:p>
    <w:p w14:paraId="53953F61" w14:textId="77777777" w:rsidR="00FC6DFC" w:rsidRPr="00C34ED4" w:rsidRDefault="00FC6DFC" w:rsidP="00FC6DFC">
      <w:pPr>
        <w:pStyle w:val="Titrearticle"/>
        <w:outlineLvl w:val="0"/>
        <w:rPr>
          <w:noProof/>
        </w:rPr>
      </w:pPr>
      <w:r w:rsidRPr="00C34ED4">
        <w:rPr>
          <w:noProof/>
        </w:rPr>
        <w:t>Articolul 3</w:t>
      </w:r>
    </w:p>
    <w:p w14:paraId="1FAD3F69" w14:textId="77777777" w:rsidR="00FC6DFC" w:rsidRPr="00C34ED4" w:rsidRDefault="00FC6DFC" w:rsidP="00FC6DFC">
      <w:pPr>
        <w:keepNext/>
        <w:keepLines/>
        <w:rPr>
          <w:noProof/>
          <w:szCs w:val="24"/>
        </w:rPr>
      </w:pPr>
      <w:r w:rsidRPr="00C34ED4">
        <w:rPr>
          <w:noProof/>
        </w:rPr>
        <w:t>Prezenta decizie se adresează Republicii Malta.</w:t>
      </w:r>
    </w:p>
    <w:p w14:paraId="54666A72" w14:textId="77777777" w:rsidR="00FC6DFC" w:rsidRPr="00C34ED4" w:rsidRDefault="00FC6DFC" w:rsidP="009D6D7F">
      <w:pPr>
        <w:rPr>
          <w:noProof/>
        </w:rPr>
      </w:pPr>
    </w:p>
    <w:p w14:paraId="780E864E" w14:textId="77777777" w:rsidR="00FC6DFC" w:rsidRPr="00C34ED4" w:rsidRDefault="00FC6DFC" w:rsidP="009D6D7F">
      <w:pPr>
        <w:rPr>
          <w:noProof/>
        </w:rPr>
      </w:pPr>
    </w:p>
    <w:p w14:paraId="604357F1" w14:textId="1B65707D" w:rsidR="00FC6DFC" w:rsidRPr="00C34ED4" w:rsidRDefault="005A0056" w:rsidP="000B0D62">
      <w:pPr>
        <w:pStyle w:val="Fait"/>
        <w:rPr>
          <w:noProof/>
        </w:rPr>
      </w:pPr>
      <w:r>
        <w:rPr>
          <w:noProof/>
        </w:rPr>
        <w:t>Adoptată la Bruxelles,</w:t>
      </w:r>
    </w:p>
    <w:p w14:paraId="1291B143" w14:textId="77777777" w:rsidR="00CD37F0" w:rsidRPr="00C34ED4" w:rsidRDefault="00FC6DFC" w:rsidP="000B0D62">
      <w:pPr>
        <w:pStyle w:val="Institutionquisigne"/>
        <w:rPr>
          <w:noProof/>
        </w:rPr>
      </w:pPr>
      <w:r w:rsidRPr="00C34ED4">
        <w:rPr>
          <w:noProof/>
        </w:rPr>
        <w:tab/>
        <w:t>Pentru Consiliu</w:t>
      </w:r>
    </w:p>
    <w:p w14:paraId="7A4A22B7" w14:textId="77777777" w:rsidR="00CD37F0" w:rsidRPr="00C34ED4" w:rsidRDefault="00CD37F0" w:rsidP="00CD37F0">
      <w:pPr>
        <w:pStyle w:val="Personnequisigne"/>
        <w:rPr>
          <w:noProof/>
        </w:rPr>
      </w:pPr>
      <w:r w:rsidRPr="00C34ED4">
        <w:rPr>
          <w:noProof/>
        </w:rPr>
        <w:tab/>
        <w:t>Președintele</w:t>
      </w:r>
    </w:p>
    <w:sectPr w:rsidR="00CD37F0" w:rsidRPr="00C34ED4" w:rsidSect="0073303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EEC266" w14:textId="77777777" w:rsidR="0086109A" w:rsidRPr="00C34ED4" w:rsidRDefault="0086109A" w:rsidP="008B6986">
      <w:pPr>
        <w:spacing w:before="0" w:after="0"/>
      </w:pPr>
      <w:r w:rsidRPr="00C34ED4">
        <w:separator/>
      </w:r>
    </w:p>
  </w:endnote>
  <w:endnote w:type="continuationSeparator" w:id="0">
    <w:p w14:paraId="1EC5F832" w14:textId="77777777" w:rsidR="0086109A" w:rsidRPr="00C34ED4" w:rsidRDefault="0086109A" w:rsidP="008B6986">
      <w:pPr>
        <w:spacing w:before="0" w:after="0"/>
      </w:pPr>
      <w:r w:rsidRPr="00C34E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337E92" w14:textId="610A3A04" w:rsidR="00733032" w:rsidRPr="00733032" w:rsidRDefault="00733032" w:rsidP="00733032">
    <w:pPr>
      <w:pStyle w:val="Footer"/>
      <w:rPr>
        <w:rFonts w:ascii="Arial" w:hAnsi="Arial" w:cs="Arial"/>
        <w:b/>
        <w:sz w:val="48"/>
      </w:rPr>
    </w:pPr>
    <w:r w:rsidRPr="00733032">
      <w:rPr>
        <w:rFonts w:ascii="Arial" w:hAnsi="Arial" w:cs="Arial"/>
        <w:b/>
        <w:sz w:val="48"/>
      </w:rPr>
      <w:t>RO</w:t>
    </w:r>
    <w:r w:rsidRPr="00733032">
      <w:rPr>
        <w:rFonts w:ascii="Arial" w:hAnsi="Arial" w:cs="Arial"/>
        <w:b/>
        <w:sz w:val="48"/>
      </w:rPr>
      <w:tab/>
    </w:r>
    <w:r w:rsidRPr="00733032">
      <w:rPr>
        <w:rFonts w:ascii="Arial" w:hAnsi="Arial" w:cs="Arial"/>
        <w:b/>
        <w:sz w:val="48"/>
      </w:rPr>
      <w:tab/>
    </w:r>
    <w:r w:rsidRPr="00733032">
      <w:tab/>
    </w:r>
    <w:r w:rsidRPr="0073303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B7C7B" w14:textId="018E1D0C" w:rsidR="00733032" w:rsidRPr="00733032" w:rsidRDefault="00733032" w:rsidP="00733032">
    <w:pPr>
      <w:pStyle w:val="Footer"/>
      <w:rPr>
        <w:rFonts w:ascii="Arial" w:hAnsi="Arial" w:cs="Arial"/>
        <w:b/>
        <w:sz w:val="48"/>
      </w:rPr>
    </w:pPr>
    <w:r w:rsidRPr="00733032">
      <w:rPr>
        <w:rFonts w:ascii="Arial" w:hAnsi="Arial" w:cs="Arial"/>
        <w:b/>
        <w:sz w:val="48"/>
      </w:rPr>
      <w:t>RO</w:t>
    </w:r>
    <w:r w:rsidRPr="00733032">
      <w:rPr>
        <w:rFonts w:ascii="Arial" w:hAnsi="Arial" w:cs="Arial"/>
        <w:b/>
        <w:sz w:val="48"/>
      </w:rPr>
      <w:tab/>
    </w:r>
    <w:r w:rsidRPr="00733032">
      <w:rPr>
        <w:rFonts w:ascii="Arial" w:hAnsi="Arial" w:cs="Arial"/>
        <w:b/>
        <w:sz w:val="48"/>
      </w:rPr>
      <w:tab/>
    </w:r>
    <w:r w:rsidRPr="00733032">
      <w:tab/>
    </w:r>
    <w:r w:rsidRPr="0073303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7D6628" w14:textId="77777777" w:rsidR="00733032" w:rsidRDefault="007330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B6E400" w14:textId="29CBCA33" w:rsidR="00733032" w:rsidRPr="00733032" w:rsidRDefault="00733032" w:rsidP="00733032">
    <w:pPr>
      <w:pStyle w:val="Footer"/>
      <w:rPr>
        <w:rFonts w:ascii="Arial" w:hAnsi="Arial" w:cs="Arial"/>
        <w:b/>
        <w:sz w:val="48"/>
      </w:rPr>
    </w:pPr>
    <w:r w:rsidRPr="00733032">
      <w:rPr>
        <w:rFonts w:ascii="Arial" w:hAnsi="Arial" w:cs="Arial"/>
        <w:b/>
        <w:sz w:val="48"/>
      </w:rPr>
      <w:t>RO</w:t>
    </w:r>
    <w:r w:rsidRPr="00733032">
      <w:rPr>
        <w:rFonts w:ascii="Arial" w:hAnsi="Arial" w:cs="Arial"/>
        <w:b/>
        <w:sz w:val="48"/>
      </w:rPr>
      <w:tab/>
    </w:r>
    <w:r>
      <w:fldChar w:fldCharType="begin"/>
    </w:r>
    <w:r>
      <w:instrText xml:space="preserve"> PAGE  \* MERGEFORMAT </w:instrText>
    </w:r>
    <w:r>
      <w:fldChar w:fldCharType="separate"/>
    </w:r>
    <w:r w:rsidR="000B0D62">
      <w:rPr>
        <w:noProof/>
      </w:rPr>
      <w:t>4</w:t>
    </w:r>
    <w:r>
      <w:fldChar w:fldCharType="end"/>
    </w:r>
    <w:r>
      <w:tab/>
    </w:r>
    <w:r w:rsidRPr="00733032">
      <w:tab/>
    </w:r>
    <w:r w:rsidRPr="0073303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46399" w14:textId="77777777" w:rsidR="00733032" w:rsidRDefault="00733032" w:rsidP="007330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952DCE" w14:textId="77777777" w:rsidR="0086109A" w:rsidRPr="00C34ED4" w:rsidRDefault="0086109A" w:rsidP="008B6986">
      <w:pPr>
        <w:spacing w:before="0" w:after="0"/>
      </w:pPr>
      <w:r w:rsidRPr="00C34ED4">
        <w:separator/>
      </w:r>
    </w:p>
  </w:footnote>
  <w:footnote w:type="continuationSeparator" w:id="0">
    <w:p w14:paraId="73F5391D" w14:textId="77777777" w:rsidR="0086109A" w:rsidRPr="00C34ED4" w:rsidRDefault="0086109A" w:rsidP="008B6986">
      <w:pPr>
        <w:spacing w:before="0" w:after="0"/>
      </w:pPr>
      <w:r w:rsidRPr="00C34ED4">
        <w:continuationSeparator/>
      </w:r>
    </w:p>
  </w:footnote>
  <w:footnote w:id="1">
    <w:p w14:paraId="1D2A53FC" w14:textId="42B2AFE9" w:rsidR="00FC6DFC" w:rsidRPr="00C34ED4" w:rsidRDefault="00FC6DFC" w:rsidP="00FC6DFC">
      <w:pPr>
        <w:pStyle w:val="FootnoteText"/>
        <w:ind w:left="709" w:hanging="352"/>
      </w:pPr>
      <w:r w:rsidRPr="00C34ED4">
        <w:rPr>
          <w:rStyle w:val="FootnoteReference"/>
        </w:rPr>
        <w:footnoteRef/>
      </w:r>
      <w:r w:rsidRPr="00C34ED4">
        <w:tab/>
        <w:t>Regulamentul (CE) nr. 1467/97 al Consiliului din 7 iulie 1997 privind accelerarea și clarificarea aplicării procedurii de deficit excesiv (JO</w:t>
      </w:r>
      <w:r w:rsidR="00C34ED4">
        <w:t> </w:t>
      </w:r>
      <w:r w:rsidRPr="00C34ED4">
        <w:t>L</w:t>
      </w:r>
      <w:r w:rsidR="00C34ED4">
        <w:t> </w:t>
      </w:r>
      <w:r w:rsidRPr="00C34ED4">
        <w:t xml:space="preserve">209, 2.8.1997, ELI: </w:t>
      </w:r>
      <w:hyperlink r:id="rId1" w:tooltip="Oferă acces la acest document prin identificatorul său uniform de resurse ELI." w:history="1">
        <w:r w:rsidRPr="00C34ED4">
          <w:rPr>
            <w:rStyle w:val="Hyperlink"/>
          </w:rPr>
          <w:t>http://data.europa.eu/eli/reg/1997/1467/2024-04-30</w:t>
        </w:r>
      </w:hyperlink>
      <w:r w:rsidRPr="00C34ED4">
        <w:t>), astfel cum a fost modificat ultima dată prin Regulamentul (UE) 2024/1264 al Consiliului din 29 aprilie 2024 (JO</w:t>
      </w:r>
      <w:r w:rsidR="00C34ED4">
        <w:t> </w:t>
      </w:r>
      <w:r w:rsidRPr="00C34ED4">
        <w:t>L, 2024/1264, 30.4.2024).</w:t>
      </w:r>
    </w:p>
  </w:footnote>
  <w:footnote w:id="2">
    <w:p w14:paraId="7BE4B060" w14:textId="6D971BA3" w:rsidR="00FC6DFC" w:rsidRPr="00C34ED4" w:rsidRDefault="00FC6DFC" w:rsidP="00FC6DFC">
      <w:pPr>
        <w:pStyle w:val="FootnoteText"/>
        <w:ind w:hanging="363"/>
      </w:pPr>
      <w:r w:rsidRPr="00C34ED4">
        <w:rPr>
          <w:rStyle w:val="FootnoteReference"/>
        </w:rPr>
        <w:footnoteRef/>
      </w:r>
      <w:r w:rsidRPr="00C34ED4">
        <w:tab/>
        <w:t>Decizia (UE) 2024/2128 a Consiliului din 26 iulie 2024 privind existența unui deficit excesiv în Malta (JO</w:t>
      </w:r>
      <w:r w:rsidR="00C34ED4">
        <w:t> </w:t>
      </w:r>
      <w:r w:rsidRPr="00C34ED4">
        <w:t xml:space="preserve">L, 2024/2128, 1.8.2024, ELI: </w:t>
      </w:r>
      <w:hyperlink r:id="rId2" w:history="1">
        <w:r w:rsidRPr="00C34ED4">
          <w:rPr>
            <w:rStyle w:val="Hyperlink"/>
          </w:rPr>
          <w:t>http://data.europa.eu/eli/dec/2024/2128/oj</w:t>
        </w:r>
      </w:hyperlink>
      <w:r w:rsidRPr="00C34ED4">
        <w:t>).</w:t>
      </w:r>
    </w:p>
  </w:footnote>
  <w:footnote w:id="3">
    <w:p w14:paraId="0F4F5E2C" w14:textId="53D2B808" w:rsidR="00FC6DFC" w:rsidRPr="00C34ED4" w:rsidRDefault="00FC6DFC" w:rsidP="00FC6DFC">
      <w:pPr>
        <w:pStyle w:val="FootnoteText"/>
        <w:ind w:left="709" w:hanging="352"/>
      </w:pPr>
      <w:r w:rsidRPr="00C34ED4">
        <w:rPr>
          <w:rStyle w:val="FootnoteReference"/>
        </w:rPr>
        <w:footnoteRef/>
      </w:r>
      <w:r w:rsidRPr="00C34ED4">
        <w:tab/>
        <w:t xml:space="preserve">Recomandarea Consiliului din 21 ianuarie 2025 cu scopul de a pune capăt situației de deficit excesiv în Malta. Toate documentele referitoare la procedura aplicabilă deficitelor excesive aplicată în cazul Maltei pot fi consultate la adresa: </w:t>
      </w:r>
      <w:hyperlink r:id="rId3" w:history="1">
        <w:r w:rsidRPr="00C34ED4">
          <w:rPr>
            <w:rStyle w:val="Hyperlink"/>
          </w:rPr>
          <w:t>https://economy-finance.ec.europa.eu/economic-governance-framework/stability-and-growth-pact/corrective-arm-excessive-deficit-procedure/excessive-deficit-procedures-overview/Malta_en</w:t>
        </w:r>
      </w:hyperlink>
      <w:r w:rsidRPr="00C34ED4">
        <w:t>.</w:t>
      </w:r>
    </w:p>
  </w:footnote>
  <w:footnote w:id="4">
    <w:p w14:paraId="72DC64DF" w14:textId="4913007C" w:rsidR="00FC6DFC" w:rsidRPr="00C34ED4" w:rsidRDefault="00FC6DFC" w:rsidP="00FC6DFC">
      <w:pPr>
        <w:pStyle w:val="FootnoteText"/>
        <w:ind w:left="709" w:hanging="352"/>
      </w:pPr>
      <w:r w:rsidRPr="00C34ED4">
        <w:rPr>
          <w:rStyle w:val="FootnoteReference"/>
        </w:rPr>
        <w:footnoteRef/>
      </w:r>
      <w:r w:rsidRPr="00C34ED4">
        <w:tab/>
        <w:t>Conform articolului 2 punctul 2 din Regulamentul (UE) 2024/1263, „cheltuieli nete” înseamnă cheltuielile publice, excluzând cheltuielile cu dobânzile, măsurile discreționare privind veniturile, cheltuielile aferente programelor Uniunii acoperite integral de venituri din fondurile Uniunii, cheltuielile naționale cu cofinanțarea programelor finanțate de Uniune, elementele ciclice ale cheltuielilor cu indemnizațiile de șomaj și măsurile cu caracter excepțional, precum și alte măsuri temporare.</w:t>
      </w:r>
    </w:p>
  </w:footnote>
  <w:footnote w:id="5">
    <w:p w14:paraId="0C16A345" w14:textId="451D8A8D" w:rsidR="00FC6DFC" w:rsidRPr="00C34ED4" w:rsidRDefault="00FC6DFC" w:rsidP="00FC6DFC">
      <w:pPr>
        <w:pStyle w:val="FootnoteText"/>
        <w:ind w:left="709" w:hanging="352"/>
      </w:pPr>
      <w:r w:rsidRPr="00C34ED4">
        <w:rPr>
          <w:rStyle w:val="FootnoteReference"/>
        </w:rPr>
        <w:footnoteRef/>
      </w:r>
      <w:r w:rsidRPr="00C34ED4">
        <w:tab/>
        <w:t>Recomandarea Consiliului din 21 ianuarie 2025 de aprobare a planului bugetar-structural național pe termen mediu al Maltei (JO</w:t>
      </w:r>
      <w:r w:rsidR="00C34ED4">
        <w:t> </w:t>
      </w:r>
      <w:r w:rsidRPr="00C34ED4">
        <w:t>C, C/2025/649, 10.2.2025, ELI: </w:t>
      </w:r>
      <w:hyperlink r:id="rId4" w:tooltip="Oferă acces la acest document prin identificatorul său uniform de resurse ELI." w:history="1">
        <w:r w:rsidRPr="00C34ED4">
          <w:rPr>
            <w:rStyle w:val="Hyperlink"/>
          </w:rPr>
          <w:t>http://data.europa.eu/eli/C/2025/649/oj</w:t>
        </w:r>
      </w:hyperlink>
      <w:r w:rsidRPr="00C34ED4">
        <w:t>).</w:t>
      </w:r>
    </w:p>
  </w:footnote>
  <w:footnote w:id="6">
    <w:p w14:paraId="5B82430A" w14:textId="0F2F99E9" w:rsidR="00FC6DFC" w:rsidRPr="00C34ED4" w:rsidRDefault="00FC6DFC" w:rsidP="00FC6DFC">
      <w:pPr>
        <w:pStyle w:val="FootnoteText"/>
        <w:ind w:left="709" w:hanging="352"/>
      </w:pPr>
      <w:r w:rsidRPr="00C34ED4">
        <w:rPr>
          <w:rStyle w:val="FootnoteReference"/>
        </w:rPr>
        <w:footnoteRef/>
      </w:r>
      <w:r w:rsidRPr="00C34ED4">
        <w:tab/>
        <w:t>Regulamentul (CE) nr. 479/2009 al Consiliului din 25 mai 2009 privind aplicarea Protocolului privind procedura aplicabilă deficitelor excesive anexat la Tratatul de instituire a Comunității Europene (JO</w:t>
      </w:r>
      <w:r w:rsidR="00C34ED4">
        <w:t> </w:t>
      </w:r>
      <w:r w:rsidRPr="00C34ED4">
        <w:t>L 145, 10.6.2009, p. 1), astfel cum a fost modificat ultima dată prin Regulamentul (UE) nr. 220/2014 al Comisiei din 7 martie 2014 (JO</w:t>
      </w:r>
      <w:r w:rsidR="00C34ED4">
        <w:t> </w:t>
      </w:r>
      <w:r w:rsidRPr="00C34ED4">
        <w:t>L 69, 8.3.2014, p. 101).</w:t>
      </w:r>
    </w:p>
  </w:footnote>
  <w:footnote w:id="7">
    <w:p w14:paraId="2F52C095" w14:textId="3D069A9D" w:rsidR="00FC6DFC" w:rsidRPr="00C34ED4" w:rsidRDefault="00FC6DFC" w:rsidP="00FC6DFC">
      <w:pPr>
        <w:pStyle w:val="FootnoteText"/>
        <w:ind w:left="709" w:hanging="352"/>
      </w:pPr>
      <w:r w:rsidRPr="00C34ED4">
        <w:rPr>
          <w:rStyle w:val="FootnoteReference"/>
        </w:rPr>
        <w:footnoteRef/>
      </w:r>
      <w:r w:rsidRPr="00C34ED4">
        <w:tab/>
        <w:t xml:space="preserve">A se vedea Eurostat Euro Indicators din 22 aprilie 2026, </w:t>
      </w:r>
      <w:hyperlink r:id="rId5" w:history="1">
        <w:r w:rsidRPr="00C34ED4">
          <w:rPr>
            <w:rStyle w:val="Hyperlink"/>
          </w:rPr>
          <w:t>https://ec.europa.eu/eurostat/web/products-euro-indicators/w/2-22042026-ap</w:t>
        </w:r>
      </w:hyperlink>
      <w:r w:rsidR="00C34ED4">
        <w:t>.</w:t>
      </w:r>
    </w:p>
  </w:footnote>
  <w:footnote w:id="8">
    <w:p w14:paraId="14B2E7D4" w14:textId="1A3C0CAD" w:rsidR="00FC6DFC" w:rsidRPr="00D54F80" w:rsidRDefault="00FC6DFC" w:rsidP="00FC6DFC">
      <w:pPr>
        <w:pStyle w:val="FootnoteText"/>
        <w:ind w:left="709" w:hanging="352"/>
      </w:pPr>
      <w:r w:rsidRPr="00C34ED4">
        <w:rPr>
          <w:rStyle w:val="FootnoteReference"/>
        </w:rPr>
        <w:footnoteRef/>
      </w:r>
      <w:r w:rsidRPr="00C34ED4">
        <w:tab/>
      </w:r>
      <w:r w:rsidRPr="00C34ED4">
        <w:rPr>
          <w:i/>
          <w:iCs/>
        </w:rPr>
        <w:t>Fiscal Statistical Tables providing background data relevant for the assessment of the budgetary policies of the Member States</w:t>
      </w:r>
      <w:r w:rsidRPr="00C34ED4">
        <w:t xml:space="preserve"> (Tabele statistice fiscale care oferă date generale relevante pentru evaluarea politicilor bugetare ale statelor membre), SWD(2026) 200 final, Bruxelles, 3.6.2026.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3A5BA" w14:textId="77777777" w:rsidR="00733032" w:rsidRDefault="007330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7833C" w14:textId="77777777" w:rsidR="00733032" w:rsidRDefault="007330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270F78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AE0BC56"/>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DCE70A6"/>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974B05A"/>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929642C"/>
    <w:multiLevelType w:val="multilevel"/>
    <w:tmpl w:val="DA80F4B4"/>
    <w:lvl w:ilvl="0">
      <w:start w:val="1"/>
      <w:numFmt w:val="decimal"/>
      <w:lvlRestart w:val="0"/>
      <w:pStyle w:val="ListNumber"/>
      <w:lvlText w:val="(%1)"/>
      <w:lvlJc w:val="left"/>
      <w:pPr>
        <w:tabs>
          <w:tab w:val="num" w:pos="709"/>
        </w:tabs>
        <w:ind w:left="709" w:hanging="709"/>
      </w:pPr>
      <w:rPr>
        <w:rFonts w:cs="Times New Roman"/>
        <w:color w:val="auto"/>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num>
  <w:num w:numId="2">
    <w:abstractNumId w:val="3"/>
  </w:num>
  <w:num w:numId="3">
    <w:abstractNumId w:val="2"/>
  </w:num>
  <w:num w:numId="4">
    <w:abstractNumId w:val="1"/>
  </w:num>
  <w:num w:numId="5">
    <w:abstractNumId w:val="0"/>
  </w:num>
  <w:num w:numId="6">
    <w:abstractNumId w:val="16"/>
  </w:num>
  <w:num w:numId="7">
    <w:abstractNumId w:val="9"/>
  </w:num>
  <w:num w:numId="8">
    <w:abstractNumId w:val="18"/>
  </w:num>
  <w:num w:numId="9">
    <w:abstractNumId w:val="8"/>
  </w:num>
  <w:num w:numId="10">
    <w:abstractNumId w:val="10"/>
  </w:num>
  <w:num w:numId="11">
    <w:abstractNumId w:val="11"/>
  </w:num>
  <w:num w:numId="12">
    <w:abstractNumId w:val="6"/>
  </w:num>
  <w:num w:numId="13">
    <w:abstractNumId w:val="17"/>
  </w:num>
  <w:num w:numId="14">
    <w:abstractNumId w:val="5"/>
  </w:num>
  <w:num w:numId="15">
    <w:abstractNumId w:val="12"/>
  </w:num>
  <w:num w:numId="16">
    <w:abstractNumId w:val="14"/>
  </w:num>
  <w:num w:numId="17">
    <w:abstractNumId w:val="15"/>
  </w:num>
  <w:num w:numId="18">
    <w:abstractNumId w:val="7"/>
  </w:num>
  <w:num w:numId="19">
    <w:abstractNumId w:val="13"/>
  </w:num>
  <w:num w:numId="20">
    <w:abstractNumId w:val="19"/>
  </w:num>
  <w:num w:numId="21">
    <w:abstractNumId w:val="16"/>
  </w:num>
  <w:num w:numId="22">
    <w:abstractNumId w:val="9"/>
  </w:num>
  <w:num w:numId="23">
    <w:abstractNumId w:val="18"/>
  </w:num>
  <w:num w:numId="24">
    <w:abstractNumId w:val="8"/>
  </w:num>
  <w:num w:numId="25">
    <w:abstractNumId w:val="10"/>
  </w:num>
  <w:num w:numId="26">
    <w:abstractNumId w:val="11"/>
  </w:num>
  <w:num w:numId="27">
    <w:abstractNumId w:val="6"/>
  </w:num>
  <w:num w:numId="28">
    <w:abstractNumId w:val="17"/>
  </w:num>
  <w:num w:numId="29">
    <w:abstractNumId w:val="5"/>
  </w:num>
  <w:num w:numId="30">
    <w:abstractNumId w:val="12"/>
  </w:num>
  <w:num w:numId="31">
    <w:abstractNumId w:val="14"/>
  </w:num>
  <w:num w:numId="32">
    <w:abstractNumId w:val="15"/>
  </w:num>
  <w:num w:numId="33">
    <w:abstractNumId w:val="7"/>
  </w:num>
  <w:num w:numId="34">
    <w:abstractNumId w:val="13"/>
  </w:num>
  <w:num w:numId="35">
    <w:abstractNumId w:val="19"/>
  </w:num>
  <w:num w:numId="36">
    <w:abstractNumId w:val="16"/>
  </w:num>
  <w:num w:numId="37">
    <w:abstractNumId w:val="9"/>
  </w:num>
  <w:num w:numId="38">
    <w:abstractNumId w:val="18"/>
  </w:num>
  <w:num w:numId="39">
    <w:abstractNumId w:val="8"/>
  </w:num>
  <w:num w:numId="40">
    <w:abstractNumId w:val="10"/>
  </w:num>
  <w:num w:numId="41">
    <w:abstractNumId w:val="11"/>
  </w:num>
  <w:num w:numId="42">
    <w:abstractNumId w:val="6"/>
  </w:num>
  <w:num w:numId="43">
    <w:abstractNumId w:val="17"/>
  </w:num>
  <w:num w:numId="44">
    <w:abstractNumId w:val="5"/>
  </w:num>
  <w:num w:numId="45">
    <w:abstractNumId w:val="12"/>
  </w:num>
  <w:num w:numId="46">
    <w:abstractNumId w:val="14"/>
  </w:num>
  <w:num w:numId="47">
    <w:abstractNumId w:val="15"/>
  </w:num>
  <w:num w:numId="48">
    <w:abstractNumId w:val="7"/>
  </w:num>
  <w:num w:numId="49">
    <w:abstractNumId w:val="13"/>
  </w:num>
  <w:num w:numId="5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8 10:31:4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54FDC476-E264-429B-88EE-B2C4ED54236A"/>
    <w:docVar w:name="LW_COVERPAGE_TYPE" w:val="1"/>
    <w:docVar w:name="LW_CreatedUtc" w:val="2026-04-24T09:02:21.5022710Z"/>
    <w:docVar w:name="LW_CROSSREFERENCE" w:val="&lt;UNUSED&gt;"/>
    <w:docVar w:name="LW_DocType" w:val="COM"/>
    <w:docVar w:name="LW_EMISSION" w:val="3.6.2026"/>
    <w:docVar w:name="LW_EMISSION_ISODATE" w:val="2026-06-03"/>
    <w:docVar w:name="LW_EMISSION_LOCATION" w:val="BRX"/>
    <w:docVar w:name="LW_EMISSION_PREFIX" w:val="Bruxelle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3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de abrogare a Deciziei (UE) 2024/2128 a Consiliului privind existen\u539?a unui deficit excesiv în Malta _x000b_"/>
    <w:docVar w:name="LW_TYPE.DOC.CP" w:val="DECIZIE A CONSILIULUI"/>
    <w:docVar w:name="LwApiVersions" w:val="LW4CoDe 1.24.5.0; LW 9.2, Build 20251112"/>
  </w:docVars>
  <w:rsids>
    <w:rsidRoot w:val="008B6986"/>
    <w:rsid w:val="000001E9"/>
    <w:rsid w:val="000006DD"/>
    <w:rsid w:val="00000996"/>
    <w:rsid w:val="0000345B"/>
    <w:rsid w:val="00003D9E"/>
    <w:rsid w:val="00003FE8"/>
    <w:rsid w:val="00004908"/>
    <w:rsid w:val="00006F39"/>
    <w:rsid w:val="000075EB"/>
    <w:rsid w:val="000104A8"/>
    <w:rsid w:val="00011308"/>
    <w:rsid w:val="00011F02"/>
    <w:rsid w:val="00012845"/>
    <w:rsid w:val="00013244"/>
    <w:rsid w:val="00013C27"/>
    <w:rsid w:val="0001523D"/>
    <w:rsid w:val="00015CE7"/>
    <w:rsid w:val="000164DE"/>
    <w:rsid w:val="0001682D"/>
    <w:rsid w:val="00016AC9"/>
    <w:rsid w:val="0001701B"/>
    <w:rsid w:val="00017922"/>
    <w:rsid w:val="000203A9"/>
    <w:rsid w:val="00020B43"/>
    <w:rsid w:val="0002123F"/>
    <w:rsid w:val="00022FC6"/>
    <w:rsid w:val="0002340E"/>
    <w:rsid w:val="000239A8"/>
    <w:rsid w:val="000239BF"/>
    <w:rsid w:val="00023A64"/>
    <w:rsid w:val="00024578"/>
    <w:rsid w:val="00024770"/>
    <w:rsid w:val="00024CD6"/>
    <w:rsid w:val="00024E30"/>
    <w:rsid w:val="000256B4"/>
    <w:rsid w:val="00026F52"/>
    <w:rsid w:val="00027237"/>
    <w:rsid w:val="00030404"/>
    <w:rsid w:val="000309FE"/>
    <w:rsid w:val="00031EF1"/>
    <w:rsid w:val="00032666"/>
    <w:rsid w:val="00032906"/>
    <w:rsid w:val="00033F0C"/>
    <w:rsid w:val="000346CC"/>
    <w:rsid w:val="000347D3"/>
    <w:rsid w:val="00036D4C"/>
    <w:rsid w:val="00036D4E"/>
    <w:rsid w:val="000373E4"/>
    <w:rsid w:val="0003779B"/>
    <w:rsid w:val="00037D4B"/>
    <w:rsid w:val="00040422"/>
    <w:rsid w:val="00040DDE"/>
    <w:rsid w:val="000415A8"/>
    <w:rsid w:val="00041CD0"/>
    <w:rsid w:val="00042AE2"/>
    <w:rsid w:val="00043368"/>
    <w:rsid w:val="00043F15"/>
    <w:rsid w:val="0004463B"/>
    <w:rsid w:val="00047538"/>
    <w:rsid w:val="00047868"/>
    <w:rsid w:val="00047983"/>
    <w:rsid w:val="00047AC5"/>
    <w:rsid w:val="000505B4"/>
    <w:rsid w:val="00050E3B"/>
    <w:rsid w:val="000512C5"/>
    <w:rsid w:val="000529F3"/>
    <w:rsid w:val="00053975"/>
    <w:rsid w:val="00053BB2"/>
    <w:rsid w:val="00054832"/>
    <w:rsid w:val="000549AE"/>
    <w:rsid w:val="00055C88"/>
    <w:rsid w:val="000560AA"/>
    <w:rsid w:val="000560EC"/>
    <w:rsid w:val="00056B63"/>
    <w:rsid w:val="00056DE3"/>
    <w:rsid w:val="000575C6"/>
    <w:rsid w:val="000578C3"/>
    <w:rsid w:val="00057CE0"/>
    <w:rsid w:val="00060036"/>
    <w:rsid w:val="000601F2"/>
    <w:rsid w:val="000604A3"/>
    <w:rsid w:val="00061147"/>
    <w:rsid w:val="00061A3B"/>
    <w:rsid w:val="00061CC0"/>
    <w:rsid w:val="000630A8"/>
    <w:rsid w:val="0006359D"/>
    <w:rsid w:val="00063BDD"/>
    <w:rsid w:val="00064956"/>
    <w:rsid w:val="00064B45"/>
    <w:rsid w:val="00064C5F"/>
    <w:rsid w:val="00066FC6"/>
    <w:rsid w:val="00070635"/>
    <w:rsid w:val="000709A1"/>
    <w:rsid w:val="00070C76"/>
    <w:rsid w:val="00071306"/>
    <w:rsid w:val="000717F7"/>
    <w:rsid w:val="00072DF4"/>
    <w:rsid w:val="00073739"/>
    <w:rsid w:val="000747C3"/>
    <w:rsid w:val="00075145"/>
    <w:rsid w:val="000756D9"/>
    <w:rsid w:val="00075707"/>
    <w:rsid w:val="000763BE"/>
    <w:rsid w:val="000777FE"/>
    <w:rsid w:val="00077825"/>
    <w:rsid w:val="000779C4"/>
    <w:rsid w:val="0008106A"/>
    <w:rsid w:val="00081139"/>
    <w:rsid w:val="0008167D"/>
    <w:rsid w:val="000820BF"/>
    <w:rsid w:val="0008341F"/>
    <w:rsid w:val="00083EB6"/>
    <w:rsid w:val="00084539"/>
    <w:rsid w:val="0008475F"/>
    <w:rsid w:val="00084762"/>
    <w:rsid w:val="000852E0"/>
    <w:rsid w:val="00085CC0"/>
    <w:rsid w:val="00086892"/>
    <w:rsid w:val="00086E15"/>
    <w:rsid w:val="00087207"/>
    <w:rsid w:val="00090317"/>
    <w:rsid w:val="00090446"/>
    <w:rsid w:val="000905B6"/>
    <w:rsid w:val="0009099D"/>
    <w:rsid w:val="00091399"/>
    <w:rsid w:val="00091517"/>
    <w:rsid w:val="000917A8"/>
    <w:rsid w:val="000930F9"/>
    <w:rsid w:val="00093193"/>
    <w:rsid w:val="000934E0"/>
    <w:rsid w:val="00093F12"/>
    <w:rsid w:val="00094155"/>
    <w:rsid w:val="00094567"/>
    <w:rsid w:val="00094B49"/>
    <w:rsid w:val="0009530A"/>
    <w:rsid w:val="000953E4"/>
    <w:rsid w:val="00095A0E"/>
    <w:rsid w:val="00095B3D"/>
    <w:rsid w:val="00095FDB"/>
    <w:rsid w:val="000961F9"/>
    <w:rsid w:val="00096969"/>
    <w:rsid w:val="000970EC"/>
    <w:rsid w:val="00097449"/>
    <w:rsid w:val="000974B3"/>
    <w:rsid w:val="000A01FD"/>
    <w:rsid w:val="000A0245"/>
    <w:rsid w:val="000A0DD5"/>
    <w:rsid w:val="000A1DA8"/>
    <w:rsid w:val="000A2343"/>
    <w:rsid w:val="000A3432"/>
    <w:rsid w:val="000A44F8"/>
    <w:rsid w:val="000A45E4"/>
    <w:rsid w:val="000A4890"/>
    <w:rsid w:val="000A500B"/>
    <w:rsid w:val="000A62E1"/>
    <w:rsid w:val="000A671B"/>
    <w:rsid w:val="000A74C1"/>
    <w:rsid w:val="000B0633"/>
    <w:rsid w:val="000B0D62"/>
    <w:rsid w:val="000B1C35"/>
    <w:rsid w:val="000B265F"/>
    <w:rsid w:val="000B467D"/>
    <w:rsid w:val="000B4D28"/>
    <w:rsid w:val="000B4D61"/>
    <w:rsid w:val="000B4F81"/>
    <w:rsid w:val="000B527C"/>
    <w:rsid w:val="000B5B7C"/>
    <w:rsid w:val="000B64C6"/>
    <w:rsid w:val="000B664C"/>
    <w:rsid w:val="000B6655"/>
    <w:rsid w:val="000B6CEA"/>
    <w:rsid w:val="000C0594"/>
    <w:rsid w:val="000C0D6C"/>
    <w:rsid w:val="000C15D8"/>
    <w:rsid w:val="000C25A6"/>
    <w:rsid w:val="000C34BC"/>
    <w:rsid w:val="000C3FD6"/>
    <w:rsid w:val="000C4A8A"/>
    <w:rsid w:val="000C4C71"/>
    <w:rsid w:val="000C638C"/>
    <w:rsid w:val="000C6A96"/>
    <w:rsid w:val="000C6CC0"/>
    <w:rsid w:val="000C71B9"/>
    <w:rsid w:val="000C7A24"/>
    <w:rsid w:val="000C7D0A"/>
    <w:rsid w:val="000C7ED4"/>
    <w:rsid w:val="000D0238"/>
    <w:rsid w:val="000D1999"/>
    <w:rsid w:val="000D2936"/>
    <w:rsid w:val="000D2A07"/>
    <w:rsid w:val="000D3747"/>
    <w:rsid w:val="000D4373"/>
    <w:rsid w:val="000D5239"/>
    <w:rsid w:val="000D77F4"/>
    <w:rsid w:val="000D7CA3"/>
    <w:rsid w:val="000E034A"/>
    <w:rsid w:val="000E085B"/>
    <w:rsid w:val="000E0ACD"/>
    <w:rsid w:val="000E1062"/>
    <w:rsid w:val="000E17D0"/>
    <w:rsid w:val="000E291F"/>
    <w:rsid w:val="000E2FF6"/>
    <w:rsid w:val="000E36CF"/>
    <w:rsid w:val="000E37D8"/>
    <w:rsid w:val="000E5949"/>
    <w:rsid w:val="000E65CB"/>
    <w:rsid w:val="000E6D8F"/>
    <w:rsid w:val="000E7945"/>
    <w:rsid w:val="000E7B97"/>
    <w:rsid w:val="000F107A"/>
    <w:rsid w:val="000F148B"/>
    <w:rsid w:val="000F1FC2"/>
    <w:rsid w:val="000F2E88"/>
    <w:rsid w:val="000F3FBF"/>
    <w:rsid w:val="000F681E"/>
    <w:rsid w:val="000F6A0E"/>
    <w:rsid w:val="000F7618"/>
    <w:rsid w:val="0010042E"/>
    <w:rsid w:val="00101557"/>
    <w:rsid w:val="00101C28"/>
    <w:rsid w:val="00101F9C"/>
    <w:rsid w:val="0010225E"/>
    <w:rsid w:val="0010271B"/>
    <w:rsid w:val="00102BFD"/>
    <w:rsid w:val="00103877"/>
    <w:rsid w:val="00103AB1"/>
    <w:rsid w:val="00103CCB"/>
    <w:rsid w:val="00103CEB"/>
    <w:rsid w:val="00103D94"/>
    <w:rsid w:val="001044CE"/>
    <w:rsid w:val="00104D97"/>
    <w:rsid w:val="00105051"/>
    <w:rsid w:val="001051C8"/>
    <w:rsid w:val="001065F5"/>
    <w:rsid w:val="001069E6"/>
    <w:rsid w:val="00111503"/>
    <w:rsid w:val="00111515"/>
    <w:rsid w:val="00113759"/>
    <w:rsid w:val="0011401A"/>
    <w:rsid w:val="00114A84"/>
    <w:rsid w:val="001153FB"/>
    <w:rsid w:val="00115852"/>
    <w:rsid w:val="00115D3D"/>
    <w:rsid w:val="00115F05"/>
    <w:rsid w:val="001171F0"/>
    <w:rsid w:val="00120DE6"/>
    <w:rsid w:val="00121302"/>
    <w:rsid w:val="0012135B"/>
    <w:rsid w:val="001220B3"/>
    <w:rsid w:val="0012218B"/>
    <w:rsid w:val="00122419"/>
    <w:rsid w:val="00122978"/>
    <w:rsid w:val="0012297D"/>
    <w:rsid w:val="00122DF1"/>
    <w:rsid w:val="001234DD"/>
    <w:rsid w:val="001237A7"/>
    <w:rsid w:val="001238EF"/>
    <w:rsid w:val="00124364"/>
    <w:rsid w:val="001248A6"/>
    <w:rsid w:val="00126592"/>
    <w:rsid w:val="00127582"/>
    <w:rsid w:val="00130FFE"/>
    <w:rsid w:val="001310C5"/>
    <w:rsid w:val="001313F7"/>
    <w:rsid w:val="00131476"/>
    <w:rsid w:val="001317E6"/>
    <w:rsid w:val="00131CF2"/>
    <w:rsid w:val="001322C1"/>
    <w:rsid w:val="001331C9"/>
    <w:rsid w:val="00134025"/>
    <w:rsid w:val="00135B69"/>
    <w:rsid w:val="00136E39"/>
    <w:rsid w:val="00137A67"/>
    <w:rsid w:val="001416E0"/>
    <w:rsid w:val="0014258E"/>
    <w:rsid w:val="0014287B"/>
    <w:rsid w:val="0014303D"/>
    <w:rsid w:val="00143CAA"/>
    <w:rsid w:val="00143CF7"/>
    <w:rsid w:val="00144CBA"/>
    <w:rsid w:val="00145783"/>
    <w:rsid w:val="001469F3"/>
    <w:rsid w:val="0014728C"/>
    <w:rsid w:val="00147469"/>
    <w:rsid w:val="0015072D"/>
    <w:rsid w:val="00150A04"/>
    <w:rsid w:val="00150CC1"/>
    <w:rsid w:val="001514E8"/>
    <w:rsid w:val="00151945"/>
    <w:rsid w:val="00151C9C"/>
    <w:rsid w:val="001522C1"/>
    <w:rsid w:val="00153DE0"/>
    <w:rsid w:val="00154EF8"/>
    <w:rsid w:val="00155022"/>
    <w:rsid w:val="0015542D"/>
    <w:rsid w:val="00156684"/>
    <w:rsid w:val="00156708"/>
    <w:rsid w:val="00157090"/>
    <w:rsid w:val="00157EA8"/>
    <w:rsid w:val="001606F1"/>
    <w:rsid w:val="00160A6B"/>
    <w:rsid w:val="001627E2"/>
    <w:rsid w:val="001639B8"/>
    <w:rsid w:val="00163BFC"/>
    <w:rsid w:val="001642CF"/>
    <w:rsid w:val="0016505D"/>
    <w:rsid w:val="0016570A"/>
    <w:rsid w:val="00166143"/>
    <w:rsid w:val="0017032C"/>
    <w:rsid w:val="00170508"/>
    <w:rsid w:val="001713B2"/>
    <w:rsid w:val="001725DB"/>
    <w:rsid w:val="00172F5D"/>
    <w:rsid w:val="0017304E"/>
    <w:rsid w:val="00173525"/>
    <w:rsid w:val="001741E6"/>
    <w:rsid w:val="001750BB"/>
    <w:rsid w:val="0017665C"/>
    <w:rsid w:val="001769DB"/>
    <w:rsid w:val="00177597"/>
    <w:rsid w:val="001775FD"/>
    <w:rsid w:val="00177741"/>
    <w:rsid w:val="001804DD"/>
    <w:rsid w:val="00180B5E"/>
    <w:rsid w:val="00180D6E"/>
    <w:rsid w:val="00182E27"/>
    <w:rsid w:val="001835A1"/>
    <w:rsid w:val="001847D6"/>
    <w:rsid w:val="001849D3"/>
    <w:rsid w:val="001865E3"/>
    <w:rsid w:val="00186AC7"/>
    <w:rsid w:val="0018712F"/>
    <w:rsid w:val="0018713A"/>
    <w:rsid w:val="0018738E"/>
    <w:rsid w:val="0019074E"/>
    <w:rsid w:val="001908B1"/>
    <w:rsid w:val="00191556"/>
    <w:rsid w:val="001919DA"/>
    <w:rsid w:val="00193168"/>
    <w:rsid w:val="00193908"/>
    <w:rsid w:val="00193FA9"/>
    <w:rsid w:val="00195E1A"/>
    <w:rsid w:val="001965F7"/>
    <w:rsid w:val="00196F86"/>
    <w:rsid w:val="001973F7"/>
    <w:rsid w:val="00197613"/>
    <w:rsid w:val="00197C66"/>
    <w:rsid w:val="00197E85"/>
    <w:rsid w:val="001A1036"/>
    <w:rsid w:val="001A201E"/>
    <w:rsid w:val="001A217D"/>
    <w:rsid w:val="001A2D50"/>
    <w:rsid w:val="001A3209"/>
    <w:rsid w:val="001A324C"/>
    <w:rsid w:val="001A3491"/>
    <w:rsid w:val="001A39A5"/>
    <w:rsid w:val="001A41A1"/>
    <w:rsid w:val="001A486E"/>
    <w:rsid w:val="001A4C90"/>
    <w:rsid w:val="001A633D"/>
    <w:rsid w:val="001B03D2"/>
    <w:rsid w:val="001B1094"/>
    <w:rsid w:val="001B1ADB"/>
    <w:rsid w:val="001B1D41"/>
    <w:rsid w:val="001B2352"/>
    <w:rsid w:val="001B2D43"/>
    <w:rsid w:val="001B33F2"/>
    <w:rsid w:val="001B48C2"/>
    <w:rsid w:val="001B50A6"/>
    <w:rsid w:val="001B5241"/>
    <w:rsid w:val="001B52F3"/>
    <w:rsid w:val="001B5501"/>
    <w:rsid w:val="001B6B55"/>
    <w:rsid w:val="001C0AE3"/>
    <w:rsid w:val="001C0CD7"/>
    <w:rsid w:val="001C26D3"/>
    <w:rsid w:val="001C3153"/>
    <w:rsid w:val="001C4468"/>
    <w:rsid w:val="001C5020"/>
    <w:rsid w:val="001C5C50"/>
    <w:rsid w:val="001C6659"/>
    <w:rsid w:val="001C69AE"/>
    <w:rsid w:val="001C6A40"/>
    <w:rsid w:val="001D11FB"/>
    <w:rsid w:val="001D1D10"/>
    <w:rsid w:val="001D271D"/>
    <w:rsid w:val="001D329D"/>
    <w:rsid w:val="001D330B"/>
    <w:rsid w:val="001D3CF1"/>
    <w:rsid w:val="001D4B34"/>
    <w:rsid w:val="001D4D1B"/>
    <w:rsid w:val="001D4FF2"/>
    <w:rsid w:val="001D5555"/>
    <w:rsid w:val="001D66C8"/>
    <w:rsid w:val="001D6D1D"/>
    <w:rsid w:val="001D6E6F"/>
    <w:rsid w:val="001D711C"/>
    <w:rsid w:val="001D7EFF"/>
    <w:rsid w:val="001E1622"/>
    <w:rsid w:val="001E17F6"/>
    <w:rsid w:val="001E1FC6"/>
    <w:rsid w:val="001E3382"/>
    <w:rsid w:val="001E5085"/>
    <w:rsid w:val="001E58F1"/>
    <w:rsid w:val="001E6A76"/>
    <w:rsid w:val="001E6C96"/>
    <w:rsid w:val="001E787B"/>
    <w:rsid w:val="001E78AD"/>
    <w:rsid w:val="001F07DC"/>
    <w:rsid w:val="001F1CB1"/>
    <w:rsid w:val="001F2B4E"/>
    <w:rsid w:val="001F450B"/>
    <w:rsid w:val="001F60CC"/>
    <w:rsid w:val="001F737D"/>
    <w:rsid w:val="001F757F"/>
    <w:rsid w:val="001F79D0"/>
    <w:rsid w:val="00200515"/>
    <w:rsid w:val="00200527"/>
    <w:rsid w:val="002005A2"/>
    <w:rsid w:val="002010A8"/>
    <w:rsid w:val="00201BA6"/>
    <w:rsid w:val="00201BE9"/>
    <w:rsid w:val="00202C3F"/>
    <w:rsid w:val="0020345B"/>
    <w:rsid w:val="002057BC"/>
    <w:rsid w:val="00205A0D"/>
    <w:rsid w:val="00207A95"/>
    <w:rsid w:val="00207CBB"/>
    <w:rsid w:val="0021009A"/>
    <w:rsid w:val="00210122"/>
    <w:rsid w:val="002101D0"/>
    <w:rsid w:val="00210C07"/>
    <w:rsid w:val="00211A93"/>
    <w:rsid w:val="00212248"/>
    <w:rsid w:val="00212BD5"/>
    <w:rsid w:val="00212F33"/>
    <w:rsid w:val="00213276"/>
    <w:rsid w:val="002143A2"/>
    <w:rsid w:val="00214916"/>
    <w:rsid w:val="00214BC4"/>
    <w:rsid w:val="00214D0D"/>
    <w:rsid w:val="0021633C"/>
    <w:rsid w:val="00216F71"/>
    <w:rsid w:val="00216FBE"/>
    <w:rsid w:val="00217DAB"/>
    <w:rsid w:val="00217E86"/>
    <w:rsid w:val="00222307"/>
    <w:rsid w:val="0022240D"/>
    <w:rsid w:val="00223B35"/>
    <w:rsid w:val="00224195"/>
    <w:rsid w:val="0022445D"/>
    <w:rsid w:val="00225C08"/>
    <w:rsid w:val="002264E8"/>
    <w:rsid w:val="00226768"/>
    <w:rsid w:val="002277AC"/>
    <w:rsid w:val="00227C9A"/>
    <w:rsid w:val="00231312"/>
    <w:rsid w:val="00231839"/>
    <w:rsid w:val="00231D18"/>
    <w:rsid w:val="002327E0"/>
    <w:rsid w:val="00232F55"/>
    <w:rsid w:val="00233160"/>
    <w:rsid w:val="00233DC7"/>
    <w:rsid w:val="002348D6"/>
    <w:rsid w:val="00235319"/>
    <w:rsid w:val="002353B3"/>
    <w:rsid w:val="002355C8"/>
    <w:rsid w:val="002359FA"/>
    <w:rsid w:val="002363BA"/>
    <w:rsid w:val="0023653F"/>
    <w:rsid w:val="00240492"/>
    <w:rsid w:val="00241278"/>
    <w:rsid w:val="00242B03"/>
    <w:rsid w:val="0024329C"/>
    <w:rsid w:val="002434AB"/>
    <w:rsid w:val="002435E8"/>
    <w:rsid w:val="00243B17"/>
    <w:rsid w:val="00243E4A"/>
    <w:rsid w:val="002442B2"/>
    <w:rsid w:val="002442FA"/>
    <w:rsid w:val="00245681"/>
    <w:rsid w:val="002457D3"/>
    <w:rsid w:val="00245CC4"/>
    <w:rsid w:val="00245EEC"/>
    <w:rsid w:val="00246286"/>
    <w:rsid w:val="00246C31"/>
    <w:rsid w:val="00247779"/>
    <w:rsid w:val="00251F0B"/>
    <w:rsid w:val="00253A2A"/>
    <w:rsid w:val="00253CA0"/>
    <w:rsid w:val="00254753"/>
    <w:rsid w:val="002552AE"/>
    <w:rsid w:val="00255418"/>
    <w:rsid w:val="00256F9F"/>
    <w:rsid w:val="002574F6"/>
    <w:rsid w:val="00257A78"/>
    <w:rsid w:val="00261503"/>
    <w:rsid w:val="00261A01"/>
    <w:rsid w:val="0026224F"/>
    <w:rsid w:val="00262DC0"/>
    <w:rsid w:val="00263B2F"/>
    <w:rsid w:val="00263DDE"/>
    <w:rsid w:val="00264401"/>
    <w:rsid w:val="00265B9E"/>
    <w:rsid w:val="0026658E"/>
    <w:rsid w:val="002669E4"/>
    <w:rsid w:val="00266B6E"/>
    <w:rsid w:val="00266ECA"/>
    <w:rsid w:val="00267818"/>
    <w:rsid w:val="00270391"/>
    <w:rsid w:val="002708F0"/>
    <w:rsid w:val="002709C1"/>
    <w:rsid w:val="00270AC0"/>
    <w:rsid w:val="002716B5"/>
    <w:rsid w:val="00271AEE"/>
    <w:rsid w:val="0027200B"/>
    <w:rsid w:val="002722C8"/>
    <w:rsid w:val="00272959"/>
    <w:rsid w:val="0027348A"/>
    <w:rsid w:val="00274255"/>
    <w:rsid w:val="0027652C"/>
    <w:rsid w:val="0027676B"/>
    <w:rsid w:val="00276F0F"/>
    <w:rsid w:val="00277D4A"/>
    <w:rsid w:val="0028293E"/>
    <w:rsid w:val="00283111"/>
    <w:rsid w:val="0028548D"/>
    <w:rsid w:val="00285674"/>
    <w:rsid w:val="00285B92"/>
    <w:rsid w:val="00285BEE"/>
    <w:rsid w:val="00285EA5"/>
    <w:rsid w:val="002871B1"/>
    <w:rsid w:val="0028797D"/>
    <w:rsid w:val="0029011F"/>
    <w:rsid w:val="00290F7A"/>
    <w:rsid w:val="00290F9C"/>
    <w:rsid w:val="002910F5"/>
    <w:rsid w:val="002919C8"/>
    <w:rsid w:val="00291D0E"/>
    <w:rsid w:val="0029207B"/>
    <w:rsid w:val="0029322C"/>
    <w:rsid w:val="00293B2D"/>
    <w:rsid w:val="00294C21"/>
    <w:rsid w:val="0029514E"/>
    <w:rsid w:val="0029533F"/>
    <w:rsid w:val="00296636"/>
    <w:rsid w:val="00296D77"/>
    <w:rsid w:val="0029725B"/>
    <w:rsid w:val="002A0FCE"/>
    <w:rsid w:val="002A14F8"/>
    <w:rsid w:val="002A2FD3"/>
    <w:rsid w:val="002A4C11"/>
    <w:rsid w:val="002A5191"/>
    <w:rsid w:val="002A544A"/>
    <w:rsid w:val="002A65DB"/>
    <w:rsid w:val="002A7470"/>
    <w:rsid w:val="002B0140"/>
    <w:rsid w:val="002B1BCC"/>
    <w:rsid w:val="002B1C16"/>
    <w:rsid w:val="002B30AF"/>
    <w:rsid w:val="002B4572"/>
    <w:rsid w:val="002B673D"/>
    <w:rsid w:val="002B6ADB"/>
    <w:rsid w:val="002B6CEA"/>
    <w:rsid w:val="002B6DE3"/>
    <w:rsid w:val="002B7313"/>
    <w:rsid w:val="002C00BE"/>
    <w:rsid w:val="002C1514"/>
    <w:rsid w:val="002C1528"/>
    <w:rsid w:val="002C2C74"/>
    <w:rsid w:val="002C2EE9"/>
    <w:rsid w:val="002C3DE5"/>
    <w:rsid w:val="002C4089"/>
    <w:rsid w:val="002C4A85"/>
    <w:rsid w:val="002C4B7F"/>
    <w:rsid w:val="002C4D0F"/>
    <w:rsid w:val="002C5A32"/>
    <w:rsid w:val="002C7314"/>
    <w:rsid w:val="002D0848"/>
    <w:rsid w:val="002D3CDB"/>
    <w:rsid w:val="002D4839"/>
    <w:rsid w:val="002D6059"/>
    <w:rsid w:val="002D6086"/>
    <w:rsid w:val="002D6E39"/>
    <w:rsid w:val="002D72B8"/>
    <w:rsid w:val="002D7A05"/>
    <w:rsid w:val="002D7ECA"/>
    <w:rsid w:val="002D7EF1"/>
    <w:rsid w:val="002E06BB"/>
    <w:rsid w:val="002E0762"/>
    <w:rsid w:val="002E077D"/>
    <w:rsid w:val="002E1057"/>
    <w:rsid w:val="002E136D"/>
    <w:rsid w:val="002E1AED"/>
    <w:rsid w:val="002E1DFA"/>
    <w:rsid w:val="002E211F"/>
    <w:rsid w:val="002E2800"/>
    <w:rsid w:val="002E43DD"/>
    <w:rsid w:val="002E485A"/>
    <w:rsid w:val="002E4B65"/>
    <w:rsid w:val="002E4FF5"/>
    <w:rsid w:val="002E5129"/>
    <w:rsid w:val="002E54D7"/>
    <w:rsid w:val="002E5D3F"/>
    <w:rsid w:val="002E5F17"/>
    <w:rsid w:val="002E620F"/>
    <w:rsid w:val="002E6A0A"/>
    <w:rsid w:val="002E7A2E"/>
    <w:rsid w:val="002F1848"/>
    <w:rsid w:val="002F1C70"/>
    <w:rsid w:val="002F24BD"/>
    <w:rsid w:val="002F349A"/>
    <w:rsid w:val="002F36B4"/>
    <w:rsid w:val="002F3D2E"/>
    <w:rsid w:val="002F5EFF"/>
    <w:rsid w:val="002F6DD0"/>
    <w:rsid w:val="002F6EE3"/>
    <w:rsid w:val="00300AEC"/>
    <w:rsid w:val="003010CE"/>
    <w:rsid w:val="00301AE2"/>
    <w:rsid w:val="0030273B"/>
    <w:rsid w:val="00302CFA"/>
    <w:rsid w:val="00303864"/>
    <w:rsid w:val="00304247"/>
    <w:rsid w:val="0030531F"/>
    <w:rsid w:val="00307452"/>
    <w:rsid w:val="00311B18"/>
    <w:rsid w:val="00311CE1"/>
    <w:rsid w:val="003125B5"/>
    <w:rsid w:val="00313CDE"/>
    <w:rsid w:val="00315009"/>
    <w:rsid w:val="003151B3"/>
    <w:rsid w:val="00315354"/>
    <w:rsid w:val="0031571C"/>
    <w:rsid w:val="003157D6"/>
    <w:rsid w:val="003173B5"/>
    <w:rsid w:val="00317D1B"/>
    <w:rsid w:val="00320D47"/>
    <w:rsid w:val="00321814"/>
    <w:rsid w:val="00321C27"/>
    <w:rsid w:val="00322194"/>
    <w:rsid w:val="00324338"/>
    <w:rsid w:val="00324C53"/>
    <w:rsid w:val="00324CCF"/>
    <w:rsid w:val="00325A1E"/>
    <w:rsid w:val="0032611D"/>
    <w:rsid w:val="003269F0"/>
    <w:rsid w:val="00326C96"/>
    <w:rsid w:val="00327568"/>
    <w:rsid w:val="003304E0"/>
    <w:rsid w:val="003307AB"/>
    <w:rsid w:val="00330C36"/>
    <w:rsid w:val="00332DE1"/>
    <w:rsid w:val="00333393"/>
    <w:rsid w:val="0033344A"/>
    <w:rsid w:val="003335EA"/>
    <w:rsid w:val="00333950"/>
    <w:rsid w:val="003345D0"/>
    <w:rsid w:val="00335660"/>
    <w:rsid w:val="00335934"/>
    <w:rsid w:val="0033646B"/>
    <w:rsid w:val="00336D41"/>
    <w:rsid w:val="00336DCB"/>
    <w:rsid w:val="003378E6"/>
    <w:rsid w:val="003410EA"/>
    <w:rsid w:val="00342163"/>
    <w:rsid w:val="003437BA"/>
    <w:rsid w:val="00343EA0"/>
    <w:rsid w:val="00344469"/>
    <w:rsid w:val="003448F9"/>
    <w:rsid w:val="00344BC8"/>
    <w:rsid w:val="0034515C"/>
    <w:rsid w:val="00345CE2"/>
    <w:rsid w:val="00347A10"/>
    <w:rsid w:val="003504D2"/>
    <w:rsid w:val="003505EE"/>
    <w:rsid w:val="00350659"/>
    <w:rsid w:val="003506E0"/>
    <w:rsid w:val="00350A2A"/>
    <w:rsid w:val="003513B0"/>
    <w:rsid w:val="0035243C"/>
    <w:rsid w:val="00352D1B"/>
    <w:rsid w:val="00356A14"/>
    <w:rsid w:val="00356B6F"/>
    <w:rsid w:val="00356F2E"/>
    <w:rsid w:val="00357A3C"/>
    <w:rsid w:val="00360013"/>
    <w:rsid w:val="003604A5"/>
    <w:rsid w:val="003607D3"/>
    <w:rsid w:val="003619BA"/>
    <w:rsid w:val="00363241"/>
    <w:rsid w:val="00365880"/>
    <w:rsid w:val="00365C29"/>
    <w:rsid w:val="003661EE"/>
    <w:rsid w:val="0036751F"/>
    <w:rsid w:val="003700DF"/>
    <w:rsid w:val="003704EE"/>
    <w:rsid w:val="00370769"/>
    <w:rsid w:val="00371784"/>
    <w:rsid w:val="003720A2"/>
    <w:rsid w:val="00372277"/>
    <w:rsid w:val="0037244D"/>
    <w:rsid w:val="003725CC"/>
    <w:rsid w:val="00372869"/>
    <w:rsid w:val="003729D1"/>
    <w:rsid w:val="003732C8"/>
    <w:rsid w:val="003738A4"/>
    <w:rsid w:val="00373CA3"/>
    <w:rsid w:val="003745D3"/>
    <w:rsid w:val="0037479C"/>
    <w:rsid w:val="003747B5"/>
    <w:rsid w:val="0037513D"/>
    <w:rsid w:val="00375F34"/>
    <w:rsid w:val="00376961"/>
    <w:rsid w:val="00376EC6"/>
    <w:rsid w:val="003773A9"/>
    <w:rsid w:val="00380AB7"/>
    <w:rsid w:val="00381400"/>
    <w:rsid w:val="00382408"/>
    <w:rsid w:val="0038270D"/>
    <w:rsid w:val="00382F95"/>
    <w:rsid w:val="00383669"/>
    <w:rsid w:val="00390B17"/>
    <w:rsid w:val="003914E6"/>
    <w:rsid w:val="00391D98"/>
    <w:rsid w:val="00392E72"/>
    <w:rsid w:val="00393DAD"/>
    <w:rsid w:val="00394003"/>
    <w:rsid w:val="00394117"/>
    <w:rsid w:val="00394407"/>
    <w:rsid w:val="00394655"/>
    <w:rsid w:val="00394D0C"/>
    <w:rsid w:val="00394E4E"/>
    <w:rsid w:val="00396899"/>
    <w:rsid w:val="00397F6E"/>
    <w:rsid w:val="003A05F9"/>
    <w:rsid w:val="003A0671"/>
    <w:rsid w:val="003A0CD7"/>
    <w:rsid w:val="003A235D"/>
    <w:rsid w:val="003A27E8"/>
    <w:rsid w:val="003A4996"/>
    <w:rsid w:val="003A4DCD"/>
    <w:rsid w:val="003A4DE3"/>
    <w:rsid w:val="003A5FB8"/>
    <w:rsid w:val="003A63DA"/>
    <w:rsid w:val="003A6600"/>
    <w:rsid w:val="003A67EC"/>
    <w:rsid w:val="003A71B4"/>
    <w:rsid w:val="003B0804"/>
    <w:rsid w:val="003B11E6"/>
    <w:rsid w:val="003B139B"/>
    <w:rsid w:val="003B2B57"/>
    <w:rsid w:val="003B341B"/>
    <w:rsid w:val="003B362C"/>
    <w:rsid w:val="003B47A3"/>
    <w:rsid w:val="003B52EC"/>
    <w:rsid w:val="003B5424"/>
    <w:rsid w:val="003B63FA"/>
    <w:rsid w:val="003B72A8"/>
    <w:rsid w:val="003B768D"/>
    <w:rsid w:val="003B78EC"/>
    <w:rsid w:val="003C0397"/>
    <w:rsid w:val="003C1F77"/>
    <w:rsid w:val="003C3A3C"/>
    <w:rsid w:val="003C3FBF"/>
    <w:rsid w:val="003C4E7E"/>
    <w:rsid w:val="003C52BC"/>
    <w:rsid w:val="003C57C3"/>
    <w:rsid w:val="003C5CFB"/>
    <w:rsid w:val="003D0483"/>
    <w:rsid w:val="003D0D3C"/>
    <w:rsid w:val="003D1FBA"/>
    <w:rsid w:val="003D2A90"/>
    <w:rsid w:val="003D2D74"/>
    <w:rsid w:val="003D2E26"/>
    <w:rsid w:val="003D33A9"/>
    <w:rsid w:val="003D389A"/>
    <w:rsid w:val="003D39F4"/>
    <w:rsid w:val="003D3D58"/>
    <w:rsid w:val="003D3E5B"/>
    <w:rsid w:val="003D3F3D"/>
    <w:rsid w:val="003D44C8"/>
    <w:rsid w:val="003D453E"/>
    <w:rsid w:val="003D5F91"/>
    <w:rsid w:val="003D635C"/>
    <w:rsid w:val="003D78B6"/>
    <w:rsid w:val="003D7A0B"/>
    <w:rsid w:val="003E0AD2"/>
    <w:rsid w:val="003E125D"/>
    <w:rsid w:val="003E17E6"/>
    <w:rsid w:val="003E21E2"/>
    <w:rsid w:val="003E2411"/>
    <w:rsid w:val="003E269B"/>
    <w:rsid w:val="003E2923"/>
    <w:rsid w:val="003E2A0F"/>
    <w:rsid w:val="003E34D4"/>
    <w:rsid w:val="003E3E79"/>
    <w:rsid w:val="003E41A7"/>
    <w:rsid w:val="003E46B0"/>
    <w:rsid w:val="003E4863"/>
    <w:rsid w:val="003E508F"/>
    <w:rsid w:val="003E5125"/>
    <w:rsid w:val="003E58E2"/>
    <w:rsid w:val="003E66FE"/>
    <w:rsid w:val="003E6B86"/>
    <w:rsid w:val="003E7FCC"/>
    <w:rsid w:val="003F0971"/>
    <w:rsid w:val="003F1545"/>
    <w:rsid w:val="003F1DBE"/>
    <w:rsid w:val="003F252A"/>
    <w:rsid w:val="003F4B76"/>
    <w:rsid w:val="003F50F3"/>
    <w:rsid w:val="003F53B0"/>
    <w:rsid w:val="003F67E5"/>
    <w:rsid w:val="003F6F97"/>
    <w:rsid w:val="003F7413"/>
    <w:rsid w:val="003F76CB"/>
    <w:rsid w:val="003F76E6"/>
    <w:rsid w:val="003F7A07"/>
    <w:rsid w:val="003F7C68"/>
    <w:rsid w:val="00400348"/>
    <w:rsid w:val="004018E1"/>
    <w:rsid w:val="00403172"/>
    <w:rsid w:val="00403A8F"/>
    <w:rsid w:val="00403C58"/>
    <w:rsid w:val="004043D3"/>
    <w:rsid w:val="00404B6C"/>
    <w:rsid w:val="0040723E"/>
    <w:rsid w:val="004072D5"/>
    <w:rsid w:val="004108F7"/>
    <w:rsid w:val="0041092F"/>
    <w:rsid w:val="00411A07"/>
    <w:rsid w:val="00411B9D"/>
    <w:rsid w:val="004126AC"/>
    <w:rsid w:val="0041327D"/>
    <w:rsid w:val="004135E1"/>
    <w:rsid w:val="00414317"/>
    <w:rsid w:val="00415169"/>
    <w:rsid w:val="00415673"/>
    <w:rsid w:val="0042037F"/>
    <w:rsid w:val="00420B9E"/>
    <w:rsid w:val="00421427"/>
    <w:rsid w:val="00421B0E"/>
    <w:rsid w:val="0042311F"/>
    <w:rsid w:val="0042373E"/>
    <w:rsid w:val="00423947"/>
    <w:rsid w:val="00424939"/>
    <w:rsid w:val="004257DD"/>
    <w:rsid w:val="0042648E"/>
    <w:rsid w:val="00426612"/>
    <w:rsid w:val="004304E6"/>
    <w:rsid w:val="004313DC"/>
    <w:rsid w:val="00431479"/>
    <w:rsid w:val="00431C14"/>
    <w:rsid w:val="00432B4F"/>
    <w:rsid w:val="00432DEB"/>
    <w:rsid w:val="004330E2"/>
    <w:rsid w:val="004339F0"/>
    <w:rsid w:val="004341E8"/>
    <w:rsid w:val="004355FE"/>
    <w:rsid w:val="004357D6"/>
    <w:rsid w:val="00435C9F"/>
    <w:rsid w:val="00435ED2"/>
    <w:rsid w:val="00436158"/>
    <w:rsid w:val="00437385"/>
    <w:rsid w:val="00440B49"/>
    <w:rsid w:val="004410AD"/>
    <w:rsid w:val="00442BCD"/>
    <w:rsid w:val="0044349D"/>
    <w:rsid w:val="004439D4"/>
    <w:rsid w:val="00443CF3"/>
    <w:rsid w:val="00443EA4"/>
    <w:rsid w:val="0044550E"/>
    <w:rsid w:val="0044629C"/>
    <w:rsid w:val="00446332"/>
    <w:rsid w:val="00446B00"/>
    <w:rsid w:val="00446FFD"/>
    <w:rsid w:val="00447181"/>
    <w:rsid w:val="004501A3"/>
    <w:rsid w:val="00450611"/>
    <w:rsid w:val="00450E30"/>
    <w:rsid w:val="0045164E"/>
    <w:rsid w:val="0045254D"/>
    <w:rsid w:val="00453F03"/>
    <w:rsid w:val="00454E55"/>
    <w:rsid w:val="00455105"/>
    <w:rsid w:val="00455571"/>
    <w:rsid w:val="00456741"/>
    <w:rsid w:val="00456904"/>
    <w:rsid w:val="00456988"/>
    <w:rsid w:val="00460E11"/>
    <w:rsid w:val="00461147"/>
    <w:rsid w:val="00461829"/>
    <w:rsid w:val="00461ADA"/>
    <w:rsid w:val="00461CBF"/>
    <w:rsid w:val="00461CDD"/>
    <w:rsid w:val="00462321"/>
    <w:rsid w:val="00462599"/>
    <w:rsid w:val="00462C27"/>
    <w:rsid w:val="00463CCF"/>
    <w:rsid w:val="004641C7"/>
    <w:rsid w:val="00464673"/>
    <w:rsid w:val="004648E6"/>
    <w:rsid w:val="00464D0E"/>
    <w:rsid w:val="00464DE8"/>
    <w:rsid w:val="00464F2C"/>
    <w:rsid w:val="00465628"/>
    <w:rsid w:val="004664DF"/>
    <w:rsid w:val="0047029E"/>
    <w:rsid w:val="0047042E"/>
    <w:rsid w:val="00471211"/>
    <w:rsid w:val="004725CD"/>
    <w:rsid w:val="0047329E"/>
    <w:rsid w:val="00473A95"/>
    <w:rsid w:val="00474148"/>
    <w:rsid w:val="00475982"/>
    <w:rsid w:val="00480105"/>
    <w:rsid w:val="00480BC2"/>
    <w:rsid w:val="00481D0C"/>
    <w:rsid w:val="00481EF5"/>
    <w:rsid w:val="004824C8"/>
    <w:rsid w:val="00483990"/>
    <w:rsid w:val="00483F81"/>
    <w:rsid w:val="0048469B"/>
    <w:rsid w:val="00487900"/>
    <w:rsid w:val="004908D6"/>
    <w:rsid w:val="004913C9"/>
    <w:rsid w:val="00493066"/>
    <w:rsid w:val="0049316F"/>
    <w:rsid w:val="004936D2"/>
    <w:rsid w:val="004936FC"/>
    <w:rsid w:val="00495522"/>
    <w:rsid w:val="00495B8C"/>
    <w:rsid w:val="00495D57"/>
    <w:rsid w:val="00496CEF"/>
    <w:rsid w:val="00496DBC"/>
    <w:rsid w:val="0049773A"/>
    <w:rsid w:val="004978B1"/>
    <w:rsid w:val="00497D6E"/>
    <w:rsid w:val="004A0078"/>
    <w:rsid w:val="004A0FE4"/>
    <w:rsid w:val="004A16D5"/>
    <w:rsid w:val="004A1973"/>
    <w:rsid w:val="004A2CCD"/>
    <w:rsid w:val="004A3561"/>
    <w:rsid w:val="004A3667"/>
    <w:rsid w:val="004A4C5B"/>
    <w:rsid w:val="004A5241"/>
    <w:rsid w:val="004A676A"/>
    <w:rsid w:val="004A72D6"/>
    <w:rsid w:val="004A7A4C"/>
    <w:rsid w:val="004B018E"/>
    <w:rsid w:val="004B03B0"/>
    <w:rsid w:val="004B04BC"/>
    <w:rsid w:val="004B0887"/>
    <w:rsid w:val="004B091D"/>
    <w:rsid w:val="004B0CF2"/>
    <w:rsid w:val="004B2131"/>
    <w:rsid w:val="004B2AA0"/>
    <w:rsid w:val="004B4557"/>
    <w:rsid w:val="004B478C"/>
    <w:rsid w:val="004B4858"/>
    <w:rsid w:val="004B60D3"/>
    <w:rsid w:val="004B636B"/>
    <w:rsid w:val="004B65B3"/>
    <w:rsid w:val="004B6BA2"/>
    <w:rsid w:val="004B6C65"/>
    <w:rsid w:val="004B7A69"/>
    <w:rsid w:val="004C0F54"/>
    <w:rsid w:val="004C22EB"/>
    <w:rsid w:val="004C28C0"/>
    <w:rsid w:val="004C2D38"/>
    <w:rsid w:val="004C2ECC"/>
    <w:rsid w:val="004C3B61"/>
    <w:rsid w:val="004C4681"/>
    <w:rsid w:val="004C49E5"/>
    <w:rsid w:val="004C6926"/>
    <w:rsid w:val="004C705F"/>
    <w:rsid w:val="004D0A0B"/>
    <w:rsid w:val="004D1508"/>
    <w:rsid w:val="004D1785"/>
    <w:rsid w:val="004D18AC"/>
    <w:rsid w:val="004D2088"/>
    <w:rsid w:val="004D2624"/>
    <w:rsid w:val="004D31A3"/>
    <w:rsid w:val="004D4094"/>
    <w:rsid w:val="004D437B"/>
    <w:rsid w:val="004D605B"/>
    <w:rsid w:val="004D6BBD"/>
    <w:rsid w:val="004D6FCA"/>
    <w:rsid w:val="004D70FE"/>
    <w:rsid w:val="004D7D01"/>
    <w:rsid w:val="004E19F0"/>
    <w:rsid w:val="004E1DCD"/>
    <w:rsid w:val="004E1FB5"/>
    <w:rsid w:val="004E23A5"/>
    <w:rsid w:val="004E3967"/>
    <w:rsid w:val="004E5159"/>
    <w:rsid w:val="004E5545"/>
    <w:rsid w:val="004E6F0E"/>
    <w:rsid w:val="004E77AE"/>
    <w:rsid w:val="004F0542"/>
    <w:rsid w:val="004F0A2B"/>
    <w:rsid w:val="004F0C0B"/>
    <w:rsid w:val="004F2193"/>
    <w:rsid w:val="004F4529"/>
    <w:rsid w:val="004F6BBB"/>
    <w:rsid w:val="004F6C9F"/>
    <w:rsid w:val="004F730A"/>
    <w:rsid w:val="004F7485"/>
    <w:rsid w:val="005006E1"/>
    <w:rsid w:val="00500F5A"/>
    <w:rsid w:val="005025E6"/>
    <w:rsid w:val="005029AE"/>
    <w:rsid w:val="00502DD2"/>
    <w:rsid w:val="005030F2"/>
    <w:rsid w:val="00504A1A"/>
    <w:rsid w:val="00504ABD"/>
    <w:rsid w:val="00504BD3"/>
    <w:rsid w:val="00505163"/>
    <w:rsid w:val="005053CE"/>
    <w:rsid w:val="00505450"/>
    <w:rsid w:val="00505F8A"/>
    <w:rsid w:val="005062D9"/>
    <w:rsid w:val="0050644D"/>
    <w:rsid w:val="00507B23"/>
    <w:rsid w:val="00510CDB"/>
    <w:rsid w:val="00510FB9"/>
    <w:rsid w:val="00512F15"/>
    <w:rsid w:val="00512F6A"/>
    <w:rsid w:val="00514007"/>
    <w:rsid w:val="005148DB"/>
    <w:rsid w:val="00514A67"/>
    <w:rsid w:val="0051537F"/>
    <w:rsid w:val="00515644"/>
    <w:rsid w:val="00517391"/>
    <w:rsid w:val="005174DB"/>
    <w:rsid w:val="005175F5"/>
    <w:rsid w:val="00520132"/>
    <w:rsid w:val="0052046D"/>
    <w:rsid w:val="00521575"/>
    <w:rsid w:val="005222D1"/>
    <w:rsid w:val="00522C7C"/>
    <w:rsid w:val="00525379"/>
    <w:rsid w:val="00525D07"/>
    <w:rsid w:val="0052680D"/>
    <w:rsid w:val="00526B46"/>
    <w:rsid w:val="005275B9"/>
    <w:rsid w:val="00527A8F"/>
    <w:rsid w:val="00530515"/>
    <w:rsid w:val="0053104A"/>
    <w:rsid w:val="005316E3"/>
    <w:rsid w:val="0053192A"/>
    <w:rsid w:val="00531958"/>
    <w:rsid w:val="005322F5"/>
    <w:rsid w:val="0053252E"/>
    <w:rsid w:val="005339EE"/>
    <w:rsid w:val="00533C9D"/>
    <w:rsid w:val="00536BF4"/>
    <w:rsid w:val="00536D4C"/>
    <w:rsid w:val="00537F70"/>
    <w:rsid w:val="00541905"/>
    <w:rsid w:val="00541EBD"/>
    <w:rsid w:val="0054303C"/>
    <w:rsid w:val="0054345B"/>
    <w:rsid w:val="00545121"/>
    <w:rsid w:val="0054530F"/>
    <w:rsid w:val="00545397"/>
    <w:rsid w:val="00545583"/>
    <w:rsid w:val="0054564A"/>
    <w:rsid w:val="005457E0"/>
    <w:rsid w:val="00545DF4"/>
    <w:rsid w:val="00546020"/>
    <w:rsid w:val="005473DB"/>
    <w:rsid w:val="00550845"/>
    <w:rsid w:val="00551119"/>
    <w:rsid w:val="005512C7"/>
    <w:rsid w:val="00551498"/>
    <w:rsid w:val="00551D42"/>
    <w:rsid w:val="00551F73"/>
    <w:rsid w:val="00552396"/>
    <w:rsid w:val="00552AF9"/>
    <w:rsid w:val="005534E7"/>
    <w:rsid w:val="0055412C"/>
    <w:rsid w:val="00554BDE"/>
    <w:rsid w:val="00554F2B"/>
    <w:rsid w:val="00555589"/>
    <w:rsid w:val="0055637B"/>
    <w:rsid w:val="00556BA2"/>
    <w:rsid w:val="00556FCB"/>
    <w:rsid w:val="00560164"/>
    <w:rsid w:val="00560F57"/>
    <w:rsid w:val="005613B9"/>
    <w:rsid w:val="00561DB0"/>
    <w:rsid w:val="005625D9"/>
    <w:rsid w:val="00563063"/>
    <w:rsid w:val="00563B0E"/>
    <w:rsid w:val="00564925"/>
    <w:rsid w:val="00564A47"/>
    <w:rsid w:val="00565F72"/>
    <w:rsid w:val="00566EFD"/>
    <w:rsid w:val="0056725C"/>
    <w:rsid w:val="005677DA"/>
    <w:rsid w:val="00567C50"/>
    <w:rsid w:val="00567DFE"/>
    <w:rsid w:val="00570742"/>
    <w:rsid w:val="00570B60"/>
    <w:rsid w:val="005719BD"/>
    <w:rsid w:val="00572819"/>
    <w:rsid w:val="00572D2E"/>
    <w:rsid w:val="00572D76"/>
    <w:rsid w:val="00572E51"/>
    <w:rsid w:val="00573728"/>
    <w:rsid w:val="005742FC"/>
    <w:rsid w:val="00576198"/>
    <w:rsid w:val="00576876"/>
    <w:rsid w:val="00577640"/>
    <w:rsid w:val="005803BE"/>
    <w:rsid w:val="00581B50"/>
    <w:rsid w:val="00581F33"/>
    <w:rsid w:val="0058247C"/>
    <w:rsid w:val="005832FE"/>
    <w:rsid w:val="0058364B"/>
    <w:rsid w:val="0058365A"/>
    <w:rsid w:val="005840FB"/>
    <w:rsid w:val="00584DA4"/>
    <w:rsid w:val="00585A4D"/>
    <w:rsid w:val="00585BE5"/>
    <w:rsid w:val="00586399"/>
    <w:rsid w:val="005865FD"/>
    <w:rsid w:val="005866A3"/>
    <w:rsid w:val="00587226"/>
    <w:rsid w:val="00587E88"/>
    <w:rsid w:val="005905A7"/>
    <w:rsid w:val="005924FF"/>
    <w:rsid w:val="00593390"/>
    <w:rsid w:val="005934D5"/>
    <w:rsid w:val="00593AFA"/>
    <w:rsid w:val="00594AFF"/>
    <w:rsid w:val="00594DF8"/>
    <w:rsid w:val="00595F08"/>
    <w:rsid w:val="005963FE"/>
    <w:rsid w:val="005975BD"/>
    <w:rsid w:val="005A0056"/>
    <w:rsid w:val="005A0961"/>
    <w:rsid w:val="005A0BF7"/>
    <w:rsid w:val="005A13A1"/>
    <w:rsid w:val="005A18B7"/>
    <w:rsid w:val="005A23FD"/>
    <w:rsid w:val="005A2B4F"/>
    <w:rsid w:val="005A36D9"/>
    <w:rsid w:val="005A38F7"/>
    <w:rsid w:val="005A4609"/>
    <w:rsid w:val="005A55E8"/>
    <w:rsid w:val="005A565B"/>
    <w:rsid w:val="005A611D"/>
    <w:rsid w:val="005A6201"/>
    <w:rsid w:val="005A652B"/>
    <w:rsid w:val="005A66E3"/>
    <w:rsid w:val="005A6B9D"/>
    <w:rsid w:val="005B13B3"/>
    <w:rsid w:val="005B1EB6"/>
    <w:rsid w:val="005B1FCF"/>
    <w:rsid w:val="005B285D"/>
    <w:rsid w:val="005B2A8C"/>
    <w:rsid w:val="005B2D2D"/>
    <w:rsid w:val="005B38BC"/>
    <w:rsid w:val="005B4667"/>
    <w:rsid w:val="005B53DB"/>
    <w:rsid w:val="005B56E1"/>
    <w:rsid w:val="005B5F97"/>
    <w:rsid w:val="005B619D"/>
    <w:rsid w:val="005B656A"/>
    <w:rsid w:val="005B70CB"/>
    <w:rsid w:val="005B746B"/>
    <w:rsid w:val="005C0AA7"/>
    <w:rsid w:val="005C1B15"/>
    <w:rsid w:val="005C20A8"/>
    <w:rsid w:val="005C3A61"/>
    <w:rsid w:val="005C3F1C"/>
    <w:rsid w:val="005C41A4"/>
    <w:rsid w:val="005C4325"/>
    <w:rsid w:val="005C432A"/>
    <w:rsid w:val="005C4397"/>
    <w:rsid w:val="005C73AD"/>
    <w:rsid w:val="005C7438"/>
    <w:rsid w:val="005C74A6"/>
    <w:rsid w:val="005D0107"/>
    <w:rsid w:val="005D0F44"/>
    <w:rsid w:val="005D1127"/>
    <w:rsid w:val="005D1ED6"/>
    <w:rsid w:val="005D1F90"/>
    <w:rsid w:val="005D2687"/>
    <w:rsid w:val="005D3B64"/>
    <w:rsid w:val="005D417F"/>
    <w:rsid w:val="005D45C2"/>
    <w:rsid w:val="005D6A57"/>
    <w:rsid w:val="005D73D4"/>
    <w:rsid w:val="005D7658"/>
    <w:rsid w:val="005E1C0C"/>
    <w:rsid w:val="005E3224"/>
    <w:rsid w:val="005E4C26"/>
    <w:rsid w:val="005E501F"/>
    <w:rsid w:val="005E5183"/>
    <w:rsid w:val="005E56B2"/>
    <w:rsid w:val="005E56CC"/>
    <w:rsid w:val="005E577A"/>
    <w:rsid w:val="005E5D16"/>
    <w:rsid w:val="005E657D"/>
    <w:rsid w:val="005E743F"/>
    <w:rsid w:val="005E76B6"/>
    <w:rsid w:val="005E7A1C"/>
    <w:rsid w:val="005F00C8"/>
    <w:rsid w:val="005F0892"/>
    <w:rsid w:val="005F151B"/>
    <w:rsid w:val="005F1D5A"/>
    <w:rsid w:val="005F2222"/>
    <w:rsid w:val="005F316F"/>
    <w:rsid w:val="005F39E1"/>
    <w:rsid w:val="005F514B"/>
    <w:rsid w:val="005F54DE"/>
    <w:rsid w:val="005F555F"/>
    <w:rsid w:val="005F6490"/>
    <w:rsid w:val="005F6510"/>
    <w:rsid w:val="00601126"/>
    <w:rsid w:val="00603F46"/>
    <w:rsid w:val="00604824"/>
    <w:rsid w:val="0060516D"/>
    <w:rsid w:val="00605258"/>
    <w:rsid w:val="006052EC"/>
    <w:rsid w:val="0060530E"/>
    <w:rsid w:val="00605533"/>
    <w:rsid w:val="00605AE5"/>
    <w:rsid w:val="00606B78"/>
    <w:rsid w:val="00607B4D"/>
    <w:rsid w:val="00607EAC"/>
    <w:rsid w:val="00607F80"/>
    <w:rsid w:val="00611009"/>
    <w:rsid w:val="00612BEF"/>
    <w:rsid w:val="00612EED"/>
    <w:rsid w:val="00613AFA"/>
    <w:rsid w:val="00614956"/>
    <w:rsid w:val="00614F69"/>
    <w:rsid w:val="006150A2"/>
    <w:rsid w:val="00615F63"/>
    <w:rsid w:val="00621468"/>
    <w:rsid w:val="0062213A"/>
    <w:rsid w:val="00623AF8"/>
    <w:rsid w:val="00624D25"/>
    <w:rsid w:val="0062652E"/>
    <w:rsid w:val="00626719"/>
    <w:rsid w:val="006272A4"/>
    <w:rsid w:val="0062730E"/>
    <w:rsid w:val="00630303"/>
    <w:rsid w:val="0063057C"/>
    <w:rsid w:val="00631CC2"/>
    <w:rsid w:val="00631E94"/>
    <w:rsid w:val="00632B70"/>
    <w:rsid w:val="00632F1C"/>
    <w:rsid w:val="00633D78"/>
    <w:rsid w:val="00634AF4"/>
    <w:rsid w:val="006354E0"/>
    <w:rsid w:val="00635919"/>
    <w:rsid w:val="0063605D"/>
    <w:rsid w:val="00636104"/>
    <w:rsid w:val="006366C2"/>
    <w:rsid w:val="0063696B"/>
    <w:rsid w:val="00636D35"/>
    <w:rsid w:val="00640965"/>
    <w:rsid w:val="00640DA6"/>
    <w:rsid w:val="00641699"/>
    <w:rsid w:val="0064358A"/>
    <w:rsid w:val="00643BEF"/>
    <w:rsid w:val="00643E2D"/>
    <w:rsid w:val="006442E7"/>
    <w:rsid w:val="00644338"/>
    <w:rsid w:val="0064496D"/>
    <w:rsid w:val="00644DE8"/>
    <w:rsid w:val="0064569B"/>
    <w:rsid w:val="00645A1A"/>
    <w:rsid w:val="00646E21"/>
    <w:rsid w:val="00647100"/>
    <w:rsid w:val="0064730F"/>
    <w:rsid w:val="0064737E"/>
    <w:rsid w:val="0065008A"/>
    <w:rsid w:val="006504FB"/>
    <w:rsid w:val="006505CA"/>
    <w:rsid w:val="00650F0E"/>
    <w:rsid w:val="006510F4"/>
    <w:rsid w:val="0065226F"/>
    <w:rsid w:val="006530A1"/>
    <w:rsid w:val="00653471"/>
    <w:rsid w:val="00653F53"/>
    <w:rsid w:val="00654A8B"/>
    <w:rsid w:val="00654B4E"/>
    <w:rsid w:val="00654C53"/>
    <w:rsid w:val="006556EA"/>
    <w:rsid w:val="0065583B"/>
    <w:rsid w:val="00655940"/>
    <w:rsid w:val="006566DC"/>
    <w:rsid w:val="00657180"/>
    <w:rsid w:val="00657626"/>
    <w:rsid w:val="00660702"/>
    <w:rsid w:val="00660F95"/>
    <w:rsid w:val="00661889"/>
    <w:rsid w:val="00661F70"/>
    <w:rsid w:val="006626B3"/>
    <w:rsid w:val="00662742"/>
    <w:rsid w:val="00662CEF"/>
    <w:rsid w:val="00662ECF"/>
    <w:rsid w:val="00663772"/>
    <w:rsid w:val="00663C00"/>
    <w:rsid w:val="006644CD"/>
    <w:rsid w:val="0066555E"/>
    <w:rsid w:val="00665D0E"/>
    <w:rsid w:val="00666242"/>
    <w:rsid w:val="00666C68"/>
    <w:rsid w:val="006709F0"/>
    <w:rsid w:val="00670AA0"/>
    <w:rsid w:val="00670F10"/>
    <w:rsid w:val="006718EF"/>
    <w:rsid w:val="00672110"/>
    <w:rsid w:val="006738CF"/>
    <w:rsid w:val="00673B45"/>
    <w:rsid w:val="00674947"/>
    <w:rsid w:val="00674E4C"/>
    <w:rsid w:val="00674FB6"/>
    <w:rsid w:val="00675EE0"/>
    <w:rsid w:val="00676982"/>
    <w:rsid w:val="00676C93"/>
    <w:rsid w:val="00676DB7"/>
    <w:rsid w:val="006779E6"/>
    <w:rsid w:val="0068223A"/>
    <w:rsid w:val="00682FA9"/>
    <w:rsid w:val="00683320"/>
    <w:rsid w:val="00683B1D"/>
    <w:rsid w:val="0068417A"/>
    <w:rsid w:val="0068450B"/>
    <w:rsid w:val="0068451A"/>
    <w:rsid w:val="006854A1"/>
    <w:rsid w:val="00686856"/>
    <w:rsid w:val="00687AF5"/>
    <w:rsid w:val="00687BCC"/>
    <w:rsid w:val="0069051E"/>
    <w:rsid w:val="0069057B"/>
    <w:rsid w:val="006917A3"/>
    <w:rsid w:val="006918B0"/>
    <w:rsid w:val="006928FA"/>
    <w:rsid w:val="006931CD"/>
    <w:rsid w:val="006950CE"/>
    <w:rsid w:val="006976FC"/>
    <w:rsid w:val="006A00DE"/>
    <w:rsid w:val="006A00E4"/>
    <w:rsid w:val="006A066E"/>
    <w:rsid w:val="006A122A"/>
    <w:rsid w:val="006A19EC"/>
    <w:rsid w:val="006A1CA1"/>
    <w:rsid w:val="006A2D6F"/>
    <w:rsid w:val="006A3542"/>
    <w:rsid w:val="006A367C"/>
    <w:rsid w:val="006A3FA9"/>
    <w:rsid w:val="006A4732"/>
    <w:rsid w:val="006A4F77"/>
    <w:rsid w:val="006A5310"/>
    <w:rsid w:val="006A5BC8"/>
    <w:rsid w:val="006A633D"/>
    <w:rsid w:val="006A6D6B"/>
    <w:rsid w:val="006A703B"/>
    <w:rsid w:val="006A75E6"/>
    <w:rsid w:val="006B0514"/>
    <w:rsid w:val="006B15E9"/>
    <w:rsid w:val="006B1B76"/>
    <w:rsid w:val="006B2417"/>
    <w:rsid w:val="006B2984"/>
    <w:rsid w:val="006B3213"/>
    <w:rsid w:val="006B4EB6"/>
    <w:rsid w:val="006B6D55"/>
    <w:rsid w:val="006B73D0"/>
    <w:rsid w:val="006B78BB"/>
    <w:rsid w:val="006B7BFC"/>
    <w:rsid w:val="006C09EE"/>
    <w:rsid w:val="006C0A9A"/>
    <w:rsid w:val="006C12DD"/>
    <w:rsid w:val="006C2AE9"/>
    <w:rsid w:val="006C38B4"/>
    <w:rsid w:val="006C392A"/>
    <w:rsid w:val="006C3BE7"/>
    <w:rsid w:val="006C5676"/>
    <w:rsid w:val="006C6D46"/>
    <w:rsid w:val="006C6F22"/>
    <w:rsid w:val="006C7209"/>
    <w:rsid w:val="006C769B"/>
    <w:rsid w:val="006D0E7B"/>
    <w:rsid w:val="006D17D7"/>
    <w:rsid w:val="006D18F1"/>
    <w:rsid w:val="006D1ED2"/>
    <w:rsid w:val="006D33D4"/>
    <w:rsid w:val="006D3642"/>
    <w:rsid w:val="006D3FD2"/>
    <w:rsid w:val="006D40FA"/>
    <w:rsid w:val="006D48CD"/>
    <w:rsid w:val="006D4C76"/>
    <w:rsid w:val="006D57DF"/>
    <w:rsid w:val="006D5EA6"/>
    <w:rsid w:val="006D64FC"/>
    <w:rsid w:val="006D65CB"/>
    <w:rsid w:val="006E03D3"/>
    <w:rsid w:val="006E05B9"/>
    <w:rsid w:val="006E07A9"/>
    <w:rsid w:val="006E239F"/>
    <w:rsid w:val="006E2F18"/>
    <w:rsid w:val="006E3271"/>
    <w:rsid w:val="006E391E"/>
    <w:rsid w:val="006E7861"/>
    <w:rsid w:val="006F1121"/>
    <w:rsid w:val="006F21A4"/>
    <w:rsid w:val="006F2466"/>
    <w:rsid w:val="006F24FE"/>
    <w:rsid w:val="006F25E5"/>
    <w:rsid w:val="006F2B77"/>
    <w:rsid w:val="006F36E6"/>
    <w:rsid w:val="006F4A74"/>
    <w:rsid w:val="0070016E"/>
    <w:rsid w:val="00700C92"/>
    <w:rsid w:val="007028A4"/>
    <w:rsid w:val="00703055"/>
    <w:rsid w:val="00703AAA"/>
    <w:rsid w:val="00703DAC"/>
    <w:rsid w:val="00704A13"/>
    <w:rsid w:val="00705652"/>
    <w:rsid w:val="007056B2"/>
    <w:rsid w:val="0070695F"/>
    <w:rsid w:val="00706A65"/>
    <w:rsid w:val="00707CB0"/>
    <w:rsid w:val="00710279"/>
    <w:rsid w:val="007115BD"/>
    <w:rsid w:val="00711F20"/>
    <w:rsid w:val="00712350"/>
    <w:rsid w:val="00712749"/>
    <w:rsid w:val="00713C22"/>
    <w:rsid w:val="007158C9"/>
    <w:rsid w:val="00715A7E"/>
    <w:rsid w:val="00715F67"/>
    <w:rsid w:val="00716846"/>
    <w:rsid w:val="00716E0D"/>
    <w:rsid w:val="00716F98"/>
    <w:rsid w:val="00717090"/>
    <w:rsid w:val="00717218"/>
    <w:rsid w:val="007173BD"/>
    <w:rsid w:val="00720B46"/>
    <w:rsid w:val="00721089"/>
    <w:rsid w:val="007224B6"/>
    <w:rsid w:val="007225F9"/>
    <w:rsid w:val="00722B90"/>
    <w:rsid w:val="007231A9"/>
    <w:rsid w:val="00723258"/>
    <w:rsid w:val="00723C77"/>
    <w:rsid w:val="00723F76"/>
    <w:rsid w:val="007240FE"/>
    <w:rsid w:val="00725F7F"/>
    <w:rsid w:val="007263B4"/>
    <w:rsid w:val="00726558"/>
    <w:rsid w:val="007309A2"/>
    <w:rsid w:val="00732614"/>
    <w:rsid w:val="00732A57"/>
    <w:rsid w:val="00733032"/>
    <w:rsid w:val="007332B9"/>
    <w:rsid w:val="007335A8"/>
    <w:rsid w:val="00733E23"/>
    <w:rsid w:val="00734B70"/>
    <w:rsid w:val="007357E6"/>
    <w:rsid w:val="00736DC2"/>
    <w:rsid w:val="007371ED"/>
    <w:rsid w:val="007372CE"/>
    <w:rsid w:val="0073764C"/>
    <w:rsid w:val="00737893"/>
    <w:rsid w:val="00741811"/>
    <w:rsid w:val="0074214F"/>
    <w:rsid w:val="007432EF"/>
    <w:rsid w:val="00743C33"/>
    <w:rsid w:val="00744B04"/>
    <w:rsid w:val="00744D9A"/>
    <w:rsid w:val="00745A3D"/>
    <w:rsid w:val="00745E8C"/>
    <w:rsid w:val="00746AC0"/>
    <w:rsid w:val="007501A4"/>
    <w:rsid w:val="00750965"/>
    <w:rsid w:val="0075196B"/>
    <w:rsid w:val="00751B1C"/>
    <w:rsid w:val="00751C47"/>
    <w:rsid w:val="00752397"/>
    <w:rsid w:val="0075306B"/>
    <w:rsid w:val="00753352"/>
    <w:rsid w:val="00754814"/>
    <w:rsid w:val="00754D26"/>
    <w:rsid w:val="007557DD"/>
    <w:rsid w:val="00755C1D"/>
    <w:rsid w:val="00755C65"/>
    <w:rsid w:val="00756060"/>
    <w:rsid w:val="0075617D"/>
    <w:rsid w:val="0075667B"/>
    <w:rsid w:val="00756DE0"/>
    <w:rsid w:val="00756E7A"/>
    <w:rsid w:val="00760D45"/>
    <w:rsid w:val="007626BF"/>
    <w:rsid w:val="007628E5"/>
    <w:rsid w:val="007634B2"/>
    <w:rsid w:val="00763EB9"/>
    <w:rsid w:val="00765201"/>
    <w:rsid w:val="00765B43"/>
    <w:rsid w:val="00766129"/>
    <w:rsid w:val="0076635F"/>
    <w:rsid w:val="007666B3"/>
    <w:rsid w:val="00766D0C"/>
    <w:rsid w:val="0076753D"/>
    <w:rsid w:val="00767854"/>
    <w:rsid w:val="00767959"/>
    <w:rsid w:val="00770A69"/>
    <w:rsid w:val="00772B7D"/>
    <w:rsid w:val="00773331"/>
    <w:rsid w:val="00773A1B"/>
    <w:rsid w:val="00773F8C"/>
    <w:rsid w:val="00774393"/>
    <w:rsid w:val="007743C1"/>
    <w:rsid w:val="00774470"/>
    <w:rsid w:val="00774B64"/>
    <w:rsid w:val="00774EC6"/>
    <w:rsid w:val="007750E4"/>
    <w:rsid w:val="00775DB5"/>
    <w:rsid w:val="00776B66"/>
    <w:rsid w:val="00776E5A"/>
    <w:rsid w:val="0077767D"/>
    <w:rsid w:val="00777D38"/>
    <w:rsid w:val="0078196A"/>
    <w:rsid w:val="00781BF7"/>
    <w:rsid w:val="007821D9"/>
    <w:rsid w:val="00783CEA"/>
    <w:rsid w:val="007855C7"/>
    <w:rsid w:val="0078764E"/>
    <w:rsid w:val="00790D83"/>
    <w:rsid w:val="0079151D"/>
    <w:rsid w:val="007932EF"/>
    <w:rsid w:val="00793460"/>
    <w:rsid w:val="00793C6C"/>
    <w:rsid w:val="007960D2"/>
    <w:rsid w:val="0079672C"/>
    <w:rsid w:val="00796D77"/>
    <w:rsid w:val="00797A4E"/>
    <w:rsid w:val="00797FD3"/>
    <w:rsid w:val="007A1427"/>
    <w:rsid w:val="007A156A"/>
    <w:rsid w:val="007A1E7A"/>
    <w:rsid w:val="007A2FE9"/>
    <w:rsid w:val="007A345F"/>
    <w:rsid w:val="007A3D18"/>
    <w:rsid w:val="007B0C27"/>
    <w:rsid w:val="007B0C95"/>
    <w:rsid w:val="007B0FD9"/>
    <w:rsid w:val="007B1073"/>
    <w:rsid w:val="007B1717"/>
    <w:rsid w:val="007B34F3"/>
    <w:rsid w:val="007B3982"/>
    <w:rsid w:val="007B3AB3"/>
    <w:rsid w:val="007B3CAD"/>
    <w:rsid w:val="007B4AE0"/>
    <w:rsid w:val="007B4EB8"/>
    <w:rsid w:val="007B500D"/>
    <w:rsid w:val="007B55B3"/>
    <w:rsid w:val="007B5A4A"/>
    <w:rsid w:val="007B5B9C"/>
    <w:rsid w:val="007B6844"/>
    <w:rsid w:val="007B6DB8"/>
    <w:rsid w:val="007B7A18"/>
    <w:rsid w:val="007C00CE"/>
    <w:rsid w:val="007C0590"/>
    <w:rsid w:val="007C294C"/>
    <w:rsid w:val="007C2AF7"/>
    <w:rsid w:val="007C2CF5"/>
    <w:rsid w:val="007C3684"/>
    <w:rsid w:val="007C411E"/>
    <w:rsid w:val="007C48E2"/>
    <w:rsid w:val="007C4BD9"/>
    <w:rsid w:val="007C58EF"/>
    <w:rsid w:val="007C7AFD"/>
    <w:rsid w:val="007D1F84"/>
    <w:rsid w:val="007D2655"/>
    <w:rsid w:val="007D275D"/>
    <w:rsid w:val="007D2F70"/>
    <w:rsid w:val="007D3182"/>
    <w:rsid w:val="007D353B"/>
    <w:rsid w:val="007D3A40"/>
    <w:rsid w:val="007D3DA4"/>
    <w:rsid w:val="007D7A41"/>
    <w:rsid w:val="007D7D30"/>
    <w:rsid w:val="007E01E3"/>
    <w:rsid w:val="007E01FC"/>
    <w:rsid w:val="007E03F4"/>
    <w:rsid w:val="007E05B0"/>
    <w:rsid w:val="007E05E5"/>
    <w:rsid w:val="007E08D8"/>
    <w:rsid w:val="007E0A36"/>
    <w:rsid w:val="007E1BFE"/>
    <w:rsid w:val="007E1C68"/>
    <w:rsid w:val="007E2AF6"/>
    <w:rsid w:val="007E2E15"/>
    <w:rsid w:val="007E376F"/>
    <w:rsid w:val="007E3F33"/>
    <w:rsid w:val="007E4080"/>
    <w:rsid w:val="007E448A"/>
    <w:rsid w:val="007E4820"/>
    <w:rsid w:val="007E4AD2"/>
    <w:rsid w:val="007E4B27"/>
    <w:rsid w:val="007E4C71"/>
    <w:rsid w:val="007E554C"/>
    <w:rsid w:val="007E5851"/>
    <w:rsid w:val="007E6AEB"/>
    <w:rsid w:val="007E6B0B"/>
    <w:rsid w:val="007F077F"/>
    <w:rsid w:val="007F1CB3"/>
    <w:rsid w:val="007F1FED"/>
    <w:rsid w:val="007F3A7D"/>
    <w:rsid w:val="007F3D6A"/>
    <w:rsid w:val="007F51F0"/>
    <w:rsid w:val="007F6150"/>
    <w:rsid w:val="007F6773"/>
    <w:rsid w:val="007F6D73"/>
    <w:rsid w:val="00800153"/>
    <w:rsid w:val="008004CA"/>
    <w:rsid w:val="00800F5C"/>
    <w:rsid w:val="008018DE"/>
    <w:rsid w:val="00802C64"/>
    <w:rsid w:val="00803427"/>
    <w:rsid w:val="0080428C"/>
    <w:rsid w:val="00804C62"/>
    <w:rsid w:val="008055F6"/>
    <w:rsid w:val="00805973"/>
    <w:rsid w:val="00806257"/>
    <w:rsid w:val="00806E50"/>
    <w:rsid w:val="008101B3"/>
    <w:rsid w:val="00810583"/>
    <w:rsid w:val="00811014"/>
    <w:rsid w:val="0081104E"/>
    <w:rsid w:val="00811170"/>
    <w:rsid w:val="00811A4A"/>
    <w:rsid w:val="00812302"/>
    <w:rsid w:val="00812C15"/>
    <w:rsid w:val="0081394C"/>
    <w:rsid w:val="00813B35"/>
    <w:rsid w:val="0081604D"/>
    <w:rsid w:val="008173B3"/>
    <w:rsid w:val="0082053D"/>
    <w:rsid w:val="00821A13"/>
    <w:rsid w:val="008225D1"/>
    <w:rsid w:val="00822B3A"/>
    <w:rsid w:val="00822EAF"/>
    <w:rsid w:val="00822F09"/>
    <w:rsid w:val="0082338B"/>
    <w:rsid w:val="00823658"/>
    <w:rsid w:val="00823B87"/>
    <w:rsid w:val="00823E1F"/>
    <w:rsid w:val="00824CFE"/>
    <w:rsid w:val="00826057"/>
    <w:rsid w:val="00826302"/>
    <w:rsid w:val="008264BD"/>
    <w:rsid w:val="00826502"/>
    <w:rsid w:val="0082782B"/>
    <w:rsid w:val="008307DF"/>
    <w:rsid w:val="00830EE5"/>
    <w:rsid w:val="00830F98"/>
    <w:rsid w:val="0083267D"/>
    <w:rsid w:val="00832F1B"/>
    <w:rsid w:val="00833389"/>
    <w:rsid w:val="00833BA3"/>
    <w:rsid w:val="00833D30"/>
    <w:rsid w:val="00833E9B"/>
    <w:rsid w:val="00834AA0"/>
    <w:rsid w:val="00834CFD"/>
    <w:rsid w:val="008356B9"/>
    <w:rsid w:val="008363A4"/>
    <w:rsid w:val="0083721C"/>
    <w:rsid w:val="00837804"/>
    <w:rsid w:val="00841033"/>
    <w:rsid w:val="00841C22"/>
    <w:rsid w:val="00842370"/>
    <w:rsid w:val="00842543"/>
    <w:rsid w:val="00842A88"/>
    <w:rsid w:val="00842F44"/>
    <w:rsid w:val="0084332A"/>
    <w:rsid w:val="00843AA8"/>
    <w:rsid w:val="00843E4A"/>
    <w:rsid w:val="00844128"/>
    <w:rsid w:val="00844711"/>
    <w:rsid w:val="00844AD1"/>
    <w:rsid w:val="00845FAE"/>
    <w:rsid w:val="00846E29"/>
    <w:rsid w:val="00847720"/>
    <w:rsid w:val="00850215"/>
    <w:rsid w:val="00850435"/>
    <w:rsid w:val="0085077A"/>
    <w:rsid w:val="00851231"/>
    <w:rsid w:val="00851C1E"/>
    <w:rsid w:val="00851CD7"/>
    <w:rsid w:val="00852CEE"/>
    <w:rsid w:val="00852EA1"/>
    <w:rsid w:val="00852F1D"/>
    <w:rsid w:val="008534A8"/>
    <w:rsid w:val="008549BD"/>
    <w:rsid w:val="00854CC9"/>
    <w:rsid w:val="00854DEE"/>
    <w:rsid w:val="00855538"/>
    <w:rsid w:val="00855841"/>
    <w:rsid w:val="00857BA3"/>
    <w:rsid w:val="00860D7B"/>
    <w:rsid w:val="0086109A"/>
    <w:rsid w:val="00861B85"/>
    <w:rsid w:val="00861F82"/>
    <w:rsid w:val="008637D4"/>
    <w:rsid w:val="008638D7"/>
    <w:rsid w:val="0086411A"/>
    <w:rsid w:val="008647CF"/>
    <w:rsid w:val="00864EE4"/>
    <w:rsid w:val="0086514A"/>
    <w:rsid w:val="00865925"/>
    <w:rsid w:val="00865DF9"/>
    <w:rsid w:val="008667E9"/>
    <w:rsid w:val="00866F83"/>
    <w:rsid w:val="008703B5"/>
    <w:rsid w:val="00870AC4"/>
    <w:rsid w:val="00872AE3"/>
    <w:rsid w:val="00873625"/>
    <w:rsid w:val="00873915"/>
    <w:rsid w:val="00873D07"/>
    <w:rsid w:val="00874D22"/>
    <w:rsid w:val="00874D7D"/>
    <w:rsid w:val="008758DA"/>
    <w:rsid w:val="00876764"/>
    <w:rsid w:val="0088164C"/>
    <w:rsid w:val="00881997"/>
    <w:rsid w:val="00881D51"/>
    <w:rsid w:val="00882948"/>
    <w:rsid w:val="00882CBD"/>
    <w:rsid w:val="00882E56"/>
    <w:rsid w:val="00883BF0"/>
    <w:rsid w:val="00883EBD"/>
    <w:rsid w:val="00884056"/>
    <w:rsid w:val="0088488B"/>
    <w:rsid w:val="00885512"/>
    <w:rsid w:val="00885993"/>
    <w:rsid w:val="008869CC"/>
    <w:rsid w:val="00886B18"/>
    <w:rsid w:val="008871D6"/>
    <w:rsid w:val="00887C7F"/>
    <w:rsid w:val="00891B15"/>
    <w:rsid w:val="00891B8E"/>
    <w:rsid w:val="00891EEE"/>
    <w:rsid w:val="00892B22"/>
    <w:rsid w:val="008936D2"/>
    <w:rsid w:val="0089429B"/>
    <w:rsid w:val="00894627"/>
    <w:rsid w:val="00894DE9"/>
    <w:rsid w:val="00895163"/>
    <w:rsid w:val="0089562B"/>
    <w:rsid w:val="00895E23"/>
    <w:rsid w:val="008960E6"/>
    <w:rsid w:val="00896E89"/>
    <w:rsid w:val="0089781A"/>
    <w:rsid w:val="008A1795"/>
    <w:rsid w:val="008A1D70"/>
    <w:rsid w:val="008A27E0"/>
    <w:rsid w:val="008A2914"/>
    <w:rsid w:val="008A3F16"/>
    <w:rsid w:val="008A6096"/>
    <w:rsid w:val="008A6FCA"/>
    <w:rsid w:val="008A7960"/>
    <w:rsid w:val="008B12B2"/>
    <w:rsid w:val="008B1418"/>
    <w:rsid w:val="008B23B2"/>
    <w:rsid w:val="008B3331"/>
    <w:rsid w:val="008B37DA"/>
    <w:rsid w:val="008B3FC4"/>
    <w:rsid w:val="008B3FC7"/>
    <w:rsid w:val="008B44D5"/>
    <w:rsid w:val="008B5245"/>
    <w:rsid w:val="008B5A34"/>
    <w:rsid w:val="008B601F"/>
    <w:rsid w:val="008B649B"/>
    <w:rsid w:val="008B660C"/>
    <w:rsid w:val="008B6811"/>
    <w:rsid w:val="008B6986"/>
    <w:rsid w:val="008B6FC0"/>
    <w:rsid w:val="008B739C"/>
    <w:rsid w:val="008C3BDC"/>
    <w:rsid w:val="008C45CB"/>
    <w:rsid w:val="008C472F"/>
    <w:rsid w:val="008C5A59"/>
    <w:rsid w:val="008C6184"/>
    <w:rsid w:val="008C6223"/>
    <w:rsid w:val="008C64F7"/>
    <w:rsid w:val="008C688C"/>
    <w:rsid w:val="008C6DB6"/>
    <w:rsid w:val="008C6E50"/>
    <w:rsid w:val="008C6EFC"/>
    <w:rsid w:val="008C7848"/>
    <w:rsid w:val="008C7F00"/>
    <w:rsid w:val="008D03B4"/>
    <w:rsid w:val="008D09DB"/>
    <w:rsid w:val="008D11F5"/>
    <w:rsid w:val="008D1644"/>
    <w:rsid w:val="008D1AA1"/>
    <w:rsid w:val="008D1BAA"/>
    <w:rsid w:val="008D1C36"/>
    <w:rsid w:val="008D2124"/>
    <w:rsid w:val="008D24E8"/>
    <w:rsid w:val="008D274E"/>
    <w:rsid w:val="008D3451"/>
    <w:rsid w:val="008D356C"/>
    <w:rsid w:val="008D4623"/>
    <w:rsid w:val="008D4AB5"/>
    <w:rsid w:val="008D5F7F"/>
    <w:rsid w:val="008D6484"/>
    <w:rsid w:val="008D7754"/>
    <w:rsid w:val="008E073B"/>
    <w:rsid w:val="008E07BD"/>
    <w:rsid w:val="008E0D4C"/>
    <w:rsid w:val="008E1CBF"/>
    <w:rsid w:val="008E49DD"/>
    <w:rsid w:val="008E4B14"/>
    <w:rsid w:val="008E4D8E"/>
    <w:rsid w:val="008E569F"/>
    <w:rsid w:val="008E57D0"/>
    <w:rsid w:val="008E643F"/>
    <w:rsid w:val="008E76A6"/>
    <w:rsid w:val="008E76F8"/>
    <w:rsid w:val="008E7D05"/>
    <w:rsid w:val="008F03A5"/>
    <w:rsid w:val="008F2473"/>
    <w:rsid w:val="008F2C22"/>
    <w:rsid w:val="008F430D"/>
    <w:rsid w:val="008F459B"/>
    <w:rsid w:val="008F4909"/>
    <w:rsid w:val="008F4E6F"/>
    <w:rsid w:val="008F5418"/>
    <w:rsid w:val="008F5C8D"/>
    <w:rsid w:val="008F5DDF"/>
    <w:rsid w:val="008F604C"/>
    <w:rsid w:val="008F7018"/>
    <w:rsid w:val="008F7BAE"/>
    <w:rsid w:val="00900722"/>
    <w:rsid w:val="009025A3"/>
    <w:rsid w:val="00902F59"/>
    <w:rsid w:val="0090363A"/>
    <w:rsid w:val="00904274"/>
    <w:rsid w:val="009047B3"/>
    <w:rsid w:val="009056D7"/>
    <w:rsid w:val="009058AE"/>
    <w:rsid w:val="00906947"/>
    <w:rsid w:val="0090723F"/>
    <w:rsid w:val="00907810"/>
    <w:rsid w:val="00907AEC"/>
    <w:rsid w:val="00910C0F"/>
    <w:rsid w:val="00911676"/>
    <w:rsid w:val="0091195C"/>
    <w:rsid w:val="00912A3C"/>
    <w:rsid w:val="00912F68"/>
    <w:rsid w:val="00913037"/>
    <w:rsid w:val="009150BD"/>
    <w:rsid w:val="0091635F"/>
    <w:rsid w:val="009163FF"/>
    <w:rsid w:val="00916766"/>
    <w:rsid w:val="00916EB0"/>
    <w:rsid w:val="00916FB2"/>
    <w:rsid w:val="009207CF"/>
    <w:rsid w:val="009218C1"/>
    <w:rsid w:val="009221DE"/>
    <w:rsid w:val="00922394"/>
    <w:rsid w:val="00923998"/>
    <w:rsid w:val="00923BC3"/>
    <w:rsid w:val="009249F3"/>
    <w:rsid w:val="00924FDD"/>
    <w:rsid w:val="009255E0"/>
    <w:rsid w:val="00926037"/>
    <w:rsid w:val="00926731"/>
    <w:rsid w:val="00930009"/>
    <w:rsid w:val="00930524"/>
    <w:rsid w:val="0093076A"/>
    <w:rsid w:val="0093096C"/>
    <w:rsid w:val="00930991"/>
    <w:rsid w:val="0093372D"/>
    <w:rsid w:val="009339F6"/>
    <w:rsid w:val="00935032"/>
    <w:rsid w:val="00935911"/>
    <w:rsid w:val="00935A5B"/>
    <w:rsid w:val="009360B1"/>
    <w:rsid w:val="00937395"/>
    <w:rsid w:val="0093751B"/>
    <w:rsid w:val="00937C9A"/>
    <w:rsid w:val="009400A8"/>
    <w:rsid w:val="00940423"/>
    <w:rsid w:val="00940754"/>
    <w:rsid w:val="00940CBF"/>
    <w:rsid w:val="00940D52"/>
    <w:rsid w:val="0094101B"/>
    <w:rsid w:val="0094114E"/>
    <w:rsid w:val="00941EA9"/>
    <w:rsid w:val="00941F05"/>
    <w:rsid w:val="00941FEA"/>
    <w:rsid w:val="009434CF"/>
    <w:rsid w:val="0094352B"/>
    <w:rsid w:val="0094400D"/>
    <w:rsid w:val="00946C7E"/>
    <w:rsid w:val="009472EB"/>
    <w:rsid w:val="00947407"/>
    <w:rsid w:val="0095064C"/>
    <w:rsid w:val="00950704"/>
    <w:rsid w:val="0095080B"/>
    <w:rsid w:val="00950E99"/>
    <w:rsid w:val="009523EB"/>
    <w:rsid w:val="00952580"/>
    <w:rsid w:val="0095262B"/>
    <w:rsid w:val="00952F92"/>
    <w:rsid w:val="00952F99"/>
    <w:rsid w:val="00955179"/>
    <w:rsid w:val="00955283"/>
    <w:rsid w:val="00955C2C"/>
    <w:rsid w:val="0095630B"/>
    <w:rsid w:val="00956E80"/>
    <w:rsid w:val="0095755C"/>
    <w:rsid w:val="00957B4A"/>
    <w:rsid w:val="009603EA"/>
    <w:rsid w:val="00960724"/>
    <w:rsid w:val="009611C8"/>
    <w:rsid w:val="00961D99"/>
    <w:rsid w:val="00962433"/>
    <w:rsid w:val="009625E8"/>
    <w:rsid w:val="009629B0"/>
    <w:rsid w:val="00963104"/>
    <w:rsid w:val="009639FB"/>
    <w:rsid w:val="00964895"/>
    <w:rsid w:val="00965632"/>
    <w:rsid w:val="00965CBF"/>
    <w:rsid w:val="00965E2A"/>
    <w:rsid w:val="0096644F"/>
    <w:rsid w:val="0097016A"/>
    <w:rsid w:val="0097059D"/>
    <w:rsid w:val="00970B3A"/>
    <w:rsid w:val="0097169C"/>
    <w:rsid w:val="009718BE"/>
    <w:rsid w:val="00972945"/>
    <w:rsid w:val="00973433"/>
    <w:rsid w:val="009738F9"/>
    <w:rsid w:val="009744CE"/>
    <w:rsid w:val="00975301"/>
    <w:rsid w:val="00975CFF"/>
    <w:rsid w:val="0097613B"/>
    <w:rsid w:val="00977DAB"/>
    <w:rsid w:val="00977EDE"/>
    <w:rsid w:val="00981423"/>
    <w:rsid w:val="00981942"/>
    <w:rsid w:val="009836A3"/>
    <w:rsid w:val="00986B90"/>
    <w:rsid w:val="00987AFB"/>
    <w:rsid w:val="00990742"/>
    <w:rsid w:val="00991647"/>
    <w:rsid w:val="00991B0F"/>
    <w:rsid w:val="00991D49"/>
    <w:rsid w:val="00991F68"/>
    <w:rsid w:val="0099233D"/>
    <w:rsid w:val="00992C58"/>
    <w:rsid w:val="00993970"/>
    <w:rsid w:val="009945D1"/>
    <w:rsid w:val="00995260"/>
    <w:rsid w:val="009959B0"/>
    <w:rsid w:val="00997A85"/>
    <w:rsid w:val="00997A8D"/>
    <w:rsid w:val="009A08FA"/>
    <w:rsid w:val="009A0B90"/>
    <w:rsid w:val="009A1562"/>
    <w:rsid w:val="009A1598"/>
    <w:rsid w:val="009A1CA7"/>
    <w:rsid w:val="009A21DB"/>
    <w:rsid w:val="009A2A11"/>
    <w:rsid w:val="009A32B0"/>
    <w:rsid w:val="009A36D6"/>
    <w:rsid w:val="009A416A"/>
    <w:rsid w:val="009A43E6"/>
    <w:rsid w:val="009A4667"/>
    <w:rsid w:val="009A5421"/>
    <w:rsid w:val="009A5BB6"/>
    <w:rsid w:val="009A67AC"/>
    <w:rsid w:val="009A6EA3"/>
    <w:rsid w:val="009A6F45"/>
    <w:rsid w:val="009A7F8C"/>
    <w:rsid w:val="009B0DE6"/>
    <w:rsid w:val="009B1371"/>
    <w:rsid w:val="009B31B7"/>
    <w:rsid w:val="009B3450"/>
    <w:rsid w:val="009B38BA"/>
    <w:rsid w:val="009B3D90"/>
    <w:rsid w:val="009B5395"/>
    <w:rsid w:val="009B5550"/>
    <w:rsid w:val="009B6062"/>
    <w:rsid w:val="009B61C1"/>
    <w:rsid w:val="009B66C0"/>
    <w:rsid w:val="009B67AC"/>
    <w:rsid w:val="009B697A"/>
    <w:rsid w:val="009B6AA3"/>
    <w:rsid w:val="009C0E24"/>
    <w:rsid w:val="009C1398"/>
    <w:rsid w:val="009C1D7F"/>
    <w:rsid w:val="009C27C0"/>
    <w:rsid w:val="009C2A1E"/>
    <w:rsid w:val="009C2DEB"/>
    <w:rsid w:val="009C3381"/>
    <w:rsid w:val="009C3628"/>
    <w:rsid w:val="009C43F3"/>
    <w:rsid w:val="009C46ED"/>
    <w:rsid w:val="009C5340"/>
    <w:rsid w:val="009C5BFC"/>
    <w:rsid w:val="009C63A0"/>
    <w:rsid w:val="009C6BA7"/>
    <w:rsid w:val="009C6D60"/>
    <w:rsid w:val="009C7216"/>
    <w:rsid w:val="009C7456"/>
    <w:rsid w:val="009D04F5"/>
    <w:rsid w:val="009D1AED"/>
    <w:rsid w:val="009D1CB4"/>
    <w:rsid w:val="009D1D22"/>
    <w:rsid w:val="009D208B"/>
    <w:rsid w:val="009D23C9"/>
    <w:rsid w:val="009D24B4"/>
    <w:rsid w:val="009D2A5B"/>
    <w:rsid w:val="009D4299"/>
    <w:rsid w:val="009D4358"/>
    <w:rsid w:val="009D49C8"/>
    <w:rsid w:val="009D4D32"/>
    <w:rsid w:val="009D4F8E"/>
    <w:rsid w:val="009D5086"/>
    <w:rsid w:val="009D56C6"/>
    <w:rsid w:val="009D5D7A"/>
    <w:rsid w:val="009D6AC8"/>
    <w:rsid w:val="009D6D7F"/>
    <w:rsid w:val="009D6F99"/>
    <w:rsid w:val="009D71C8"/>
    <w:rsid w:val="009D7BF4"/>
    <w:rsid w:val="009D7EB6"/>
    <w:rsid w:val="009E056F"/>
    <w:rsid w:val="009E08B9"/>
    <w:rsid w:val="009E12BD"/>
    <w:rsid w:val="009E2114"/>
    <w:rsid w:val="009E2A93"/>
    <w:rsid w:val="009E48D6"/>
    <w:rsid w:val="009E4AF7"/>
    <w:rsid w:val="009E5EFB"/>
    <w:rsid w:val="009E6522"/>
    <w:rsid w:val="009E6B39"/>
    <w:rsid w:val="009E7713"/>
    <w:rsid w:val="009E78B8"/>
    <w:rsid w:val="009E7A65"/>
    <w:rsid w:val="009E7E75"/>
    <w:rsid w:val="009F0A74"/>
    <w:rsid w:val="009F1F74"/>
    <w:rsid w:val="009F29BB"/>
    <w:rsid w:val="009F32A5"/>
    <w:rsid w:val="009F3FAE"/>
    <w:rsid w:val="009F408D"/>
    <w:rsid w:val="009F40FF"/>
    <w:rsid w:val="009F42C6"/>
    <w:rsid w:val="009F49E3"/>
    <w:rsid w:val="009F4E6A"/>
    <w:rsid w:val="009F4F49"/>
    <w:rsid w:val="009F4FB8"/>
    <w:rsid w:val="009F4FBB"/>
    <w:rsid w:val="009F6B48"/>
    <w:rsid w:val="009F719B"/>
    <w:rsid w:val="009F721C"/>
    <w:rsid w:val="00A00419"/>
    <w:rsid w:val="00A00C09"/>
    <w:rsid w:val="00A01F21"/>
    <w:rsid w:val="00A0248A"/>
    <w:rsid w:val="00A028D1"/>
    <w:rsid w:val="00A042A1"/>
    <w:rsid w:val="00A04400"/>
    <w:rsid w:val="00A04F0F"/>
    <w:rsid w:val="00A04F2A"/>
    <w:rsid w:val="00A055CB"/>
    <w:rsid w:val="00A056D8"/>
    <w:rsid w:val="00A0758A"/>
    <w:rsid w:val="00A1275B"/>
    <w:rsid w:val="00A12869"/>
    <w:rsid w:val="00A12FBC"/>
    <w:rsid w:val="00A13D8B"/>
    <w:rsid w:val="00A13F13"/>
    <w:rsid w:val="00A14159"/>
    <w:rsid w:val="00A14458"/>
    <w:rsid w:val="00A144B1"/>
    <w:rsid w:val="00A1528B"/>
    <w:rsid w:val="00A1566F"/>
    <w:rsid w:val="00A17DDE"/>
    <w:rsid w:val="00A17F17"/>
    <w:rsid w:val="00A201CB"/>
    <w:rsid w:val="00A2337A"/>
    <w:rsid w:val="00A242A7"/>
    <w:rsid w:val="00A24A3D"/>
    <w:rsid w:val="00A27076"/>
    <w:rsid w:val="00A273D1"/>
    <w:rsid w:val="00A274D2"/>
    <w:rsid w:val="00A27626"/>
    <w:rsid w:val="00A278C1"/>
    <w:rsid w:val="00A27EB1"/>
    <w:rsid w:val="00A30071"/>
    <w:rsid w:val="00A30469"/>
    <w:rsid w:val="00A30B57"/>
    <w:rsid w:val="00A30FE2"/>
    <w:rsid w:val="00A31596"/>
    <w:rsid w:val="00A315FE"/>
    <w:rsid w:val="00A31B77"/>
    <w:rsid w:val="00A31D23"/>
    <w:rsid w:val="00A338AF"/>
    <w:rsid w:val="00A35736"/>
    <w:rsid w:val="00A36076"/>
    <w:rsid w:val="00A37076"/>
    <w:rsid w:val="00A37C07"/>
    <w:rsid w:val="00A37E8D"/>
    <w:rsid w:val="00A4100E"/>
    <w:rsid w:val="00A41B4A"/>
    <w:rsid w:val="00A41C0E"/>
    <w:rsid w:val="00A424B7"/>
    <w:rsid w:val="00A42C61"/>
    <w:rsid w:val="00A43351"/>
    <w:rsid w:val="00A4354F"/>
    <w:rsid w:val="00A43A41"/>
    <w:rsid w:val="00A43BCA"/>
    <w:rsid w:val="00A449B6"/>
    <w:rsid w:val="00A44F4C"/>
    <w:rsid w:val="00A450C7"/>
    <w:rsid w:val="00A462A2"/>
    <w:rsid w:val="00A47639"/>
    <w:rsid w:val="00A5042E"/>
    <w:rsid w:val="00A51030"/>
    <w:rsid w:val="00A53E99"/>
    <w:rsid w:val="00A54BB2"/>
    <w:rsid w:val="00A55086"/>
    <w:rsid w:val="00A55BF6"/>
    <w:rsid w:val="00A55C44"/>
    <w:rsid w:val="00A563DB"/>
    <w:rsid w:val="00A564D9"/>
    <w:rsid w:val="00A57377"/>
    <w:rsid w:val="00A5757C"/>
    <w:rsid w:val="00A577D6"/>
    <w:rsid w:val="00A57BD1"/>
    <w:rsid w:val="00A605A2"/>
    <w:rsid w:val="00A62D96"/>
    <w:rsid w:val="00A62F7F"/>
    <w:rsid w:val="00A6397F"/>
    <w:rsid w:val="00A65ED1"/>
    <w:rsid w:val="00A6681F"/>
    <w:rsid w:val="00A66ED8"/>
    <w:rsid w:val="00A67EDB"/>
    <w:rsid w:val="00A703D7"/>
    <w:rsid w:val="00A70B7A"/>
    <w:rsid w:val="00A7109C"/>
    <w:rsid w:val="00A71111"/>
    <w:rsid w:val="00A71195"/>
    <w:rsid w:val="00A712AF"/>
    <w:rsid w:val="00A71DB5"/>
    <w:rsid w:val="00A731A4"/>
    <w:rsid w:val="00A733E9"/>
    <w:rsid w:val="00A737B6"/>
    <w:rsid w:val="00A74DBC"/>
    <w:rsid w:val="00A751CF"/>
    <w:rsid w:val="00A7583F"/>
    <w:rsid w:val="00A75E5E"/>
    <w:rsid w:val="00A763BA"/>
    <w:rsid w:val="00A76AA6"/>
    <w:rsid w:val="00A76ED2"/>
    <w:rsid w:val="00A77302"/>
    <w:rsid w:val="00A7769D"/>
    <w:rsid w:val="00A808B0"/>
    <w:rsid w:val="00A80D08"/>
    <w:rsid w:val="00A825DB"/>
    <w:rsid w:val="00A830EE"/>
    <w:rsid w:val="00A8428B"/>
    <w:rsid w:val="00A84DD0"/>
    <w:rsid w:val="00A85D3B"/>
    <w:rsid w:val="00A861E7"/>
    <w:rsid w:val="00A86E96"/>
    <w:rsid w:val="00A871CA"/>
    <w:rsid w:val="00A8759A"/>
    <w:rsid w:val="00A9026F"/>
    <w:rsid w:val="00A9049A"/>
    <w:rsid w:val="00A91BEB"/>
    <w:rsid w:val="00A92964"/>
    <w:rsid w:val="00A959B6"/>
    <w:rsid w:val="00A96147"/>
    <w:rsid w:val="00A96801"/>
    <w:rsid w:val="00A9683A"/>
    <w:rsid w:val="00A96916"/>
    <w:rsid w:val="00A97266"/>
    <w:rsid w:val="00A97645"/>
    <w:rsid w:val="00A97941"/>
    <w:rsid w:val="00A97B2B"/>
    <w:rsid w:val="00AA06F1"/>
    <w:rsid w:val="00AA0DE3"/>
    <w:rsid w:val="00AA1AB9"/>
    <w:rsid w:val="00AA3626"/>
    <w:rsid w:val="00AA39EB"/>
    <w:rsid w:val="00AA46A2"/>
    <w:rsid w:val="00AA49D6"/>
    <w:rsid w:val="00AA4EA9"/>
    <w:rsid w:val="00AA51A7"/>
    <w:rsid w:val="00AA68AC"/>
    <w:rsid w:val="00AA6B1B"/>
    <w:rsid w:val="00AA70DF"/>
    <w:rsid w:val="00AA745D"/>
    <w:rsid w:val="00AB0BF9"/>
    <w:rsid w:val="00AB2A8B"/>
    <w:rsid w:val="00AB3332"/>
    <w:rsid w:val="00AB38CA"/>
    <w:rsid w:val="00AB3EB4"/>
    <w:rsid w:val="00AB4887"/>
    <w:rsid w:val="00AB50BF"/>
    <w:rsid w:val="00AB511E"/>
    <w:rsid w:val="00AB54C6"/>
    <w:rsid w:val="00AB56A7"/>
    <w:rsid w:val="00AB7450"/>
    <w:rsid w:val="00AC254B"/>
    <w:rsid w:val="00AC33D5"/>
    <w:rsid w:val="00AC3412"/>
    <w:rsid w:val="00AC36E6"/>
    <w:rsid w:val="00AC3752"/>
    <w:rsid w:val="00AC3D66"/>
    <w:rsid w:val="00AC426C"/>
    <w:rsid w:val="00AC48CA"/>
    <w:rsid w:val="00AC5148"/>
    <w:rsid w:val="00AC5E70"/>
    <w:rsid w:val="00AC6E52"/>
    <w:rsid w:val="00AC6E5B"/>
    <w:rsid w:val="00AC799C"/>
    <w:rsid w:val="00AD0AC2"/>
    <w:rsid w:val="00AD0CAC"/>
    <w:rsid w:val="00AD1495"/>
    <w:rsid w:val="00AD4BC2"/>
    <w:rsid w:val="00AD5547"/>
    <w:rsid w:val="00AD55B4"/>
    <w:rsid w:val="00AD6C87"/>
    <w:rsid w:val="00AD72FB"/>
    <w:rsid w:val="00AD7340"/>
    <w:rsid w:val="00AE01EE"/>
    <w:rsid w:val="00AE1836"/>
    <w:rsid w:val="00AE4CFF"/>
    <w:rsid w:val="00AE61B4"/>
    <w:rsid w:val="00AE7C2C"/>
    <w:rsid w:val="00AE7F8C"/>
    <w:rsid w:val="00AF0616"/>
    <w:rsid w:val="00AF0C73"/>
    <w:rsid w:val="00AF0EC2"/>
    <w:rsid w:val="00AF0FD0"/>
    <w:rsid w:val="00AF101C"/>
    <w:rsid w:val="00AF1CBD"/>
    <w:rsid w:val="00AF2571"/>
    <w:rsid w:val="00AF3626"/>
    <w:rsid w:val="00AF56A1"/>
    <w:rsid w:val="00AF58C4"/>
    <w:rsid w:val="00AF618C"/>
    <w:rsid w:val="00AF662D"/>
    <w:rsid w:val="00AF67D5"/>
    <w:rsid w:val="00AF6F13"/>
    <w:rsid w:val="00AF7BBE"/>
    <w:rsid w:val="00AF7E4D"/>
    <w:rsid w:val="00B0079B"/>
    <w:rsid w:val="00B007CD"/>
    <w:rsid w:val="00B01119"/>
    <w:rsid w:val="00B0128C"/>
    <w:rsid w:val="00B02D64"/>
    <w:rsid w:val="00B031AC"/>
    <w:rsid w:val="00B0385B"/>
    <w:rsid w:val="00B03921"/>
    <w:rsid w:val="00B03CB8"/>
    <w:rsid w:val="00B04D67"/>
    <w:rsid w:val="00B05A44"/>
    <w:rsid w:val="00B07C6E"/>
    <w:rsid w:val="00B10D2B"/>
    <w:rsid w:val="00B11A7C"/>
    <w:rsid w:val="00B11EC0"/>
    <w:rsid w:val="00B12C7D"/>
    <w:rsid w:val="00B1306A"/>
    <w:rsid w:val="00B13661"/>
    <w:rsid w:val="00B1371B"/>
    <w:rsid w:val="00B13A00"/>
    <w:rsid w:val="00B15153"/>
    <w:rsid w:val="00B156F9"/>
    <w:rsid w:val="00B15A6E"/>
    <w:rsid w:val="00B15C21"/>
    <w:rsid w:val="00B17570"/>
    <w:rsid w:val="00B179FD"/>
    <w:rsid w:val="00B17C3B"/>
    <w:rsid w:val="00B17D80"/>
    <w:rsid w:val="00B21095"/>
    <w:rsid w:val="00B2195E"/>
    <w:rsid w:val="00B21C86"/>
    <w:rsid w:val="00B2329E"/>
    <w:rsid w:val="00B237F3"/>
    <w:rsid w:val="00B243F4"/>
    <w:rsid w:val="00B244D5"/>
    <w:rsid w:val="00B24A98"/>
    <w:rsid w:val="00B2510E"/>
    <w:rsid w:val="00B259E6"/>
    <w:rsid w:val="00B25DB2"/>
    <w:rsid w:val="00B26C1A"/>
    <w:rsid w:val="00B274D7"/>
    <w:rsid w:val="00B27701"/>
    <w:rsid w:val="00B27F6F"/>
    <w:rsid w:val="00B307B4"/>
    <w:rsid w:val="00B30814"/>
    <w:rsid w:val="00B30CFC"/>
    <w:rsid w:val="00B31E1C"/>
    <w:rsid w:val="00B31FBA"/>
    <w:rsid w:val="00B3219C"/>
    <w:rsid w:val="00B32252"/>
    <w:rsid w:val="00B323F0"/>
    <w:rsid w:val="00B33521"/>
    <w:rsid w:val="00B33980"/>
    <w:rsid w:val="00B34A95"/>
    <w:rsid w:val="00B34CC1"/>
    <w:rsid w:val="00B35A3B"/>
    <w:rsid w:val="00B3674F"/>
    <w:rsid w:val="00B40227"/>
    <w:rsid w:val="00B416DE"/>
    <w:rsid w:val="00B42669"/>
    <w:rsid w:val="00B427E6"/>
    <w:rsid w:val="00B4294E"/>
    <w:rsid w:val="00B429A4"/>
    <w:rsid w:val="00B42A42"/>
    <w:rsid w:val="00B444A6"/>
    <w:rsid w:val="00B451E8"/>
    <w:rsid w:val="00B454C3"/>
    <w:rsid w:val="00B45769"/>
    <w:rsid w:val="00B45C92"/>
    <w:rsid w:val="00B46DF9"/>
    <w:rsid w:val="00B47476"/>
    <w:rsid w:val="00B50C30"/>
    <w:rsid w:val="00B51CD0"/>
    <w:rsid w:val="00B51FDA"/>
    <w:rsid w:val="00B52E82"/>
    <w:rsid w:val="00B5378E"/>
    <w:rsid w:val="00B54A7C"/>
    <w:rsid w:val="00B552E8"/>
    <w:rsid w:val="00B555F7"/>
    <w:rsid w:val="00B55DA6"/>
    <w:rsid w:val="00B56BF1"/>
    <w:rsid w:val="00B57053"/>
    <w:rsid w:val="00B57693"/>
    <w:rsid w:val="00B578C1"/>
    <w:rsid w:val="00B6072A"/>
    <w:rsid w:val="00B608D1"/>
    <w:rsid w:val="00B61B74"/>
    <w:rsid w:val="00B61DBD"/>
    <w:rsid w:val="00B61FA2"/>
    <w:rsid w:val="00B6211D"/>
    <w:rsid w:val="00B62370"/>
    <w:rsid w:val="00B627C0"/>
    <w:rsid w:val="00B62AA6"/>
    <w:rsid w:val="00B62AA8"/>
    <w:rsid w:val="00B632FE"/>
    <w:rsid w:val="00B63B9F"/>
    <w:rsid w:val="00B63EE8"/>
    <w:rsid w:val="00B643BD"/>
    <w:rsid w:val="00B647A3"/>
    <w:rsid w:val="00B64865"/>
    <w:rsid w:val="00B64A4A"/>
    <w:rsid w:val="00B6518B"/>
    <w:rsid w:val="00B65947"/>
    <w:rsid w:val="00B67559"/>
    <w:rsid w:val="00B7075A"/>
    <w:rsid w:val="00B708C4"/>
    <w:rsid w:val="00B70F82"/>
    <w:rsid w:val="00B762C7"/>
    <w:rsid w:val="00B77EB3"/>
    <w:rsid w:val="00B80D45"/>
    <w:rsid w:val="00B810FD"/>
    <w:rsid w:val="00B815F8"/>
    <w:rsid w:val="00B84418"/>
    <w:rsid w:val="00B8531E"/>
    <w:rsid w:val="00B853B9"/>
    <w:rsid w:val="00B86250"/>
    <w:rsid w:val="00B8691E"/>
    <w:rsid w:val="00B87484"/>
    <w:rsid w:val="00B913E0"/>
    <w:rsid w:val="00B94930"/>
    <w:rsid w:val="00B94C20"/>
    <w:rsid w:val="00B953C3"/>
    <w:rsid w:val="00B954A6"/>
    <w:rsid w:val="00B95751"/>
    <w:rsid w:val="00B95A1E"/>
    <w:rsid w:val="00B95E74"/>
    <w:rsid w:val="00B966A8"/>
    <w:rsid w:val="00B96B1E"/>
    <w:rsid w:val="00BA05AC"/>
    <w:rsid w:val="00BA1A6F"/>
    <w:rsid w:val="00BA2A6F"/>
    <w:rsid w:val="00BA3374"/>
    <w:rsid w:val="00BA3D4C"/>
    <w:rsid w:val="00BA44D5"/>
    <w:rsid w:val="00BA75CA"/>
    <w:rsid w:val="00BA7B8F"/>
    <w:rsid w:val="00BB0212"/>
    <w:rsid w:val="00BB02EC"/>
    <w:rsid w:val="00BB113C"/>
    <w:rsid w:val="00BB138F"/>
    <w:rsid w:val="00BB21D1"/>
    <w:rsid w:val="00BB2B34"/>
    <w:rsid w:val="00BB3A6B"/>
    <w:rsid w:val="00BB3C80"/>
    <w:rsid w:val="00BB3F97"/>
    <w:rsid w:val="00BB4E1D"/>
    <w:rsid w:val="00BB5147"/>
    <w:rsid w:val="00BB6845"/>
    <w:rsid w:val="00BB7433"/>
    <w:rsid w:val="00BB7441"/>
    <w:rsid w:val="00BB7B49"/>
    <w:rsid w:val="00BC1088"/>
    <w:rsid w:val="00BC10E6"/>
    <w:rsid w:val="00BC1981"/>
    <w:rsid w:val="00BC2031"/>
    <w:rsid w:val="00BC2648"/>
    <w:rsid w:val="00BC2838"/>
    <w:rsid w:val="00BC3913"/>
    <w:rsid w:val="00BC4F95"/>
    <w:rsid w:val="00BC5BFF"/>
    <w:rsid w:val="00BC6431"/>
    <w:rsid w:val="00BC6FDA"/>
    <w:rsid w:val="00BC77CD"/>
    <w:rsid w:val="00BC786B"/>
    <w:rsid w:val="00BC7FF0"/>
    <w:rsid w:val="00BD0592"/>
    <w:rsid w:val="00BD2EE4"/>
    <w:rsid w:val="00BD5182"/>
    <w:rsid w:val="00BD5C21"/>
    <w:rsid w:val="00BD6312"/>
    <w:rsid w:val="00BE28E2"/>
    <w:rsid w:val="00BE2B9F"/>
    <w:rsid w:val="00BE2C1E"/>
    <w:rsid w:val="00BE2CC6"/>
    <w:rsid w:val="00BE3DA0"/>
    <w:rsid w:val="00BE47A8"/>
    <w:rsid w:val="00BE4DD5"/>
    <w:rsid w:val="00BE51BC"/>
    <w:rsid w:val="00BE546E"/>
    <w:rsid w:val="00BE711D"/>
    <w:rsid w:val="00BF00E3"/>
    <w:rsid w:val="00BF01A6"/>
    <w:rsid w:val="00BF10CD"/>
    <w:rsid w:val="00BF19B8"/>
    <w:rsid w:val="00BF204D"/>
    <w:rsid w:val="00BF3022"/>
    <w:rsid w:val="00BF415A"/>
    <w:rsid w:val="00BF433D"/>
    <w:rsid w:val="00BF5862"/>
    <w:rsid w:val="00BF5A31"/>
    <w:rsid w:val="00BF5DD9"/>
    <w:rsid w:val="00BF67C6"/>
    <w:rsid w:val="00BF701D"/>
    <w:rsid w:val="00C003F0"/>
    <w:rsid w:val="00C004F8"/>
    <w:rsid w:val="00C00E6E"/>
    <w:rsid w:val="00C018F3"/>
    <w:rsid w:val="00C02570"/>
    <w:rsid w:val="00C02BFB"/>
    <w:rsid w:val="00C0351D"/>
    <w:rsid w:val="00C05218"/>
    <w:rsid w:val="00C0602E"/>
    <w:rsid w:val="00C06129"/>
    <w:rsid w:val="00C069DF"/>
    <w:rsid w:val="00C07052"/>
    <w:rsid w:val="00C075DA"/>
    <w:rsid w:val="00C077B3"/>
    <w:rsid w:val="00C07827"/>
    <w:rsid w:val="00C07DBA"/>
    <w:rsid w:val="00C1095B"/>
    <w:rsid w:val="00C10D62"/>
    <w:rsid w:val="00C11472"/>
    <w:rsid w:val="00C11DCE"/>
    <w:rsid w:val="00C12201"/>
    <w:rsid w:val="00C12301"/>
    <w:rsid w:val="00C12394"/>
    <w:rsid w:val="00C12618"/>
    <w:rsid w:val="00C12806"/>
    <w:rsid w:val="00C12EB9"/>
    <w:rsid w:val="00C14A4D"/>
    <w:rsid w:val="00C21712"/>
    <w:rsid w:val="00C21EDC"/>
    <w:rsid w:val="00C220EA"/>
    <w:rsid w:val="00C225A9"/>
    <w:rsid w:val="00C2362E"/>
    <w:rsid w:val="00C23743"/>
    <w:rsid w:val="00C239C1"/>
    <w:rsid w:val="00C23B32"/>
    <w:rsid w:val="00C23D5F"/>
    <w:rsid w:val="00C24170"/>
    <w:rsid w:val="00C2449E"/>
    <w:rsid w:val="00C24608"/>
    <w:rsid w:val="00C24A33"/>
    <w:rsid w:val="00C24F8C"/>
    <w:rsid w:val="00C25026"/>
    <w:rsid w:val="00C251A2"/>
    <w:rsid w:val="00C25C09"/>
    <w:rsid w:val="00C30478"/>
    <w:rsid w:val="00C32635"/>
    <w:rsid w:val="00C340D9"/>
    <w:rsid w:val="00C3410F"/>
    <w:rsid w:val="00C344F3"/>
    <w:rsid w:val="00C34ED4"/>
    <w:rsid w:val="00C35C8B"/>
    <w:rsid w:val="00C36DF9"/>
    <w:rsid w:val="00C376A4"/>
    <w:rsid w:val="00C40A15"/>
    <w:rsid w:val="00C42A41"/>
    <w:rsid w:val="00C430D5"/>
    <w:rsid w:val="00C4373C"/>
    <w:rsid w:val="00C439E8"/>
    <w:rsid w:val="00C441DF"/>
    <w:rsid w:val="00C44563"/>
    <w:rsid w:val="00C44996"/>
    <w:rsid w:val="00C44E9F"/>
    <w:rsid w:val="00C4560F"/>
    <w:rsid w:val="00C4701C"/>
    <w:rsid w:val="00C50E28"/>
    <w:rsid w:val="00C5195C"/>
    <w:rsid w:val="00C5251B"/>
    <w:rsid w:val="00C52687"/>
    <w:rsid w:val="00C52B82"/>
    <w:rsid w:val="00C52CFB"/>
    <w:rsid w:val="00C538D9"/>
    <w:rsid w:val="00C53A89"/>
    <w:rsid w:val="00C53F9F"/>
    <w:rsid w:val="00C5486F"/>
    <w:rsid w:val="00C54CD1"/>
    <w:rsid w:val="00C5502D"/>
    <w:rsid w:val="00C55DB1"/>
    <w:rsid w:val="00C56339"/>
    <w:rsid w:val="00C57440"/>
    <w:rsid w:val="00C6216A"/>
    <w:rsid w:val="00C6268A"/>
    <w:rsid w:val="00C64D69"/>
    <w:rsid w:val="00C6575B"/>
    <w:rsid w:val="00C659A0"/>
    <w:rsid w:val="00C65B9F"/>
    <w:rsid w:val="00C66847"/>
    <w:rsid w:val="00C673DA"/>
    <w:rsid w:val="00C67B9B"/>
    <w:rsid w:val="00C70230"/>
    <w:rsid w:val="00C7030C"/>
    <w:rsid w:val="00C708F2"/>
    <w:rsid w:val="00C70D89"/>
    <w:rsid w:val="00C716BB"/>
    <w:rsid w:val="00C7210B"/>
    <w:rsid w:val="00C726DF"/>
    <w:rsid w:val="00C72FDD"/>
    <w:rsid w:val="00C73325"/>
    <w:rsid w:val="00C7357C"/>
    <w:rsid w:val="00C736F7"/>
    <w:rsid w:val="00C74C65"/>
    <w:rsid w:val="00C74D6A"/>
    <w:rsid w:val="00C74F16"/>
    <w:rsid w:val="00C76C85"/>
    <w:rsid w:val="00C76CB4"/>
    <w:rsid w:val="00C77BE5"/>
    <w:rsid w:val="00C803ED"/>
    <w:rsid w:val="00C81004"/>
    <w:rsid w:val="00C81D03"/>
    <w:rsid w:val="00C8271B"/>
    <w:rsid w:val="00C839DB"/>
    <w:rsid w:val="00C83BD9"/>
    <w:rsid w:val="00C846CE"/>
    <w:rsid w:val="00C849E7"/>
    <w:rsid w:val="00C8568D"/>
    <w:rsid w:val="00C86EF9"/>
    <w:rsid w:val="00C87A74"/>
    <w:rsid w:val="00C87EDB"/>
    <w:rsid w:val="00C905E8"/>
    <w:rsid w:val="00C917D2"/>
    <w:rsid w:val="00C91B69"/>
    <w:rsid w:val="00C925C0"/>
    <w:rsid w:val="00C92867"/>
    <w:rsid w:val="00C93950"/>
    <w:rsid w:val="00C94166"/>
    <w:rsid w:val="00C950B1"/>
    <w:rsid w:val="00C95191"/>
    <w:rsid w:val="00C95763"/>
    <w:rsid w:val="00C95B52"/>
    <w:rsid w:val="00C95BD2"/>
    <w:rsid w:val="00C95BFD"/>
    <w:rsid w:val="00C96697"/>
    <w:rsid w:val="00C97C44"/>
    <w:rsid w:val="00C97DDE"/>
    <w:rsid w:val="00CA0E33"/>
    <w:rsid w:val="00CA17AA"/>
    <w:rsid w:val="00CA1C54"/>
    <w:rsid w:val="00CA268F"/>
    <w:rsid w:val="00CA2F02"/>
    <w:rsid w:val="00CA3218"/>
    <w:rsid w:val="00CA3BFC"/>
    <w:rsid w:val="00CA4476"/>
    <w:rsid w:val="00CA4CDD"/>
    <w:rsid w:val="00CA6235"/>
    <w:rsid w:val="00CA6936"/>
    <w:rsid w:val="00CA74E4"/>
    <w:rsid w:val="00CB34F9"/>
    <w:rsid w:val="00CB4277"/>
    <w:rsid w:val="00CB42A0"/>
    <w:rsid w:val="00CB440A"/>
    <w:rsid w:val="00CB4AA7"/>
    <w:rsid w:val="00CB68DA"/>
    <w:rsid w:val="00CB709D"/>
    <w:rsid w:val="00CB7300"/>
    <w:rsid w:val="00CC0148"/>
    <w:rsid w:val="00CC0268"/>
    <w:rsid w:val="00CC0DB4"/>
    <w:rsid w:val="00CC255B"/>
    <w:rsid w:val="00CC28DE"/>
    <w:rsid w:val="00CC2D3C"/>
    <w:rsid w:val="00CC2E45"/>
    <w:rsid w:val="00CC37CC"/>
    <w:rsid w:val="00CC3ADC"/>
    <w:rsid w:val="00CC4176"/>
    <w:rsid w:val="00CC4269"/>
    <w:rsid w:val="00CC43C3"/>
    <w:rsid w:val="00CC4EC1"/>
    <w:rsid w:val="00CC5049"/>
    <w:rsid w:val="00CC5207"/>
    <w:rsid w:val="00CC6585"/>
    <w:rsid w:val="00CC6E9D"/>
    <w:rsid w:val="00CD08D9"/>
    <w:rsid w:val="00CD17A9"/>
    <w:rsid w:val="00CD19D4"/>
    <w:rsid w:val="00CD1FDE"/>
    <w:rsid w:val="00CD300C"/>
    <w:rsid w:val="00CD34B4"/>
    <w:rsid w:val="00CD37F0"/>
    <w:rsid w:val="00CD3920"/>
    <w:rsid w:val="00CD399E"/>
    <w:rsid w:val="00CD3D46"/>
    <w:rsid w:val="00CD5AD9"/>
    <w:rsid w:val="00CD5FD1"/>
    <w:rsid w:val="00CD6312"/>
    <w:rsid w:val="00CE087B"/>
    <w:rsid w:val="00CE285D"/>
    <w:rsid w:val="00CE28FF"/>
    <w:rsid w:val="00CE3432"/>
    <w:rsid w:val="00CE6793"/>
    <w:rsid w:val="00CE690D"/>
    <w:rsid w:val="00CE6D14"/>
    <w:rsid w:val="00CF190F"/>
    <w:rsid w:val="00CF3316"/>
    <w:rsid w:val="00CF38AE"/>
    <w:rsid w:val="00CF39B1"/>
    <w:rsid w:val="00CF404F"/>
    <w:rsid w:val="00CF4980"/>
    <w:rsid w:val="00CF4DE0"/>
    <w:rsid w:val="00CF5C1D"/>
    <w:rsid w:val="00CF709F"/>
    <w:rsid w:val="00CF7EF0"/>
    <w:rsid w:val="00D00093"/>
    <w:rsid w:val="00D003AE"/>
    <w:rsid w:val="00D004EB"/>
    <w:rsid w:val="00D009BD"/>
    <w:rsid w:val="00D01309"/>
    <w:rsid w:val="00D01685"/>
    <w:rsid w:val="00D0265E"/>
    <w:rsid w:val="00D02CD0"/>
    <w:rsid w:val="00D0466A"/>
    <w:rsid w:val="00D04A0A"/>
    <w:rsid w:val="00D04A64"/>
    <w:rsid w:val="00D04DA1"/>
    <w:rsid w:val="00D056B0"/>
    <w:rsid w:val="00D0743A"/>
    <w:rsid w:val="00D07585"/>
    <w:rsid w:val="00D076E2"/>
    <w:rsid w:val="00D07EE7"/>
    <w:rsid w:val="00D1001A"/>
    <w:rsid w:val="00D11B6D"/>
    <w:rsid w:val="00D1236E"/>
    <w:rsid w:val="00D1312B"/>
    <w:rsid w:val="00D13908"/>
    <w:rsid w:val="00D14375"/>
    <w:rsid w:val="00D14566"/>
    <w:rsid w:val="00D14D7D"/>
    <w:rsid w:val="00D1562C"/>
    <w:rsid w:val="00D15817"/>
    <w:rsid w:val="00D1659D"/>
    <w:rsid w:val="00D17134"/>
    <w:rsid w:val="00D17424"/>
    <w:rsid w:val="00D20222"/>
    <w:rsid w:val="00D20381"/>
    <w:rsid w:val="00D204C9"/>
    <w:rsid w:val="00D2125C"/>
    <w:rsid w:val="00D213AE"/>
    <w:rsid w:val="00D21B05"/>
    <w:rsid w:val="00D220BB"/>
    <w:rsid w:val="00D22408"/>
    <w:rsid w:val="00D22B00"/>
    <w:rsid w:val="00D2440B"/>
    <w:rsid w:val="00D24BE5"/>
    <w:rsid w:val="00D25386"/>
    <w:rsid w:val="00D25F98"/>
    <w:rsid w:val="00D27301"/>
    <w:rsid w:val="00D27D1E"/>
    <w:rsid w:val="00D313E6"/>
    <w:rsid w:val="00D31612"/>
    <w:rsid w:val="00D3178C"/>
    <w:rsid w:val="00D3235D"/>
    <w:rsid w:val="00D32675"/>
    <w:rsid w:val="00D339E0"/>
    <w:rsid w:val="00D35B69"/>
    <w:rsid w:val="00D363C9"/>
    <w:rsid w:val="00D364A6"/>
    <w:rsid w:val="00D36A33"/>
    <w:rsid w:val="00D36E64"/>
    <w:rsid w:val="00D40248"/>
    <w:rsid w:val="00D413F7"/>
    <w:rsid w:val="00D4183D"/>
    <w:rsid w:val="00D41E5F"/>
    <w:rsid w:val="00D426BC"/>
    <w:rsid w:val="00D42FAC"/>
    <w:rsid w:val="00D434EF"/>
    <w:rsid w:val="00D44661"/>
    <w:rsid w:val="00D446CA"/>
    <w:rsid w:val="00D44B7D"/>
    <w:rsid w:val="00D44E7F"/>
    <w:rsid w:val="00D46637"/>
    <w:rsid w:val="00D47B10"/>
    <w:rsid w:val="00D5079F"/>
    <w:rsid w:val="00D51690"/>
    <w:rsid w:val="00D51D76"/>
    <w:rsid w:val="00D523FD"/>
    <w:rsid w:val="00D52941"/>
    <w:rsid w:val="00D52C8D"/>
    <w:rsid w:val="00D53409"/>
    <w:rsid w:val="00D53854"/>
    <w:rsid w:val="00D53B76"/>
    <w:rsid w:val="00D53BD8"/>
    <w:rsid w:val="00D545AE"/>
    <w:rsid w:val="00D5564A"/>
    <w:rsid w:val="00D56253"/>
    <w:rsid w:val="00D56457"/>
    <w:rsid w:val="00D56B99"/>
    <w:rsid w:val="00D56C74"/>
    <w:rsid w:val="00D6164B"/>
    <w:rsid w:val="00D62259"/>
    <w:rsid w:val="00D629FA"/>
    <w:rsid w:val="00D62BCB"/>
    <w:rsid w:val="00D62DBA"/>
    <w:rsid w:val="00D63786"/>
    <w:rsid w:val="00D63805"/>
    <w:rsid w:val="00D63A32"/>
    <w:rsid w:val="00D63E6E"/>
    <w:rsid w:val="00D643A5"/>
    <w:rsid w:val="00D6652B"/>
    <w:rsid w:val="00D66EF7"/>
    <w:rsid w:val="00D67CC8"/>
    <w:rsid w:val="00D67D4F"/>
    <w:rsid w:val="00D67F59"/>
    <w:rsid w:val="00D70831"/>
    <w:rsid w:val="00D70BBC"/>
    <w:rsid w:val="00D70C01"/>
    <w:rsid w:val="00D70F46"/>
    <w:rsid w:val="00D7235E"/>
    <w:rsid w:val="00D7242A"/>
    <w:rsid w:val="00D72AE4"/>
    <w:rsid w:val="00D7313B"/>
    <w:rsid w:val="00D744B3"/>
    <w:rsid w:val="00D75425"/>
    <w:rsid w:val="00D75A09"/>
    <w:rsid w:val="00D75B18"/>
    <w:rsid w:val="00D762A5"/>
    <w:rsid w:val="00D77CA4"/>
    <w:rsid w:val="00D80009"/>
    <w:rsid w:val="00D802BE"/>
    <w:rsid w:val="00D80976"/>
    <w:rsid w:val="00D82341"/>
    <w:rsid w:val="00D8274E"/>
    <w:rsid w:val="00D83D2E"/>
    <w:rsid w:val="00D846B4"/>
    <w:rsid w:val="00D85892"/>
    <w:rsid w:val="00D875A9"/>
    <w:rsid w:val="00D90F2E"/>
    <w:rsid w:val="00D92538"/>
    <w:rsid w:val="00D92993"/>
    <w:rsid w:val="00D93941"/>
    <w:rsid w:val="00D93A5B"/>
    <w:rsid w:val="00D93B23"/>
    <w:rsid w:val="00D93DA9"/>
    <w:rsid w:val="00D93E0F"/>
    <w:rsid w:val="00D9410A"/>
    <w:rsid w:val="00D94337"/>
    <w:rsid w:val="00D943FC"/>
    <w:rsid w:val="00D95507"/>
    <w:rsid w:val="00D96DA9"/>
    <w:rsid w:val="00D9709F"/>
    <w:rsid w:val="00D97151"/>
    <w:rsid w:val="00DA0BBB"/>
    <w:rsid w:val="00DA0EDE"/>
    <w:rsid w:val="00DA2369"/>
    <w:rsid w:val="00DA25BF"/>
    <w:rsid w:val="00DA4806"/>
    <w:rsid w:val="00DA4E60"/>
    <w:rsid w:val="00DA6776"/>
    <w:rsid w:val="00DA6906"/>
    <w:rsid w:val="00DA6C1F"/>
    <w:rsid w:val="00DA72B6"/>
    <w:rsid w:val="00DA78F5"/>
    <w:rsid w:val="00DA7A50"/>
    <w:rsid w:val="00DA7E9D"/>
    <w:rsid w:val="00DB1075"/>
    <w:rsid w:val="00DB14DE"/>
    <w:rsid w:val="00DB1509"/>
    <w:rsid w:val="00DB2313"/>
    <w:rsid w:val="00DB2DCA"/>
    <w:rsid w:val="00DB2F8F"/>
    <w:rsid w:val="00DB302A"/>
    <w:rsid w:val="00DB63F0"/>
    <w:rsid w:val="00DC08A4"/>
    <w:rsid w:val="00DC1AE9"/>
    <w:rsid w:val="00DC1C44"/>
    <w:rsid w:val="00DC1F7E"/>
    <w:rsid w:val="00DC2604"/>
    <w:rsid w:val="00DC299F"/>
    <w:rsid w:val="00DC47ED"/>
    <w:rsid w:val="00DC4F59"/>
    <w:rsid w:val="00DC5803"/>
    <w:rsid w:val="00DC6FFF"/>
    <w:rsid w:val="00DC73C1"/>
    <w:rsid w:val="00DD019D"/>
    <w:rsid w:val="00DD0211"/>
    <w:rsid w:val="00DD0C46"/>
    <w:rsid w:val="00DD15A4"/>
    <w:rsid w:val="00DD1BE6"/>
    <w:rsid w:val="00DD2A0F"/>
    <w:rsid w:val="00DD38EE"/>
    <w:rsid w:val="00DD41E4"/>
    <w:rsid w:val="00DD4E16"/>
    <w:rsid w:val="00DD51E9"/>
    <w:rsid w:val="00DD6656"/>
    <w:rsid w:val="00DD6BE9"/>
    <w:rsid w:val="00DD7030"/>
    <w:rsid w:val="00DD748E"/>
    <w:rsid w:val="00DD7AA8"/>
    <w:rsid w:val="00DD7B0F"/>
    <w:rsid w:val="00DE04AB"/>
    <w:rsid w:val="00DE0D58"/>
    <w:rsid w:val="00DE2822"/>
    <w:rsid w:val="00DE2990"/>
    <w:rsid w:val="00DE2BC4"/>
    <w:rsid w:val="00DE38AC"/>
    <w:rsid w:val="00DE4935"/>
    <w:rsid w:val="00DE5E87"/>
    <w:rsid w:val="00DE68AC"/>
    <w:rsid w:val="00DF2CF4"/>
    <w:rsid w:val="00DF3926"/>
    <w:rsid w:val="00DF3A07"/>
    <w:rsid w:val="00DF3BF3"/>
    <w:rsid w:val="00DF45CA"/>
    <w:rsid w:val="00DF49B4"/>
    <w:rsid w:val="00DF4AA4"/>
    <w:rsid w:val="00DF4ADB"/>
    <w:rsid w:val="00DF52D2"/>
    <w:rsid w:val="00DF5305"/>
    <w:rsid w:val="00DF5411"/>
    <w:rsid w:val="00DF56A4"/>
    <w:rsid w:val="00DF5863"/>
    <w:rsid w:val="00DF589D"/>
    <w:rsid w:val="00DF58F4"/>
    <w:rsid w:val="00DF59E0"/>
    <w:rsid w:val="00DF670A"/>
    <w:rsid w:val="00DF67A2"/>
    <w:rsid w:val="00DF6B49"/>
    <w:rsid w:val="00DF6CDD"/>
    <w:rsid w:val="00DF76B6"/>
    <w:rsid w:val="00DF7B8F"/>
    <w:rsid w:val="00E007BA"/>
    <w:rsid w:val="00E00A8A"/>
    <w:rsid w:val="00E01082"/>
    <w:rsid w:val="00E01A51"/>
    <w:rsid w:val="00E022AF"/>
    <w:rsid w:val="00E025C4"/>
    <w:rsid w:val="00E0267D"/>
    <w:rsid w:val="00E034E8"/>
    <w:rsid w:val="00E04845"/>
    <w:rsid w:val="00E04935"/>
    <w:rsid w:val="00E0592B"/>
    <w:rsid w:val="00E06206"/>
    <w:rsid w:val="00E10465"/>
    <w:rsid w:val="00E10D94"/>
    <w:rsid w:val="00E11F9B"/>
    <w:rsid w:val="00E11FF6"/>
    <w:rsid w:val="00E1334D"/>
    <w:rsid w:val="00E14453"/>
    <w:rsid w:val="00E14796"/>
    <w:rsid w:val="00E151E2"/>
    <w:rsid w:val="00E15244"/>
    <w:rsid w:val="00E1733B"/>
    <w:rsid w:val="00E17DEE"/>
    <w:rsid w:val="00E200E2"/>
    <w:rsid w:val="00E210C2"/>
    <w:rsid w:val="00E211F2"/>
    <w:rsid w:val="00E21211"/>
    <w:rsid w:val="00E21C26"/>
    <w:rsid w:val="00E21ECE"/>
    <w:rsid w:val="00E22059"/>
    <w:rsid w:val="00E223EB"/>
    <w:rsid w:val="00E22687"/>
    <w:rsid w:val="00E2291A"/>
    <w:rsid w:val="00E25376"/>
    <w:rsid w:val="00E253A8"/>
    <w:rsid w:val="00E26E4B"/>
    <w:rsid w:val="00E27DD7"/>
    <w:rsid w:val="00E30104"/>
    <w:rsid w:val="00E31213"/>
    <w:rsid w:val="00E32694"/>
    <w:rsid w:val="00E32BA7"/>
    <w:rsid w:val="00E336C4"/>
    <w:rsid w:val="00E3391C"/>
    <w:rsid w:val="00E33BC0"/>
    <w:rsid w:val="00E35A74"/>
    <w:rsid w:val="00E3708C"/>
    <w:rsid w:val="00E3776B"/>
    <w:rsid w:val="00E37C80"/>
    <w:rsid w:val="00E4021A"/>
    <w:rsid w:val="00E407E9"/>
    <w:rsid w:val="00E409C3"/>
    <w:rsid w:val="00E41636"/>
    <w:rsid w:val="00E41E64"/>
    <w:rsid w:val="00E422D8"/>
    <w:rsid w:val="00E425AB"/>
    <w:rsid w:val="00E43083"/>
    <w:rsid w:val="00E435BF"/>
    <w:rsid w:val="00E43EDA"/>
    <w:rsid w:val="00E4455D"/>
    <w:rsid w:val="00E448F4"/>
    <w:rsid w:val="00E44C16"/>
    <w:rsid w:val="00E46DB3"/>
    <w:rsid w:val="00E47214"/>
    <w:rsid w:val="00E4781C"/>
    <w:rsid w:val="00E509C9"/>
    <w:rsid w:val="00E50AFD"/>
    <w:rsid w:val="00E51F13"/>
    <w:rsid w:val="00E52296"/>
    <w:rsid w:val="00E52A56"/>
    <w:rsid w:val="00E5338D"/>
    <w:rsid w:val="00E55532"/>
    <w:rsid w:val="00E55F6F"/>
    <w:rsid w:val="00E57379"/>
    <w:rsid w:val="00E57786"/>
    <w:rsid w:val="00E60277"/>
    <w:rsid w:val="00E60AE1"/>
    <w:rsid w:val="00E62605"/>
    <w:rsid w:val="00E633C5"/>
    <w:rsid w:val="00E6404E"/>
    <w:rsid w:val="00E65935"/>
    <w:rsid w:val="00E664ED"/>
    <w:rsid w:val="00E66D57"/>
    <w:rsid w:val="00E711C0"/>
    <w:rsid w:val="00E718EF"/>
    <w:rsid w:val="00E72196"/>
    <w:rsid w:val="00E72A3D"/>
    <w:rsid w:val="00E73D0E"/>
    <w:rsid w:val="00E7563E"/>
    <w:rsid w:val="00E7585F"/>
    <w:rsid w:val="00E775F4"/>
    <w:rsid w:val="00E806B7"/>
    <w:rsid w:val="00E810E0"/>
    <w:rsid w:val="00E81D28"/>
    <w:rsid w:val="00E81D70"/>
    <w:rsid w:val="00E81E75"/>
    <w:rsid w:val="00E81F71"/>
    <w:rsid w:val="00E82A55"/>
    <w:rsid w:val="00E83A46"/>
    <w:rsid w:val="00E849FE"/>
    <w:rsid w:val="00E852E4"/>
    <w:rsid w:val="00E85BB6"/>
    <w:rsid w:val="00E85C95"/>
    <w:rsid w:val="00E87030"/>
    <w:rsid w:val="00E8731F"/>
    <w:rsid w:val="00E87D8A"/>
    <w:rsid w:val="00E9022E"/>
    <w:rsid w:val="00E905AC"/>
    <w:rsid w:val="00E90618"/>
    <w:rsid w:val="00E9078C"/>
    <w:rsid w:val="00E90F58"/>
    <w:rsid w:val="00E91036"/>
    <w:rsid w:val="00E91E66"/>
    <w:rsid w:val="00E92813"/>
    <w:rsid w:val="00E92E56"/>
    <w:rsid w:val="00E92F03"/>
    <w:rsid w:val="00E94C33"/>
    <w:rsid w:val="00E96E52"/>
    <w:rsid w:val="00EA0BB5"/>
    <w:rsid w:val="00EA14CD"/>
    <w:rsid w:val="00EA16D2"/>
    <w:rsid w:val="00EA3EA0"/>
    <w:rsid w:val="00EA4F1F"/>
    <w:rsid w:val="00EA58CB"/>
    <w:rsid w:val="00EA5B95"/>
    <w:rsid w:val="00EA6425"/>
    <w:rsid w:val="00EA7AF7"/>
    <w:rsid w:val="00EB0D2F"/>
    <w:rsid w:val="00EB0F84"/>
    <w:rsid w:val="00EB1551"/>
    <w:rsid w:val="00EB2D13"/>
    <w:rsid w:val="00EB30C7"/>
    <w:rsid w:val="00EB3D23"/>
    <w:rsid w:val="00EB3E46"/>
    <w:rsid w:val="00EB4482"/>
    <w:rsid w:val="00EB5C75"/>
    <w:rsid w:val="00EB63F0"/>
    <w:rsid w:val="00EC080F"/>
    <w:rsid w:val="00EC16A2"/>
    <w:rsid w:val="00EC1765"/>
    <w:rsid w:val="00EC1CDD"/>
    <w:rsid w:val="00EC1E9F"/>
    <w:rsid w:val="00EC216A"/>
    <w:rsid w:val="00EC4A15"/>
    <w:rsid w:val="00EC686F"/>
    <w:rsid w:val="00EC6B64"/>
    <w:rsid w:val="00EC755A"/>
    <w:rsid w:val="00EC7B2B"/>
    <w:rsid w:val="00ED17F0"/>
    <w:rsid w:val="00ED1BC3"/>
    <w:rsid w:val="00ED23C9"/>
    <w:rsid w:val="00ED2DCA"/>
    <w:rsid w:val="00ED33AC"/>
    <w:rsid w:val="00ED53AF"/>
    <w:rsid w:val="00ED580B"/>
    <w:rsid w:val="00ED5B74"/>
    <w:rsid w:val="00ED6B88"/>
    <w:rsid w:val="00ED7A8D"/>
    <w:rsid w:val="00EE0A03"/>
    <w:rsid w:val="00EE0AC4"/>
    <w:rsid w:val="00EE1ED7"/>
    <w:rsid w:val="00EE1F96"/>
    <w:rsid w:val="00EE20E9"/>
    <w:rsid w:val="00EE25C8"/>
    <w:rsid w:val="00EE32A1"/>
    <w:rsid w:val="00EE3328"/>
    <w:rsid w:val="00EE494C"/>
    <w:rsid w:val="00EE4CD2"/>
    <w:rsid w:val="00EE5866"/>
    <w:rsid w:val="00EE5D62"/>
    <w:rsid w:val="00EE6B0D"/>
    <w:rsid w:val="00EE70B2"/>
    <w:rsid w:val="00EE7FC2"/>
    <w:rsid w:val="00EF1453"/>
    <w:rsid w:val="00EF1811"/>
    <w:rsid w:val="00EF45AC"/>
    <w:rsid w:val="00EF4772"/>
    <w:rsid w:val="00EF4E0C"/>
    <w:rsid w:val="00EF4F10"/>
    <w:rsid w:val="00EF5784"/>
    <w:rsid w:val="00EF5C9E"/>
    <w:rsid w:val="00EF5F6F"/>
    <w:rsid w:val="00EF6CF3"/>
    <w:rsid w:val="00EF7231"/>
    <w:rsid w:val="00EF77F0"/>
    <w:rsid w:val="00EF7F89"/>
    <w:rsid w:val="00F0087B"/>
    <w:rsid w:val="00F00954"/>
    <w:rsid w:val="00F01845"/>
    <w:rsid w:val="00F01920"/>
    <w:rsid w:val="00F01A85"/>
    <w:rsid w:val="00F023C0"/>
    <w:rsid w:val="00F027DE"/>
    <w:rsid w:val="00F02DF7"/>
    <w:rsid w:val="00F03675"/>
    <w:rsid w:val="00F0434F"/>
    <w:rsid w:val="00F0476B"/>
    <w:rsid w:val="00F05A66"/>
    <w:rsid w:val="00F079E6"/>
    <w:rsid w:val="00F1021D"/>
    <w:rsid w:val="00F10FFE"/>
    <w:rsid w:val="00F11F70"/>
    <w:rsid w:val="00F12460"/>
    <w:rsid w:val="00F13282"/>
    <w:rsid w:val="00F1335F"/>
    <w:rsid w:val="00F1340D"/>
    <w:rsid w:val="00F14338"/>
    <w:rsid w:val="00F14434"/>
    <w:rsid w:val="00F144BB"/>
    <w:rsid w:val="00F14855"/>
    <w:rsid w:val="00F150C6"/>
    <w:rsid w:val="00F1510A"/>
    <w:rsid w:val="00F153E7"/>
    <w:rsid w:val="00F167A8"/>
    <w:rsid w:val="00F169F6"/>
    <w:rsid w:val="00F16D4A"/>
    <w:rsid w:val="00F175EC"/>
    <w:rsid w:val="00F20A19"/>
    <w:rsid w:val="00F20BDC"/>
    <w:rsid w:val="00F21835"/>
    <w:rsid w:val="00F22843"/>
    <w:rsid w:val="00F2361D"/>
    <w:rsid w:val="00F239FA"/>
    <w:rsid w:val="00F23C51"/>
    <w:rsid w:val="00F24FF9"/>
    <w:rsid w:val="00F2512C"/>
    <w:rsid w:val="00F251C3"/>
    <w:rsid w:val="00F254B8"/>
    <w:rsid w:val="00F255F3"/>
    <w:rsid w:val="00F268BA"/>
    <w:rsid w:val="00F26EC2"/>
    <w:rsid w:val="00F2733D"/>
    <w:rsid w:val="00F278A2"/>
    <w:rsid w:val="00F27E78"/>
    <w:rsid w:val="00F30450"/>
    <w:rsid w:val="00F318EA"/>
    <w:rsid w:val="00F335F7"/>
    <w:rsid w:val="00F33893"/>
    <w:rsid w:val="00F34037"/>
    <w:rsid w:val="00F34141"/>
    <w:rsid w:val="00F3699A"/>
    <w:rsid w:val="00F3721B"/>
    <w:rsid w:val="00F3742A"/>
    <w:rsid w:val="00F37C0A"/>
    <w:rsid w:val="00F40CEF"/>
    <w:rsid w:val="00F4108D"/>
    <w:rsid w:val="00F410A9"/>
    <w:rsid w:val="00F417C7"/>
    <w:rsid w:val="00F43643"/>
    <w:rsid w:val="00F440DC"/>
    <w:rsid w:val="00F444B9"/>
    <w:rsid w:val="00F44646"/>
    <w:rsid w:val="00F44719"/>
    <w:rsid w:val="00F44A01"/>
    <w:rsid w:val="00F4655F"/>
    <w:rsid w:val="00F4662F"/>
    <w:rsid w:val="00F4667A"/>
    <w:rsid w:val="00F46842"/>
    <w:rsid w:val="00F47118"/>
    <w:rsid w:val="00F4743E"/>
    <w:rsid w:val="00F527A3"/>
    <w:rsid w:val="00F53AC0"/>
    <w:rsid w:val="00F54485"/>
    <w:rsid w:val="00F54DDF"/>
    <w:rsid w:val="00F55801"/>
    <w:rsid w:val="00F5659F"/>
    <w:rsid w:val="00F566AF"/>
    <w:rsid w:val="00F56BF3"/>
    <w:rsid w:val="00F56EEF"/>
    <w:rsid w:val="00F57AC6"/>
    <w:rsid w:val="00F57F6D"/>
    <w:rsid w:val="00F6033E"/>
    <w:rsid w:val="00F6070E"/>
    <w:rsid w:val="00F60E40"/>
    <w:rsid w:val="00F6153F"/>
    <w:rsid w:val="00F61F29"/>
    <w:rsid w:val="00F62B8C"/>
    <w:rsid w:val="00F6313C"/>
    <w:rsid w:val="00F63517"/>
    <w:rsid w:val="00F64300"/>
    <w:rsid w:val="00F6457C"/>
    <w:rsid w:val="00F660DA"/>
    <w:rsid w:val="00F6644B"/>
    <w:rsid w:val="00F6655A"/>
    <w:rsid w:val="00F7135D"/>
    <w:rsid w:val="00F7177E"/>
    <w:rsid w:val="00F717A4"/>
    <w:rsid w:val="00F726DE"/>
    <w:rsid w:val="00F72BF2"/>
    <w:rsid w:val="00F73C9D"/>
    <w:rsid w:val="00F74786"/>
    <w:rsid w:val="00F74789"/>
    <w:rsid w:val="00F751CD"/>
    <w:rsid w:val="00F7557F"/>
    <w:rsid w:val="00F76241"/>
    <w:rsid w:val="00F76360"/>
    <w:rsid w:val="00F80BDA"/>
    <w:rsid w:val="00F81B98"/>
    <w:rsid w:val="00F821D1"/>
    <w:rsid w:val="00F823A5"/>
    <w:rsid w:val="00F829B3"/>
    <w:rsid w:val="00F83620"/>
    <w:rsid w:val="00F839AF"/>
    <w:rsid w:val="00F852E2"/>
    <w:rsid w:val="00F8550C"/>
    <w:rsid w:val="00F855B4"/>
    <w:rsid w:val="00F86DC7"/>
    <w:rsid w:val="00F875C1"/>
    <w:rsid w:val="00F87B0B"/>
    <w:rsid w:val="00F90CA8"/>
    <w:rsid w:val="00F91373"/>
    <w:rsid w:val="00F915FD"/>
    <w:rsid w:val="00F917C5"/>
    <w:rsid w:val="00F9242F"/>
    <w:rsid w:val="00F9276A"/>
    <w:rsid w:val="00F94026"/>
    <w:rsid w:val="00F947C4"/>
    <w:rsid w:val="00F94A97"/>
    <w:rsid w:val="00F95A66"/>
    <w:rsid w:val="00F96077"/>
    <w:rsid w:val="00F9640B"/>
    <w:rsid w:val="00F96BF0"/>
    <w:rsid w:val="00F97639"/>
    <w:rsid w:val="00F97673"/>
    <w:rsid w:val="00FA0139"/>
    <w:rsid w:val="00FA07D0"/>
    <w:rsid w:val="00FA08BE"/>
    <w:rsid w:val="00FA1A6E"/>
    <w:rsid w:val="00FA2CE6"/>
    <w:rsid w:val="00FA2F39"/>
    <w:rsid w:val="00FA38EE"/>
    <w:rsid w:val="00FA394A"/>
    <w:rsid w:val="00FA4A21"/>
    <w:rsid w:val="00FA4BB3"/>
    <w:rsid w:val="00FA5407"/>
    <w:rsid w:val="00FA5CB5"/>
    <w:rsid w:val="00FA60E4"/>
    <w:rsid w:val="00FA77DC"/>
    <w:rsid w:val="00FB0850"/>
    <w:rsid w:val="00FB1A30"/>
    <w:rsid w:val="00FB222D"/>
    <w:rsid w:val="00FB23A9"/>
    <w:rsid w:val="00FB3000"/>
    <w:rsid w:val="00FB33BD"/>
    <w:rsid w:val="00FB39B8"/>
    <w:rsid w:val="00FB3C3A"/>
    <w:rsid w:val="00FB4B6D"/>
    <w:rsid w:val="00FB5392"/>
    <w:rsid w:val="00FB5AB4"/>
    <w:rsid w:val="00FB6594"/>
    <w:rsid w:val="00FB6A1C"/>
    <w:rsid w:val="00FB6A30"/>
    <w:rsid w:val="00FB6AED"/>
    <w:rsid w:val="00FB7630"/>
    <w:rsid w:val="00FB7847"/>
    <w:rsid w:val="00FB7F5F"/>
    <w:rsid w:val="00FC09E0"/>
    <w:rsid w:val="00FC14DC"/>
    <w:rsid w:val="00FC1BA5"/>
    <w:rsid w:val="00FC1EA5"/>
    <w:rsid w:val="00FC2B14"/>
    <w:rsid w:val="00FC369A"/>
    <w:rsid w:val="00FC3807"/>
    <w:rsid w:val="00FC38F8"/>
    <w:rsid w:val="00FC4154"/>
    <w:rsid w:val="00FC50FB"/>
    <w:rsid w:val="00FC52D7"/>
    <w:rsid w:val="00FC61CA"/>
    <w:rsid w:val="00FC6B93"/>
    <w:rsid w:val="00FC6DFC"/>
    <w:rsid w:val="00FC73A6"/>
    <w:rsid w:val="00FC762A"/>
    <w:rsid w:val="00FC7952"/>
    <w:rsid w:val="00FD01B5"/>
    <w:rsid w:val="00FD278B"/>
    <w:rsid w:val="00FD2FFA"/>
    <w:rsid w:val="00FD3311"/>
    <w:rsid w:val="00FD3EB3"/>
    <w:rsid w:val="00FD42B1"/>
    <w:rsid w:val="00FD4AA5"/>
    <w:rsid w:val="00FD4EF3"/>
    <w:rsid w:val="00FD6185"/>
    <w:rsid w:val="00FD6E65"/>
    <w:rsid w:val="00FD72C7"/>
    <w:rsid w:val="00FE1402"/>
    <w:rsid w:val="00FE1582"/>
    <w:rsid w:val="00FE3704"/>
    <w:rsid w:val="00FE3FE1"/>
    <w:rsid w:val="00FE4F4F"/>
    <w:rsid w:val="00FE5746"/>
    <w:rsid w:val="00FE591E"/>
    <w:rsid w:val="00FE62BF"/>
    <w:rsid w:val="00FE6EC8"/>
    <w:rsid w:val="00FE767D"/>
    <w:rsid w:val="00FE7893"/>
    <w:rsid w:val="00FE7B63"/>
    <w:rsid w:val="00FF0393"/>
    <w:rsid w:val="00FF0D80"/>
    <w:rsid w:val="00FF3561"/>
    <w:rsid w:val="00FF3EAD"/>
    <w:rsid w:val="00FF45DB"/>
    <w:rsid w:val="00FF7BDC"/>
    <w:rsid w:val="00FF7E45"/>
    <w:rsid w:val="00FF7E60"/>
    <w:rsid w:val="00FF7F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392F544"/>
  <w15:docId w15:val="{DF50B68F-232C-44DF-B737-970740EC4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6DFC"/>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FC6DFC"/>
    <w:pPr>
      <w:spacing w:after="160" w:line="240" w:lineRule="exact"/>
      <w:ind w:left="357"/>
    </w:pPr>
    <w:rPr>
      <w:rFonts w:asciiTheme="minorHAnsi" w:hAnsiTheme="minorHAnsi" w:cstheme="minorBidi"/>
      <w:sz w:val="22"/>
      <w:vertAlign w:val="superscript"/>
    </w:rPr>
  </w:style>
  <w:style w:type="character" w:styleId="CommentReference">
    <w:name w:val="annotation reference"/>
    <w:basedOn w:val="DefaultParagraphFont"/>
    <w:uiPriority w:val="99"/>
    <w:semiHidden/>
    <w:unhideWhenUsed/>
    <w:rsid w:val="00FC6DFC"/>
    <w:rPr>
      <w:sz w:val="16"/>
      <w:szCs w:val="16"/>
    </w:rPr>
  </w:style>
  <w:style w:type="paragraph" w:styleId="CommentText">
    <w:name w:val="annotation text"/>
    <w:basedOn w:val="Normal"/>
    <w:link w:val="CommentTextChar"/>
    <w:uiPriority w:val="99"/>
    <w:unhideWhenUsed/>
    <w:rsid w:val="00FC6DFC"/>
    <w:pPr>
      <w:ind w:left="357"/>
    </w:pPr>
    <w:rPr>
      <w:rFonts w:cstheme="minorBidi"/>
      <w:sz w:val="20"/>
      <w:szCs w:val="20"/>
    </w:rPr>
  </w:style>
  <w:style w:type="character" w:customStyle="1" w:styleId="CommentTextChar">
    <w:name w:val="Comment Text Char"/>
    <w:basedOn w:val="DefaultParagraphFont"/>
    <w:link w:val="CommentText"/>
    <w:uiPriority w:val="99"/>
    <w:rsid w:val="00FC6DFC"/>
    <w:rPr>
      <w:rFonts w:ascii="Times New Roman" w:hAnsi="Times New Roman"/>
      <w:sz w:val="20"/>
      <w:szCs w:val="20"/>
      <w:lang w:val="ro-RO"/>
    </w:rPr>
  </w:style>
  <w:style w:type="character" w:customStyle="1" w:styleId="Mention">
    <w:name w:val="Mention"/>
    <w:basedOn w:val="DefaultParagraphFont"/>
    <w:uiPriority w:val="99"/>
    <w:unhideWhenUsed/>
    <w:rsid w:val="00FC6DFC"/>
    <w:rPr>
      <w:color w:val="2B579A"/>
      <w:shd w:val="clear" w:color="auto" w:fill="E1DFDD"/>
    </w:rPr>
  </w:style>
  <w:style w:type="paragraph" w:styleId="ListNumber">
    <w:name w:val="List Number"/>
    <w:basedOn w:val="Normal"/>
    <w:uiPriority w:val="99"/>
    <w:unhideWhenUsed/>
    <w:rsid w:val="00FC6DFC"/>
    <w:pPr>
      <w:numPr>
        <w:numId w:val="1"/>
      </w:numPr>
      <w:tabs>
        <w:tab w:val="clear" w:pos="709"/>
      </w:tabs>
      <w:spacing w:before="0" w:after="160" w:line="279" w:lineRule="auto"/>
      <w:ind w:left="0" w:firstLine="0"/>
      <w:contextualSpacing/>
      <w:jc w:val="left"/>
    </w:pPr>
    <w:rPr>
      <w:rFonts w:asciiTheme="minorHAnsi" w:eastAsiaTheme="minorEastAsia" w:hAnsiTheme="minorHAnsi" w:cstheme="minorBidi"/>
      <w:szCs w:val="24"/>
      <w:lang w:eastAsia="ja-JP"/>
    </w:rPr>
  </w:style>
  <w:style w:type="paragraph" w:customStyle="1" w:styleId="ListNumberLevel2">
    <w:name w:val="List Number (Level 2)"/>
    <w:basedOn w:val="Normal"/>
    <w:rsid w:val="00FC6DFC"/>
    <w:pPr>
      <w:numPr>
        <w:ilvl w:val="1"/>
        <w:numId w:val="1"/>
      </w:numPr>
      <w:tabs>
        <w:tab w:val="clear" w:pos="1417"/>
      </w:tabs>
      <w:spacing w:before="0" w:after="160" w:line="279" w:lineRule="auto"/>
      <w:ind w:left="0" w:firstLine="0"/>
      <w:jc w:val="left"/>
    </w:pPr>
    <w:rPr>
      <w:rFonts w:asciiTheme="minorHAnsi" w:eastAsiaTheme="minorEastAsia" w:hAnsiTheme="minorHAnsi" w:cstheme="minorBidi"/>
      <w:szCs w:val="24"/>
      <w:lang w:eastAsia="ja-JP"/>
    </w:rPr>
  </w:style>
  <w:style w:type="paragraph" w:customStyle="1" w:styleId="ListNumberLevel3">
    <w:name w:val="List Number (Level 3)"/>
    <w:basedOn w:val="Normal"/>
    <w:rsid w:val="00FC6DFC"/>
    <w:pPr>
      <w:numPr>
        <w:ilvl w:val="2"/>
        <w:numId w:val="1"/>
      </w:numPr>
      <w:tabs>
        <w:tab w:val="clear" w:pos="2126"/>
      </w:tabs>
      <w:spacing w:before="0" w:after="160" w:line="279" w:lineRule="auto"/>
      <w:ind w:left="0" w:firstLine="0"/>
      <w:jc w:val="left"/>
    </w:pPr>
    <w:rPr>
      <w:rFonts w:asciiTheme="minorHAnsi" w:eastAsiaTheme="minorEastAsia" w:hAnsiTheme="minorHAnsi" w:cstheme="minorBidi"/>
      <w:szCs w:val="24"/>
      <w:lang w:eastAsia="ja-JP"/>
    </w:rPr>
  </w:style>
  <w:style w:type="paragraph" w:customStyle="1" w:styleId="ListNumberLevel4">
    <w:name w:val="List Number (Level 4)"/>
    <w:basedOn w:val="Normal"/>
    <w:rsid w:val="00FC6DFC"/>
    <w:pPr>
      <w:numPr>
        <w:ilvl w:val="3"/>
        <w:numId w:val="1"/>
      </w:numPr>
      <w:tabs>
        <w:tab w:val="clear" w:pos="2835"/>
      </w:tabs>
      <w:spacing w:before="0" w:after="160" w:line="279" w:lineRule="auto"/>
      <w:ind w:left="0" w:firstLine="0"/>
      <w:jc w:val="left"/>
    </w:pPr>
    <w:rPr>
      <w:rFonts w:asciiTheme="minorHAnsi" w:eastAsiaTheme="minorEastAsia" w:hAnsiTheme="minorHAnsi" w:cstheme="minorBidi"/>
      <w:szCs w:val="24"/>
      <w:lang w:eastAsia="ja-JP"/>
    </w:rPr>
  </w:style>
  <w:style w:type="paragraph" w:customStyle="1" w:styleId="Recital">
    <w:name w:val="Recital"/>
    <w:basedOn w:val="ListNumber"/>
    <w:link w:val="RecitalChar"/>
    <w:qFormat/>
    <w:rsid w:val="00FC6DFC"/>
    <w:pPr>
      <w:tabs>
        <w:tab w:val="num" w:pos="709"/>
      </w:tabs>
      <w:spacing w:before="120" w:after="280" w:line="240" w:lineRule="auto"/>
      <w:ind w:left="709" w:hanging="709"/>
      <w:contextualSpacing w:val="0"/>
      <w:jc w:val="both"/>
    </w:pPr>
    <w:rPr>
      <w:rFonts w:ascii="Times New Roman" w:hAnsi="Times New Roman" w:cs="Times New Roman"/>
      <w:noProof/>
    </w:rPr>
  </w:style>
  <w:style w:type="character" w:customStyle="1" w:styleId="RecitalChar">
    <w:name w:val="Recital Char"/>
    <w:basedOn w:val="DefaultParagraphFont"/>
    <w:link w:val="Recital"/>
    <w:rsid w:val="00FC6DFC"/>
    <w:rPr>
      <w:rFonts w:ascii="Times New Roman" w:eastAsiaTheme="minorEastAsia" w:hAnsi="Times New Roman" w:cs="Times New Roman"/>
      <w:noProof/>
      <w:sz w:val="24"/>
      <w:szCs w:val="24"/>
      <w:lang w:eastAsia="ja-JP"/>
    </w:rPr>
  </w:style>
  <w:style w:type="character" w:customStyle="1" w:styleId="UnresolvedMention">
    <w:name w:val="Unresolved Mention"/>
    <w:basedOn w:val="DefaultParagraphFont"/>
    <w:uiPriority w:val="99"/>
    <w:semiHidden/>
    <w:unhideWhenUsed/>
    <w:rsid w:val="007F077F"/>
    <w:rPr>
      <w:color w:val="605E5C"/>
      <w:shd w:val="clear" w:color="auto" w:fill="E1DFDD"/>
    </w:rPr>
  </w:style>
  <w:style w:type="paragraph" w:styleId="Revision">
    <w:name w:val="Revision"/>
    <w:hidden/>
    <w:uiPriority w:val="99"/>
    <w:semiHidden/>
    <w:rsid w:val="007F077F"/>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1310C5"/>
    <w:pPr>
      <w:ind w:left="0"/>
    </w:pPr>
    <w:rPr>
      <w:rFonts w:cs="Times New Roman"/>
      <w:b/>
      <w:bCs/>
    </w:rPr>
  </w:style>
  <w:style w:type="character" w:customStyle="1" w:styleId="CommentSubjectChar">
    <w:name w:val="Comment Subject Char"/>
    <w:basedOn w:val="CommentTextChar"/>
    <w:link w:val="CommentSubject"/>
    <w:uiPriority w:val="99"/>
    <w:semiHidden/>
    <w:rsid w:val="001310C5"/>
    <w:rPr>
      <w:rFonts w:ascii="Times New Roman" w:hAnsi="Times New Roman" w:cs="Times New Roman"/>
      <w:b/>
      <w:bCs/>
      <w:sz w:val="20"/>
      <w:szCs w:val="20"/>
      <w:lang w:val="ro-RO"/>
    </w:rPr>
  </w:style>
  <w:style w:type="character" w:styleId="FollowedHyperlink">
    <w:name w:val="FollowedHyperlink"/>
    <w:basedOn w:val="DefaultParagraphFont"/>
    <w:uiPriority w:val="99"/>
    <w:semiHidden/>
    <w:unhideWhenUsed/>
    <w:rsid w:val="00525379"/>
    <w:rPr>
      <w:color w:val="800080" w:themeColor="followedHyperlink"/>
      <w:u w:val="single"/>
    </w:rPr>
  </w:style>
  <w:style w:type="paragraph" w:styleId="ListBullet">
    <w:name w:val="List Bullet"/>
    <w:basedOn w:val="Normal"/>
    <w:uiPriority w:val="99"/>
    <w:semiHidden/>
    <w:unhideWhenUsed/>
    <w:rsid w:val="002359FA"/>
    <w:pPr>
      <w:numPr>
        <w:numId w:val="2"/>
      </w:numPr>
      <w:contextualSpacing/>
    </w:pPr>
  </w:style>
  <w:style w:type="paragraph" w:styleId="ListBullet2">
    <w:name w:val="List Bullet 2"/>
    <w:basedOn w:val="Normal"/>
    <w:uiPriority w:val="99"/>
    <w:semiHidden/>
    <w:unhideWhenUsed/>
    <w:rsid w:val="002359FA"/>
    <w:pPr>
      <w:numPr>
        <w:numId w:val="3"/>
      </w:numPr>
      <w:contextualSpacing/>
    </w:pPr>
  </w:style>
  <w:style w:type="paragraph" w:styleId="ListBullet3">
    <w:name w:val="List Bullet 3"/>
    <w:basedOn w:val="Normal"/>
    <w:uiPriority w:val="99"/>
    <w:semiHidden/>
    <w:unhideWhenUsed/>
    <w:rsid w:val="002359FA"/>
    <w:pPr>
      <w:numPr>
        <w:numId w:val="4"/>
      </w:numPr>
      <w:contextualSpacing/>
    </w:pPr>
  </w:style>
  <w:style w:type="paragraph" w:styleId="ListBullet4">
    <w:name w:val="List Bullet 4"/>
    <w:basedOn w:val="Normal"/>
    <w:uiPriority w:val="99"/>
    <w:semiHidden/>
    <w:unhideWhenUsed/>
    <w:rsid w:val="002359FA"/>
    <w:pPr>
      <w:numPr>
        <w:numId w:val="5"/>
      </w:numPr>
      <w:contextualSpacing/>
    </w:pPr>
  </w:style>
  <w:style w:type="character" w:customStyle="1" w:styleId="HeaderChar">
    <w:name w:val="Header Char"/>
    <w:basedOn w:val="DefaultParagraphFont"/>
    <w:link w:val="Header"/>
    <w:uiPriority w:val="99"/>
    <w:rsid w:val="00733032"/>
    <w:rPr>
      <w:rFonts w:ascii="Times New Roman" w:hAnsi="Times New Roman" w:cs="Times New Roman"/>
      <w:sz w:val="24"/>
      <w:lang w:val="ro-RO"/>
    </w:rPr>
  </w:style>
  <w:style w:type="character" w:customStyle="1" w:styleId="FooterChar">
    <w:name w:val="Footer Char"/>
    <w:basedOn w:val="DefaultParagraphFont"/>
    <w:link w:val="Footer"/>
    <w:uiPriority w:val="99"/>
    <w:rsid w:val="0073303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73303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33032"/>
    <w:pPr>
      <w:spacing w:before="0"/>
      <w:jc w:val="right"/>
    </w:pPr>
    <w:rPr>
      <w:sz w:val="28"/>
    </w:rPr>
  </w:style>
  <w:style w:type="paragraph" w:customStyle="1" w:styleId="FooterSensitivity">
    <w:name w:val="Footer Sensitivity"/>
    <w:basedOn w:val="Normal"/>
    <w:rsid w:val="0073303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733032"/>
    <w:pPr>
      <w:tabs>
        <w:tab w:val="center" w:pos="4535"/>
        <w:tab w:val="right" w:pos="9071"/>
      </w:tabs>
      <w:spacing w:before="0"/>
    </w:pPr>
  </w:style>
  <w:style w:type="paragraph" w:customStyle="1" w:styleId="HeaderLandscape">
    <w:name w:val="HeaderLandscape"/>
    <w:basedOn w:val="Normal"/>
    <w:rsid w:val="00733032"/>
    <w:pPr>
      <w:tabs>
        <w:tab w:val="center" w:pos="7285"/>
        <w:tab w:val="right" w:pos="14003"/>
      </w:tabs>
      <w:spacing w:before="0"/>
    </w:pPr>
  </w:style>
  <w:style w:type="paragraph" w:styleId="Footer">
    <w:name w:val="footer"/>
    <w:basedOn w:val="Normal"/>
    <w:link w:val="FooterChar"/>
    <w:uiPriority w:val="99"/>
    <w:unhideWhenUsed/>
    <w:rsid w:val="0073303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3303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economic-governance-framework/stability-and-growth-pact/corrective-arm-excessive-deficit-procedure/excessive-deficit-procedures-overview/Malta_en" TargetMode="External"/><Relationship Id="rId2" Type="http://schemas.openxmlformats.org/officeDocument/2006/relationships/hyperlink" Target="http://data.europa.eu/eli/dec/2024/2128/oj" TargetMode="External"/><Relationship Id="rId1" Type="http://schemas.openxmlformats.org/officeDocument/2006/relationships/hyperlink" Target="http://data.europa.eu/eli/reg/1997/1467/2024-04-30" TargetMode="External"/><Relationship Id="rId5" Type="http://schemas.openxmlformats.org/officeDocument/2006/relationships/hyperlink" Target="https://ec.europa.eu/eurostat/web/products-euro-indicators/w/2-22042026-ap" TargetMode="External"/><Relationship Id="rId4" Type="http://schemas.openxmlformats.org/officeDocument/2006/relationships/hyperlink" Target="http://data.europa.eu/eli/C/2025/64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248cd52f-b46b-4611-a611-1f804cc55ba9" xsi:nil="true"/>
    <Doctype xmlns="248cd52f-b46b-4611-a611-1f804cc55ba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6BF9CE7B864144AB9135903AF2016F" ma:contentTypeVersion="8" ma:contentTypeDescription="Create a new document." ma:contentTypeScope="" ma:versionID="a07eca62e7eb427ed19d0d0876781e78">
  <xsd:schema xmlns:xsd="http://www.w3.org/2001/XMLSchema" xmlns:xs="http://www.w3.org/2001/XMLSchema" xmlns:p="http://schemas.microsoft.com/office/2006/metadata/properties" xmlns:ns2="248cd52f-b46b-4611-a611-1f804cc55ba9" xmlns:ns3="ee00aed3-c832-4f67-975b-fd0d79c6c939" targetNamespace="http://schemas.microsoft.com/office/2006/metadata/properties" ma:root="true" ma:fieldsID="84b05a78eab309583d88f99c55b6a78c" ns2:_="" ns3:_="">
    <xsd:import namespace="248cd52f-b46b-4611-a611-1f804cc55ba9"/>
    <xsd:import namespace="ee00aed3-c832-4f67-975b-fd0d79c6c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tus" minOccurs="0"/>
                <xsd:element ref="ns3:SharedWithUsers" minOccurs="0"/>
                <xsd:element ref="ns3:SharedWithDetails" minOccurs="0"/>
                <xsd:element ref="ns2:Doc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8cd52f-b46b-4611-a611-1f804cc55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tus" ma:index="12" nillable="true" ma:displayName="Status" ma:format="Dropdown" ma:internalName="Status">
      <xsd:simpleType>
        <xsd:restriction base="dms:Choice">
          <xsd:enumeration value="Draft"/>
          <xsd:enumeration value="Info"/>
          <xsd:enumeration value="Pending CAB approval"/>
          <xsd:enumeration value="Final"/>
        </xsd:restriction>
      </xsd:simpleType>
    </xsd:element>
    <xsd:element name="Doctype" ma:index="15" nillable="true" ma:displayName="Doc type" ma:format="Dropdown" ma:internalName="Doctype">
      <xsd:simpleType>
        <xsd:restriction base="dms:Choice">
          <xsd:enumeration value="Template"/>
          <xsd:enumeration value="Choice 2"/>
          <xsd:enumeration value="Choice 3"/>
        </xsd:restriction>
      </xsd:simpleType>
    </xsd:element>
  </xsd:schema>
  <xsd:schema xmlns:xsd="http://www.w3.org/2001/XMLSchema" xmlns:xs="http://www.w3.org/2001/XMLSchema" xmlns:dms="http://schemas.microsoft.com/office/2006/documentManagement/types" xmlns:pc="http://schemas.microsoft.com/office/infopath/2007/PartnerControls" targetNamespace="ee00aed3-c832-4f67-975b-fd0d79c6c939"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D2717-DA7E-4665-84DC-F3CB18B2930F}">
  <ds:schemaRef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infopath/2007/PartnerControls"/>
    <ds:schemaRef ds:uri="http://purl.org/dc/terms/"/>
    <ds:schemaRef ds:uri="ee00aed3-c832-4f67-975b-fd0d79c6c939"/>
    <ds:schemaRef ds:uri="248cd52f-b46b-4611-a611-1f804cc55ba9"/>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5AF7594E-ED10-4C4C-A88C-D87ED1AF8622}">
  <ds:schemaRefs>
    <ds:schemaRef ds:uri="http://schemas.microsoft.com/sharepoint/v3/contenttype/forms"/>
  </ds:schemaRefs>
</ds:datastoreItem>
</file>

<file path=customXml/itemProps3.xml><?xml version="1.0" encoding="utf-8"?>
<ds:datastoreItem xmlns:ds="http://schemas.openxmlformats.org/officeDocument/2006/customXml" ds:itemID="{2244D908-51A2-42BE-AE0A-E0E3FBF904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8cd52f-b46b-4611-a611-1f804cc55ba9"/>
    <ds:schemaRef ds:uri="ee00aed3-c832-4f67-975b-fd0d79c6c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A40A90-7420-478F-9AAE-1548775E4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16</TotalTime>
  <Pages>5</Pages>
  <Words>1232</Words>
  <Characters>7026</Characters>
  <Application>Microsoft Office Word</Application>
  <DocSecurity>0</DocSecurity>
  <Lines>58</Lines>
  <Paragraphs>16</Paragraphs>
  <ScaleCrop>false</ScaleCrop>
  <Manager/>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2026-06-02T08:47:00Z</dcterms:created>
  <dcterms:modified xsi:type="dcterms:W3CDTF">2026-06-08T08:31:00Z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2026-04-24T09:06:32Z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bb18bd2b-312e-4c73-8fd6-f6c35c51ae2d</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0x010100756BF9CE7B864144AB9135903AF2016F</vt:lpwstr>
  </property>
  <property fmtid="{D5CDD505-2E9C-101B-9397-08002B2CF9AE}" pid="19" name="DQCStatus">
    <vt:lpwstr>Green (DQC version 03)</vt:lpwstr>
  </property>
</Properties>
</file>