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2D6A8" w14:textId="37431E09" w:rsidR="003D7F65" w:rsidRDefault="00391A3A" w:rsidP="00391A3A">
      <w:pPr>
        <w:pStyle w:val="Pagedecouverture"/>
        <w:rPr>
          <w:noProof/>
        </w:rPr>
      </w:pPr>
      <w:bookmarkStart w:id="0" w:name="LW_BM_COVERPAGE"/>
      <w:r>
        <w:rPr>
          <w:noProof/>
        </w:rPr>
        <w:pict w14:anchorId="63313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22C3E7-0108-42C8-935B-29C653969D8F" style="width:455.25pt;height:372.75pt">
            <v:imagedata r:id="rId11" o:title=""/>
          </v:shape>
        </w:pict>
      </w:r>
    </w:p>
    <w:bookmarkEnd w:id="0"/>
    <w:p w14:paraId="169FB67C" w14:textId="77777777" w:rsidR="003D7F65" w:rsidRDefault="003D7F65">
      <w:pPr>
        <w:rPr>
          <w:noProof/>
        </w:rPr>
        <w:sectPr w:rsidR="003D7F65" w:rsidSect="00391A3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2A910C64" w14:textId="13B22504" w:rsidR="003D7F65" w:rsidRDefault="0082041E">
      <w:pPr>
        <w:pStyle w:val="Annex"/>
        <w:jc w:val="center"/>
        <w:rPr>
          <w:noProof/>
        </w:rPr>
      </w:pPr>
      <w:bookmarkStart w:id="1" w:name="_GoBack"/>
      <w:bookmarkEnd w:id="1"/>
      <w:r>
        <w:rPr>
          <w:noProof/>
        </w:rPr>
        <w:lastRenderedPageBreak/>
        <w:t>ANNEXE</w:t>
      </w:r>
    </w:p>
    <w:p w14:paraId="19953278" w14:textId="77777777" w:rsidR="003D7F65" w:rsidRDefault="003D7F65">
      <w:pPr>
        <w:spacing w:before="120" w:after="120" w:line="240" w:lineRule="auto"/>
        <w:jc w:val="both"/>
        <w:rPr>
          <w:rFonts w:ascii="Times New Roman" w:hAnsi="Times New Roman"/>
          <w:noProof/>
          <w:sz w:val="24"/>
        </w:rPr>
      </w:pPr>
    </w:p>
    <w:p w14:paraId="0BBDECC7" w14:textId="77777777" w:rsidR="003D7F65" w:rsidRDefault="0082041E">
      <w:pPr>
        <w:pStyle w:val="Heading1"/>
        <w:numPr>
          <w:ilvl w:val="0"/>
          <w:numId w:val="0"/>
        </w:numPr>
        <w:rPr>
          <w:noProof/>
        </w:rPr>
      </w:pPr>
      <w:r>
        <w:rPr>
          <w:noProof/>
        </w:rPr>
        <w:t>SECTION 1 : RÉFORMES ET INVESTISSEMENTS DANS LE CADRE DU PLAN DE RÉCUPÉRATION ET DE RESILIENCE</w:t>
      </w:r>
    </w:p>
    <w:p w14:paraId="10315734" w14:textId="77777777" w:rsidR="003D7F65" w:rsidRDefault="003D7F65">
      <w:pPr>
        <w:spacing w:before="120" w:after="120" w:line="240" w:lineRule="auto"/>
        <w:jc w:val="both"/>
        <w:rPr>
          <w:rFonts w:ascii="Times New Roman" w:hAnsi="Times New Roman"/>
          <w:noProof/>
          <w:sz w:val="24"/>
        </w:rPr>
      </w:pPr>
    </w:p>
    <w:p w14:paraId="4FEB0F40" w14:textId="77777777" w:rsidR="003D7F65" w:rsidRDefault="0082041E">
      <w:pPr>
        <w:pStyle w:val="Heading2"/>
        <w:numPr>
          <w:ilvl w:val="0"/>
          <w:numId w:val="23"/>
        </w:numPr>
        <w:spacing w:after="240"/>
        <w:ind w:left="0" w:firstLine="0"/>
        <w:rPr>
          <w:noProof/>
        </w:rPr>
      </w:pPr>
      <w:r>
        <w:rPr>
          <w:noProof/>
        </w:rPr>
        <w:t xml:space="preserve">Description des réformes et des investissements </w:t>
      </w:r>
    </w:p>
    <w:p w14:paraId="07B4EE48" w14:textId="77777777" w:rsidR="003D7F65" w:rsidRDefault="0082041E">
      <w:pPr>
        <w:pStyle w:val="P68B1DB1-Heading31"/>
        <w:numPr>
          <w:ilvl w:val="0"/>
          <w:numId w:val="0"/>
        </w:numPr>
        <w:spacing w:after="240"/>
        <w:rPr>
          <w:noProof/>
        </w:rPr>
      </w:pPr>
      <w:r>
        <w:rPr>
          <w:noProof/>
        </w:rPr>
        <w:t>Pilier 1: La transition écologique soutient la restructuration économique et une société sociale neutre en carbone</w:t>
      </w:r>
    </w:p>
    <w:p w14:paraId="43260670" w14:textId="77777777" w:rsidR="003D7F65" w:rsidRDefault="0082041E">
      <w:pPr>
        <w:pStyle w:val="P68B1DB1-Heading42"/>
        <w:numPr>
          <w:ilvl w:val="0"/>
          <w:numId w:val="0"/>
        </w:numPr>
        <w:ind w:left="850" w:hanging="850"/>
        <w:rPr>
          <w:noProof/>
        </w:rPr>
      </w:pPr>
      <w:r>
        <w:rPr>
          <w:noProof/>
        </w:rPr>
        <w:t>A. Élément P1C1: TRANSFORMATION DU SYSTÈME ÉNERGÉTIQUE</w:t>
      </w:r>
    </w:p>
    <w:p w14:paraId="24D1DF11" w14:textId="77777777" w:rsidR="003D7F65" w:rsidRDefault="0082041E">
      <w:pPr>
        <w:pStyle w:val="P68B1DB1-Normal3"/>
        <w:spacing w:before="120" w:after="120" w:line="240" w:lineRule="auto"/>
        <w:jc w:val="both"/>
        <w:rPr>
          <w:noProof/>
        </w:rPr>
      </w:pPr>
      <w:r>
        <w:rPr>
          <w:noProof/>
        </w:rPr>
        <w:t>La Finlande s’est fixé pour objectif de devenir la première société de bien-être sans combustibles fossiles au monde, en atteignant la neutralité carbone d’ici à 2035. L’objectif général de ce volet du plan finlandais pour la reprise et la résilience est de contribuer à la réalisation de l’objectif de neutralité carbone en promouvant l’utilisation de technologies énergétiques propres.</w:t>
      </w:r>
    </w:p>
    <w:p w14:paraId="226743A1" w14:textId="08696F31" w:rsidR="003D7F65" w:rsidRDefault="0082041E">
      <w:pPr>
        <w:pStyle w:val="P68B1DB1-Normal3"/>
        <w:spacing w:before="120" w:after="120" w:line="240" w:lineRule="auto"/>
        <w:jc w:val="both"/>
        <w:rPr>
          <w:noProof/>
        </w:rPr>
      </w:pPr>
      <w:r>
        <w:rPr>
          <w:noProof/>
        </w:rPr>
        <w:t>Ce volet du plan finlandais pour la reprise et la résilience comprend des investissements couvrant les infrastructures nécessaires à la distribution d’énergies renouvelables, ainsi qu’à la production d’énergie propre. Ces investissements s'accompagnent de réformes du secteur de l'énergie axées sur la suppression progressive de l'utilisation du charbon pour la production d'énergie, ainsi que d'une réforme de la taxation de l'énergie visant à promouvoir l'utilisation d'énergie propre. Un investissement distinct est prévu pour soutenir les énergies renouvelables dans la région autonome d’Åland.</w:t>
      </w:r>
    </w:p>
    <w:p w14:paraId="6E9A30A8" w14:textId="4FDB5955" w:rsidR="003D7F65" w:rsidRDefault="0082041E">
      <w:pPr>
        <w:pStyle w:val="NormalWeb"/>
        <w:jc w:val="both"/>
        <w:rPr>
          <w:noProof/>
        </w:rPr>
      </w:pPr>
      <w:r>
        <w:rPr>
          <w:noProof/>
        </w:rPr>
        <w:t>Ce volet contribue à donner suite aux recommandations par pays visant à concentrer les investissements sur la transition écologique, en particulier sur la production et l’utilisation propres et efficaces de l’énergie (recommandation par pays no 3 de 2020), ainsi qu’à promouvoir les investissements dans la transition vers une économie à faible intensité de carbone et la transition énergétique (recommandation par pays no 3 de 2019).</w:t>
      </w:r>
    </w:p>
    <w:p w14:paraId="2C498D93" w14:textId="495A5496" w:rsidR="003D7F65" w:rsidRDefault="0082041E">
      <w:pPr>
        <w:pStyle w:val="P68B1DB1-Normal4"/>
        <w:spacing w:beforeAutospacing="1" w:afterAutospacing="1"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CC913A6" w14:textId="77777777" w:rsidR="003D7F65" w:rsidRDefault="0082041E">
      <w:pPr>
        <w:pStyle w:val="P68B1DB1-Normal5"/>
        <w:spacing w:before="120" w:after="120" w:line="240" w:lineRule="auto"/>
        <w:jc w:val="both"/>
        <w:rPr>
          <w:noProof/>
        </w:rPr>
      </w:pPr>
      <w:r>
        <w:rPr>
          <w:noProof/>
        </w:rPr>
        <w:t xml:space="preserve">A.1. </w:t>
      </w:r>
      <w:r>
        <w:rPr>
          <w:noProof/>
        </w:rPr>
        <w:tab/>
        <w:t>Description des réformes et des investissements pour le soutien financier non remboursable</w:t>
      </w:r>
    </w:p>
    <w:p w14:paraId="69039993" w14:textId="00C754BB" w:rsidR="003D7F65" w:rsidRDefault="0082041E">
      <w:pPr>
        <w:pStyle w:val="P68B1DB1-Normal6"/>
        <w:spacing w:before="120" w:after="120" w:line="240" w:lineRule="auto"/>
        <w:jc w:val="both"/>
        <w:rPr>
          <w:noProof/>
        </w:rPr>
      </w:pPr>
      <w:r>
        <w:rPr>
          <w:noProof/>
        </w:rPr>
        <w:t>Réforme 1 (P1C1R1): Réduction de l'utilisation du charbon pour l'énergie d'ici 2026</w:t>
      </w:r>
    </w:p>
    <w:p w14:paraId="4A27872D" w14:textId="77777777" w:rsidR="003D7F65" w:rsidRDefault="0082041E">
      <w:pPr>
        <w:pStyle w:val="P68B1DB1-Normal3"/>
        <w:spacing w:before="120" w:after="120" w:line="240" w:lineRule="auto"/>
        <w:jc w:val="both"/>
        <w:rPr>
          <w:noProof/>
        </w:rPr>
      </w:pPr>
      <w:r>
        <w:rPr>
          <w:noProof/>
        </w:rPr>
        <w:t>L’objectif de cette mesure est de soutenir l’interdiction de la consommation d’énergie du charbon d’ici à 2029. Cette réforme consiste en une réduction de l'utilisation du charbon dans la production d'énergie.</w:t>
      </w:r>
    </w:p>
    <w:p w14:paraId="69799CF7" w14:textId="77777777" w:rsidR="003D7F65" w:rsidRDefault="0082041E">
      <w:pPr>
        <w:pStyle w:val="P68B1DB1-Normal6"/>
        <w:spacing w:before="120" w:after="120" w:line="240" w:lineRule="auto"/>
        <w:jc w:val="both"/>
        <w:rPr>
          <w:noProof/>
        </w:rPr>
      </w:pPr>
      <w:r>
        <w:rPr>
          <w:noProof/>
        </w:rPr>
        <w:t>Réforme 2 (P1C1R2): Réforme de la taxation de l'énergie pour tenir compte des évolutions technologiques</w:t>
      </w:r>
    </w:p>
    <w:p w14:paraId="7987A4D7" w14:textId="2A0BF1A2" w:rsidR="003D7F65" w:rsidRDefault="0082041E">
      <w:pPr>
        <w:pStyle w:val="P68B1DB1-Normal3"/>
        <w:spacing w:before="120" w:after="120" w:line="240" w:lineRule="auto"/>
        <w:jc w:val="both"/>
        <w:rPr>
          <w:noProof/>
        </w:rPr>
      </w:pPr>
      <w:r>
        <w:rPr>
          <w:noProof/>
        </w:rPr>
        <w:t>L'objectif de la réforme est de modifier la taxation existante des différentes sources d'énergie. La modification de la législation relative à la taxation de l’énergie (loi sur l’accise sur l’électricité et certains combustibles) contribuera à l’élimination progressive des combustibles fossiles en favorisant l’électrification de l’industrie et en encourageant les investissements dans les technologies à faible intensité de carbone. La réforme réduira également la taxe sur l’électricité pour l’industrie, les mines, l’agriculture et les centres de données de plus de 5 MW à 0,05 cent/kWh, soit le minimum de l’UE, de 0,69 cent/kWh. La réforme supprime également progressivement le remboursement de la taxe sur l’énergie pour les industries grandes consommatrices d’énergie d’ici à 2025 et augmente la taxation des combustibles fossiles, y compris la tourbe, à partir du 1er janvier 2021 de 2,7 EUR par MWh.</w:t>
      </w:r>
    </w:p>
    <w:p w14:paraId="63CBC8A2" w14:textId="1CCADD6C" w:rsidR="003D7F65" w:rsidRDefault="0082041E">
      <w:pPr>
        <w:pStyle w:val="P68B1DB1-Normal3"/>
        <w:spacing w:before="120" w:after="120" w:line="240" w:lineRule="auto"/>
        <w:jc w:val="both"/>
        <w:rPr>
          <w:noProof/>
        </w:rPr>
      </w:pPr>
      <w:r>
        <w:rPr>
          <w:noProof/>
        </w:rPr>
        <w:t>Une étude sur la taxation de l'énergie pour la production de chaleur hors combustion est en cours. L'étude devrait servir de base aux décisions relatives à d'autres mesures de taxation du secteur de l'énergie. La Finlande devrait présenter des modifications législatives pour faire en sorte que ces modifications soient en vigueur au 1er janvier 2022.</w:t>
      </w:r>
    </w:p>
    <w:p w14:paraId="1BDCEADC" w14:textId="780E1B4C" w:rsidR="003D7F65" w:rsidRDefault="0082041E">
      <w:pPr>
        <w:pStyle w:val="P68B1DB1-Normal3"/>
        <w:spacing w:before="120" w:after="120" w:line="240" w:lineRule="auto"/>
        <w:jc w:val="both"/>
        <w:rPr>
          <w:noProof/>
        </w:rPr>
      </w:pPr>
      <w:r>
        <w:rPr>
          <w:noProof/>
        </w:rPr>
        <w:t>La mise en œuvre de la réforme devait être achevée au plus tard le 30 juin 2021.</w:t>
      </w:r>
    </w:p>
    <w:p w14:paraId="052AC501" w14:textId="77777777" w:rsidR="003D7F65" w:rsidRDefault="0082041E">
      <w:pPr>
        <w:pStyle w:val="P68B1DB1-Normal6"/>
        <w:spacing w:before="120" w:after="120" w:line="240" w:lineRule="auto"/>
        <w:jc w:val="both"/>
        <w:rPr>
          <w:noProof/>
        </w:rPr>
      </w:pPr>
      <w:r>
        <w:rPr>
          <w:noProof/>
        </w:rPr>
        <w:t>Investissement 1 (P1C1I1): Investissements dans les infrastructures énergétiques</w:t>
      </w:r>
    </w:p>
    <w:p w14:paraId="54D46AFD" w14:textId="77777777" w:rsidR="003D7F65" w:rsidRDefault="0082041E">
      <w:pPr>
        <w:pStyle w:val="P68B1DB1-Normal3"/>
        <w:spacing w:before="120" w:after="120" w:line="240" w:lineRule="auto"/>
        <w:jc w:val="both"/>
        <w:rPr>
          <w:noProof/>
        </w:rPr>
      </w:pPr>
      <w:r>
        <w:rPr>
          <w:noProof/>
        </w:rPr>
        <w:t>L’objectif de cette mesure est d’attirer les investissements dans les énergies propres. Cet investissement consiste à accorder des subventions à des projets axés sur les infrastructures énergétiques, qui peuvent inclure, sans s’y limiter, les réseaux électriques et la capacité de transport d’électricité, l’intégration de systèmes énergétiques pour produire, transmettre et utiliser la chaleur excédentaire et résiduelle et le transport de gaz à faible teneur en carbone, y compris l’hydrogène.</w:t>
      </w:r>
    </w:p>
    <w:p w14:paraId="74194B84" w14:textId="77777777" w:rsidR="003D7F65" w:rsidRDefault="0082041E">
      <w:pPr>
        <w:pStyle w:val="P68B1DB1-Normal6"/>
        <w:spacing w:before="120" w:after="120" w:line="240" w:lineRule="auto"/>
        <w:jc w:val="both"/>
        <w:rPr>
          <w:noProof/>
        </w:rPr>
      </w:pPr>
      <w:r>
        <w:rPr>
          <w:noProof/>
        </w:rPr>
        <w:t>Investissement 2 (P1C1I2): Investissements dans les nouvelles technologies énergétiques</w:t>
      </w:r>
    </w:p>
    <w:p w14:paraId="0972FE78" w14:textId="02829048" w:rsidR="003D7F65" w:rsidRDefault="0082041E">
      <w:pPr>
        <w:pStyle w:val="P68B1DB1-Normal3"/>
        <w:spacing w:before="120" w:after="120" w:line="240" w:lineRule="auto"/>
        <w:jc w:val="both"/>
        <w:rPr>
          <w:noProof/>
        </w:rPr>
      </w:pPr>
      <w:r>
        <w:rPr>
          <w:noProof/>
        </w:rPr>
        <w:t>L’objectif de cette mesure est d’attirer les investissements dans les énergies propres. Cet investissement consiste à accorder des subventions à des projets axés sur les nouvelles technologies propres pour la production, l'utilisation ou le stockage de l'énergie.</w:t>
      </w:r>
    </w:p>
    <w:p w14:paraId="1B98EA48" w14:textId="77777777" w:rsidR="003D7F65" w:rsidRDefault="0082041E">
      <w:pPr>
        <w:pStyle w:val="P68B1DB1-Normal6"/>
        <w:spacing w:before="120" w:after="120" w:line="240" w:lineRule="auto"/>
        <w:jc w:val="both"/>
        <w:rPr>
          <w:noProof/>
        </w:rPr>
      </w:pPr>
      <w:r>
        <w:rPr>
          <w:noProof/>
        </w:rPr>
        <w:t>Investissement 3 (P1C1I3): Train de mesures sur les investissements et les réformes en Åland</w:t>
      </w:r>
    </w:p>
    <w:p w14:paraId="546097D5" w14:textId="77777777" w:rsidR="003D7F65" w:rsidRDefault="0082041E">
      <w:pPr>
        <w:pStyle w:val="P68B1DB1-Normal3"/>
        <w:spacing w:before="120" w:after="120" w:line="240" w:lineRule="auto"/>
        <w:jc w:val="both"/>
        <w:rPr>
          <w:b/>
          <w:noProof/>
          <w:u w:val="single"/>
        </w:rPr>
        <w:sectPr w:rsidR="003D7F65" w:rsidSect="00D823E9">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1"/>
          <w:cols w:space="720"/>
          <w:docGrid w:linePitch="360"/>
        </w:sectPr>
      </w:pPr>
      <w:r>
        <w:rPr>
          <w:noProof/>
        </w:rPr>
        <w:t xml:space="preserve">L’objectif de cette mesure est de contribuer à la production d’énergie propre dans la région autonome des îles Åland. Cet investissement consiste à fournir des subventions pour des projets d'énergie solaire et à financer l'acquisition d'un ou de plusieurs rapports pour préparer les investissements futurs dans l'énergie éolienne en mer. </w:t>
      </w:r>
    </w:p>
    <w:p w14:paraId="18ADB1C1" w14:textId="77777777" w:rsidR="003D7F65" w:rsidRDefault="0082041E">
      <w:pPr>
        <w:spacing w:before="120" w:after="120" w:line="240" w:lineRule="auto"/>
        <w:jc w:val="both"/>
        <w:rPr>
          <w:rFonts w:ascii="Times New Roman" w:hAnsi="Times New Roman"/>
          <w:b/>
          <w:noProof/>
          <w:sz w:val="24"/>
          <w:u w:val="single"/>
        </w:rPr>
      </w:pPr>
      <w:r>
        <w:rPr>
          <w:rFonts w:ascii="Times New Roman" w:hAnsi="Times New Roman"/>
          <w:b/>
          <w:noProof/>
          <w:sz w:val="24"/>
          <w:u w:val="single"/>
        </w:rPr>
        <w:t xml:space="preserve">A.2. </w:t>
      </w:r>
      <w:r>
        <w:rPr>
          <w:noProof/>
        </w:rPr>
        <w:t xml:space="preserve"> </w:t>
      </w:r>
      <w:r>
        <w:rPr>
          <w:rFonts w:ascii="Times New Roman" w:hAnsi="Times New Roman"/>
          <w:b/>
          <w:noProof/>
          <w:sz w:val="24"/>
          <w:u w:val="single"/>
        </w:rPr>
        <w:t>Étapes, cibles, indicateurs et calendrier pour le suivi et la mise en œuvre du soutien financier non remboursable</w:t>
      </w:r>
    </w:p>
    <w:tbl>
      <w:tblPr>
        <w:tblW w:w="15201" w:type="dxa"/>
        <w:tblInd w:w="-147" w:type="dxa"/>
        <w:tblLayout w:type="fixed"/>
        <w:tblCellMar>
          <w:left w:w="28" w:type="dxa"/>
          <w:right w:w="28" w:type="dxa"/>
        </w:tblCellMar>
        <w:tblLook w:val="04A0" w:firstRow="1" w:lastRow="0" w:firstColumn="1" w:lastColumn="0" w:noHBand="0" w:noVBand="1"/>
      </w:tblPr>
      <w:tblGrid>
        <w:gridCol w:w="851"/>
        <w:gridCol w:w="1811"/>
        <w:gridCol w:w="1024"/>
        <w:gridCol w:w="1418"/>
        <w:gridCol w:w="1417"/>
        <w:gridCol w:w="884"/>
        <w:gridCol w:w="1101"/>
        <w:gridCol w:w="850"/>
        <w:gridCol w:w="992"/>
        <w:gridCol w:w="993"/>
        <w:gridCol w:w="3860"/>
      </w:tblGrid>
      <w:tr w:rsidR="003D7F65" w14:paraId="79C7106C" w14:textId="77777777" w:rsidTr="007F30CF">
        <w:trPr>
          <w:trHeight w:val="927"/>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957B42" w14:textId="77777777" w:rsidR="003D7F65" w:rsidRDefault="0082041E">
            <w:pPr>
              <w:pStyle w:val="P68B1DB1-Normal7"/>
              <w:spacing w:after="0" w:line="240" w:lineRule="auto"/>
              <w:jc w:val="center"/>
              <w:rPr>
                <w:noProof/>
              </w:rPr>
            </w:pPr>
            <w:r>
              <w:rPr>
                <w:noProof/>
              </w:rPr>
              <w:t>Numéro</w:t>
            </w:r>
          </w:p>
        </w:tc>
        <w:tc>
          <w:tcPr>
            <w:tcW w:w="18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A66C25" w14:textId="77777777" w:rsidR="003D7F65" w:rsidRDefault="0082041E">
            <w:pPr>
              <w:pStyle w:val="P68B1DB1-Normal7"/>
              <w:spacing w:after="0" w:line="240" w:lineRule="auto"/>
              <w:jc w:val="center"/>
              <w:rPr>
                <w:noProof/>
              </w:rPr>
            </w:pPr>
            <w:r>
              <w:rPr>
                <w:noProof/>
              </w:rPr>
              <w:t xml:space="preserve">Mesure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8F80C4" w14:textId="77777777" w:rsidR="003D7F65" w:rsidRDefault="0082041E">
            <w:pPr>
              <w:pStyle w:val="P68B1DB1-Normal7"/>
              <w:spacing w:after="0" w:line="240" w:lineRule="auto"/>
              <w:jc w:val="center"/>
              <w:rPr>
                <w:noProof/>
              </w:rPr>
            </w:pPr>
            <w:r>
              <w:rPr>
                <w:noProof/>
              </w:rPr>
              <w:t>Étape/cible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4B90F6" w14:textId="77777777" w:rsidR="003D7F65" w:rsidRDefault="0082041E">
            <w:pPr>
              <w:pStyle w:val="P68B1DB1-Normal7"/>
              <w:spacing w:after="0" w:line="240" w:lineRule="auto"/>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D9CFCE" w14:textId="77777777" w:rsidR="003D7F65" w:rsidRDefault="0082041E">
            <w:pPr>
              <w:pStyle w:val="P68B1DB1-Normal7"/>
              <w:spacing w:after="0" w:line="240" w:lineRule="auto"/>
              <w:jc w:val="center"/>
              <w:rPr>
                <w:bCs/>
                <w:noProof/>
              </w:rPr>
            </w:pPr>
            <w:r>
              <w:rPr>
                <w:noProof/>
              </w:rPr>
              <w:t xml:space="preserve">Indicateurs qualitatifs </w:t>
            </w:r>
          </w:p>
          <w:p w14:paraId="0504D1DC" w14:textId="36A1AF96" w:rsidR="003D7F65" w:rsidRDefault="0082041E">
            <w:pPr>
              <w:pStyle w:val="P68B1DB1-Normal7"/>
              <w:spacing w:after="0" w:line="240" w:lineRule="auto"/>
              <w:jc w:val="center"/>
              <w:rPr>
                <w:bCs/>
                <w:noProof/>
              </w:rPr>
            </w:pPr>
            <w:r>
              <w:rPr>
                <w:noProof/>
              </w:rPr>
              <w:t>(pour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4F3AA03" w14:textId="77777777" w:rsidR="003D7F65" w:rsidRDefault="0082041E">
            <w:pPr>
              <w:pStyle w:val="P68B1DB1-Normal7"/>
              <w:spacing w:after="0" w:line="240" w:lineRule="auto"/>
              <w:jc w:val="center"/>
              <w:rPr>
                <w:bCs/>
                <w:noProof/>
              </w:rPr>
            </w:pPr>
            <w:r>
              <w:rPr>
                <w:noProof/>
              </w:rPr>
              <w:t>Indicateurs quantitatifs (pour les objectifs)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32CDEB54" w14:textId="77777777" w:rsidR="003D7F65" w:rsidRDefault="0082041E">
            <w:pPr>
              <w:pStyle w:val="P68B1DB1-Normal7"/>
              <w:spacing w:after="0" w:line="240" w:lineRule="auto"/>
              <w:jc w:val="center"/>
              <w:rPr>
                <w:bCs/>
                <w:noProof/>
              </w:rPr>
            </w:pPr>
            <w:r>
              <w:rPr>
                <w:noProof/>
              </w:rPr>
              <w:t>Calendrier indicatif d'achèvement</w:t>
            </w:r>
          </w:p>
        </w:tc>
        <w:tc>
          <w:tcPr>
            <w:tcW w:w="38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C9D397" w14:textId="77777777" w:rsidR="003D7F65" w:rsidRDefault="0082041E">
            <w:pPr>
              <w:pStyle w:val="P68B1DB1-Normal7"/>
              <w:spacing w:after="0" w:line="240" w:lineRule="auto"/>
              <w:jc w:val="center"/>
              <w:rPr>
                <w:noProof/>
              </w:rPr>
            </w:pPr>
            <w:r>
              <w:rPr>
                <w:noProof/>
              </w:rPr>
              <w:t>Description de chaque jalon et cible</w:t>
            </w:r>
          </w:p>
        </w:tc>
      </w:tr>
      <w:tr w:rsidR="003D7F65" w14:paraId="121EA170" w14:textId="77777777" w:rsidTr="007F30CF">
        <w:trPr>
          <w:trHeight w:val="470"/>
          <w:tblHeader/>
        </w:trPr>
        <w:tc>
          <w:tcPr>
            <w:tcW w:w="851" w:type="dxa"/>
            <w:vMerge/>
            <w:tcBorders>
              <w:top w:val="single" w:sz="4" w:space="0" w:color="auto"/>
              <w:left w:val="single" w:sz="4" w:space="0" w:color="auto"/>
              <w:bottom w:val="single" w:sz="4" w:space="0" w:color="auto"/>
              <w:right w:val="single" w:sz="4" w:space="0" w:color="auto"/>
            </w:tcBorders>
            <w:hideMark/>
          </w:tcPr>
          <w:p w14:paraId="64CDE925" w14:textId="77777777" w:rsidR="003D7F65" w:rsidRDefault="003D7F65">
            <w:pPr>
              <w:spacing w:after="0" w:line="240" w:lineRule="auto"/>
              <w:jc w:val="center"/>
              <w:rPr>
                <w:rFonts w:ascii="Times New Roman" w:eastAsia="Times New Roman" w:hAnsi="Times New Roman"/>
                <w:b/>
                <w:noProof/>
                <w:sz w:val="20"/>
                <w:szCs w:val="20"/>
              </w:rPr>
            </w:pPr>
          </w:p>
        </w:tc>
        <w:tc>
          <w:tcPr>
            <w:tcW w:w="1811" w:type="dxa"/>
            <w:vMerge/>
            <w:tcBorders>
              <w:top w:val="single" w:sz="4" w:space="0" w:color="auto"/>
              <w:left w:val="single" w:sz="4" w:space="0" w:color="auto"/>
              <w:bottom w:val="single" w:sz="4" w:space="0" w:color="auto"/>
              <w:right w:val="single" w:sz="4" w:space="0" w:color="auto"/>
            </w:tcBorders>
            <w:hideMark/>
          </w:tcPr>
          <w:p w14:paraId="4A7613DF" w14:textId="77777777" w:rsidR="003D7F65" w:rsidRDefault="003D7F65">
            <w:pPr>
              <w:spacing w:after="0" w:line="240" w:lineRule="auto"/>
              <w:jc w:val="center"/>
              <w:rPr>
                <w:rFonts w:ascii="Times New Roman" w:eastAsia="Times New Roman" w:hAnsi="Times New Roman"/>
                <w:b/>
                <w:noProof/>
                <w:sz w:val="20"/>
                <w:szCs w:val="20"/>
              </w:rPr>
            </w:pPr>
          </w:p>
        </w:tc>
        <w:tc>
          <w:tcPr>
            <w:tcW w:w="1024" w:type="dxa"/>
            <w:vMerge/>
            <w:tcBorders>
              <w:top w:val="single" w:sz="4" w:space="0" w:color="auto"/>
              <w:left w:val="single" w:sz="4" w:space="0" w:color="auto"/>
              <w:bottom w:val="single" w:sz="4" w:space="0" w:color="auto"/>
              <w:right w:val="single" w:sz="4" w:space="0" w:color="auto"/>
            </w:tcBorders>
            <w:hideMark/>
          </w:tcPr>
          <w:p w14:paraId="2EE52D47" w14:textId="77777777" w:rsidR="003D7F65" w:rsidRDefault="003D7F65">
            <w:pPr>
              <w:spacing w:after="0" w:line="240" w:lineRule="auto"/>
              <w:jc w:val="center"/>
              <w:rPr>
                <w:rFonts w:ascii="Times New Roman" w:eastAsia="Times New Roman" w:hAnsi="Times New Roman"/>
                <w:b/>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06B969" w14:textId="77777777" w:rsidR="003D7F65" w:rsidRDefault="003D7F65">
            <w:pPr>
              <w:spacing w:after="0" w:line="240" w:lineRule="auto"/>
              <w:rPr>
                <w:rFonts w:ascii="Times New Roman" w:eastAsia="Times New Roman" w:hAnsi="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03C8F7" w14:textId="77777777" w:rsidR="003D7F65" w:rsidRDefault="003D7F65">
            <w:pPr>
              <w:spacing w:after="0" w:line="240" w:lineRule="auto"/>
              <w:rPr>
                <w:rFonts w:ascii="Times New Roman" w:eastAsia="Times New Roman" w:hAnsi="Times New Roman"/>
                <w:b/>
                <w:noProof/>
                <w:sz w:val="20"/>
                <w:szCs w:val="20"/>
              </w:rPr>
            </w:pPr>
          </w:p>
        </w:tc>
        <w:tc>
          <w:tcPr>
            <w:tcW w:w="8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415AB5" w14:textId="77777777" w:rsidR="003D7F65" w:rsidRDefault="0082041E">
            <w:pPr>
              <w:pStyle w:val="P68B1DB1-Normal7"/>
              <w:spacing w:after="0" w:line="240" w:lineRule="auto"/>
              <w:jc w:val="center"/>
              <w:rPr>
                <w:noProof/>
              </w:rPr>
            </w:pPr>
            <w:r>
              <w:rPr>
                <w:noProof/>
              </w:rPr>
              <w:t>Unité</w:t>
            </w:r>
          </w:p>
        </w:tc>
        <w:tc>
          <w:tcPr>
            <w:tcW w:w="110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41CDAF" w14:textId="77777777" w:rsidR="003D7F65" w:rsidRDefault="0082041E">
            <w:pPr>
              <w:pStyle w:val="P68B1DB1-Normal7"/>
              <w:spacing w:after="0" w:line="240" w:lineRule="auto"/>
              <w:jc w:val="center"/>
              <w:rPr>
                <w:bCs/>
                <w:noProof/>
              </w:rPr>
            </w:pPr>
            <w:r>
              <w:rPr>
                <w:noProof/>
              </w:rPr>
              <w:t xml:space="preserve">Données de référence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7CB40E" w14:textId="77777777" w:rsidR="003D7F65" w:rsidRDefault="0082041E">
            <w:pPr>
              <w:pStyle w:val="P68B1DB1-Normal7"/>
              <w:spacing w:after="0" w:line="240" w:lineRule="auto"/>
              <w:jc w:val="center"/>
              <w:rPr>
                <w:noProof/>
              </w:rPr>
            </w:pPr>
            <w:r>
              <w:rPr>
                <w:noProof/>
              </w:rPr>
              <w:t xml:space="preserve">Objectif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142BC5" w14:textId="77777777" w:rsidR="003D7F65" w:rsidRDefault="0082041E">
            <w:pPr>
              <w:pStyle w:val="P68B1DB1-Normal7"/>
              <w:spacing w:after="0" w:line="240" w:lineRule="auto"/>
              <w:jc w:val="center"/>
              <w:rPr>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DFDE44" w14:textId="77777777" w:rsidR="003D7F65" w:rsidRDefault="0082041E">
            <w:pPr>
              <w:pStyle w:val="P68B1DB1-Normal7"/>
              <w:spacing w:after="0" w:line="240" w:lineRule="auto"/>
              <w:jc w:val="center"/>
              <w:rPr>
                <w:noProof/>
              </w:rPr>
            </w:pPr>
            <w:r>
              <w:rPr>
                <w:noProof/>
              </w:rPr>
              <w:t>Année</w:t>
            </w:r>
          </w:p>
        </w:tc>
        <w:tc>
          <w:tcPr>
            <w:tcW w:w="3860" w:type="dxa"/>
            <w:vMerge/>
            <w:tcBorders>
              <w:top w:val="single" w:sz="4" w:space="0" w:color="auto"/>
              <w:left w:val="single" w:sz="4" w:space="0" w:color="auto"/>
              <w:bottom w:val="single" w:sz="4" w:space="0" w:color="auto"/>
              <w:right w:val="single" w:sz="4" w:space="0" w:color="auto"/>
            </w:tcBorders>
            <w:vAlign w:val="center"/>
            <w:hideMark/>
          </w:tcPr>
          <w:p w14:paraId="315E84EF" w14:textId="77777777" w:rsidR="003D7F65" w:rsidRDefault="003D7F65">
            <w:pPr>
              <w:spacing w:after="0" w:line="240" w:lineRule="auto"/>
              <w:rPr>
                <w:rFonts w:ascii="Times New Roman" w:eastAsia="Times New Roman" w:hAnsi="Times New Roman"/>
                <w:b/>
                <w:noProof/>
                <w:sz w:val="20"/>
                <w:szCs w:val="20"/>
              </w:rPr>
            </w:pPr>
          </w:p>
        </w:tc>
      </w:tr>
      <w:tr w:rsidR="003D7F65" w14:paraId="39E5ECF1" w14:textId="77777777" w:rsidTr="007F30CF">
        <w:trPr>
          <w:trHeight w:val="283"/>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C240CA5" w14:textId="77777777" w:rsidR="003D7F65" w:rsidRDefault="0082041E">
            <w:pPr>
              <w:pStyle w:val="P68B1DB1-Normal8"/>
              <w:spacing w:after="0" w:line="240" w:lineRule="auto"/>
              <w:jc w:val="center"/>
              <w:rPr>
                <w:rFonts w:eastAsia="Times New Roman"/>
                <w:noProof/>
              </w:rPr>
            </w:pPr>
            <w:r>
              <w:rPr>
                <w:noProof/>
              </w:rPr>
              <w:t>1</w:t>
            </w:r>
          </w:p>
        </w:tc>
        <w:tc>
          <w:tcPr>
            <w:tcW w:w="1811" w:type="dxa"/>
            <w:tcBorders>
              <w:top w:val="single" w:sz="4" w:space="0" w:color="auto"/>
              <w:left w:val="nil"/>
              <w:bottom w:val="single" w:sz="4" w:space="0" w:color="auto"/>
              <w:right w:val="single" w:sz="4" w:space="0" w:color="auto"/>
            </w:tcBorders>
            <w:shd w:val="clear" w:color="auto" w:fill="C6EFCE"/>
            <w:noWrap/>
            <w:hideMark/>
          </w:tcPr>
          <w:p w14:paraId="4E05F04E" w14:textId="77777777" w:rsidR="003D7F65" w:rsidRDefault="0082041E">
            <w:pPr>
              <w:pStyle w:val="P68B1DB1-Normal8"/>
              <w:spacing w:after="0" w:line="240" w:lineRule="auto"/>
              <w:rPr>
                <w:rFonts w:eastAsia="Times New Roman"/>
                <w:noProof/>
              </w:rPr>
            </w:pPr>
            <w:r>
              <w:rPr>
                <w:noProof/>
              </w:rPr>
              <w:t>P1C1R1 – Transformation du système énergétique – Réduction de l’utilisation du charbon à des fins énergétiques d’ici à 2026</w:t>
            </w:r>
          </w:p>
        </w:tc>
        <w:tc>
          <w:tcPr>
            <w:tcW w:w="1024" w:type="dxa"/>
            <w:tcBorders>
              <w:top w:val="single" w:sz="4" w:space="0" w:color="auto"/>
              <w:left w:val="nil"/>
              <w:bottom w:val="single" w:sz="4" w:space="0" w:color="auto"/>
              <w:right w:val="single" w:sz="4" w:space="0" w:color="auto"/>
            </w:tcBorders>
            <w:shd w:val="clear" w:color="auto" w:fill="C6EFCE"/>
            <w:noWrap/>
            <w:hideMark/>
          </w:tcPr>
          <w:p w14:paraId="54E0BC6C" w14:textId="77777777" w:rsidR="003D7F65" w:rsidRDefault="0082041E">
            <w:pPr>
              <w:pStyle w:val="P68B1DB1-Normal8"/>
              <w:spacing w:after="0" w:line="240" w:lineRule="auto"/>
              <w:rPr>
                <w:rFonts w:eastAsia="Times New Roman"/>
                <w:noProof/>
              </w:rPr>
            </w:pPr>
            <w:r>
              <w:rPr>
                <w:noProof/>
              </w:rPr>
              <w:t>Objectif</w:t>
            </w:r>
          </w:p>
        </w:tc>
        <w:tc>
          <w:tcPr>
            <w:tcW w:w="1418" w:type="dxa"/>
            <w:tcBorders>
              <w:top w:val="single" w:sz="4" w:space="0" w:color="auto"/>
              <w:left w:val="nil"/>
              <w:bottom w:val="single" w:sz="4" w:space="0" w:color="auto"/>
              <w:right w:val="single" w:sz="4" w:space="0" w:color="auto"/>
            </w:tcBorders>
            <w:shd w:val="clear" w:color="auto" w:fill="C6EFCE"/>
            <w:noWrap/>
            <w:hideMark/>
          </w:tcPr>
          <w:p w14:paraId="4CA95E24" w14:textId="77777777" w:rsidR="003D7F65" w:rsidRDefault="0082041E">
            <w:pPr>
              <w:pStyle w:val="P68B1DB1-Normal8"/>
              <w:spacing w:after="0" w:line="240" w:lineRule="auto"/>
              <w:rPr>
                <w:noProof/>
              </w:rPr>
            </w:pPr>
            <w:r>
              <w:rPr>
                <w:noProof/>
              </w:rPr>
              <w:t xml:space="preserve">Réduction de l’utilisation du charbon à des fins énergétiques d’ici à 2026 par rapport à 2019 </w:t>
            </w:r>
          </w:p>
        </w:tc>
        <w:tc>
          <w:tcPr>
            <w:tcW w:w="1417" w:type="dxa"/>
            <w:tcBorders>
              <w:top w:val="single" w:sz="4" w:space="0" w:color="auto"/>
              <w:left w:val="nil"/>
              <w:bottom w:val="single" w:sz="4" w:space="0" w:color="auto"/>
              <w:right w:val="single" w:sz="4" w:space="0" w:color="auto"/>
            </w:tcBorders>
            <w:shd w:val="clear" w:color="auto" w:fill="C6EFCE"/>
            <w:noWrap/>
            <w:hideMark/>
          </w:tcPr>
          <w:p w14:paraId="188D5BEE" w14:textId="77777777" w:rsidR="003D7F65" w:rsidRDefault="0082041E">
            <w:pPr>
              <w:pStyle w:val="P68B1DB1-Normal8"/>
              <w:spacing w:after="0" w:line="240" w:lineRule="auto"/>
              <w:rPr>
                <w:rFonts w:eastAsia="Times New Roman"/>
                <w:noProof/>
              </w:rPr>
            </w:pPr>
            <w:r>
              <w:rPr>
                <w:noProof/>
              </w:rPr>
              <w:t> </w:t>
            </w:r>
          </w:p>
        </w:tc>
        <w:tc>
          <w:tcPr>
            <w:tcW w:w="884" w:type="dxa"/>
            <w:tcBorders>
              <w:top w:val="single" w:sz="4" w:space="0" w:color="auto"/>
              <w:left w:val="nil"/>
              <w:bottom w:val="single" w:sz="4" w:space="0" w:color="auto"/>
              <w:right w:val="single" w:sz="4" w:space="0" w:color="auto"/>
            </w:tcBorders>
            <w:shd w:val="clear" w:color="auto" w:fill="C6EFCE"/>
            <w:noWrap/>
            <w:hideMark/>
          </w:tcPr>
          <w:p w14:paraId="020C6C91" w14:textId="77777777" w:rsidR="003D7F65" w:rsidRDefault="0082041E">
            <w:pPr>
              <w:pStyle w:val="P68B1DB1-Normal8"/>
              <w:spacing w:after="0" w:line="240" w:lineRule="auto"/>
              <w:rPr>
                <w:noProof/>
              </w:rPr>
            </w:pPr>
            <w:r>
              <w:rPr>
                <w:noProof/>
              </w:rPr>
              <w:t>Pétajoules</w:t>
            </w:r>
          </w:p>
        </w:tc>
        <w:tc>
          <w:tcPr>
            <w:tcW w:w="1101" w:type="dxa"/>
            <w:tcBorders>
              <w:top w:val="single" w:sz="4" w:space="0" w:color="auto"/>
              <w:left w:val="nil"/>
              <w:bottom w:val="single" w:sz="4" w:space="0" w:color="auto"/>
              <w:right w:val="single" w:sz="4" w:space="0" w:color="auto"/>
            </w:tcBorders>
            <w:shd w:val="clear" w:color="auto" w:fill="C6EFCE"/>
            <w:noWrap/>
            <w:hideMark/>
          </w:tcPr>
          <w:p w14:paraId="31ADA582" w14:textId="77777777" w:rsidR="003D7F65" w:rsidRDefault="0082041E">
            <w:pPr>
              <w:pStyle w:val="P68B1DB1-Normal8"/>
              <w:spacing w:after="0" w:line="240" w:lineRule="auto"/>
              <w:rPr>
                <w:rFonts w:eastAsia="Times New Roman"/>
                <w:noProof/>
              </w:rPr>
            </w:pPr>
            <w:r>
              <w:rPr>
                <w:noProof/>
              </w:rPr>
              <w:t>60</w:t>
            </w:r>
          </w:p>
        </w:tc>
        <w:tc>
          <w:tcPr>
            <w:tcW w:w="850" w:type="dxa"/>
            <w:tcBorders>
              <w:top w:val="single" w:sz="4" w:space="0" w:color="auto"/>
              <w:left w:val="nil"/>
              <w:bottom w:val="single" w:sz="4" w:space="0" w:color="auto"/>
              <w:right w:val="single" w:sz="4" w:space="0" w:color="auto"/>
            </w:tcBorders>
            <w:shd w:val="clear" w:color="auto" w:fill="C6EFCE"/>
            <w:noWrap/>
            <w:hideMark/>
          </w:tcPr>
          <w:p w14:paraId="6DB333DC" w14:textId="77777777" w:rsidR="003D7F65" w:rsidRDefault="0082041E">
            <w:pPr>
              <w:pStyle w:val="P68B1DB1-Normal8"/>
              <w:spacing w:after="0" w:line="240" w:lineRule="auto"/>
              <w:rPr>
                <w:rFonts w:eastAsia="Times New Roman"/>
                <w:noProof/>
              </w:rPr>
            </w:pPr>
            <w:r>
              <w:rPr>
                <w:noProof/>
              </w:rPr>
              <w:t>36</w:t>
            </w:r>
          </w:p>
        </w:tc>
        <w:tc>
          <w:tcPr>
            <w:tcW w:w="992" w:type="dxa"/>
            <w:tcBorders>
              <w:top w:val="single" w:sz="4" w:space="0" w:color="auto"/>
              <w:left w:val="nil"/>
              <w:bottom w:val="single" w:sz="4" w:space="0" w:color="auto"/>
              <w:right w:val="single" w:sz="4" w:space="0" w:color="auto"/>
            </w:tcBorders>
            <w:shd w:val="clear" w:color="auto" w:fill="C6EFCE"/>
            <w:noWrap/>
            <w:hideMark/>
          </w:tcPr>
          <w:p w14:paraId="0ED96248" w14:textId="77777777" w:rsidR="003D7F65" w:rsidRDefault="0082041E">
            <w:pPr>
              <w:pStyle w:val="P68B1DB1-Normal8"/>
              <w:spacing w:after="0" w:line="240" w:lineRule="auto"/>
              <w:rPr>
                <w:rFonts w:eastAsia="Times New Roman"/>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hideMark/>
          </w:tcPr>
          <w:p w14:paraId="449C123D" w14:textId="77777777" w:rsidR="003D7F65" w:rsidRDefault="0082041E">
            <w:pPr>
              <w:pStyle w:val="P68B1DB1-Normal8"/>
              <w:spacing w:after="0" w:line="240" w:lineRule="auto"/>
              <w:rPr>
                <w:rFonts w:eastAsia="Times New Roman"/>
                <w:noProof/>
              </w:rPr>
            </w:pPr>
            <w:r>
              <w:rPr>
                <w:noProof/>
              </w:rPr>
              <w:t>2026</w:t>
            </w:r>
          </w:p>
        </w:tc>
        <w:tc>
          <w:tcPr>
            <w:tcW w:w="3860" w:type="dxa"/>
            <w:tcBorders>
              <w:top w:val="single" w:sz="4" w:space="0" w:color="auto"/>
              <w:left w:val="nil"/>
              <w:bottom w:val="single" w:sz="4" w:space="0" w:color="auto"/>
              <w:right w:val="single" w:sz="4" w:space="0" w:color="auto"/>
            </w:tcBorders>
            <w:shd w:val="clear" w:color="auto" w:fill="C6EFCE"/>
            <w:noWrap/>
            <w:hideMark/>
          </w:tcPr>
          <w:p w14:paraId="32747CD6" w14:textId="503A191C" w:rsidR="003D7F65" w:rsidRDefault="0082041E">
            <w:pPr>
              <w:pStyle w:val="P68B1DB1-Normal8"/>
              <w:spacing w:after="0" w:line="240" w:lineRule="auto"/>
              <w:rPr>
                <w:rFonts w:eastAsia="Times New Roman"/>
                <w:noProof/>
              </w:rPr>
            </w:pPr>
            <w:r>
              <w:rPr>
                <w:noProof/>
              </w:rPr>
              <w:t>La consommation de charbon à des fins énergétiques est réduite à 36 pétajoules ou moins d’ici à 2026, contre 60 pétajoules en 2019.</w:t>
            </w:r>
          </w:p>
        </w:tc>
      </w:tr>
      <w:tr w:rsidR="003D7F65" w14:paraId="0BA77056"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44BFB32A" w14:textId="77777777" w:rsidR="003D7F65" w:rsidRDefault="0082041E">
            <w:pPr>
              <w:pStyle w:val="P68B1DB1-Normal8"/>
              <w:spacing w:after="0" w:line="240" w:lineRule="auto"/>
              <w:jc w:val="center"/>
              <w:rPr>
                <w:rFonts w:eastAsia="Times New Roman"/>
                <w:noProof/>
              </w:rPr>
            </w:pPr>
            <w:r>
              <w:rPr>
                <w:noProof/>
              </w:rPr>
              <w:t>2</w:t>
            </w:r>
          </w:p>
        </w:tc>
        <w:tc>
          <w:tcPr>
            <w:tcW w:w="1811" w:type="dxa"/>
            <w:tcBorders>
              <w:top w:val="nil"/>
              <w:left w:val="nil"/>
              <w:bottom w:val="single" w:sz="4" w:space="0" w:color="auto"/>
              <w:right w:val="single" w:sz="4" w:space="0" w:color="auto"/>
            </w:tcBorders>
            <w:shd w:val="clear" w:color="auto" w:fill="C6EFCE"/>
            <w:noWrap/>
            <w:hideMark/>
          </w:tcPr>
          <w:p w14:paraId="09493564" w14:textId="77777777" w:rsidR="003D7F65" w:rsidRDefault="0082041E">
            <w:pPr>
              <w:pStyle w:val="P68B1DB1-Normal8"/>
              <w:spacing w:after="0" w:line="240" w:lineRule="auto"/>
              <w:rPr>
                <w:noProof/>
              </w:rPr>
            </w:pPr>
            <w:r>
              <w:rPr>
                <w:noProof/>
              </w:rPr>
              <w:t>P1C1R2 - Transformation du système énergétique - Réforme de la taxation de l'énergie pour tenir compte des évolutions technologiques</w:t>
            </w:r>
          </w:p>
        </w:tc>
        <w:tc>
          <w:tcPr>
            <w:tcW w:w="1024" w:type="dxa"/>
            <w:tcBorders>
              <w:top w:val="nil"/>
              <w:left w:val="nil"/>
              <w:bottom w:val="single" w:sz="4" w:space="0" w:color="auto"/>
              <w:right w:val="single" w:sz="4" w:space="0" w:color="auto"/>
            </w:tcBorders>
            <w:shd w:val="clear" w:color="auto" w:fill="C6EFCE"/>
            <w:noWrap/>
            <w:hideMark/>
          </w:tcPr>
          <w:p w14:paraId="5891FCB7"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nil"/>
              <w:left w:val="nil"/>
              <w:bottom w:val="single" w:sz="4" w:space="0" w:color="auto"/>
              <w:right w:val="single" w:sz="4" w:space="0" w:color="auto"/>
            </w:tcBorders>
            <w:shd w:val="clear" w:color="auto" w:fill="C6EFCE"/>
            <w:noWrap/>
            <w:hideMark/>
          </w:tcPr>
          <w:p w14:paraId="7398EBF1" w14:textId="77777777" w:rsidR="003D7F65" w:rsidRDefault="0082041E">
            <w:pPr>
              <w:pStyle w:val="P68B1DB1-Normal8"/>
              <w:spacing w:after="0" w:line="240" w:lineRule="auto"/>
              <w:rPr>
                <w:rFonts w:eastAsia="Times New Roman"/>
                <w:noProof/>
              </w:rPr>
            </w:pPr>
            <w:r>
              <w:rPr>
                <w:noProof/>
              </w:rPr>
              <w:t>Entrée en vigueur de la loi sur l'accise sur l'électricité et certains combustibles</w:t>
            </w:r>
          </w:p>
        </w:tc>
        <w:tc>
          <w:tcPr>
            <w:tcW w:w="1417" w:type="dxa"/>
            <w:tcBorders>
              <w:top w:val="nil"/>
              <w:left w:val="nil"/>
              <w:bottom w:val="single" w:sz="4" w:space="0" w:color="auto"/>
              <w:right w:val="single" w:sz="4" w:space="0" w:color="auto"/>
            </w:tcBorders>
            <w:shd w:val="clear" w:color="auto" w:fill="C6EFCE"/>
            <w:noWrap/>
            <w:hideMark/>
          </w:tcPr>
          <w:p w14:paraId="4CA0793B" w14:textId="77777777" w:rsidR="003D7F65" w:rsidRDefault="0082041E">
            <w:pPr>
              <w:pStyle w:val="P68B1DB1-Normal8"/>
              <w:spacing w:after="0" w:line="240" w:lineRule="auto"/>
              <w:rPr>
                <w:rFonts w:eastAsia="Times New Roman"/>
                <w:noProof/>
              </w:rPr>
            </w:pPr>
            <w:r>
              <w:rPr>
                <w:noProof/>
              </w:rPr>
              <w:t xml:space="preserve">Disposition de la loi indiquant l'entrée en vigueur de la loi </w:t>
            </w:r>
          </w:p>
        </w:tc>
        <w:tc>
          <w:tcPr>
            <w:tcW w:w="884" w:type="dxa"/>
            <w:tcBorders>
              <w:top w:val="nil"/>
              <w:left w:val="nil"/>
              <w:bottom w:val="single" w:sz="4" w:space="0" w:color="auto"/>
              <w:right w:val="single" w:sz="4" w:space="0" w:color="auto"/>
            </w:tcBorders>
            <w:shd w:val="clear" w:color="auto" w:fill="C6EFCE"/>
            <w:noWrap/>
            <w:hideMark/>
          </w:tcPr>
          <w:p w14:paraId="4357AFDD" w14:textId="77777777" w:rsidR="003D7F65" w:rsidRDefault="0082041E">
            <w:pPr>
              <w:pStyle w:val="P68B1DB1-Normal8"/>
              <w:spacing w:after="0" w:line="240" w:lineRule="auto"/>
              <w:rPr>
                <w:rFonts w:eastAsia="Times New Roman"/>
                <w:noProof/>
              </w:rPr>
            </w:pPr>
            <w:r>
              <w:rPr>
                <w:noProof/>
              </w:rPr>
              <w:t> </w:t>
            </w:r>
          </w:p>
        </w:tc>
        <w:tc>
          <w:tcPr>
            <w:tcW w:w="1101" w:type="dxa"/>
            <w:tcBorders>
              <w:top w:val="nil"/>
              <w:left w:val="nil"/>
              <w:bottom w:val="single" w:sz="4" w:space="0" w:color="auto"/>
              <w:right w:val="single" w:sz="4" w:space="0" w:color="auto"/>
            </w:tcBorders>
            <w:shd w:val="clear" w:color="auto" w:fill="C6EFCE"/>
            <w:noWrap/>
            <w:hideMark/>
          </w:tcPr>
          <w:p w14:paraId="16028C8D" w14:textId="77777777" w:rsidR="003D7F65" w:rsidRDefault="0082041E">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7AD6B9D6"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1AA444ED" w14:textId="77777777" w:rsidR="003D7F65" w:rsidRDefault="0082041E">
            <w:pPr>
              <w:pStyle w:val="P68B1DB1-Normal8"/>
              <w:spacing w:after="0" w:line="240" w:lineRule="auto"/>
              <w:rPr>
                <w:noProof/>
              </w:rPr>
            </w:pPr>
            <w:r>
              <w:rPr>
                <w:noProof/>
              </w:rPr>
              <w:t>T2</w:t>
            </w:r>
          </w:p>
        </w:tc>
        <w:tc>
          <w:tcPr>
            <w:tcW w:w="993" w:type="dxa"/>
            <w:tcBorders>
              <w:top w:val="nil"/>
              <w:left w:val="nil"/>
              <w:bottom w:val="single" w:sz="4" w:space="0" w:color="auto"/>
              <w:right w:val="single" w:sz="4" w:space="0" w:color="auto"/>
            </w:tcBorders>
            <w:shd w:val="clear" w:color="auto" w:fill="C6EFCE"/>
            <w:noWrap/>
            <w:hideMark/>
          </w:tcPr>
          <w:p w14:paraId="2AF4E714" w14:textId="77777777" w:rsidR="003D7F65" w:rsidRDefault="0082041E">
            <w:pPr>
              <w:pStyle w:val="P68B1DB1-Normal8"/>
              <w:spacing w:after="0" w:line="240" w:lineRule="auto"/>
              <w:rPr>
                <w:rFonts w:eastAsia="Times New Roman"/>
                <w:noProof/>
              </w:rPr>
            </w:pPr>
            <w:r>
              <w:rPr>
                <w:noProof/>
              </w:rPr>
              <w:t>2021</w:t>
            </w:r>
          </w:p>
        </w:tc>
        <w:tc>
          <w:tcPr>
            <w:tcW w:w="3860" w:type="dxa"/>
            <w:tcBorders>
              <w:top w:val="nil"/>
              <w:left w:val="nil"/>
              <w:bottom w:val="single" w:sz="4" w:space="0" w:color="auto"/>
              <w:right w:val="single" w:sz="4" w:space="0" w:color="auto"/>
            </w:tcBorders>
            <w:shd w:val="clear" w:color="auto" w:fill="C6EFCE"/>
            <w:noWrap/>
            <w:hideMark/>
          </w:tcPr>
          <w:p w14:paraId="1051BFD6" w14:textId="77777777" w:rsidR="003D7F65" w:rsidRDefault="0082041E">
            <w:pPr>
              <w:pStyle w:val="P68B1DB1-Normal8"/>
              <w:spacing w:after="0" w:line="240" w:lineRule="auto"/>
              <w:rPr>
                <w:noProof/>
              </w:rPr>
            </w:pPr>
            <w:r>
              <w:rPr>
                <w:noProof/>
              </w:rPr>
              <w:t>La modification de la Loi sur le droit d'accise sur l'électricité et certains combustibles:</w:t>
            </w:r>
          </w:p>
          <w:p w14:paraId="2B3938DB" w14:textId="5FE23397" w:rsidR="003D7F65" w:rsidRDefault="0082041E">
            <w:pPr>
              <w:pStyle w:val="P68B1DB1-Normal8"/>
              <w:spacing w:after="0" w:line="240" w:lineRule="auto"/>
              <w:rPr>
                <w:noProof/>
              </w:rPr>
            </w:pPr>
            <w:r>
              <w:rPr>
                <w:noProof/>
              </w:rPr>
              <w:t>- abaisse la taxe industrielle sur l'électricité pour favoriser l'électrification de l'industrie et la production de chaleur,</w:t>
            </w:r>
          </w:p>
          <w:p w14:paraId="4D46E14E" w14:textId="77777777" w:rsidR="003D7F65" w:rsidRDefault="0082041E">
            <w:pPr>
              <w:pStyle w:val="P68B1DB1-Normal8"/>
              <w:spacing w:after="0" w:line="240" w:lineRule="auto"/>
              <w:rPr>
                <w:noProof/>
              </w:rPr>
            </w:pPr>
            <w:r>
              <w:rPr>
                <w:noProof/>
              </w:rPr>
              <w:t>- baisse la taxe sur l'électricité pour les mines, l'agriculture et les centres de données de plus de 5 MW</w:t>
            </w:r>
          </w:p>
          <w:p w14:paraId="333E4C92" w14:textId="77777777" w:rsidR="003D7F65" w:rsidRDefault="0082041E">
            <w:pPr>
              <w:pStyle w:val="P68B1DB1-Normal8"/>
              <w:spacing w:after="0" w:line="240" w:lineRule="auto"/>
              <w:rPr>
                <w:noProof/>
              </w:rPr>
            </w:pPr>
            <w:r>
              <w:rPr>
                <w:noProof/>
              </w:rPr>
              <w:t>- suppression progressive du remboursement de la taxe sur l'énergie pour les combustibles industriels à forte intensité énergétique</w:t>
            </w:r>
          </w:p>
          <w:p w14:paraId="780C51B4" w14:textId="1533441E" w:rsidR="003D7F65" w:rsidRDefault="0082041E">
            <w:pPr>
              <w:pStyle w:val="P68B1DB1-Normal8"/>
              <w:spacing w:after="0" w:line="240" w:lineRule="auto"/>
              <w:rPr>
                <w:rFonts w:eastAsia="Times New Roman"/>
                <w:noProof/>
              </w:rPr>
            </w:pPr>
            <w:r>
              <w:rPr>
                <w:noProof/>
              </w:rPr>
              <w:t xml:space="preserve">- augmente la taxe sur les combustibles fossiles de 2,7 EUR/MWh. </w:t>
            </w:r>
          </w:p>
        </w:tc>
      </w:tr>
      <w:tr w:rsidR="003D7F65" w14:paraId="06F5234E"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318D5628" w14:textId="77777777" w:rsidR="003D7F65" w:rsidRDefault="0082041E">
            <w:pPr>
              <w:pStyle w:val="P68B1DB1-Normal8"/>
              <w:spacing w:after="0" w:line="240" w:lineRule="auto"/>
              <w:jc w:val="center"/>
              <w:rPr>
                <w:rFonts w:eastAsia="Times New Roman"/>
                <w:noProof/>
              </w:rPr>
            </w:pPr>
            <w:r>
              <w:rPr>
                <w:noProof/>
              </w:rPr>
              <w:t>3</w:t>
            </w:r>
          </w:p>
        </w:tc>
        <w:tc>
          <w:tcPr>
            <w:tcW w:w="1811" w:type="dxa"/>
            <w:tcBorders>
              <w:top w:val="nil"/>
              <w:left w:val="nil"/>
              <w:bottom w:val="single" w:sz="4" w:space="0" w:color="auto"/>
              <w:right w:val="single" w:sz="4" w:space="0" w:color="auto"/>
            </w:tcBorders>
            <w:shd w:val="clear" w:color="auto" w:fill="C6EFCE"/>
            <w:noWrap/>
            <w:hideMark/>
          </w:tcPr>
          <w:p w14:paraId="162EF7E1" w14:textId="77777777" w:rsidR="003D7F65" w:rsidRDefault="0082041E">
            <w:pPr>
              <w:pStyle w:val="P68B1DB1-Normal8"/>
              <w:spacing w:after="0" w:line="240" w:lineRule="auto"/>
              <w:rPr>
                <w:rFonts w:eastAsia="Times New Roman"/>
                <w:noProof/>
              </w:rPr>
            </w:pPr>
            <w:r>
              <w:rPr>
                <w:noProof/>
              </w:rPr>
              <w:t>P1C1I1 – Transformation du système énergétique – Investissements dans les infrastructures énergétiques</w:t>
            </w:r>
          </w:p>
        </w:tc>
        <w:tc>
          <w:tcPr>
            <w:tcW w:w="1024" w:type="dxa"/>
            <w:tcBorders>
              <w:top w:val="nil"/>
              <w:left w:val="nil"/>
              <w:bottom w:val="single" w:sz="4" w:space="0" w:color="auto"/>
              <w:right w:val="single" w:sz="4" w:space="0" w:color="auto"/>
            </w:tcBorders>
            <w:shd w:val="clear" w:color="auto" w:fill="C6EFCE"/>
            <w:noWrap/>
            <w:hideMark/>
          </w:tcPr>
          <w:p w14:paraId="22E820D2"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nil"/>
              <w:left w:val="nil"/>
              <w:bottom w:val="single" w:sz="4" w:space="0" w:color="auto"/>
              <w:right w:val="single" w:sz="4" w:space="0" w:color="auto"/>
            </w:tcBorders>
            <w:shd w:val="clear" w:color="auto" w:fill="C6EFCE"/>
            <w:noWrap/>
            <w:hideMark/>
          </w:tcPr>
          <w:p w14:paraId="3E3FE6F7" w14:textId="77777777" w:rsidR="003D7F65" w:rsidRDefault="0082041E">
            <w:pPr>
              <w:pStyle w:val="P68B1DB1-Normal8"/>
              <w:spacing w:after="0" w:line="240" w:lineRule="auto"/>
              <w:rPr>
                <w:rFonts w:eastAsia="Times New Roman"/>
                <w:noProof/>
              </w:rPr>
            </w:pPr>
            <w:r>
              <w:rPr>
                <w:noProof/>
              </w:rPr>
              <w:t>Publication du premier appel à candidatures pour des projets d'infrastructures énergétiques</w:t>
            </w:r>
          </w:p>
        </w:tc>
        <w:tc>
          <w:tcPr>
            <w:tcW w:w="1417" w:type="dxa"/>
            <w:tcBorders>
              <w:top w:val="nil"/>
              <w:left w:val="nil"/>
              <w:bottom w:val="single" w:sz="4" w:space="0" w:color="auto"/>
              <w:right w:val="single" w:sz="4" w:space="0" w:color="auto"/>
            </w:tcBorders>
            <w:shd w:val="clear" w:color="auto" w:fill="C6EFCE"/>
            <w:noWrap/>
            <w:hideMark/>
          </w:tcPr>
          <w:p w14:paraId="348C60EE" w14:textId="38EA1AA9" w:rsidR="003D7F65" w:rsidRDefault="0082041E">
            <w:pPr>
              <w:pStyle w:val="P68B1DB1-Normal8"/>
              <w:spacing w:after="0" w:line="240" w:lineRule="auto"/>
              <w:rPr>
                <w:rFonts w:eastAsia="Times New Roman"/>
                <w:noProof/>
              </w:rPr>
            </w:pPr>
            <w:r>
              <w:rPr>
                <w:noProof/>
              </w:rPr>
              <w:t>Publication du premier appel à candidatures sur le site internet du ministère de l’économie</w:t>
            </w:r>
          </w:p>
        </w:tc>
        <w:tc>
          <w:tcPr>
            <w:tcW w:w="884" w:type="dxa"/>
            <w:tcBorders>
              <w:top w:val="nil"/>
              <w:left w:val="nil"/>
              <w:bottom w:val="single" w:sz="4" w:space="0" w:color="auto"/>
              <w:right w:val="single" w:sz="4" w:space="0" w:color="auto"/>
            </w:tcBorders>
            <w:shd w:val="clear" w:color="auto" w:fill="C6EFCE"/>
            <w:noWrap/>
            <w:hideMark/>
          </w:tcPr>
          <w:p w14:paraId="086F6414" w14:textId="77777777" w:rsidR="003D7F65" w:rsidRDefault="0082041E">
            <w:pPr>
              <w:pStyle w:val="P68B1DB1-Normal8"/>
              <w:spacing w:after="0" w:line="240" w:lineRule="auto"/>
              <w:rPr>
                <w:rFonts w:eastAsia="Times New Roman"/>
                <w:noProof/>
              </w:rPr>
            </w:pPr>
            <w:r>
              <w:rPr>
                <w:noProof/>
              </w:rPr>
              <w:t> </w:t>
            </w:r>
          </w:p>
        </w:tc>
        <w:tc>
          <w:tcPr>
            <w:tcW w:w="1101" w:type="dxa"/>
            <w:tcBorders>
              <w:top w:val="nil"/>
              <w:left w:val="nil"/>
              <w:bottom w:val="single" w:sz="4" w:space="0" w:color="auto"/>
              <w:right w:val="single" w:sz="4" w:space="0" w:color="auto"/>
            </w:tcBorders>
            <w:shd w:val="clear" w:color="auto" w:fill="C6EFCE"/>
            <w:noWrap/>
            <w:hideMark/>
          </w:tcPr>
          <w:p w14:paraId="345F1009" w14:textId="77777777" w:rsidR="003D7F65" w:rsidRDefault="0082041E">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3DF6E8A9"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4448687F" w14:textId="77777777" w:rsidR="003D7F65" w:rsidRDefault="0082041E">
            <w:pPr>
              <w:pStyle w:val="P68B1DB1-Normal8"/>
              <w:spacing w:after="0" w:line="240" w:lineRule="auto"/>
              <w:rPr>
                <w:rFonts w:eastAsia="Times New Roman"/>
                <w:noProof/>
              </w:rPr>
            </w:pPr>
            <w:r>
              <w:rPr>
                <w:noProof/>
              </w:rPr>
              <w:t>T4</w:t>
            </w:r>
          </w:p>
        </w:tc>
        <w:tc>
          <w:tcPr>
            <w:tcW w:w="993" w:type="dxa"/>
            <w:tcBorders>
              <w:top w:val="nil"/>
              <w:left w:val="nil"/>
              <w:bottom w:val="single" w:sz="4" w:space="0" w:color="auto"/>
              <w:right w:val="single" w:sz="4" w:space="0" w:color="auto"/>
            </w:tcBorders>
            <w:shd w:val="clear" w:color="auto" w:fill="C6EFCE"/>
            <w:noWrap/>
            <w:hideMark/>
          </w:tcPr>
          <w:p w14:paraId="28DDA675" w14:textId="77777777" w:rsidR="003D7F65" w:rsidRDefault="0082041E">
            <w:pPr>
              <w:pStyle w:val="P68B1DB1-Normal8"/>
              <w:spacing w:after="0" w:line="240" w:lineRule="auto"/>
              <w:rPr>
                <w:rFonts w:eastAsia="Times New Roman"/>
                <w:noProof/>
              </w:rPr>
            </w:pPr>
            <w:r>
              <w:rPr>
                <w:noProof/>
              </w:rPr>
              <w:t>2021</w:t>
            </w:r>
          </w:p>
        </w:tc>
        <w:tc>
          <w:tcPr>
            <w:tcW w:w="3860" w:type="dxa"/>
            <w:tcBorders>
              <w:top w:val="nil"/>
              <w:left w:val="nil"/>
              <w:bottom w:val="single" w:sz="4" w:space="0" w:color="auto"/>
              <w:right w:val="single" w:sz="4" w:space="0" w:color="auto"/>
            </w:tcBorders>
            <w:shd w:val="clear" w:color="auto" w:fill="C6EFCE"/>
            <w:noWrap/>
            <w:hideMark/>
          </w:tcPr>
          <w:p w14:paraId="5A479392" w14:textId="6AC8EAF1" w:rsidR="003D7F65" w:rsidRDefault="0082041E">
            <w:pPr>
              <w:pStyle w:val="P68B1DB1-Normal8"/>
              <w:spacing w:after="0" w:line="240" w:lineRule="auto"/>
              <w:rPr>
                <w:rFonts w:eastAsia="Times New Roman"/>
                <w:noProof/>
              </w:rPr>
            </w:pPr>
            <w:r>
              <w:rPr>
                <w:noProof/>
              </w:rPr>
              <w:t xml:space="preserve">Les lignes directrices en matière </w:t>
            </w:r>
            <w:r>
              <w:rPr>
                <w:i/>
                <w:noProof/>
              </w:rPr>
              <w:t>de financement (règlement relatif aux aides à l’énergie)</w:t>
            </w:r>
            <w:r>
              <w:rPr>
                <w:noProof/>
              </w:rPr>
              <w:t xml:space="preserve"> entrent en vigueur, permettant le lancement du premier appel à propositions concurrentiel pour les investissements dans les infrastructures énergétiques,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0204CE04"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055823F5" w14:textId="77777777" w:rsidR="003D7F65" w:rsidRDefault="0082041E">
            <w:pPr>
              <w:pStyle w:val="P68B1DB1-Normal8"/>
              <w:spacing w:after="0" w:line="240" w:lineRule="auto"/>
              <w:jc w:val="center"/>
              <w:rPr>
                <w:rFonts w:eastAsia="Times New Roman"/>
                <w:noProof/>
              </w:rPr>
            </w:pPr>
            <w:r>
              <w:rPr>
                <w:noProof/>
              </w:rPr>
              <w:t>4</w:t>
            </w:r>
          </w:p>
        </w:tc>
        <w:tc>
          <w:tcPr>
            <w:tcW w:w="1811" w:type="dxa"/>
            <w:tcBorders>
              <w:top w:val="nil"/>
              <w:left w:val="nil"/>
              <w:bottom w:val="single" w:sz="4" w:space="0" w:color="auto"/>
              <w:right w:val="single" w:sz="4" w:space="0" w:color="auto"/>
            </w:tcBorders>
            <w:shd w:val="clear" w:color="auto" w:fill="C6EFCE"/>
            <w:noWrap/>
            <w:hideMark/>
          </w:tcPr>
          <w:p w14:paraId="21681F75" w14:textId="77777777" w:rsidR="003D7F65" w:rsidRDefault="0082041E">
            <w:pPr>
              <w:pStyle w:val="P68B1DB1-Normal8"/>
              <w:spacing w:after="0" w:line="240" w:lineRule="auto"/>
              <w:rPr>
                <w:rFonts w:eastAsia="Times New Roman"/>
                <w:noProof/>
              </w:rPr>
            </w:pPr>
            <w:r>
              <w:rPr>
                <w:noProof/>
              </w:rPr>
              <w:t>P1C1I1 – Transformation du système énergétique – Investissements dans les infrastructures énergétiques</w:t>
            </w:r>
          </w:p>
        </w:tc>
        <w:tc>
          <w:tcPr>
            <w:tcW w:w="1024" w:type="dxa"/>
            <w:tcBorders>
              <w:top w:val="nil"/>
              <w:left w:val="nil"/>
              <w:bottom w:val="single" w:sz="4" w:space="0" w:color="auto"/>
              <w:right w:val="single" w:sz="4" w:space="0" w:color="auto"/>
            </w:tcBorders>
            <w:shd w:val="clear" w:color="auto" w:fill="C6EFCE"/>
            <w:noWrap/>
            <w:hideMark/>
          </w:tcPr>
          <w:p w14:paraId="328BA0D9"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nil"/>
              <w:left w:val="nil"/>
              <w:bottom w:val="single" w:sz="4" w:space="0" w:color="auto"/>
              <w:right w:val="single" w:sz="4" w:space="0" w:color="auto"/>
            </w:tcBorders>
            <w:shd w:val="clear" w:color="auto" w:fill="C6EFCE"/>
            <w:noWrap/>
            <w:hideMark/>
          </w:tcPr>
          <w:p w14:paraId="31A67A67" w14:textId="77777777" w:rsidR="003D7F65" w:rsidRDefault="0082041E">
            <w:pPr>
              <w:pStyle w:val="P68B1DB1-Normal8"/>
              <w:spacing w:after="0" w:line="240" w:lineRule="auto"/>
              <w:rPr>
                <w:noProof/>
              </w:rPr>
            </w:pPr>
            <w:r>
              <w:rPr>
                <w:noProof/>
              </w:rPr>
              <w:t>Publication d'appels à candidatures supplémentaires pour des projets d'infrastructures énergétiques</w:t>
            </w:r>
          </w:p>
        </w:tc>
        <w:tc>
          <w:tcPr>
            <w:tcW w:w="1417" w:type="dxa"/>
            <w:tcBorders>
              <w:top w:val="nil"/>
              <w:left w:val="nil"/>
              <w:bottom w:val="single" w:sz="4" w:space="0" w:color="auto"/>
              <w:right w:val="single" w:sz="4" w:space="0" w:color="auto"/>
            </w:tcBorders>
            <w:shd w:val="clear" w:color="auto" w:fill="C6EFCE"/>
            <w:noWrap/>
            <w:hideMark/>
          </w:tcPr>
          <w:p w14:paraId="5AB28587" w14:textId="77777777" w:rsidR="003D7F65" w:rsidRDefault="0082041E">
            <w:pPr>
              <w:pStyle w:val="P68B1DB1-Normal8"/>
              <w:spacing w:after="0" w:line="240" w:lineRule="auto"/>
              <w:rPr>
                <w:noProof/>
              </w:rPr>
            </w:pPr>
            <w:r>
              <w:rPr>
                <w:noProof/>
              </w:rPr>
              <w:t>Publication d’appels à candidatures supplémentaires sur le site web du ministère de l’économie</w:t>
            </w:r>
          </w:p>
        </w:tc>
        <w:tc>
          <w:tcPr>
            <w:tcW w:w="884" w:type="dxa"/>
            <w:tcBorders>
              <w:top w:val="nil"/>
              <w:left w:val="nil"/>
              <w:bottom w:val="single" w:sz="4" w:space="0" w:color="auto"/>
              <w:right w:val="single" w:sz="4" w:space="0" w:color="auto"/>
            </w:tcBorders>
            <w:shd w:val="clear" w:color="auto" w:fill="C6EFCE"/>
            <w:noWrap/>
            <w:hideMark/>
          </w:tcPr>
          <w:p w14:paraId="0DB96A28" w14:textId="77777777" w:rsidR="003D7F65" w:rsidRDefault="0082041E">
            <w:pPr>
              <w:pStyle w:val="P68B1DB1-Normal8"/>
              <w:spacing w:after="0" w:line="240" w:lineRule="auto"/>
              <w:rPr>
                <w:rFonts w:eastAsia="Times New Roman"/>
                <w:noProof/>
              </w:rPr>
            </w:pPr>
            <w:r>
              <w:rPr>
                <w:noProof/>
              </w:rPr>
              <w:t> </w:t>
            </w:r>
          </w:p>
        </w:tc>
        <w:tc>
          <w:tcPr>
            <w:tcW w:w="1101" w:type="dxa"/>
            <w:tcBorders>
              <w:top w:val="nil"/>
              <w:left w:val="nil"/>
              <w:bottom w:val="single" w:sz="4" w:space="0" w:color="auto"/>
              <w:right w:val="single" w:sz="4" w:space="0" w:color="auto"/>
            </w:tcBorders>
            <w:shd w:val="clear" w:color="auto" w:fill="C6EFCE"/>
            <w:noWrap/>
            <w:hideMark/>
          </w:tcPr>
          <w:p w14:paraId="1D2A3967" w14:textId="77777777" w:rsidR="003D7F65" w:rsidRDefault="0082041E">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hideMark/>
          </w:tcPr>
          <w:p w14:paraId="77E8F915"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3FA8A492" w14:textId="77777777" w:rsidR="003D7F65" w:rsidRDefault="0082041E">
            <w:pPr>
              <w:pStyle w:val="P68B1DB1-Normal8"/>
              <w:spacing w:after="0" w:line="240" w:lineRule="auto"/>
              <w:rPr>
                <w:rFonts w:eastAsia="Times New Roman"/>
                <w:noProof/>
              </w:rPr>
            </w:pPr>
            <w:r>
              <w:rPr>
                <w:noProof/>
              </w:rPr>
              <w:t>T4</w:t>
            </w:r>
          </w:p>
        </w:tc>
        <w:tc>
          <w:tcPr>
            <w:tcW w:w="993" w:type="dxa"/>
            <w:tcBorders>
              <w:top w:val="nil"/>
              <w:left w:val="nil"/>
              <w:bottom w:val="single" w:sz="4" w:space="0" w:color="auto"/>
              <w:right w:val="single" w:sz="4" w:space="0" w:color="auto"/>
            </w:tcBorders>
            <w:shd w:val="clear" w:color="auto" w:fill="C6EFCE"/>
            <w:noWrap/>
            <w:hideMark/>
          </w:tcPr>
          <w:p w14:paraId="43BE5E50" w14:textId="77777777" w:rsidR="003D7F65" w:rsidRDefault="0082041E">
            <w:pPr>
              <w:pStyle w:val="P68B1DB1-Normal8"/>
              <w:spacing w:after="0" w:line="240" w:lineRule="auto"/>
              <w:rPr>
                <w:rFonts w:eastAsia="Times New Roman"/>
                <w:noProof/>
              </w:rPr>
            </w:pPr>
            <w:r>
              <w:rPr>
                <w:noProof/>
              </w:rPr>
              <w:t>2024</w:t>
            </w:r>
          </w:p>
        </w:tc>
        <w:tc>
          <w:tcPr>
            <w:tcW w:w="3860" w:type="dxa"/>
            <w:tcBorders>
              <w:top w:val="nil"/>
              <w:left w:val="nil"/>
              <w:bottom w:val="single" w:sz="4" w:space="0" w:color="auto"/>
              <w:right w:val="single" w:sz="4" w:space="0" w:color="auto"/>
            </w:tcBorders>
            <w:shd w:val="clear" w:color="auto" w:fill="C6EFCE"/>
            <w:noWrap/>
            <w:hideMark/>
          </w:tcPr>
          <w:p w14:paraId="793504C4" w14:textId="77777777" w:rsidR="003D7F65" w:rsidRDefault="0082041E">
            <w:pPr>
              <w:pStyle w:val="P68B1DB1-Normal8"/>
              <w:spacing w:after="0" w:line="240" w:lineRule="auto"/>
              <w:rPr>
                <w:rFonts w:eastAsia="Times New Roman"/>
                <w:noProof/>
              </w:rPr>
            </w:pPr>
            <w:r>
              <w:rPr>
                <w:noProof/>
              </w:rPr>
              <w:t>Publication d’appels à candidatures supplémentaires conformément aux critères d’éligibilité/de sélection du jalon 3.</w:t>
            </w:r>
          </w:p>
        </w:tc>
      </w:tr>
      <w:tr w:rsidR="003D7F65" w14:paraId="7CC5BC9D" w14:textId="77777777" w:rsidTr="007F30CF">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0D6017D8" w14:textId="77777777" w:rsidR="003D7F65" w:rsidRDefault="0082041E">
            <w:pPr>
              <w:pStyle w:val="P68B1DB1-Normal8"/>
              <w:spacing w:after="0" w:line="240" w:lineRule="auto"/>
              <w:jc w:val="center"/>
              <w:rPr>
                <w:rFonts w:eastAsia="Times New Roman"/>
                <w:noProof/>
              </w:rPr>
            </w:pPr>
            <w:r>
              <w:rPr>
                <w:noProof/>
              </w:rPr>
              <w:t>5</w:t>
            </w:r>
          </w:p>
        </w:tc>
        <w:tc>
          <w:tcPr>
            <w:tcW w:w="1811" w:type="dxa"/>
            <w:tcBorders>
              <w:top w:val="single" w:sz="4" w:space="0" w:color="auto"/>
              <w:left w:val="nil"/>
              <w:bottom w:val="single" w:sz="4" w:space="0" w:color="auto"/>
              <w:right w:val="single" w:sz="4" w:space="0" w:color="auto"/>
            </w:tcBorders>
            <w:shd w:val="clear" w:color="auto" w:fill="C6EFCE"/>
            <w:noWrap/>
            <w:hideMark/>
          </w:tcPr>
          <w:p w14:paraId="3A7F6947" w14:textId="77777777" w:rsidR="003D7F65" w:rsidRDefault="0082041E">
            <w:pPr>
              <w:pStyle w:val="P68B1DB1-Normal8"/>
              <w:spacing w:after="0" w:line="240" w:lineRule="auto"/>
              <w:rPr>
                <w:rFonts w:eastAsia="Times New Roman"/>
                <w:noProof/>
              </w:rPr>
            </w:pPr>
            <w:r>
              <w:rPr>
                <w:noProof/>
              </w:rPr>
              <w:t>P1C1I1 – Transformation du système énergétique – Investissements dans les infrastructures énergétiques</w:t>
            </w:r>
          </w:p>
        </w:tc>
        <w:tc>
          <w:tcPr>
            <w:tcW w:w="1024" w:type="dxa"/>
            <w:tcBorders>
              <w:top w:val="single" w:sz="4" w:space="0" w:color="auto"/>
              <w:left w:val="nil"/>
              <w:bottom w:val="single" w:sz="4" w:space="0" w:color="auto"/>
              <w:right w:val="single" w:sz="4" w:space="0" w:color="auto"/>
            </w:tcBorders>
            <w:shd w:val="clear" w:color="auto" w:fill="C6EFCE"/>
            <w:noWrap/>
            <w:hideMark/>
          </w:tcPr>
          <w:p w14:paraId="44F68EED" w14:textId="77777777" w:rsidR="003D7F65" w:rsidRDefault="0082041E">
            <w:pPr>
              <w:pStyle w:val="P68B1DB1-Normal8"/>
              <w:spacing w:after="0" w:line="240" w:lineRule="auto"/>
              <w:rPr>
                <w:rFonts w:eastAsia="Times New Roman"/>
                <w:noProof/>
              </w:rPr>
            </w:pPr>
            <w:r>
              <w:rPr>
                <w:noProof/>
              </w:rPr>
              <w:t>Objectif</w:t>
            </w:r>
          </w:p>
        </w:tc>
        <w:tc>
          <w:tcPr>
            <w:tcW w:w="1418" w:type="dxa"/>
            <w:tcBorders>
              <w:top w:val="single" w:sz="4" w:space="0" w:color="auto"/>
              <w:left w:val="nil"/>
              <w:bottom w:val="single" w:sz="4" w:space="0" w:color="auto"/>
              <w:right w:val="single" w:sz="4" w:space="0" w:color="auto"/>
            </w:tcBorders>
            <w:shd w:val="clear" w:color="auto" w:fill="C6EFCE"/>
            <w:noWrap/>
            <w:hideMark/>
          </w:tcPr>
          <w:p w14:paraId="41D5F489" w14:textId="77777777" w:rsidR="003D7F65" w:rsidRDefault="0082041E">
            <w:pPr>
              <w:pStyle w:val="P68B1DB1-Normal8"/>
              <w:spacing w:after="0" w:line="240" w:lineRule="auto"/>
              <w:rPr>
                <w:rFonts w:eastAsia="Times New Roman"/>
                <w:noProof/>
              </w:rPr>
            </w:pPr>
            <w:r>
              <w:rPr>
                <w:noProof/>
              </w:rPr>
              <w:t>Avis d'achèvement de projet ou rapports de projet soumis</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8130ED3" w14:textId="77777777" w:rsidR="003D7F65" w:rsidRDefault="003D7F65">
            <w:pPr>
              <w:spacing w:after="0" w:line="240" w:lineRule="auto"/>
              <w:rPr>
                <w:rFonts w:ascii="Times New Roman" w:hAnsi="Times New Roman"/>
                <w:noProof/>
                <w:sz w:val="20"/>
                <w:szCs w:val="20"/>
              </w:rPr>
            </w:pPr>
          </w:p>
        </w:tc>
        <w:tc>
          <w:tcPr>
            <w:tcW w:w="884" w:type="dxa"/>
            <w:tcBorders>
              <w:top w:val="single" w:sz="4" w:space="0" w:color="auto"/>
              <w:left w:val="nil"/>
              <w:bottom w:val="single" w:sz="4" w:space="0" w:color="auto"/>
              <w:right w:val="single" w:sz="4" w:space="0" w:color="auto"/>
            </w:tcBorders>
            <w:shd w:val="clear" w:color="auto" w:fill="C6EFCE"/>
            <w:noWrap/>
            <w:hideMark/>
          </w:tcPr>
          <w:p w14:paraId="1E2C9370" w14:textId="77777777" w:rsidR="003D7F65" w:rsidRDefault="0082041E">
            <w:pPr>
              <w:pStyle w:val="P68B1DB1-Normal8"/>
              <w:spacing w:after="0" w:line="240" w:lineRule="auto"/>
              <w:rPr>
                <w:noProof/>
              </w:rPr>
            </w:pPr>
            <w:r>
              <w:rPr>
                <w:noProof/>
              </w:rPr>
              <w:t>Numéro</w:t>
            </w:r>
          </w:p>
        </w:tc>
        <w:tc>
          <w:tcPr>
            <w:tcW w:w="1101" w:type="dxa"/>
            <w:tcBorders>
              <w:top w:val="single" w:sz="4" w:space="0" w:color="auto"/>
              <w:left w:val="nil"/>
              <w:bottom w:val="single" w:sz="4" w:space="0" w:color="auto"/>
              <w:right w:val="single" w:sz="4" w:space="0" w:color="auto"/>
            </w:tcBorders>
            <w:shd w:val="clear" w:color="auto" w:fill="C6EFCE"/>
            <w:noWrap/>
            <w:hideMark/>
          </w:tcPr>
          <w:p w14:paraId="2F2100E9" w14:textId="77777777" w:rsidR="003D7F65" w:rsidRDefault="0082041E">
            <w:pPr>
              <w:pStyle w:val="P68B1DB1-Normal8"/>
              <w:spacing w:after="0" w:line="240" w:lineRule="auto"/>
              <w:rPr>
                <w:rFonts w:eastAsia="Times New Roman"/>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hideMark/>
          </w:tcPr>
          <w:p w14:paraId="202CC097" w14:textId="77777777" w:rsidR="003D7F65" w:rsidRDefault="0082041E">
            <w:pPr>
              <w:pStyle w:val="P68B1DB1-Normal8"/>
              <w:spacing w:after="0" w:line="240" w:lineRule="auto"/>
              <w:rPr>
                <w:rFonts w:eastAsia="Times New Roman"/>
                <w:noProof/>
              </w:rPr>
            </w:pPr>
            <w:r>
              <w:rPr>
                <w:noProof/>
              </w:rPr>
              <w:t>4</w:t>
            </w:r>
          </w:p>
        </w:tc>
        <w:tc>
          <w:tcPr>
            <w:tcW w:w="992" w:type="dxa"/>
            <w:tcBorders>
              <w:top w:val="single" w:sz="4" w:space="0" w:color="auto"/>
              <w:left w:val="nil"/>
              <w:bottom w:val="single" w:sz="4" w:space="0" w:color="auto"/>
              <w:right w:val="single" w:sz="4" w:space="0" w:color="auto"/>
            </w:tcBorders>
            <w:shd w:val="clear" w:color="auto" w:fill="C6EFCE"/>
            <w:noWrap/>
            <w:hideMark/>
          </w:tcPr>
          <w:p w14:paraId="6FE52171" w14:textId="77777777" w:rsidR="003D7F65" w:rsidRDefault="0082041E">
            <w:pPr>
              <w:pStyle w:val="P68B1DB1-Normal8"/>
              <w:spacing w:after="0" w:line="240" w:lineRule="auto"/>
              <w:rPr>
                <w:rFonts w:eastAsia="Times New Roman"/>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hideMark/>
          </w:tcPr>
          <w:p w14:paraId="4440DBEB" w14:textId="77777777" w:rsidR="003D7F65" w:rsidRDefault="0082041E">
            <w:pPr>
              <w:pStyle w:val="P68B1DB1-Normal8"/>
              <w:spacing w:after="0" w:line="240" w:lineRule="auto"/>
              <w:rPr>
                <w:rFonts w:eastAsia="Times New Roman"/>
                <w:noProof/>
              </w:rPr>
            </w:pPr>
            <w:r>
              <w:rPr>
                <w:noProof/>
              </w:rPr>
              <w:t>2026</w:t>
            </w:r>
          </w:p>
        </w:tc>
        <w:tc>
          <w:tcPr>
            <w:tcW w:w="3860" w:type="dxa"/>
            <w:tcBorders>
              <w:top w:val="single" w:sz="4" w:space="0" w:color="auto"/>
              <w:left w:val="nil"/>
              <w:bottom w:val="single" w:sz="4" w:space="0" w:color="auto"/>
              <w:right w:val="single" w:sz="4" w:space="0" w:color="auto"/>
            </w:tcBorders>
            <w:shd w:val="clear" w:color="auto" w:fill="C6EFCE"/>
            <w:noWrap/>
            <w:hideMark/>
          </w:tcPr>
          <w:p w14:paraId="0741A78F" w14:textId="0605F92A" w:rsidR="003D7F65" w:rsidRDefault="0082041E">
            <w:pPr>
              <w:pStyle w:val="P68B1DB1-Normal8"/>
              <w:spacing w:after="0" w:line="240" w:lineRule="auto"/>
              <w:rPr>
                <w:rFonts w:eastAsia="Times New Roman"/>
                <w:noProof/>
              </w:rPr>
            </w:pPr>
            <w:r>
              <w:rPr>
                <w:noProof/>
              </w:rPr>
              <w:t>Au moins quatre avis d'achèvement de projet ou rapports de projet doivent être soumis par les entités bénéficiaires. Celles-ci correspondent à une augmentation de la nouvelle capacité d’énergie renouvelable et/ou de la capacité de raccordement au réseau d’au moins 137 MW.</w:t>
            </w:r>
          </w:p>
        </w:tc>
      </w:tr>
      <w:tr w:rsidR="003D7F65" w14:paraId="6454BF9B" w14:textId="77777777" w:rsidTr="007F30CF">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8E1BE8F" w14:textId="77777777" w:rsidR="003D7F65" w:rsidRDefault="0082041E">
            <w:pPr>
              <w:pStyle w:val="P68B1DB1-Normal8"/>
              <w:spacing w:after="0" w:line="240" w:lineRule="auto"/>
              <w:jc w:val="center"/>
              <w:rPr>
                <w:rFonts w:eastAsia="Times New Roman"/>
                <w:noProof/>
              </w:rPr>
            </w:pPr>
            <w:r>
              <w:rPr>
                <w:noProof/>
              </w:rPr>
              <w:t>6</w:t>
            </w:r>
          </w:p>
        </w:tc>
        <w:tc>
          <w:tcPr>
            <w:tcW w:w="1811" w:type="dxa"/>
            <w:tcBorders>
              <w:top w:val="single" w:sz="4" w:space="0" w:color="auto"/>
              <w:left w:val="nil"/>
              <w:bottom w:val="single" w:sz="4" w:space="0" w:color="auto"/>
              <w:right w:val="single" w:sz="4" w:space="0" w:color="auto"/>
            </w:tcBorders>
            <w:shd w:val="clear" w:color="auto" w:fill="C6EFCE"/>
            <w:noWrap/>
          </w:tcPr>
          <w:p w14:paraId="1758409B" w14:textId="77777777" w:rsidR="003D7F65" w:rsidRDefault="0082041E">
            <w:pPr>
              <w:pStyle w:val="P68B1DB1-Normal8"/>
              <w:spacing w:after="0" w:line="240" w:lineRule="auto"/>
              <w:rPr>
                <w:rFonts w:eastAsia="Times New Roman"/>
                <w:noProof/>
              </w:rPr>
            </w:pPr>
            <w:r>
              <w:rPr>
                <w:noProof/>
              </w:rPr>
              <w:t>P1C1I2 – Transformation du système énergétique – Investissements dans les nouvelles technologies énergétiques</w:t>
            </w:r>
          </w:p>
        </w:tc>
        <w:tc>
          <w:tcPr>
            <w:tcW w:w="1024" w:type="dxa"/>
            <w:tcBorders>
              <w:top w:val="single" w:sz="4" w:space="0" w:color="auto"/>
              <w:left w:val="nil"/>
              <w:bottom w:val="single" w:sz="4" w:space="0" w:color="auto"/>
              <w:right w:val="single" w:sz="4" w:space="0" w:color="auto"/>
            </w:tcBorders>
            <w:shd w:val="clear" w:color="auto" w:fill="C6EFCE"/>
            <w:noWrap/>
          </w:tcPr>
          <w:p w14:paraId="2FB326D1"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single" w:sz="4" w:space="0" w:color="auto"/>
              <w:left w:val="nil"/>
              <w:bottom w:val="single" w:sz="4" w:space="0" w:color="auto"/>
              <w:right w:val="single" w:sz="4" w:space="0" w:color="auto"/>
            </w:tcBorders>
            <w:shd w:val="clear" w:color="auto" w:fill="C6EFCE"/>
            <w:noWrap/>
          </w:tcPr>
          <w:p w14:paraId="06E4F5B9" w14:textId="77777777" w:rsidR="003D7F65" w:rsidRDefault="0082041E">
            <w:pPr>
              <w:pStyle w:val="P68B1DB1-Normal8"/>
              <w:spacing w:after="0" w:line="240" w:lineRule="auto"/>
              <w:rPr>
                <w:noProof/>
              </w:rPr>
            </w:pPr>
            <w:r>
              <w:rPr>
                <w:noProof/>
              </w:rPr>
              <w:t>Publication du premier appel à candidatures pour des investissements dans les nouvelles technologies énergétiques</w:t>
            </w:r>
          </w:p>
        </w:tc>
        <w:tc>
          <w:tcPr>
            <w:tcW w:w="1417" w:type="dxa"/>
            <w:tcBorders>
              <w:top w:val="single" w:sz="4" w:space="0" w:color="auto"/>
              <w:left w:val="nil"/>
              <w:bottom w:val="single" w:sz="4" w:space="0" w:color="auto"/>
              <w:right w:val="single" w:sz="4" w:space="0" w:color="auto"/>
            </w:tcBorders>
            <w:shd w:val="clear" w:color="auto" w:fill="C6EFCE"/>
            <w:noWrap/>
          </w:tcPr>
          <w:p w14:paraId="18B36CDC" w14:textId="77777777" w:rsidR="003D7F65" w:rsidRDefault="0082041E">
            <w:pPr>
              <w:pStyle w:val="P68B1DB1-Normal8"/>
              <w:spacing w:after="0" w:line="240" w:lineRule="auto"/>
              <w:rPr>
                <w:rFonts w:eastAsia="Times New Roman"/>
                <w:noProof/>
              </w:rPr>
            </w:pPr>
            <w:r>
              <w:rPr>
                <w:noProof/>
              </w:rPr>
              <w:t xml:space="preserve">Publication du premier appel à candidatures sur le site internet du ministère de l’économie </w:t>
            </w:r>
          </w:p>
        </w:tc>
        <w:tc>
          <w:tcPr>
            <w:tcW w:w="884" w:type="dxa"/>
            <w:tcBorders>
              <w:top w:val="single" w:sz="4" w:space="0" w:color="auto"/>
              <w:left w:val="nil"/>
              <w:bottom w:val="single" w:sz="4" w:space="0" w:color="auto"/>
              <w:right w:val="single" w:sz="4" w:space="0" w:color="auto"/>
            </w:tcBorders>
            <w:shd w:val="clear" w:color="auto" w:fill="C6EFCE"/>
            <w:noWrap/>
          </w:tcPr>
          <w:p w14:paraId="366405AB" w14:textId="77777777" w:rsidR="003D7F65" w:rsidRDefault="0082041E">
            <w:pPr>
              <w:pStyle w:val="P68B1DB1-Normal8"/>
              <w:spacing w:after="0" w:line="240" w:lineRule="auto"/>
              <w:rPr>
                <w:rFonts w:eastAsia="Times New Roman"/>
                <w:noProof/>
              </w:rPr>
            </w:pPr>
            <w:r>
              <w:rPr>
                <w:noProof/>
              </w:rPr>
              <w:t> </w:t>
            </w:r>
          </w:p>
        </w:tc>
        <w:tc>
          <w:tcPr>
            <w:tcW w:w="1101" w:type="dxa"/>
            <w:tcBorders>
              <w:top w:val="single" w:sz="4" w:space="0" w:color="auto"/>
              <w:left w:val="nil"/>
              <w:bottom w:val="single" w:sz="4" w:space="0" w:color="auto"/>
              <w:right w:val="single" w:sz="4" w:space="0" w:color="auto"/>
            </w:tcBorders>
            <w:shd w:val="clear" w:color="auto" w:fill="C6EFCE"/>
            <w:noWrap/>
          </w:tcPr>
          <w:p w14:paraId="363A517B" w14:textId="77777777" w:rsidR="003D7F65" w:rsidRDefault="0082041E">
            <w:pPr>
              <w:pStyle w:val="P68B1DB1-Normal8"/>
              <w:spacing w:after="0" w:line="240" w:lineRule="auto"/>
              <w:rPr>
                <w:rFonts w:eastAsia="Times New Roman"/>
                <w:noProof/>
              </w:rPr>
            </w:pPr>
            <w:r>
              <w:rPr>
                <w:noProof/>
              </w:rPr>
              <w:t> </w:t>
            </w:r>
          </w:p>
        </w:tc>
        <w:tc>
          <w:tcPr>
            <w:tcW w:w="850" w:type="dxa"/>
            <w:tcBorders>
              <w:top w:val="single" w:sz="4" w:space="0" w:color="auto"/>
              <w:left w:val="nil"/>
              <w:bottom w:val="single" w:sz="4" w:space="0" w:color="auto"/>
              <w:right w:val="single" w:sz="4" w:space="0" w:color="auto"/>
            </w:tcBorders>
            <w:shd w:val="clear" w:color="auto" w:fill="C6EFCE"/>
            <w:noWrap/>
          </w:tcPr>
          <w:p w14:paraId="7654A5C9" w14:textId="77777777" w:rsidR="003D7F65" w:rsidRDefault="0082041E">
            <w:pPr>
              <w:pStyle w:val="P68B1DB1-Normal8"/>
              <w:spacing w:after="0" w:line="240" w:lineRule="auto"/>
              <w:rPr>
                <w:rFonts w:eastAsia="Times New Roman"/>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28690283" w14:textId="77777777" w:rsidR="003D7F65" w:rsidRDefault="0082041E">
            <w:pPr>
              <w:pStyle w:val="P68B1DB1-Normal8"/>
              <w:spacing w:after="0" w:line="240" w:lineRule="auto"/>
              <w:rPr>
                <w:rFonts w:eastAsia="Times New Roman"/>
                <w:noProof/>
              </w:rPr>
            </w:pPr>
            <w:r>
              <w:rPr>
                <w:noProof/>
              </w:rPr>
              <w:t>T4</w:t>
            </w:r>
          </w:p>
        </w:tc>
        <w:tc>
          <w:tcPr>
            <w:tcW w:w="993" w:type="dxa"/>
            <w:tcBorders>
              <w:top w:val="single" w:sz="4" w:space="0" w:color="auto"/>
              <w:left w:val="nil"/>
              <w:bottom w:val="single" w:sz="4" w:space="0" w:color="auto"/>
              <w:right w:val="single" w:sz="4" w:space="0" w:color="auto"/>
            </w:tcBorders>
            <w:shd w:val="clear" w:color="auto" w:fill="C6EFCE"/>
            <w:noWrap/>
          </w:tcPr>
          <w:p w14:paraId="5F92240B" w14:textId="77777777" w:rsidR="003D7F65" w:rsidRDefault="0082041E">
            <w:pPr>
              <w:pStyle w:val="P68B1DB1-Normal8"/>
              <w:spacing w:after="0" w:line="240" w:lineRule="auto"/>
              <w:rPr>
                <w:rFonts w:eastAsia="Times New Roman"/>
                <w:noProof/>
              </w:rPr>
            </w:pPr>
            <w:r>
              <w:rPr>
                <w:noProof/>
              </w:rPr>
              <w:t>2021</w:t>
            </w:r>
          </w:p>
        </w:tc>
        <w:tc>
          <w:tcPr>
            <w:tcW w:w="3860" w:type="dxa"/>
            <w:tcBorders>
              <w:top w:val="single" w:sz="4" w:space="0" w:color="auto"/>
              <w:left w:val="nil"/>
              <w:bottom w:val="single" w:sz="4" w:space="0" w:color="auto"/>
              <w:right w:val="single" w:sz="4" w:space="0" w:color="auto"/>
            </w:tcBorders>
            <w:shd w:val="clear" w:color="auto" w:fill="C6EFCE"/>
            <w:noWrap/>
          </w:tcPr>
          <w:p w14:paraId="047DACA4" w14:textId="2E348651" w:rsidR="003D7F65" w:rsidRDefault="0082041E">
            <w:pPr>
              <w:pStyle w:val="P68B1DB1-Normal8"/>
              <w:spacing w:after="0" w:line="240" w:lineRule="auto"/>
              <w:rPr>
                <w:noProof/>
              </w:rPr>
            </w:pPr>
            <w:r>
              <w:rPr>
                <w:noProof/>
              </w:rPr>
              <w:t xml:space="preserve">Les lignes directrices en matière </w:t>
            </w:r>
            <w:r>
              <w:rPr>
                <w:i/>
                <w:noProof/>
              </w:rPr>
              <w:t>de financement (règlement relatif aux aides à l’énergie)</w:t>
            </w:r>
            <w:r>
              <w:rPr>
                <w:noProof/>
              </w:rPr>
              <w:t xml:space="preserve"> sont entrées en vigueur, permettant la publication du premier appel à propositions pour des investissements dans les nouvelles technologies énergétiques, avec des termes de référence comprenant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71E6F0F5"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224787B5" w14:textId="77777777" w:rsidR="003D7F65" w:rsidRDefault="0082041E">
            <w:pPr>
              <w:pStyle w:val="P68B1DB1-Normal8"/>
              <w:spacing w:after="0" w:line="240" w:lineRule="auto"/>
              <w:jc w:val="center"/>
              <w:rPr>
                <w:rFonts w:eastAsia="Times New Roman"/>
                <w:noProof/>
              </w:rPr>
            </w:pPr>
            <w:r>
              <w:rPr>
                <w:noProof/>
              </w:rPr>
              <w:t>7</w:t>
            </w:r>
          </w:p>
        </w:tc>
        <w:tc>
          <w:tcPr>
            <w:tcW w:w="1811" w:type="dxa"/>
            <w:tcBorders>
              <w:top w:val="nil"/>
              <w:left w:val="nil"/>
              <w:bottom w:val="single" w:sz="4" w:space="0" w:color="auto"/>
              <w:right w:val="single" w:sz="4" w:space="0" w:color="auto"/>
            </w:tcBorders>
            <w:shd w:val="clear" w:color="auto" w:fill="C6EFCE"/>
            <w:noWrap/>
          </w:tcPr>
          <w:p w14:paraId="2D2E01E6" w14:textId="77777777" w:rsidR="003D7F65" w:rsidRDefault="0082041E">
            <w:pPr>
              <w:pStyle w:val="P68B1DB1-Normal8"/>
              <w:spacing w:after="0" w:line="240" w:lineRule="auto"/>
              <w:rPr>
                <w:rFonts w:eastAsia="Times New Roman"/>
                <w:noProof/>
              </w:rPr>
            </w:pPr>
            <w:r>
              <w:rPr>
                <w:noProof/>
              </w:rPr>
              <w:t>P1C1I2 – Transformation du système énergétique – Investissements dans les nouvelles technologies énergétiques</w:t>
            </w:r>
          </w:p>
        </w:tc>
        <w:tc>
          <w:tcPr>
            <w:tcW w:w="1024" w:type="dxa"/>
            <w:tcBorders>
              <w:top w:val="nil"/>
              <w:left w:val="nil"/>
              <w:bottom w:val="single" w:sz="4" w:space="0" w:color="auto"/>
              <w:right w:val="single" w:sz="4" w:space="0" w:color="auto"/>
            </w:tcBorders>
            <w:shd w:val="clear" w:color="auto" w:fill="C6EFCE"/>
            <w:noWrap/>
          </w:tcPr>
          <w:p w14:paraId="590B918C"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nil"/>
              <w:left w:val="nil"/>
              <w:bottom w:val="single" w:sz="4" w:space="0" w:color="auto"/>
              <w:right w:val="single" w:sz="4" w:space="0" w:color="auto"/>
            </w:tcBorders>
            <w:shd w:val="clear" w:color="auto" w:fill="C6EFCE"/>
            <w:noWrap/>
          </w:tcPr>
          <w:p w14:paraId="2BDB7C28" w14:textId="77777777" w:rsidR="003D7F65" w:rsidRDefault="0082041E">
            <w:pPr>
              <w:pStyle w:val="P68B1DB1-Normal8"/>
              <w:spacing w:after="0" w:line="240" w:lineRule="auto"/>
              <w:rPr>
                <w:noProof/>
              </w:rPr>
            </w:pPr>
            <w:r>
              <w:rPr>
                <w:noProof/>
              </w:rPr>
              <w:t>Attribution de toutes les subventions pour les investissements dans les technologies énergétiques</w:t>
            </w:r>
          </w:p>
        </w:tc>
        <w:tc>
          <w:tcPr>
            <w:tcW w:w="1417" w:type="dxa"/>
            <w:tcBorders>
              <w:top w:val="nil"/>
              <w:left w:val="nil"/>
              <w:bottom w:val="single" w:sz="4" w:space="0" w:color="auto"/>
              <w:right w:val="single" w:sz="4" w:space="0" w:color="auto"/>
            </w:tcBorders>
            <w:shd w:val="clear" w:color="auto" w:fill="C6EFCE"/>
            <w:noWrap/>
          </w:tcPr>
          <w:p w14:paraId="1E36CB46" w14:textId="77777777" w:rsidR="003D7F65" w:rsidRDefault="0082041E">
            <w:pPr>
              <w:pStyle w:val="P68B1DB1-Normal8"/>
              <w:spacing w:after="0" w:line="240" w:lineRule="auto"/>
              <w:rPr>
                <w:rFonts w:eastAsia="Times New Roman"/>
                <w:noProof/>
              </w:rPr>
            </w:pPr>
            <w:r>
              <w:rPr>
                <w:noProof/>
              </w:rPr>
              <w:t xml:space="preserve">Notification de l’octroi de toutes les subventions pour les investissements dans les technologies énergétiques </w:t>
            </w:r>
          </w:p>
        </w:tc>
        <w:tc>
          <w:tcPr>
            <w:tcW w:w="884" w:type="dxa"/>
            <w:tcBorders>
              <w:top w:val="nil"/>
              <w:left w:val="nil"/>
              <w:bottom w:val="single" w:sz="4" w:space="0" w:color="auto"/>
              <w:right w:val="single" w:sz="4" w:space="0" w:color="auto"/>
            </w:tcBorders>
            <w:shd w:val="clear" w:color="auto" w:fill="C6EFCE"/>
            <w:noWrap/>
          </w:tcPr>
          <w:p w14:paraId="3720ED82" w14:textId="77777777" w:rsidR="003D7F65" w:rsidRDefault="0082041E">
            <w:pPr>
              <w:pStyle w:val="P68B1DB1-Normal8"/>
              <w:spacing w:after="0" w:line="240" w:lineRule="auto"/>
              <w:rPr>
                <w:rFonts w:eastAsia="Times New Roman"/>
                <w:noProof/>
              </w:rPr>
            </w:pPr>
            <w:r>
              <w:rPr>
                <w:noProof/>
              </w:rPr>
              <w:t> </w:t>
            </w:r>
          </w:p>
        </w:tc>
        <w:tc>
          <w:tcPr>
            <w:tcW w:w="1101" w:type="dxa"/>
            <w:tcBorders>
              <w:top w:val="nil"/>
              <w:left w:val="nil"/>
              <w:bottom w:val="single" w:sz="4" w:space="0" w:color="auto"/>
              <w:right w:val="single" w:sz="4" w:space="0" w:color="auto"/>
            </w:tcBorders>
            <w:shd w:val="clear" w:color="auto" w:fill="C6EFCE"/>
            <w:noWrap/>
          </w:tcPr>
          <w:p w14:paraId="05446D18" w14:textId="77777777" w:rsidR="003D7F65" w:rsidRDefault="0082041E">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2D19F588"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7ED24A4" w14:textId="77777777" w:rsidR="003D7F65" w:rsidRDefault="0082041E">
            <w:pPr>
              <w:pStyle w:val="P68B1DB1-Normal8"/>
              <w:spacing w:after="0" w:line="240" w:lineRule="auto"/>
              <w:rPr>
                <w:rFonts w:eastAsia="Times New Roman"/>
                <w:noProof/>
              </w:rPr>
            </w:pPr>
            <w:r>
              <w:rPr>
                <w:noProof/>
              </w:rPr>
              <w:t>T4</w:t>
            </w:r>
          </w:p>
        </w:tc>
        <w:tc>
          <w:tcPr>
            <w:tcW w:w="993" w:type="dxa"/>
            <w:tcBorders>
              <w:top w:val="nil"/>
              <w:left w:val="nil"/>
              <w:bottom w:val="single" w:sz="4" w:space="0" w:color="auto"/>
              <w:right w:val="single" w:sz="4" w:space="0" w:color="auto"/>
            </w:tcBorders>
            <w:shd w:val="clear" w:color="auto" w:fill="C6EFCE"/>
            <w:noWrap/>
          </w:tcPr>
          <w:p w14:paraId="3FA3974C" w14:textId="77777777" w:rsidR="003D7F65" w:rsidRDefault="0082041E">
            <w:pPr>
              <w:pStyle w:val="P68B1DB1-Normal8"/>
              <w:spacing w:after="0" w:line="240" w:lineRule="auto"/>
              <w:rPr>
                <w:rFonts w:eastAsia="Times New Roman"/>
                <w:noProof/>
              </w:rPr>
            </w:pPr>
            <w:r>
              <w:rPr>
                <w:noProof/>
              </w:rPr>
              <w:t>2023</w:t>
            </w:r>
          </w:p>
        </w:tc>
        <w:tc>
          <w:tcPr>
            <w:tcW w:w="3860" w:type="dxa"/>
            <w:tcBorders>
              <w:top w:val="nil"/>
              <w:left w:val="nil"/>
              <w:bottom w:val="single" w:sz="4" w:space="0" w:color="auto"/>
              <w:right w:val="single" w:sz="4" w:space="0" w:color="auto"/>
            </w:tcBorders>
            <w:shd w:val="clear" w:color="auto" w:fill="C6EFCE"/>
            <w:noWrap/>
          </w:tcPr>
          <w:p w14:paraId="01F011C9" w14:textId="77777777" w:rsidR="003D7F65" w:rsidRDefault="0082041E">
            <w:pPr>
              <w:pStyle w:val="P68B1DB1-Normal8"/>
              <w:spacing w:after="0" w:line="240" w:lineRule="auto"/>
              <w:rPr>
                <w:rFonts w:eastAsia="Times New Roman"/>
                <w:noProof/>
              </w:rPr>
            </w:pPr>
            <w:r>
              <w:rPr>
                <w:noProof/>
              </w:rPr>
              <w:t xml:space="preserve">La sélection de tous les projets liés aux nouvelles technologies énergétiques est effectuée conformément aux critères énoncés dans les appels à propositions respectifs. Tous les appels sont fondés sur les critères d’éligibilité/de sélection indiqués au jalon 6. Toutes les décisions d’octroi de financement sont attribuées aux bénéficiaires/demandeurs de projets sélectionnés dans le cadre des appels à propositions concurrentiels, ce qui permet le début de la mise en œuvre des projets sélectionnés. </w:t>
            </w:r>
          </w:p>
        </w:tc>
      </w:tr>
      <w:tr w:rsidR="003D7F65" w14:paraId="7B7E4CC5"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43B6D5E6" w14:textId="77777777" w:rsidR="003D7F65" w:rsidRDefault="0082041E">
            <w:pPr>
              <w:pStyle w:val="P68B1DB1-Normal8"/>
              <w:spacing w:after="0" w:line="240" w:lineRule="auto"/>
              <w:jc w:val="center"/>
              <w:rPr>
                <w:rFonts w:eastAsia="Times New Roman"/>
                <w:noProof/>
              </w:rPr>
            </w:pPr>
            <w:r>
              <w:rPr>
                <w:noProof/>
              </w:rPr>
              <w:t>8</w:t>
            </w:r>
          </w:p>
        </w:tc>
        <w:tc>
          <w:tcPr>
            <w:tcW w:w="1811" w:type="dxa"/>
            <w:tcBorders>
              <w:top w:val="nil"/>
              <w:left w:val="nil"/>
              <w:bottom w:val="single" w:sz="4" w:space="0" w:color="auto"/>
              <w:right w:val="single" w:sz="4" w:space="0" w:color="auto"/>
            </w:tcBorders>
            <w:shd w:val="clear" w:color="auto" w:fill="C6EFCE"/>
            <w:noWrap/>
          </w:tcPr>
          <w:p w14:paraId="5838C2E0" w14:textId="77777777" w:rsidR="003D7F65" w:rsidRDefault="0082041E">
            <w:pPr>
              <w:pStyle w:val="P68B1DB1-Normal8"/>
              <w:spacing w:after="0" w:line="240" w:lineRule="auto"/>
              <w:rPr>
                <w:rFonts w:eastAsia="Times New Roman"/>
                <w:noProof/>
              </w:rPr>
            </w:pPr>
            <w:r>
              <w:rPr>
                <w:noProof/>
              </w:rPr>
              <w:t>P1C1I2 – Transformation du système énergétique – Investissements dans les nouvelles technologies énergétiques</w:t>
            </w:r>
          </w:p>
        </w:tc>
        <w:tc>
          <w:tcPr>
            <w:tcW w:w="1024" w:type="dxa"/>
            <w:tcBorders>
              <w:top w:val="nil"/>
              <w:left w:val="nil"/>
              <w:bottom w:val="single" w:sz="4" w:space="0" w:color="auto"/>
              <w:right w:val="single" w:sz="4" w:space="0" w:color="auto"/>
            </w:tcBorders>
            <w:shd w:val="clear" w:color="auto" w:fill="C6EFCE"/>
            <w:noWrap/>
          </w:tcPr>
          <w:p w14:paraId="149901EA" w14:textId="53A10628" w:rsidR="003D7F65" w:rsidRDefault="0082041E">
            <w:pPr>
              <w:pStyle w:val="P68B1DB1-Normal8"/>
              <w:spacing w:after="0" w:line="240" w:lineRule="auto"/>
              <w:rPr>
                <w:rFonts w:eastAsia="Times New Roman"/>
                <w:noProof/>
              </w:rPr>
            </w:pPr>
            <w:r>
              <w:rPr>
                <w:noProof/>
              </w:rPr>
              <w:t>Objectif</w:t>
            </w:r>
          </w:p>
        </w:tc>
        <w:tc>
          <w:tcPr>
            <w:tcW w:w="1418" w:type="dxa"/>
            <w:tcBorders>
              <w:top w:val="nil"/>
              <w:left w:val="nil"/>
              <w:bottom w:val="single" w:sz="4" w:space="0" w:color="auto"/>
              <w:right w:val="single" w:sz="4" w:space="0" w:color="auto"/>
            </w:tcBorders>
            <w:shd w:val="clear" w:color="auto" w:fill="C6EFCE"/>
            <w:noWrap/>
          </w:tcPr>
          <w:p w14:paraId="4CEB2F1F" w14:textId="77777777" w:rsidR="003D7F65" w:rsidRDefault="0082041E">
            <w:pPr>
              <w:pStyle w:val="P68B1DB1-Normal8"/>
              <w:spacing w:after="0" w:line="240" w:lineRule="auto"/>
              <w:rPr>
                <w:rFonts w:eastAsia="Times New Roman"/>
                <w:noProof/>
              </w:rPr>
            </w:pPr>
            <w:r>
              <w:rPr>
                <w:noProof/>
              </w:rPr>
              <w:t>Avis d'achèvement de projet ou rapports de projet soumis</w:t>
            </w:r>
          </w:p>
        </w:tc>
        <w:tc>
          <w:tcPr>
            <w:tcW w:w="1417" w:type="dxa"/>
            <w:tcBorders>
              <w:top w:val="nil"/>
              <w:left w:val="nil"/>
              <w:bottom w:val="single" w:sz="4" w:space="0" w:color="auto"/>
              <w:right w:val="single" w:sz="4" w:space="0" w:color="auto"/>
            </w:tcBorders>
            <w:shd w:val="clear" w:color="auto" w:fill="C6EFCE"/>
            <w:noWrap/>
          </w:tcPr>
          <w:p w14:paraId="757B8C2E" w14:textId="77777777" w:rsidR="003D7F65" w:rsidRDefault="003D7F65">
            <w:pPr>
              <w:spacing w:after="0" w:line="240" w:lineRule="auto"/>
              <w:rPr>
                <w:rFonts w:ascii="Times New Roman" w:eastAsia="Times New Roman" w:hAnsi="Times New Roman"/>
                <w:noProof/>
                <w:sz w:val="20"/>
                <w:szCs w:val="20"/>
              </w:rPr>
            </w:pPr>
          </w:p>
        </w:tc>
        <w:tc>
          <w:tcPr>
            <w:tcW w:w="884" w:type="dxa"/>
            <w:tcBorders>
              <w:top w:val="nil"/>
              <w:left w:val="nil"/>
              <w:bottom w:val="single" w:sz="4" w:space="0" w:color="auto"/>
              <w:right w:val="single" w:sz="4" w:space="0" w:color="auto"/>
            </w:tcBorders>
            <w:shd w:val="clear" w:color="auto" w:fill="C6EFCE"/>
            <w:noWrap/>
          </w:tcPr>
          <w:p w14:paraId="1FBDAB56" w14:textId="77777777" w:rsidR="003D7F65" w:rsidRDefault="0082041E">
            <w:pPr>
              <w:pStyle w:val="P68B1DB1-Normal8"/>
              <w:spacing w:after="0" w:line="240" w:lineRule="auto"/>
              <w:rPr>
                <w:noProof/>
              </w:rPr>
            </w:pPr>
            <w:r>
              <w:rPr>
                <w:noProof/>
              </w:rPr>
              <w:t>Numéro</w:t>
            </w:r>
          </w:p>
        </w:tc>
        <w:tc>
          <w:tcPr>
            <w:tcW w:w="1101" w:type="dxa"/>
            <w:tcBorders>
              <w:top w:val="nil"/>
              <w:left w:val="nil"/>
              <w:bottom w:val="single" w:sz="4" w:space="0" w:color="auto"/>
              <w:right w:val="single" w:sz="4" w:space="0" w:color="auto"/>
            </w:tcBorders>
            <w:shd w:val="clear" w:color="auto" w:fill="C6EFCE"/>
            <w:noWrap/>
          </w:tcPr>
          <w:p w14:paraId="4A62C800" w14:textId="77777777" w:rsidR="003D7F65" w:rsidRDefault="0082041E">
            <w:pPr>
              <w:pStyle w:val="P68B1DB1-Normal8"/>
              <w:spacing w:after="0" w:line="240" w:lineRule="auto"/>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4A9F85F6" w14:textId="77777777" w:rsidR="003D7F65" w:rsidRDefault="0082041E">
            <w:pPr>
              <w:pStyle w:val="P68B1DB1-Normal8"/>
              <w:spacing w:after="0" w:line="240" w:lineRule="auto"/>
              <w:rPr>
                <w:rFonts w:eastAsia="Times New Roman"/>
                <w:noProof/>
              </w:rPr>
            </w:pPr>
            <w:r>
              <w:rPr>
                <w:noProof/>
              </w:rPr>
              <w:t>4</w:t>
            </w:r>
          </w:p>
        </w:tc>
        <w:tc>
          <w:tcPr>
            <w:tcW w:w="992" w:type="dxa"/>
            <w:tcBorders>
              <w:top w:val="nil"/>
              <w:left w:val="nil"/>
              <w:bottom w:val="single" w:sz="4" w:space="0" w:color="auto"/>
              <w:right w:val="single" w:sz="4" w:space="0" w:color="auto"/>
            </w:tcBorders>
            <w:shd w:val="clear" w:color="auto" w:fill="C6EFCE"/>
            <w:noWrap/>
          </w:tcPr>
          <w:p w14:paraId="64E2FFAA" w14:textId="77777777" w:rsidR="003D7F65" w:rsidRDefault="0082041E">
            <w:pPr>
              <w:pStyle w:val="P68B1DB1-Normal8"/>
              <w:spacing w:after="0" w:line="240" w:lineRule="auto"/>
              <w:rPr>
                <w:rFonts w:eastAsia="Times New Roman"/>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7376F9AB" w14:textId="77777777" w:rsidR="003D7F65" w:rsidRDefault="0082041E">
            <w:pPr>
              <w:pStyle w:val="P68B1DB1-Normal8"/>
              <w:spacing w:after="0" w:line="240" w:lineRule="auto"/>
              <w:rPr>
                <w:rFonts w:eastAsia="Times New Roman"/>
                <w:noProof/>
              </w:rPr>
            </w:pPr>
            <w:r>
              <w:rPr>
                <w:noProof/>
              </w:rPr>
              <w:t>2026</w:t>
            </w:r>
          </w:p>
        </w:tc>
        <w:tc>
          <w:tcPr>
            <w:tcW w:w="3860" w:type="dxa"/>
            <w:tcBorders>
              <w:top w:val="nil"/>
              <w:left w:val="nil"/>
              <w:bottom w:val="single" w:sz="4" w:space="0" w:color="auto"/>
              <w:right w:val="single" w:sz="4" w:space="0" w:color="auto"/>
            </w:tcBorders>
            <w:shd w:val="clear" w:color="auto" w:fill="C6EFCE"/>
            <w:noWrap/>
          </w:tcPr>
          <w:p w14:paraId="74B91598" w14:textId="3011A4E6" w:rsidR="003D7F65" w:rsidRDefault="0082041E">
            <w:pPr>
              <w:pStyle w:val="P68B1DB1-Normal8"/>
              <w:spacing w:after="0" w:line="240" w:lineRule="auto"/>
              <w:rPr>
                <w:noProof/>
              </w:rPr>
            </w:pPr>
            <w:r>
              <w:rPr>
                <w:noProof/>
              </w:rPr>
              <w:t>Au moins quatre avis d'achèvement de projet ou rapports de projet doivent être soumis par les entités bénéficiaires. Celles-ci correspondent à une augmentation d’au moins 112 MW/MWp de la capacité, de l’utilisation ou de la capacité de stockage de nouvelles énergies renouvelables.</w:t>
            </w:r>
          </w:p>
        </w:tc>
      </w:tr>
      <w:tr w:rsidR="003D7F65" w14:paraId="209BED7F"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375418C7" w14:textId="77777777" w:rsidR="003D7F65" w:rsidRDefault="0082041E">
            <w:pPr>
              <w:pStyle w:val="P68B1DB1-Normal8"/>
              <w:spacing w:after="0" w:line="240" w:lineRule="auto"/>
              <w:jc w:val="center"/>
              <w:rPr>
                <w:rFonts w:eastAsia="Times New Roman"/>
                <w:noProof/>
              </w:rPr>
            </w:pPr>
            <w:r>
              <w:rPr>
                <w:noProof/>
              </w:rPr>
              <w:t>9</w:t>
            </w:r>
          </w:p>
        </w:tc>
        <w:tc>
          <w:tcPr>
            <w:tcW w:w="1811" w:type="dxa"/>
            <w:tcBorders>
              <w:top w:val="nil"/>
              <w:left w:val="nil"/>
              <w:bottom w:val="single" w:sz="4" w:space="0" w:color="auto"/>
              <w:right w:val="single" w:sz="4" w:space="0" w:color="auto"/>
            </w:tcBorders>
            <w:shd w:val="clear" w:color="auto" w:fill="C6EFCE"/>
            <w:noWrap/>
          </w:tcPr>
          <w:p w14:paraId="304763D5" w14:textId="77777777" w:rsidR="003D7F65" w:rsidRDefault="0082041E">
            <w:pPr>
              <w:pStyle w:val="P68B1DB1-Normal8"/>
              <w:spacing w:after="0" w:line="240" w:lineRule="auto"/>
              <w:rPr>
                <w:rFonts w:eastAsia="Times New Roman"/>
                <w:noProof/>
              </w:rPr>
            </w:pPr>
            <w:r>
              <w:rPr>
                <w:noProof/>
              </w:rPr>
              <w:t>P1C1I3 – Transformation du système énergétique – Train de mesures sur les investissements et les réformes en Åland</w:t>
            </w:r>
          </w:p>
        </w:tc>
        <w:tc>
          <w:tcPr>
            <w:tcW w:w="1024" w:type="dxa"/>
            <w:tcBorders>
              <w:top w:val="nil"/>
              <w:left w:val="nil"/>
              <w:bottom w:val="single" w:sz="4" w:space="0" w:color="auto"/>
              <w:right w:val="single" w:sz="4" w:space="0" w:color="auto"/>
            </w:tcBorders>
            <w:shd w:val="clear" w:color="auto" w:fill="C6EFCE"/>
            <w:noWrap/>
          </w:tcPr>
          <w:p w14:paraId="3DCDBE8B"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nil"/>
              <w:left w:val="nil"/>
              <w:bottom w:val="single" w:sz="4" w:space="0" w:color="auto"/>
              <w:right w:val="single" w:sz="4" w:space="0" w:color="auto"/>
            </w:tcBorders>
            <w:shd w:val="clear" w:color="auto" w:fill="C6EFCE"/>
            <w:noWrap/>
          </w:tcPr>
          <w:p w14:paraId="19139E02" w14:textId="77777777" w:rsidR="003D7F65" w:rsidRDefault="0082041E">
            <w:pPr>
              <w:pStyle w:val="P68B1DB1-Normal8"/>
              <w:spacing w:after="0" w:line="240" w:lineRule="auto"/>
              <w:rPr>
                <w:rFonts w:eastAsia="Times New Roman"/>
                <w:noProof/>
              </w:rPr>
            </w:pPr>
            <w:r>
              <w:rPr>
                <w:noProof/>
              </w:rPr>
              <w:t>Publication du premier appel à candidatures pour des investissements dans les énergies renouvelables en Åland</w:t>
            </w:r>
          </w:p>
        </w:tc>
        <w:tc>
          <w:tcPr>
            <w:tcW w:w="1417" w:type="dxa"/>
            <w:tcBorders>
              <w:top w:val="nil"/>
              <w:left w:val="nil"/>
              <w:bottom w:val="single" w:sz="4" w:space="0" w:color="auto"/>
              <w:right w:val="single" w:sz="4" w:space="0" w:color="auto"/>
            </w:tcBorders>
            <w:shd w:val="clear" w:color="auto" w:fill="C6EFCE"/>
            <w:noWrap/>
          </w:tcPr>
          <w:p w14:paraId="20A17F75" w14:textId="77777777" w:rsidR="003D7F65" w:rsidRDefault="0082041E">
            <w:pPr>
              <w:pStyle w:val="P68B1DB1-Normal8"/>
              <w:spacing w:after="0" w:line="240" w:lineRule="auto"/>
              <w:rPr>
                <w:rFonts w:eastAsia="Times New Roman"/>
                <w:noProof/>
              </w:rPr>
            </w:pPr>
            <w:r>
              <w:rPr>
                <w:noProof/>
              </w:rPr>
              <w:t>Publication du premier appel à candidatures sur le site web du gouvernement d'Åland</w:t>
            </w:r>
          </w:p>
        </w:tc>
        <w:tc>
          <w:tcPr>
            <w:tcW w:w="884" w:type="dxa"/>
            <w:tcBorders>
              <w:top w:val="nil"/>
              <w:left w:val="nil"/>
              <w:bottom w:val="single" w:sz="4" w:space="0" w:color="auto"/>
              <w:right w:val="single" w:sz="4" w:space="0" w:color="auto"/>
            </w:tcBorders>
            <w:shd w:val="clear" w:color="auto" w:fill="C6EFCE"/>
            <w:noWrap/>
          </w:tcPr>
          <w:p w14:paraId="6EA35EFA" w14:textId="77777777" w:rsidR="003D7F65" w:rsidRDefault="0082041E">
            <w:pPr>
              <w:pStyle w:val="P68B1DB1-Normal8"/>
              <w:spacing w:after="0" w:line="240" w:lineRule="auto"/>
              <w:rPr>
                <w:rFonts w:eastAsia="Times New Roman"/>
                <w:noProof/>
              </w:rPr>
            </w:pPr>
            <w:r>
              <w:rPr>
                <w:noProof/>
              </w:rPr>
              <w:t> </w:t>
            </w:r>
          </w:p>
        </w:tc>
        <w:tc>
          <w:tcPr>
            <w:tcW w:w="1101" w:type="dxa"/>
            <w:tcBorders>
              <w:top w:val="nil"/>
              <w:left w:val="nil"/>
              <w:bottom w:val="single" w:sz="4" w:space="0" w:color="auto"/>
              <w:right w:val="single" w:sz="4" w:space="0" w:color="auto"/>
            </w:tcBorders>
            <w:shd w:val="clear" w:color="auto" w:fill="C6EFCE"/>
            <w:noWrap/>
          </w:tcPr>
          <w:p w14:paraId="0C7F94DC" w14:textId="77777777" w:rsidR="003D7F65" w:rsidRDefault="0082041E">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157E6F1A"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2E78EE3F" w14:textId="77777777" w:rsidR="003D7F65" w:rsidRDefault="0082041E">
            <w:pPr>
              <w:pStyle w:val="P68B1DB1-Normal8"/>
              <w:spacing w:after="0" w:line="240" w:lineRule="auto"/>
              <w:rPr>
                <w:rFonts w:eastAsia="Times New Roman"/>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7058AA65" w14:textId="77777777" w:rsidR="003D7F65" w:rsidRDefault="0082041E">
            <w:pPr>
              <w:pStyle w:val="P68B1DB1-Normal8"/>
              <w:spacing w:after="0" w:line="240" w:lineRule="auto"/>
              <w:rPr>
                <w:rFonts w:eastAsia="Times New Roman"/>
                <w:noProof/>
              </w:rPr>
            </w:pPr>
            <w:r>
              <w:rPr>
                <w:noProof/>
              </w:rPr>
              <w:t>2022</w:t>
            </w:r>
          </w:p>
        </w:tc>
        <w:tc>
          <w:tcPr>
            <w:tcW w:w="3860" w:type="dxa"/>
            <w:tcBorders>
              <w:top w:val="nil"/>
              <w:left w:val="nil"/>
              <w:bottom w:val="single" w:sz="4" w:space="0" w:color="auto"/>
              <w:right w:val="single" w:sz="4" w:space="0" w:color="auto"/>
            </w:tcBorders>
            <w:shd w:val="clear" w:color="auto" w:fill="C6EFCE"/>
            <w:noWrap/>
          </w:tcPr>
          <w:p w14:paraId="148DD7C9" w14:textId="77777777" w:rsidR="003D7F65" w:rsidRDefault="0082041E">
            <w:pPr>
              <w:pStyle w:val="P68B1DB1-Normal8"/>
              <w:spacing w:after="0" w:line="240" w:lineRule="auto"/>
              <w:rPr>
                <w:rFonts w:eastAsia="Times New Roman"/>
                <w:noProof/>
              </w:rPr>
            </w:pPr>
            <w:r>
              <w:rPr>
                <w:noProof/>
              </w:rPr>
              <w:t>Le premier appel à propositions concurrentiel pour des investissements dans les énergies renouvelables en Åland a été publié, avec des termes de référence comprenant des critères d’éligibilité garantissant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405D3EB7" w14:textId="77777777" w:rsidTr="007F30CF">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18F2F2D0" w14:textId="77777777" w:rsidR="003D7F65" w:rsidRDefault="0082041E">
            <w:pPr>
              <w:pStyle w:val="P68B1DB1-Normal8"/>
              <w:spacing w:after="0" w:line="240" w:lineRule="auto"/>
              <w:jc w:val="center"/>
              <w:rPr>
                <w:rFonts w:eastAsia="Times New Roman"/>
                <w:noProof/>
              </w:rPr>
            </w:pPr>
            <w:r>
              <w:rPr>
                <w:noProof/>
              </w:rPr>
              <w:t>10</w:t>
            </w:r>
          </w:p>
        </w:tc>
        <w:tc>
          <w:tcPr>
            <w:tcW w:w="1811" w:type="dxa"/>
            <w:tcBorders>
              <w:top w:val="nil"/>
              <w:left w:val="nil"/>
              <w:bottom w:val="single" w:sz="4" w:space="0" w:color="auto"/>
              <w:right w:val="single" w:sz="4" w:space="0" w:color="auto"/>
            </w:tcBorders>
            <w:shd w:val="clear" w:color="auto" w:fill="C6EFCE"/>
            <w:noWrap/>
          </w:tcPr>
          <w:p w14:paraId="3B59C897" w14:textId="77777777" w:rsidR="003D7F65" w:rsidRDefault="0082041E">
            <w:pPr>
              <w:pStyle w:val="P68B1DB1-Normal8"/>
              <w:spacing w:after="0" w:line="240" w:lineRule="auto"/>
              <w:rPr>
                <w:rFonts w:eastAsia="Times New Roman"/>
                <w:noProof/>
              </w:rPr>
            </w:pPr>
            <w:r>
              <w:rPr>
                <w:noProof/>
              </w:rPr>
              <w:t>P1C1I3 – Transformation du système énergétique – Train de mesures sur les investissements et les réformes en Åland</w:t>
            </w:r>
          </w:p>
        </w:tc>
        <w:tc>
          <w:tcPr>
            <w:tcW w:w="1024" w:type="dxa"/>
            <w:tcBorders>
              <w:top w:val="nil"/>
              <w:left w:val="nil"/>
              <w:bottom w:val="single" w:sz="4" w:space="0" w:color="auto"/>
              <w:right w:val="single" w:sz="4" w:space="0" w:color="auto"/>
            </w:tcBorders>
            <w:shd w:val="clear" w:color="auto" w:fill="C6EFCE"/>
            <w:noWrap/>
          </w:tcPr>
          <w:p w14:paraId="7E711714" w14:textId="77777777" w:rsidR="003D7F65" w:rsidRDefault="0082041E">
            <w:pPr>
              <w:pStyle w:val="P68B1DB1-Normal8"/>
              <w:spacing w:after="0" w:line="240" w:lineRule="auto"/>
              <w:rPr>
                <w:rFonts w:eastAsia="Times New Roman"/>
                <w:noProof/>
              </w:rPr>
            </w:pPr>
            <w:r>
              <w:rPr>
                <w:noProof/>
              </w:rPr>
              <w:t>Étape</w:t>
            </w:r>
          </w:p>
        </w:tc>
        <w:tc>
          <w:tcPr>
            <w:tcW w:w="1418" w:type="dxa"/>
            <w:tcBorders>
              <w:top w:val="nil"/>
              <w:left w:val="nil"/>
              <w:bottom w:val="single" w:sz="4" w:space="0" w:color="auto"/>
              <w:right w:val="single" w:sz="4" w:space="0" w:color="auto"/>
            </w:tcBorders>
            <w:shd w:val="clear" w:color="auto" w:fill="C6EFCE"/>
            <w:noWrap/>
          </w:tcPr>
          <w:p w14:paraId="538F4C61" w14:textId="77777777" w:rsidR="003D7F65" w:rsidRDefault="0082041E">
            <w:pPr>
              <w:pStyle w:val="P68B1DB1-Normal8"/>
              <w:spacing w:after="0" w:line="240" w:lineRule="auto"/>
              <w:rPr>
                <w:noProof/>
              </w:rPr>
            </w:pPr>
            <w:r>
              <w:rPr>
                <w:noProof/>
              </w:rPr>
              <w:t>Rapports de projet présentés</w:t>
            </w:r>
          </w:p>
        </w:tc>
        <w:tc>
          <w:tcPr>
            <w:tcW w:w="1417" w:type="dxa"/>
            <w:tcBorders>
              <w:top w:val="nil"/>
              <w:left w:val="nil"/>
              <w:bottom w:val="single" w:sz="4" w:space="0" w:color="auto"/>
              <w:right w:val="single" w:sz="4" w:space="0" w:color="auto"/>
            </w:tcBorders>
            <w:shd w:val="clear" w:color="auto" w:fill="C6EFCE"/>
            <w:noWrap/>
          </w:tcPr>
          <w:p w14:paraId="3B7217A8" w14:textId="77777777" w:rsidR="003D7F65" w:rsidRDefault="0082041E">
            <w:pPr>
              <w:pStyle w:val="P68B1DB1-Normal8"/>
              <w:spacing w:after="0" w:line="240" w:lineRule="auto"/>
              <w:rPr>
                <w:rFonts w:eastAsia="Times New Roman"/>
                <w:noProof/>
              </w:rPr>
            </w:pPr>
            <w:r>
              <w:rPr>
                <w:noProof/>
              </w:rPr>
              <w:t>Rapports de projet présentés</w:t>
            </w:r>
          </w:p>
        </w:tc>
        <w:tc>
          <w:tcPr>
            <w:tcW w:w="884" w:type="dxa"/>
            <w:tcBorders>
              <w:top w:val="nil"/>
              <w:left w:val="nil"/>
              <w:bottom w:val="single" w:sz="4" w:space="0" w:color="auto"/>
              <w:right w:val="single" w:sz="4" w:space="0" w:color="auto"/>
            </w:tcBorders>
            <w:shd w:val="clear" w:color="auto" w:fill="C6EFCE"/>
            <w:noWrap/>
          </w:tcPr>
          <w:p w14:paraId="23024985" w14:textId="77777777" w:rsidR="003D7F65" w:rsidRDefault="0082041E">
            <w:pPr>
              <w:pStyle w:val="P68B1DB1-Normal8"/>
              <w:spacing w:after="0" w:line="240" w:lineRule="auto"/>
              <w:rPr>
                <w:rFonts w:eastAsia="Times New Roman"/>
                <w:noProof/>
              </w:rPr>
            </w:pPr>
            <w:r>
              <w:rPr>
                <w:noProof/>
              </w:rPr>
              <w:t> </w:t>
            </w:r>
          </w:p>
        </w:tc>
        <w:tc>
          <w:tcPr>
            <w:tcW w:w="1101" w:type="dxa"/>
            <w:tcBorders>
              <w:top w:val="nil"/>
              <w:left w:val="nil"/>
              <w:bottom w:val="single" w:sz="4" w:space="0" w:color="auto"/>
              <w:right w:val="single" w:sz="4" w:space="0" w:color="auto"/>
            </w:tcBorders>
            <w:shd w:val="clear" w:color="auto" w:fill="C6EFCE"/>
            <w:noWrap/>
          </w:tcPr>
          <w:p w14:paraId="29CB43B7" w14:textId="77777777" w:rsidR="003D7F65" w:rsidRDefault="0082041E">
            <w:pPr>
              <w:pStyle w:val="P68B1DB1-Normal8"/>
              <w:spacing w:after="0" w:line="240" w:lineRule="auto"/>
              <w:rPr>
                <w:rFonts w:eastAsia="Times New Roman"/>
                <w:noProof/>
              </w:rPr>
            </w:pPr>
            <w:r>
              <w:rPr>
                <w:noProof/>
              </w:rPr>
              <w:t> </w:t>
            </w:r>
          </w:p>
        </w:tc>
        <w:tc>
          <w:tcPr>
            <w:tcW w:w="850" w:type="dxa"/>
            <w:tcBorders>
              <w:top w:val="nil"/>
              <w:left w:val="nil"/>
              <w:bottom w:val="single" w:sz="4" w:space="0" w:color="auto"/>
              <w:right w:val="single" w:sz="4" w:space="0" w:color="auto"/>
            </w:tcBorders>
            <w:shd w:val="clear" w:color="auto" w:fill="C6EFCE"/>
            <w:noWrap/>
          </w:tcPr>
          <w:p w14:paraId="75F1997F"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09A8B0E" w14:textId="77777777" w:rsidR="003D7F65" w:rsidRDefault="0082041E">
            <w:pPr>
              <w:pStyle w:val="P68B1DB1-Normal8"/>
              <w:spacing w:after="0" w:line="240" w:lineRule="auto"/>
              <w:rPr>
                <w:rFonts w:eastAsia="Times New Roman"/>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53D583E8" w14:textId="77777777" w:rsidR="003D7F65" w:rsidRDefault="0082041E">
            <w:pPr>
              <w:pStyle w:val="P68B1DB1-Normal8"/>
              <w:spacing w:after="0" w:line="240" w:lineRule="auto"/>
              <w:rPr>
                <w:rFonts w:eastAsia="Times New Roman"/>
                <w:noProof/>
              </w:rPr>
            </w:pPr>
            <w:r>
              <w:rPr>
                <w:noProof/>
              </w:rPr>
              <w:t>2026</w:t>
            </w:r>
          </w:p>
        </w:tc>
        <w:tc>
          <w:tcPr>
            <w:tcW w:w="3860" w:type="dxa"/>
            <w:tcBorders>
              <w:top w:val="nil"/>
              <w:left w:val="nil"/>
              <w:bottom w:val="single" w:sz="4" w:space="0" w:color="auto"/>
              <w:right w:val="single" w:sz="4" w:space="0" w:color="auto"/>
            </w:tcBorders>
            <w:shd w:val="clear" w:color="auto" w:fill="C6EFCE"/>
            <w:noWrap/>
          </w:tcPr>
          <w:p w14:paraId="413243BB" w14:textId="77777777" w:rsidR="003D7F65" w:rsidRDefault="0082041E">
            <w:pPr>
              <w:pStyle w:val="P68B1DB1-Normal9"/>
              <w:spacing w:after="0" w:line="240" w:lineRule="auto"/>
              <w:rPr>
                <w:noProof/>
              </w:rPr>
            </w:pPr>
            <w:r>
              <w:rPr>
                <w:noProof/>
              </w:rPr>
              <w:t>Deux rapports de projet sont soumis par les entités bénéficiaires de projets d’énergie solaire. Le ou les rapports commandés concernant la préparation du projet éolien doivent également être présentés.</w:t>
            </w:r>
          </w:p>
        </w:tc>
      </w:tr>
    </w:tbl>
    <w:p w14:paraId="543BCDE4" w14:textId="77777777" w:rsidR="003D7F65" w:rsidRDefault="003D7F65">
      <w:pPr>
        <w:spacing w:before="120" w:after="120" w:line="240" w:lineRule="auto"/>
        <w:ind w:left="709"/>
        <w:jc w:val="both"/>
        <w:rPr>
          <w:rFonts w:ascii="Times New Roman" w:hAnsi="Times New Roman"/>
          <w:noProof/>
          <w:sz w:val="24"/>
        </w:rPr>
        <w:sectPr w:rsidR="003D7F65" w:rsidSect="00A7081A">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155694BF" w14:textId="77777777" w:rsidR="003D7F65" w:rsidRDefault="0082041E">
      <w:pPr>
        <w:pStyle w:val="P68B1DB1-Heading42"/>
        <w:numPr>
          <w:ilvl w:val="0"/>
          <w:numId w:val="0"/>
        </w:numPr>
        <w:rPr>
          <w:noProof/>
        </w:rPr>
      </w:pPr>
      <w:r>
        <w:rPr>
          <w:noProof/>
        </w:rPr>
        <w:t xml:space="preserve">B. Élément P1C2: RÉFORMES INDUSTRIELLES ET INVESTISSEMENTS À L'APPUI DE LA TRANSITION VERTE ET NUMÉRIQUE </w:t>
      </w:r>
    </w:p>
    <w:p w14:paraId="359532F6" w14:textId="77777777" w:rsidR="003D7F65" w:rsidRDefault="0082041E">
      <w:pPr>
        <w:pStyle w:val="P68B1DB1-Normal3"/>
        <w:spacing w:before="120" w:after="120" w:line="240" w:lineRule="auto"/>
        <w:jc w:val="both"/>
        <w:rPr>
          <w:iCs/>
          <w:noProof/>
        </w:rPr>
      </w:pPr>
      <w:r>
        <w:rPr>
          <w:noProof/>
        </w:rPr>
        <w:t>La Finlande s’est fixé pour objectif de devenir la première société de bien-être sans combustibles fossiles au monde, en atteignant la neutralité carbone d’ici à 2035. Les principaux défis à relever pour atteindre cet objectif comprennent la réduction des émissions de l'industrie et l'augmentation du taux de recyclage. Souvent, les nouvelles technologies à faibles émissions ne sont pas encore compétitives et leur développement doit être accéléré. La Finlande doit stimuler l’économie circulaire pour accroître l’utilisation durable des ressources et réduire la pollution.</w:t>
      </w:r>
    </w:p>
    <w:p w14:paraId="37D0DD76" w14:textId="77777777" w:rsidR="003D7F65" w:rsidRDefault="0082041E">
      <w:pPr>
        <w:pStyle w:val="P68B1DB1-Normal3"/>
        <w:spacing w:before="120" w:after="120" w:line="240" w:lineRule="auto"/>
        <w:jc w:val="both"/>
        <w:rPr>
          <w:iCs/>
          <w:noProof/>
        </w:rPr>
      </w:pPr>
      <w:r>
        <w:rPr>
          <w:noProof/>
        </w:rPr>
        <w:t xml:space="preserve">L’objectif général de ce volet du plan finlandais pour la reprise et la résilience est de contribuer à la réalisation de l’objectif de neutralité carbone en soutenant les investissements dans les technologies visant à réduire les émissions de carbone de l’industrie, à créer des emplois verts, à investir dans les technologies propres et à stimuler le recyclage et la réutilisation. </w:t>
      </w:r>
    </w:p>
    <w:p w14:paraId="62CCC664" w14:textId="77777777" w:rsidR="003D7F65" w:rsidRDefault="0082041E">
      <w:pPr>
        <w:pStyle w:val="P68B1DB1-Normal3"/>
        <w:spacing w:before="120" w:after="120" w:line="240" w:lineRule="auto"/>
        <w:jc w:val="both"/>
        <w:rPr>
          <w:noProof/>
        </w:rPr>
      </w:pPr>
      <w:r>
        <w:rPr>
          <w:noProof/>
        </w:rPr>
        <w:t>Ce volet comprend des investissements axés sur la promotion de technologies à faible intensité de carbone telles que la production d’hydrogène, le captage et l’utilisation du carbone, le remplacement des combustibles fossiles par l’électricité dans les processus industriels et la promotion de la réutilisation et du recyclage des matériaux clés et des sous-produits industriels. Ces investissements s’accompagnent de réformes de la législation sur le climat et les déchets, y compris les modifications nécessaires de la loi sur le climat et de la loi sur les déchets afin de fournir une base juridique à l’objectif de neutralité carbone et aux objectifs de recyclage pour 2035.</w:t>
      </w:r>
    </w:p>
    <w:p w14:paraId="64E3D1F4" w14:textId="77777777" w:rsidR="003D7F65" w:rsidRDefault="0082041E">
      <w:pPr>
        <w:pStyle w:val="P68B1DB1-Normal4"/>
        <w:spacing w:before="120" w:after="120" w:line="240" w:lineRule="auto"/>
        <w:jc w:val="both"/>
        <w:rPr>
          <w:noProof/>
        </w:rPr>
      </w:pPr>
      <w:r>
        <w:rPr>
          <w:noProof/>
        </w:rPr>
        <w:t>Ce volet contribue à donner suite aux recommandations par pays visant à concentrer les investissements sur la transition écologique, en particulier sur la production et l’utilisation propres et efficaces de l’énergie (recommandation par pays no 3 de 2020), ainsi qu’à promouvoir les investissements dans la transition vers une économie à faible intensité de carbone et la transition énergétique (recommandation par pays no 3 de 2019).</w:t>
      </w:r>
    </w:p>
    <w:p w14:paraId="12FA5F80"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A2E6D85" w14:textId="77777777" w:rsidR="003D7F65" w:rsidRDefault="0082041E">
      <w:pPr>
        <w:pStyle w:val="P68B1DB1-Normal5"/>
        <w:spacing w:before="120" w:after="120" w:line="240" w:lineRule="auto"/>
        <w:jc w:val="both"/>
        <w:rPr>
          <w:i/>
          <w:noProof/>
          <w:color w:val="4F81BD"/>
        </w:rPr>
      </w:pPr>
      <w:r>
        <w:rPr>
          <w:noProof/>
        </w:rPr>
        <w:t xml:space="preserve">B.1. </w:t>
      </w:r>
      <w:r>
        <w:rPr>
          <w:noProof/>
        </w:rPr>
        <w:tab/>
        <w:t>Description des réformes et des investissements pour le soutien financier non remboursable</w:t>
      </w:r>
    </w:p>
    <w:p w14:paraId="522C4DC0" w14:textId="77777777" w:rsidR="003D7F65" w:rsidRDefault="0082041E">
      <w:pPr>
        <w:pStyle w:val="P68B1DB1-Normal6"/>
        <w:spacing w:before="120" w:after="120" w:line="240" w:lineRule="auto"/>
        <w:jc w:val="both"/>
        <w:rPr>
          <w:noProof/>
        </w:rPr>
      </w:pPr>
      <w:r>
        <w:rPr>
          <w:noProof/>
        </w:rPr>
        <w:t>Réforme 1 (P1C2R1): Réforme de la loi sur le climat et industrialisation à faible intensité de carbone</w:t>
      </w:r>
    </w:p>
    <w:p w14:paraId="08AF8EB4" w14:textId="043642D9" w:rsidR="003D7F65" w:rsidRDefault="0082041E">
      <w:pPr>
        <w:pStyle w:val="P68B1DB1-Normal3"/>
        <w:jc w:val="both"/>
        <w:rPr>
          <w:noProof/>
        </w:rPr>
      </w:pPr>
      <w:r>
        <w:rPr>
          <w:noProof/>
        </w:rPr>
        <w:t xml:space="preserve">L’objectif de cette mesure est de fixer des objectifs climatiques pour 2030, 2040 et 2050. Cette mesure consiste en une réforme de la législation existante en matière de climat et en la publication de feuilles de route sectorielles à faible intensité de carbone. </w:t>
      </w:r>
    </w:p>
    <w:p w14:paraId="52023B99" w14:textId="77777777" w:rsidR="003D7F65" w:rsidRDefault="0082041E">
      <w:pPr>
        <w:pStyle w:val="P68B1DB1-Normal6"/>
        <w:spacing w:before="120" w:after="120" w:line="240" w:lineRule="auto"/>
        <w:jc w:val="both"/>
        <w:rPr>
          <w:noProof/>
        </w:rPr>
      </w:pPr>
      <w:bookmarkStart w:id="2" w:name="_Hlk213066855"/>
      <w:r>
        <w:rPr>
          <w:noProof/>
        </w:rPr>
        <w:t xml:space="preserve">Réforme 2 (P1C2R2): Promotion </w:t>
      </w:r>
      <w:bookmarkEnd w:id="2"/>
      <w:r>
        <w:rPr>
          <w:noProof/>
        </w:rPr>
        <w:t xml:space="preserve">stratégique de l’économie circulaire et réforme de la loi sur les déchets </w:t>
      </w:r>
    </w:p>
    <w:p w14:paraId="3AB53CDE" w14:textId="2FEFCC5E" w:rsidR="003D7F65" w:rsidRDefault="0082041E">
      <w:pPr>
        <w:pStyle w:val="P68B1DB1-Normal3"/>
        <w:spacing w:before="120" w:after="120" w:line="240" w:lineRule="auto"/>
        <w:jc w:val="both"/>
        <w:rPr>
          <w:noProof/>
        </w:rPr>
      </w:pPr>
      <w:r>
        <w:rPr>
          <w:noProof/>
        </w:rPr>
        <w:t xml:space="preserve">L’objectif de cette mesure est de promouvoir l’économie circulaire en Finlande. Cette mesure consiste en un programme stratégique pour une économie circulaire, en une réforme de la législation existante en matière de déchets et en l’acceptation des </w:t>
      </w:r>
      <w:bookmarkStart w:id="3" w:name="_Hlk213067850"/>
      <w:r>
        <w:rPr>
          <w:noProof/>
        </w:rPr>
        <w:t>parties prenantes au pacte vert pour l’économie circulaire.</w:t>
      </w:r>
      <w:bookmarkEnd w:id="3"/>
    </w:p>
    <w:p w14:paraId="55ECD3C8" w14:textId="77777777" w:rsidR="003D7F65" w:rsidRDefault="0082041E">
      <w:pPr>
        <w:pStyle w:val="P68B1DB1-Normal6"/>
        <w:spacing w:before="120" w:after="120" w:line="240" w:lineRule="auto"/>
        <w:jc w:val="both"/>
        <w:rPr>
          <w:noProof/>
        </w:rPr>
      </w:pPr>
      <w:r>
        <w:rPr>
          <w:noProof/>
        </w:rPr>
        <w:t>Investissement 1 (P1C2I1): Hydrogène bas carbone et captage et utilisation du carbone</w:t>
      </w:r>
    </w:p>
    <w:p w14:paraId="79859644" w14:textId="1D80108F" w:rsidR="003D7F65" w:rsidRDefault="0082041E">
      <w:pPr>
        <w:pStyle w:val="P68B1DB1-Normal3"/>
        <w:spacing w:before="120" w:after="120" w:line="240" w:lineRule="auto"/>
        <w:jc w:val="both"/>
        <w:rPr>
          <w:rFonts w:eastAsia="Times New Roman"/>
          <w:noProof/>
        </w:rPr>
      </w:pPr>
      <w:r>
        <w:rPr>
          <w:noProof/>
        </w:rPr>
        <w:t>L’objectif de cet investissement est de soutenir la production et le stockage d’hydrogène propre.</w:t>
      </w:r>
    </w:p>
    <w:p w14:paraId="14E29D27" w14:textId="550812B1" w:rsidR="003D7F65" w:rsidRDefault="0082041E">
      <w:pPr>
        <w:pStyle w:val="P68B1DB1-Normal4"/>
        <w:spacing w:before="120" w:after="120" w:line="240" w:lineRule="auto"/>
        <w:jc w:val="both"/>
        <w:rPr>
          <w:noProof/>
        </w:rPr>
      </w:pPr>
      <w:r>
        <w:rPr>
          <w:noProof/>
        </w:rPr>
        <w:t>Cette mesure consiste en un investissement public dans un régime de subventions, afin d’encourager l’investissement privé et d’améliorer l’accès au financement en Finlande tout au long de la chaîne de valeur de l’hydrogène ainsi que dans le captage, le stockage et la récupération du carbone. Le régime fonctionne en octroyant des subventions directement au secteur privé. Le régime peut également accorder des subventions à des organismes de recherche privés et/ou publics.</w:t>
      </w:r>
    </w:p>
    <w:p w14:paraId="54B38AC1" w14:textId="77777777" w:rsidR="003D7F65" w:rsidRDefault="0082041E">
      <w:pPr>
        <w:pStyle w:val="P68B1DB1-Normal4"/>
        <w:spacing w:before="120" w:after="120" w:line="240" w:lineRule="auto"/>
        <w:jc w:val="both"/>
        <w:rPr>
          <w:noProof/>
        </w:rPr>
      </w:pPr>
      <w:r>
        <w:rPr>
          <w:noProof/>
        </w:rPr>
        <w:t>Le régime est géré par Business Finland en tant que partenaire chargé de la mise en œuvre. Le système comprend la gamme de produits pour l’hydrogène bas carbone et le captage et l’utilisation du carbone.</w:t>
      </w:r>
    </w:p>
    <w:p w14:paraId="06DEE0B0" w14:textId="31C1FADA" w:rsidR="003D7F65" w:rsidRDefault="0082041E">
      <w:pPr>
        <w:pStyle w:val="P68B1DB1-Normal4"/>
        <w:spacing w:before="120" w:after="120" w:line="240" w:lineRule="auto"/>
        <w:jc w:val="both"/>
        <w:rPr>
          <w:noProof/>
        </w:rPr>
      </w:pPr>
      <w:r>
        <w:rPr>
          <w:noProof/>
        </w:rPr>
        <w:t>Afin de mettre en œuvre l’investissement dans le régime, la Finlande et Business Finland signent un accord de mise en œuvre qui comprend les éléments suivants:</w:t>
      </w:r>
    </w:p>
    <w:p w14:paraId="2F5E79DC" w14:textId="77777777" w:rsidR="003D7F65" w:rsidRDefault="0082041E">
      <w:pPr>
        <w:pStyle w:val="P68B1DB1-Normal4"/>
        <w:spacing w:before="120" w:after="120" w:line="240" w:lineRule="auto"/>
        <w:jc w:val="both"/>
        <w:rPr>
          <w:noProof/>
        </w:rPr>
      </w:pPr>
      <w:r>
        <w:rPr>
          <w:noProof/>
        </w:rPr>
        <w:t>1. Description du processus décisionnel du régime: La décision finale d'attribution du régime est prise par un comité d'investissement ou un autre organe directeur équivalent compétent et approuvée à la majorité des voix des membres indépendants du gouvernement.</w:t>
      </w:r>
    </w:p>
    <w:p w14:paraId="5675B00E" w14:textId="77777777" w:rsidR="003D7F65" w:rsidRDefault="0082041E">
      <w:pPr>
        <w:pStyle w:val="P68B1DB1-Normal4"/>
        <w:spacing w:before="120" w:after="120" w:line="240" w:lineRule="auto"/>
        <w:jc w:val="both"/>
        <w:rPr>
          <w:noProof/>
        </w:rPr>
      </w:pPr>
      <w:r>
        <w:rPr>
          <w:noProof/>
        </w:rPr>
        <w:t>2. Principales exigences de la politique de subvention y afférente, notamment:</w:t>
      </w:r>
    </w:p>
    <w:p w14:paraId="7BEFFFB2" w14:textId="77777777" w:rsidR="003D7F65" w:rsidRDefault="0082041E">
      <w:pPr>
        <w:pStyle w:val="P68B1DB1-Normal4"/>
        <w:spacing w:before="120" w:after="120" w:line="240" w:lineRule="auto"/>
        <w:ind w:firstLine="284"/>
        <w:jc w:val="both"/>
        <w:rPr>
          <w:noProof/>
        </w:rPr>
      </w:pPr>
      <w:r>
        <w:rPr>
          <w:noProof/>
        </w:rPr>
        <w:t>a. la description des subventions accordées et des bénéficiaires finaux éligibles.</w:t>
      </w:r>
    </w:p>
    <w:p w14:paraId="41313E1C" w14:textId="77777777" w:rsidR="003D7F65" w:rsidRDefault="0082041E">
      <w:pPr>
        <w:pStyle w:val="P68B1DB1-Normal4"/>
        <w:spacing w:before="120" w:after="120" w:line="240" w:lineRule="auto"/>
        <w:ind w:firstLine="284"/>
        <w:jc w:val="both"/>
        <w:rPr>
          <w:noProof/>
        </w:rPr>
      </w:pPr>
      <w:r>
        <w:rPr>
          <w:noProof/>
        </w:rPr>
        <w:t xml:space="preserve">b. l’exigence que tous les investissements soutenus soient économiquement viables. </w:t>
      </w:r>
    </w:p>
    <w:p w14:paraId="19288820" w14:textId="79C13BE8" w:rsidR="003D7F65" w:rsidRDefault="0082041E">
      <w:pPr>
        <w:spacing w:before="120" w:after="120" w:line="240" w:lineRule="auto"/>
        <w:ind w:left="284"/>
        <w:jc w:val="both"/>
        <w:rPr>
          <w:rFonts w:ascii="Times New Roman" w:eastAsia="Times New Roman" w:hAnsi="Times New Roman"/>
          <w:noProof/>
          <w:sz w:val="24"/>
          <w:szCs w:val="24"/>
        </w:rPr>
      </w:pPr>
      <w:r>
        <w:rPr>
          <w:rFonts w:ascii="Times New Roman" w:eastAsia="Times New Roman" w:hAnsi="Times New Roman"/>
          <w:noProof/>
          <w:sz w:val="24"/>
          <w:szCs w:val="24"/>
        </w:rPr>
        <w:t>c. l’obligation de respecter le principe consistant à «ne pas causer de préjudice important» (DNSH) énoncé dans les orientations techniques DNSH (2021/C58/01). En particulier, la politique de subvention exclut de l'éligibilité la liste suivante d'activités et d'actifs: (i) les activités et les actifs liés aux combustibles fossiles, y compris l’utilisation en aval</w:t>
      </w:r>
      <w:r>
        <w:rPr>
          <w:rStyle w:val="FootnoteReference"/>
          <w:rFonts w:ascii="Times New Roman" w:eastAsia="Times New Roman" w:hAnsi="Times New Roman"/>
          <w:noProof/>
          <w:sz w:val="24"/>
          <w:szCs w:val="24"/>
        </w:rPr>
        <w:footnoteReference w:id="2"/>
      </w:r>
      <w:r>
        <w:rPr>
          <w:rFonts w:ascii="Times New Roman" w:eastAsia="Times New Roman" w:hAnsi="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eastAsia="Times New Roman" w:hAnsi="Times New Roman"/>
          <w:noProof/>
          <w:sz w:val="24"/>
          <w:szCs w:val="24"/>
        </w:rPr>
        <w:footnoteReference w:id="3"/>
      </w:r>
      <w:r>
        <w:rPr>
          <w:rFonts w:ascii="Times New Roman" w:eastAsia="Times New Roman" w:hAnsi="Times New Roman"/>
          <w:noProof/>
          <w:sz w:val="24"/>
          <w:szCs w:val="24"/>
        </w:rPr>
        <w:t>, (iii) les activités et les actifs liés aux décharges de déchets, aux incinérateurs</w:t>
      </w:r>
      <w:r>
        <w:rPr>
          <w:rStyle w:val="FootnoteReference"/>
          <w:rFonts w:ascii="Times New Roman" w:eastAsia="Times New Roman" w:hAnsi="Times New Roman"/>
          <w:noProof/>
          <w:sz w:val="24"/>
          <w:szCs w:val="24"/>
        </w:rPr>
        <w:footnoteReference w:id="4"/>
      </w:r>
      <w:r>
        <w:rPr>
          <w:rFonts w:ascii="Times New Roman" w:eastAsia="Times New Roman" w:hAnsi="Times New Roman"/>
          <w:noProof/>
          <w:sz w:val="24"/>
          <w:szCs w:val="24"/>
        </w:rPr>
        <w:t xml:space="preserve"> et aux usines de traitement biologique mécanique</w:t>
      </w:r>
      <w:r>
        <w:rPr>
          <w:rStyle w:val="FootnoteReference"/>
          <w:rFonts w:ascii="Times New Roman" w:eastAsia="Times New Roman" w:hAnsi="Times New Roman"/>
          <w:noProof/>
          <w:sz w:val="24"/>
          <w:szCs w:val="24"/>
        </w:rPr>
        <w:footnoteReference w:id="5"/>
      </w:r>
      <w:r>
        <w:rPr>
          <w:rFonts w:ascii="Times New Roman" w:eastAsia="Times New Roman" w:hAnsi="Times New Roman"/>
          <w:noProof/>
          <w:sz w:val="24"/>
          <w:szCs w:val="24"/>
        </w:rPr>
        <w:t>.</w:t>
      </w:r>
    </w:p>
    <w:p w14:paraId="42FADFD5" w14:textId="77777777" w:rsidR="003D7F65" w:rsidRDefault="0082041E">
      <w:pPr>
        <w:spacing w:before="120" w:after="120" w:line="240" w:lineRule="auto"/>
        <w:ind w:left="284"/>
        <w:jc w:val="both"/>
        <w:rPr>
          <w:rFonts w:ascii="Times New Roman" w:eastAsia="Times New Roman" w:hAnsi="Times New Roman"/>
          <w:noProof/>
          <w:sz w:val="24"/>
          <w:szCs w:val="24"/>
        </w:rPr>
      </w:pPr>
      <w:r>
        <w:rPr>
          <w:rFonts w:ascii="Times New Roman" w:eastAsia="Times New Roman" w:hAnsi="Times New Roman"/>
          <w:noProof/>
          <w:sz w:val="24"/>
          <w:szCs w:val="24"/>
        </w:rPr>
        <w:t>d.</w:t>
      </w:r>
      <w:r>
        <w:rPr>
          <w:noProof/>
        </w:rPr>
        <w:t xml:space="preserve"> </w:t>
      </w:r>
      <w:r>
        <w:rPr>
          <w:rFonts w:ascii="Times New Roman" w:eastAsia="Times New Roman" w:hAnsi="Times New Roman"/>
          <w:noProof/>
          <w:sz w:val="24"/>
          <w:szCs w:val="24"/>
        </w:rPr>
        <w:t>L’exigence selon laquelle les bénéficiaires finaux du régime ne reçoivent pas d’aide d’autres instruments de l’Union pour couvrir le même coût.</w:t>
      </w:r>
    </w:p>
    <w:p w14:paraId="2D69CEAA" w14:textId="77777777" w:rsidR="003D7F65" w:rsidRDefault="0082041E">
      <w:pPr>
        <w:pStyle w:val="P68B1DB1-Normal4"/>
        <w:spacing w:before="120" w:after="120" w:line="240" w:lineRule="auto"/>
        <w:jc w:val="both"/>
        <w:rPr>
          <w:noProof/>
        </w:rPr>
      </w:pPr>
      <w:r>
        <w:rPr>
          <w:noProof/>
        </w:rPr>
        <w:t xml:space="preserve">3. Le montant couvert par l’accord de mise en œuvre, la structure des redevances pour le partenaire chargé de la mise en œuvre et l’obligation d’utiliser tout produit inutilisé du régime, y compris au-delà de 2026, aux mêmes fins stratégiques. </w:t>
      </w:r>
    </w:p>
    <w:p w14:paraId="4F2A12E5" w14:textId="052434C3" w:rsidR="003D7F65" w:rsidRDefault="0082041E">
      <w:pPr>
        <w:pStyle w:val="P68B1DB1-Normal4"/>
        <w:spacing w:before="120" w:after="120" w:line="240" w:lineRule="auto"/>
        <w:jc w:val="both"/>
        <w:rPr>
          <w:noProof/>
        </w:rPr>
      </w:pPr>
      <w:r>
        <w:rPr>
          <w:noProof/>
        </w:rPr>
        <w:t>4. Exigences en matière de surveillance, d'audit et de contrôle, y compris:</w:t>
      </w:r>
    </w:p>
    <w:p w14:paraId="1C23AB71" w14:textId="5908CB85" w:rsidR="003D7F65" w:rsidRDefault="0082041E">
      <w:pPr>
        <w:pStyle w:val="P68B1DB1-Normal4"/>
        <w:spacing w:before="120" w:after="120" w:line="240" w:lineRule="auto"/>
        <w:ind w:left="284"/>
        <w:jc w:val="both"/>
        <w:rPr>
          <w:noProof/>
        </w:rPr>
      </w:pPr>
      <w:r>
        <w:rPr>
          <w:noProof/>
        </w:rPr>
        <w:t>a. la description du système de suivi du partenaire chargé de la mise en œuvre pour rendre compte des subventions mobilisées.</w:t>
      </w:r>
    </w:p>
    <w:p w14:paraId="1F74D622" w14:textId="41748D60" w:rsidR="003D7F65" w:rsidRDefault="0082041E">
      <w:pPr>
        <w:pStyle w:val="P68B1DB1-Normal4"/>
        <w:spacing w:before="120" w:after="120" w:line="240" w:lineRule="auto"/>
        <w:ind w:left="284"/>
        <w:jc w:val="both"/>
        <w:rPr>
          <w:noProof/>
        </w:rPr>
      </w:pPr>
      <w:r>
        <w:rPr>
          <w:noProof/>
        </w:rPr>
        <w:t>b. la description des procédures du partenaire chargé de la mise en œuvre qui garantiront la prévention, la détection et la correction de la fraude, de la corruption et des conflits d’intérêts.</w:t>
      </w:r>
    </w:p>
    <w:p w14:paraId="6047A626" w14:textId="2F607078" w:rsidR="003D7F65" w:rsidRDefault="0082041E">
      <w:pPr>
        <w:pStyle w:val="P68B1DB1-Normal4"/>
        <w:spacing w:before="120" w:after="120" w:line="240" w:lineRule="auto"/>
        <w:ind w:left="284"/>
        <w:jc w:val="both"/>
        <w:rPr>
          <w:noProof/>
        </w:rPr>
      </w:pPr>
      <w:r>
        <w:rPr>
          <w:noProof/>
        </w:rPr>
        <w:t>c. l’obligation de vérifier l’éligibilité de chaque opération conformément aux exigences énoncées dans l’accord de mise en œuvre avant d’octroyer une subvention à une opération.</w:t>
      </w:r>
    </w:p>
    <w:p w14:paraId="37BDEACE" w14:textId="07D6266D" w:rsidR="003D7F65" w:rsidRDefault="0082041E">
      <w:pPr>
        <w:pStyle w:val="P68B1DB1-Normal4"/>
        <w:spacing w:before="120" w:after="120" w:line="240" w:lineRule="auto"/>
        <w:ind w:left="284"/>
        <w:jc w:val="both"/>
        <w:rPr>
          <w:noProof/>
        </w:rPr>
      </w:pPr>
      <w:r>
        <w:rPr>
          <w:noProof/>
        </w:rPr>
        <w:t>d. l’obligation de réaliser des audits ex post fondés sur les risques conformément à un plan d’audit de Business Finland. Ces audits vérifient:</w:t>
      </w:r>
    </w:p>
    <w:p w14:paraId="0BE5A300" w14:textId="51FD91FB" w:rsidR="003D7F65" w:rsidRDefault="0082041E">
      <w:pPr>
        <w:pStyle w:val="P68B1DB1-Normal4"/>
        <w:spacing w:before="120" w:after="120" w:line="240" w:lineRule="auto"/>
        <w:ind w:left="284"/>
        <w:jc w:val="both"/>
        <w:rPr>
          <w:noProof/>
        </w:rPr>
      </w:pPr>
      <w:r>
        <w:rPr>
          <w:noProof/>
        </w:rPr>
        <w:t>i) que les systèmes de contrôle sont efficaces, y compris la détection de la fraude, de la corruption et des conflits d'intérêts;</w:t>
      </w:r>
    </w:p>
    <w:p w14:paraId="03AAF964" w14:textId="2BFCA635" w:rsidR="003D7F65" w:rsidRDefault="0082041E">
      <w:pPr>
        <w:pStyle w:val="P68B1DB1-Normal4"/>
        <w:spacing w:before="120" w:after="120" w:line="240" w:lineRule="auto"/>
        <w:ind w:firstLine="284"/>
        <w:jc w:val="both"/>
        <w:rPr>
          <w:noProof/>
        </w:rPr>
      </w:pPr>
      <w:r>
        <w:rPr>
          <w:noProof/>
        </w:rPr>
        <w:t>ii) le respect du principe consistant à «ne pas causer de préjudice important», des règles en matière d’aides d’État et des exigences relatives aux objectifs climatiques; et</w:t>
      </w:r>
    </w:p>
    <w:p w14:paraId="512E2241" w14:textId="77777777" w:rsidR="003D7F65" w:rsidRDefault="0082041E">
      <w:pPr>
        <w:pStyle w:val="P68B1DB1-Normal4"/>
        <w:spacing w:before="120" w:after="120" w:line="240" w:lineRule="auto"/>
        <w:ind w:left="284"/>
        <w:jc w:val="both"/>
        <w:rPr>
          <w:noProof/>
        </w:rPr>
      </w:pPr>
      <w:r>
        <w:rPr>
          <w:noProof/>
        </w:rPr>
        <w:t>iii) que l'exigence selon laquelle les bénéficiaires finaux du régime n'ont pas reçu d'aide d'autres instruments de l'Union pour couvrir le même coût soit respectée. Les audits vérifient également la légalité des opérations et le respect des conditions de l’accord de mise en œuvre et des accords de subvention applicables.</w:t>
      </w:r>
    </w:p>
    <w:p w14:paraId="71E508E7" w14:textId="51D2554F" w:rsidR="003D7F65" w:rsidRDefault="0082041E">
      <w:pPr>
        <w:pStyle w:val="P68B1DB1-Normal3"/>
        <w:spacing w:before="120" w:after="120" w:line="240" w:lineRule="auto"/>
        <w:jc w:val="both"/>
        <w:rPr>
          <w:noProof/>
        </w:rPr>
      </w:pPr>
      <w:r>
        <w:rPr>
          <w:noProof/>
        </w:rPr>
        <w:t>5. Exigences applicables aux investissements climatiques réalisés par le partenaire chargé de la mise en œuvre: au moins 131 534 000 EUR de l’investissement de la FRR dans le régime contribuent aux objectifs en matière de changement climatique conformément à l’annexe VI du règlement FRR.</w:t>
      </w:r>
    </w:p>
    <w:p w14:paraId="7A937855" w14:textId="77777777" w:rsidR="003D7F65" w:rsidRDefault="003D7F65">
      <w:pPr>
        <w:spacing w:before="120" w:after="120" w:line="240" w:lineRule="auto"/>
        <w:jc w:val="both"/>
        <w:rPr>
          <w:rFonts w:ascii="Times New Roman" w:hAnsi="Times New Roman"/>
          <w:noProof/>
          <w:sz w:val="24"/>
          <w:szCs w:val="24"/>
        </w:rPr>
      </w:pPr>
    </w:p>
    <w:p w14:paraId="067C3CCF" w14:textId="77777777" w:rsidR="003D7F65" w:rsidRDefault="0082041E">
      <w:pPr>
        <w:pStyle w:val="P68B1DB1-Normal6"/>
        <w:spacing w:before="120" w:after="120" w:line="240" w:lineRule="auto"/>
        <w:jc w:val="both"/>
        <w:rPr>
          <w:noProof/>
        </w:rPr>
      </w:pPr>
      <w:r>
        <w:rPr>
          <w:noProof/>
        </w:rPr>
        <w:t>Investissement 2 (P1C2I2): Électrification directe et décarbonation des processus industriels</w:t>
      </w:r>
    </w:p>
    <w:p w14:paraId="67358246" w14:textId="16810D68" w:rsidR="003D7F65" w:rsidRDefault="0082041E">
      <w:pPr>
        <w:pStyle w:val="P68B1DB1-Normal3"/>
        <w:spacing w:before="120" w:after="120" w:line="240" w:lineRule="auto"/>
        <w:jc w:val="both"/>
        <w:rPr>
          <w:noProof/>
          <w:u w:val="single"/>
        </w:rPr>
      </w:pPr>
      <w:r>
        <w:rPr>
          <w:noProof/>
        </w:rPr>
        <w:t>L’objectif de cette mesure est de soutenir les investissements dans l’électrification directe et les procédés industriels à faible intensité de carbone en Finlande. Cette mesure consiste en l'octroi de subventions à des projets visant à accroître l'électrification de l'industrie.</w:t>
      </w:r>
    </w:p>
    <w:p w14:paraId="0AD3B6A9" w14:textId="77777777" w:rsidR="003D7F65" w:rsidRDefault="0082041E">
      <w:pPr>
        <w:pStyle w:val="P68B1DB1-Normal6"/>
        <w:spacing w:before="120" w:after="120" w:line="240" w:lineRule="auto"/>
        <w:jc w:val="both"/>
        <w:rPr>
          <w:noProof/>
        </w:rPr>
      </w:pPr>
      <w:r>
        <w:rPr>
          <w:noProof/>
        </w:rPr>
        <w:t>Investissement 3 (P1C2I3): Réutilisation et recyclage des matériaux clés et des flux secondaires industriels</w:t>
      </w:r>
    </w:p>
    <w:p w14:paraId="77133534" w14:textId="77777777" w:rsidR="003D7F65" w:rsidRDefault="0082041E">
      <w:pPr>
        <w:pStyle w:val="P68B1DB1-Normal3"/>
        <w:spacing w:before="120" w:after="120" w:line="240" w:lineRule="auto"/>
        <w:rPr>
          <w:noProof/>
        </w:rPr>
        <w:sectPr w:rsidR="003D7F65" w:rsidSect="00A7081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rPr>
        <w:t xml:space="preserve">L’objectif de cette mesure est de soutenir les investissements dans le réemploi et le recyclage en Finlande. Cet investissement consiste en l'octroi de subventions pour des projets qui augmentent la réutilisation et le recyclage. </w:t>
      </w:r>
    </w:p>
    <w:p w14:paraId="36ECF47E" w14:textId="77777777" w:rsidR="003D7F65" w:rsidRDefault="0082041E">
      <w:pPr>
        <w:pStyle w:val="P68B1DB1-Normal5"/>
        <w:spacing w:before="120" w:after="120" w:line="240" w:lineRule="auto"/>
        <w:jc w:val="both"/>
        <w:rPr>
          <w:noProof/>
        </w:rPr>
      </w:pPr>
      <w:r>
        <w:rPr>
          <w:noProof/>
        </w:rPr>
        <w:t xml:space="preserve">B.2. </w:t>
      </w:r>
      <w:r>
        <w:rPr>
          <w:noProof/>
        </w:rPr>
        <w:tab/>
        <w:t xml:space="preserve">Étapes, cibles, indicateurs et calendrier pour le suivi et la mise en œuvre du soutien financier non remboursable </w:t>
      </w:r>
    </w:p>
    <w:tbl>
      <w:tblPr>
        <w:tblW w:w="14561" w:type="dxa"/>
        <w:tblCellMar>
          <w:left w:w="28" w:type="dxa"/>
          <w:right w:w="28" w:type="dxa"/>
        </w:tblCellMar>
        <w:tblLook w:val="04A0" w:firstRow="1" w:lastRow="0" w:firstColumn="1" w:lastColumn="0" w:noHBand="0" w:noVBand="1"/>
      </w:tblPr>
      <w:tblGrid>
        <w:gridCol w:w="845"/>
        <w:gridCol w:w="1528"/>
        <w:gridCol w:w="1097"/>
        <w:gridCol w:w="1400"/>
        <w:gridCol w:w="1222"/>
        <w:gridCol w:w="1045"/>
        <w:gridCol w:w="1059"/>
        <w:gridCol w:w="870"/>
        <w:gridCol w:w="1145"/>
        <w:gridCol w:w="2110"/>
        <w:gridCol w:w="2240"/>
      </w:tblGrid>
      <w:tr w:rsidR="005D5FEB" w14:paraId="070A5B1E" w14:textId="77777777" w:rsidTr="005D5FEB">
        <w:trPr>
          <w:trHeight w:val="927"/>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247829" w14:textId="77777777" w:rsidR="003D7F65" w:rsidRDefault="0082041E">
            <w:pPr>
              <w:pStyle w:val="P68B1DB1-Normal7"/>
              <w:spacing w:after="0" w:line="240" w:lineRule="auto"/>
              <w:jc w:val="center"/>
              <w:rPr>
                <w:noProof/>
              </w:rPr>
            </w:pPr>
            <w:r>
              <w:rPr>
                <w:noProof/>
              </w:rPr>
              <w:t>Numéro</w:t>
            </w:r>
          </w:p>
        </w:tc>
        <w:tc>
          <w:tcPr>
            <w:tcW w:w="15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228833" w14:textId="77777777" w:rsidR="003D7F65" w:rsidRDefault="0082041E">
            <w:pPr>
              <w:pStyle w:val="P68B1DB1-Normal7"/>
              <w:spacing w:after="0" w:line="240" w:lineRule="auto"/>
              <w:jc w:val="center"/>
              <w:rPr>
                <w:noProof/>
              </w:rPr>
            </w:pPr>
            <w:r>
              <w:rPr>
                <w:noProof/>
              </w:rPr>
              <w:t>Mesure</w:t>
            </w:r>
          </w:p>
        </w:tc>
        <w:tc>
          <w:tcPr>
            <w:tcW w:w="10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CFD50E" w14:textId="77777777" w:rsidR="003D7F65" w:rsidRDefault="0082041E">
            <w:pPr>
              <w:pStyle w:val="P68B1DB1-Normal7"/>
              <w:spacing w:after="0" w:line="240" w:lineRule="auto"/>
              <w:jc w:val="center"/>
              <w:rPr>
                <w:noProof/>
              </w:rPr>
            </w:pPr>
            <w:r>
              <w:rPr>
                <w:noProof/>
              </w:rPr>
              <w:t>Étape/cible</w:t>
            </w:r>
          </w:p>
        </w:tc>
        <w:tc>
          <w:tcPr>
            <w:tcW w:w="13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2D73B3" w14:textId="77777777" w:rsidR="003D7F65" w:rsidRDefault="0082041E">
            <w:pPr>
              <w:pStyle w:val="P68B1DB1-Normal7"/>
              <w:spacing w:after="0" w:line="240" w:lineRule="auto"/>
              <w:jc w:val="center"/>
              <w:rPr>
                <w:noProof/>
              </w:rPr>
            </w:pPr>
            <w:r>
              <w:rPr>
                <w:noProof/>
              </w:rPr>
              <w:t>Nom</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BC4603" w14:textId="77777777" w:rsidR="003D7F65" w:rsidRDefault="0082041E">
            <w:pPr>
              <w:pStyle w:val="P68B1DB1-Normal7"/>
              <w:spacing w:after="0" w:line="240" w:lineRule="auto"/>
              <w:jc w:val="center"/>
              <w:rPr>
                <w:bCs/>
                <w:noProof/>
              </w:rPr>
            </w:pPr>
            <w:r>
              <w:rPr>
                <w:noProof/>
              </w:rPr>
              <w:t>Indicateurs qualitatifs (pour les jalons)</w:t>
            </w:r>
          </w:p>
        </w:tc>
        <w:tc>
          <w:tcPr>
            <w:tcW w:w="29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D6AC79" w14:textId="77777777" w:rsidR="003D7F65" w:rsidRDefault="0082041E">
            <w:pPr>
              <w:pStyle w:val="P68B1DB1-Normal7"/>
              <w:spacing w:after="0" w:line="240" w:lineRule="auto"/>
              <w:jc w:val="center"/>
              <w:rPr>
                <w:bCs/>
                <w:noProof/>
              </w:rPr>
            </w:pPr>
            <w:r>
              <w:rPr>
                <w:noProof/>
              </w:rPr>
              <w:t>Indicateurs quantitatifs (pour les objectifs)</w:t>
            </w:r>
          </w:p>
        </w:tc>
        <w:tc>
          <w:tcPr>
            <w:tcW w:w="3256" w:type="dxa"/>
            <w:gridSpan w:val="2"/>
            <w:tcBorders>
              <w:top w:val="single" w:sz="4" w:space="0" w:color="auto"/>
              <w:left w:val="nil"/>
              <w:bottom w:val="single" w:sz="4" w:space="0" w:color="auto"/>
              <w:right w:val="single" w:sz="4" w:space="0" w:color="auto"/>
            </w:tcBorders>
            <w:shd w:val="clear" w:color="auto" w:fill="BDD7EE"/>
            <w:vAlign w:val="center"/>
            <w:hideMark/>
          </w:tcPr>
          <w:p w14:paraId="0BA34719" w14:textId="77777777" w:rsidR="003D7F65" w:rsidRDefault="0082041E">
            <w:pPr>
              <w:pStyle w:val="P68B1DB1-Normal7"/>
              <w:spacing w:after="0" w:line="240" w:lineRule="auto"/>
              <w:jc w:val="center"/>
              <w:rPr>
                <w:bCs/>
                <w:noProof/>
              </w:rPr>
            </w:pPr>
            <w:r>
              <w:rPr>
                <w:noProof/>
              </w:rPr>
              <w:t xml:space="preserve">Calendrier indicatif d'achèvement </w:t>
            </w:r>
          </w:p>
        </w:tc>
        <w:tc>
          <w:tcPr>
            <w:tcW w:w="22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EB32D9" w14:textId="77777777" w:rsidR="003D7F65" w:rsidRDefault="0082041E">
            <w:pPr>
              <w:pStyle w:val="P68B1DB1-Normal7"/>
              <w:spacing w:after="0" w:line="240" w:lineRule="auto"/>
              <w:jc w:val="center"/>
              <w:rPr>
                <w:noProof/>
              </w:rPr>
            </w:pPr>
            <w:r>
              <w:rPr>
                <w:noProof/>
              </w:rPr>
              <w:t>Description de chaque jalon et cible</w:t>
            </w:r>
          </w:p>
        </w:tc>
      </w:tr>
      <w:tr w:rsidR="005D5FEB" w14:paraId="11630205" w14:textId="77777777" w:rsidTr="005D5FEB">
        <w:trPr>
          <w:trHeight w:val="470"/>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3564ECA" w14:textId="77777777" w:rsidR="003D7F65" w:rsidRDefault="003D7F65">
            <w:pPr>
              <w:spacing w:after="0" w:line="240" w:lineRule="auto"/>
              <w:rPr>
                <w:rFonts w:ascii="Times New Roman" w:eastAsia="Times New Roman" w:hAnsi="Times New Roman"/>
                <w:b/>
                <w:noProof/>
                <w:sz w:val="20"/>
                <w:szCs w:val="20"/>
              </w:rPr>
            </w:pPr>
          </w:p>
        </w:tc>
        <w:tc>
          <w:tcPr>
            <w:tcW w:w="1529" w:type="dxa"/>
            <w:vMerge/>
            <w:tcBorders>
              <w:top w:val="single" w:sz="4" w:space="0" w:color="auto"/>
              <w:left w:val="single" w:sz="4" w:space="0" w:color="auto"/>
              <w:bottom w:val="single" w:sz="4" w:space="0" w:color="auto"/>
              <w:right w:val="single" w:sz="4" w:space="0" w:color="auto"/>
            </w:tcBorders>
            <w:vAlign w:val="center"/>
            <w:hideMark/>
          </w:tcPr>
          <w:p w14:paraId="11195A67" w14:textId="77777777" w:rsidR="003D7F65" w:rsidRDefault="003D7F65">
            <w:pPr>
              <w:spacing w:after="0" w:line="240" w:lineRule="auto"/>
              <w:rPr>
                <w:rFonts w:ascii="Times New Roman" w:eastAsia="Times New Roman" w:hAnsi="Times New Roman"/>
                <w:b/>
                <w:noProof/>
                <w:sz w:val="20"/>
                <w:szCs w:val="20"/>
              </w:rPr>
            </w:pPr>
          </w:p>
        </w:tc>
        <w:tc>
          <w:tcPr>
            <w:tcW w:w="1097" w:type="dxa"/>
            <w:vMerge/>
            <w:tcBorders>
              <w:top w:val="single" w:sz="4" w:space="0" w:color="auto"/>
              <w:left w:val="single" w:sz="4" w:space="0" w:color="auto"/>
              <w:bottom w:val="single" w:sz="4" w:space="0" w:color="auto"/>
              <w:right w:val="single" w:sz="4" w:space="0" w:color="auto"/>
            </w:tcBorders>
            <w:vAlign w:val="center"/>
            <w:hideMark/>
          </w:tcPr>
          <w:p w14:paraId="14ADCBAE" w14:textId="77777777" w:rsidR="003D7F65" w:rsidRDefault="003D7F65">
            <w:pPr>
              <w:spacing w:after="0" w:line="240" w:lineRule="auto"/>
              <w:rPr>
                <w:rFonts w:ascii="Times New Roman" w:eastAsia="Times New Roman" w:hAnsi="Times New Roman"/>
                <w:b/>
                <w:noProof/>
                <w:sz w:val="20"/>
                <w:szCs w:val="20"/>
              </w:rPr>
            </w:pPr>
          </w:p>
        </w:tc>
        <w:tc>
          <w:tcPr>
            <w:tcW w:w="1399" w:type="dxa"/>
            <w:vMerge/>
            <w:tcBorders>
              <w:top w:val="single" w:sz="4" w:space="0" w:color="auto"/>
              <w:left w:val="single" w:sz="4" w:space="0" w:color="auto"/>
              <w:bottom w:val="single" w:sz="4" w:space="0" w:color="auto"/>
              <w:right w:val="single" w:sz="4" w:space="0" w:color="auto"/>
            </w:tcBorders>
            <w:vAlign w:val="center"/>
            <w:hideMark/>
          </w:tcPr>
          <w:p w14:paraId="6A6B96C5" w14:textId="77777777" w:rsidR="003D7F65" w:rsidRDefault="003D7F65">
            <w:pPr>
              <w:spacing w:after="0" w:line="240" w:lineRule="auto"/>
              <w:rPr>
                <w:rFonts w:ascii="Times New Roman" w:eastAsia="Times New Roman" w:hAnsi="Times New Roman"/>
                <w:b/>
                <w:noProof/>
                <w:sz w:val="20"/>
                <w:szCs w:val="20"/>
              </w:rPr>
            </w:pPr>
          </w:p>
        </w:tc>
        <w:tc>
          <w:tcPr>
            <w:tcW w:w="1221" w:type="dxa"/>
            <w:vMerge/>
            <w:tcBorders>
              <w:left w:val="single" w:sz="4" w:space="0" w:color="auto"/>
            </w:tcBorders>
            <w:vAlign w:val="center"/>
            <w:hideMark/>
          </w:tcPr>
          <w:p w14:paraId="3C83E520" w14:textId="77777777" w:rsidR="003D7F65" w:rsidRDefault="003D7F65">
            <w:pPr>
              <w:spacing w:after="0" w:line="240" w:lineRule="auto"/>
              <w:rPr>
                <w:rFonts w:ascii="Times New Roman" w:eastAsia="Times New Roman" w:hAnsi="Times New Roman"/>
                <w:b/>
                <w:noProof/>
                <w:sz w:val="20"/>
                <w:szCs w:val="20"/>
              </w:rPr>
            </w:pPr>
          </w:p>
        </w:tc>
        <w:tc>
          <w:tcPr>
            <w:tcW w:w="104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AF9C322" w14:textId="77777777" w:rsidR="003D7F65" w:rsidRDefault="0082041E">
            <w:pPr>
              <w:pStyle w:val="P68B1DB1-Normal7"/>
              <w:spacing w:after="0" w:line="240" w:lineRule="auto"/>
              <w:jc w:val="center"/>
              <w:rPr>
                <w:noProof/>
              </w:rPr>
            </w:pPr>
            <w:r>
              <w:rPr>
                <w:noProof/>
              </w:rPr>
              <w:t>Unité</w:t>
            </w:r>
          </w:p>
        </w:tc>
        <w:tc>
          <w:tcPr>
            <w:tcW w:w="10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ABFC645" w14:textId="77777777" w:rsidR="003D7F65" w:rsidRDefault="0082041E">
            <w:pPr>
              <w:pStyle w:val="P68B1DB1-Normal7"/>
              <w:spacing w:after="0" w:line="240" w:lineRule="auto"/>
              <w:jc w:val="center"/>
              <w:rPr>
                <w:bCs/>
                <w:noProof/>
              </w:rPr>
            </w:pPr>
            <w:r>
              <w:rPr>
                <w:noProof/>
              </w:rPr>
              <w:t xml:space="preserve">Données de référence </w:t>
            </w:r>
          </w:p>
        </w:tc>
        <w:tc>
          <w:tcPr>
            <w:tcW w:w="87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261384" w14:textId="77777777" w:rsidR="003D7F65" w:rsidRDefault="0082041E">
            <w:pPr>
              <w:pStyle w:val="P68B1DB1-Normal7"/>
              <w:spacing w:after="0" w:line="240" w:lineRule="auto"/>
              <w:jc w:val="center"/>
              <w:rPr>
                <w:noProof/>
              </w:rPr>
            </w:pPr>
            <w:r>
              <w:rPr>
                <w:noProof/>
              </w:rPr>
              <w:t xml:space="preserve">Objectif </w:t>
            </w:r>
          </w:p>
        </w:tc>
        <w:tc>
          <w:tcPr>
            <w:tcW w:w="11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1C78F9C" w14:textId="77777777" w:rsidR="003D7F65" w:rsidRDefault="0082041E">
            <w:pPr>
              <w:pStyle w:val="P68B1DB1-Normal7"/>
              <w:spacing w:after="0" w:line="240" w:lineRule="auto"/>
              <w:jc w:val="center"/>
              <w:rPr>
                <w:noProof/>
              </w:rPr>
            </w:pPr>
            <w:r>
              <w:rPr>
                <w:noProof/>
              </w:rPr>
              <w:t>Trimestre</w:t>
            </w:r>
          </w:p>
        </w:tc>
        <w:tc>
          <w:tcPr>
            <w:tcW w:w="21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DD39A6" w14:textId="77777777" w:rsidR="003D7F65" w:rsidRDefault="0082041E">
            <w:pPr>
              <w:pStyle w:val="P68B1DB1-Normal7"/>
              <w:spacing w:after="0" w:line="240" w:lineRule="auto"/>
              <w:jc w:val="center"/>
              <w:rPr>
                <w:noProof/>
              </w:rPr>
            </w:pPr>
            <w:r>
              <w:rPr>
                <w:noProof/>
              </w:rPr>
              <w:t>Année</w:t>
            </w:r>
          </w:p>
        </w:tc>
        <w:tc>
          <w:tcPr>
            <w:tcW w:w="2241" w:type="dxa"/>
            <w:vMerge/>
            <w:tcBorders>
              <w:top w:val="single" w:sz="4" w:space="0" w:color="auto"/>
              <w:bottom w:val="single" w:sz="4" w:space="0" w:color="auto"/>
              <w:right w:val="single" w:sz="4" w:space="0" w:color="auto"/>
            </w:tcBorders>
            <w:vAlign w:val="center"/>
            <w:hideMark/>
          </w:tcPr>
          <w:p w14:paraId="24F97750" w14:textId="77777777" w:rsidR="003D7F65" w:rsidRDefault="003D7F65">
            <w:pPr>
              <w:spacing w:after="0" w:line="240" w:lineRule="auto"/>
              <w:rPr>
                <w:rFonts w:ascii="Times New Roman" w:eastAsia="Times New Roman" w:hAnsi="Times New Roman"/>
                <w:b/>
                <w:noProof/>
                <w:sz w:val="20"/>
                <w:szCs w:val="20"/>
              </w:rPr>
            </w:pPr>
          </w:p>
        </w:tc>
      </w:tr>
      <w:tr w:rsidR="005D5FEB" w14:paraId="13625710" w14:textId="77777777" w:rsidTr="005D5FEB">
        <w:trPr>
          <w:trHeight w:val="308"/>
        </w:trPr>
        <w:tc>
          <w:tcPr>
            <w:tcW w:w="846" w:type="dxa"/>
            <w:tcBorders>
              <w:top w:val="single" w:sz="4" w:space="0" w:color="auto"/>
              <w:left w:val="single" w:sz="4" w:space="0" w:color="auto"/>
              <w:bottom w:val="single" w:sz="4" w:space="0" w:color="auto"/>
              <w:right w:val="single" w:sz="4" w:space="0" w:color="auto"/>
            </w:tcBorders>
            <w:shd w:val="clear" w:color="auto" w:fill="C6EFCE"/>
            <w:noWrap/>
            <w:hideMark/>
          </w:tcPr>
          <w:p w14:paraId="1E513802" w14:textId="77777777" w:rsidR="003D7F65" w:rsidRDefault="0082041E">
            <w:pPr>
              <w:pStyle w:val="P68B1DB1-Normal8"/>
              <w:spacing w:after="0" w:line="240" w:lineRule="auto"/>
              <w:jc w:val="center"/>
              <w:rPr>
                <w:rFonts w:eastAsia="Times New Roman"/>
                <w:noProof/>
              </w:rPr>
            </w:pPr>
            <w:r>
              <w:rPr>
                <w:noProof/>
              </w:rPr>
              <w:t>11</w:t>
            </w:r>
          </w:p>
        </w:tc>
        <w:tc>
          <w:tcPr>
            <w:tcW w:w="1529" w:type="dxa"/>
            <w:tcBorders>
              <w:top w:val="single" w:sz="4" w:space="0" w:color="auto"/>
              <w:left w:val="nil"/>
              <w:bottom w:val="single" w:sz="4" w:space="0" w:color="auto"/>
              <w:right w:val="single" w:sz="4" w:space="0" w:color="auto"/>
            </w:tcBorders>
            <w:shd w:val="clear" w:color="auto" w:fill="C6EFCE"/>
            <w:noWrap/>
            <w:hideMark/>
          </w:tcPr>
          <w:p w14:paraId="2CDE756D" w14:textId="77777777" w:rsidR="003D7F65" w:rsidRDefault="0082041E">
            <w:pPr>
              <w:pStyle w:val="P68B1DB1-Normal8"/>
              <w:spacing w:after="0" w:line="240" w:lineRule="auto"/>
              <w:rPr>
                <w:rFonts w:eastAsia="Times New Roman"/>
                <w:noProof/>
              </w:rPr>
            </w:pPr>
            <w:r>
              <w:rPr>
                <w:noProof/>
              </w:rPr>
              <w:t>P1C2R1 – Réformes industrielles et investissements soutenant la transition écologique et numérique – Réforme de la législation sur le climat et industrialisation à faible intensité de carbone</w:t>
            </w:r>
          </w:p>
        </w:tc>
        <w:tc>
          <w:tcPr>
            <w:tcW w:w="1097" w:type="dxa"/>
            <w:tcBorders>
              <w:top w:val="single" w:sz="4" w:space="0" w:color="auto"/>
              <w:left w:val="nil"/>
              <w:bottom w:val="single" w:sz="4" w:space="0" w:color="auto"/>
              <w:right w:val="single" w:sz="4" w:space="0" w:color="auto"/>
            </w:tcBorders>
            <w:shd w:val="clear" w:color="auto" w:fill="C6EFCE"/>
            <w:noWrap/>
            <w:hideMark/>
          </w:tcPr>
          <w:p w14:paraId="6D4BA21F"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single" w:sz="4" w:space="0" w:color="auto"/>
              <w:left w:val="nil"/>
              <w:bottom w:val="single" w:sz="4" w:space="0" w:color="auto"/>
              <w:right w:val="single" w:sz="4" w:space="0" w:color="auto"/>
            </w:tcBorders>
            <w:shd w:val="clear" w:color="auto" w:fill="C6EFCE"/>
            <w:noWrap/>
            <w:hideMark/>
          </w:tcPr>
          <w:p w14:paraId="09978310" w14:textId="6FEC1390" w:rsidR="003D7F65" w:rsidRDefault="0082041E">
            <w:pPr>
              <w:pStyle w:val="P68B1DB1-Normal8"/>
              <w:spacing w:after="0" w:line="240" w:lineRule="auto"/>
              <w:rPr>
                <w:rFonts w:eastAsia="Times New Roman"/>
                <w:noProof/>
              </w:rPr>
            </w:pPr>
            <w:r>
              <w:rPr>
                <w:noProof/>
              </w:rPr>
              <w:t>Entrée en vigueur de la loi révisée sur le climat</w:t>
            </w:r>
          </w:p>
        </w:tc>
        <w:tc>
          <w:tcPr>
            <w:tcW w:w="1221" w:type="dxa"/>
            <w:tcBorders>
              <w:top w:val="single" w:sz="4" w:space="0" w:color="auto"/>
              <w:left w:val="nil"/>
              <w:bottom w:val="single" w:sz="4" w:space="0" w:color="auto"/>
              <w:right w:val="single" w:sz="4" w:space="0" w:color="auto"/>
            </w:tcBorders>
            <w:shd w:val="clear" w:color="auto" w:fill="C6EFCE"/>
            <w:noWrap/>
            <w:hideMark/>
          </w:tcPr>
          <w:p w14:paraId="148BC3C6" w14:textId="77777777" w:rsidR="003D7F65" w:rsidRDefault="0082041E">
            <w:pPr>
              <w:pStyle w:val="P68B1DB1-Normal8"/>
              <w:spacing w:after="0" w:line="240" w:lineRule="auto"/>
              <w:rPr>
                <w:rFonts w:eastAsia="Times New Roman"/>
                <w:noProof/>
              </w:rPr>
            </w:pPr>
            <w:r>
              <w:rPr>
                <w:noProof/>
              </w:rPr>
              <w:t>Disposition de la loi indiquant l'entrée en vigueur de la loi</w:t>
            </w:r>
          </w:p>
        </w:tc>
        <w:tc>
          <w:tcPr>
            <w:tcW w:w="1043" w:type="dxa"/>
            <w:tcBorders>
              <w:top w:val="single" w:sz="4" w:space="0" w:color="auto"/>
              <w:left w:val="nil"/>
              <w:bottom w:val="single" w:sz="4" w:space="0" w:color="auto"/>
              <w:right w:val="single" w:sz="4" w:space="0" w:color="auto"/>
            </w:tcBorders>
            <w:shd w:val="clear" w:color="auto" w:fill="C6EFCE"/>
            <w:noWrap/>
            <w:hideMark/>
          </w:tcPr>
          <w:p w14:paraId="50E236EE" w14:textId="77777777" w:rsidR="003D7F65" w:rsidRDefault="0082041E">
            <w:pPr>
              <w:pStyle w:val="P68B1DB1-Normal8"/>
              <w:spacing w:after="0" w:line="240" w:lineRule="auto"/>
              <w:rPr>
                <w:rFonts w:eastAsia="Times New Roman"/>
                <w:noProof/>
              </w:rPr>
            </w:pPr>
            <w:r>
              <w:rPr>
                <w:noProof/>
              </w:rPr>
              <w:t> </w:t>
            </w:r>
          </w:p>
        </w:tc>
        <w:tc>
          <w:tcPr>
            <w:tcW w:w="1059" w:type="dxa"/>
            <w:tcBorders>
              <w:top w:val="single" w:sz="4" w:space="0" w:color="auto"/>
              <w:left w:val="nil"/>
              <w:bottom w:val="single" w:sz="4" w:space="0" w:color="auto"/>
              <w:right w:val="single" w:sz="4" w:space="0" w:color="auto"/>
            </w:tcBorders>
            <w:shd w:val="clear" w:color="auto" w:fill="C6EFCE"/>
            <w:noWrap/>
            <w:hideMark/>
          </w:tcPr>
          <w:p w14:paraId="1162248D" w14:textId="77777777" w:rsidR="003D7F65" w:rsidRDefault="0082041E">
            <w:pPr>
              <w:pStyle w:val="P68B1DB1-Normal8"/>
              <w:spacing w:after="0" w:line="240" w:lineRule="auto"/>
              <w:rPr>
                <w:rFonts w:eastAsia="Times New Roman"/>
                <w:noProof/>
              </w:rPr>
            </w:pPr>
            <w:r>
              <w:rPr>
                <w:noProof/>
              </w:rPr>
              <w:t> </w:t>
            </w:r>
          </w:p>
        </w:tc>
        <w:tc>
          <w:tcPr>
            <w:tcW w:w="870" w:type="dxa"/>
            <w:tcBorders>
              <w:top w:val="single" w:sz="4" w:space="0" w:color="auto"/>
              <w:left w:val="nil"/>
              <w:bottom w:val="single" w:sz="4" w:space="0" w:color="auto"/>
              <w:right w:val="single" w:sz="4" w:space="0" w:color="auto"/>
            </w:tcBorders>
            <w:shd w:val="clear" w:color="auto" w:fill="C6EFCE"/>
            <w:noWrap/>
            <w:hideMark/>
          </w:tcPr>
          <w:p w14:paraId="7D20F1C3" w14:textId="77777777" w:rsidR="003D7F65" w:rsidRDefault="0082041E">
            <w:pPr>
              <w:pStyle w:val="P68B1DB1-Normal8"/>
              <w:spacing w:after="0" w:line="240" w:lineRule="auto"/>
              <w:rPr>
                <w:rFonts w:eastAsia="Times New Roman"/>
                <w:noProof/>
              </w:rPr>
            </w:pPr>
            <w:r>
              <w:rPr>
                <w:noProof/>
              </w:rPr>
              <w:t> </w:t>
            </w:r>
          </w:p>
        </w:tc>
        <w:tc>
          <w:tcPr>
            <w:tcW w:w="1145" w:type="dxa"/>
            <w:tcBorders>
              <w:top w:val="single" w:sz="4" w:space="0" w:color="auto"/>
              <w:left w:val="nil"/>
              <w:bottom w:val="single" w:sz="4" w:space="0" w:color="auto"/>
              <w:right w:val="single" w:sz="4" w:space="0" w:color="auto"/>
            </w:tcBorders>
            <w:shd w:val="clear" w:color="auto" w:fill="C6EFCE"/>
            <w:noWrap/>
            <w:hideMark/>
          </w:tcPr>
          <w:p w14:paraId="73E7BD0C" w14:textId="77777777" w:rsidR="003D7F65" w:rsidRDefault="0082041E">
            <w:pPr>
              <w:pStyle w:val="P68B1DB1-Normal8"/>
              <w:spacing w:after="0" w:line="240" w:lineRule="auto"/>
              <w:rPr>
                <w:rFonts w:eastAsia="Times New Roman"/>
                <w:noProof/>
              </w:rPr>
            </w:pPr>
            <w:r>
              <w:rPr>
                <w:noProof/>
              </w:rPr>
              <w:t>T2</w:t>
            </w:r>
          </w:p>
        </w:tc>
        <w:tc>
          <w:tcPr>
            <w:tcW w:w="2111" w:type="dxa"/>
            <w:tcBorders>
              <w:top w:val="single" w:sz="4" w:space="0" w:color="auto"/>
              <w:left w:val="nil"/>
              <w:bottom w:val="single" w:sz="4" w:space="0" w:color="auto"/>
              <w:right w:val="single" w:sz="4" w:space="0" w:color="auto"/>
            </w:tcBorders>
            <w:shd w:val="clear" w:color="auto" w:fill="C6EFCE"/>
            <w:noWrap/>
            <w:hideMark/>
          </w:tcPr>
          <w:p w14:paraId="1C4C7544" w14:textId="77777777" w:rsidR="003D7F65" w:rsidRDefault="0082041E">
            <w:pPr>
              <w:pStyle w:val="P68B1DB1-Normal8"/>
              <w:spacing w:after="0" w:line="240" w:lineRule="auto"/>
              <w:rPr>
                <w:rFonts w:eastAsia="Times New Roman"/>
                <w:noProof/>
              </w:rPr>
            </w:pPr>
            <w:r>
              <w:rPr>
                <w:noProof/>
              </w:rPr>
              <w:t>2022</w:t>
            </w:r>
          </w:p>
        </w:tc>
        <w:tc>
          <w:tcPr>
            <w:tcW w:w="2241" w:type="dxa"/>
            <w:tcBorders>
              <w:top w:val="single" w:sz="4" w:space="0" w:color="auto"/>
              <w:left w:val="nil"/>
              <w:bottom w:val="single" w:sz="4" w:space="0" w:color="auto"/>
              <w:right w:val="single" w:sz="4" w:space="0" w:color="auto"/>
            </w:tcBorders>
            <w:shd w:val="clear" w:color="auto" w:fill="C6EFCE"/>
            <w:noWrap/>
            <w:hideMark/>
          </w:tcPr>
          <w:p w14:paraId="3C3B6794" w14:textId="77777777" w:rsidR="003D7F65" w:rsidRDefault="0082041E">
            <w:pPr>
              <w:pStyle w:val="P68B1DB1-Normal8"/>
              <w:spacing w:after="0" w:line="240" w:lineRule="auto"/>
              <w:rPr>
                <w:noProof/>
              </w:rPr>
            </w:pPr>
            <w:r>
              <w:rPr>
                <w:noProof/>
              </w:rPr>
              <w:t>La modification de la loi sur le climat comprend:</w:t>
            </w:r>
          </w:p>
          <w:p w14:paraId="4E01633E" w14:textId="77777777" w:rsidR="003D7F65" w:rsidRDefault="0082041E">
            <w:pPr>
              <w:pStyle w:val="P68B1DB1-Normal8"/>
              <w:spacing w:after="0" w:line="240" w:lineRule="auto"/>
              <w:rPr>
                <w:noProof/>
              </w:rPr>
            </w:pPr>
            <w:r>
              <w:rPr>
                <w:noProof/>
              </w:rPr>
              <w:t>- objectifs de réduction des émissions pour 2030 et 2040 conformément à la trajectoire de neutralité carbone</w:t>
            </w:r>
          </w:p>
          <w:p w14:paraId="2649307E" w14:textId="77777777" w:rsidR="003D7F65" w:rsidRDefault="0082041E">
            <w:pPr>
              <w:pStyle w:val="P68B1DB1-Normal8"/>
              <w:spacing w:after="0" w:line="240" w:lineRule="auto"/>
              <w:rPr>
                <w:noProof/>
              </w:rPr>
            </w:pPr>
            <w:r>
              <w:rPr>
                <w:noProof/>
              </w:rPr>
              <w:t>- objectifs actualisés pour 2050</w:t>
            </w:r>
          </w:p>
          <w:p w14:paraId="60D62BFC" w14:textId="55D21599" w:rsidR="003D7F65" w:rsidRDefault="0082041E">
            <w:pPr>
              <w:pStyle w:val="P68B1DB1-Normal8"/>
              <w:spacing w:after="0" w:line="240" w:lineRule="auto"/>
              <w:rPr>
                <w:noProof/>
              </w:rPr>
            </w:pPr>
            <w:r>
              <w:rPr>
                <w:noProof/>
              </w:rPr>
              <w:t>- les objectifs concernant le secteur de l'utilisation des terres et le renforcement des puits de carbone.</w:t>
            </w:r>
          </w:p>
        </w:tc>
      </w:tr>
      <w:tr w:rsidR="005D5FEB" w14:paraId="30377256"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hideMark/>
          </w:tcPr>
          <w:p w14:paraId="3EB2C599" w14:textId="77777777" w:rsidR="003D7F65" w:rsidRDefault="0082041E">
            <w:pPr>
              <w:pStyle w:val="P68B1DB1-Normal8"/>
              <w:spacing w:after="0" w:line="240" w:lineRule="auto"/>
              <w:jc w:val="center"/>
              <w:rPr>
                <w:rFonts w:eastAsia="Times New Roman"/>
                <w:noProof/>
              </w:rPr>
            </w:pPr>
            <w:r>
              <w:rPr>
                <w:noProof/>
              </w:rPr>
              <w:t>12</w:t>
            </w:r>
          </w:p>
        </w:tc>
        <w:tc>
          <w:tcPr>
            <w:tcW w:w="1529" w:type="dxa"/>
            <w:tcBorders>
              <w:top w:val="nil"/>
              <w:left w:val="nil"/>
              <w:bottom w:val="single" w:sz="4" w:space="0" w:color="auto"/>
              <w:right w:val="single" w:sz="4" w:space="0" w:color="auto"/>
            </w:tcBorders>
            <w:shd w:val="clear" w:color="auto" w:fill="C6EFCE"/>
            <w:noWrap/>
            <w:hideMark/>
          </w:tcPr>
          <w:p w14:paraId="6B534EAE" w14:textId="77777777" w:rsidR="003D7F65" w:rsidRDefault="0082041E">
            <w:pPr>
              <w:pStyle w:val="P68B1DB1-Normal8"/>
              <w:spacing w:after="0" w:line="240" w:lineRule="auto"/>
              <w:rPr>
                <w:rFonts w:eastAsia="Times New Roman"/>
                <w:noProof/>
              </w:rPr>
            </w:pPr>
            <w:r>
              <w:rPr>
                <w:noProof/>
              </w:rPr>
              <w:t>P1C2R1 – Réformes industrielles et investissements soutenant la transition écologique et numérique – Réforme de la législation sur le climat et industrialisation à faible intensité de carbone</w:t>
            </w:r>
          </w:p>
        </w:tc>
        <w:tc>
          <w:tcPr>
            <w:tcW w:w="1097" w:type="dxa"/>
            <w:tcBorders>
              <w:top w:val="nil"/>
              <w:left w:val="nil"/>
              <w:bottom w:val="single" w:sz="4" w:space="0" w:color="auto"/>
              <w:right w:val="single" w:sz="4" w:space="0" w:color="auto"/>
            </w:tcBorders>
            <w:shd w:val="clear" w:color="auto" w:fill="C6EFCE"/>
            <w:noWrap/>
            <w:hideMark/>
          </w:tcPr>
          <w:p w14:paraId="75FE49B7"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hideMark/>
          </w:tcPr>
          <w:p w14:paraId="375EEFE3" w14:textId="77777777" w:rsidR="003D7F65" w:rsidRDefault="0082041E">
            <w:pPr>
              <w:pStyle w:val="P68B1DB1-Normal8"/>
              <w:spacing w:after="0" w:line="240" w:lineRule="auto"/>
              <w:rPr>
                <w:rFonts w:eastAsia="Times New Roman"/>
                <w:noProof/>
              </w:rPr>
            </w:pPr>
            <w:r>
              <w:rPr>
                <w:noProof/>
              </w:rPr>
              <w:t>Publication de la stratégie actualisée en matière de climat et d’énergie, du plan d’action à moyen terme en matière de changement climatique et des feuilles de route sectorielles à faible intensité de carbone</w:t>
            </w:r>
          </w:p>
        </w:tc>
        <w:tc>
          <w:tcPr>
            <w:tcW w:w="1221" w:type="dxa"/>
            <w:tcBorders>
              <w:top w:val="nil"/>
              <w:left w:val="nil"/>
              <w:bottom w:val="single" w:sz="4" w:space="0" w:color="auto"/>
              <w:right w:val="single" w:sz="4" w:space="0" w:color="auto"/>
            </w:tcBorders>
            <w:shd w:val="clear" w:color="auto" w:fill="C6EFCE"/>
            <w:noWrap/>
            <w:hideMark/>
          </w:tcPr>
          <w:p w14:paraId="50259B6D" w14:textId="77777777" w:rsidR="003D7F65" w:rsidRDefault="0082041E">
            <w:pPr>
              <w:pStyle w:val="P68B1DB1-Normal8"/>
              <w:spacing w:after="0" w:line="240" w:lineRule="auto"/>
              <w:rPr>
                <w:rFonts w:eastAsia="Times New Roman"/>
                <w:noProof/>
              </w:rPr>
            </w:pPr>
            <w:r>
              <w:rPr>
                <w:noProof/>
              </w:rPr>
              <w:t xml:space="preserve">Publication de la stratégie, du plan et des feuilles de route </w:t>
            </w:r>
          </w:p>
        </w:tc>
        <w:tc>
          <w:tcPr>
            <w:tcW w:w="1043" w:type="dxa"/>
            <w:tcBorders>
              <w:top w:val="nil"/>
              <w:left w:val="nil"/>
              <w:bottom w:val="single" w:sz="4" w:space="0" w:color="auto"/>
              <w:right w:val="single" w:sz="4" w:space="0" w:color="auto"/>
            </w:tcBorders>
            <w:shd w:val="clear" w:color="auto" w:fill="C6EFCE"/>
            <w:noWrap/>
            <w:hideMark/>
          </w:tcPr>
          <w:p w14:paraId="4DC874C5"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hideMark/>
          </w:tcPr>
          <w:p w14:paraId="1E34910B"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hideMark/>
          </w:tcPr>
          <w:p w14:paraId="61AD26EA"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hideMark/>
          </w:tcPr>
          <w:p w14:paraId="4ABAC9A1" w14:textId="77777777" w:rsidR="003D7F65" w:rsidRDefault="0082041E">
            <w:pPr>
              <w:pStyle w:val="P68B1DB1-Normal8"/>
              <w:spacing w:after="0" w:line="240" w:lineRule="auto"/>
              <w:rPr>
                <w:rFonts w:eastAsia="Times New Roman"/>
                <w:noProof/>
              </w:rPr>
            </w:pPr>
            <w:r>
              <w:rPr>
                <w:noProof/>
              </w:rPr>
              <w:t>T4</w:t>
            </w:r>
          </w:p>
        </w:tc>
        <w:tc>
          <w:tcPr>
            <w:tcW w:w="2111" w:type="dxa"/>
            <w:tcBorders>
              <w:top w:val="nil"/>
              <w:left w:val="nil"/>
              <w:bottom w:val="single" w:sz="4" w:space="0" w:color="auto"/>
              <w:right w:val="single" w:sz="4" w:space="0" w:color="auto"/>
            </w:tcBorders>
            <w:shd w:val="clear" w:color="auto" w:fill="C6EFCE"/>
            <w:noWrap/>
            <w:hideMark/>
          </w:tcPr>
          <w:p w14:paraId="7AD61188" w14:textId="77777777" w:rsidR="003D7F65" w:rsidRDefault="0082041E">
            <w:pPr>
              <w:pStyle w:val="P68B1DB1-Normal8"/>
              <w:spacing w:after="0" w:line="240" w:lineRule="auto"/>
              <w:rPr>
                <w:rFonts w:eastAsia="Times New Roman"/>
                <w:noProof/>
              </w:rPr>
            </w:pPr>
            <w:r>
              <w:rPr>
                <w:noProof/>
              </w:rPr>
              <w:t>2025</w:t>
            </w:r>
          </w:p>
        </w:tc>
        <w:tc>
          <w:tcPr>
            <w:tcW w:w="2241" w:type="dxa"/>
            <w:tcBorders>
              <w:top w:val="nil"/>
              <w:left w:val="nil"/>
              <w:bottom w:val="single" w:sz="4" w:space="0" w:color="auto"/>
              <w:right w:val="single" w:sz="4" w:space="0" w:color="auto"/>
            </w:tcBorders>
            <w:shd w:val="clear" w:color="auto" w:fill="C6EFCE"/>
            <w:noWrap/>
            <w:hideMark/>
          </w:tcPr>
          <w:p w14:paraId="016B8BC4" w14:textId="32CC57E3" w:rsidR="003D7F65" w:rsidRDefault="0082041E">
            <w:pPr>
              <w:pStyle w:val="P68B1DB1-Normal8"/>
              <w:spacing w:after="0" w:line="240" w:lineRule="auto"/>
              <w:rPr>
                <w:noProof/>
              </w:rPr>
            </w:pPr>
            <w:r>
              <w:rPr>
                <w:noProof/>
              </w:rPr>
              <w:t xml:space="preserve">La stratégie actualisée en matière de climat et d’énergie, le plan d’action à moyen terme en matière de changement climatique et les feuilles de route sectorielles à faible intensité de carbone des secteurs de l’énergie, de la chimie, des forêts et des technologies sont publiés. </w:t>
            </w:r>
          </w:p>
          <w:p w14:paraId="15DD8D56" w14:textId="77777777" w:rsidR="003D7F65" w:rsidRDefault="003D7F65">
            <w:pPr>
              <w:spacing w:after="0" w:line="240" w:lineRule="auto"/>
              <w:rPr>
                <w:rFonts w:ascii="Times New Roman" w:hAnsi="Times New Roman"/>
                <w:noProof/>
                <w:sz w:val="20"/>
                <w:szCs w:val="20"/>
              </w:rPr>
            </w:pPr>
          </w:p>
          <w:p w14:paraId="6F83D962" w14:textId="7926D791" w:rsidR="003D7F65" w:rsidRDefault="0082041E">
            <w:pPr>
              <w:pStyle w:val="P68B1DB1-Normal8"/>
              <w:spacing w:after="0" w:line="240" w:lineRule="auto"/>
              <w:rPr>
                <w:noProof/>
              </w:rPr>
            </w:pPr>
            <w:r>
              <w:rPr>
                <w:noProof/>
              </w:rPr>
              <w:t xml:space="preserve">La stratégie actualisée en matière de climat et d’énergie comprend des mesures visant à atteindre les objectifs en matière de climat et d’énergie fixés par l’UE à l’horizon 2030, ainsi que les objectifs figurant dans le programme du gouvernement. </w:t>
            </w:r>
          </w:p>
        </w:tc>
      </w:tr>
      <w:tr w:rsidR="005D5FEB" w14:paraId="50545F6C"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tcPr>
          <w:p w14:paraId="5A2A147F" w14:textId="77777777" w:rsidR="003D7F65" w:rsidRDefault="0082041E">
            <w:pPr>
              <w:pStyle w:val="P68B1DB1-Normal8"/>
              <w:spacing w:after="0" w:line="240" w:lineRule="auto"/>
              <w:jc w:val="center"/>
              <w:rPr>
                <w:rFonts w:eastAsia="Times New Roman"/>
                <w:noProof/>
              </w:rPr>
            </w:pPr>
            <w:r>
              <w:rPr>
                <w:noProof/>
              </w:rPr>
              <w:t>13</w:t>
            </w:r>
          </w:p>
        </w:tc>
        <w:tc>
          <w:tcPr>
            <w:tcW w:w="1529" w:type="dxa"/>
            <w:tcBorders>
              <w:top w:val="nil"/>
              <w:left w:val="nil"/>
              <w:bottom w:val="single" w:sz="4" w:space="0" w:color="auto"/>
              <w:right w:val="single" w:sz="4" w:space="0" w:color="auto"/>
            </w:tcBorders>
            <w:shd w:val="clear" w:color="auto" w:fill="C6EFCE"/>
            <w:noWrap/>
          </w:tcPr>
          <w:p w14:paraId="1B614260" w14:textId="77777777" w:rsidR="003D7F65" w:rsidRDefault="0082041E">
            <w:pPr>
              <w:pStyle w:val="P68B1DB1-Normal8"/>
              <w:spacing w:after="0" w:line="240" w:lineRule="auto"/>
              <w:rPr>
                <w:rFonts w:eastAsia="Times New Roman"/>
                <w:noProof/>
              </w:rPr>
            </w:pPr>
            <w:r>
              <w:rPr>
                <w:noProof/>
              </w:rPr>
              <w:t>P1C2R2 – Réformes industrielles et investissements soutenant la transition écologique et numérique – Promotion stratégique de l’économie circulaire et réforme de la législation sur les déchets</w:t>
            </w:r>
          </w:p>
        </w:tc>
        <w:tc>
          <w:tcPr>
            <w:tcW w:w="1097" w:type="dxa"/>
            <w:tcBorders>
              <w:top w:val="nil"/>
              <w:left w:val="nil"/>
              <w:bottom w:val="single" w:sz="4" w:space="0" w:color="auto"/>
              <w:right w:val="single" w:sz="4" w:space="0" w:color="auto"/>
            </w:tcBorders>
            <w:shd w:val="clear" w:color="auto" w:fill="C6EFCE"/>
            <w:noWrap/>
          </w:tcPr>
          <w:p w14:paraId="7D3C2879"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tcPr>
          <w:p w14:paraId="07E9B4BA" w14:textId="77777777" w:rsidR="003D7F65" w:rsidRDefault="0082041E">
            <w:pPr>
              <w:pStyle w:val="P68B1DB1-Normal8"/>
              <w:spacing w:after="0" w:line="240" w:lineRule="auto"/>
              <w:rPr>
                <w:noProof/>
              </w:rPr>
            </w:pPr>
            <w:r>
              <w:rPr>
                <w:noProof/>
              </w:rPr>
              <w:t>Entrée en vigueur du ou des actes juridiques</w:t>
            </w:r>
          </w:p>
        </w:tc>
        <w:tc>
          <w:tcPr>
            <w:tcW w:w="1221" w:type="dxa"/>
            <w:tcBorders>
              <w:top w:val="single" w:sz="4" w:space="0" w:color="auto"/>
              <w:left w:val="nil"/>
              <w:bottom w:val="single" w:sz="4" w:space="0" w:color="auto"/>
              <w:right w:val="single" w:sz="4" w:space="0" w:color="auto"/>
            </w:tcBorders>
            <w:shd w:val="clear" w:color="auto" w:fill="C6EFCE"/>
            <w:noWrap/>
          </w:tcPr>
          <w:p w14:paraId="2BC70655" w14:textId="77777777" w:rsidR="003D7F65" w:rsidRDefault="0082041E">
            <w:pPr>
              <w:pStyle w:val="P68B1DB1-Normal8"/>
              <w:spacing w:after="0" w:line="240" w:lineRule="auto"/>
              <w:rPr>
                <w:rFonts w:eastAsia="Times New Roman"/>
                <w:noProof/>
              </w:rPr>
            </w:pPr>
            <w:r>
              <w:rPr>
                <w:noProof/>
              </w:rPr>
              <w:t>Disposition de la loi indiquant l’entrée en vigueur du ou des actes juridiques</w:t>
            </w:r>
          </w:p>
        </w:tc>
        <w:tc>
          <w:tcPr>
            <w:tcW w:w="1043" w:type="dxa"/>
            <w:tcBorders>
              <w:top w:val="nil"/>
              <w:left w:val="nil"/>
              <w:bottom w:val="single" w:sz="4" w:space="0" w:color="auto"/>
              <w:right w:val="single" w:sz="4" w:space="0" w:color="auto"/>
            </w:tcBorders>
            <w:shd w:val="clear" w:color="auto" w:fill="C6EFCE"/>
            <w:noWrap/>
          </w:tcPr>
          <w:p w14:paraId="0D4ABEA7"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tcPr>
          <w:p w14:paraId="0780C2FF"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tcPr>
          <w:p w14:paraId="71C55832"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tcPr>
          <w:p w14:paraId="3AD572C5" w14:textId="77777777" w:rsidR="003D7F65" w:rsidRDefault="0082041E">
            <w:pPr>
              <w:pStyle w:val="P68B1DB1-Normal8"/>
              <w:spacing w:after="0" w:line="240" w:lineRule="auto"/>
              <w:rPr>
                <w:rFonts w:eastAsia="Times New Roman"/>
                <w:noProof/>
              </w:rPr>
            </w:pPr>
            <w:r>
              <w:rPr>
                <w:noProof/>
              </w:rPr>
              <w:t>T4</w:t>
            </w:r>
          </w:p>
        </w:tc>
        <w:tc>
          <w:tcPr>
            <w:tcW w:w="2111" w:type="dxa"/>
            <w:tcBorders>
              <w:top w:val="nil"/>
              <w:left w:val="nil"/>
              <w:bottom w:val="single" w:sz="4" w:space="0" w:color="auto"/>
              <w:right w:val="single" w:sz="4" w:space="0" w:color="auto"/>
            </w:tcBorders>
            <w:shd w:val="clear" w:color="auto" w:fill="C6EFCE"/>
            <w:noWrap/>
          </w:tcPr>
          <w:p w14:paraId="29A0CC1B" w14:textId="77777777" w:rsidR="003D7F65" w:rsidRDefault="0082041E">
            <w:pPr>
              <w:pStyle w:val="P68B1DB1-Normal8"/>
              <w:spacing w:after="0" w:line="240" w:lineRule="auto"/>
              <w:rPr>
                <w:rFonts w:eastAsia="Times New Roman"/>
                <w:noProof/>
              </w:rPr>
            </w:pPr>
            <w:r>
              <w:rPr>
                <w:noProof/>
              </w:rPr>
              <w:t>2024</w:t>
            </w:r>
          </w:p>
        </w:tc>
        <w:tc>
          <w:tcPr>
            <w:tcW w:w="2241" w:type="dxa"/>
            <w:tcBorders>
              <w:top w:val="nil"/>
              <w:left w:val="nil"/>
              <w:bottom w:val="single" w:sz="4" w:space="0" w:color="auto"/>
              <w:right w:val="single" w:sz="4" w:space="0" w:color="auto"/>
            </w:tcBorders>
            <w:shd w:val="clear" w:color="auto" w:fill="C6EFCE"/>
            <w:noWrap/>
          </w:tcPr>
          <w:p w14:paraId="18C2E7CD" w14:textId="77777777" w:rsidR="003D7F65" w:rsidRDefault="0082041E">
            <w:pPr>
              <w:pStyle w:val="P68B1DB1-Normal8"/>
              <w:spacing w:after="0" w:line="240" w:lineRule="auto"/>
              <w:rPr>
                <w:noProof/>
              </w:rPr>
            </w:pPr>
            <w:r>
              <w:rPr>
                <w:noProof/>
              </w:rPr>
              <w:t>Entrée en vigueur du ou des actes juridiques, y compris:</w:t>
            </w:r>
          </w:p>
          <w:p w14:paraId="08435B99" w14:textId="77777777" w:rsidR="003D7F65" w:rsidRDefault="0082041E">
            <w:pPr>
              <w:pStyle w:val="P68B1DB1-Normal8"/>
              <w:spacing w:after="0" w:line="240" w:lineRule="auto"/>
              <w:rPr>
                <w:noProof/>
              </w:rPr>
            </w:pPr>
            <w:r>
              <w:rPr>
                <w:noProof/>
              </w:rPr>
              <w:t>1) collecte séparée des biodéchets dans les zones urbaines,</w:t>
            </w:r>
          </w:p>
          <w:p w14:paraId="1B1DB1EF" w14:textId="77777777" w:rsidR="003D7F65" w:rsidRDefault="0082041E">
            <w:pPr>
              <w:pStyle w:val="P68B1DB1-Normal8"/>
              <w:spacing w:after="0" w:line="240" w:lineRule="auto"/>
              <w:rPr>
                <w:noProof/>
              </w:rPr>
            </w:pPr>
            <w:r>
              <w:rPr>
                <w:noProof/>
              </w:rPr>
              <w:t>2) aux producteurs d'indemniser les municipalités pour 80% du coût de la collecte séparée et du transport des déchets d'emballages,</w:t>
            </w:r>
          </w:p>
          <w:p w14:paraId="5D3FDDE3" w14:textId="77777777" w:rsidR="003D7F65" w:rsidRDefault="0082041E">
            <w:pPr>
              <w:pStyle w:val="P68B1DB1-Normal8"/>
              <w:spacing w:after="0" w:line="240" w:lineRule="auto"/>
              <w:rPr>
                <w:noProof/>
              </w:rPr>
            </w:pPr>
            <w:r>
              <w:rPr>
                <w:noProof/>
              </w:rPr>
              <w:t>3) la collecte séparée des déchets d'emballages et des textiles,</w:t>
            </w:r>
          </w:p>
          <w:p w14:paraId="763032EA" w14:textId="77777777" w:rsidR="003D7F65" w:rsidRDefault="0082041E">
            <w:pPr>
              <w:pStyle w:val="P68B1DB1-Normal8"/>
              <w:spacing w:after="0" w:line="240" w:lineRule="auto"/>
              <w:rPr>
                <w:noProof/>
              </w:rPr>
            </w:pPr>
            <w:r>
              <w:rPr>
                <w:noProof/>
              </w:rPr>
              <w:t>4) collecte nationale séparée des biodéchets provenant de nouvelles propriétés,</w:t>
            </w:r>
          </w:p>
          <w:p w14:paraId="321E38F7" w14:textId="77777777" w:rsidR="003D7F65" w:rsidRDefault="0082041E">
            <w:pPr>
              <w:pStyle w:val="P68B1DB1-Normal8"/>
              <w:spacing w:after="0" w:line="240" w:lineRule="auto"/>
              <w:rPr>
                <w:noProof/>
              </w:rPr>
            </w:pPr>
            <w:r>
              <w:rPr>
                <w:noProof/>
              </w:rPr>
              <w:t>5) les objectifs généraux de recyclage des déchets municipaux, qui seront portés à 55 % en 2025 et à 60 % en 2030,</w:t>
            </w:r>
          </w:p>
          <w:p w14:paraId="4C7C1C3E" w14:textId="77777777" w:rsidR="003D7F65" w:rsidRDefault="0082041E">
            <w:pPr>
              <w:pStyle w:val="P68B1DB1-Normal8"/>
              <w:spacing w:after="0" w:line="240" w:lineRule="auto"/>
              <w:rPr>
                <w:rFonts w:eastAsia="Times New Roman"/>
                <w:noProof/>
              </w:rPr>
            </w:pPr>
            <w:r>
              <w:rPr>
                <w:noProof/>
              </w:rPr>
              <w:t>6) des objectifs de recyclage juridiquement contraignants pour les producteurs de déchets d'emballages, qui porteront l'objectif de taux de recyclage des emballages en plastique à 55 % d'ici 2030.</w:t>
            </w:r>
          </w:p>
        </w:tc>
      </w:tr>
      <w:tr w:rsidR="005D5FEB" w14:paraId="0CC49FB7"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tcPr>
          <w:p w14:paraId="4FDD9776" w14:textId="77777777" w:rsidR="003D7F65" w:rsidRDefault="0082041E">
            <w:pPr>
              <w:pStyle w:val="P68B1DB1-Normal8"/>
              <w:spacing w:after="0" w:line="240" w:lineRule="auto"/>
              <w:jc w:val="center"/>
              <w:rPr>
                <w:rFonts w:eastAsia="Times New Roman"/>
                <w:noProof/>
              </w:rPr>
            </w:pPr>
            <w:r>
              <w:rPr>
                <w:noProof/>
              </w:rPr>
              <w:t>14</w:t>
            </w:r>
          </w:p>
        </w:tc>
        <w:tc>
          <w:tcPr>
            <w:tcW w:w="1529" w:type="dxa"/>
            <w:tcBorders>
              <w:top w:val="nil"/>
              <w:left w:val="nil"/>
              <w:bottom w:val="single" w:sz="4" w:space="0" w:color="auto"/>
              <w:right w:val="single" w:sz="4" w:space="0" w:color="auto"/>
            </w:tcBorders>
            <w:shd w:val="clear" w:color="auto" w:fill="C6EFCE"/>
            <w:noWrap/>
          </w:tcPr>
          <w:p w14:paraId="030872EC" w14:textId="77777777" w:rsidR="003D7F65" w:rsidRDefault="0082041E">
            <w:pPr>
              <w:pStyle w:val="P68B1DB1-Normal8"/>
              <w:spacing w:after="0" w:line="240" w:lineRule="auto"/>
              <w:rPr>
                <w:rFonts w:eastAsia="Times New Roman"/>
                <w:noProof/>
              </w:rPr>
            </w:pPr>
            <w:r>
              <w:rPr>
                <w:noProof/>
              </w:rPr>
              <w:t>P1C2R2 – Réformes industrielles et investissements soutenant la transition écologique et numérique – Promotion stratégique de l’économie circulaire et réforme de la législation sur les déchets</w:t>
            </w:r>
          </w:p>
        </w:tc>
        <w:tc>
          <w:tcPr>
            <w:tcW w:w="1097" w:type="dxa"/>
            <w:tcBorders>
              <w:top w:val="nil"/>
              <w:left w:val="nil"/>
              <w:bottom w:val="single" w:sz="4" w:space="0" w:color="auto"/>
              <w:right w:val="single" w:sz="4" w:space="0" w:color="auto"/>
            </w:tcBorders>
            <w:shd w:val="clear" w:color="auto" w:fill="C6EFCE"/>
            <w:noWrap/>
          </w:tcPr>
          <w:p w14:paraId="762D6E2B"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tcPr>
          <w:p w14:paraId="47E86ECB" w14:textId="77777777" w:rsidR="003D7F65" w:rsidRDefault="0082041E">
            <w:pPr>
              <w:pStyle w:val="P68B1DB1-Normal8"/>
              <w:spacing w:after="0" w:line="240" w:lineRule="auto"/>
              <w:rPr>
                <w:rFonts w:eastAsia="Times New Roman"/>
                <w:noProof/>
              </w:rPr>
            </w:pPr>
            <w:r>
              <w:rPr>
                <w:noProof/>
              </w:rPr>
              <w:t>Adoption de la résolution du Gouvernement sur la mise en œuvre du Programme stratégique pour une économie circulaire</w:t>
            </w:r>
          </w:p>
        </w:tc>
        <w:tc>
          <w:tcPr>
            <w:tcW w:w="1221" w:type="dxa"/>
            <w:tcBorders>
              <w:top w:val="nil"/>
              <w:left w:val="nil"/>
              <w:bottom w:val="single" w:sz="4" w:space="0" w:color="auto"/>
              <w:right w:val="single" w:sz="4" w:space="0" w:color="auto"/>
            </w:tcBorders>
            <w:shd w:val="clear" w:color="auto" w:fill="C6EFCE"/>
            <w:noWrap/>
          </w:tcPr>
          <w:p w14:paraId="3AEF4660" w14:textId="77777777" w:rsidR="003D7F65" w:rsidRDefault="0082041E">
            <w:pPr>
              <w:pStyle w:val="P68B1DB1-Normal8"/>
              <w:spacing w:after="0" w:line="240" w:lineRule="auto"/>
              <w:rPr>
                <w:rFonts w:eastAsia="Times New Roman"/>
                <w:noProof/>
              </w:rPr>
            </w:pPr>
            <w:r>
              <w:rPr>
                <w:noProof/>
              </w:rPr>
              <w:t>Publication de la résolution du gouvernement (YM/2021/17) sur le site web du gouvernement</w:t>
            </w:r>
          </w:p>
        </w:tc>
        <w:tc>
          <w:tcPr>
            <w:tcW w:w="1043" w:type="dxa"/>
            <w:tcBorders>
              <w:top w:val="nil"/>
              <w:left w:val="nil"/>
              <w:bottom w:val="single" w:sz="4" w:space="0" w:color="auto"/>
              <w:right w:val="single" w:sz="4" w:space="0" w:color="auto"/>
            </w:tcBorders>
            <w:shd w:val="clear" w:color="auto" w:fill="C6EFCE"/>
            <w:noWrap/>
          </w:tcPr>
          <w:p w14:paraId="086BA88B"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tcPr>
          <w:p w14:paraId="252DA3E8"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tcPr>
          <w:p w14:paraId="62F5B2BA"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tcPr>
          <w:p w14:paraId="06D6734C" w14:textId="77777777" w:rsidR="003D7F65" w:rsidRDefault="0082041E">
            <w:pPr>
              <w:pStyle w:val="P68B1DB1-Normal8"/>
              <w:spacing w:after="0" w:line="240" w:lineRule="auto"/>
              <w:rPr>
                <w:rFonts w:eastAsia="Times New Roman"/>
                <w:noProof/>
              </w:rPr>
            </w:pPr>
            <w:r>
              <w:rPr>
                <w:noProof/>
              </w:rPr>
              <w:t>T2</w:t>
            </w:r>
          </w:p>
        </w:tc>
        <w:tc>
          <w:tcPr>
            <w:tcW w:w="2111" w:type="dxa"/>
            <w:tcBorders>
              <w:top w:val="nil"/>
              <w:left w:val="nil"/>
              <w:bottom w:val="single" w:sz="4" w:space="0" w:color="auto"/>
              <w:right w:val="single" w:sz="4" w:space="0" w:color="auto"/>
            </w:tcBorders>
            <w:shd w:val="clear" w:color="auto" w:fill="C6EFCE"/>
            <w:noWrap/>
          </w:tcPr>
          <w:p w14:paraId="6C11E966" w14:textId="77777777" w:rsidR="003D7F65" w:rsidRDefault="0082041E">
            <w:pPr>
              <w:pStyle w:val="P68B1DB1-Normal8"/>
              <w:spacing w:after="0" w:line="240" w:lineRule="auto"/>
              <w:rPr>
                <w:rFonts w:eastAsia="Times New Roman"/>
                <w:noProof/>
              </w:rPr>
            </w:pPr>
            <w:r>
              <w:rPr>
                <w:noProof/>
              </w:rPr>
              <w:t>2021</w:t>
            </w:r>
          </w:p>
        </w:tc>
        <w:tc>
          <w:tcPr>
            <w:tcW w:w="2241" w:type="dxa"/>
            <w:tcBorders>
              <w:top w:val="nil"/>
              <w:left w:val="nil"/>
              <w:bottom w:val="single" w:sz="4" w:space="0" w:color="auto"/>
              <w:right w:val="single" w:sz="4" w:space="0" w:color="auto"/>
            </w:tcBorders>
            <w:shd w:val="clear" w:color="auto" w:fill="C6EFCE"/>
            <w:noWrap/>
          </w:tcPr>
          <w:p w14:paraId="0633D024" w14:textId="779374B5" w:rsidR="003D7F65" w:rsidRDefault="0082041E">
            <w:pPr>
              <w:pStyle w:val="P68B1DB1-Normal8"/>
              <w:spacing w:after="0" w:line="240" w:lineRule="auto"/>
              <w:rPr>
                <w:noProof/>
              </w:rPr>
            </w:pPr>
            <w:r>
              <w:rPr>
                <w:noProof/>
              </w:rPr>
              <w:t>La résolution du gouvernement sur la mise en œuvre du programme stratégique pour une économie circulaire sera adoptée et comprendra l’objectif que la consommation de ressources naturelles non renouvelables diminue et que l’utilisation durable des ressources naturelles renouvelables puisse augmenter afin que la consommation intérieure totale de matières premières primaires ne dépasse pas le niveau de 2015 d’ici à 2035.</w:t>
            </w:r>
          </w:p>
        </w:tc>
      </w:tr>
      <w:tr w:rsidR="005D5FEB" w14:paraId="34ED0AAA" w14:textId="77777777" w:rsidTr="005D5FEB">
        <w:trPr>
          <w:trHeight w:val="1511"/>
        </w:trPr>
        <w:tc>
          <w:tcPr>
            <w:tcW w:w="846" w:type="dxa"/>
            <w:tcBorders>
              <w:top w:val="nil"/>
              <w:left w:val="single" w:sz="4" w:space="0" w:color="auto"/>
              <w:bottom w:val="single" w:sz="4" w:space="0" w:color="auto"/>
              <w:right w:val="single" w:sz="4" w:space="0" w:color="auto"/>
            </w:tcBorders>
            <w:shd w:val="clear" w:color="auto" w:fill="C6EFCE"/>
            <w:noWrap/>
          </w:tcPr>
          <w:p w14:paraId="6E2FF084" w14:textId="77777777" w:rsidR="003D7F65" w:rsidRDefault="0082041E">
            <w:pPr>
              <w:pStyle w:val="P68B1DB1-Normal8"/>
              <w:spacing w:after="0" w:line="240" w:lineRule="auto"/>
              <w:jc w:val="center"/>
              <w:rPr>
                <w:rFonts w:eastAsia="Times New Roman"/>
                <w:noProof/>
              </w:rPr>
            </w:pPr>
            <w:r>
              <w:rPr>
                <w:noProof/>
              </w:rPr>
              <w:t>15</w:t>
            </w:r>
          </w:p>
        </w:tc>
        <w:tc>
          <w:tcPr>
            <w:tcW w:w="1529" w:type="dxa"/>
            <w:tcBorders>
              <w:top w:val="nil"/>
              <w:left w:val="nil"/>
              <w:bottom w:val="single" w:sz="4" w:space="0" w:color="auto"/>
              <w:right w:val="single" w:sz="4" w:space="0" w:color="auto"/>
            </w:tcBorders>
            <w:shd w:val="clear" w:color="auto" w:fill="C6EFCE"/>
            <w:noWrap/>
          </w:tcPr>
          <w:p w14:paraId="402AEB45" w14:textId="77777777" w:rsidR="003D7F65" w:rsidRDefault="0082041E">
            <w:pPr>
              <w:pStyle w:val="P68B1DB1-Normal8"/>
              <w:spacing w:after="0" w:line="240" w:lineRule="auto"/>
              <w:rPr>
                <w:rFonts w:eastAsia="Times New Roman"/>
                <w:noProof/>
              </w:rPr>
            </w:pPr>
            <w:r>
              <w:rPr>
                <w:noProof/>
              </w:rPr>
              <w:t>P1C2R2 – Réformes industrielles et investissements soutenant la transition écologique et numérique – Promotion stratégique de l’économie circulaire et réforme de la législation sur les déchets</w:t>
            </w:r>
          </w:p>
        </w:tc>
        <w:tc>
          <w:tcPr>
            <w:tcW w:w="1097" w:type="dxa"/>
            <w:tcBorders>
              <w:top w:val="nil"/>
              <w:left w:val="nil"/>
              <w:bottom w:val="single" w:sz="4" w:space="0" w:color="auto"/>
              <w:right w:val="single" w:sz="4" w:space="0" w:color="auto"/>
            </w:tcBorders>
            <w:shd w:val="clear" w:color="auto" w:fill="C6EFCE"/>
            <w:noWrap/>
          </w:tcPr>
          <w:p w14:paraId="49907E86"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tcPr>
          <w:p w14:paraId="4752A6F5" w14:textId="77777777" w:rsidR="003D7F65" w:rsidRDefault="0082041E">
            <w:pPr>
              <w:pStyle w:val="P68B1DB1-Normal8"/>
              <w:spacing w:after="0" w:line="240" w:lineRule="auto"/>
              <w:rPr>
                <w:noProof/>
              </w:rPr>
            </w:pPr>
            <w:r>
              <w:rPr>
                <w:noProof/>
              </w:rPr>
              <w:t xml:space="preserve">Parties prenantes acceptées dans le cadre du pacte vert pour l’économie circulaire </w:t>
            </w:r>
          </w:p>
        </w:tc>
        <w:tc>
          <w:tcPr>
            <w:tcW w:w="1221" w:type="dxa"/>
            <w:tcBorders>
              <w:top w:val="nil"/>
              <w:left w:val="nil"/>
              <w:bottom w:val="single" w:sz="4" w:space="0" w:color="auto"/>
              <w:right w:val="single" w:sz="4" w:space="0" w:color="auto"/>
            </w:tcBorders>
            <w:shd w:val="clear" w:color="auto" w:fill="C6EFCE"/>
            <w:noWrap/>
          </w:tcPr>
          <w:p w14:paraId="48DBDB65" w14:textId="77777777" w:rsidR="003D7F65" w:rsidRDefault="0082041E">
            <w:pPr>
              <w:pStyle w:val="P68B1DB1-Normal8"/>
              <w:spacing w:after="0" w:line="240" w:lineRule="auto"/>
              <w:rPr>
                <w:rFonts w:eastAsia="Times New Roman"/>
                <w:noProof/>
              </w:rPr>
            </w:pPr>
            <w:r>
              <w:rPr>
                <w:noProof/>
              </w:rPr>
              <w:t>Parties prenantes acceptées dans le cadre du pacte vert pour l’économie circulaire</w:t>
            </w:r>
          </w:p>
        </w:tc>
        <w:tc>
          <w:tcPr>
            <w:tcW w:w="1043" w:type="dxa"/>
            <w:tcBorders>
              <w:top w:val="nil"/>
              <w:left w:val="nil"/>
              <w:bottom w:val="single" w:sz="4" w:space="0" w:color="auto"/>
              <w:right w:val="single" w:sz="4" w:space="0" w:color="auto"/>
            </w:tcBorders>
            <w:shd w:val="clear" w:color="auto" w:fill="C6EFCE"/>
            <w:noWrap/>
          </w:tcPr>
          <w:p w14:paraId="357C9C17"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tcPr>
          <w:p w14:paraId="087CF580"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tcPr>
          <w:p w14:paraId="3CE2EC7E"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tcPr>
          <w:p w14:paraId="68977211" w14:textId="77777777" w:rsidR="003D7F65" w:rsidRDefault="0082041E">
            <w:pPr>
              <w:pStyle w:val="P68B1DB1-Normal8"/>
              <w:spacing w:after="0" w:line="240" w:lineRule="auto"/>
              <w:rPr>
                <w:rFonts w:eastAsia="Times New Roman"/>
                <w:noProof/>
              </w:rPr>
            </w:pPr>
            <w:r>
              <w:rPr>
                <w:noProof/>
              </w:rPr>
              <w:t>T2</w:t>
            </w:r>
          </w:p>
        </w:tc>
        <w:tc>
          <w:tcPr>
            <w:tcW w:w="2111" w:type="dxa"/>
            <w:tcBorders>
              <w:top w:val="nil"/>
              <w:left w:val="nil"/>
              <w:bottom w:val="single" w:sz="4" w:space="0" w:color="auto"/>
              <w:right w:val="single" w:sz="4" w:space="0" w:color="auto"/>
            </w:tcBorders>
            <w:shd w:val="clear" w:color="auto" w:fill="C6EFCE"/>
            <w:noWrap/>
          </w:tcPr>
          <w:p w14:paraId="14FFDD48" w14:textId="77777777" w:rsidR="003D7F65" w:rsidRDefault="0082041E">
            <w:pPr>
              <w:pStyle w:val="P68B1DB1-Normal8"/>
              <w:spacing w:after="0" w:line="240" w:lineRule="auto"/>
              <w:rPr>
                <w:rFonts w:eastAsia="Times New Roman"/>
                <w:noProof/>
              </w:rPr>
            </w:pPr>
            <w:r>
              <w:rPr>
                <w:noProof/>
              </w:rPr>
              <w:t xml:space="preserve"> 2025</w:t>
            </w:r>
          </w:p>
        </w:tc>
        <w:tc>
          <w:tcPr>
            <w:tcW w:w="2241" w:type="dxa"/>
            <w:tcBorders>
              <w:top w:val="nil"/>
              <w:left w:val="nil"/>
              <w:bottom w:val="single" w:sz="4" w:space="0" w:color="auto"/>
              <w:right w:val="single" w:sz="4" w:space="0" w:color="auto"/>
            </w:tcBorders>
            <w:shd w:val="clear" w:color="auto" w:fill="C6EFCE"/>
            <w:noWrap/>
          </w:tcPr>
          <w:p w14:paraId="36D8C43C" w14:textId="6EF133B2" w:rsidR="003D7F65" w:rsidRDefault="0082041E">
            <w:pPr>
              <w:pStyle w:val="P68B1DB1-Normal8"/>
              <w:spacing w:after="0" w:line="240" w:lineRule="auto"/>
              <w:rPr>
                <w:noProof/>
              </w:rPr>
            </w:pPr>
            <w:r>
              <w:rPr>
                <w:noProof/>
              </w:rPr>
              <w:t>Le pacte vert pour l’économie circulaire est publié sur le site web du ministère de l’environnement. Le groupe d’évaluation du ministère de l’environnement soumet au moins 22 évaluations positives des demandes d’adhésion des parties prenantes au pacte vert pour l’économie circulaire.</w:t>
            </w:r>
          </w:p>
        </w:tc>
      </w:tr>
      <w:tr w:rsidR="005D5FEB" w14:paraId="7E490A48"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hideMark/>
          </w:tcPr>
          <w:p w14:paraId="04BEDF92" w14:textId="77777777" w:rsidR="003D7F65" w:rsidRDefault="0082041E">
            <w:pPr>
              <w:pStyle w:val="P68B1DB1-Normal8"/>
              <w:spacing w:after="0" w:line="240" w:lineRule="auto"/>
              <w:jc w:val="center"/>
              <w:rPr>
                <w:rFonts w:eastAsia="Times New Roman"/>
                <w:noProof/>
              </w:rPr>
            </w:pPr>
            <w:r>
              <w:rPr>
                <w:noProof/>
              </w:rPr>
              <w:t>16</w:t>
            </w:r>
          </w:p>
        </w:tc>
        <w:tc>
          <w:tcPr>
            <w:tcW w:w="1529" w:type="dxa"/>
            <w:tcBorders>
              <w:top w:val="nil"/>
              <w:left w:val="nil"/>
              <w:bottom w:val="single" w:sz="4" w:space="0" w:color="auto"/>
              <w:right w:val="single" w:sz="4" w:space="0" w:color="auto"/>
            </w:tcBorders>
            <w:shd w:val="clear" w:color="auto" w:fill="C6EFCE"/>
            <w:noWrap/>
            <w:hideMark/>
          </w:tcPr>
          <w:p w14:paraId="2993A647" w14:textId="77777777" w:rsidR="003D7F65" w:rsidRDefault="0082041E">
            <w:pPr>
              <w:pStyle w:val="P68B1DB1-Normal8"/>
              <w:spacing w:after="0" w:line="240" w:lineRule="auto"/>
              <w:rPr>
                <w:rFonts w:eastAsia="Times New Roman"/>
                <w:noProof/>
              </w:rPr>
            </w:pPr>
            <w:r>
              <w:rPr>
                <w:noProof/>
              </w:rPr>
              <w:t>P1C2I1 – Réformes industrielles et investissements à l’appui de la transition écologique et numérique – Hydrogène bas carbone et captage et utilisation du carbone</w:t>
            </w:r>
          </w:p>
        </w:tc>
        <w:tc>
          <w:tcPr>
            <w:tcW w:w="1097" w:type="dxa"/>
            <w:tcBorders>
              <w:top w:val="nil"/>
              <w:left w:val="nil"/>
              <w:bottom w:val="single" w:sz="4" w:space="0" w:color="auto"/>
              <w:right w:val="single" w:sz="4" w:space="0" w:color="auto"/>
            </w:tcBorders>
            <w:shd w:val="clear" w:color="auto" w:fill="C6EFCE"/>
            <w:noWrap/>
            <w:hideMark/>
          </w:tcPr>
          <w:p w14:paraId="205EBB26"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hideMark/>
          </w:tcPr>
          <w:p w14:paraId="6D3E73F9" w14:textId="77777777" w:rsidR="003D7F65" w:rsidRDefault="0082041E">
            <w:pPr>
              <w:pStyle w:val="P68B1DB1-Normal8"/>
              <w:spacing w:after="0" w:line="240" w:lineRule="auto"/>
              <w:rPr>
                <w:rFonts w:eastAsia="Times New Roman"/>
                <w:noProof/>
              </w:rPr>
            </w:pPr>
            <w:r>
              <w:rPr>
                <w:noProof/>
              </w:rPr>
              <w:t>Publication du premier appel à candidatures national pour la production et l’utilisation d’hydrogène à faibles émissions ainsi que pour le captage et l’utilisation du dioxyde de carbone</w:t>
            </w:r>
          </w:p>
        </w:tc>
        <w:tc>
          <w:tcPr>
            <w:tcW w:w="1221" w:type="dxa"/>
            <w:tcBorders>
              <w:top w:val="single" w:sz="4" w:space="0" w:color="auto"/>
              <w:left w:val="nil"/>
              <w:bottom w:val="single" w:sz="4" w:space="0" w:color="auto"/>
              <w:right w:val="single" w:sz="4" w:space="0" w:color="auto"/>
            </w:tcBorders>
            <w:shd w:val="clear" w:color="auto" w:fill="C6EFCE"/>
            <w:noWrap/>
            <w:hideMark/>
          </w:tcPr>
          <w:p w14:paraId="0FF40920" w14:textId="77777777" w:rsidR="003D7F65" w:rsidRDefault="0082041E">
            <w:pPr>
              <w:pStyle w:val="P68B1DB1-Normal8"/>
              <w:spacing w:after="0" w:line="240" w:lineRule="auto"/>
              <w:rPr>
                <w:rFonts w:eastAsia="Times New Roman"/>
                <w:noProof/>
              </w:rPr>
            </w:pPr>
            <w:r>
              <w:rPr>
                <w:noProof/>
              </w:rPr>
              <w:t>Publication des premiers appels à candidatures sur le site web de Business Finland</w:t>
            </w:r>
          </w:p>
        </w:tc>
        <w:tc>
          <w:tcPr>
            <w:tcW w:w="1043" w:type="dxa"/>
            <w:tcBorders>
              <w:top w:val="nil"/>
              <w:left w:val="nil"/>
              <w:bottom w:val="single" w:sz="4" w:space="0" w:color="auto"/>
              <w:right w:val="single" w:sz="4" w:space="0" w:color="auto"/>
            </w:tcBorders>
            <w:shd w:val="clear" w:color="auto" w:fill="C6EFCE"/>
            <w:noWrap/>
            <w:hideMark/>
          </w:tcPr>
          <w:p w14:paraId="200ED93C"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hideMark/>
          </w:tcPr>
          <w:p w14:paraId="74B086A5"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hideMark/>
          </w:tcPr>
          <w:p w14:paraId="332A5C75"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hideMark/>
          </w:tcPr>
          <w:p w14:paraId="7B29B95C" w14:textId="77777777" w:rsidR="003D7F65" w:rsidRDefault="0082041E">
            <w:pPr>
              <w:pStyle w:val="P68B1DB1-Normal8"/>
              <w:spacing w:after="0" w:line="240" w:lineRule="auto"/>
              <w:rPr>
                <w:rFonts w:eastAsia="Times New Roman"/>
                <w:noProof/>
              </w:rPr>
            </w:pPr>
            <w:r>
              <w:rPr>
                <w:noProof/>
              </w:rPr>
              <w:t>T4</w:t>
            </w:r>
          </w:p>
        </w:tc>
        <w:tc>
          <w:tcPr>
            <w:tcW w:w="2111" w:type="dxa"/>
            <w:tcBorders>
              <w:top w:val="nil"/>
              <w:left w:val="nil"/>
              <w:bottom w:val="single" w:sz="4" w:space="0" w:color="auto"/>
              <w:right w:val="single" w:sz="4" w:space="0" w:color="auto"/>
            </w:tcBorders>
            <w:shd w:val="clear" w:color="auto" w:fill="C6EFCE"/>
            <w:noWrap/>
            <w:hideMark/>
          </w:tcPr>
          <w:p w14:paraId="0AB8FBDB" w14:textId="77777777" w:rsidR="003D7F65" w:rsidRDefault="0082041E">
            <w:pPr>
              <w:pStyle w:val="P68B1DB1-Normal8"/>
              <w:spacing w:after="0" w:line="240" w:lineRule="auto"/>
              <w:rPr>
                <w:rFonts w:eastAsia="Times New Roman"/>
                <w:noProof/>
              </w:rPr>
            </w:pPr>
            <w:r>
              <w:rPr>
                <w:noProof/>
              </w:rPr>
              <w:t>2021</w:t>
            </w:r>
          </w:p>
        </w:tc>
        <w:tc>
          <w:tcPr>
            <w:tcW w:w="2241" w:type="dxa"/>
            <w:tcBorders>
              <w:top w:val="nil"/>
              <w:left w:val="nil"/>
              <w:bottom w:val="single" w:sz="4" w:space="0" w:color="auto"/>
              <w:right w:val="single" w:sz="4" w:space="0" w:color="auto"/>
            </w:tcBorders>
            <w:shd w:val="clear" w:color="auto" w:fill="C6EFCE"/>
            <w:noWrap/>
            <w:hideMark/>
          </w:tcPr>
          <w:p w14:paraId="75A2B6BB" w14:textId="3D798A68" w:rsidR="003D7F65" w:rsidRDefault="0082041E">
            <w:pPr>
              <w:pStyle w:val="P68B1DB1-Normal9"/>
              <w:spacing w:after="0" w:line="240" w:lineRule="auto"/>
              <w:rPr>
                <w:noProof/>
              </w:rPr>
            </w:pPr>
            <w:r>
              <w:rPr>
                <w:noProof/>
              </w:rPr>
              <w:t>Lancement du premier appel national à candidatures pour la production et l’utilisation d’hydrogène à faibles émissions ainsi que pour le captage et l’utilisation du dioxyde de carbone. Le cahier des charges de l’appel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5D5FEB" w14:paraId="7ED180DD"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hideMark/>
          </w:tcPr>
          <w:p w14:paraId="531C7127" w14:textId="77777777" w:rsidR="003D7F65" w:rsidRDefault="0082041E">
            <w:pPr>
              <w:pStyle w:val="P68B1DB1-Normal8"/>
              <w:spacing w:after="0" w:line="240" w:lineRule="auto"/>
              <w:jc w:val="center"/>
              <w:rPr>
                <w:rFonts w:eastAsia="Times New Roman"/>
                <w:noProof/>
              </w:rPr>
            </w:pPr>
            <w:r>
              <w:rPr>
                <w:noProof/>
              </w:rPr>
              <w:t>17</w:t>
            </w:r>
          </w:p>
        </w:tc>
        <w:tc>
          <w:tcPr>
            <w:tcW w:w="1529" w:type="dxa"/>
            <w:tcBorders>
              <w:top w:val="nil"/>
              <w:left w:val="nil"/>
              <w:bottom w:val="single" w:sz="4" w:space="0" w:color="auto"/>
              <w:right w:val="single" w:sz="4" w:space="0" w:color="auto"/>
            </w:tcBorders>
            <w:shd w:val="clear" w:color="auto" w:fill="C6EFCE"/>
            <w:noWrap/>
            <w:hideMark/>
          </w:tcPr>
          <w:p w14:paraId="052DCEE5" w14:textId="77777777" w:rsidR="003D7F65" w:rsidRDefault="0082041E">
            <w:pPr>
              <w:pStyle w:val="P68B1DB1-Normal8"/>
              <w:spacing w:after="0" w:line="240" w:lineRule="auto"/>
              <w:rPr>
                <w:rFonts w:eastAsia="Times New Roman"/>
                <w:noProof/>
              </w:rPr>
            </w:pPr>
            <w:r>
              <w:rPr>
                <w:noProof/>
              </w:rPr>
              <w:t>P1C2I1 – Réformes industrielles et investissements à l’appui de la transition écologique et numérique – Hydrogène bas carbone et captage et utilisation du carbone</w:t>
            </w:r>
          </w:p>
        </w:tc>
        <w:tc>
          <w:tcPr>
            <w:tcW w:w="1097" w:type="dxa"/>
            <w:tcBorders>
              <w:top w:val="nil"/>
              <w:left w:val="nil"/>
              <w:bottom w:val="single" w:sz="4" w:space="0" w:color="auto"/>
              <w:right w:val="single" w:sz="4" w:space="0" w:color="auto"/>
            </w:tcBorders>
            <w:shd w:val="clear" w:color="auto" w:fill="C6EFCE"/>
            <w:noWrap/>
            <w:hideMark/>
          </w:tcPr>
          <w:p w14:paraId="4966E5FB"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hideMark/>
          </w:tcPr>
          <w:p w14:paraId="0B91B045" w14:textId="77777777" w:rsidR="003D7F65" w:rsidRDefault="0082041E">
            <w:pPr>
              <w:pStyle w:val="P68B1DB1-Normal8"/>
              <w:spacing w:after="0" w:line="240" w:lineRule="auto"/>
              <w:rPr>
                <w:rFonts w:eastAsia="Times New Roman"/>
                <w:noProof/>
              </w:rPr>
            </w:pPr>
            <w:r>
              <w:rPr>
                <w:noProof/>
              </w:rPr>
              <w:t>Accord de mise en œuvre</w:t>
            </w:r>
          </w:p>
        </w:tc>
        <w:tc>
          <w:tcPr>
            <w:tcW w:w="1221" w:type="dxa"/>
            <w:tcBorders>
              <w:top w:val="nil"/>
              <w:left w:val="nil"/>
              <w:bottom w:val="single" w:sz="4" w:space="0" w:color="auto"/>
              <w:right w:val="single" w:sz="4" w:space="0" w:color="auto"/>
            </w:tcBorders>
            <w:shd w:val="clear" w:color="auto" w:fill="C6EFCE"/>
            <w:noWrap/>
            <w:hideMark/>
          </w:tcPr>
          <w:p w14:paraId="6F23F1A0" w14:textId="77777777" w:rsidR="003D7F65" w:rsidRDefault="0082041E">
            <w:pPr>
              <w:pStyle w:val="P68B1DB1-Normal8"/>
              <w:spacing w:after="0" w:line="240" w:lineRule="auto"/>
              <w:rPr>
                <w:rFonts w:eastAsia="Times New Roman"/>
                <w:noProof/>
              </w:rPr>
            </w:pPr>
            <w:r>
              <w:rPr>
                <w:noProof/>
              </w:rPr>
              <w:t>Entrée en vigueur de l'accord de mise en œuvre</w:t>
            </w:r>
          </w:p>
        </w:tc>
        <w:tc>
          <w:tcPr>
            <w:tcW w:w="1043" w:type="dxa"/>
            <w:tcBorders>
              <w:top w:val="nil"/>
              <w:left w:val="nil"/>
              <w:bottom w:val="single" w:sz="4" w:space="0" w:color="auto"/>
              <w:right w:val="single" w:sz="4" w:space="0" w:color="auto"/>
            </w:tcBorders>
            <w:shd w:val="clear" w:color="auto" w:fill="C6EFCE"/>
            <w:noWrap/>
            <w:hideMark/>
          </w:tcPr>
          <w:p w14:paraId="50F9678F"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hideMark/>
          </w:tcPr>
          <w:p w14:paraId="0B06AA1A"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hideMark/>
          </w:tcPr>
          <w:p w14:paraId="19B8500F"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hideMark/>
          </w:tcPr>
          <w:p w14:paraId="4EE41428" w14:textId="77777777" w:rsidR="003D7F65" w:rsidRDefault="0082041E">
            <w:pPr>
              <w:pStyle w:val="P68B1DB1-Normal8"/>
              <w:spacing w:after="0" w:line="240" w:lineRule="auto"/>
              <w:rPr>
                <w:rFonts w:eastAsia="Times New Roman"/>
                <w:noProof/>
              </w:rPr>
            </w:pPr>
            <w:r>
              <w:rPr>
                <w:noProof/>
              </w:rPr>
              <w:t>T4</w:t>
            </w:r>
          </w:p>
        </w:tc>
        <w:tc>
          <w:tcPr>
            <w:tcW w:w="2111" w:type="dxa"/>
            <w:tcBorders>
              <w:top w:val="nil"/>
              <w:left w:val="nil"/>
              <w:bottom w:val="single" w:sz="4" w:space="0" w:color="auto"/>
              <w:right w:val="single" w:sz="4" w:space="0" w:color="auto"/>
            </w:tcBorders>
            <w:shd w:val="clear" w:color="auto" w:fill="C6EFCE"/>
            <w:noWrap/>
            <w:hideMark/>
          </w:tcPr>
          <w:p w14:paraId="1EE63207" w14:textId="77777777" w:rsidR="003D7F65" w:rsidRDefault="0082041E">
            <w:pPr>
              <w:pStyle w:val="P68B1DB1-Normal8"/>
              <w:spacing w:after="0" w:line="240" w:lineRule="auto"/>
              <w:rPr>
                <w:rFonts w:eastAsia="Times New Roman"/>
                <w:noProof/>
              </w:rPr>
            </w:pPr>
            <w:r>
              <w:rPr>
                <w:noProof/>
              </w:rPr>
              <w:t>2025</w:t>
            </w:r>
          </w:p>
        </w:tc>
        <w:tc>
          <w:tcPr>
            <w:tcW w:w="2241" w:type="dxa"/>
            <w:tcBorders>
              <w:top w:val="nil"/>
              <w:left w:val="nil"/>
              <w:bottom w:val="single" w:sz="4" w:space="0" w:color="auto"/>
              <w:right w:val="single" w:sz="4" w:space="0" w:color="auto"/>
            </w:tcBorders>
            <w:shd w:val="clear" w:color="auto" w:fill="C6EFCE"/>
            <w:noWrap/>
            <w:hideMark/>
          </w:tcPr>
          <w:p w14:paraId="0019F4D0" w14:textId="77777777" w:rsidR="003D7F65" w:rsidRDefault="0082041E">
            <w:pPr>
              <w:pStyle w:val="P68B1DB1-Normal9"/>
              <w:spacing w:after="0" w:line="240" w:lineRule="auto"/>
              <w:rPr>
                <w:noProof/>
              </w:rPr>
            </w:pPr>
            <w:r>
              <w:rPr>
                <w:noProof/>
              </w:rPr>
              <w:t>Entrée en vigueur de l'accord de mise en œuvre.</w:t>
            </w:r>
          </w:p>
        </w:tc>
      </w:tr>
      <w:tr w:rsidR="005D5FEB" w14:paraId="1B1F1800" w14:textId="77777777" w:rsidTr="005D5FEB">
        <w:trPr>
          <w:trHeight w:val="308"/>
        </w:trPr>
        <w:tc>
          <w:tcPr>
            <w:tcW w:w="846" w:type="dxa"/>
            <w:tcBorders>
              <w:top w:val="single" w:sz="4" w:space="0" w:color="auto"/>
              <w:left w:val="single" w:sz="4" w:space="0" w:color="auto"/>
              <w:bottom w:val="single" w:sz="4" w:space="0" w:color="auto"/>
              <w:right w:val="single" w:sz="4" w:space="0" w:color="auto"/>
            </w:tcBorders>
            <w:shd w:val="clear" w:color="auto" w:fill="C6EFCE"/>
            <w:noWrap/>
            <w:hideMark/>
          </w:tcPr>
          <w:p w14:paraId="46498C0E" w14:textId="77777777" w:rsidR="003D7F65" w:rsidRDefault="0082041E">
            <w:pPr>
              <w:pStyle w:val="P68B1DB1-Normal8"/>
              <w:spacing w:after="0" w:line="240" w:lineRule="auto"/>
              <w:jc w:val="center"/>
              <w:rPr>
                <w:rFonts w:eastAsia="Times New Roman"/>
                <w:noProof/>
              </w:rPr>
            </w:pPr>
            <w:r>
              <w:rPr>
                <w:noProof/>
              </w:rPr>
              <w:t>18</w:t>
            </w:r>
          </w:p>
        </w:tc>
        <w:tc>
          <w:tcPr>
            <w:tcW w:w="1529" w:type="dxa"/>
            <w:tcBorders>
              <w:top w:val="single" w:sz="4" w:space="0" w:color="auto"/>
              <w:left w:val="nil"/>
              <w:bottom w:val="single" w:sz="4" w:space="0" w:color="auto"/>
              <w:right w:val="single" w:sz="4" w:space="0" w:color="auto"/>
            </w:tcBorders>
            <w:shd w:val="clear" w:color="auto" w:fill="C6EFCE"/>
            <w:noWrap/>
            <w:hideMark/>
          </w:tcPr>
          <w:p w14:paraId="0E8EE09D" w14:textId="77777777" w:rsidR="003D7F65" w:rsidRDefault="0082041E">
            <w:pPr>
              <w:pStyle w:val="P68B1DB1-Normal8"/>
              <w:spacing w:after="0" w:line="240" w:lineRule="auto"/>
              <w:rPr>
                <w:rFonts w:eastAsia="Times New Roman"/>
                <w:noProof/>
              </w:rPr>
            </w:pPr>
            <w:r>
              <w:rPr>
                <w:noProof/>
              </w:rPr>
              <w:t>P1C2I1 – Réformes industrielles et investissements à l’appui de la transition écologique et numérique – Hydrogène bas carbone et captage et utilisation du carbone</w:t>
            </w:r>
          </w:p>
        </w:tc>
        <w:tc>
          <w:tcPr>
            <w:tcW w:w="1097" w:type="dxa"/>
            <w:tcBorders>
              <w:top w:val="single" w:sz="4" w:space="0" w:color="auto"/>
              <w:left w:val="nil"/>
              <w:bottom w:val="single" w:sz="4" w:space="0" w:color="auto"/>
              <w:right w:val="single" w:sz="4" w:space="0" w:color="auto"/>
            </w:tcBorders>
            <w:shd w:val="clear" w:color="auto" w:fill="C6EFCE"/>
            <w:noWrap/>
            <w:hideMark/>
          </w:tcPr>
          <w:p w14:paraId="1A4B8D40" w14:textId="77777777" w:rsidR="003D7F65" w:rsidRDefault="0082041E">
            <w:pPr>
              <w:pStyle w:val="P68B1DB1-Normal8"/>
              <w:spacing w:after="0" w:line="240" w:lineRule="auto"/>
              <w:rPr>
                <w:rFonts w:eastAsia="Times New Roman"/>
                <w:noProof/>
              </w:rPr>
            </w:pPr>
            <w:r>
              <w:rPr>
                <w:noProof/>
              </w:rPr>
              <w:t>Objectif</w:t>
            </w:r>
          </w:p>
        </w:tc>
        <w:tc>
          <w:tcPr>
            <w:tcW w:w="1399" w:type="dxa"/>
            <w:tcBorders>
              <w:top w:val="single" w:sz="4" w:space="0" w:color="auto"/>
              <w:left w:val="nil"/>
              <w:bottom w:val="single" w:sz="4" w:space="0" w:color="auto"/>
              <w:right w:val="single" w:sz="4" w:space="0" w:color="auto"/>
            </w:tcBorders>
            <w:shd w:val="clear" w:color="auto" w:fill="C6EFCE"/>
            <w:noWrap/>
            <w:hideMark/>
          </w:tcPr>
          <w:p w14:paraId="5F769C27" w14:textId="77777777" w:rsidR="003D7F65" w:rsidRDefault="0082041E">
            <w:pPr>
              <w:pStyle w:val="P68B1DB1-Normal8"/>
              <w:spacing w:after="0" w:line="240" w:lineRule="auto"/>
              <w:rPr>
                <w:rFonts w:eastAsia="Times New Roman"/>
                <w:noProof/>
              </w:rPr>
            </w:pPr>
            <w:r>
              <w:rPr>
                <w:noProof/>
              </w:rPr>
              <w:t>Accords juridiques signés avec les bénéficiaires finaux</w:t>
            </w:r>
          </w:p>
        </w:tc>
        <w:tc>
          <w:tcPr>
            <w:tcW w:w="1221" w:type="dxa"/>
            <w:tcBorders>
              <w:top w:val="single" w:sz="4" w:space="0" w:color="auto"/>
              <w:left w:val="nil"/>
              <w:bottom w:val="single" w:sz="4" w:space="0" w:color="auto"/>
              <w:right w:val="single" w:sz="4" w:space="0" w:color="auto"/>
            </w:tcBorders>
            <w:shd w:val="clear" w:color="auto" w:fill="C6EFCE"/>
            <w:noWrap/>
            <w:hideMark/>
          </w:tcPr>
          <w:p w14:paraId="64515E14" w14:textId="77777777" w:rsidR="003D7F65" w:rsidRDefault="003D7F65">
            <w:pPr>
              <w:spacing w:after="0" w:line="240" w:lineRule="auto"/>
              <w:rPr>
                <w:rFonts w:ascii="Times New Roman" w:eastAsia="Times New Roman" w:hAnsi="Times New Roman"/>
                <w:noProof/>
                <w:sz w:val="20"/>
                <w:szCs w:val="20"/>
              </w:rPr>
            </w:pPr>
          </w:p>
        </w:tc>
        <w:tc>
          <w:tcPr>
            <w:tcW w:w="1043" w:type="dxa"/>
            <w:tcBorders>
              <w:top w:val="single" w:sz="4" w:space="0" w:color="auto"/>
              <w:left w:val="nil"/>
              <w:bottom w:val="single" w:sz="4" w:space="0" w:color="auto"/>
              <w:right w:val="single" w:sz="4" w:space="0" w:color="auto"/>
            </w:tcBorders>
            <w:shd w:val="clear" w:color="auto" w:fill="C6EFCE"/>
            <w:noWrap/>
            <w:hideMark/>
          </w:tcPr>
          <w:p w14:paraId="20932445" w14:textId="77777777" w:rsidR="003D7F65" w:rsidRDefault="0082041E">
            <w:pPr>
              <w:pStyle w:val="P68B1DB1-Normal8"/>
              <w:spacing w:after="0" w:line="240" w:lineRule="auto"/>
              <w:rPr>
                <w:rFonts w:eastAsia="Times New Roman"/>
                <w:noProof/>
              </w:rPr>
            </w:pPr>
            <w:r>
              <w:rPr>
                <w:noProof/>
              </w:rPr>
              <w:t xml:space="preserve">Pourcentage (%) </w:t>
            </w:r>
          </w:p>
        </w:tc>
        <w:tc>
          <w:tcPr>
            <w:tcW w:w="1059" w:type="dxa"/>
            <w:tcBorders>
              <w:top w:val="single" w:sz="4" w:space="0" w:color="auto"/>
              <w:left w:val="nil"/>
              <w:bottom w:val="single" w:sz="4" w:space="0" w:color="auto"/>
              <w:right w:val="single" w:sz="4" w:space="0" w:color="auto"/>
            </w:tcBorders>
            <w:shd w:val="clear" w:color="auto" w:fill="C6EFCE"/>
            <w:noWrap/>
            <w:hideMark/>
          </w:tcPr>
          <w:p w14:paraId="47E34056" w14:textId="7ABF8960" w:rsidR="003D7F65" w:rsidRDefault="0082041E">
            <w:pPr>
              <w:pStyle w:val="P68B1DB1-Normal8"/>
              <w:spacing w:after="0" w:line="240" w:lineRule="auto"/>
              <w:rPr>
                <w:rFonts w:eastAsia="Times New Roman"/>
                <w:noProof/>
              </w:rPr>
            </w:pPr>
            <w:r>
              <w:rPr>
                <w:noProof/>
              </w:rPr>
              <w:t>0</w:t>
            </w:r>
          </w:p>
        </w:tc>
        <w:tc>
          <w:tcPr>
            <w:tcW w:w="870" w:type="dxa"/>
            <w:tcBorders>
              <w:top w:val="single" w:sz="4" w:space="0" w:color="auto"/>
              <w:left w:val="nil"/>
              <w:bottom w:val="single" w:sz="4" w:space="0" w:color="auto"/>
              <w:right w:val="single" w:sz="4" w:space="0" w:color="auto"/>
            </w:tcBorders>
            <w:shd w:val="clear" w:color="auto" w:fill="C6EFCE"/>
            <w:noWrap/>
            <w:hideMark/>
          </w:tcPr>
          <w:p w14:paraId="7427F1D7" w14:textId="77777777" w:rsidR="003D7F65" w:rsidRDefault="0082041E">
            <w:pPr>
              <w:pStyle w:val="P68B1DB1-Normal8"/>
              <w:spacing w:after="0" w:line="240" w:lineRule="auto"/>
              <w:rPr>
                <w:noProof/>
              </w:rPr>
            </w:pPr>
            <w:r>
              <w:rPr>
                <w:noProof/>
              </w:rPr>
              <w:t>100%</w:t>
            </w:r>
          </w:p>
        </w:tc>
        <w:tc>
          <w:tcPr>
            <w:tcW w:w="1145" w:type="dxa"/>
            <w:tcBorders>
              <w:top w:val="single" w:sz="4" w:space="0" w:color="auto"/>
              <w:left w:val="nil"/>
              <w:bottom w:val="single" w:sz="4" w:space="0" w:color="auto"/>
              <w:right w:val="single" w:sz="4" w:space="0" w:color="auto"/>
            </w:tcBorders>
            <w:shd w:val="clear" w:color="auto" w:fill="C6EFCE"/>
            <w:noWrap/>
            <w:hideMark/>
          </w:tcPr>
          <w:p w14:paraId="3B75B3B3" w14:textId="77777777" w:rsidR="003D7F65" w:rsidRDefault="0082041E">
            <w:pPr>
              <w:pStyle w:val="P68B1DB1-Normal8"/>
              <w:spacing w:after="0" w:line="240" w:lineRule="auto"/>
              <w:rPr>
                <w:rFonts w:eastAsia="Times New Roman"/>
                <w:noProof/>
              </w:rPr>
            </w:pPr>
            <w:r>
              <w:rPr>
                <w:noProof/>
              </w:rPr>
              <w:t>T2</w:t>
            </w:r>
          </w:p>
        </w:tc>
        <w:tc>
          <w:tcPr>
            <w:tcW w:w="2111" w:type="dxa"/>
            <w:tcBorders>
              <w:top w:val="single" w:sz="4" w:space="0" w:color="auto"/>
              <w:left w:val="nil"/>
              <w:bottom w:val="single" w:sz="4" w:space="0" w:color="auto"/>
              <w:right w:val="single" w:sz="4" w:space="0" w:color="auto"/>
            </w:tcBorders>
            <w:shd w:val="clear" w:color="auto" w:fill="C6EFCE"/>
            <w:noWrap/>
            <w:hideMark/>
          </w:tcPr>
          <w:p w14:paraId="2D7BB7C4" w14:textId="77777777" w:rsidR="003D7F65" w:rsidRDefault="0082041E">
            <w:pPr>
              <w:pStyle w:val="P68B1DB1-Normal8"/>
              <w:spacing w:after="0" w:line="240" w:lineRule="auto"/>
              <w:rPr>
                <w:rFonts w:eastAsia="Times New Roman"/>
                <w:noProof/>
              </w:rPr>
            </w:pPr>
            <w:r>
              <w:rPr>
                <w:noProof/>
              </w:rPr>
              <w:t>2026</w:t>
            </w:r>
          </w:p>
        </w:tc>
        <w:tc>
          <w:tcPr>
            <w:tcW w:w="2241" w:type="dxa"/>
            <w:tcBorders>
              <w:top w:val="single" w:sz="4" w:space="0" w:color="auto"/>
              <w:left w:val="nil"/>
              <w:bottom w:val="single" w:sz="4" w:space="0" w:color="auto"/>
              <w:right w:val="single" w:sz="4" w:space="0" w:color="auto"/>
            </w:tcBorders>
            <w:shd w:val="clear" w:color="auto" w:fill="C6EFCE"/>
            <w:noWrap/>
            <w:hideMark/>
          </w:tcPr>
          <w:p w14:paraId="7E459698" w14:textId="77777777" w:rsidR="003D7F65" w:rsidRDefault="0082041E">
            <w:pPr>
              <w:pStyle w:val="P68B1DB1-Normal8"/>
              <w:spacing w:after="0" w:line="240" w:lineRule="auto"/>
              <w:rPr>
                <w:noProof/>
              </w:rPr>
            </w:pPr>
            <w:r>
              <w:rPr>
                <w:noProof/>
              </w:rPr>
              <w:t xml:space="preserve">Business Finland a conclu des accords juridiques de subvention avec les bénéficiaires finaux pour un montant nécessaire à l’utilisation de 100 % de l’investissement au titre de la FRR dans le régime (en tenant compte des frais de gestion). </w:t>
            </w:r>
          </w:p>
          <w:p w14:paraId="3197798E" w14:textId="463CDF54" w:rsidR="003D7F65" w:rsidRDefault="0082041E">
            <w:pPr>
              <w:pStyle w:val="P68B1DB1-Normal8"/>
              <w:spacing w:after="0" w:line="240" w:lineRule="auto"/>
              <w:rPr>
                <w:rFonts w:eastAsia="Times New Roman"/>
                <w:noProof/>
              </w:rPr>
            </w:pPr>
            <w:r>
              <w:rPr>
                <w:noProof/>
              </w:rPr>
              <w:t>100 % de ce financement contribue à la réalisation des objectifs climatiques en utilisant la méthode figurant à l’annexe VI du règlement FRR. Les termes «accord juridique» et «accord de subvention juridique» s’entendent comme les décisions de financement octroyées par Business Finland et approuvées par le bénéficiaire final (à comprendre comme l’entité bénéficiaire finale) par l’intermédiaire des services en ligne et/ou du registre de Business Finland.</w:t>
            </w:r>
          </w:p>
        </w:tc>
      </w:tr>
      <w:tr w:rsidR="005D5FEB" w14:paraId="5C898202" w14:textId="77777777" w:rsidTr="005D5FEB">
        <w:trPr>
          <w:trHeight w:val="308"/>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2E8828F" w14:textId="77777777" w:rsidR="003D7F65" w:rsidRDefault="0082041E">
            <w:pPr>
              <w:pStyle w:val="P68B1DB1-Normal8"/>
              <w:spacing w:after="0" w:line="240" w:lineRule="auto"/>
              <w:jc w:val="center"/>
              <w:rPr>
                <w:noProof/>
              </w:rPr>
            </w:pPr>
            <w:r>
              <w:rPr>
                <w:noProof/>
              </w:rPr>
              <w:t>18 bis</w:t>
            </w:r>
          </w:p>
        </w:tc>
        <w:tc>
          <w:tcPr>
            <w:tcW w:w="1529" w:type="dxa"/>
            <w:tcBorders>
              <w:top w:val="single" w:sz="4" w:space="0" w:color="auto"/>
              <w:left w:val="nil"/>
              <w:bottom w:val="single" w:sz="4" w:space="0" w:color="auto"/>
              <w:right w:val="single" w:sz="4" w:space="0" w:color="auto"/>
            </w:tcBorders>
            <w:shd w:val="clear" w:color="auto" w:fill="C6EFCE"/>
            <w:noWrap/>
          </w:tcPr>
          <w:p w14:paraId="7CE55128" w14:textId="77777777" w:rsidR="003D7F65" w:rsidRDefault="0082041E">
            <w:pPr>
              <w:pStyle w:val="P68B1DB1-Normal8"/>
              <w:spacing w:after="0" w:line="240" w:lineRule="auto"/>
              <w:rPr>
                <w:noProof/>
              </w:rPr>
            </w:pPr>
            <w:r>
              <w:rPr>
                <w:noProof/>
              </w:rPr>
              <w:t>P1C2I1 – Réformes industrielles et investissements à l’appui de la transition écologique et numérique – Hydrogène bas carbone et captage et utilisation du carbone</w:t>
            </w:r>
          </w:p>
        </w:tc>
        <w:tc>
          <w:tcPr>
            <w:tcW w:w="1097" w:type="dxa"/>
            <w:tcBorders>
              <w:top w:val="single" w:sz="4" w:space="0" w:color="auto"/>
              <w:left w:val="nil"/>
              <w:bottom w:val="single" w:sz="4" w:space="0" w:color="auto"/>
              <w:right w:val="single" w:sz="4" w:space="0" w:color="auto"/>
            </w:tcBorders>
            <w:shd w:val="clear" w:color="auto" w:fill="C6EFCE"/>
            <w:noWrap/>
          </w:tcPr>
          <w:p w14:paraId="046767FE" w14:textId="77777777" w:rsidR="003D7F65" w:rsidRDefault="0082041E">
            <w:pPr>
              <w:pStyle w:val="P68B1DB1-Normal8"/>
              <w:spacing w:after="0" w:line="240" w:lineRule="auto"/>
              <w:rPr>
                <w:noProof/>
              </w:rPr>
            </w:pPr>
            <w:r>
              <w:rPr>
                <w:noProof/>
              </w:rPr>
              <w:t>Étape</w:t>
            </w:r>
          </w:p>
        </w:tc>
        <w:tc>
          <w:tcPr>
            <w:tcW w:w="1399" w:type="dxa"/>
            <w:tcBorders>
              <w:top w:val="single" w:sz="4" w:space="0" w:color="auto"/>
              <w:left w:val="nil"/>
              <w:bottom w:val="single" w:sz="4" w:space="0" w:color="auto"/>
              <w:right w:val="single" w:sz="4" w:space="0" w:color="auto"/>
            </w:tcBorders>
            <w:shd w:val="clear" w:color="auto" w:fill="C6EFCE"/>
            <w:noWrap/>
          </w:tcPr>
          <w:p w14:paraId="0E0D2383" w14:textId="77777777" w:rsidR="003D7F65" w:rsidRDefault="0082041E">
            <w:pPr>
              <w:pStyle w:val="P68B1DB1-Normal8"/>
              <w:spacing w:after="0" w:line="240" w:lineRule="auto"/>
              <w:rPr>
                <w:noProof/>
              </w:rPr>
            </w:pPr>
            <w:r>
              <w:rPr>
                <w:noProof/>
              </w:rPr>
              <w:t>Le ministère a terminé l'investissement</w:t>
            </w:r>
          </w:p>
        </w:tc>
        <w:tc>
          <w:tcPr>
            <w:tcW w:w="1221" w:type="dxa"/>
            <w:tcBorders>
              <w:top w:val="single" w:sz="4" w:space="0" w:color="auto"/>
              <w:left w:val="nil"/>
              <w:bottom w:val="single" w:sz="4" w:space="0" w:color="auto"/>
              <w:right w:val="single" w:sz="4" w:space="0" w:color="auto"/>
            </w:tcBorders>
            <w:shd w:val="clear" w:color="auto" w:fill="C6EFCE"/>
            <w:noWrap/>
          </w:tcPr>
          <w:p w14:paraId="291820D3" w14:textId="77777777" w:rsidR="003D7F65" w:rsidRDefault="0082041E">
            <w:pPr>
              <w:pStyle w:val="P68B1DB1-Normal8"/>
              <w:spacing w:after="0" w:line="240" w:lineRule="auto"/>
              <w:rPr>
                <w:noProof/>
              </w:rPr>
            </w:pPr>
            <w:r>
              <w:rPr>
                <w:noProof/>
              </w:rPr>
              <w:t>Certificat de transfert</w:t>
            </w:r>
          </w:p>
        </w:tc>
        <w:tc>
          <w:tcPr>
            <w:tcW w:w="1043" w:type="dxa"/>
            <w:tcBorders>
              <w:top w:val="single" w:sz="4" w:space="0" w:color="auto"/>
              <w:left w:val="nil"/>
              <w:bottom w:val="single" w:sz="4" w:space="0" w:color="auto"/>
              <w:right w:val="single" w:sz="4" w:space="0" w:color="auto"/>
            </w:tcBorders>
            <w:shd w:val="clear" w:color="auto" w:fill="C6EFCE"/>
            <w:noWrap/>
          </w:tcPr>
          <w:p w14:paraId="1DAFF607" w14:textId="77777777" w:rsidR="003D7F65" w:rsidRDefault="003D7F65">
            <w:pPr>
              <w:spacing w:after="0" w:line="240" w:lineRule="auto"/>
              <w:rPr>
                <w:rFonts w:ascii="Times New Roman" w:hAnsi="Times New Roman"/>
                <w:noProof/>
                <w:sz w:val="20"/>
                <w:szCs w:val="20"/>
              </w:rPr>
            </w:pPr>
          </w:p>
        </w:tc>
        <w:tc>
          <w:tcPr>
            <w:tcW w:w="1059" w:type="dxa"/>
            <w:tcBorders>
              <w:top w:val="single" w:sz="4" w:space="0" w:color="auto"/>
              <w:left w:val="nil"/>
              <w:bottom w:val="single" w:sz="4" w:space="0" w:color="auto"/>
              <w:right w:val="single" w:sz="4" w:space="0" w:color="auto"/>
            </w:tcBorders>
            <w:shd w:val="clear" w:color="auto" w:fill="C6EFCE"/>
            <w:noWrap/>
          </w:tcPr>
          <w:p w14:paraId="027E26F0" w14:textId="77777777" w:rsidR="003D7F65" w:rsidRDefault="003D7F65">
            <w:pPr>
              <w:spacing w:after="0" w:line="240" w:lineRule="auto"/>
              <w:rPr>
                <w:rFonts w:ascii="Times New Roman" w:hAnsi="Times New Roman"/>
                <w:noProof/>
                <w:sz w:val="20"/>
                <w:szCs w:val="20"/>
              </w:rPr>
            </w:pPr>
          </w:p>
        </w:tc>
        <w:tc>
          <w:tcPr>
            <w:tcW w:w="870" w:type="dxa"/>
            <w:tcBorders>
              <w:top w:val="single" w:sz="4" w:space="0" w:color="auto"/>
              <w:left w:val="nil"/>
              <w:bottom w:val="single" w:sz="4" w:space="0" w:color="auto"/>
              <w:right w:val="single" w:sz="4" w:space="0" w:color="auto"/>
            </w:tcBorders>
            <w:shd w:val="clear" w:color="auto" w:fill="C6EFCE"/>
            <w:noWrap/>
          </w:tcPr>
          <w:p w14:paraId="3CA88819" w14:textId="77777777" w:rsidR="003D7F65" w:rsidRDefault="003D7F65">
            <w:pPr>
              <w:spacing w:after="0" w:line="240" w:lineRule="auto"/>
              <w:rPr>
                <w:rFonts w:ascii="Times New Roman" w:hAnsi="Times New Roman"/>
                <w:noProof/>
                <w:sz w:val="20"/>
                <w:szCs w:val="20"/>
              </w:rPr>
            </w:pPr>
          </w:p>
        </w:tc>
        <w:tc>
          <w:tcPr>
            <w:tcW w:w="1145" w:type="dxa"/>
            <w:tcBorders>
              <w:top w:val="single" w:sz="4" w:space="0" w:color="auto"/>
              <w:left w:val="nil"/>
              <w:bottom w:val="single" w:sz="4" w:space="0" w:color="auto"/>
              <w:right w:val="single" w:sz="4" w:space="0" w:color="auto"/>
            </w:tcBorders>
            <w:shd w:val="clear" w:color="auto" w:fill="C6EFCE"/>
            <w:noWrap/>
          </w:tcPr>
          <w:p w14:paraId="287A08CB" w14:textId="77777777" w:rsidR="003D7F65" w:rsidRDefault="0082041E">
            <w:pPr>
              <w:pStyle w:val="P68B1DB1-Normal8"/>
              <w:spacing w:after="0" w:line="240" w:lineRule="auto"/>
              <w:rPr>
                <w:noProof/>
              </w:rPr>
            </w:pPr>
            <w:r>
              <w:rPr>
                <w:noProof/>
              </w:rPr>
              <w:t>T2</w:t>
            </w:r>
          </w:p>
        </w:tc>
        <w:tc>
          <w:tcPr>
            <w:tcW w:w="2111" w:type="dxa"/>
            <w:tcBorders>
              <w:top w:val="single" w:sz="4" w:space="0" w:color="auto"/>
              <w:left w:val="nil"/>
              <w:bottom w:val="single" w:sz="4" w:space="0" w:color="auto"/>
              <w:right w:val="single" w:sz="4" w:space="0" w:color="auto"/>
            </w:tcBorders>
            <w:shd w:val="clear" w:color="auto" w:fill="C6EFCE"/>
            <w:noWrap/>
          </w:tcPr>
          <w:p w14:paraId="6CB018D4" w14:textId="77777777" w:rsidR="003D7F65" w:rsidRDefault="0082041E">
            <w:pPr>
              <w:pStyle w:val="P68B1DB1-Normal8"/>
              <w:spacing w:after="0" w:line="240" w:lineRule="auto"/>
              <w:rPr>
                <w:noProof/>
              </w:rPr>
            </w:pPr>
            <w:r>
              <w:rPr>
                <w:noProof/>
              </w:rPr>
              <w:t>2026</w:t>
            </w:r>
          </w:p>
        </w:tc>
        <w:tc>
          <w:tcPr>
            <w:tcW w:w="2241" w:type="dxa"/>
            <w:tcBorders>
              <w:top w:val="single" w:sz="4" w:space="0" w:color="auto"/>
              <w:left w:val="nil"/>
              <w:bottom w:val="single" w:sz="4" w:space="0" w:color="auto"/>
              <w:right w:val="single" w:sz="4" w:space="0" w:color="auto"/>
            </w:tcBorders>
            <w:shd w:val="clear" w:color="auto" w:fill="C6EFCE"/>
            <w:noWrap/>
          </w:tcPr>
          <w:p w14:paraId="3AB568FD" w14:textId="7108F17D" w:rsidR="003D7F65" w:rsidRDefault="0082041E">
            <w:pPr>
              <w:pStyle w:val="P68B1DB1-Normal8"/>
              <w:spacing w:after="0" w:line="240" w:lineRule="auto"/>
              <w:rPr>
                <w:noProof/>
              </w:rPr>
            </w:pPr>
            <w:r>
              <w:rPr>
                <w:noProof/>
              </w:rPr>
              <w:t>La Finlande transfère 131 534 000 EUR à Business Finland pour le régime.</w:t>
            </w:r>
          </w:p>
        </w:tc>
      </w:tr>
      <w:tr w:rsidR="005D5FEB" w14:paraId="10A5008C" w14:textId="77777777" w:rsidTr="005D5FEB">
        <w:trPr>
          <w:trHeight w:val="308"/>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24D673D" w14:textId="77777777" w:rsidR="003D7F65" w:rsidRDefault="0082041E">
            <w:pPr>
              <w:pStyle w:val="P68B1DB1-Normal8"/>
              <w:spacing w:after="0" w:line="240" w:lineRule="auto"/>
              <w:jc w:val="center"/>
              <w:rPr>
                <w:rFonts w:eastAsia="Times New Roman"/>
                <w:noProof/>
              </w:rPr>
            </w:pPr>
            <w:r>
              <w:rPr>
                <w:noProof/>
              </w:rPr>
              <w:t>19</w:t>
            </w:r>
          </w:p>
        </w:tc>
        <w:tc>
          <w:tcPr>
            <w:tcW w:w="1529" w:type="dxa"/>
            <w:tcBorders>
              <w:top w:val="single" w:sz="4" w:space="0" w:color="auto"/>
              <w:left w:val="nil"/>
              <w:bottom w:val="single" w:sz="4" w:space="0" w:color="auto"/>
              <w:right w:val="single" w:sz="4" w:space="0" w:color="auto"/>
            </w:tcBorders>
            <w:shd w:val="clear" w:color="auto" w:fill="C6EFCE"/>
            <w:noWrap/>
          </w:tcPr>
          <w:p w14:paraId="0E7E40D7" w14:textId="77777777" w:rsidR="003D7F65" w:rsidRDefault="0082041E">
            <w:pPr>
              <w:pStyle w:val="P68B1DB1-Normal8"/>
              <w:spacing w:after="0" w:line="240" w:lineRule="auto"/>
              <w:rPr>
                <w:rFonts w:eastAsia="Times New Roman"/>
                <w:noProof/>
              </w:rPr>
            </w:pPr>
            <w:r>
              <w:rPr>
                <w:noProof/>
              </w:rPr>
              <w:t>P1C2I2 – Réformes industrielles et investissements soutenant la transition écologique et numérique – Électrification directe et décarbonation des processus industriels</w:t>
            </w:r>
          </w:p>
        </w:tc>
        <w:tc>
          <w:tcPr>
            <w:tcW w:w="1097" w:type="dxa"/>
            <w:tcBorders>
              <w:top w:val="single" w:sz="4" w:space="0" w:color="auto"/>
              <w:left w:val="nil"/>
              <w:bottom w:val="single" w:sz="4" w:space="0" w:color="auto"/>
              <w:right w:val="single" w:sz="4" w:space="0" w:color="auto"/>
            </w:tcBorders>
            <w:shd w:val="clear" w:color="auto" w:fill="C6EFCE"/>
            <w:noWrap/>
          </w:tcPr>
          <w:p w14:paraId="1C8A3BFE"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single" w:sz="4" w:space="0" w:color="auto"/>
              <w:left w:val="nil"/>
              <w:bottom w:val="single" w:sz="4" w:space="0" w:color="auto"/>
              <w:right w:val="single" w:sz="4" w:space="0" w:color="auto"/>
            </w:tcBorders>
            <w:shd w:val="clear" w:color="auto" w:fill="C6EFCE"/>
            <w:noWrap/>
          </w:tcPr>
          <w:p w14:paraId="7E2C487A" w14:textId="77777777" w:rsidR="003D7F65" w:rsidRDefault="0082041E">
            <w:pPr>
              <w:pStyle w:val="P68B1DB1-Normal8"/>
              <w:spacing w:after="0" w:line="240" w:lineRule="auto"/>
              <w:rPr>
                <w:rFonts w:eastAsia="Times New Roman"/>
                <w:noProof/>
              </w:rPr>
            </w:pPr>
            <w:r>
              <w:rPr>
                <w:noProof/>
              </w:rPr>
              <w:t>Publication du premier appel à propositions pour l’électrification directe et la faible émission de carbone des processus industriels visant à réduire les émissions de CO2 de l’industrie</w:t>
            </w:r>
          </w:p>
        </w:tc>
        <w:tc>
          <w:tcPr>
            <w:tcW w:w="1221" w:type="dxa"/>
            <w:tcBorders>
              <w:top w:val="single" w:sz="4" w:space="0" w:color="auto"/>
              <w:left w:val="nil"/>
              <w:bottom w:val="single" w:sz="4" w:space="0" w:color="auto"/>
              <w:right w:val="single" w:sz="4" w:space="0" w:color="auto"/>
            </w:tcBorders>
            <w:shd w:val="clear" w:color="auto" w:fill="C6EFCE"/>
            <w:noWrap/>
          </w:tcPr>
          <w:p w14:paraId="03E55BEC" w14:textId="77777777" w:rsidR="003D7F65" w:rsidRDefault="0082041E">
            <w:pPr>
              <w:pStyle w:val="P68B1DB1-Normal8"/>
              <w:spacing w:after="0" w:line="240" w:lineRule="auto"/>
              <w:rPr>
                <w:rFonts w:eastAsia="Times New Roman"/>
                <w:noProof/>
              </w:rPr>
            </w:pPr>
            <w:r>
              <w:rPr>
                <w:noProof/>
              </w:rPr>
              <w:t>Publication du premier appel à candidatures sur le site web de Business Finland.</w:t>
            </w:r>
          </w:p>
        </w:tc>
        <w:tc>
          <w:tcPr>
            <w:tcW w:w="1043" w:type="dxa"/>
            <w:tcBorders>
              <w:top w:val="single" w:sz="4" w:space="0" w:color="auto"/>
              <w:left w:val="nil"/>
              <w:bottom w:val="single" w:sz="4" w:space="0" w:color="auto"/>
              <w:right w:val="single" w:sz="4" w:space="0" w:color="auto"/>
            </w:tcBorders>
            <w:shd w:val="clear" w:color="auto" w:fill="C6EFCE"/>
            <w:noWrap/>
          </w:tcPr>
          <w:p w14:paraId="110419EB" w14:textId="77777777" w:rsidR="003D7F65" w:rsidRDefault="0082041E">
            <w:pPr>
              <w:pStyle w:val="P68B1DB1-Normal8"/>
              <w:spacing w:after="0" w:line="240" w:lineRule="auto"/>
              <w:rPr>
                <w:rFonts w:eastAsia="Times New Roman"/>
                <w:noProof/>
              </w:rPr>
            </w:pPr>
            <w:r>
              <w:rPr>
                <w:noProof/>
              </w:rPr>
              <w:t> </w:t>
            </w:r>
          </w:p>
        </w:tc>
        <w:tc>
          <w:tcPr>
            <w:tcW w:w="1059" w:type="dxa"/>
            <w:tcBorders>
              <w:top w:val="single" w:sz="4" w:space="0" w:color="auto"/>
              <w:left w:val="nil"/>
              <w:bottom w:val="single" w:sz="4" w:space="0" w:color="auto"/>
              <w:right w:val="single" w:sz="4" w:space="0" w:color="auto"/>
            </w:tcBorders>
            <w:shd w:val="clear" w:color="auto" w:fill="C6EFCE"/>
            <w:noWrap/>
          </w:tcPr>
          <w:p w14:paraId="65631427" w14:textId="77777777" w:rsidR="003D7F65" w:rsidRDefault="0082041E">
            <w:pPr>
              <w:pStyle w:val="P68B1DB1-Normal8"/>
              <w:spacing w:after="0" w:line="240" w:lineRule="auto"/>
              <w:rPr>
                <w:rFonts w:eastAsia="Times New Roman"/>
                <w:noProof/>
              </w:rPr>
            </w:pPr>
            <w:r>
              <w:rPr>
                <w:noProof/>
              </w:rPr>
              <w:t> </w:t>
            </w:r>
          </w:p>
        </w:tc>
        <w:tc>
          <w:tcPr>
            <w:tcW w:w="870" w:type="dxa"/>
            <w:tcBorders>
              <w:top w:val="single" w:sz="4" w:space="0" w:color="auto"/>
              <w:left w:val="nil"/>
              <w:bottom w:val="single" w:sz="4" w:space="0" w:color="auto"/>
              <w:right w:val="single" w:sz="4" w:space="0" w:color="auto"/>
            </w:tcBorders>
            <w:shd w:val="clear" w:color="auto" w:fill="C6EFCE"/>
            <w:noWrap/>
          </w:tcPr>
          <w:p w14:paraId="2508F675" w14:textId="77777777" w:rsidR="003D7F65" w:rsidRDefault="0082041E">
            <w:pPr>
              <w:pStyle w:val="P68B1DB1-Normal8"/>
              <w:spacing w:after="0" w:line="240" w:lineRule="auto"/>
              <w:rPr>
                <w:rFonts w:eastAsia="Times New Roman"/>
                <w:noProof/>
              </w:rPr>
            </w:pPr>
            <w:r>
              <w:rPr>
                <w:noProof/>
              </w:rPr>
              <w:t> </w:t>
            </w:r>
          </w:p>
        </w:tc>
        <w:tc>
          <w:tcPr>
            <w:tcW w:w="1145" w:type="dxa"/>
            <w:tcBorders>
              <w:top w:val="single" w:sz="4" w:space="0" w:color="auto"/>
              <w:left w:val="nil"/>
              <w:bottom w:val="single" w:sz="4" w:space="0" w:color="auto"/>
              <w:right w:val="single" w:sz="4" w:space="0" w:color="auto"/>
            </w:tcBorders>
            <w:shd w:val="clear" w:color="auto" w:fill="C6EFCE"/>
            <w:noWrap/>
          </w:tcPr>
          <w:p w14:paraId="63E3BB9F" w14:textId="77777777" w:rsidR="003D7F65" w:rsidRDefault="0082041E">
            <w:pPr>
              <w:pStyle w:val="P68B1DB1-Normal8"/>
              <w:spacing w:after="0" w:line="240" w:lineRule="auto"/>
              <w:rPr>
                <w:rFonts w:eastAsia="Times New Roman"/>
                <w:noProof/>
              </w:rPr>
            </w:pPr>
            <w:r>
              <w:rPr>
                <w:noProof/>
              </w:rPr>
              <w:t>T4</w:t>
            </w:r>
          </w:p>
        </w:tc>
        <w:tc>
          <w:tcPr>
            <w:tcW w:w="2111" w:type="dxa"/>
            <w:tcBorders>
              <w:top w:val="single" w:sz="4" w:space="0" w:color="auto"/>
              <w:left w:val="nil"/>
              <w:bottom w:val="single" w:sz="4" w:space="0" w:color="auto"/>
              <w:right w:val="single" w:sz="4" w:space="0" w:color="auto"/>
            </w:tcBorders>
            <w:shd w:val="clear" w:color="auto" w:fill="C6EFCE"/>
            <w:noWrap/>
          </w:tcPr>
          <w:p w14:paraId="32A1A9CA" w14:textId="77777777" w:rsidR="003D7F65" w:rsidRDefault="0082041E">
            <w:pPr>
              <w:pStyle w:val="P68B1DB1-Normal8"/>
              <w:spacing w:after="0" w:line="240" w:lineRule="auto"/>
              <w:rPr>
                <w:rFonts w:eastAsia="Times New Roman"/>
                <w:noProof/>
              </w:rPr>
            </w:pPr>
            <w:r>
              <w:rPr>
                <w:noProof/>
              </w:rPr>
              <w:t>2021</w:t>
            </w:r>
          </w:p>
        </w:tc>
        <w:tc>
          <w:tcPr>
            <w:tcW w:w="2241" w:type="dxa"/>
            <w:tcBorders>
              <w:top w:val="single" w:sz="4" w:space="0" w:color="auto"/>
              <w:left w:val="nil"/>
              <w:bottom w:val="single" w:sz="4" w:space="0" w:color="auto"/>
              <w:right w:val="single" w:sz="4" w:space="0" w:color="auto"/>
            </w:tcBorders>
            <w:shd w:val="clear" w:color="auto" w:fill="C6EFCE"/>
            <w:noWrap/>
          </w:tcPr>
          <w:p w14:paraId="7EFB7ADA" w14:textId="210620A9" w:rsidR="003D7F65" w:rsidRDefault="0082041E">
            <w:pPr>
              <w:pStyle w:val="P68B1DB1-Normal8"/>
              <w:spacing w:after="0" w:line="240" w:lineRule="auto"/>
              <w:rPr>
                <w:rFonts w:eastAsia="Times New Roman"/>
                <w:noProof/>
              </w:rPr>
            </w:pPr>
            <w:r>
              <w:rPr>
                <w:noProof/>
              </w:rPr>
              <w:t>Les lignes directrices modifiées en matière de financement (règlement sur</w:t>
            </w:r>
            <w:r>
              <w:rPr>
                <w:i/>
                <w:noProof/>
              </w:rPr>
              <w:t xml:space="preserve"> </w:t>
            </w:r>
            <w:r>
              <w:rPr>
                <w:noProof/>
              </w:rPr>
              <w:t>les aides à l’énergie) sont entrées en vigueur, permettant le lancement du premier appel à propositions concurrentiel pour l’électrification directe et la faible émission de carbone des processus industriels visant à réduire les émissions de CO2 de l’industrie. Le cahier des charges de l’appel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5D5FEB" w14:paraId="36D52215" w14:textId="77777777" w:rsidTr="005D5FEB">
        <w:trPr>
          <w:trHeight w:val="308"/>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512BE5F" w14:textId="77777777" w:rsidR="003D7F65" w:rsidRDefault="0082041E">
            <w:pPr>
              <w:pStyle w:val="P68B1DB1-Normal8"/>
              <w:spacing w:after="0" w:line="240" w:lineRule="auto"/>
              <w:jc w:val="center"/>
              <w:rPr>
                <w:rFonts w:eastAsia="Times New Roman"/>
                <w:noProof/>
              </w:rPr>
            </w:pPr>
            <w:r>
              <w:rPr>
                <w:noProof/>
              </w:rPr>
              <w:t>20</w:t>
            </w:r>
          </w:p>
        </w:tc>
        <w:tc>
          <w:tcPr>
            <w:tcW w:w="1529" w:type="dxa"/>
            <w:tcBorders>
              <w:top w:val="single" w:sz="4" w:space="0" w:color="auto"/>
              <w:left w:val="nil"/>
              <w:bottom w:val="single" w:sz="4" w:space="0" w:color="auto"/>
              <w:right w:val="single" w:sz="4" w:space="0" w:color="auto"/>
            </w:tcBorders>
            <w:shd w:val="clear" w:color="auto" w:fill="C6EFCE"/>
            <w:noWrap/>
          </w:tcPr>
          <w:p w14:paraId="5B1E0F3D" w14:textId="77777777" w:rsidR="003D7F65" w:rsidRDefault="0082041E">
            <w:pPr>
              <w:pStyle w:val="P68B1DB1-Normal8"/>
              <w:spacing w:after="0" w:line="240" w:lineRule="auto"/>
              <w:rPr>
                <w:rFonts w:eastAsia="Times New Roman"/>
                <w:noProof/>
              </w:rPr>
            </w:pPr>
            <w:r>
              <w:rPr>
                <w:noProof/>
              </w:rPr>
              <w:t>P1C2I2 – Réformes industrielles et investissements soutenant la transition écologique et numérique – Électrification directe et décarbonation des processus industriels</w:t>
            </w:r>
          </w:p>
        </w:tc>
        <w:tc>
          <w:tcPr>
            <w:tcW w:w="1097" w:type="dxa"/>
            <w:tcBorders>
              <w:top w:val="single" w:sz="4" w:space="0" w:color="auto"/>
              <w:left w:val="nil"/>
              <w:bottom w:val="single" w:sz="4" w:space="0" w:color="auto"/>
              <w:right w:val="single" w:sz="4" w:space="0" w:color="auto"/>
            </w:tcBorders>
            <w:shd w:val="clear" w:color="auto" w:fill="C6EFCE"/>
            <w:noWrap/>
          </w:tcPr>
          <w:p w14:paraId="2B3B7100"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single" w:sz="4" w:space="0" w:color="auto"/>
              <w:left w:val="nil"/>
              <w:bottom w:val="single" w:sz="4" w:space="0" w:color="auto"/>
              <w:right w:val="single" w:sz="4" w:space="0" w:color="auto"/>
            </w:tcBorders>
            <w:shd w:val="clear" w:color="auto" w:fill="C6EFCE"/>
            <w:noWrap/>
          </w:tcPr>
          <w:p w14:paraId="226ADEAD" w14:textId="031FC5BF" w:rsidR="003D7F65" w:rsidRDefault="0082041E">
            <w:pPr>
              <w:pStyle w:val="P68B1DB1-Normal8"/>
              <w:spacing w:after="0" w:line="240" w:lineRule="auto"/>
              <w:rPr>
                <w:rFonts w:eastAsia="Times New Roman"/>
                <w:noProof/>
              </w:rPr>
            </w:pPr>
            <w:r>
              <w:rPr>
                <w:noProof/>
              </w:rPr>
              <w:t>Attribution de toutes les subventions pour des projets d'électrification directe et de procédés industriels à faible émission de carbone</w:t>
            </w:r>
          </w:p>
        </w:tc>
        <w:tc>
          <w:tcPr>
            <w:tcW w:w="1221" w:type="dxa"/>
            <w:tcBorders>
              <w:top w:val="single" w:sz="4" w:space="0" w:color="auto"/>
              <w:left w:val="nil"/>
              <w:bottom w:val="single" w:sz="4" w:space="0" w:color="auto"/>
              <w:right w:val="single" w:sz="4" w:space="0" w:color="auto"/>
            </w:tcBorders>
            <w:shd w:val="clear" w:color="auto" w:fill="C6EFCE"/>
            <w:noWrap/>
          </w:tcPr>
          <w:p w14:paraId="78ED45DF" w14:textId="77777777" w:rsidR="003D7F65" w:rsidRDefault="0082041E">
            <w:pPr>
              <w:pStyle w:val="P68B1DB1-Normal8"/>
              <w:spacing w:after="0" w:line="240" w:lineRule="auto"/>
              <w:rPr>
                <w:rFonts w:eastAsia="Times New Roman"/>
                <w:noProof/>
              </w:rPr>
            </w:pPr>
            <w:r>
              <w:rPr>
                <w:noProof/>
              </w:rPr>
              <w:t>Notification de l'octroi de toutes les subventions</w:t>
            </w:r>
          </w:p>
        </w:tc>
        <w:tc>
          <w:tcPr>
            <w:tcW w:w="1043" w:type="dxa"/>
            <w:tcBorders>
              <w:top w:val="single" w:sz="4" w:space="0" w:color="auto"/>
              <w:left w:val="nil"/>
              <w:bottom w:val="single" w:sz="4" w:space="0" w:color="auto"/>
              <w:right w:val="single" w:sz="4" w:space="0" w:color="auto"/>
            </w:tcBorders>
            <w:shd w:val="clear" w:color="auto" w:fill="C6EFCE"/>
            <w:noWrap/>
          </w:tcPr>
          <w:p w14:paraId="419E709A" w14:textId="77777777" w:rsidR="003D7F65" w:rsidRDefault="0082041E">
            <w:pPr>
              <w:pStyle w:val="P68B1DB1-Normal8"/>
              <w:spacing w:after="0" w:line="240" w:lineRule="auto"/>
              <w:rPr>
                <w:rFonts w:eastAsia="Times New Roman"/>
                <w:noProof/>
              </w:rPr>
            </w:pPr>
            <w:r>
              <w:rPr>
                <w:noProof/>
              </w:rPr>
              <w:t> </w:t>
            </w:r>
          </w:p>
        </w:tc>
        <w:tc>
          <w:tcPr>
            <w:tcW w:w="1059" w:type="dxa"/>
            <w:tcBorders>
              <w:top w:val="single" w:sz="4" w:space="0" w:color="auto"/>
              <w:left w:val="nil"/>
              <w:bottom w:val="single" w:sz="4" w:space="0" w:color="auto"/>
              <w:right w:val="single" w:sz="4" w:space="0" w:color="auto"/>
            </w:tcBorders>
            <w:shd w:val="clear" w:color="auto" w:fill="C6EFCE"/>
            <w:noWrap/>
          </w:tcPr>
          <w:p w14:paraId="76528FB2" w14:textId="77777777" w:rsidR="003D7F65" w:rsidRDefault="0082041E">
            <w:pPr>
              <w:pStyle w:val="P68B1DB1-Normal8"/>
              <w:spacing w:after="0" w:line="240" w:lineRule="auto"/>
              <w:rPr>
                <w:rFonts w:eastAsia="Times New Roman"/>
                <w:noProof/>
              </w:rPr>
            </w:pPr>
            <w:r>
              <w:rPr>
                <w:noProof/>
              </w:rPr>
              <w:t> </w:t>
            </w:r>
          </w:p>
        </w:tc>
        <w:tc>
          <w:tcPr>
            <w:tcW w:w="870" w:type="dxa"/>
            <w:tcBorders>
              <w:top w:val="single" w:sz="4" w:space="0" w:color="auto"/>
              <w:left w:val="nil"/>
              <w:bottom w:val="single" w:sz="4" w:space="0" w:color="auto"/>
              <w:right w:val="single" w:sz="4" w:space="0" w:color="auto"/>
            </w:tcBorders>
            <w:shd w:val="clear" w:color="auto" w:fill="C6EFCE"/>
            <w:noWrap/>
          </w:tcPr>
          <w:p w14:paraId="585F9201" w14:textId="77777777" w:rsidR="003D7F65" w:rsidRDefault="0082041E">
            <w:pPr>
              <w:pStyle w:val="P68B1DB1-Normal8"/>
              <w:spacing w:after="0" w:line="240" w:lineRule="auto"/>
              <w:rPr>
                <w:rFonts w:eastAsia="Times New Roman"/>
                <w:noProof/>
              </w:rPr>
            </w:pPr>
            <w:r>
              <w:rPr>
                <w:noProof/>
              </w:rPr>
              <w:t> </w:t>
            </w:r>
          </w:p>
        </w:tc>
        <w:tc>
          <w:tcPr>
            <w:tcW w:w="1145" w:type="dxa"/>
            <w:tcBorders>
              <w:top w:val="single" w:sz="4" w:space="0" w:color="auto"/>
              <w:left w:val="nil"/>
              <w:bottom w:val="single" w:sz="4" w:space="0" w:color="auto"/>
              <w:right w:val="single" w:sz="4" w:space="0" w:color="auto"/>
            </w:tcBorders>
            <w:shd w:val="clear" w:color="auto" w:fill="C6EFCE"/>
            <w:noWrap/>
          </w:tcPr>
          <w:p w14:paraId="65711165" w14:textId="77777777" w:rsidR="003D7F65" w:rsidRDefault="0082041E">
            <w:pPr>
              <w:pStyle w:val="P68B1DB1-Normal8"/>
              <w:spacing w:after="0" w:line="240" w:lineRule="auto"/>
              <w:rPr>
                <w:rFonts w:eastAsia="Times New Roman"/>
                <w:noProof/>
              </w:rPr>
            </w:pPr>
            <w:r>
              <w:rPr>
                <w:noProof/>
              </w:rPr>
              <w:t>T4</w:t>
            </w:r>
          </w:p>
        </w:tc>
        <w:tc>
          <w:tcPr>
            <w:tcW w:w="2111" w:type="dxa"/>
            <w:tcBorders>
              <w:top w:val="single" w:sz="4" w:space="0" w:color="auto"/>
              <w:left w:val="nil"/>
              <w:bottom w:val="single" w:sz="4" w:space="0" w:color="auto"/>
              <w:right w:val="single" w:sz="4" w:space="0" w:color="auto"/>
            </w:tcBorders>
            <w:shd w:val="clear" w:color="auto" w:fill="C6EFCE"/>
            <w:noWrap/>
          </w:tcPr>
          <w:p w14:paraId="3DB53226" w14:textId="77777777" w:rsidR="003D7F65" w:rsidRDefault="0082041E">
            <w:pPr>
              <w:pStyle w:val="P68B1DB1-Normal8"/>
              <w:spacing w:after="0" w:line="240" w:lineRule="auto"/>
              <w:rPr>
                <w:rFonts w:eastAsia="Times New Roman"/>
                <w:noProof/>
              </w:rPr>
            </w:pPr>
            <w:r>
              <w:rPr>
                <w:noProof/>
              </w:rPr>
              <w:t>2023</w:t>
            </w:r>
          </w:p>
        </w:tc>
        <w:tc>
          <w:tcPr>
            <w:tcW w:w="2241" w:type="dxa"/>
            <w:tcBorders>
              <w:top w:val="single" w:sz="4" w:space="0" w:color="auto"/>
              <w:left w:val="single" w:sz="4" w:space="0" w:color="auto"/>
              <w:bottom w:val="single" w:sz="4" w:space="0" w:color="auto"/>
              <w:right w:val="single" w:sz="4" w:space="0" w:color="auto"/>
            </w:tcBorders>
            <w:shd w:val="clear" w:color="auto" w:fill="C6EFCE"/>
            <w:noWrap/>
          </w:tcPr>
          <w:p w14:paraId="6B51A934" w14:textId="77777777" w:rsidR="003D7F65" w:rsidRDefault="0082041E">
            <w:pPr>
              <w:pStyle w:val="P68B1DB1-Normal8"/>
              <w:spacing w:after="0" w:line="240" w:lineRule="auto"/>
              <w:rPr>
                <w:rFonts w:eastAsia="Times New Roman"/>
                <w:noProof/>
              </w:rPr>
            </w:pPr>
            <w:r>
              <w:rPr>
                <w:noProof/>
              </w:rPr>
              <w:t>La sélection de tous les projets d’électrification directe et de procédés industriels à faible intensité de carbone est effectuée conformément aux critères des appels à propositions respectifs. Tous les appels sont fondés sur les critères d’éligibilité/de sélection indiqués au jalon 19. Toutes les décisions d’octroi de financement sont adressées aux bénéficiaires/demandeurs de projets sélectionnés dans le cadre des appels à propositions concurrentiels, ce qui permet le début de la mise en œuvre des projets sélectionnés.</w:t>
            </w:r>
          </w:p>
        </w:tc>
      </w:tr>
      <w:tr w:rsidR="005D5FEB" w14:paraId="48D1C7E0"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tcPr>
          <w:p w14:paraId="29895294" w14:textId="77777777" w:rsidR="003D7F65" w:rsidRDefault="0082041E">
            <w:pPr>
              <w:pStyle w:val="P68B1DB1-Normal8"/>
              <w:spacing w:after="0" w:line="240" w:lineRule="auto"/>
              <w:jc w:val="center"/>
              <w:rPr>
                <w:rFonts w:eastAsia="Times New Roman"/>
                <w:noProof/>
              </w:rPr>
            </w:pPr>
            <w:r>
              <w:rPr>
                <w:noProof/>
              </w:rPr>
              <w:t>21</w:t>
            </w:r>
          </w:p>
        </w:tc>
        <w:tc>
          <w:tcPr>
            <w:tcW w:w="1529" w:type="dxa"/>
            <w:tcBorders>
              <w:top w:val="nil"/>
              <w:left w:val="nil"/>
              <w:bottom w:val="single" w:sz="4" w:space="0" w:color="auto"/>
              <w:right w:val="single" w:sz="4" w:space="0" w:color="auto"/>
            </w:tcBorders>
            <w:shd w:val="clear" w:color="auto" w:fill="C6EFCE"/>
            <w:noWrap/>
          </w:tcPr>
          <w:p w14:paraId="1431AE2B" w14:textId="77777777" w:rsidR="003D7F65" w:rsidRDefault="0082041E">
            <w:pPr>
              <w:pStyle w:val="P68B1DB1-Normal8"/>
              <w:spacing w:after="0" w:line="240" w:lineRule="auto"/>
              <w:rPr>
                <w:rFonts w:eastAsia="Times New Roman"/>
                <w:noProof/>
              </w:rPr>
            </w:pPr>
            <w:r>
              <w:rPr>
                <w:noProof/>
              </w:rPr>
              <w:t>P1C2I2 – Réformes industrielles et investissements soutenant la transition écologique et numérique – Électrification directe et décarbonation des processus industriels</w:t>
            </w:r>
          </w:p>
        </w:tc>
        <w:tc>
          <w:tcPr>
            <w:tcW w:w="1097" w:type="dxa"/>
            <w:tcBorders>
              <w:top w:val="nil"/>
              <w:left w:val="nil"/>
              <w:bottom w:val="single" w:sz="4" w:space="0" w:color="auto"/>
              <w:right w:val="single" w:sz="4" w:space="0" w:color="auto"/>
            </w:tcBorders>
            <w:shd w:val="clear" w:color="auto" w:fill="C6EFCE"/>
            <w:noWrap/>
          </w:tcPr>
          <w:p w14:paraId="50F35627" w14:textId="77777777" w:rsidR="003D7F65" w:rsidRDefault="0082041E">
            <w:pPr>
              <w:pStyle w:val="P68B1DB1-Normal8"/>
              <w:spacing w:after="0" w:line="240" w:lineRule="auto"/>
              <w:rPr>
                <w:rFonts w:eastAsia="Times New Roman"/>
                <w:noProof/>
              </w:rPr>
            </w:pPr>
            <w:r>
              <w:rPr>
                <w:noProof/>
              </w:rPr>
              <w:t>Objectif</w:t>
            </w:r>
          </w:p>
        </w:tc>
        <w:tc>
          <w:tcPr>
            <w:tcW w:w="1399" w:type="dxa"/>
            <w:tcBorders>
              <w:top w:val="nil"/>
              <w:left w:val="nil"/>
              <w:bottom w:val="single" w:sz="4" w:space="0" w:color="auto"/>
              <w:right w:val="single" w:sz="4" w:space="0" w:color="auto"/>
            </w:tcBorders>
            <w:shd w:val="clear" w:color="auto" w:fill="C6EFCE"/>
            <w:noWrap/>
          </w:tcPr>
          <w:p w14:paraId="223CE84B" w14:textId="77777777" w:rsidR="003D7F65" w:rsidRDefault="0082041E">
            <w:pPr>
              <w:pStyle w:val="P68B1DB1-Normal8"/>
              <w:spacing w:after="0" w:line="240" w:lineRule="auto"/>
              <w:rPr>
                <w:noProof/>
              </w:rPr>
            </w:pPr>
            <w:r>
              <w:rPr>
                <w:noProof/>
              </w:rPr>
              <w:t>Avis d'achèvement de projet ou rapports de projet soumis</w:t>
            </w:r>
          </w:p>
        </w:tc>
        <w:tc>
          <w:tcPr>
            <w:tcW w:w="1221" w:type="dxa"/>
            <w:tcBorders>
              <w:top w:val="nil"/>
              <w:left w:val="nil"/>
              <w:bottom w:val="single" w:sz="4" w:space="0" w:color="auto"/>
              <w:right w:val="single" w:sz="4" w:space="0" w:color="auto"/>
            </w:tcBorders>
            <w:shd w:val="clear" w:color="auto" w:fill="C6EFCE"/>
            <w:noWrap/>
          </w:tcPr>
          <w:p w14:paraId="15A83BB9" w14:textId="77777777" w:rsidR="003D7F65" w:rsidRDefault="003D7F65">
            <w:pPr>
              <w:spacing w:after="0" w:line="240" w:lineRule="auto"/>
              <w:rPr>
                <w:rFonts w:ascii="Times New Roman" w:eastAsia="Times New Roman" w:hAnsi="Times New Roman"/>
                <w:noProof/>
                <w:sz w:val="20"/>
                <w:szCs w:val="20"/>
              </w:rPr>
            </w:pPr>
          </w:p>
        </w:tc>
        <w:tc>
          <w:tcPr>
            <w:tcW w:w="1043" w:type="dxa"/>
            <w:tcBorders>
              <w:top w:val="nil"/>
              <w:left w:val="nil"/>
              <w:bottom w:val="single" w:sz="4" w:space="0" w:color="auto"/>
              <w:right w:val="single" w:sz="4" w:space="0" w:color="auto"/>
            </w:tcBorders>
            <w:shd w:val="clear" w:color="auto" w:fill="C6EFCE"/>
            <w:noWrap/>
          </w:tcPr>
          <w:p w14:paraId="7207DDB4" w14:textId="77777777" w:rsidR="003D7F65" w:rsidRDefault="0082041E">
            <w:pPr>
              <w:pStyle w:val="P68B1DB1-Normal8"/>
              <w:spacing w:after="0" w:line="240" w:lineRule="auto"/>
              <w:rPr>
                <w:rFonts w:eastAsia="Times New Roman"/>
                <w:noProof/>
              </w:rPr>
            </w:pPr>
            <w:r>
              <w:rPr>
                <w:noProof/>
              </w:rPr>
              <w:t>Numéro</w:t>
            </w:r>
          </w:p>
        </w:tc>
        <w:tc>
          <w:tcPr>
            <w:tcW w:w="1059" w:type="dxa"/>
            <w:tcBorders>
              <w:top w:val="nil"/>
              <w:left w:val="nil"/>
              <w:bottom w:val="single" w:sz="4" w:space="0" w:color="auto"/>
              <w:right w:val="single" w:sz="4" w:space="0" w:color="auto"/>
            </w:tcBorders>
            <w:shd w:val="clear" w:color="auto" w:fill="C6EFCE"/>
            <w:noWrap/>
          </w:tcPr>
          <w:p w14:paraId="32D136C1" w14:textId="77777777" w:rsidR="003D7F65" w:rsidRDefault="0082041E">
            <w:pPr>
              <w:pStyle w:val="P68B1DB1-Normal8"/>
              <w:spacing w:after="0" w:line="240" w:lineRule="auto"/>
              <w:rPr>
                <w:rFonts w:eastAsia="Times New Roman"/>
                <w:noProof/>
              </w:rPr>
            </w:pPr>
            <w:r>
              <w:rPr>
                <w:noProof/>
              </w:rPr>
              <w:t> 0</w:t>
            </w:r>
          </w:p>
        </w:tc>
        <w:tc>
          <w:tcPr>
            <w:tcW w:w="870" w:type="dxa"/>
            <w:tcBorders>
              <w:top w:val="nil"/>
              <w:left w:val="nil"/>
              <w:bottom w:val="single" w:sz="4" w:space="0" w:color="auto"/>
              <w:right w:val="single" w:sz="4" w:space="0" w:color="auto"/>
            </w:tcBorders>
            <w:shd w:val="clear" w:color="auto" w:fill="C6EFCE"/>
            <w:noWrap/>
          </w:tcPr>
          <w:p w14:paraId="1F2E6767" w14:textId="77777777" w:rsidR="003D7F65" w:rsidRDefault="0082041E">
            <w:pPr>
              <w:pStyle w:val="P68B1DB1-Normal8"/>
              <w:spacing w:after="0" w:line="240" w:lineRule="auto"/>
              <w:rPr>
                <w:noProof/>
              </w:rPr>
            </w:pPr>
            <w:r>
              <w:rPr>
                <w:noProof/>
              </w:rPr>
              <w:t>3</w:t>
            </w:r>
          </w:p>
        </w:tc>
        <w:tc>
          <w:tcPr>
            <w:tcW w:w="1145" w:type="dxa"/>
            <w:tcBorders>
              <w:top w:val="nil"/>
              <w:left w:val="nil"/>
              <w:bottom w:val="single" w:sz="4" w:space="0" w:color="auto"/>
              <w:right w:val="single" w:sz="4" w:space="0" w:color="auto"/>
            </w:tcBorders>
            <w:shd w:val="clear" w:color="auto" w:fill="C6EFCE"/>
            <w:noWrap/>
          </w:tcPr>
          <w:p w14:paraId="5241935D" w14:textId="77777777" w:rsidR="003D7F65" w:rsidRDefault="0082041E">
            <w:pPr>
              <w:pStyle w:val="P68B1DB1-Normal8"/>
              <w:spacing w:after="0" w:line="240" w:lineRule="auto"/>
              <w:rPr>
                <w:rFonts w:eastAsia="Times New Roman"/>
                <w:noProof/>
              </w:rPr>
            </w:pPr>
            <w:r>
              <w:rPr>
                <w:noProof/>
              </w:rPr>
              <w:t>T2</w:t>
            </w:r>
          </w:p>
        </w:tc>
        <w:tc>
          <w:tcPr>
            <w:tcW w:w="2111" w:type="dxa"/>
            <w:tcBorders>
              <w:top w:val="nil"/>
              <w:left w:val="nil"/>
              <w:bottom w:val="single" w:sz="4" w:space="0" w:color="auto"/>
              <w:right w:val="single" w:sz="4" w:space="0" w:color="auto"/>
            </w:tcBorders>
            <w:shd w:val="clear" w:color="auto" w:fill="C6EFCE"/>
            <w:noWrap/>
          </w:tcPr>
          <w:p w14:paraId="38BF326C" w14:textId="77777777" w:rsidR="003D7F65" w:rsidRDefault="0082041E">
            <w:pPr>
              <w:pStyle w:val="P68B1DB1-Normal8"/>
              <w:spacing w:after="0" w:line="240" w:lineRule="auto"/>
              <w:rPr>
                <w:rFonts w:eastAsia="Times New Roman"/>
                <w:noProof/>
              </w:rPr>
            </w:pPr>
            <w:r>
              <w:rPr>
                <w:noProof/>
              </w:rPr>
              <w:t>2026</w:t>
            </w:r>
          </w:p>
        </w:tc>
        <w:tc>
          <w:tcPr>
            <w:tcW w:w="2241" w:type="dxa"/>
            <w:tcBorders>
              <w:top w:val="single" w:sz="4" w:space="0" w:color="auto"/>
              <w:left w:val="nil"/>
              <w:bottom w:val="single" w:sz="4" w:space="0" w:color="auto"/>
              <w:right w:val="single" w:sz="4" w:space="0" w:color="auto"/>
            </w:tcBorders>
            <w:shd w:val="clear" w:color="auto" w:fill="C6EFCE"/>
            <w:noWrap/>
          </w:tcPr>
          <w:p w14:paraId="19FE38B2" w14:textId="77777777" w:rsidR="003D7F65" w:rsidRDefault="0082041E">
            <w:pPr>
              <w:pStyle w:val="P68B1DB1-Normal8"/>
              <w:spacing w:after="0" w:line="240" w:lineRule="auto"/>
              <w:rPr>
                <w:rFonts w:eastAsia="Times New Roman"/>
                <w:noProof/>
              </w:rPr>
            </w:pPr>
            <w:r>
              <w:rPr>
                <w:noProof/>
              </w:rPr>
              <w:t>Au moins trois avis d'achèvement de projet ou rapports de projet doivent être soumis par les entités bénéficiaires. Celles-ci doivent correspondre à une augmentation du niveau d'électrification dans les procédés industriels d'au moins 43 MW.</w:t>
            </w:r>
          </w:p>
        </w:tc>
      </w:tr>
      <w:tr w:rsidR="005D5FEB" w14:paraId="613F5ABF"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tcPr>
          <w:p w14:paraId="32EDB398" w14:textId="77777777" w:rsidR="003D7F65" w:rsidRDefault="0082041E">
            <w:pPr>
              <w:pStyle w:val="P68B1DB1-Normal8"/>
              <w:spacing w:after="0" w:line="240" w:lineRule="auto"/>
              <w:jc w:val="center"/>
              <w:rPr>
                <w:rFonts w:eastAsia="Times New Roman"/>
                <w:noProof/>
              </w:rPr>
            </w:pPr>
            <w:r>
              <w:rPr>
                <w:noProof/>
              </w:rPr>
              <w:t>22</w:t>
            </w:r>
          </w:p>
        </w:tc>
        <w:tc>
          <w:tcPr>
            <w:tcW w:w="1529" w:type="dxa"/>
            <w:tcBorders>
              <w:top w:val="nil"/>
              <w:left w:val="nil"/>
              <w:bottom w:val="single" w:sz="4" w:space="0" w:color="auto"/>
              <w:right w:val="single" w:sz="4" w:space="0" w:color="auto"/>
            </w:tcBorders>
            <w:shd w:val="clear" w:color="auto" w:fill="C6EFCE"/>
            <w:noWrap/>
          </w:tcPr>
          <w:p w14:paraId="640F922D" w14:textId="77777777" w:rsidR="003D7F65" w:rsidRDefault="0082041E">
            <w:pPr>
              <w:pStyle w:val="P68B1DB1-Normal8"/>
              <w:spacing w:after="0" w:line="240" w:lineRule="auto"/>
              <w:rPr>
                <w:rFonts w:eastAsia="Times New Roman"/>
                <w:noProof/>
              </w:rPr>
            </w:pPr>
            <w:r>
              <w:rPr>
                <w:noProof/>
              </w:rPr>
              <w:t>P1C2I3 – Réformes industrielles et investissements à l’appui de la transition écologique et numérique – Réutilisation et recyclage des matériaux clés et des flux secondaires industriels</w:t>
            </w:r>
          </w:p>
        </w:tc>
        <w:tc>
          <w:tcPr>
            <w:tcW w:w="1097" w:type="dxa"/>
            <w:tcBorders>
              <w:top w:val="nil"/>
              <w:left w:val="nil"/>
              <w:bottom w:val="single" w:sz="4" w:space="0" w:color="auto"/>
              <w:right w:val="single" w:sz="4" w:space="0" w:color="auto"/>
            </w:tcBorders>
            <w:shd w:val="clear" w:color="auto" w:fill="C6EFCE"/>
            <w:noWrap/>
          </w:tcPr>
          <w:p w14:paraId="4467BEE2"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tcPr>
          <w:p w14:paraId="5B12CB94" w14:textId="74F1D566" w:rsidR="003D7F65" w:rsidRDefault="0082041E">
            <w:pPr>
              <w:pStyle w:val="P68B1DB1-Normal8"/>
              <w:spacing w:after="0" w:line="240" w:lineRule="auto"/>
              <w:rPr>
                <w:rFonts w:eastAsia="Times New Roman"/>
                <w:noProof/>
              </w:rPr>
            </w:pPr>
            <w:r>
              <w:rPr>
                <w:noProof/>
              </w:rPr>
              <w:t>Publication du premier appel à candidatures pour des projets d’investissement favorisant la réutilisation des déchets et des flux secondaires</w:t>
            </w:r>
          </w:p>
        </w:tc>
        <w:tc>
          <w:tcPr>
            <w:tcW w:w="1221" w:type="dxa"/>
            <w:tcBorders>
              <w:top w:val="nil"/>
              <w:left w:val="nil"/>
              <w:bottom w:val="single" w:sz="4" w:space="0" w:color="auto"/>
              <w:right w:val="single" w:sz="4" w:space="0" w:color="auto"/>
            </w:tcBorders>
            <w:shd w:val="clear" w:color="auto" w:fill="C6EFCE"/>
            <w:noWrap/>
          </w:tcPr>
          <w:p w14:paraId="7B18C0AF" w14:textId="77777777" w:rsidR="003D7F65" w:rsidRDefault="0082041E">
            <w:pPr>
              <w:pStyle w:val="P68B1DB1-Normal8"/>
              <w:spacing w:after="0" w:line="240" w:lineRule="auto"/>
              <w:rPr>
                <w:rFonts w:eastAsia="Times New Roman"/>
                <w:noProof/>
              </w:rPr>
            </w:pPr>
            <w:r>
              <w:rPr>
                <w:noProof/>
              </w:rPr>
              <w:t>Publication du premier appel à candidatures sur le site web de Business Finland</w:t>
            </w:r>
          </w:p>
        </w:tc>
        <w:tc>
          <w:tcPr>
            <w:tcW w:w="1043" w:type="dxa"/>
            <w:tcBorders>
              <w:top w:val="nil"/>
              <w:left w:val="nil"/>
              <w:bottom w:val="single" w:sz="4" w:space="0" w:color="auto"/>
              <w:right w:val="single" w:sz="4" w:space="0" w:color="auto"/>
            </w:tcBorders>
            <w:shd w:val="clear" w:color="auto" w:fill="C6EFCE"/>
            <w:noWrap/>
          </w:tcPr>
          <w:p w14:paraId="7FA4E432"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tcPr>
          <w:p w14:paraId="73D33E48"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tcPr>
          <w:p w14:paraId="0A09548F"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tcPr>
          <w:p w14:paraId="22FDA3EE" w14:textId="77777777" w:rsidR="003D7F65" w:rsidRDefault="0082041E">
            <w:pPr>
              <w:pStyle w:val="P68B1DB1-Normal8"/>
              <w:spacing w:after="0" w:line="240" w:lineRule="auto"/>
              <w:rPr>
                <w:rFonts w:eastAsia="Times New Roman"/>
                <w:noProof/>
              </w:rPr>
            </w:pPr>
            <w:r>
              <w:rPr>
                <w:noProof/>
              </w:rPr>
              <w:t>T4</w:t>
            </w:r>
          </w:p>
        </w:tc>
        <w:tc>
          <w:tcPr>
            <w:tcW w:w="2111" w:type="dxa"/>
            <w:tcBorders>
              <w:top w:val="nil"/>
              <w:left w:val="nil"/>
              <w:bottom w:val="single" w:sz="4" w:space="0" w:color="auto"/>
              <w:right w:val="single" w:sz="4" w:space="0" w:color="auto"/>
            </w:tcBorders>
            <w:shd w:val="clear" w:color="auto" w:fill="C6EFCE"/>
            <w:noWrap/>
          </w:tcPr>
          <w:p w14:paraId="77869ADA" w14:textId="77777777" w:rsidR="003D7F65" w:rsidRDefault="0082041E">
            <w:pPr>
              <w:pStyle w:val="P68B1DB1-Normal8"/>
              <w:spacing w:after="0" w:line="240" w:lineRule="auto"/>
              <w:rPr>
                <w:rFonts w:eastAsia="Times New Roman"/>
                <w:noProof/>
              </w:rPr>
            </w:pPr>
            <w:r>
              <w:rPr>
                <w:noProof/>
              </w:rPr>
              <w:t>2021</w:t>
            </w:r>
          </w:p>
        </w:tc>
        <w:tc>
          <w:tcPr>
            <w:tcW w:w="2241" w:type="dxa"/>
            <w:tcBorders>
              <w:top w:val="nil"/>
              <w:left w:val="nil"/>
              <w:bottom w:val="single" w:sz="4" w:space="0" w:color="auto"/>
              <w:right w:val="single" w:sz="4" w:space="0" w:color="auto"/>
            </w:tcBorders>
            <w:shd w:val="clear" w:color="auto" w:fill="C6EFCE"/>
            <w:noWrap/>
          </w:tcPr>
          <w:p w14:paraId="01EFA2A6" w14:textId="7C949FEA" w:rsidR="003D7F65" w:rsidRDefault="0082041E">
            <w:pPr>
              <w:pStyle w:val="P68B1DB1-Normal8"/>
              <w:spacing w:after="0" w:line="240" w:lineRule="auto"/>
              <w:rPr>
                <w:rFonts w:eastAsia="Times New Roman"/>
                <w:noProof/>
              </w:rPr>
            </w:pPr>
            <w:r>
              <w:rPr>
                <w:noProof/>
              </w:rPr>
              <w:t>Le décret gouvernemental relatif à l’octroi d’aides aux entreprises pour la promotion de l’économie circulaire et de la croissance verte durable (1197/2020) est entré en vigueur, permettant le lancement du premier appel à propositions concurrentiel pour des projets d’investissement favorisant la réutilisation des déchets et des flux secondaires. Le cahier des charges de l’appel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5D5FEB" w14:paraId="64F716DD"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tcPr>
          <w:p w14:paraId="5689442E" w14:textId="77777777" w:rsidR="003D7F65" w:rsidRDefault="0082041E">
            <w:pPr>
              <w:pStyle w:val="P68B1DB1-Normal8"/>
              <w:spacing w:after="0" w:line="240" w:lineRule="auto"/>
              <w:jc w:val="center"/>
              <w:rPr>
                <w:rFonts w:eastAsia="Times New Roman"/>
                <w:noProof/>
              </w:rPr>
            </w:pPr>
            <w:r>
              <w:rPr>
                <w:noProof/>
              </w:rPr>
              <w:t>23</w:t>
            </w:r>
          </w:p>
        </w:tc>
        <w:tc>
          <w:tcPr>
            <w:tcW w:w="1529" w:type="dxa"/>
            <w:tcBorders>
              <w:top w:val="nil"/>
              <w:left w:val="nil"/>
              <w:bottom w:val="single" w:sz="4" w:space="0" w:color="auto"/>
              <w:right w:val="single" w:sz="4" w:space="0" w:color="auto"/>
            </w:tcBorders>
            <w:shd w:val="clear" w:color="auto" w:fill="C6EFCE"/>
            <w:noWrap/>
          </w:tcPr>
          <w:p w14:paraId="6B096DAD" w14:textId="77777777" w:rsidR="003D7F65" w:rsidRDefault="0082041E">
            <w:pPr>
              <w:pStyle w:val="P68B1DB1-Normal8"/>
              <w:spacing w:after="0" w:line="240" w:lineRule="auto"/>
              <w:rPr>
                <w:rFonts w:eastAsia="Times New Roman"/>
                <w:noProof/>
              </w:rPr>
            </w:pPr>
            <w:r>
              <w:rPr>
                <w:noProof/>
              </w:rPr>
              <w:t>P1C2I3 – Réformes industrielles et investissements à l’appui de la transition écologique et numérique – Réutilisation et recyclage des matériaux clés et des flux secondaires industriels</w:t>
            </w:r>
          </w:p>
        </w:tc>
        <w:tc>
          <w:tcPr>
            <w:tcW w:w="1097" w:type="dxa"/>
            <w:tcBorders>
              <w:top w:val="nil"/>
              <w:left w:val="nil"/>
              <w:bottom w:val="single" w:sz="4" w:space="0" w:color="auto"/>
              <w:right w:val="single" w:sz="4" w:space="0" w:color="auto"/>
            </w:tcBorders>
            <w:shd w:val="clear" w:color="auto" w:fill="C6EFCE"/>
            <w:noWrap/>
          </w:tcPr>
          <w:p w14:paraId="63C1854C" w14:textId="77777777" w:rsidR="003D7F65" w:rsidRDefault="0082041E">
            <w:pPr>
              <w:pStyle w:val="P68B1DB1-Normal8"/>
              <w:spacing w:after="0" w:line="240" w:lineRule="auto"/>
              <w:rPr>
                <w:rFonts w:eastAsia="Times New Roman"/>
                <w:noProof/>
              </w:rPr>
            </w:pPr>
            <w:r>
              <w:rPr>
                <w:noProof/>
              </w:rPr>
              <w:t>Étape</w:t>
            </w:r>
          </w:p>
        </w:tc>
        <w:tc>
          <w:tcPr>
            <w:tcW w:w="1399" w:type="dxa"/>
            <w:tcBorders>
              <w:top w:val="nil"/>
              <w:left w:val="nil"/>
              <w:bottom w:val="single" w:sz="4" w:space="0" w:color="auto"/>
              <w:right w:val="single" w:sz="4" w:space="0" w:color="auto"/>
            </w:tcBorders>
            <w:shd w:val="clear" w:color="auto" w:fill="C6EFCE"/>
            <w:noWrap/>
          </w:tcPr>
          <w:p w14:paraId="1223B3C4" w14:textId="77777777" w:rsidR="003D7F65" w:rsidRDefault="0082041E">
            <w:pPr>
              <w:pStyle w:val="P68B1DB1-Normal8"/>
              <w:spacing w:after="0" w:line="240" w:lineRule="auto"/>
              <w:rPr>
                <w:rFonts w:eastAsia="Times New Roman"/>
                <w:noProof/>
              </w:rPr>
            </w:pPr>
            <w:r>
              <w:rPr>
                <w:noProof/>
              </w:rPr>
              <w:t xml:space="preserve">Attribution de toutes les subventions aux projets de réutilisation et de recyclage </w:t>
            </w:r>
          </w:p>
        </w:tc>
        <w:tc>
          <w:tcPr>
            <w:tcW w:w="1221" w:type="dxa"/>
            <w:tcBorders>
              <w:top w:val="single" w:sz="4" w:space="0" w:color="auto"/>
              <w:left w:val="nil"/>
              <w:bottom w:val="single" w:sz="4" w:space="0" w:color="auto"/>
              <w:right w:val="single" w:sz="4" w:space="0" w:color="auto"/>
            </w:tcBorders>
            <w:shd w:val="clear" w:color="auto" w:fill="C6EFCE"/>
            <w:noWrap/>
          </w:tcPr>
          <w:p w14:paraId="7EB4230B" w14:textId="77777777" w:rsidR="003D7F65" w:rsidRDefault="0082041E">
            <w:pPr>
              <w:pStyle w:val="P68B1DB1-Normal8"/>
              <w:spacing w:after="0" w:line="240" w:lineRule="auto"/>
              <w:rPr>
                <w:rFonts w:eastAsia="Times New Roman"/>
                <w:noProof/>
              </w:rPr>
            </w:pPr>
            <w:r>
              <w:rPr>
                <w:noProof/>
              </w:rPr>
              <w:t>Notification de l'octroi de toutes les subventions</w:t>
            </w:r>
          </w:p>
        </w:tc>
        <w:tc>
          <w:tcPr>
            <w:tcW w:w="1043" w:type="dxa"/>
            <w:tcBorders>
              <w:top w:val="nil"/>
              <w:left w:val="nil"/>
              <w:bottom w:val="single" w:sz="4" w:space="0" w:color="auto"/>
              <w:right w:val="single" w:sz="4" w:space="0" w:color="auto"/>
            </w:tcBorders>
            <w:shd w:val="clear" w:color="auto" w:fill="C6EFCE"/>
            <w:noWrap/>
          </w:tcPr>
          <w:p w14:paraId="5FB149B7" w14:textId="77777777" w:rsidR="003D7F65" w:rsidRDefault="0082041E">
            <w:pPr>
              <w:pStyle w:val="P68B1DB1-Normal8"/>
              <w:spacing w:after="0" w:line="240" w:lineRule="auto"/>
              <w:rPr>
                <w:rFonts w:eastAsia="Times New Roman"/>
                <w:noProof/>
              </w:rPr>
            </w:pPr>
            <w:r>
              <w:rPr>
                <w:noProof/>
              </w:rPr>
              <w:t> </w:t>
            </w:r>
          </w:p>
        </w:tc>
        <w:tc>
          <w:tcPr>
            <w:tcW w:w="1059" w:type="dxa"/>
            <w:tcBorders>
              <w:top w:val="nil"/>
              <w:left w:val="nil"/>
              <w:bottom w:val="single" w:sz="4" w:space="0" w:color="auto"/>
              <w:right w:val="single" w:sz="4" w:space="0" w:color="auto"/>
            </w:tcBorders>
            <w:shd w:val="clear" w:color="auto" w:fill="C6EFCE"/>
            <w:noWrap/>
          </w:tcPr>
          <w:p w14:paraId="2F65E0E6" w14:textId="77777777" w:rsidR="003D7F65" w:rsidRDefault="0082041E">
            <w:pPr>
              <w:pStyle w:val="P68B1DB1-Normal8"/>
              <w:spacing w:after="0" w:line="240" w:lineRule="auto"/>
              <w:rPr>
                <w:rFonts w:eastAsia="Times New Roman"/>
                <w:noProof/>
              </w:rPr>
            </w:pPr>
            <w:r>
              <w:rPr>
                <w:noProof/>
              </w:rPr>
              <w:t> </w:t>
            </w:r>
          </w:p>
        </w:tc>
        <w:tc>
          <w:tcPr>
            <w:tcW w:w="870" w:type="dxa"/>
            <w:tcBorders>
              <w:top w:val="nil"/>
              <w:left w:val="nil"/>
              <w:bottom w:val="single" w:sz="4" w:space="0" w:color="auto"/>
              <w:right w:val="single" w:sz="4" w:space="0" w:color="auto"/>
            </w:tcBorders>
            <w:shd w:val="clear" w:color="auto" w:fill="C6EFCE"/>
            <w:noWrap/>
          </w:tcPr>
          <w:p w14:paraId="7271B536" w14:textId="77777777" w:rsidR="003D7F65" w:rsidRDefault="0082041E">
            <w:pPr>
              <w:pStyle w:val="P68B1DB1-Normal8"/>
              <w:spacing w:after="0" w:line="240" w:lineRule="auto"/>
              <w:rPr>
                <w:rFonts w:eastAsia="Times New Roman"/>
                <w:noProof/>
              </w:rPr>
            </w:pPr>
            <w:r>
              <w:rPr>
                <w:noProof/>
              </w:rPr>
              <w:t> </w:t>
            </w:r>
          </w:p>
        </w:tc>
        <w:tc>
          <w:tcPr>
            <w:tcW w:w="1145" w:type="dxa"/>
            <w:tcBorders>
              <w:top w:val="nil"/>
              <w:left w:val="nil"/>
              <w:bottom w:val="single" w:sz="4" w:space="0" w:color="auto"/>
              <w:right w:val="single" w:sz="4" w:space="0" w:color="auto"/>
            </w:tcBorders>
            <w:shd w:val="clear" w:color="auto" w:fill="C6EFCE"/>
            <w:noWrap/>
          </w:tcPr>
          <w:p w14:paraId="0F41DAC5" w14:textId="77777777" w:rsidR="003D7F65" w:rsidRDefault="0082041E">
            <w:pPr>
              <w:pStyle w:val="P68B1DB1-Normal8"/>
              <w:spacing w:after="0" w:line="240" w:lineRule="auto"/>
              <w:rPr>
                <w:rFonts w:eastAsia="Times New Roman"/>
                <w:noProof/>
              </w:rPr>
            </w:pPr>
            <w:r>
              <w:rPr>
                <w:noProof/>
              </w:rPr>
              <w:t>T4</w:t>
            </w:r>
          </w:p>
        </w:tc>
        <w:tc>
          <w:tcPr>
            <w:tcW w:w="2111" w:type="dxa"/>
            <w:tcBorders>
              <w:top w:val="nil"/>
              <w:left w:val="nil"/>
              <w:bottom w:val="single" w:sz="4" w:space="0" w:color="auto"/>
              <w:right w:val="single" w:sz="4" w:space="0" w:color="auto"/>
            </w:tcBorders>
            <w:shd w:val="clear" w:color="auto" w:fill="C6EFCE"/>
            <w:noWrap/>
          </w:tcPr>
          <w:p w14:paraId="6C727EAC" w14:textId="77777777" w:rsidR="003D7F65" w:rsidRDefault="0082041E">
            <w:pPr>
              <w:pStyle w:val="P68B1DB1-Normal8"/>
              <w:spacing w:after="0" w:line="240" w:lineRule="auto"/>
              <w:rPr>
                <w:rFonts w:eastAsia="Times New Roman"/>
                <w:noProof/>
              </w:rPr>
            </w:pPr>
            <w:r>
              <w:rPr>
                <w:noProof/>
              </w:rPr>
              <w:t>2023</w:t>
            </w:r>
          </w:p>
        </w:tc>
        <w:tc>
          <w:tcPr>
            <w:tcW w:w="2241" w:type="dxa"/>
            <w:tcBorders>
              <w:top w:val="nil"/>
              <w:left w:val="nil"/>
              <w:bottom w:val="single" w:sz="4" w:space="0" w:color="auto"/>
              <w:right w:val="single" w:sz="4" w:space="0" w:color="auto"/>
            </w:tcBorders>
            <w:shd w:val="clear" w:color="auto" w:fill="C6EFCE"/>
            <w:noWrap/>
          </w:tcPr>
          <w:p w14:paraId="7F7274C8" w14:textId="77777777" w:rsidR="003D7F65" w:rsidRDefault="0082041E">
            <w:pPr>
              <w:pStyle w:val="P68B1DB1-Normal8"/>
              <w:spacing w:after="0" w:line="240" w:lineRule="auto"/>
              <w:rPr>
                <w:rFonts w:eastAsia="Times New Roman"/>
                <w:noProof/>
              </w:rPr>
            </w:pPr>
            <w:r>
              <w:rPr>
                <w:noProof/>
              </w:rPr>
              <w:t>La sélection de tous les projets de réutilisation et de recyclage de matériaux clés et de flux secondaires industriels est effectuée conformément aux critères des appels à propositions respectifs. Tous les appels sont fondés sur les critères d’éligibilité/de sélection indiqués au jalon 22. Toutes les décisions d’octroi de financement sont adressées aux bénéficiaires/demandeurs de projets sélectionnés dans le cadre des appels à propositions concurrentiels, ce qui permet le début de la mise en œuvre des projets sélectionnés.</w:t>
            </w:r>
          </w:p>
        </w:tc>
      </w:tr>
      <w:tr w:rsidR="005D5FEB" w14:paraId="46DF040C" w14:textId="77777777" w:rsidTr="005D5FEB">
        <w:trPr>
          <w:trHeight w:val="308"/>
        </w:trPr>
        <w:tc>
          <w:tcPr>
            <w:tcW w:w="846" w:type="dxa"/>
            <w:tcBorders>
              <w:top w:val="nil"/>
              <w:left w:val="single" w:sz="4" w:space="0" w:color="auto"/>
              <w:bottom w:val="single" w:sz="4" w:space="0" w:color="auto"/>
              <w:right w:val="single" w:sz="4" w:space="0" w:color="auto"/>
            </w:tcBorders>
            <w:shd w:val="clear" w:color="auto" w:fill="C6EFCE"/>
            <w:noWrap/>
          </w:tcPr>
          <w:p w14:paraId="76350003" w14:textId="77777777" w:rsidR="003D7F65" w:rsidRDefault="0082041E">
            <w:pPr>
              <w:pStyle w:val="P68B1DB1-Normal8"/>
              <w:spacing w:after="0" w:line="240" w:lineRule="auto"/>
              <w:jc w:val="center"/>
              <w:rPr>
                <w:rFonts w:eastAsia="Times New Roman"/>
                <w:noProof/>
              </w:rPr>
            </w:pPr>
            <w:r>
              <w:rPr>
                <w:noProof/>
              </w:rPr>
              <w:t>24</w:t>
            </w:r>
          </w:p>
        </w:tc>
        <w:tc>
          <w:tcPr>
            <w:tcW w:w="1529" w:type="dxa"/>
            <w:tcBorders>
              <w:top w:val="nil"/>
              <w:left w:val="nil"/>
              <w:bottom w:val="single" w:sz="4" w:space="0" w:color="auto"/>
              <w:right w:val="single" w:sz="4" w:space="0" w:color="auto"/>
            </w:tcBorders>
            <w:shd w:val="clear" w:color="auto" w:fill="C6EFCE"/>
            <w:noWrap/>
          </w:tcPr>
          <w:p w14:paraId="6A4E6A39" w14:textId="77777777" w:rsidR="003D7F65" w:rsidRDefault="0082041E">
            <w:pPr>
              <w:pStyle w:val="P68B1DB1-Normal8"/>
              <w:spacing w:after="0" w:line="240" w:lineRule="auto"/>
              <w:rPr>
                <w:rFonts w:eastAsia="Times New Roman"/>
                <w:noProof/>
              </w:rPr>
            </w:pPr>
            <w:r>
              <w:rPr>
                <w:noProof/>
              </w:rPr>
              <w:t>P1C2I3 – Réformes industrielles et investissements à l’appui de la transition écologique et numérique – Réutilisation et recyclage des matériaux clés et des flux secondaires industriels</w:t>
            </w:r>
          </w:p>
        </w:tc>
        <w:tc>
          <w:tcPr>
            <w:tcW w:w="1097" w:type="dxa"/>
            <w:tcBorders>
              <w:top w:val="nil"/>
              <w:left w:val="nil"/>
              <w:bottom w:val="single" w:sz="4" w:space="0" w:color="auto"/>
              <w:right w:val="single" w:sz="4" w:space="0" w:color="auto"/>
            </w:tcBorders>
            <w:shd w:val="clear" w:color="auto" w:fill="C6EFCE"/>
            <w:noWrap/>
          </w:tcPr>
          <w:p w14:paraId="5D4E05B7" w14:textId="77777777" w:rsidR="003D7F65" w:rsidRDefault="0082041E">
            <w:pPr>
              <w:pStyle w:val="P68B1DB1-Normal8"/>
              <w:spacing w:after="0" w:line="240" w:lineRule="auto"/>
              <w:rPr>
                <w:noProof/>
              </w:rPr>
            </w:pPr>
            <w:r>
              <w:rPr>
                <w:noProof/>
              </w:rPr>
              <w:t>Objectif</w:t>
            </w:r>
          </w:p>
        </w:tc>
        <w:tc>
          <w:tcPr>
            <w:tcW w:w="1399" w:type="dxa"/>
            <w:tcBorders>
              <w:top w:val="nil"/>
              <w:left w:val="nil"/>
              <w:bottom w:val="single" w:sz="4" w:space="0" w:color="auto"/>
              <w:right w:val="single" w:sz="4" w:space="0" w:color="auto"/>
            </w:tcBorders>
            <w:shd w:val="clear" w:color="auto" w:fill="C6EFCE"/>
            <w:noWrap/>
          </w:tcPr>
          <w:p w14:paraId="153E24BC" w14:textId="77777777" w:rsidR="003D7F65" w:rsidRDefault="0082041E">
            <w:pPr>
              <w:pStyle w:val="P68B1DB1-Normal8"/>
              <w:spacing w:after="0" w:line="240" w:lineRule="auto"/>
              <w:rPr>
                <w:rFonts w:eastAsia="Times New Roman"/>
                <w:noProof/>
              </w:rPr>
            </w:pPr>
            <w:r>
              <w:rPr>
                <w:noProof/>
              </w:rPr>
              <w:t>Rapports de projet présentés</w:t>
            </w:r>
          </w:p>
        </w:tc>
        <w:tc>
          <w:tcPr>
            <w:tcW w:w="1221" w:type="dxa"/>
            <w:tcBorders>
              <w:top w:val="nil"/>
              <w:left w:val="nil"/>
              <w:bottom w:val="single" w:sz="4" w:space="0" w:color="auto"/>
              <w:right w:val="single" w:sz="4" w:space="0" w:color="auto"/>
            </w:tcBorders>
            <w:shd w:val="clear" w:color="auto" w:fill="C6EFCE"/>
            <w:noWrap/>
          </w:tcPr>
          <w:p w14:paraId="0C13FF51" w14:textId="77777777" w:rsidR="003D7F65" w:rsidRDefault="003D7F65">
            <w:pPr>
              <w:spacing w:after="0" w:line="240" w:lineRule="auto"/>
              <w:rPr>
                <w:rFonts w:ascii="Times New Roman" w:eastAsia="Times New Roman" w:hAnsi="Times New Roman"/>
                <w:noProof/>
                <w:sz w:val="20"/>
                <w:szCs w:val="20"/>
              </w:rPr>
            </w:pPr>
          </w:p>
        </w:tc>
        <w:tc>
          <w:tcPr>
            <w:tcW w:w="1043" w:type="dxa"/>
            <w:tcBorders>
              <w:top w:val="nil"/>
              <w:left w:val="nil"/>
              <w:bottom w:val="single" w:sz="4" w:space="0" w:color="auto"/>
              <w:right w:val="single" w:sz="4" w:space="0" w:color="auto"/>
            </w:tcBorders>
            <w:shd w:val="clear" w:color="auto" w:fill="C6EFCE"/>
            <w:noWrap/>
          </w:tcPr>
          <w:p w14:paraId="763670AF" w14:textId="77777777" w:rsidR="003D7F65" w:rsidRDefault="0082041E">
            <w:pPr>
              <w:pStyle w:val="P68B1DB1-Normal8"/>
              <w:spacing w:after="0" w:line="240" w:lineRule="auto"/>
              <w:rPr>
                <w:rFonts w:eastAsia="Times New Roman"/>
                <w:noProof/>
              </w:rPr>
            </w:pPr>
            <w:r>
              <w:rPr>
                <w:noProof/>
              </w:rPr>
              <w:t>Numéro</w:t>
            </w:r>
          </w:p>
        </w:tc>
        <w:tc>
          <w:tcPr>
            <w:tcW w:w="1059" w:type="dxa"/>
            <w:tcBorders>
              <w:top w:val="nil"/>
              <w:left w:val="nil"/>
              <w:bottom w:val="single" w:sz="4" w:space="0" w:color="auto"/>
              <w:right w:val="single" w:sz="4" w:space="0" w:color="auto"/>
            </w:tcBorders>
            <w:shd w:val="clear" w:color="auto" w:fill="C6EFCE"/>
            <w:noWrap/>
          </w:tcPr>
          <w:p w14:paraId="218DD480" w14:textId="77777777" w:rsidR="003D7F65" w:rsidRDefault="0082041E">
            <w:pPr>
              <w:pStyle w:val="P68B1DB1-Normal8"/>
              <w:spacing w:after="0" w:line="240" w:lineRule="auto"/>
              <w:rPr>
                <w:rFonts w:eastAsia="Times New Roman"/>
                <w:noProof/>
              </w:rPr>
            </w:pPr>
            <w:r>
              <w:rPr>
                <w:noProof/>
              </w:rPr>
              <w:t> 0</w:t>
            </w:r>
          </w:p>
        </w:tc>
        <w:tc>
          <w:tcPr>
            <w:tcW w:w="870" w:type="dxa"/>
            <w:tcBorders>
              <w:top w:val="nil"/>
              <w:left w:val="nil"/>
              <w:bottom w:val="single" w:sz="4" w:space="0" w:color="auto"/>
              <w:right w:val="single" w:sz="4" w:space="0" w:color="auto"/>
            </w:tcBorders>
            <w:shd w:val="clear" w:color="auto" w:fill="C6EFCE"/>
            <w:noWrap/>
          </w:tcPr>
          <w:p w14:paraId="591DEDC4" w14:textId="77777777" w:rsidR="003D7F65" w:rsidRDefault="0082041E">
            <w:pPr>
              <w:pStyle w:val="P68B1DB1-Normal8"/>
              <w:spacing w:after="0" w:line="240" w:lineRule="auto"/>
              <w:rPr>
                <w:noProof/>
              </w:rPr>
            </w:pPr>
            <w:r>
              <w:rPr>
                <w:noProof/>
              </w:rPr>
              <w:t>10</w:t>
            </w:r>
          </w:p>
        </w:tc>
        <w:tc>
          <w:tcPr>
            <w:tcW w:w="1145" w:type="dxa"/>
            <w:tcBorders>
              <w:top w:val="nil"/>
              <w:left w:val="nil"/>
              <w:bottom w:val="single" w:sz="4" w:space="0" w:color="auto"/>
              <w:right w:val="single" w:sz="4" w:space="0" w:color="auto"/>
            </w:tcBorders>
            <w:shd w:val="clear" w:color="auto" w:fill="C6EFCE"/>
            <w:noWrap/>
          </w:tcPr>
          <w:p w14:paraId="6C376C0A" w14:textId="77777777" w:rsidR="003D7F65" w:rsidRDefault="0082041E">
            <w:pPr>
              <w:pStyle w:val="P68B1DB1-Normal8"/>
              <w:spacing w:after="0" w:line="240" w:lineRule="auto"/>
              <w:rPr>
                <w:rFonts w:eastAsia="Times New Roman"/>
                <w:noProof/>
              </w:rPr>
            </w:pPr>
            <w:r>
              <w:rPr>
                <w:noProof/>
              </w:rPr>
              <w:t>T2</w:t>
            </w:r>
          </w:p>
        </w:tc>
        <w:tc>
          <w:tcPr>
            <w:tcW w:w="2111" w:type="dxa"/>
            <w:tcBorders>
              <w:top w:val="nil"/>
              <w:left w:val="nil"/>
              <w:bottom w:val="single" w:sz="4" w:space="0" w:color="auto"/>
              <w:right w:val="single" w:sz="4" w:space="0" w:color="auto"/>
            </w:tcBorders>
            <w:shd w:val="clear" w:color="auto" w:fill="C6EFCE"/>
            <w:noWrap/>
          </w:tcPr>
          <w:p w14:paraId="2538B4CB" w14:textId="77777777" w:rsidR="003D7F65" w:rsidRDefault="0082041E">
            <w:pPr>
              <w:pStyle w:val="P68B1DB1-Normal8"/>
              <w:spacing w:after="0" w:line="240" w:lineRule="auto"/>
              <w:rPr>
                <w:rFonts w:eastAsia="Times New Roman"/>
                <w:noProof/>
              </w:rPr>
            </w:pPr>
            <w:r>
              <w:rPr>
                <w:noProof/>
              </w:rPr>
              <w:t>2026</w:t>
            </w:r>
          </w:p>
        </w:tc>
        <w:tc>
          <w:tcPr>
            <w:tcW w:w="2241" w:type="dxa"/>
            <w:tcBorders>
              <w:top w:val="nil"/>
              <w:left w:val="nil"/>
              <w:bottom w:val="single" w:sz="4" w:space="0" w:color="auto"/>
              <w:right w:val="single" w:sz="4" w:space="0" w:color="auto"/>
            </w:tcBorders>
            <w:shd w:val="clear" w:color="auto" w:fill="C6EFCE"/>
            <w:noWrap/>
          </w:tcPr>
          <w:p w14:paraId="0B7C9EA6" w14:textId="4DCEBF49" w:rsidR="003D7F65" w:rsidRDefault="0082041E">
            <w:pPr>
              <w:pStyle w:val="P68B1DB1-Normal8"/>
              <w:spacing w:after="0" w:line="240" w:lineRule="auto"/>
              <w:rPr>
                <w:rFonts w:eastAsia="Times New Roman"/>
                <w:noProof/>
              </w:rPr>
            </w:pPr>
            <w:r>
              <w:rPr>
                <w:noProof/>
              </w:rPr>
              <w:t>Au moins dix rapports de projet sont soumis par les entités bénéficiaires. Celles-ci correspondent à une capacité de réduction d'au moins 45 622 tonnes équivalent CO2.</w:t>
            </w:r>
          </w:p>
        </w:tc>
      </w:tr>
    </w:tbl>
    <w:p w14:paraId="74AB0D9C" w14:textId="77777777" w:rsidR="003D7F65" w:rsidRDefault="003D7F65">
      <w:pPr>
        <w:rPr>
          <w:rFonts w:ascii="Times New Roman" w:hAnsi="Times New Roman"/>
          <w:noProof/>
          <w:sz w:val="24"/>
        </w:rPr>
        <w:sectPr w:rsidR="003D7F65" w:rsidSect="00A7081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6135FDED" w14:textId="77777777" w:rsidR="003D7F65" w:rsidRDefault="0082041E">
      <w:pPr>
        <w:pStyle w:val="P68B1DB1-Heading42"/>
        <w:numPr>
          <w:ilvl w:val="0"/>
          <w:numId w:val="0"/>
        </w:numPr>
        <w:rPr>
          <w:noProof/>
        </w:rPr>
      </w:pPr>
      <w:r>
        <w:rPr>
          <w:noProof/>
        </w:rPr>
        <w:t>C. Élément P1C3: RÉDUCTION DES IMPACTS CLIMATIQUES ET ENVIRONNEMENTAUX DU STOCK DE BÂTIMENT</w:t>
      </w:r>
    </w:p>
    <w:p w14:paraId="6F5B486F" w14:textId="77777777" w:rsidR="003D7F65" w:rsidRDefault="0082041E">
      <w:pPr>
        <w:pStyle w:val="P68B1DB1-Normal3"/>
        <w:spacing w:before="120" w:after="120" w:line="240" w:lineRule="auto"/>
        <w:jc w:val="both"/>
        <w:rPr>
          <w:i/>
          <w:iCs/>
          <w:noProof/>
        </w:rPr>
      </w:pPr>
      <w:r>
        <w:rPr>
          <w:noProof/>
        </w:rPr>
        <w:t>La Finlande s’est fixé pour objectif de devenir la première société de bien-être sans combustibles fossiles au monde, en atteignant la neutralité carbone d’ici à 2035. L’objectif général de ce volet du plan finlandais pour la reprise et la résilience est de contribuer à la réalisation de l’objectif de neutralité carbone en réduisant les émissions des bâtiments tout au long de leur cycle de vie, en mettant particulièrement l’accent sur la construction et le chauffage.</w:t>
      </w:r>
    </w:p>
    <w:p w14:paraId="1BF6B446" w14:textId="0F8D3BAC" w:rsidR="003D7F65" w:rsidRDefault="0082041E">
      <w:pPr>
        <w:pStyle w:val="P68B1DB1-Normal3"/>
        <w:spacing w:before="120" w:after="120" w:line="240" w:lineRule="auto"/>
        <w:jc w:val="both"/>
        <w:rPr>
          <w:iCs/>
          <w:noProof/>
        </w:rPr>
      </w:pPr>
      <w:r>
        <w:rPr>
          <w:noProof/>
        </w:rPr>
        <w:t>Le volet comprend un investissement visant à promouvoir l’utilisation de méthodes à faible intensité de carbone dans le secteur de la construction. Cet investissement est complété par des réformes visant à réduire les émissions dans la construction de bâtiments et à supprimer progressivement les systèmes de chauffage alimentés au fioul fossile dans les bâtiments publics d’ici 2024 et complètement d’ici le début des années 2030.</w:t>
      </w:r>
    </w:p>
    <w:p w14:paraId="626EB546" w14:textId="77777777" w:rsidR="003D7F65" w:rsidRDefault="0082041E">
      <w:pPr>
        <w:pStyle w:val="NormalWeb"/>
        <w:jc w:val="both"/>
        <w:rPr>
          <w:noProof/>
        </w:rPr>
      </w:pPr>
      <w:r>
        <w:rPr>
          <w:noProof/>
        </w:rPr>
        <w:t>Ce volet contribue à donner suite aux recommandations par pays visant à concentrer les investissements sur la transition écologique, en particulier sur la production et l’utilisation propres et efficaces de l’énergie (recommandation par pays no 3 de 2020), ainsi qu’à promouvoir les investissements dans la transition vers une économie à faible intensité de carbone et la transition énergétique (recommandation par pays no 3 de 2019).</w:t>
      </w:r>
    </w:p>
    <w:p w14:paraId="4C2D2215" w14:textId="77777777" w:rsidR="003D7F65" w:rsidRDefault="0082041E">
      <w:pPr>
        <w:pStyle w:val="P68B1DB1-Normal4"/>
        <w:spacing w:beforeAutospacing="1" w:afterAutospacing="1"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A816FCB" w14:textId="77777777" w:rsidR="003D7F65" w:rsidRDefault="0082041E">
      <w:pPr>
        <w:pStyle w:val="P68B1DB1-Normal5"/>
        <w:spacing w:before="120" w:after="120" w:line="240" w:lineRule="auto"/>
        <w:jc w:val="both"/>
        <w:rPr>
          <w:i/>
          <w:noProof/>
          <w:color w:val="4F81BD"/>
        </w:rPr>
      </w:pPr>
      <w:r>
        <w:rPr>
          <w:noProof/>
        </w:rPr>
        <w:t xml:space="preserve">C.1. </w:t>
      </w:r>
      <w:r>
        <w:rPr>
          <w:noProof/>
        </w:rPr>
        <w:tab/>
        <w:t>Description des réformes et des investissements pour le soutien financier non remboursable</w:t>
      </w:r>
    </w:p>
    <w:p w14:paraId="52AABBBA" w14:textId="77777777" w:rsidR="003D7F65" w:rsidRDefault="0082041E">
      <w:pPr>
        <w:pStyle w:val="P68B1DB1-Normal6"/>
        <w:spacing w:before="120" w:after="120" w:line="240" w:lineRule="auto"/>
        <w:jc w:val="both"/>
        <w:rPr>
          <w:noProof/>
        </w:rPr>
      </w:pPr>
      <w:r>
        <w:rPr>
          <w:noProof/>
        </w:rPr>
        <w:t>Réforme 1 (P1C3R1): Réforme de la loi sur l'aménagement du territoire et la construction</w:t>
      </w:r>
    </w:p>
    <w:p w14:paraId="7AF0A782" w14:textId="77777777" w:rsidR="003D7F65" w:rsidRDefault="0082041E">
      <w:pPr>
        <w:pStyle w:val="P68B1DB1-Normal3"/>
        <w:spacing w:before="120" w:after="120" w:line="240" w:lineRule="auto"/>
        <w:jc w:val="both"/>
        <w:rPr>
          <w:noProof/>
        </w:rPr>
      </w:pPr>
      <w:bookmarkStart w:id="4" w:name="_Hlk212826600"/>
      <w:r>
        <w:rPr>
          <w:noProof/>
        </w:rPr>
        <w:t xml:space="preserve">L’objectif de cette mesure est de réduire les émissions des bâtiments. Cette mesure consiste en l’entrée en vigueur d’un ou de plusieurs actes juridiques réformant la législation existante en matière d’utilisation des sols et de construction. </w:t>
      </w:r>
      <w:bookmarkEnd w:id="4"/>
    </w:p>
    <w:p w14:paraId="7D57175D" w14:textId="77777777" w:rsidR="003D7F65" w:rsidRDefault="0082041E">
      <w:pPr>
        <w:pStyle w:val="P68B1DB1-Normal6"/>
        <w:spacing w:before="120" w:after="120" w:line="240" w:lineRule="auto"/>
        <w:jc w:val="both"/>
        <w:rPr>
          <w:noProof/>
        </w:rPr>
      </w:pPr>
      <w:r>
        <w:rPr>
          <w:noProof/>
        </w:rPr>
        <w:t>Réforme 2 (P1C3R2): Plan d'action pour l'élimination progressive du chauffage au fioul fossile</w:t>
      </w:r>
    </w:p>
    <w:p w14:paraId="112855C8" w14:textId="77777777" w:rsidR="003D7F65" w:rsidRDefault="0082041E">
      <w:pPr>
        <w:pStyle w:val="FooterText"/>
        <w:jc w:val="both"/>
        <w:rPr>
          <w:noProof/>
        </w:rPr>
      </w:pPr>
      <w:r>
        <w:rPr>
          <w:noProof/>
        </w:rPr>
        <w:t xml:space="preserve">L’objectif de cette mesure est de contribuer à l’élimination progressive du chauffage au fioul fossile en Finlande d’ici à 2030. Cette mesure consiste en un plan d’action visant à éliminer progressivement le chauffage au fioul fossile. </w:t>
      </w:r>
    </w:p>
    <w:p w14:paraId="536F8B08" w14:textId="77777777" w:rsidR="003D7F65" w:rsidRDefault="0082041E">
      <w:pPr>
        <w:pStyle w:val="P68B1DB1-Normal6"/>
        <w:spacing w:before="120" w:after="120" w:line="240" w:lineRule="auto"/>
        <w:jc w:val="both"/>
        <w:rPr>
          <w:noProof/>
        </w:rPr>
      </w:pPr>
      <w:r>
        <w:rPr>
          <w:noProof/>
        </w:rPr>
        <w:t>Investissement 2 (P1C3I2): Programme pour un environnement bâti sobre en carbone</w:t>
      </w:r>
    </w:p>
    <w:p w14:paraId="7935A6A4" w14:textId="77777777" w:rsidR="003D7F65" w:rsidRDefault="0082041E">
      <w:pPr>
        <w:pStyle w:val="FooterText"/>
        <w:jc w:val="both"/>
        <w:rPr>
          <w:noProof/>
        </w:rPr>
      </w:pPr>
      <w:r>
        <w:rPr>
          <w:noProof/>
        </w:rPr>
        <w:t>L’objectif de cette mesure est d’accélérer le développement et l’adoption de solutions à faible intensité de carbone dans l’environnement bâti. Cette mesure comprend le programme pour un environnement bâti à faible teneur en carbone, une initiative qui fournit un soutien financier au moyen de subventions pour des projets dans ce domaine.</w:t>
      </w:r>
    </w:p>
    <w:p w14:paraId="1A46E1A2" w14:textId="77777777" w:rsidR="003D7F65" w:rsidRDefault="003D7F65">
      <w:pPr>
        <w:spacing w:after="0" w:line="240" w:lineRule="auto"/>
        <w:rPr>
          <w:rFonts w:ascii="Times New Roman" w:hAnsi="Times New Roman"/>
          <w:b/>
          <w:noProof/>
          <w:sz w:val="24"/>
          <w:u w:val="single"/>
        </w:rPr>
      </w:pPr>
    </w:p>
    <w:p w14:paraId="2C4AC7AA" w14:textId="77777777" w:rsidR="003D7F65" w:rsidRDefault="003D7F65">
      <w:pPr>
        <w:spacing w:before="120" w:after="120" w:line="240" w:lineRule="auto"/>
        <w:jc w:val="both"/>
        <w:rPr>
          <w:rFonts w:ascii="Times New Roman" w:hAnsi="Times New Roman"/>
          <w:b/>
          <w:noProof/>
          <w:sz w:val="24"/>
          <w:u w:val="single"/>
        </w:rPr>
        <w:sectPr w:rsidR="003D7F65" w:rsidSect="00A7081A">
          <w:headerReference w:type="even" r:id="rId42"/>
          <w:headerReference w:type="default" r:id="rId43"/>
          <w:footerReference w:type="even" r:id="rId44"/>
          <w:footerReference w:type="default" r:id="rId45"/>
          <w:headerReference w:type="first" r:id="rId46"/>
          <w:footerReference w:type="first" r:id="rId47"/>
          <w:pgSz w:w="11907" w:h="16839" w:code="9"/>
          <w:pgMar w:top="1134" w:right="1134" w:bottom="1134" w:left="1134" w:header="567" w:footer="567" w:gutter="0"/>
          <w:cols w:space="720"/>
          <w:docGrid w:linePitch="360"/>
        </w:sectPr>
      </w:pPr>
    </w:p>
    <w:p w14:paraId="4BDA86FE" w14:textId="77777777" w:rsidR="003D7F65" w:rsidRDefault="0082041E">
      <w:pPr>
        <w:pStyle w:val="P68B1DB1-Normal5"/>
        <w:spacing w:before="120" w:after="120" w:line="240" w:lineRule="auto"/>
        <w:jc w:val="both"/>
        <w:rPr>
          <w:noProof/>
        </w:rPr>
      </w:pPr>
      <w:r>
        <w:rPr>
          <w:noProof/>
        </w:rPr>
        <w:t xml:space="preserve">C.2. </w:t>
      </w:r>
      <w:r>
        <w:rPr>
          <w:noProof/>
        </w:rPr>
        <w:tab/>
        <w:t>Étapes, cibles, indicateurs et calendrier pour le suivi et la mise en œuvre du soutien financier non remboursable</w:t>
      </w:r>
    </w:p>
    <w:tbl>
      <w:tblPr>
        <w:tblW w:w="15712" w:type="dxa"/>
        <w:jc w:val="center"/>
        <w:tblLayout w:type="fixed"/>
        <w:tblCellMar>
          <w:left w:w="28" w:type="dxa"/>
          <w:right w:w="28" w:type="dxa"/>
        </w:tblCellMar>
        <w:tblLook w:val="04A0" w:firstRow="1" w:lastRow="0" w:firstColumn="1" w:lastColumn="0" w:noHBand="0" w:noVBand="1"/>
      </w:tblPr>
      <w:tblGrid>
        <w:gridCol w:w="768"/>
        <w:gridCol w:w="2107"/>
        <w:gridCol w:w="1100"/>
        <w:gridCol w:w="1560"/>
        <w:gridCol w:w="1701"/>
        <w:gridCol w:w="697"/>
        <w:gridCol w:w="720"/>
        <w:gridCol w:w="414"/>
        <w:gridCol w:w="851"/>
        <w:gridCol w:w="992"/>
        <w:gridCol w:w="851"/>
        <w:gridCol w:w="3951"/>
      </w:tblGrid>
      <w:tr w:rsidR="003D7F65" w14:paraId="127368E3" w14:textId="77777777" w:rsidTr="005D5FEB">
        <w:trPr>
          <w:trHeight w:val="927"/>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14BC71" w14:textId="77777777" w:rsidR="003D7F65" w:rsidRDefault="0082041E">
            <w:pPr>
              <w:pStyle w:val="P68B1DB1-Normal7"/>
              <w:spacing w:after="0" w:line="240" w:lineRule="auto"/>
              <w:jc w:val="center"/>
              <w:rPr>
                <w:noProof/>
              </w:rPr>
            </w:pPr>
            <w:r>
              <w:rPr>
                <w:noProof/>
              </w:rPr>
              <w:t>Numéro</w:t>
            </w:r>
          </w:p>
        </w:tc>
        <w:tc>
          <w:tcPr>
            <w:tcW w:w="2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8E2CB7" w14:textId="3BF73740" w:rsidR="003D7F65" w:rsidRDefault="0082041E">
            <w:pPr>
              <w:pStyle w:val="P68B1DB1-Normal7"/>
              <w:spacing w:after="0" w:line="240" w:lineRule="auto"/>
              <w:jc w:val="center"/>
              <w:rPr>
                <w:noProof/>
              </w:rPr>
            </w:pPr>
            <w:r>
              <w:rPr>
                <w:noProof/>
              </w:rPr>
              <w:t>Mesure</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565773" w14:textId="57D2CF4A" w:rsidR="003D7F65" w:rsidRDefault="0082041E">
            <w:pPr>
              <w:pStyle w:val="P68B1DB1-Normal7"/>
              <w:spacing w:after="0" w:line="240" w:lineRule="auto"/>
              <w:jc w:val="center"/>
              <w:rPr>
                <w:noProof/>
              </w:rPr>
            </w:pPr>
            <w:r>
              <w:rPr>
                <w:noProof/>
              </w:rPr>
              <w:t>Étape/cible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65B111" w14:textId="77777777" w:rsidR="003D7F65" w:rsidRDefault="0082041E">
            <w:pPr>
              <w:pStyle w:val="P68B1DB1-Normal7"/>
              <w:spacing w:after="0" w:line="240" w:lineRule="auto"/>
              <w:jc w:val="center"/>
              <w:rPr>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46AE4C" w14:textId="0A8E6491" w:rsidR="003D7F65" w:rsidRDefault="0082041E">
            <w:pPr>
              <w:pStyle w:val="P68B1DB1-Normal7"/>
              <w:spacing w:after="0" w:line="240" w:lineRule="auto"/>
              <w:jc w:val="center"/>
              <w:rPr>
                <w:bCs/>
                <w:noProof/>
              </w:rPr>
            </w:pPr>
            <w:r>
              <w:rPr>
                <w:noProof/>
              </w:rPr>
              <w:t>Indicateurs qualitatifs (pour les jalons)</w:t>
            </w:r>
          </w:p>
        </w:tc>
        <w:tc>
          <w:tcPr>
            <w:tcW w:w="2682"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6C995A45" w14:textId="650CE6E9" w:rsidR="003D7F65" w:rsidRDefault="0082041E">
            <w:pPr>
              <w:pStyle w:val="P68B1DB1-Normal7"/>
              <w:spacing w:after="0" w:line="240" w:lineRule="auto"/>
              <w:jc w:val="center"/>
              <w:rPr>
                <w:bCs/>
                <w:noProof/>
              </w:rPr>
            </w:pPr>
            <w:r>
              <w:rPr>
                <w:noProof/>
              </w:rPr>
              <w:t>Indicateurs quantitatifs (pour les objectifs)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5228FFE7" w14:textId="68FDE4CB" w:rsidR="003D7F65" w:rsidRDefault="0082041E">
            <w:pPr>
              <w:pStyle w:val="P68B1DB1-Normal7"/>
              <w:spacing w:after="0" w:line="240" w:lineRule="auto"/>
              <w:jc w:val="center"/>
              <w:rPr>
                <w:noProof/>
              </w:rPr>
            </w:pPr>
            <w:r>
              <w:rPr>
                <w:noProof/>
              </w:rPr>
              <w:t>Calendrier indicatif d'achèvement</w:t>
            </w:r>
          </w:p>
        </w:tc>
        <w:tc>
          <w:tcPr>
            <w:tcW w:w="39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EE34FC" w14:textId="77777777" w:rsidR="003D7F65" w:rsidRDefault="0082041E">
            <w:pPr>
              <w:pStyle w:val="P68B1DB1-Normal7"/>
              <w:spacing w:after="0" w:line="240" w:lineRule="auto"/>
              <w:jc w:val="center"/>
              <w:rPr>
                <w:noProof/>
              </w:rPr>
            </w:pPr>
            <w:r>
              <w:rPr>
                <w:noProof/>
              </w:rPr>
              <w:t>Description de chaque jalon et cible</w:t>
            </w:r>
          </w:p>
        </w:tc>
      </w:tr>
      <w:tr w:rsidR="003D7F65" w14:paraId="45EE1C38" w14:textId="77777777" w:rsidTr="005D5FEB">
        <w:trPr>
          <w:trHeight w:val="612"/>
          <w:tblHeader/>
          <w:jc w:val="center"/>
        </w:trPr>
        <w:tc>
          <w:tcPr>
            <w:tcW w:w="768" w:type="dxa"/>
            <w:vMerge/>
            <w:tcBorders>
              <w:top w:val="single" w:sz="4" w:space="0" w:color="auto"/>
              <w:left w:val="single" w:sz="4" w:space="0" w:color="auto"/>
              <w:bottom w:val="single" w:sz="4" w:space="0" w:color="auto"/>
              <w:right w:val="single" w:sz="4" w:space="0" w:color="auto"/>
            </w:tcBorders>
            <w:vAlign w:val="center"/>
            <w:hideMark/>
          </w:tcPr>
          <w:p w14:paraId="708B8EEC" w14:textId="77777777" w:rsidR="003D7F65" w:rsidRDefault="003D7F65">
            <w:pPr>
              <w:spacing w:after="0" w:line="240" w:lineRule="auto"/>
              <w:rPr>
                <w:rFonts w:ascii="Times New Roman" w:eastAsia="Times New Roman" w:hAnsi="Times New Roman"/>
                <w:b/>
                <w:noProof/>
                <w:sz w:val="20"/>
                <w:szCs w:val="20"/>
              </w:rPr>
            </w:pPr>
          </w:p>
        </w:tc>
        <w:tc>
          <w:tcPr>
            <w:tcW w:w="2107" w:type="dxa"/>
            <w:vMerge/>
            <w:tcBorders>
              <w:top w:val="single" w:sz="4" w:space="0" w:color="auto"/>
              <w:left w:val="single" w:sz="4" w:space="0" w:color="auto"/>
              <w:bottom w:val="single" w:sz="4" w:space="0" w:color="auto"/>
              <w:right w:val="single" w:sz="4" w:space="0" w:color="auto"/>
            </w:tcBorders>
            <w:vAlign w:val="center"/>
            <w:hideMark/>
          </w:tcPr>
          <w:p w14:paraId="34F6F85C" w14:textId="77777777" w:rsidR="003D7F65" w:rsidRDefault="003D7F65">
            <w:pPr>
              <w:spacing w:after="0" w:line="240" w:lineRule="auto"/>
              <w:rPr>
                <w:rFonts w:ascii="Times New Roman" w:eastAsia="Times New Roman" w:hAnsi="Times New Roman"/>
                <w:b/>
                <w:noProof/>
                <w:sz w:val="20"/>
                <w:szCs w:val="20"/>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01A2A862" w14:textId="77777777" w:rsidR="003D7F65" w:rsidRDefault="003D7F65">
            <w:pPr>
              <w:spacing w:after="0" w:line="240" w:lineRule="auto"/>
              <w:rPr>
                <w:rFonts w:ascii="Times New Roman" w:eastAsia="Times New Roman" w:hAnsi="Times New Roman"/>
                <w:b/>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8226B9A" w14:textId="77777777" w:rsidR="003D7F65" w:rsidRDefault="003D7F65">
            <w:pPr>
              <w:spacing w:after="0" w:line="240" w:lineRule="auto"/>
              <w:rPr>
                <w:rFonts w:ascii="Times New Roman" w:eastAsia="Times New Roman" w:hAnsi="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86CF09" w14:textId="77777777" w:rsidR="003D7F65" w:rsidRDefault="003D7F65">
            <w:pPr>
              <w:spacing w:after="0" w:line="240" w:lineRule="auto"/>
              <w:rPr>
                <w:rFonts w:ascii="Times New Roman" w:eastAsia="Times New Roman" w:hAnsi="Times New Roman"/>
                <w:b/>
                <w:noProof/>
                <w:sz w:val="20"/>
                <w:szCs w:val="20"/>
              </w:rPr>
            </w:pPr>
          </w:p>
        </w:tc>
        <w:tc>
          <w:tcPr>
            <w:tcW w:w="6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C15447" w14:textId="77777777" w:rsidR="003D7F65" w:rsidRDefault="0082041E">
            <w:pPr>
              <w:pStyle w:val="P68B1DB1-Normal7"/>
              <w:spacing w:after="0" w:line="240" w:lineRule="auto"/>
              <w:jc w:val="center"/>
              <w:rPr>
                <w:noProof/>
              </w:rPr>
            </w:pPr>
            <w:r>
              <w:rPr>
                <w:noProof/>
              </w:rPr>
              <w:t xml:space="preserve">Unité </w:t>
            </w:r>
          </w:p>
        </w:tc>
        <w:tc>
          <w:tcPr>
            <w:tcW w:w="1134" w:type="dxa"/>
            <w:gridSpan w:val="2"/>
            <w:tcBorders>
              <w:top w:val="single" w:sz="4" w:space="0" w:color="auto"/>
              <w:left w:val="nil"/>
              <w:bottom w:val="single" w:sz="4" w:space="0" w:color="auto"/>
              <w:right w:val="single" w:sz="4" w:space="0" w:color="auto"/>
            </w:tcBorders>
            <w:shd w:val="clear" w:color="auto" w:fill="BDD7EE"/>
            <w:vAlign w:val="center"/>
            <w:hideMark/>
          </w:tcPr>
          <w:p w14:paraId="3CCAF0A0" w14:textId="77777777" w:rsidR="003D7F65" w:rsidRDefault="0082041E">
            <w:pPr>
              <w:pStyle w:val="P68B1DB1-Normal7"/>
              <w:spacing w:after="0" w:line="240" w:lineRule="auto"/>
              <w:jc w:val="center"/>
              <w:rPr>
                <w:bCs/>
                <w:noProof/>
              </w:rPr>
            </w:pPr>
            <w:r>
              <w:rPr>
                <w:noProof/>
              </w:rPr>
              <w:t xml:space="preserve">Données de référence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507DF2E1" w14:textId="77777777" w:rsidR="003D7F65" w:rsidRDefault="0082041E">
            <w:pPr>
              <w:pStyle w:val="P68B1DB1-Normal7"/>
              <w:spacing w:after="0" w:line="240" w:lineRule="auto"/>
              <w:jc w:val="center"/>
              <w:rPr>
                <w:noProof/>
              </w:rPr>
            </w:pPr>
            <w:r>
              <w:rPr>
                <w:noProof/>
              </w:rPr>
              <w:t xml:space="preserve">Objectif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0ADB89E4" w14:textId="77777777" w:rsidR="003D7F65" w:rsidRDefault="0082041E">
            <w:pPr>
              <w:pStyle w:val="P68B1DB1-Normal7"/>
              <w:spacing w:after="0" w:line="240" w:lineRule="auto"/>
              <w:jc w:val="center"/>
              <w:rPr>
                <w:noProof/>
              </w:rPr>
            </w:pPr>
            <w:r>
              <w:rPr>
                <w:noProof/>
              </w:rPr>
              <w:t>Trimestre</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2345B5BD" w14:textId="77777777" w:rsidR="003D7F65" w:rsidRDefault="0082041E">
            <w:pPr>
              <w:pStyle w:val="P68B1DB1-Normal7"/>
              <w:spacing w:after="0" w:line="240" w:lineRule="auto"/>
              <w:jc w:val="center"/>
              <w:rPr>
                <w:noProof/>
              </w:rPr>
            </w:pPr>
            <w:r>
              <w:rPr>
                <w:noProof/>
              </w:rPr>
              <w:t>Année</w:t>
            </w:r>
          </w:p>
        </w:tc>
        <w:tc>
          <w:tcPr>
            <w:tcW w:w="3951" w:type="dxa"/>
            <w:vMerge/>
            <w:tcBorders>
              <w:top w:val="single" w:sz="4" w:space="0" w:color="auto"/>
              <w:bottom w:val="single" w:sz="4" w:space="0" w:color="auto"/>
              <w:right w:val="single" w:sz="4" w:space="0" w:color="auto"/>
            </w:tcBorders>
            <w:vAlign w:val="center"/>
            <w:hideMark/>
          </w:tcPr>
          <w:p w14:paraId="4459D932" w14:textId="77777777" w:rsidR="003D7F65" w:rsidRDefault="003D7F65">
            <w:pPr>
              <w:spacing w:after="0" w:line="240" w:lineRule="auto"/>
              <w:rPr>
                <w:rFonts w:ascii="Times New Roman" w:eastAsia="Times New Roman" w:hAnsi="Times New Roman"/>
                <w:b/>
                <w:noProof/>
                <w:sz w:val="20"/>
                <w:szCs w:val="20"/>
              </w:rPr>
            </w:pPr>
          </w:p>
        </w:tc>
      </w:tr>
      <w:tr w:rsidR="003D7F65" w14:paraId="3D952DA9" w14:textId="77777777" w:rsidTr="005D5FEB">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5ABD6E01" w14:textId="77777777" w:rsidR="003D7F65" w:rsidRDefault="0082041E">
            <w:pPr>
              <w:pStyle w:val="P68B1DB1-Normal8"/>
              <w:spacing w:after="0" w:line="240" w:lineRule="auto"/>
              <w:jc w:val="center"/>
              <w:rPr>
                <w:rFonts w:eastAsia="Times New Roman"/>
                <w:noProof/>
              </w:rPr>
            </w:pPr>
            <w:r>
              <w:rPr>
                <w:noProof/>
              </w:rPr>
              <w:t>25</w:t>
            </w:r>
          </w:p>
        </w:tc>
        <w:tc>
          <w:tcPr>
            <w:tcW w:w="2107" w:type="dxa"/>
            <w:tcBorders>
              <w:top w:val="single" w:sz="4" w:space="0" w:color="auto"/>
              <w:left w:val="nil"/>
              <w:bottom w:val="single" w:sz="4" w:space="0" w:color="auto"/>
              <w:right w:val="single" w:sz="4" w:space="0" w:color="auto"/>
            </w:tcBorders>
            <w:shd w:val="clear" w:color="auto" w:fill="C6EFCE"/>
            <w:noWrap/>
            <w:hideMark/>
          </w:tcPr>
          <w:p w14:paraId="3031F827" w14:textId="77777777" w:rsidR="003D7F65" w:rsidRDefault="0082041E">
            <w:pPr>
              <w:pStyle w:val="P68B1DB1-Normal8"/>
              <w:spacing w:after="0" w:line="240" w:lineRule="auto"/>
              <w:rPr>
                <w:rFonts w:eastAsia="Times New Roman"/>
                <w:noProof/>
              </w:rPr>
            </w:pPr>
            <w:r>
              <w:rPr>
                <w:noProof/>
              </w:rPr>
              <w:t>P1C3R1 – Réduction des incidences du parc immobilier sur le climat et l’environnement – Réforme de la loi sur l’utilisation des sols et la construction</w:t>
            </w:r>
          </w:p>
        </w:tc>
        <w:tc>
          <w:tcPr>
            <w:tcW w:w="1100" w:type="dxa"/>
            <w:tcBorders>
              <w:top w:val="single" w:sz="4" w:space="0" w:color="auto"/>
              <w:left w:val="nil"/>
              <w:bottom w:val="single" w:sz="4" w:space="0" w:color="auto"/>
              <w:right w:val="single" w:sz="4" w:space="0" w:color="auto"/>
            </w:tcBorders>
            <w:shd w:val="clear" w:color="auto" w:fill="C6EFCE"/>
            <w:noWrap/>
            <w:hideMark/>
          </w:tcPr>
          <w:p w14:paraId="0809B734" w14:textId="77777777" w:rsidR="003D7F65" w:rsidRDefault="0082041E">
            <w:pPr>
              <w:pStyle w:val="P68B1DB1-Normal8"/>
              <w:spacing w:after="0" w:line="240" w:lineRule="auto"/>
              <w:rPr>
                <w:rFonts w:eastAsia="Times New Roman"/>
                <w:noProof/>
              </w:rPr>
            </w:pPr>
            <w:r>
              <w:rPr>
                <w:noProof/>
              </w:rPr>
              <w:t>Étape</w:t>
            </w:r>
          </w:p>
        </w:tc>
        <w:tc>
          <w:tcPr>
            <w:tcW w:w="1560" w:type="dxa"/>
            <w:tcBorders>
              <w:top w:val="single" w:sz="4" w:space="0" w:color="auto"/>
              <w:left w:val="nil"/>
              <w:bottom w:val="single" w:sz="4" w:space="0" w:color="auto"/>
              <w:right w:val="single" w:sz="4" w:space="0" w:color="auto"/>
            </w:tcBorders>
            <w:shd w:val="clear" w:color="auto" w:fill="C6EFCE"/>
            <w:noWrap/>
            <w:hideMark/>
          </w:tcPr>
          <w:p w14:paraId="77C600DB" w14:textId="2320AE29" w:rsidR="003D7F65" w:rsidRDefault="0082041E">
            <w:pPr>
              <w:pStyle w:val="P68B1DB1-Normal8"/>
              <w:spacing w:after="0" w:line="240" w:lineRule="auto"/>
              <w:rPr>
                <w:rFonts w:eastAsia="Times New Roman"/>
                <w:noProof/>
              </w:rPr>
            </w:pPr>
            <w:r>
              <w:rPr>
                <w:noProof/>
              </w:rPr>
              <w:t>Entrée en vigueur du ou des actes juridiques</w:t>
            </w:r>
          </w:p>
        </w:tc>
        <w:tc>
          <w:tcPr>
            <w:tcW w:w="1701" w:type="dxa"/>
            <w:tcBorders>
              <w:top w:val="single" w:sz="4" w:space="0" w:color="auto"/>
              <w:left w:val="nil"/>
              <w:bottom w:val="single" w:sz="4" w:space="0" w:color="auto"/>
              <w:right w:val="single" w:sz="4" w:space="0" w:color="auto"/>
            </w:tcBorders>
            <w:shd w:val="clear" w:color="auto" w:fill="C6EFCE"/>
            <w:noWrap/>
            <w:hideMark/>
          </w:tcPr>
          <w:p w14:paraId="021BCFE4" w14:textId="37C629B8" w:rsidR="003D7F65" w:rsidRDefault="0082041E">
            <w:pPr>
              <w:pStyle w:val="P68B1DB1-Normal8"/>
              <w:spacing w:after="0" w:line="240" w:lineRule="auto"/>
              <w:rPr>
                <w:rFonts w:eastAsia="Times New Roman"/>
                <w:noProof/>
              </w:rPr>
            </w:pPr>
            <w:r>
              <w:rPr>
                <w:noProof/>
              </w:rPr>
              <w:t>Entrée en vigueur du ou des actes juridiques</w:t>
            </w:r>
          </w:p>
        </w:tc>
        <w:tc>
          <w:tcPr>
            <w:tcW w:w="697" w:type="dxa"/>
            <w:tcBorders>
              <w:top w:val="nil"/>
              <w:left w:val="nil"/>
              <w:bottom w:val="single" w:sz="4" w:space="0" w:color="auto"/>
              <w:right w:val="single" w:sz="4" w:space="0" w:color="auto"/>
            </w:tcBorders>
            <w:shd w:val="clear" w:color="auto" w:fill="C6EFCE"/>
            <w:noWrap/>
            <w:hideMark/>
          </w:tcPr>
          <w:p w14:paraId="00031AE6" w14:textId="77777777" w:rsidR="003D7F65" w:rsidRDefault="0082041E">
            <w:pPr>
              <w:pStyle w:val="P68B1DB1-Normal8"/>
              <w:spacing w:after="0" w:line="240" w:lineRule="auto"/>
              <w:rPr>
                <w:rFonts w:eastAsia="Times New Roman"/>
                <w:noProof/>
              </w:rPr>
            </w:pPr>
            <w:r>
              <w:rPr>
                <w:noProof/>
              </w:rPr>
              <w:t> </w:t>
            </w:r>
          </w:p>
        </w:tc>
        <w:tc>
          <w:tcPr>
            <w:tcW w:w="720" w:type="dxa"/>
            <w:tcBorders>
              <w:top w:val="nil"/>
              <w:left w:val="nil"/>
              <w:bottom w:val="single" w:sz="4" w:space="0" w:color="auto"/>
              <w:right w:val="single" w:sz="4" w:space="0" w:color="auto"/>
            </w:tcBorders>
            <w:shd w:val="clear" w:color="auto" w:fill="C6EFCE"/>
            <w:noWrap/>
            <w:hideMark/>
          </w:tcPr>
          <w:p w14:paraId="122B9E76" w14:textId="77777777" w:rsidR="003D7F65" w:rsidRDefault="0082041E">
            <w:pPr>
              <w:pStyle w:val="P68B1DB1-Normal8"/>
              <w:spacing w:after="0" w:line="240" w:lineRule="auto"/>
              <w:rPr>
                <w:rFonts w:eastAsia="Times New Roman"/>
                <w:noProof/>
              </w:rPr>
            </w:pPr>
            <w:r>
              <w:rPr>
                <w:noProof/>
              </w:rPr>
              <w:t> </w:t>
            </w:r>
          </w:p>
        </w:tc>
        <w:tc>
          <w:tcPr>
            <w:tcW w:w="1265" w:type="dxa"/>
            <w:gridSpan w:val="2"/>
            <w:tcBorders>
              <w:top w:val="nil"/>
              <w:left w:val="nil"/>
              <w:bottom w:val="single" w:sz="4" w:space="0" w:color="auto"/>
              <w:right w:val="single" w:sz="4" w:space="0" w:color="auto"/>
            </w:tcBorders>
            <w:shd w:val="clear" w:color="auto" w:fill="C6EFCE"/>
            <w:noWrap/>
            <w:hideMark/>
          </w:tcPr>
          <w:p w14:paraId="2E6AC21F"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50A5DD3A" w14:textId="77777777" w:rsidR="003D7F65" w:rsidRDefault="0082041E">
            <w:pPr>
              <w:pStyle w:val="P68B1DB1-Normal8"/>
              <w:spacing w:after="0" w:line="240" w:lineRule="auto"/>
              <w:ind w:right="-5"/>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0624DC3B" w14:textId="77777777" w:rsidR="003D7F65" w:rsidRDefault="0082041E">
            <w:pPr>
              <w:pStyle w:val="P68B1DB1-Normal8"/>
              <w:spacing w:after="0" w:line="240" w:lineRule="auto"/>
              <w:rPr>
                <w:rFonts w:eastAsia="Times New Roman"/>
                <w:noProof/>
              </w:rPr>
            </w:pPr>
            <w:r>
              <w:rPr>
                <w:noProof/>
              </w:rPr>
              <w:t>2026</w:t>
            </w:r>
          </w:p>
        </w:tc>
        <w:tc>
          <w:tcPr>
            <w:tcW w:w="3951" w:type="dxa"/>
            <w:tcBorders>
              <w:top w:val="single" w:sz="4" w:space="0" w:color="auto"/>
              <w:left w:val="nil"/>
              <w:bottom w:val="single" w:sz="4" w:space="0" w:color="auto"/>
              <w:right w:val="single" w:sz="4" w:space="0" w:color="auto"/>
            </w:tcBorders>
            <w:shd w:val="clear" w:color="auto" w:fill="C6EFCE"/>
            <w:noWrap/>
            <w:hideMark/>
          </w:tcPr>
          <w:p w14:paraId="5190DDAE" w14:textId="2737F28F" w:rsidR="003D7F65" w:rsidRDefault="0082041E">
            <w:pPr>
              <w:pStyle w:val="P68B1DB1-Normal8"/>
              <w:spacing w:after="0" w:line="240" w:lineRule="auto"/>
              <w:rPr>
                <w:rFonts w:eastAsia="Times New Roman"/>
                <w:noProof/>
              </w:rPr>
            </w:pPr>
            <w:r>
              <w:rPr>
                <w:noProof/>
              </w:rPr>
              <w:t>Le ou les actes juridiques fixent des limites aux émissions de dioxyde de carbone du cycle de vie des bâtiments neufs. Ils réglementent également le développement de méthodes de calcul et de bases de données interopérables.</w:t>
            </w:r>
          </w:p>
        </w:tc>
      </w:tr>
      <w:tr w:rsidR="003D7F65" w14:paraId="5B6B54DA" w14:textId="77777777" w:rsidTr="005D5FEB">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1F0570E2" w14:textId="77777777" w:rsidR="003D7F65" w:rsidRDefault="0082041E">
            <w:pPr>
              <w:pStyle w:val="P68B1DB1-Normal8"/>
              <w:spacing w:after="0" w:line="240" w:lineRule="auto"/>
              <w:jc w:val="center"/>
              <w:rPr>
                <w:rFonts w:eastAsia="Times New Roman"/>
                <w:noProof/>
              </w:rPr>
            </w:pPr>
            <w:r>
              <w:rPr>
                <w:noProof/>
              </w:rPr>
              <w:t>26</w:t>
            </w:r>
          </w:p>
        </w:tc>
        <w:tc>
          <w:tcPr>
            <w:tcW w:w="2107" w:type="dxa"/>
            <w:tcBorders>
              <w:top w:val="nil"/>
              <w:left w:val="nil"/>
              <w:bottom w:val="single" w:sz="4" w:space="0" w:color="auto"/>
              <w:right w:val="single" w:sz="4" w:space="0" w:color="auto"/>
            </w:tcBorders>
            <w:shd w:val="clear" w:color="auto" w:fill="C6EFCE"/>
            <w:noWrap/>
            <w:hideMark/>
          </w:tcPr>
          <w:p w14:paraId="2EC84254" w14:textId="77777777" w:rsidR="003D7F65" w:rsidRDefault="0082041E">
            <w:pPr>
              <w:pStyle w:val="P68B1DB1-Normal8"/>
              <w:spacing w:after="0" w:line="240" w:lineRule="auto"/>
              <w:rPr>
                <w:rFonts w:eastAsia="Times New Roman"/>
                <w:noProof/>
              </w:rPr>
            </w:pPr>
            <w:r>
              <w:rPr>
                <w:noProof/>
              </w:rPr>
              <w:t>P1C3R2 – Réduction des incidences du parc immobilier sur le climat et l’environnement – plan d’action visant à éliminer progressivement le chauffage au fioul fossile</w:t>
            </w:r>
          </w:p>
        </w:tc>
        <w:tc>
          <w:tcPr>
            <w:tcW w:w="1100" w:type="dxa"/>
            <w:tcBorders>
              <w:top w:val="nil"/>
              <w:left w:val="nil"/>
              <w:bottom w:val="single" w:sz="4" w:space="0" w:color="auto"/>
              <w:right w:val="single" w:sz="4" w:space="0" w:color="auto"/>
            </w:tcBorders>
            <w:shd w:val="clear" w:color="auto" w:fill="C6EFCE"/>
            <w:noWrap/>
            <w:hideMark/>
          </w:tcPr>
          <w:p w14:paraId="53A55B25" w14:textId="77777777" w:rsidR="003D7F65" w:rsidRDefault="0082041E">
            <w:pPr>
              <w:pStyle w:val="P68B1DB1-Normal8"/>
              <w:spacing w:after="0" w:line="240" w:lineRule="auto"/>
              <w:rPr>
                <w:rFonts w:eastAsia="Times New Roman"/>
                <w:noProof/>
              </w:rPr>
            </w:pPr>
            <w:r>
              <w:rPr>
                <w:noProof/>
              </w:rPr>
              <w:t>Étape</w:t>
            </w:r>
          </w:p>
        </w:tc>
        <w:tc>
          <w:tcPr>
            <w:tcW w:w="1560" w:type="dxa"/>
            <w:tcBorders>
              <w:top w:val="nil"/>
              <w:left w:val="nil"/>
              <w:bottom w:val="single" w:sz="4" w:space="0" w:color="auto"/>
              <w:right w:val="single" w:sz="4" w:space="0" w:color="auto"/>
            </w:tcBorders>
            <w:shd w:val="clear" w:color="auto" w:fill="C6EFCE"/>
            <w:noWrap/>
            <w:hideMark/>
          </w:tcPr>
          <w:p w14:paraId="09A670FD" w14:textId="77777777" w:rsidR="003D7F65" w:rsidRDefault="0082041E">
            <w:pPr>
              <w:pStyle w:val="P68B1DB1-Normal8"/>
              <w:spacing w:after="0" w:line="240" w:lineRule="auto"/>
              <w:rPr>
                <w:rFonts w:eastAsia="Times New Roman"/>
                <w:noProof/>
              </w:rPr>
            </w:pPr>
            <w:r>
              <w:rPr>
                <w:noProof/>
              </w:rPr>
              <w:t>Publication du plan d'action pour l'élimination progressive du chauffage au fioul fossile</w:t>
            </w:r>
          </w:p>
        </w:tc>
        <w:tc>
          <w:tcPr>
            <w:tcW w:w="1701" w:type="dxa"/>
            <w:tcBorders>
              <w:top w:val="nil"/>
              <w:left w:val="nil"/>
              <w:bottom w:val="single" w:sz="4" w:space="0" w:color="auto"/>
              <w:right w:val="single" w:sz="4" w:space="0" w:color="auto"/>
            </w:tcBorders>
            <w:shd w:val="clear" w:color="auto" w:fill="C6EFCE"/>
            <w:noWrap/>
            <w:hideMark/>
          </w:tcPr>
          <w:p w14:paraId="51494585" w14:textId="77777777" w:rsidR="003D7F65" w:rsidRDefault="0082041E">
            <w:pPr>
              <w:pStyle w:val="P68B1DB1-Normal8"/>
              <w:spacing w:after="0" w:line="240" w:lineRule="auto"/>
              <w:rPr>
                <w:noProof/>
              </w:rPr>
            </w:pPr>
            <w:r>
              <w:rPr>
                <w:noProof/>
              </w:rPr>
              <w:t>Publication du plan d’action sur le site web du gouvernement finlandais</w:t>
            </w:r>
          </w:p>
        </w:tc>
        <w:tc>
          <w:tcPr>
            <w:tcW w:w="697" w:type="dxa"/>
            <w:tcBorders>
              <w:top w:val="nil"/>
              <w:left w:val="nil"/>
              <w:bottom w:val="single" w:sz="4" w:space="0" w:color="auto"/>
              <w:right w:val="single" w:sz="4" w:space="0" w:color="auto"/>
            </w:tcBorders>
            <w:shd w:val="clear" w:color="auto" w:fill="C6EFCE"/>
            <w:noWrap/>
            <w:hideMark/>
          </w:tcPr>
          <w:p w14:paraId="02FCCE38" w14:textId="77777777" w:rsidR="003D7F65" w:rsidRDefault="0082041E">
            <w:pPr>
              <w:pStyle w:val="P68B1DB1-Normal8"/>
              <w:spacing w:after="0" w:line="240" w:lineRule="auto"/>
              <w:rPr>
                <w:rFonts w:eastAsia="Times New Roman"/>
                <w:noProof/>
              </w:rPr>
            </w:pPr>
            <w:r>
              <w:rPr>
                <w:noProof/>
              </w:rPr>
              <w:t> </w:t>
            </w:r>
          </w:p>
        </w:tc>
        <w:tc>
          <w:tcPr>
            <w:tcW w:w="720" w:type="dxa"/>
            <w:tcBorders>
              <w:top w:val="nil"/>
              <w:left w:val="nil"/>
              <w:bottom w:val="single" w:sz="4" w:space="0" w:color="auto"/>
              <w:right w:val="single" w:sz="4" w:space="0" w:color="auto"/>
            </w:tcBorders>
            <w:shd w:val="clear" w:color="auto" w:fill="C6EFCE"/>
            <w:noWrap/>
            <w:hideMark/>
          </w:tcPr>
          <w:p w14:paraId="377FF816" w14:textId="77777777" w:rsidR="003D7F65" w:rsidRDefault="0082041E">
            <w:pPr>
              <w:pStyle w:val="P68B1DB1-Normal8"/>
              <w:spacing w:after="0" w:line="240" w:lineRule="auto"/>
              <w:rPr>
                <w:rFonts w:eastAsia="Times New Roman"/>
                <w:noProof/>
              </w:rPr>
            </w:pPr>
            <w:r>
              <w:rPr>
                <w:noProof/>
              </w:rPr>
              <w:t> </w:t>
            </w:r>
          </w:p>
        </w:tc>
        <w:tc>
          <w:tcPr>
            <w:tcW w:w="1265" w:type="dxa"/>
            <w:gridSpan w:val="2"/>
            <w:tcBorders>
              <w:top w:val="nil"/>
              <w:left w:val="nil"/>
              <w:bottom w:val="single" w:sz="4" w:space="0" w:color="auto"/>
              <w:right w:val="single" w:sz="4" w:space="0" w:color="auto"/>
            </w:tcBorders>
            <w:shd w:val="clear" w:color="auto" w:fill="C6EFCE"/>
            <w:noWrap/>
            <w:hideMark/>
          </w:tcPr>
          <w:p w14:paraId="435D313F"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693712C7" w14:textId="77777777" w:rsidR="003D7F65" w:rsidRDefault="0082041E">
            <w:pPr>
              <w:pStyle w:val="P68B1DB1-Normal8"/>
              <w:spacing w:after="0" w:line="240" w:lineRule="auto"/>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00D854C8" w14:textId="77777777" w:rsidR="003D7F65" w:rsidRDefault="0082041E">
            <w:pPr>
              <w:pStyle w:val="P68B1DB1-Normal8"/>
              <w:spacing w:after="0" w:line="240" w:lineRule="auto"/>
              <w:rPr>
                <w:rFonts w:eastAsia="Times New Roman"/>
                <w:noProof/>
              </w:rPr>
            </w:pPr>
            <w:r>
              <w:rPr>
                <w:noProof/>
              </w:rPr>
              <w:t>2022</w:t>
            </w:r>
          </w:p>
        </w:tc>
        <w:tc>
          <w:tcPr>
            <w:tcW w:w="3951" w:type="dxa"/>
            <w:tcBorders>
              <w:top w:val="nil"/>
              <w:left w:val="nil"/>
              <w:bottom w:val="single" w:sz="4" w:space="0" w:color="auto"/>
              <w:right w:val="single" w:sz="4" w:space="0" w:color="auto"/>
            </w:tcBorders>
            <w:shd w:val="clear" w:color="auto" w:fill="C6EFCE"/>
            <w:noWrap/>
            <w:hideMark/>
          </w:tcPr>
          <w:p w14:paraId="06393322" w14:textId="31C897E7" w:rsidR="003D7F65" w:rsidRDefault="0082041E">
            <w:pPr>
              <w:pStyle w:val="P68B1DB1-Normal8"/>
              <w:spacing w:after="0" w:line="240" w:lineRule="auto"/>
              <w:rPr>
                <w:i/>
                <w:noProof/>
              </w:rPr>
            </w:pPr>
            <w:r>
              <w:rPr>
                <w:noProof/>
              </w:rPr>
              <w:t>Le plan d’action définit toutes les mesures nécessaires pour soutenir la suppression progressive du chauffage au fioul fossile dans tous les bâtiments en Finlande au plus tard le 31 décembre 2030.</w:t>
            </w:r>
          </w:p>
        </w:tc>
      </w:tr>
      <w:tr w:rsidR="003D7F65" w14:paraId="3E552733" w14:textId="77777777" w:rsidTr="005D5FEB">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3FA308B1" w14:textId="77777777" w:rsidR="003D7F65" w:rsidRDefault="0082041E">
            <w:pPr>
              <w:pStyle w:val="P68B1DB1-Normal8"/>
              <w:spacing w:after="0" w:line="240" w:lineRule="auto"/>
              <w:jc w:val="center"/>
              <w:rPr>
                <w:rFonts w:eastAsia="Times New Roman"/>
                <w:noProof/>
              </w:rPr>
            </w:pPr>
            <w:r>
              <w:rPr>
                <w:noProof/>
              </w:rPr>
              <w:t>31</w:t>
            </w:r>
          </w:p>
        </w:tc>
        <w:tc>
          <w:tcPr>
            <w:tcW w:w="2107" w:type="dxa"/>
            <w:tcBorders>
              <w:top w:val="nil"/>
              <w:left w:val="nil"/>
              <w:bottom w:val="single" w:sz="4" w:space="0" w:color="auto"/>
              <w:right w:val="single" w:sz="4" w:space="0" w:color="auto"/>
            </w:tcBorders>
            <w:shd w:val="clear" w:color="auto" w:fill="C6EFCE"/>
            <w:noWrap/>
            <w:hideMark/>
          </w:tcPr>
          <w:p w14:paraId="6C91528D" w14:textId="77777777" w:rsidR="003D7F65" w:rsidRDefault="0082041E">
            <w:pPr>
              <w:pStyle w:val="P68B1DB1-Normal8"/>
              <w:spacing w:after="0" w:line="240" w:lineRule="auto"/>
              <w:rPr>
                <w:rFonts w:eastAsia="Times New Roman"/>
                <w:noProof/>
              </w:rPr>
            </w:pPr>
            <w:r>
              <w:rPr>
                <w:noProof/>
              </w:rPr>
              <w:t>P1C3I2 – Réduction des incidences du parc immobilier sur le climat et l’environnement – Programme pour un environnement bâti à faible intensité de carbone</w:t>
            </w:r>
          </w:p>
        </w:tc>
        <w:tc>
          <w:tcPr>
            <w:tcW w:w="1100" w:type="dxa"/>
            <w:tcBorders>
              <w:top w:val="nil"/>
              <w:left w:val="nil"/>
              <w:bottom w:val="single" w:sz="4" w:space="0" w:color="auto"/>
              <w:right w:val="single" w:sz="4" w:space="0" w:color="auto"/>
            </w:tcBorders>
            <w:shd w:val="clear" w:color="auto" w:fill="C6EFCE"/>
            <w:noWrap/>
            <w:hideMark/>
          </w:tcPr>
          <w:p w14:paraId="1E18ECC7" w14:textId="77777777" w:rsidR="003D7F65" w:rsidRDefault="0082041E">
            <w:pPr>
              <w:pStyle w:val="P68B1DB1-Normal8"/>
              <w:spacing w:after="0" w:line="240" w:lineRule="auto"/>
              <w:rPr>
                <w:rFonts w:eastAsia="Times New Roman"/>
                <w:noProof/>
              </w:rPr>
            </w:pPr>
            <w:r>
              <w:rPr>
                <w:noProof/>
              </w:rPr>
              <w:t>Étape</w:t>
            </w:r>
          </w:p>
        </w:tc>
        <w:tc>
          <w:tcPr>
            <w:tcW w:w="1560" w:type="dxa"/>
            <w:tcBorders>
              <w:top w:val="nil"/>
              <w:left w:val="nil"/>
              <w:bottom w:val="single" w:sz="4" w:space="0" w:color="auto"/>
              <w:right w:val="single" w:sz="4" w:space="0" w:color="auto"/>
            </w:tcBorders>
            <w:shd w:val="clear" w:color="auto" w:fill="C6EFCE"/>
            <w:noWrap/>
            <w:hideMark/>
          </w:tcPr>
          <w:p w14:paraId="3D404404" w14:textId="77783921" w:rsidR="003D7F65" w:rsidRDefault="0082041E">
            <w:pPr>
              <w:pStyle w:val="P68B1DB1-Normal8"/>
              <w:spacing w:after="0" w:line="240" w:lineRule="auto"/>
              <w:rPr>
                <w:rFonts w:eastAsia="Times New Roman"/>
                <w:noProof/>
              </w:rPr>
            </w:pPr>
            <w:r>
              <w:rPr>
                <w:noProof/>
              </w:rPr>
              <w:t>Publication d'un premier appel à candidatures concernant le soutien à un environnement bâti sobre en carbone</w:t>
            </w:r>
          </w:p>
        </w:tc>
        <w:tc>
          <w:tcPr>
            <w:tcW w:w="1701" w:type="dxa"/>
            <w:tcBorders>
              <w:top w:val="nil"/>
              <w:left w:val="nil"/>
              <w:bottom w:val="single" w:sz="4" w:space="0" w:color="auto"/>
              <w:right w:val="single" w:sz="4" w:space="0" w:color="auto"/>
            </w:tcBorders>
            <w:shd w:val="clear" w:color="auto" w:fill="C6EFCE"/>
            <w:noWrap/>
            <w:hideMark/>
          </w:tcPr>
          <w:p w14:paraId="657E305B" w14:textId="77777777" w:rsidR="003D7F65" w:rsidRDefault="0082041E">
            <w:pPr>
              <w:pStyle w:val="P68B1DB1-Normal8"/>
              <w:spacing w:after="0" w:line="240" w:lineRule="auto"/>
              <w:rPr>
                <w:rFonts w:eastAsia="Times New Roman"/>
                <w:noProof/>
              </w:rPr>
            </w:pPr>
            <w:r>
              <w:rPr>
                <w:noProof/>
              </w:rPr>
              <w:t>Publication de l'appel à candidatures</w:t>
            </w:r>
          </w:p>
        </w:tc>
        <w:tc>
          <w:tcPr>
            <w:tcW w:w="697" w:type="dxa"/>
            <w:tcBorders>
              <w:top w:val="nil"/>
              <w:left w:val="nil"/>
              <w:bottom w:val="single" w:sz="4" w:space="0" w:color="auto"/>
              <w:right w:val="single" w:sz="4" w:space="0" w:color="auto"/>
            </w:tcBorders>
            <w:shd w:val="clear" w:color="auto" w:fill="C6EFCE"/>
            <w:noWrap/>
            <w:hideMark/>
          </w:tcPr>
          <w:p w14:paraId="35120A45" w14:textId="77777777" w:rsidR="003D7F65" w:rsidRDefault="0082041E">
            <w:pPr>
              <w:pStyle w:val="P68B1DB1-Normal8"/>
              <w:spacing w:after="0" w:line="240" w:lineRule="auto"/>
              <w:rPr>
                <w:rFonts w:eastAsia="Times New Roman"/>
                <w:noProof/>
              </w:rPr>
            </w:pPr>
            <w:r>
              <w:rPr>
                <w:noProof/>
              </w:rPr>
              <w:t> </w:t>
            </w:r>
          </w:p>
        </w:tc>
        <w:tc>
          <w:tcPr>
            <w:tcW w:w="720" w:type="dxa"/>
            <w:tcBorders>
              <w:top w:val="nil"/>
              <w:left w:val="nil"/>
              <w:bottom w:val="single" w:sz="4" w:space="0" w:color="auto"/>
              <w:right w:val="single" w:sz="4" w:space="0" w:color="auto"/>
            </w:tcBorders>
            <w:shd w:val="clear" w:color="auto" w:fill="C6EFCE"/>
            <w:noWrap/>
            <w:hideMark/>
          </w:tcPr>
          <w:p w14:paraId="1020D289" w14:textId="77777777" w:rsidR="003D7F65" w:rsidRDefault="0082041E">
            <w:pPr>
              <w:pStyle w:val="P68B1DB1-Normal8"/>
              <w:spacing w:after="0" w:line="240" w:lineRule="auto"/>
              <w:rPr>
                <w:rFonts w:eastAsia="Times New Roman"/>
                <w:noProof/>
              </w:rPr>
            </w:pPr>
            <w:r>
              <w:rPr>
                <w:noProof/>
              </w:rPr>
              <w:t> </w:t>
            </w:r>
          </w:p>
        </w:tc>
        <w:tc>
          <w:tcPr>
            <w:tcW w:w="1265" w:type="dxa"/>
            <w:gridSpan w:val="2"/>
            <w:tcBorders>
              <w:top w:val="nil"/>
              <w:left w:val="nil"/>
              <w:bottom w:val="single" w:sz="4" w:space="0" w:color="auto"/>
              <w:right w:val="single" w:sz="4" w:space="0" w:color="auto"/>
            </w:tcBorders>
            <w:shd w:val="clear" w:color="auto" w:fill="C6EFCE"/>
            <w:noWrap/>
            <w:hideMark/>
          </w:tcPr>
          <w:p w14:paraId="56398099"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77075B93" w14:textId="77777777" w:rsidR="003D7F65" w:rsidRDefault="0082041E">
            <w:pPr>
              <w:pStyle w:val="P68B1DB1-Normal8"/>
              <w:spacing w:after="0" w:line="240" w:lineRule="auto"/>
              <w:rPr>
                <w:noProof/>
              </w:rPr>
            </w:pPr>
            <w:r>
              <w:rPr>
                <w:noProof/>
              </w:rPr>
              <w:t>T4</w:t>
            </w:r>
          </w:p>
        </w:tc>
        <w:tc>
          <w:tcPr>
            <w:tcW w:w="851" w:type="dxa"/>
            <w:tcBorders>
              <w:top w:val="nil"/>
              <w:left w:val="nil"/>
              <w:bottom w:val="single" w:sz="4" w:space="0" w:color="auto"/>
              <w:right w:val="single" w:sz="4" w:space="0" w:color="auto"/>
            </w:tcBorders>
            <w:shd w:val="clear" w:color="auto" w:fill="C6EFCE"/>
            <w:noWrap/>
            <w:hideMark/>
          </w:tcPr>
          <w:p w14:paraId="7051091D" w14:textId="77777777" w:rsidR="003D7F65" w:rsidRDefault="0082041E">
            <w:pPr>
              <w:pStyle w:val="P68B1DB1-Normal8"/>
              <w:spacing w:after="0" w:line="240" w:lineRule="auto"/>
              <w:rPr>
                <w:noProof/>
              </w:rPr>
            </w:pPr>
            <w:r>
              <w:rPr>
                <w:noProof/>
              </w:rPr>
              <w:t>2021</w:t>
            </w:r>
          </w:p>
        </w:tc>
        <w:tc>
          <w:tcPr>
            <w:tcW w:w="3951" w:type="dxa"/>
            <w:tcBorders>
              <w:top w:val="nil"/>
              <w:left w:val="nil"/>
              <w:bottom w:val="single" w:sz="4" w:space="0" w:color="auto"/>
              <w:right w:val="single" w:sz="4" w:space="0" w:color="auto"/>
            </w:tcBorders>
            <w:shd w:val="clear" w:color="auto" w:fill="C6EFCE"/>
            <w:noWrap/>
          </w:tcPr>
          <w:p w14:paraId="6FD7A155" w14:textId="77777777" w:rsidR="003D7F65" w:rsidRDefault="0082041E">
            <w:pPr>
              <w:pStyle w:val="P68B1DB1-Normal8"/>
              <w:spacing w:after="0" w:line="240" w:lineRule="auto"/>
              <w:rPr>
                <w:noProof/>
              </w:rPr>
            </w:pPr>
            <w:r>
              <w:rPr>
                <w:noProof/>
              </w:rPr>
              <w:t>Lancement d’un premier appel à candidatures concurrentiel concernant un programme pour un environnement bâti à faible intensité de carbone dans les domaines de la recherche et de l’innovation, du transfert de technologies et de la coopération entre la recherche, les entreprises et les collectivités locales. 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7378F279" w14:textId="77777777" w:rsidTr="005D5FEB">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tcPr>
          <w:p w14:paraId="63CDA9F7" w14:textId="77777777" w:rsidR="003D7F65" w:rsidRDefault="0082041E">
            <w:pPr>
              <w:pStyle w:val="P68B1DB1-Normal8"/>
              <w:spacing w:after="0" w:line="240" w:lineRule="auto"/>
              <w:jc w:val="center"/>
              <w:rPr>
                <w:rFonts w:eastAsia="Times New Roman"/>
                <w:noProof/>
              </w:rPr>
            </w:pPr>
            <w:r>
              <w:rPr>
                <w:noProof/>
              </w:rPr>
              <w:t>32</w:t>
            </w:r>
          </w:p>
        </w:tc>
        <w:tc>
          <w:tcPr>
            <w:tcW w:w="2107" w:type="dxa"/>
            <w:tcBorders>
              <w:top w:val="nil"/>
              <w:left w:val="nil"/>
              <w:bottom w:val="single" w:sz="4" w:space="0" w:color="auto"/>
              <w:right w:val="single" w:sz="4" w:space="0" w:color="auto"/>
            </w:tcBorders>
            <w:shd w:val="clear" w:color="auto" w:fill="C6EFCE"/>
            <w:noWrap/>
          </w:tcPr>
          <w:p w14:paraId="63FE4BC9" w14:textId="77777777" w:rsidR="003D7F65" w:rsidRDefault="0082041E">
            <w:pPr>
              <w:pStyle w:val="P68B1DB1-Normal8"/>
              <w:spacing w:after="0" w:line="240" w:lineRule="auto"/>
              <w:rPr>
                <w:rFonts w:eastAsia="Times New Roman"/>
                <w:noProof/>
              </w:rPr>
            </w:pPr>
            <w:r>
              <w:rPr>
                <w:noProof/>
              </w:rPr>
              <w:t>P1C3I2 – Réduction des incidences du parc immobilier sur le climat et l’environnement – Programme pour un environnement bâti à faible intensité de carbone</w:t>
            </w:r>
          </w:p>
        </w:tc>
        <w:tc>
          <w:tcPr>
            <w:tcW w:w="1100" w:type="dxa"/>
            <w:tcBorders>
              <w:top w:val="nil"/>
              <w:left w:val="nil"/>
              <w:bottom w:val="single" w:sz="4" w:space="0" w:color="auto"/>
              <w:right w:val="single" w:sz="4" w:space="0" w:color="auto"/>
            </w:tcBorders>
            <w:shd w:val="clear" w:color="auto" w:fill="C6EFCE"/>
            <w:noWrap/>
          </w:tcPr>
          <w:p w14:paraId="2DAE3CCE" w14:textId="77777777" w:rsidR="003D7F65" w:rsidRDefault="0082041E">
            <w:pPr>
              <w:pStyle w:val="P68B1DB1-Normal8"/>
              <w:spacing w:after="0" w:line="240" w:lineRule="auto"/>
              <w:rPr>
                <w:rFonts w:eastAsia="Times New Roman"/>
                <w:noProof/>
              </w:rPr>
            </w:pPr>
            <w:r>
              <w:rPr>
                <w:noProof/>
              </w:rPr>
              <w:t>Étape</w:t>
            </w:r>
          </w:p>
        </w:tc>
        <w:tc>
          <w:tcPr>
            <w:tcW w:w="1560" w:type="dxa"/>
            <w:tcBorders>
              <w:top w:val="nil"/>
              <w:left w:val="nil"/>
              <w:bottom w:val="single" w:sz="4" w:space="0" w:color="auto"/>
              <w:right w:val="single" w:sz="4" w:space="0" w:color="auto"/>
            </w:tcBorders>
            <w:shd w:val="clear" w:color="auto" w:fill="C6EFCE"/>
            <w:noWrap/>
          </w:tcPr>
          <w:p w14:paraId="105F7C10" w14:textId="77777777" w:rsidR="003D7F65" w:rsidRDefault="0082041E">
            <w:pPr>
              <w:pStyle w:val="P68B1DB1-Normal8"/>
              <w:spacing w:after="0" w:line="240" w:lineRule="auto"/>
              <w:rPr>
                <w:rFonts w:eastAsia="Times New Roman"/>
                <w:noProof/>
              </w:rPr>
            </w:pPr>
            <w:r>
              <w:rPr>
                <w:noProof/>
              </w:rPr>
              <w:t xml:space="preserve">Publication d’appels à candidatures supplémentaires concernant le soutien à un environnement bâti à faible intensité de carbone </w:t>
            </w:r>
          </w:p>
        </w:tc>
        <w:tc>
          <w:tcPr>
            <w:tcW w:w="1701" w:type="dxa"/>
            <w:tcBorders>
              <w:top w:val="nil"/>
              <w:left w:val="nil"/>
              <w:bottom w:val="single" w:sz="4" w:space="0" w:color="auto"/>
              <w:right w:val="single" w:sz="4" w:space="0" w:color="auto"/>
            </w:tcBorders>
            <w:shd w:val="clear" w:color="auto" w:fill="C6EFCE"/>
            <w:noWrap/>
          </w:tcPr>
          <w:p w14:paraId="3A272165" w14:textId="77777777" w:rsidR="003D7F65" w:rsidRDefault="0082041E">
            <w:pPr>
              <w:pStyle w:val="P68B1DB1-Normal8"/>
              <w:spacing w:after="0" w:line="240" w:lineRule="auto"/>
              <w:rPr>
                <w:rFonts w:eastAsia="Times New Roman"/>
                <w:noProof/>
              </w:rPr>
            </w:pPr>
            <w:r>
              <w:rPr>
                <w:noProof/>
              </w:rPr>
              <w:t>Publication d'appels à candidatures supplémentaires</w:t>
            </w:r>
          </w:p>
        </w:tc>
        <w:tc>
          <w:tcPr>
            <w:tcW w:w="697" w:type="dxa"/>
            <w:tcBorders>
              <w:top w:val="nil"/>
              <w:left w:val="nil"/>
              <w:bottom w:val="single" w:sz="4" w:space="0" w:color="auto"/>
              <w:right w:val="single" w:sz="4" w:space="0" w:color="auto"/>
            </w:tcBorders>
            <w:shd w:val="clear" w:color="auto" w:fill="C6EFCE"/>
            <w:noWrap/>
          </w:tcPr>
          <w:p w14:paraId="0A38E049" w14:textId="77777777" w:rsidR="003D7F65" w:rsidRDefault="003D7F65">
            <w:pPr>
              <w:spacing w:after="0" w:line="240" w:lineRule="auto"/>
              <w:rPr>
                <w:rFonts w:ascii="Times New Roman" w:eastAsia="Times New Roman" w:hAnsi="Times New Roman"/>
                <w:noProof/>
                <w:sz w:val="20"/>
                <w:szCs w:val="20"/>
              </w:rPr>
            </w:pPr>
          </w:p>
        </w:tc>
        <w:tc>
          <w:tcPr>
            <w:tcW w:w="720" w:type="dxa"/>
            <w:tcBorders>
              <w:top w:val="nil"/>
              <w:left w:val="nil"/>
              <w:bottom w:val="single" w:sz="4" w:space="0" w:color="auto"/>
              <w:right w:val="single" w:sz="4" w:space="0" w:color="auto"/>
            </w:tcBorders>
            <w:shd w:val="clear" w:color="auto" w:fill="C6EFCE"/>
            <w:noWrap/>
          </w:tcPr>
          <w:p w14:paraId="4300F3A9" w14:textId="77777777" w:rsidR="003D7F65" w:rsidRDefault="003D7F65">
            <w:pPr>
              <w:spacing w:after="0" w:line="240" w:lineRule="auto"/>
              <w:rPr>
                <w:rFonts w:ascii="Times New Roman" w:eastAsia="Times New Roman" w:hAnsi="Times New Roman"/>
                <w:noProof/>
                <w:sz w:val="20"/>
                <w:szCs w:val="20"/>
              </w:rPr>
            </w:pPr>
          </w:p>
        </w:tc>
        <w:tc>
          <w:tcPr>
            <w:tcW w:w="1265" w:type="dxa"/>
            <w:gridSpan w:val="2"/>
            <w:tcBorders>
              <w:top w:val="nil"/>
              <w:left w:val="nil"/>
              <w:bottom w:val="single" w:sz="4" w:space="0" w:color="auto"/>
              <w:right w:val="single" w:sz="4" w:space="0" w:color="auto"/>
            </w:tcBorders>
            <w:shd w:val="clear" w:color="auto" w:fill="C6EFCE"/>
            <w:noWrap/>
          </w:tcPr>
          <w:p w14:paraId="16907B81" w14:textId="77777777" w:rsidR="003D7F65" w:rsidRDefault="003D7F65">
            <w:pPr>
              <w:spacing w:after="0" w:line="240" w:lineRule="auto"/>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3FDEC6ED" w14:textId="77777777" w:rsidR="003D7F65" w:rsidRDefault="0082041E">
            <w:pPr>
              <w:pStyle w:val="P68B1DB1-Normal8"/>
              <w:spacing w:after="0" w:line="240" w:lineRule="auto"/>
              <w:rPr>
                <w:noProof/>
              </w:rPr>
            </w:pPr>
            <w:r>
              <w:rPr>
                <w:noProof/>
              </w:rPr>
              <w:t>T2</w:t>
            </w:r>
          </w:p>
        </w:tc>
        <w:tc>
          <w:tcPr>
            <w:tcW w:w="851" w:type="dxa"/>
            <w:tcBorders>
              <w:top w:val="nil"/>
              <w:left w:val="nil"/>
              <w:bottom w:val="single" w:sz="4" w:space="0" w:color="auto"/>
              <w:right w:val="single" w:sz="4" w:space="0" w:color="auto"/>
            </w:tcBorders>
            <w:shd w:val="clear" w:color="auto" w:fill="C6EFCE"/>
            <w:noWrap/>
          </w:tcPr>
          <w:p w14:paraId="60823B60" w14:textId="77777777" w:rsidR="003D7F65" w:rsidRDefault="0082041E">
            <w:pPr>
              <w:pStyle w:val="P68B1DB1-Normal8"/>
              <w:spacing w:after="0" w:line="240" w:lineRule="auto"/>
              <w:rPr>
                <w:noProof/>
              </w:rPr>
            </w:pPr>
            <w:r>
              <w:rPr>
                <w:noProof/>
              </w:rPr>
              <w:t>2024</w:t>
            </w:r>
          </w:p>
        </w:tc>
        <w:tc>
          <w:tcPr>
            <w:tcW w:w="3951" w:type="dxa"/>
            <w:tcBorders>
              <w:top w:val="nil"/>
              <w:left w:val="nil"/>
              <w:bottom w:val="single" w:sz="4" w:space="0" w:color="auto"/>
              <w:right w:val="single" w:sz="4" w:space="0" w:color="auto"/>
            </w:tcBorders>
            <w:shd w:val="clear" w:color="auto" w:fill="C6EFCE"/>
            <w:noWrap/>
          </w:tcPr>
          <w:p w14:paraId="7F2CC470" w14:textId="5A349A60" w:rsidR="003D7F65" w:rsidRDefault="0082041E">
            <w:pPr>
              <w:pStyle w:val="P68B1DB1-Normal8"/>
              <w:rPr>
                <w:noProof/>
              </w:rPr>
            </w:pPr>
            <w:bookmarkStart w:id="5" w:name="_Hlk215503689"/>
            <w:r>
              <w:rPr>
                <w:noProof/>
              </w:rPr>
              <w:t>Publication d’appels à candidatures supplémentaires conformément aux critères d’éligibilité/de sélection indiqués au jalon 31.</w:t>
            </w:r>
            <w:bookmarkEnd w:id="5"/>
          </w:p>
        </w:tc>
      </w:tr>
      <w:tr w:rsidR="003D7F65" w14:paraId="46C30657" w14:textId="77777777" w:rsidTr="005D5FEB">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01FAFA7B" w14:textId="77777777" w:rsidR="003D7F65" w:rsidRDefault="0082041E">
            <w:pPr>
              <w:pStyle w:val="P68B1DB1-Normal8"/>
              <w:spacing w:after="0" w:line="240" w:lineRule="auto"/>
              <w:jc w:val="center"/>
              <w:rPr>
                <w:rFonts w:eastAsia="Times New Roman"/>
                <w:noProof/>
              </w:rPr>
            </w:pPr>
            <w:r>
              <w:rPr>
                <w:noProof/>
              </w:rPr>
              <w:t>33</w:t>
            </w:r>
          </w:p>
        </w:tc>
        <w:tc>
          <w:tcPr>
            <w:tcW w:w="2107" w:type="dxa"/>
            <w:tcBorders>
              <w:top w:val="single" w:sz="4" w:space="0" w:color="auto"/>
              <w:left w:val="nil"/>
              <w:bottom w:val="single" w:sz="4" w:space="0" w:color="auto"/>
              <w:right w:val="single" w:sz="4" w:space="0" w:color="auto"/>
            </w:tcBorders>
            <w:shd w:val="clear" w:color="auto" w:fill="C6EFCE"/>
            <w:noWrap/>
            <w:hideMark/>
          </w:tcPr>
          <w:p w14:paraId="1467F12A" w14:textId="77777777" w:rsidR="003D7F65" w:rsidRDefault="0082041E">
            <w:pPr>
              <w:pStyle w:val="P68B1DB1-Normal8"/>
              <w:spacing w:after="0" w:line="240" w:lineRule="auto"/>
              <w:rPr>
                <w:rFonts w:eastAsia="Times New Roman"/>
                <w:noProof/>
              </w:rPr>
            </w:pPr>
            <w:r>
              <w:rPr>
                <w:noProof/>
              </w:rPr>
              <w:t>P1C3I2 – Réduction des incidences du parc immobilier sur le climat et l’environnement – Programme pour un environnement bâti à faible intensité de carbone</w:t>
            </w:r>
          </w:p>
        </w:tc>
        <w:tc>
          <w:tcPr>
            <w:tcW w:w="1100" w:type="dxa"/>
            <w:tcBorders>
              <w:top w:val="nil"/>
              <w:left w:val="nil"/>
              <w:bottom w:val="single" w:sz="4" w:space="0" w:color="auto"/>
              <w:right w:val="single" w:sz="4" w:space="0" w:color="auto"/>
            </w:tcBorders>
            <w:shd w:val="clear" w:color="auto" w:fill="C6EFCE"/>
            <w:noWrap/>
            <w:hideMark/>
          </w:tcPr>
          <w:p w14:paraId="729B9FBD" w14:textId="77777777" w:rsidR="003D7F65" w:rsidRDefault="0082041E">
            <w:pPr>
              <w:pStyle w:val="P68B1DB1-Normal8"/>
              <w:spacing w:after="0" w:line="240" w:lineRule="auto"/>
              <w:rPr>
                <w:rFonts w:eastAsia="Times New Roman"/>
                <w:noProof/>
              </w:rPr>
            </w:pPr>
            <w:r>
              <w:rPr>
                <w:noProof/>
              </w:rPr>
              <w:t>Étape</w:t>
            </w:r>
          </w:p>
        </w:tc>
        <w:tc>
          <w:tcPr>
            <w:tcW w:w="1560" w:type="dxa"/>
            <w:tcBorders>
              <w:top w:val="nil"/>
              <w:left w:val="nil"/>
              <w:bottom w:val="single" w:sz="4" w:space="0" w:color="auto"/>
              <w:right w:val="single" w:sz="4" w:space="0" w:color="auto"/>
            </w:tcBorders>
            <w:shd w:val="clear" w:color="auto" w:fill="C6EFCE"/>
            <w:noWrap/>
            <w:hideMark/>
          </w:tcPr>
          <w:p w14:paraId="574C1171" w14:textId="77777777" w:rsidR="003D7F65" w:rsidRDefault="0082041E">
            <w:pPr>
              <w:pStyle w:val="P68B1DB1-Normal8"/>
              <w:spacing w:after="0" w:line="240" w:lineRule="auto"/>
              <w:rPr>
                <w:rFonts w:eastAsia="Times New Roman"/>
                <w:noProof/>
              </w:rPr>
            </w:pPr>
            <w:r>
              <w:rPr>
                <w:noProof/>
              </w:rPr>
              <w:t xml:space="preserve">Décisions d’octroi de financement publiées, rapports de projet présentés et rapport de programme publié </w:t>
            </w:r>
          </w:p>
        </w:tc>
        <w:tc>
          <w:tcPr>
            <w:tcW w:w="1701" w:type="dxa"/>
            <w:tcBorders>
              <w:top w:val="single" w:sz="4" w:space="0" w:color="auto"/>
              <w:left w:val="nil"/>
              <w:bottom w:val="single" w:sz="4" w:space="0" w:color="auto"/>
              <w:right w:val="single" w:sz="4" w:space="0" w:color="auto"/>
            </w:tcBorders>
            <w:shd w:val="clear" w:color="auto" w:fill="C6EFCE"/>
            <w:noWrap/>
            <w:hideMark/>
          </w:tcPr>
          <w:p w14:paraId="1C45F897" w14:textId="77777777" w:rsidR="003D7F65" w:rsidRDefault="0082041E">
            <w:pPr>
              <w:pStyle w:val="P68B1DB1-Normal8"/>
              <w:spacing w:after="0" w:line="240" w:lineRule="auto"/>
              <w:rPr>
                <w:rFonts w:eastAsia="Times New Roman"/>
                <w:noProof/>
              </w:rPr>
            </w:pPr>
            <w:r>
              <w:rPr>
                <w:noProof/>
              </w:rPr>
              <w:t xml:space="preserve">Décisions d’octroi de financement, rapports de projet et rapport de programme </w:t>
            </w:r>
          </w:p>
        </w:tc>
        <w:tc>
          <w:tcPr>
            <w:tcW w:w="697" w:type="dxa"/>
            <w:tcBorders>
              <w:top w:val="nil"/>
              <w:left w:val="nil"/>
              <w:bottom w:val="single" w:sz="4" w:space="0" w:color="auto"/>
              <w:right w:val="single" w:sz="4" w:space="0" w:color="auto"/>
            </w:tcBorders>
            <w:shd w:val="clear" w:color="auto" w:fill="C6EFCE"/>
            <w:noWrap/>
            <w:hideMark/>
          </w:tcPr>
          <w:p w14:paraId="435E78D8" w14:textId="77777777" w:rsidR="003D7F65" w:rsidRDefault="0082041E">
            <w:pPr>
              <w:pStyle w:val="P68B1DB1-Normal8"/>
              <w:spacing w:after="0" w:line="240" w:lineRule="auto"/>
              <w:rPr>
                <w:rFonts w:eastAsia="Times New Roman"/>
                <w:noProof/>
              </w:rPr>
            </w:pPr>
            <w:r>
              <w:rPr>
                <w:noProof/>
              </w:rPr>
              <w:t> </w:t>
            </w:r>
          </w:p>
        </w:tc>
        <w:tc>
          <w:tcPr>
            <w:tcW w:w="720" w:type="dxa"/>
            <w:tcBorders>
              <w:top w:val="nil"/>
              <w:left w:val="nil"/>
              <w:bottom w:val="single" w:sz="4" w:space="0" w:color="auto"/>
              <w:right w:val="single" w:sz="4" w:space="0" w:color="auto"/>
            </w:tcBorders>
            <w:shd w:val="clear" w:color="auto" w:fill="C6EFCE"/>
            <w:noWrap/>
            <w:hideMark/>
          </w:tcPr>
          <w:p w14:paraId="1A4ED4F5" w14:textId="77777777" w:rsidR="003D7F65" w:rsidRDefault="0082041E">
            <w:pPr>
              <w:pStyle w:val="P68B1DB1-Normal8"/>
              <w:spacing w:after="0" w:line="240" w:lineRule="auto"/>
              <w:rPr>
                <w:rFonts w:eastAsia="Times New Roman"/>
                <w:noProof/>
              </w:rPr>
            </w:pPr>
            <w:r>
              <w:rPr>
                <w:noProof/>
              </w:rPr>
              <w:t> </w:t>
            </w:r>
          </w:p>
        </w:tc>
        <w:tc>
          <w:tcPr>
            <w:tcW w:w="1265" w:type="dxa"/>
            <w:gridSpan w:val="2"/>
            <w:tcBorders>
              <w:top w:val="nil"/>
              <w:left w:val="nil"/>
              <w:bottom w:val="single" w:sz="4" w:space="0" w:color="auto"/>
              <w:right w:val="single" w:sz="4" w:space="0" w:color="auto"/>
            </w:tcBorders>
            <w:shd w:val="clear" w:color="auto" w:fill="C6EFCE"/>
            <w:noWrap/>
            <w:hideMark/>
          </w:tcPr>
          <w:p w14:paraId="5D4C705A" w14:textId="77777777" w:rsidR="003D7F65" w:rsidRDefault="0082041E">
            <w:pPr>
              <w:pStyle w:val="P68B1DB1-Normal8"/>
              <w:spacing w:after="0" w:line="240" w:lineRule="auto"/>
              <w:rPr>
                <w:rFonts w:eastAsia="Times New Roman"/>
                <w:noProof/>
              </w:rPr>
            </w:pPr>
            <w:r>
              <w:rPr>
                <w:noProof/>
              </w:rPr>
              <w:t> </w:t>
            </w:r>
          </w:p>
        </w:tc>
        <w:tc>
          <w:tcPr>
            <w:tcW w:w="992" w:type="dxa"/>
            <w:tcBorders>
              <w:top w:val="nil"/>
              <w:left w:val="nil"/>
              <w:bottom w:val="single" w:sz="4" w:space="0" w:color="auto"/>
              <w:right w:val="single" w:sz="4" w:space="0" w:color="auto"/>
            </w:tcBorders>
            <w:shd w:val="clear" w:color="auto" w:fill="C6EFCE"/>
            <w:noWrap/>
            <w:hideMark/>
          </w:tcPr>
          <w:p w14:paraId="587F131F" w14:textId="77777777" w:rsidR="003D7F65" w:rsidRDefault="0082041E">
            <w:pPr>
              <w:pStyle w:val="P68B1DB1-Normal8"/>
              <w:spacing w:after="0" w:line="240" w:lineRule="auto"/>
              <w:rPr>
                <w:rFonts w:eastAsia="Times New Roman"/>
                <w:noProof/>
              </w:rPr>
            </w:pPr>
            <w:r>
              <w:rPr>
                <w:noProof/>
              </w:rPr>
              <w:t>T2</w:t>
            </w:r>
          </w:p>
        </w:tc>
        <w:tc>
          <w:tcPr>
            <w:tcW w:w="851" w:type="dxa"/>
            <w:tcBorders>
              <w:top w:val="nil"/>
              <w:left w:val="nil"/>
              <w:bottom w:val="single" w:sz="4" w:space="0" w:color="auto"/>
              <w:right w:val="single" w:sz="4" w:space="0" w:color="auto"/>
            </w:tcBorders>
            <w:shd w:val="clear" w:color="auto" w:fill="C6EFCE"/>
            <w:noWrap/>
            <w:hideMark/>
          </w:tcPr>
          <w:p w14:paraId="1E0D71B8" w14:textId="77777777" w:rsidR="003D7F65" w:rsidRDefault="0082041E">
            <w:pPr>
              <w:pStyle w:val="P68B1DB1-Normal8"/>
              <w:spacing w:after="0" w:line="240" w:lineRule="auto"/>
              <w:rPr>
                <w:rFonts w:eastAsia="Times New Roman"/>
                <w:noProof/>
              </w:rPr>
            </w:pPr>
            <w:r>
              <w:rPr>
                <w:noProof/>
              </w:rPr>
              <w:t>2026</w:t>
            </w:r>
          </w:p>
        </w:tc>
        <w:tc>
          <w:tcPr>
            <w:tcW w:w="3951" w:type="dxa"/>
            <w:tcBorders>
              <w:top w:val="nil"/>
              <w:left w:val="nil"/>
              <w:bottom w:val="single" w:sz="4" w:space="0" w:color="auto"/>
              <w:right w:val="single" w:sz="4" w:space="0" w:color="auto"/>
            </w:tcBorders>
            <w:shd w:val="clear" w:color="auto" w:fill="C6EFCE"/>
            <w:noWrap/>
          </w:tcPr>
          <w:p w14:paraId="04D05113" w14:textId="31FAC0D4" w:rsidR="003D7F65" w:rsidRDefault="0082041E">
            <w:pPr>
              <w:pStyle w:val="P68B1DB1-Normal8"/>
              <w:spacing w:after="0" w:line="240" w:lineRule="auto"/>
              <w:rPr>
                <w:noProof/>
              </w:rPr>
            </w:pPr>
            <w:r>
              <w:rPr>
                <w:noProof/>
              </w:rPr>
              <w:t xml:space="preserve">Toutes les décisions d’octroi de financement sont rendues. </w:t>
            </w:r>
            <w:bookmarkStart w:id="6" w:name="_Hlk210300633"/>
            <w:r>
              <w:rPr>
                <w:noProof/>
              </w:rPr>
              <w:t xml:space="preserve">Les bénéficiaires de subventions soumettent des rapports sur les projets. Un rapport sur le programme contenant des informations sur les coûts des marchés publics et des activités du programme est publié. Ceux-ci correspondent à un engagement budgétaire d'au moins 36 000 000 EUR. </w:t>
            </w:r>
            <w:bookmarkEnd w:id="6"/>
          </w:p>
        </w:tc>
      </w:tr>
    </w:tbl>
    <w:p w14:paraId="42D71989" w14:textId="77777777" w:rsidR="003D7F65" w:rsidRDefault="003D7F65">
      <w:pPr>
        <w:spacing w:before="120" w:after="120" w:line="240" w:lineRule="auto"/>
        <w:jc w:val="both"/>
        <w:rPr>
          <w:rFonts w:ascii="Times New Roman" w:hAnsi="Times New Roman"/>
          <w:noProof/>
          <w:sz w:val="24"/>
        </w:rPr>
        <w:sectPr w:rsidR="003D7F65" w:rsidSect="00A7081A">
          <w:headerReference w:type="even" r:id="rId48"/>
          <w:headerReference w:type="default" r:id="rId49"/>
          <w:footerReference w:type="even" r:id="rId50"/>
          <w:footerReference w:type="default" r:id="rId51"/>
          <w:headerReference w:type="first" r:id="rId52"/>
          <w:footerReference w:type="first" r:id="rId53"/>
          <w:pgSz w:w="16839" w:h="11907" w:orient="landscape" w:code="9"/>
          <w:pgMar w:top="1134" w:right="1134" w:bottom="1134" w:left="1134" w:header="567" w:footer="567" w:gutter="0"/>
          <w:cols w:space="720"/>
          <w:docGrid w:linePitch="360"/>
        </w:sectPr>
      </w:pPr>
    </w:p>
    <w:p w14:paraId="50FB861E" w14:textId="77777777" w:rsidR="003D7F65" w:rsidRDefault="0082041E">
      <w:pPr>
        <w:pStyle w:val="P68B1DB1-Heading42"/>
        <w:numPr>
          <w:ilvl w:val="0"/>
          <w:numId w:val="0"/>
        </w:numPr>
        <w:rPr>
          <w:noProof/>
        </w:rPr>
      </w:pPr>
      <w:r>
        <w:rPr>
          <w:noProof/>
        </w:rPr>
        <w:t xml:space="preserve">D. Élément P1C4: SOLUTIONS À BASSE CARBONE POUR LES COMMUNAUTÉS ET LES TRANSPORTS </w:t>
      </w:r>
    </w:p>
    <w:p w14:paraId="5C551592" w14:textId="77777777" w:rsidR="003D7F65" w:rsidRDefault="0082041E">
      <w:pPr>
        <w:pStyle w:val="P68B1DB1-Normal3"/>
        <w:spacing w:before="120" w:after="120" w:line="240" w:lineRule="auto"/>
        <w:jc w:val="both"/>
        <w:rPr>
          <w:noProof/>
        </w:rPr>
      </w:pPr>
      <w:r>
        <w:rPr>
          <w:noProof/>
        </w:rPr>
        <w:t>La Finlande s’est fixé pour objectif de devenir la première société de bien-être sans combustibles fossiles au monde, en atteignant la neutralité carbone d’ici à 2035. Dans le cadre de la transition vers la neutralité carbone d’ici à 2035, la Finlande s’est également fixé pour objectif de réduire de moitié les émissions de gaz à effet de serre provenant des transports d’ici à 2030 par rapport à 2005. L’objectif général de ce volet du plan finlandais pour la reprise et la résilience est de contribuer à la réalisation de l’objectif d’émissions des transports en réduisant les émissions dans les transports et en encourageant l’utilisation de modes de transport sans carbone. Actuellement, les véhicules à moteur alternatifs ne représentent que 2,3 % du parc de voitures particulières, tandis que 48 % de toutes les stations publiques de recharge d'électricité et de ravitaillement en gaz sont situées dans les principales zones métropolitaines (Helsinki, Tampere, Turku).</w:t>
      </w:r>
    </w:p>
    <w:p w14:paraId="472978BA" w14:textId="77777777" w:rsidR="003D7F65" w:rsidRDefault="0082041E">
      <w:pPr>
        <w:pStyle w:val="P68B1DB1-Normal3"/>
        <w:spacing w:before="120" w:after="120" w:line="240" w:lineRule="auto"/>
        <w:jc w:val="both"/>
        <w:rPr>
          <w:noProof/>
        </w:rPr>
      </w:pPr>
      <w:r>
        <w:rPr>
          <w:noProof/>
        </w:rPr>
        <w:t xml:space="preserve">Ce volet comprend un investissement visant à promouvoir l’utilisation de transports privés non fossiles, y compris des investissements dans des infrastructures publiques de recharge et de ravitaillement pour les véhicules utilisant des carburants non fossiles. L’investissement s’accompagne de réformes comprenant une feuille de route pour stimuler l’utilisation du transport non fossile et une révision de la taxation des transports. </w:t>
      </w:r>
    </w:p>
    <w:p w14:paraId="1D09469F" w14:textId="77777777" w:rsidR="003D7F65" w:rsidRDefault="0082041E">
      <w:pPr>
        <w:pStyle w:val="NormalWeb"/>
        <w:jc w:val="both"/>
        <w:rPr>
          <w:noProof/>
        </w:rPr>
      </w:pPr>
      <w:r>
        <w:rPr>
          <w:noProof/>
        </w:rPr>
        <w:t>Ce volet contribue à donner suite aux recommandations par pays visant à concentrer les investissements sur la transition écologique, en particulier sur la production et l’utilisation propres et efficaces de l’énergie (recommandation par pays no 3 de 2020), ainsi qu’à promouvoir les investissements dans la transition vers une économie à faible intensité de carbone et la transition énergétique (recommandation par pays no 3 de 2019).</w:t>
      </w:r>
    </w:p>
    <w:p w14:paraId="07E70D71" w14:textId="77777777" w:rsidR="003D7F65" w:rsidRDefault="0082041E">
      <w:pPr>
        <w:pStyle w:val="P68B1DB1-Normal4"/>
        <w:spacing w:beforeAutospacing="1" w:afterAutospacing="1"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5FB6D0F" w14:textId="77777777" w:rsidR="003D7F65" w:rsidRDefault="0082041E">
      <w:pPr>
        <w:pStyle w:val="P68B1DB1-Normal5"/>
        <w:spacing w:before="120" w:after="120" w:line="240" w:lineRule="auto"/>
        <w:jc w:val="both"/>
        <w:rPr>
          <w:i/>
          <w:noProof/>
          <w:color w:val="4F81BD"/>
        </w:rPr>
      </w:pPr>
      <w:r>
        <w:rPr>
          <w:noProof/>
        </w:rPr>
        <w:t xml:space="preserve">D.1. </w:t>
      </w:r>
      <w:r>
        <w:rPr>
          <w:noProof/>
        </w:rPr>
        <w:tab/>
        <w:t>Description des réformes et des investissements pour le soutien financier non remboursable</w:t>
      </w:r>
    </w:p>
    <w:p w14:paraId="5993BD74" w14:textId="77777777" w:rsidR="003D7F65" w:rsidRDefault="0082041E">
      <w:pPr>
        <w:pStyle w:val="P68B1DB1-Normal6"/>
        <w:spacing w:before="120" w:after="120" w:line="240" w:lineRule="auto"/>
        <w:jc w:val="both"/>
        <w:rPr>
          <w:noProof/>
        </w:rPr>
      </w:pPr>
      <w:r>
        <w:rPr>
          <w:noProof/>
        </w:rPr>
        <w:t>Réforme 1 (P1C4R1): Feuille de route pour un transport sans combustibles fossiles</w:t>
      </w:r>
    </w:p>
    <w:p w14:paraId="13D7DF4A" w14:textId="472A0A5F" w:rsidR="003D7F65" w:rsidRDefault="0082041E">
      <w:pPr>
        <w:pStyle w:val="P68B1DB1-Normal3"/>
        <w:spacing w:line="240" w:lineRule="auto"/>
        <w:jc w:val="both"/>
        <w:rPr>
          <w:noProof/>
        </w:rPr>
      </w:pPr>
      <w:r>
        <w:rPr>
          <w:noProof/>
        </w:rPr>
        <w:t>L’objectif de cette mesure est de créer un cadre stratégique à long terme dans le but de réduire les émissions provenant du secteur des transports nationaux en Finlande. Cette mesure consiste en l’adoption d’une feuille de route pour un transport sans combustibles fossiles, présentant un ensemble de mesures visant à parvenir à un transport sans émissions d’ici à 2045.</w:t>
      </w:r>
    </w:p>
    <w:p w14:paraId="5B9DCCAF" w14:textId="77777777" w:rsidR="003D7F65" w:rsidRDefault="0082041E">
      <w:pPr>
        <w:pStyle w:val="P68B1DB1-Normal6"/>
        <w:spacing w:before="120" w:after="120" w:line="240" w:lineRule="auto"/>
        <w:jc w:val="both"/>
        <w:rPr>
          <w:noProof/>
        </w:rPr>
      </w:pPr>
      <w:r>
        <w:rPr>
          <w:noProof/>
        </w:rPr>
        <w:t>Réforme 2 (P1C4R2): Réforme fiscale pour des transports durables</w:t>
      </w:r>
    </w:p>
    <w:p w14:paraId="4FC23542" w14:textId="77777777" w:rsidR="003D7F65" w:rsidRDefault="0082041E">
      <w:pPr>
        <w:pStyle w:val="P68B1DB1-Normal3"/>
        <w:spacing w:before="120" w:after="120" w:line="240" w:lineRule="auto"/>
        <w:jc w:val="both"/>
        <w:rPr>
          <w:noProof/>
        </w:rPr>
      </w:pPr>
      <w:r>
        <w:rPr>
          <w:noProof/>
        </w:rPr>
        <w:t>Une réforme de la fiscalité des avantages liés au transport des salariés stimulera l’utilisation des véhicules électriques, des transports publics et des bicyclettes. Il comprend des taux d’imposition réduits pour les véhicules électriques pour la période 2021-2029, des régimes d’imposition simplifiés pour les billets de banlieue et des avantages en franchise d’impôt sur les vélos des employés.</w:t>
      </w:r>
    </w:p>
    <w:p w14:paraId="6881FD17" w14:textId="77777777" w:rsidR="003D7F65" w:rsidRDefault="0082041E">
      <w:pPr>
        <w:pStyle w:val="P68B1DB1-Normal3"/>
        <w:spacing w:before="120" w:after="120" w:line="240" w:lineRule="auto"/>
        <w:jc w:val="both"/>
        <w:rPr>
          <w:noProof/>
        </w:rPr>
      </w:pPr>
      <w:r>
        <w:rPr>
          <w:noProof/>
        </w:rPr>
        <w:t>En outre, la réforme de la fiscalité des avantages liés au transport des salariés comprend une exonération de la taxe sur les avantages liés à la recharge des voitures électriques et hybrides rechargeables pour la période 2021-2025.</w:t>
      </w:r>
    </w:p>
    <w:p w14:paraId="5DD74C92" w14:textId="32DCB32F" w:rsidR="003D7F65" w:rsidRDefault="0082041E">
      <w:pPr>
        <w:pStyle w:val="P68B1DB1-Normal3"/>
        <w:spacing w:before="120" w:after="120" w:line="240" w:lineRule="auto"/>
        <w:jc w:val="both"/>
        <w:rPr>
          <w:noProof/>
        </w:rPr>
      </w:pPr>
      <w:r>
        <w:rPr>
          <w:noProof/>
        </w:rPr>
        <w:t>En outre, un groupe de travail composé de fonctionnaires devrait avoir adopté un rapport en mai 2021, conseillant le gouvernement finlandais sur les mesures fiscales nécessaires pour améliorer l’efficacité du contrôle des émissions des transports et garantir l’assiette budgétaire à long terme.</w:t>
      </w:r>
    </w:p>
    <w:p w14:paraId="27A1687D" w14:textId="77777777" w:rsidR="003D7F65" w:rsidRDefault="0082041E">
      <w:pPr>
        <w:pStyle w:val="P68B1DB1-Normal6"/>
        <w:spacing w:before="120" w:after="120" w:line="240" w:lineRule="auto"/>
        <w:jc w:val="both"/>
        <w:rPr>
          <w:noProof/>
        </w:rPr>
      </w:pPr>
      <w:r>
        <w:rPr>
          <w:noProof/>
        </w:rPr>
        <w:t>Investissement 1 (P1C4I1): Infrastructures publiques de recharge et de ravitaillement pour le transport de l’électricité et de l’hydrogène</w:t>
      </w:r>
    </w:p>
    <w:p w14:paraId="76324904" w14:textId="77777777" w:rsidR="003D7F65" w:rsidRDefault="0082041E">
      <w:pPr>
        <w:pStyle w:val="NormalLeft"/>
        <w:contextualSpacing/>
        <w:jc w:val="both"/>
        <w:rPr>
          <w:b/>
          <w:noProof/>
          <w:u w:val="single"/>
        </w:rPr>
      </w:pPr>
      <w:r>
        <w:rPr>
          <w:noProof/>
          <w:szCs w:val="24"/>
        </w:rPr>
        <w:t>L’objectif de cette mesure est de soutenir la construction d’infrastructures publiques pour la recharge des véhicules électriques et le ravitaillement en carburant des véhicules à hydrogène, y compris des véhicules utilitaires lourds, afin de réduire les émissions. L’investissement consiste à soutenir i) les chargeurs de haute puissance et/ou ii) les stations de ravitaillement en hydrogène renouvelable.</w:t>
      </w:r>
      <w:r>
        <w:rPr>
          <w:noProof/>
          <w:u w:val="single"/>
        </w:rPr>
        <w:br w:type="page"/>
      </w:r>
    </w:p>
    <w:p w14:paraId="022814D8" w14:textId="77777777" w:rsidR="003D7F65" w:rsidRDefault="003D7F65">
      <w:pPr>
        <w:spacing w:before="120" w:after="120" w:line="240" w:lineRule="auto"/>
        <w:jc w:val="both"/>
        <w:rPr>
          <w:rFonts w:ascii="Times New Roman" w:hAnsi="Times New Roman"/>
          <w:b/>
          <w:noProof/>
          <w:sz w:val="24"/>
          <w:u w:val="single"/>
        </w:rPr>
        <w:sectPr w:rsidR="003D7F65" w:rsidSect="00A7081A">
          <w:headerReference w:type="even" r:id="rId54"/>
          <w:headerReference w:type="default" r:id="rId55"/>
          <w:footerReference w:type="even" r:id="rId56"/>
          <w:footerReference w:type="default" r:id="rId57"/>
          <w:headerReference w:type="first" r:id="rId58"/>
          <w:footerReference w:type="first" r:id="rId59"/>
          <w:pgSz w:w="11907" w:h="16839" w:code="9"/>
          <w:pgMar w:top="1134" w:right="1134" w:bottom="1134" w:left="1134" w:header="567" w:footer="567" w:gutter="0"/>
          <w:cols w:space="720"/>
          <w:docGrid w:linePitch="360"/>
        </w:sectPr>
      </w:pPr>
    </w:p>
    <w:p w14:paraId="56B455A5" w14:textId="77777777" w:rsidR="003D7F65" w:rsidRDefault="0082041E">
      <w:pPr>
        <w:pStyle w:val="P68B1DB1-Normal5"/>
        <w:spacing w:before="120" w:after="120" w:line="240" w:lineRule="auto"/>
        <w:jc w:val="both"/>
        <w:rPr>
          <w:noProof/>
        </w:rPr>
      </w:pPr>
      <w:r>
        <w:rPr>
          <w:noProof/>
        </w:rPr>
        <w:t xml:space="preserve">D.2. </w:t>
      </w:r>
      <w:r>
        <w:rPr>
          <w:noProof/>
        </w:rPr>
        <w:tab/>
        <w:t>Étapes, cibles, indicateurs et calendrier pour le suivi et la mise en œuvre du soutien financier non remboursable</w:t>
      </w:r>
    </w:p>
    <w:tbl>
      <w:tblPr>
        <w:tblW w:w="15524" w:type="dxa"/>
        <w:jc w:val="center"/>
        <w:tblLayout w:type="fixed"/>
        <w:tblCellMar>
          <w:left w:w="28" w:type="dxa"/>
          <w:right w:w="28" w:type="dxa"/>
        </w:tblCellMar>
        <w:tblLook w:val="04A0" w:firstRow="1" w:lastRow="0" w:firstColumn="1" w:lastColumn="0" w:noHBand="0" w:noVBand="1"/>
      </w:tblPr>
      <w:tblGrid>
        <w:gridCol w:w="840"/>
        <w:gridCol w:w="1675"/>
        <w:gridCol w:w="1024"/>
        <w:gridCol w:w="1701"/>
        <w:gridCol w:w="1325"/>
        <w:gridCol w:w="943"/>
        <w:gridCol w:w="992"/>
        <w:gridCol w:w="851"/>
        <w:gridCol w:w="992"/>
        <w:gridCol w:w="709"/>
        <w:gridCol w:w="4472"/>
      </w:tblGrid>
      <w:tr w:rsidR="003D7F65" w14:paraId="2F007F20" w14:textId="77777777" w:rsidTr="00DF4EDA">
        <w:trPr>
          <w:trHeight w:val="927"/>
          <w:tblHeader/>
          <w:jc w:val="center"/>
        </w:trPr>
        <w:tc>
          <w:tcPr>
            <w:tcW w:w="8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542153" w14:textId="77777777" w:rsidR="003D7F65" w:rsidRDefault="0082041E">
            <w:pPr>
              <w:pStyle w:val="P68B1DB1-Normal7"/>
              <w:spacing w:after="0" w:line="240" w:lineRule="auto"/>
              <w:jc w:val="center"/>
              <w:rPr>
                <w:noProof/>
              </w:rPr>
            </w:pPr>
            <w:r>
              <w:rPr>
                <w:noProof/>
              </w:rPr>
              <w:t>Numéro</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8F30D1" w14:textId="77777777" w:rsidR="003D7F65" w:rsidRDefault="0082041E">
            <w:pPr>
              <w:pStyle w:val="P68B1DB1-Normal7"/>
              <w:spacing w:after="0" w:line="240" w:lineRule="auto"/>
              <w:jc w:val="center"/>
              <w:rPr>
                <w:noProof/>
              </w:rPr>
            </w:pPr>
            <w:r>
              <w:rPr>
                <w:noProof/>
              </w:rPr>
              <w:t xml:space="preserve">Mesure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50763B" w14:textId="77777777" w:rsidR="003D7F65" w:rsidRDefault="0082041E">
            <w:pPr>
              <w:pStyle w:val="P68B1DB1-Normal7"/>
              <w:spacing w:after="0" w:line="240" w:lineRule="auto"/>
              <w:jc w:val="center"/>
              <w:rPr>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D460AB" w14:textId="77777777" w:rsidR="003D7F65" w:rsidRDefault="0082041E">
            <w:pPr>
              <w:pStyle w:val="P68B1DB1-Normal7"/>
              <w:spacing w:after="0" w:line="240" w:lineRule="auto"/>
              <w:jc w:val="center"/>
              <w:rPr>
                <w:noProof/>
              </w:rPr>
            </w:pPr>
            <w:r>
              <w:rPr>
                <w:noProof/>
              </w:rPr>
              <w:t>Nom</w:t>
            </w:r>
          </w:p>
        </w:tc>
        <w:tc>
          <w:tcPr>
            <w:tcW w:w="13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8D528C" w14:textId="77777777" w:rsidR="003D7F65" w:rsidRDefault="0082041E">
            <w:pPr>
              <w:pStyle w:val="P68B1DB1-Normal7"/>
              <w:spacing w:after="0" w:line="240" w:lineRule="auto"/>
              <w:jc w:val="center"/>
              <w:rPr>
                <w:bCs/>
                <w:noProof/>
              </w:rPr>
            </w:pPr>
            <w:r>
              <w:rPr>
                <w:noProof/>
              </w:rPr>
              <w:t>Indicateurs qualitatifs (pour les jalons)</w:t>
            </w:r>
          </w:p>
        </w:tc>
        <w:tc>
          <w:tcPr>
            <w:tcW w:w="278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A487D7" w14:textId="77777777" w:rsidR="003D7F65" w:rsidRDefault="0082041E">
            <w:pPr>
              <w:pStyle w:val="P68B1DB1-Normal7"/>
              <w:spacing w:after="0" w:line="240" w:lineRule="auto"/>
              <w:jc w:val="center"/>
              <w:rPr>
                <w:bCs/>
                <w:noProof/>
              </w:rPr>
            </w:pPr>
            <w:r>
              <w:rPr>
                <w:noProof/>
              </w:rPr>
              <w:t>Indicateurs quantitatifs (pour les objectifs)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08FC5226" w14:textId="77777777" w:rsidR="003D7F65" w:rsidRDefault="0082041E">
            <w:pPr>
              <w:pStyle w:val="P68B1DB1-Normal7"/>
              <w:spacing w:after="0" w:line="240" w:lineRule="auto"/>
              <w:jc w:val="center"/>
              <w:rPr>
                <w:bCs/>
                <w:noProof/>
              </w:rPr>
            </w:pPr>
            <w:r>
              <w:rPr>
                <w:noProof/>
              </w:rPr>
              <w:t xml:space="preserve">Calendrier indicatif d'achèvement </w:t>
            </w:r>
          </w:p>
        </w:tc>
        <w:tc>
          <w:tcPr>
            <w:tcW w:w="44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E825D7" w14:textId="77777777" w:rsidR="003D7F65" w:rsidRDefault="0082041E">
            <w:pPr>
              <w:pStyle w:val="P68B1DB1-Normal7"/>
              <w:spacing w:after="0" w:line="240" w:lineRule="auto"/>
              <w:jc w:val="center"/>
              <w:rPr>
                <w:noProof/>
              </w:rPr>
            </w:pPr>
            <w:r>
              <w:rPr>
                <w:noProof/>
              </w:rPr>
              <w:t>Description de chaque jalon et cible</w:t>
            </w:r>
          </w:p>
        </w:tc>
      </w:tr>
      <w:tr w:rsidR="003D7F65" w14:paraId="7F1DC723" w14:textId="77777777" w:rsidTr="00DF4EDA">
        <w:trPr>
          <w:trHeight w:val="612"/>
          <w:tblHeader/>
          <w:jc w:val="center"/>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4119B62F" w14:textId="77777777" w:rsidR="003D7F65" w:rsidRDefault="003D7F65">
            <w:pPr>
              <w:spacing w:after="0" w:line="240" w:lineRule="auto"/>
              <w:rPr>
                <w:rFonts w:ascii="Times New Roman" w:eastAsia="Times New Roman" w:hAnsi="Times New Roman"/>
                <w:b/>
                <w:noProof/>
                <w:sz w:val="20"/>
                <w:szCs w:val="20"/>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126EEE76" w14:textId="77777777" w:rsidR="003D7F65" w:rsidRDefault="003D7F65">
            <w:pPr>
              <w:spacing w:after="0" w:line="240" w:lineRule="auto"/>
              <w:rPr>
                <w:rFonts w:ascii="Times New Roman" w:eastAsia="Times New Roman" w:hAnsi="Times New Roman"/>
                <w:b/>
                <w:noProof/>
                <w:sz w:val="20"/>
                <w:szCs w:val="20"/>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4BEDFFC" w14:textId="77777777" w:rsidR="003D7F65" w:rsidRDefault="003D7F65">
            <w:pPr>
              <w:spacing w:after="0" w:line="240" w:lineRule="auto"/>
              <w:rPr>
                <w:rFonts w:ascii="Times New Roman" w:eastAsia="Times New Roman" w:hAnsi="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A3AC72" w14:textId="77777777" w:rsidR="003D7F65" w:rsidRDefault="003D7F65">
            <w:pPr>
              <w:spacing w:after="0" w:line="240" w:lineRule="auto"/>
              <w:rPr>
                <w:rFonts w:ascii="Times New Roman" w:eastAsia="Times New Roman" w:hAnsi="Times New Roman"/>
                <w:b/>
                <w:noProof/>
                <w:sz w:val="20"/>
                <w:szCs w:val="20"/>
              </w:rPr>
            </w:pPr>
          </w:p>
        </w:tc>
        <w:tc>
          <w:tcPr>
            <w:tcW w:w="1325" w:type="dxa"/>
            <w:vMerge/>
            <w:tcBorders>
              <w:top w:val="single" w:sz="4" w:space="0" w:color="auto"/>
              <w:left w:val="single" w:sz="4" w:space="0" w:color="auto"/>
              <w:bottom w:val="single" w:sz="4" w:space="0" w:color="auto"/>
              <w:right w:val="single" w:sz="4" w:space="0" w:color="auto"/>
            </w:tcBorders>
            <w:vAlign w:val="center"/>
            <w:hideMark/>
          </w:tcPr>
          <w:p w14:paraId="471B92D1" w14:textId="77777777" w:rsidR="003D7F65" w:rsidRDefault="003D7F65">
            <w:pPr>
              <w:spacing w:after="0" w:line="240" w:lineRule="auto"/>
              <w:rPr>
                <w:rFonts w:ascii="Times New Roman" w:eastAsia="Times New Roman" w:hAnsi="Times New Roman"/>
                <w:b/>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DC2A01" w14:textId="77777777" w:rsidR="003D7F65" w:rsidRDefault="0082041E">
            <w:pPr>
              <w:pStyle w:val="P68B1DB1-Normal7"/>
              <w:spacing w:after="0" w:line="240" w:lineRule="auto"/>
              <w:jc w:val="center"/>
              <w:rPr>
                <w:noProof/>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44262E" w14:textId="31EC626E" w:rsidR="003D7F65" w:rsidRDefault="0082041E">
            <w:pPr>
              <w:pStyle w:val="P68B1DB1-Normal7"/>
              <w:spacing w:after="0" w:line="240" w:lineRule="auto"/>
              <w:jc w:val="center"/>
              <w:rPr>
                <w:bCs/>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7986EE" w14:textId="79C0703B" w:rsidR="003D7F65" w:rsidRDefault="0082041E">
            <w:pPr>
              <w:pStyle w:val="P68B1DB1-Normal7"/>
              <w:spacing w:after="0" w:line="240" w:lineRule="auto"/>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3A3899" w14:textId="77777777" w:rsidR="003D7F65" w:rsidRDefault="0082041E">
            <w:pPr>
              <w:pStyle w:val="P68B1DB1-Normal7"/>
              <w:spacing w:after="0" w:line="240" w:lineRule="auto"/>
              <w:jc w:val="center"/>
              <w:rPr>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99FAC9" w14:textId="77777777" w:rsidR="003D7F65" w:rsidRDefault="0082041E">
            <w:pPr>
              <w:pStyle w:val="P68B1DB1-Normal7"/>
              <w:spacing w:after="0" w:line="240" w:lineRule="auto"/>
              <w:ind w:left="6" w:hanging="6"/>
              <w:jc w:val="center"/>
              <w:rPr>
                <w:noProof/>
              </w:rPr>
            </w:pPr>
            <w:r>
              <w:rPr>
                <w:noProof/>
              </w:rPr>
              <w:t>Année</w:t>
            </w: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4436A326" w14:textId="77777777" w:rsidR="003D7F65" w:rsidRDefault="003D7F65">
            <w:pPr>
              <w:spacing w:after="0" w:line="240" w:lineRule="auto"/>
              <w:rPr>
                <w:rFonts w:ascii="Times New Roman" w:eastAsia="Times New Roman" w:hAnsi="Times New Roman"/>
                <w:b/>
                <w:noProof/>
                <w:sz w:val="20"/>
                <w:szCs w:val="20"/>
              </w:rPr>
            </w:pPr>
          </w:p>
        </w:tc>
      </w:tr>
      <w:tr w:rsidR="003D7F65" w14:paraId="05FE79AA" w14:textId="77777777" w:rsidTr="00DF4EDA">
        <w:trPr>
          <w:trHeight w:val="309"/>
          <w:jc w:val="center"/>
        </w:trPr>
        <w:tc>
          <w:tcPr>
            <w:tcW w:w="840" w:type="dxa"/>
            <w:tcBorders>
              <w:top w:val="single" w:sz="4" w:space="0" w:color="auto"/>
              <w:left w:val="single" w:sz="4" w:space="0" w:color="auto"/>
              <w:bottom w:val="single" w:sz="4" w:space="0" w:color="auto"/>
              <w:right w:val="single" w:sz="4" w:space="0" w:color="auto"/>
            </w:tcBorders>
            <w:shd w:val="clear" w:color="auto" w:fill="C6EFCE"/>
            <w:noWrap/>
            <w:hideMark/>
          </w:tcPr>
          <w:p w14:paraId="346D7DDB" w14:textId="77777777" w:rsidR="003D7F65" w:rsidRDefault="0082041E">
            <w:pPr>
              <w:pStyle w:val="P68B1DB1-Normal8"/>
              <w:spacing w:after="0" w:line="240" w:lineRule="auto"/>
              <w:jc w:val="center"/>
              <w:rPr>
                <w:rFonts w:eastAsia="Times New Roman"/>
                <w:noProof/>
              </w:rPr>
            </w:pPr>
            <w:r>
              <w:rPr>
                <w:noProof/>
              </w:rPr>
              <w:t>34</w:t>
            </w:r>
          </w:p>
        </w:tc>
        <w:tc>
          <w:tcPr>
            <w:tcW w:w="1675" w:type="dxa"/>
            <w:tcBorders>
              <w:top w:val="single" w:sz="4" w:space="0" w:color="auto"/>
              <w:left w:val="nil"/>
              <w:bottom w:val="single" w:sz="4" w:space="0" w:color="auto"/>
              <w:right w:val="single" w:sz="4" w:space="0" w:color="auto"/>
            </w:tcBorders>
            <w:shd w:val="clear" w:color="auto" w:fill="C6EFCE"/>
            <w:noWrap/>
            <w:hideMark/>
          </w:tcPr>
          <w:p w14:paraId="67820303" w14:textId="77777777" w:rsidR="003D7F65" w:rsidRDefault="0082041E">
            <w:pPr>
              <w:pStyle w:val="P68B1DB1-Normal8"/>
              <w:spacing w:after="0" w:line="240" w:lineRule="auto"/>
              <w:rPr>
                <w:noProof/>
              </w:rPr>
            </w:pPr>
            <w:r>
              <w:rPr>
                <w:noProof/>
              </w:rPr>
              <w:t xml:space="preserve">P1C4R1 - </w:t>
            </w:r>
          </w:p>
          <w:p w14:paraId="01BA7CBC" w14:textId="77777777" w:rsidR="003D7F65" w:rsidRDefault="0082041E">
            <w:pPr>
              <w:pStyle w:val="P68B1DB1-Normal8"/>
              <w:spacing w:after="0" w:line="240" w:lineRule="auto"/>
              <w:rPr>
                <w:rFonts w:eastAsia="Times New Roman"/>
                <w:noProof/>
              </w:rPr>
            </w:pPr>
            <w:r>
              <w:rPr>
                <w:noProof/>
              </w:rPr>
              <w:t>Solutions sobres en carbone pour les villes et les transports – Feuille de route pour des transports sans combustibles fossiles</w:t>
            </w:r>
          </w:p>
        </w:tc>
        <w:tc>
          <w:tcPr>
            <w:tcW w:w="1024" w:type="dxa"/>
            <w:tcBorders>
              <w:top w:val="single" w:sz="4" w:space="0" w:color="auto"/>
              <w:left w:val="nil"/>
              <w:bottom w:val="single" w:sz="4" w:space="0" w:color="auto"/>
              <w:right w:val="single" w:sz="4" w:space="0" w:color="auto"/>
            </w:tcBorders>
            <w:shd w:val="clear" w:color="auto" w:fill="C6EFCE"/>
            <w:noWrap/>
            <w:hideMark/>
          </w:tcPr>
          <w:p w14:paraId="6A4FE853" w14:textId="77777777" w:rsidR="003D7F65" w:rsidRDefault="0082041E">
            <w:pPr>
              <w:pStyle w:val="P68B1DB1-Normal8"/>
              <w:spacing w:after="0" w:line="240" w:lineRule="auto"/>
              <w:rPr>
                <w:rFonts w:eastAsia="Times New Roman"/>
                <w:noProof/>
              </w:rPr>
            </w:pPr>
            <w:r>
              <w:rPr>
                <w:noProof/>
              </w:rPr>
              <w:t>Étape</w:t>
            </w:r>
          </w:p>
        </w:tc>
        <w:tc>
          <w:tcPr>
            <w:tcW w:w="1701" w:type="dxa"/>
            <w:tcBorders>
              <w:top w:val="single" w:sz="4" w:space="0" w:color="auto"/>
              <w:left w:val="nil"/>
              <w:bottom w:val="single" w:sz="4" w:space="0" w:color="auto"/>
              <w:right w:val="single" w:sz="4" w:space="0" w:color="auto"/>
            </w:tcBorders>
            <w:shd w:val="clear" w:color="auto" w:fill="C6EFCE"/>
            <w:noWrap/>
            <w:hideMark/>
          </w:tcPr>
          <w:p w14:paraId="1690A28E" w14:textId="77777777" w:rsidR="003D7F65" w:rsidRDefault="0082041E">
            <w:pPr>
              <w:pStyle w:val="P68B1DB1-Normal8"/>
              <w:spacing w:after="0" w:line="240" w:lineRule="auto"/>
              <w:rPr>
                <w:rFonts w:eastAsia="Times New Roman"/>
                <w:noProof/>
              </w:rPr>
            </w:pPr>
            <w:r>
              <w:rPr>
                <w:noProof/>
              </w:rPr>
              <w:t>Adoption de la résolution gouvernementale LVM/2021/62 visant à réduire les émissions de gaz à effet de serre provenant des transports intérieurs</w:t>
            </w:r>
          </w:p>
        </w:tc>
        <w:tc>
          <w:tcPr>
            <w:tcW w:w="1325" w:type="dxa"/>
            <w:tcBorders>
              <w:top w:val="single" w:sz="4" w:space="0" w:color="auto"/>
              <w:left w:val="nil"/>
              <w:bottom w:val="single" w:sz="4" w:space="0" w:color="auto"/>
              <w:right w:val="single" w:sz="4" w:space="0" w:color="auto"/>
            </w:tcBorders>
            <w:shd w:val="clear" w:color="auto" w:fill="C6EFCE"/>
            <w:noWrap/>
            <w:hideMark/>
          </w:tcPr>
          <w:p w14:paraId="45B8E95E" w14:textId="77777777" w:rsidR="003D7F65" w:rsidRDefault="0082041E">
            <w:pPr>
              <w:pStyle w:val="P68B1DB1-Normal8"/>
              <w:spacing w:after="0" w:line="240" w:lineRule="auto"/>
              <w:rPr>
                <w:noProof/>
              </w:rPr>
            </w:pPr>
            <w:r>
              <w:rPr>
                <w:noProof/>
              </w:rPr>
              <w:t>Publication de la résolution du Gouvernement</w:t>
            </w:r>
          </w:p>
        </w:tc>
        <w:tc>
          <w:tcPr>
            <w:tcW w:w="943" w:type="dxa"/>
            <w:tcBorders>
              <w:top w:val="single" w:sz="4" w:space="0" w:color="auto"/>
              <w:left w:val="nil"/>
              <w:bottom w:val="single" w:sz="4" w:space="0" w:color="auto"/>
              <w:right w:val="single" w:sz="4" w:space="0" w:color="auto"/>
            </w:tcBorders>
            <w:shd w:val="clear" w:color="auto" w:fill="C6EFCE"/>
            <w:noWrap/>
            <w:hideMark/>
          </w:tcPr>
          <w:p w14:paraId="61DD956F" w14:textId="0B068D68"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0CBABECF" w14:textId="156B7991"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7336CBDC" w14:textId="57237EA6"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1837ADC3" w14:textId="77777777" w:rsidR="003D7F65" w:rsidRDefault="0082041E">
            <w:pPr>
              <w:pStyle w:val="P68B1DB1-Normal8"/>
              <w:spacing w:after="0" w:line="240" w:lineRule="auto"/>
              <w:jc w:val="center"/>
              <w:rPr>
                <w:rFonts w:eastAsia="Times New Roman"/>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hideMark/>
          </w:tcPr>
          <w:p w14:paraId="2B11C89D" w14:textId="77777777" w:rsidR="003D7F65" w:rsidRDefault="0082041E">
            <w:pPr>
              <w:pStyle w:val="P68B1DB1-Normal8"/>
              <w:spacing w:after="0" w:line="240" w:lineRule="auto"/>
              <w:jc w:val="center"/>
              <w:rPr>
                <w:rFonts w:eastAsia="Times New Roman"/>
                <w:noProof/>
              </w:rPr>
            </w:pPr>
            <w:r>
              <w:rPr>
                <w:noProof/>
              </w:rPr>
              <w:t>2021</w:t>
            </w:r>
          </w:p>
        </w:tc>
        <w:tc>
          <w:tcPr>
            <w:tcW w:w="4472" w:type="dxa"/>
            <w:tcBorders>
              <w:top w:val="single" w:sz="4" w:space="0" w:color="auto"/>
              <w:left w:val="nil"/>
              <w:bottom w:val="single" w:sz="4" w:space="0" w:color="auto"/>
              <w:right w:val="single" w:sz="4" w:space="0" w:color="auto"/>
            </w:tcBorders>
            <w:shd w:val="clear" w:color="auto" w:fill="C6EFCE"/>
            <w:noWrap/>
            <w:hideMark/>
          </w:tcPr>
          <w:p w14:paraId="644A0068" w14:textId="77777777" w:rsidR="003D7F65" w:rsidRDefault="0082041E">
            <w:pPr>
              <w:pStyle w:val="P68B1DB1-Normal8"/>
              <w:spacing w:after="0" w:line="240" w:lineRule="auto"/>
              <w:rPr>
                <w:rFonts w:eastAsia="Times New Roman"/>
                <w:noProof/>
              </w:rPr>
            </w:pPr>
            <w:r>
              <w:rPr>
                <w:noProof/>
              </w:rPr>
              <w:t xml:space="preserve">La feuille de route pour un transport sans combustibles fossiles comprend des instructions et des lignes directrices pour l’élaboration de mesures visant à réduire les émissions de gaz à effet de serre provenant des transports intérieurs de 50 % d’ici à 2030 par rapport aux niveaux de 2005. Certaines de ces mesures seront mises en œuvre par voie législative et d'autres par des mesures politiques. </w:t>
            </w:r>
          </w:p>
        </w:tc>
      </w:tr>
      <w:tr w:rsidR="003D7F65" w14:paraId="33555F9A" w14:textId="77777777" w:rsidTr="00DF4EDA">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0E8E271B" w14:textId="77777777" w:rsidR="003D7F65" w:rsidRDefault="0082041E">
            <w:pPr>
              <w:pStyle w:val="P68B1DB1-Normal8"/>
              <w:spacing w:after="0" w:line="240" w:lineRule="auto"/>
              <w:jc w:val="center"/>
              <w:rPr>
                <w:noProof/>
              </w:rPr>
            </w:pPr>
            <w:r>
              <w:rPr>
                <w:noProof/>
              </w:rPr>
              <w:t>35</w:t>
            </w:r>
          </w:p>
        </w:tc>
        <w:tc>
          <w:tcPr>
            <w:tcW w:w="1675" w:type="dxa"/>
            <w:tcBorders>
              <w:top w:val="nil"/>
              <w:left w:val="nil"/>
              <w:bottom w:val="single" w:sz="4" w:space="0" w:color="auto"/>
              <w:right w:val="single" w:sz="4" w:space="0" w:color="auto"/>
            </w:tcBorders>
            <w:shd w:val="clear" w:color="auto" w:fill="C6EFCE"/>
            <w:noWrap/>
            <w:hideMark/>
          </w:tcPr>
          <w:p w14:paraId="69589CE0" w14:textId="2C4ECB2B" w:rsidR="003D7F65" w:rsidRDefault="0082041E">
            <w:pPr>
              <w:pStyle w:val="P68B1DB1-Normal8"/>
              <w:spacing w:after="0" w:line="240" w:lineRule="auto"/>
              <w:rPr>
                <w:noProof/>
              </w:rPr>
            </w:pPr>
            <w:r>
              <w:rPr>
                <w:noProof/>
              </w:rPr>
              <w:t>P1C4R1 – Solutions sobres en carbone pour les villes et les transports – Feuille de route pour des transports sans combustibles fossiles</w:t>
            </w:r>
          </w:p>
        </w:tc>
        <w:tc>
          <w:tcPr>
            <w:tcW w:w="1024" w:type="dxa"/>
            <w:tcBorders>
              <w:top w:val="nil"/>
              <w:left w:val="nil"/>
              <w:bottom w:val="single" w:sz="4" w:space="0" w:color="auto"/>
              <w:right w:val="single" w:sz="4" w:space="0" w:color="auto"/>
            </w:tcBorders>
            <w:shd w:val="clear" w:color="auto" w:fill="C6EFCE"/>
            <w:noWrap/>
            <w:hideMark/>
          </w:tcPr>
          <w:p w14:paraId="0787241B" w14:textId="77777777" w:rsidR="003D7F65" w:rsidRDefault="0082041E">
            <w:pPr>
              <w:pStyle w:val="P68B1DB1-Normal8"/>
              <w:spacing w:after="0" w:line="240" w:lineRule="auto"/>
              <w:rPr>
                <w:noProof/>
              </w:rPr>
            </w:pPr>
            <w:r>
              <w:rPr>
                <w:noProof/>
              </w:rPr>
              <w:t>Étape</w:t>
            </w:r>
          </w:p>
        </w:tc>
        <w:tc>
          <w:tcPr>
            <w:tcW w:w="1701" w:type="dxa"/>
            <w:tcBorders>
              <w:top w:val="nil"/>
              <w:left w:val="nil"/>
              <w:bottom w:val="single" w:sz="4" w:space="0" w:color="auto"/>
              <w:right w:val="single" w:sz="4" w:space="0" w:color="auto"/>
            </w:tcBorders>
            <w:shd w:val="clear" w:color="auto" w:fill="C6EFCE"/>
            <w:noWrap/>
            <w:hideMark/>
          </w:tcPr>
          <w:p w14:paraId="6680D468" w14:textId="77777777" w:rsidR="003D7F65" w:rsidRDefault="0082041E">
            <w:pPr>
              <w:pStyle w:val="P68B1DB1-Normal8"/>
              <w:spacing w:after="0" w:line="240" w:lineRule="auto"/>
              <w:rPr>
                <w:noProof/>
              </w:rPr>
            </w:pPr>
            <w:r>
              <w:rPr>
                <w:noProof/>
              </w:rPr>
              <w:t>Publication de la décision du gouvernement concernant des mesures nationales supplémentaires visant à réduire les émissions dues aux transports intérieurs</w:t>
            </w:r>
          </w:p>
        </w:tc>
        <w:tc>
          <w:tcPr>
            <w:tcW w:w="1325" w:type="dxa"/>
            <w:tcBorders>
              <w:top w:val="nil"/>
              <w:left w:val="nil"/>
              <w:bottom w:val="single" w:sz="4" w:space="0" w:color="auto"/>
              <w:right w:val="single" w:sz="4" w:space="0" w:color="auto"/>
            </w:tcBorders>
            <w:shd w:val="clear" w:color="auto" w:fill="C6EFCE"/>
            <w:noWrap/>
            <w:hideMark/>
          </w:tcPr>
          <w:p w14:paraId="77618740" w14:textId="77777777" w:rsidR="003D7F65" w:rsidRDefault="0082041E">
            <w:pPr>
              <w:pStyle w:val="P68B1DB1-Normal8"/>
              <w:spacing w:after="0" w:line="240" w:lineRule="auto"/>
              <w:rPr>
                <w:noProof/>
              </w:rPr>
            </w:pPr>
            <w:r>
              <w:rPr>
                <w:noProof/>
              </w:rPr>
              <w:t xml:space="preserve">Publication de la décision du gouvernement </w:t>
            </w:r>
          </w:p>
        </w:tc>
        <w:tc>
          <w:tcPr>
            <w:tcW w:w="943" w:type="dxa"/>
            <w:tcBorders>
              <w:top w:val="nil"/>
              <w:left w:val="nil"/>
              <w:bottom w:val="single" w:sz="4" w:space="0" w:color="auto"/>
              <w:right w:val="single" w:sz="4" w:space="0" w:color="auto"/>
            </w:tcBorders>
            <w:shd w:val="clear" w:color="auto" w:fill="C6EFCE"/>
            <w:noWrap/>
            <w:hideMark/>
          </w:tcPr>
          <w:p w14:paraId="738E8A8C" w14:textId="07BE9162"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3E661711" w14:textId="34DBFF5F" w:rsidR="003D7F65" w:rsidRDefault="003D7F65">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6D8FCAE7" w14:textId="76E09DC6"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4067F70E" w14:textId="77777777" w:rsidR="003D7F65" w:rsidRDefault="0082041E">
            <w:pPr>
              <w:pStyle w:val="P68B1DB1-Normal8"/>
              <w:spacing w:after="0" w:line="240" w:lineRule="auto"/>
              <w:jc w:val="center"/>
              <w:rPr>
                <w:noProof/>
              </w:rPr>
            </w:pPr>
            <w:r>
              <w:rPr>
                <w:noProof/>
              </w:rPr>
              <w:t>T4</w:t>
            </w:r>
          </w:p>
        </w:tc>
        <w:tc>
          <w:tcPr>
            <w:tcW w:w="709" w:type="dxa"/>
            <w:tcBorders>
              <w:top w:val="nil"/>
              <w:left w:val="nil"/>
              <w:bottom w:val="single" w:sz="4" w:space="0" w:color="auto"/>
              <w:right w:val="single" w:sz="4" w:space="0" w:color="auto"/>
            </w:tcBorders>
            <w:shd w:val="clear" w:color="auto" w:fill="C6EFCE"/>
            <w:noWrap/>
            <w:hideMark/>
          </w:tcPr>
          <w:p w14:paraId="6F7DA6BB" w14:textId="77777777" w:rsidR="003D7F65" w:rsidRDefault="0082041E">
            <w:pPr>
              <w:pStyle w:val="P68B1DB1-Normal8"/>
              <w:spacing w:after="0" w:line="240" w:lineRule="auto"/>
              <w:jc w:val="center"/>
              <w:rPr>
                <w:noProof/>
              </w:rPr>
            </w:pPr>
            <w:r>
              <w:rPr>
                <w:noProof/>
              </w:rPr>
              <w:t>2021</w:t>
            </w:r>
          </w:p>
        </w:tc>
        <w:tc>
          <w:tcPr>
            <w:tcW w:w="4472" w:type="dxa"/>
            <w:tcBorders>
              <w:top w:val="nil"/>
              <w:left w:val="nil"/>
              <w:bottom w:val="single" w:sz="4" w:space="0" w:color="auto"/>
              <w:right w:val="single" w:sz="4" w:space="0" w:color="auto"/>
            </w:tcBorders>
            <w:shd w:val="clear" w:color="auto" w:fill="C6EFCE"/>
            <w:noWrap/>
            <w:hideMark/>
          </w:tcPr>
          <w:p w14:paraId="42723B2F" w14:textId="77777777" w:rsidR="003D7F65" w:rsidRDefault="0082041E">
            <w:pPr>
              <w:pStyle w:val="P68B1DB1-Normal8"/>
              <w:spacing w:after="0" w:line="240" w:lineRule="auto"/>
              <w:rPr>
                <w:noProof/>
              </w:rPr>
            </w:pPr>
            <w:r>
              <w:rPr>
                <w:noProof/>
              </w:rPr>
              <w:t>Les mesures à adopter font suite à une analyse d’impact complète et visent à réduire les émissions dues aux transports de 50 % en 2030 par rapport à 2005. Le montant estimé des réductions nécessaires avec des mesures supplémentaires est de 1,03 mégatonne (tel qu’estimé dans le scénario de référence d’avril 2020). L’estimation est mise à jour sur la base du scénario de base actualisé qui sera présenté à l’automne 2021.</w:t>
            </w:r>
          </w:p>
        </w:tc>
      </w:tr>
      <w:tr w:rsidR="003D7F65" w14:paraId="598053BF" w14:textId="77777777" w:rsidTr="00DF4EDA">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tcPr>
          <w:p w14:paraId="6D417581" w14:textId="77777777" w:rsidR="003D7F65" w:rsidRDefault="0082041E">
            <w:pPr>
              <w:pStyle w:val="P68B1DB1-Normal8"/>
              <w:spacing w:after="0" w:line="240" w:lineRule="auto"/>
              <w:jc w:val="center"/>
              <w:rPr>
                <w:noProof/>
              </w:rPr>
            </w:pPr>
            <w:r>
              <w:rPr>
                <w:noProof/>
              </w:rPr>
              <w:t>36</w:t>
            </w:r>
          </w:p>
        </w:tc>
        <w:tc>
          <w:tcPr>
            <w:tcW w:w="1675" w:type="dxa"/>
            <w:tcBorders>
              <w:top w:val="nil"/>
              <w:left w:val="nil"/>
              <w:bottom w:val="single" w:sz="4" w:space="0" w:color="auto"/>
              <w:right w:val="single" w:sz="4" w:space="0" w:color="auto"/>
            </w:tcBorders>
            <w:shd w:val="clear" w:color="auto" w:fill="C6EFCE"/>
            <w:noWrap/>
          </w:tcPr>
          <w:p w14:paraId="24C58EE1" w14:textId="4F528896" w:rsidR="003D7F65" w:rsidRDefault="0082041E">
            <w:pPr>
              <w:pStyle w:val="P68B1DB1-Normal8"/>
              <w:spacing w:after="0" w:line="240" w:lineRule="auto"/>
              <w:rPr>
                <w:noProof/>
              </w:rPr>
            </w:pPr>
            <w:r>
              <w:rPr>
                <w:noProof/>
              </w:rPr>
              <w:t>P1C4R1 – Solutions sobres en carbone pour les villes et les transports – Feuille de route pour des transports sans combustibles fossiles</w:t>
            </w:r>
          </w:p>
        </w:tc>
        <w:tc>
          <w:tcPr>
            <w:tcW w:w="1024" w:type="dxa"/>
            <w:tcBorders>
              <w:top w:val="nil"/>
              <w:left w:val="nil"/>
              <w:bottom w:val="single" w:sz="4" w:space="0" w:color="auto"/>
              <w:right w:val="single" w:sz="4" w:space="0" w:color="auto"/>
            </w:tcBorders>
            <w:shd w:val="clear" w:color="auto" w:fill="C6EFCE"/>
            <w:noWrap/>
          </w:tcPr>
          <w:p w14:paraId="4A07142C" w14:textId="77777777" w:rsidR="003D7F65" w:rsidRDefault="0082041E">
            <w:pPr>
              <w:pStyle w:val="P68B1DB1-Normal8"/>
              <w:spacing w:after="0" w:line="240" w:lineRule="auto"/>
              <w:rPr>
                <w:noProof/>
              </w:rPr>
            </w:pPr>
            <w:r>
              <w:rPr>
                <w:noProof/>
              </w:rPr>
              <w:t>Objectif</w:t>
            </w:r>
          </w:p>
        </w:tc>
        <w:tc>
          <w:tcPr>
            <w:tcW w:w="1701" w:type="dxa"/>
            <w:tcBorders>
              <w:top w:val="nil"/>
              <w:left w:val="nil"/>
              <w:bottom w:val="single" w:sz="4" w:space="0" w:color="auto"/>
              <w:right w:val="single" w:sz="4" w:space="0" w:color="auto"/>
            </w:tcBorders>
            <w:shd w:val="clear" w:color="auto" w:fill="C6EFCE"/>
            <w:noWrap/>
          </w:tcPr>
          <w:p w14:paraId="0C9DC2F0" w14:textId="77777777" w:rsidR="003D7F65" w:rsidRDefault="0082041E">
            <w:pPr>
              <w:pStyle w:val="P68B1DB1-Normal8"/>
              <w:spacing w:after="0" w:line="240" w:lineRule="auto"/>
              <w:rPr>
                <w:noProof/>
              </w:rPr>
            </w:pPr>
            <w:r>
              <w:rPr>
                <w:noProof/>
              </w:rPr>
              <w:t>Réduction d'au moins 24,5 % des émissions dues aux transports intérieurs d'ici 2025 par rapport à 2005</w:t>
            </w:r>
          </w:p>
        </w:tc>
        <w:tc>
          <w:tcPr>
            <w:tcW w:w="1325" w:type="dxa"/>
            <w:tcBorders>
              <w:top w:val="nil"/>
              <w:left w:val="nil"/>
              <w:bottom w:val="single" w:sz="4" w:space="0" w:color="auto"/>
              <w:right w:val="single" w:sz="4" w:space="0" w:color="auto"/>
            </w:tcBorders>
            <w:shd w:val="clear" w:color="auto" w:fill="C6EFCE"/>
            <w:noWrap/>
          </w:tcPr>
          <w:p w14:paraId="1B4C3AB2" w14:textId="77777777" w:rsidR="003D7F65" w:rsidRDefault="003D7F65">
            <w:pPr>
              <w:spacing w:after="0" w:line="240" w:lineRule="auto"/>
              <w:rPr>
                <w:rFonts w:ascii="Times New Roman" w:hAnsi="Times New Roman"/>
                <w:noProof/>
                <w:sz w:val="20"/>
                <w:szCs w:val="20"/>
              </w:rPr>
            </w:pPr>
          </w:p>
        </w:tc>
        <w:tc>
          <w:tcPr>
            <w:tcW w:w="943" w:type="dxa"/>
            <w:tcBorders>
              <w:top w:val="nil"/>
              <w:left w:val="nil"/>
              <w:bottom w:val="single" w:sz="4" w:space="0" w:color="auto"/>
              <w:right w:val="single" w:sz="4" w:space="0" w:color="auto"/>
            </w:tcBorders>
            <w:shd w:val="clear" w:color="auto" w:fill="C6EFCE"/>
            <w:noWrap/>
          </w:tcPr>
          <w:p w14:paraId="56747968" w14:textId="2211B2F6" w:rsidR="003D7F65" w:rsidRDefault="0082041E">
            <w:pPr>
              <w:pStyle w:val="P68B1DB1-Normal8"/>
              <w:spacing w:after="0" w:line="240" w:lineRule="auto"/>
              <w:jc w:val="center"/>
              <w:rPr>
                <w:noProof/>
              </w:rPr>
            </w:pPr>
            <w:r>
              <w:rPr>
                <w:noProof/>
              </w:rPr>
              <w:t>Pourcentage</w:t>
            </w:r>
          </w:p>
        </w:tc>
        <w:tc>
          <w:tcPr>
            <w:tcW w:w="992" w:type="dxa"/>
            <w:tcBorders>
              <w:top w:val="nil"/>
              <w:left w:val="nil"/>
              <w:bottom w:val="single" w:sz="4" w:space="0" w:color="auto"/>
              <w:right w:val="single" w:sz="4" w:space="0" w:color="auto"/>
            </w:tcBorders>
            <w:shd w:val="clear" w:color="auto" w:fill="C6EFCE"/>
            <w:noWrap/>
          </w:tcPr>
          <w:p w14:paraId="4D627434" w14:textId="77777777" w:rsidR="003D7F65" w:rsidRDefault="0082041E">
            <w:pPr>
              <w:pStyle w:val="P68B1DB1-Normal8"/>
              <w:spacing w:after="0" w:line="240" w:lineRule="auto"/>
              <w:jc w:val="center"/>
              <w:rPr>
                <w:noProof/>
              </w:rPr>
            </w:pPr>
            <w:r>
              <w:rPr>
                <w:noProof/>
              </w:rPr>
              <w:t>0</w:t>
            </w:r>
          </w:p>
        </w:tc>
        <w:tc>
          <w:tcPr>
            <w:tcW w:w="851" w:type="dxa"/>
            <w:tcBorders>
              <w:top w:val="nil"/>
              <w:left w:val="nil"/>
              <w:bottom w:val="single" w:sz="4" w:space="0" w:color="auto"/>
              <w:right w:val="single" w:sz="4" w:space="0" w:color="auto"/>
            </w:tcBorders>
            <w:shd w:val="clear" w:color="auto" w:fill="C6EFCE"/>
            <w:noWrap/>
          </w:tcPr>
          <w:p w14:paraId="5510DE88" w14:textId="77777777" w:rsidR="003D7F65" w:rsidRDefault="0082041E">
            <w:pPr>
              <w:pStyle w:val="P68B1DB1-Normal8"/>
              <w:spacing w:after="0" w:line="240" w:lineRule="auto"/>
              <w:jc w:val="center"/>
              <w:rPr>
                <w:rFonts w:eastAsia="Times New Roman"/>
                <w:noProof/>
              </w:rPr>
            </w:pPr>
            <w:r>
              <w:rPr>
                <w:noProof/>
              </w:rPr>
              <w:t>24.5</w:t>
            </w:r>
          </w:p>
        </w:tc>
        <w:tc>
          <w:tcPr>
            <w:tcW w:w="992" w:type="dxa"/>
            <w:tcBorders>
              <w:top w:val="nil"/>
              <w:left w:val="nil"/>
              <w:bottom w:val="single" w:sz="4" w:space="0" w:color="auto"/>
              <w:right w:val="single" w:sz="4" w:space="0" w:color="auto"/>
            </w:tcBorders>
            <w:shd w:val="clear" w:color="auto" w:fill="C6EFCE"/>
            <w:noWrap/>
          </w:tcPr>
          <w:p w14:paraId="0335F9FA" w14:textId="77777777" w:rsidR="003D7F65" w:rsidRDefault="0082041E">
            <w:pPr>
              <w:pStyle w:val="P68B1DB1-Normal8"/>
              <w:spacing w:after="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48C394E1" w14:textId="77777777" w:rsidR="003D7F65" w:rsidRDefault="0082041E">
            <w:pPr>
              <w:pStyle w:val="P68B1DB1-Normal8"/>
              <w:spacing w:after="0" w:line="240" w:lineRule="auto"/>
              <w:jc w:val="center"/>
              <w:rPr>
                <w:noProof/>
              </w:rPr>
            </w:pPr>
            <w:r>
              <w:rPr>
                <w:noProof/>
              </w:rPr>
              <w:t>2026</w:t>
            </w:r>
          </w:p>
        </w:tc>
        <w:tc>
          <w:tcPr>
            <w:tcW w:w="4472" w:type="dxa"/>
            <w:tcBorders>
              <w:top w:val="nil"/>
              <w:left w:val="nil"/>
              <w:bottom w:val="single" w:sz="4" w:space="0" w:color="auto"/>
              <w:right w:val="single" w:sz="4" w:space="0" w:color="auto"/>
            </w:tcBorders>
            <w:shd w:val="clear" w:color="auto" w:fill="C6EFCE"/>
            <w:noWrap/>
          </w:tcPr>
          <w:p w14:paraId="12336A43" w14:textId="77777777" w:rsidR="003D7F65" w:rsidRDefault="0082041E">
            <w:pPr>
              <w:pStyle w:val="P68B1DB1-Normal8"/>
              <w:spacing w:after="0" w:line="240" w:lineRule="auto"/>
              <w:rPr>
                <w:rFonts w:eastAsia="Times New Roman"/>
                <w:noProof/>
              </w:rPr>
            </w:pPr>
            <w:r>
              <w:rPr>
                <w:noProof/>
              </w:rPr>
              <w:t>Les émissions de gaz à effet de serre des transports intérieurs ont diminué d’au moins 24,5 % d’ici à 2025 par rapport aux niveaux de 2005.</w:t>
            </w:r>
          </w:p>
        </w:tc>
      </w:tr>
      <w:tr w:rsidR="003D7F65" w14:paraId="1B01B3A6" w14:textId="77777777" w:rsidTr="00DF4EDA">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2B19A433" w14:textId="77777777" w:rsidR="003D7F65" w:rsidRDefault="0082041E">
            <w:pPr>
              <w:pStyle w:val="P68B1DB1-Normal8"/>
              <w:spacing w:after="0" w:line="240" w:lineRule="auto"/>
              <w:jc w:val="center"/>
              <w:rPr>
                <w:noProof/>
              </w:rPr>
            </w:pPr>
            <w:r>
              <w:rPr>
                <w:noProof/>
              </w:rPr>
              <w:t>37</w:t>
            </w:r>
          </w:p>
        </w:tc>
        <w:tc>
          <w:tcPr>
            <w:tcW w:w="1675" w:type="dxa"/>
            <w:tcBorders>
              <w:top w:val="nil"/>
              <w:left w:val="nil"/>
              <w:bottom w:val="single" w:sz="4" w:space="0" w:color="auto"/>
              <w:right w:val="single" w:sz="4" w:space="0" w:color="auto"/>
            </w:tcBorders>
            <w:shd w:val="clear" w:color="auto" w:fill="C6EFCE"/>
            <w:noWrap/>
            <w:hideMark/>
          </w:tcPr>
          <w:p w14:paraId="11BCFBE4" w14:textId="77777777" w:rsidR="003D7F65" w:rsidRDefault="0082041E">
            <w:pPr>
              <w:pStyle w:val="P68B1DB1-Normal8"/>
              <w:spacing w:after="0" w:line="240" w:lineRule="auto"/>
              <w:rPr>
                <w:noProof/>
              </w:rPr>
            </w:pPr>
            <w:r>
              <w:rPr>
                <w:noProof/>
              </w:rPr>
              <w:t>P1C4R2 -</w:t>
            </w:r>
          </w:p>
          <w:p w14:paraId="1A18189F" w14:textId="77777777" w:rsidR="003D7F65" w:rsidRDefault="0082041E">
            <w:pPr>
              <w:pStyle w:val="P68B1DB1-Normal8"/>
              <w:spacing w:after="0" w:line="240" w:lineRule="auto"/>
              <w:rPr>
                <w:noProof/>
              </w:rPr>
            </w:pPr>
            <w:r>
              <w:rPr>
                <w:noProof/>
              </w:rPr>
              <w:t>Solutions sobres en carbone pour les villes et les transports – Réforme fiscale pour des transports durables</w:t>
            </w:r>
          </w:p>
        </w:tc>
        <w:tc>
          <w:tcPr>
            <w:tcW w:w="1024" w:type="dxa"/>
            <w:tcBorders>
              <w:top w:val="nil"/>
              <w:left w:val="nil"/>
              <w:bottom w:val="single" w:sz="4" w:space="0" w:color="auto"/>
              <w:right w:val="single" w:sz="4" w:space="0" w:color="auto"/>
            </w:tcBorders>
            <w:shd w:val="clear" w:color="auto" w:fill="C6EFCE"/>
            <w:noWrap/>
            <w:hideMark/>
          </w:tcPr>
          <w:p w14:paraId="2975477B" w14:textId="77777777" w:rsidR="003D7F65" w:rsidRDefault="0082041E">
            <w:pPr>
              <w:pStyle w:val="P68B1DB1-Normal8"/>
              <w:spacing w:after="0" w:line="240" w:lineRule="auto"/>
              <w:rPr>
                <w:noProof/>
              </w:rPr>
            </w:pPr>
            <w:r>
              <w:rPr>
                <w:noProof/>
              </w:rPr>
              <w:t>Étape</w:t>
            </w:r>
          </w:p>
        </w:tc>
        <w:tc>
          <w:tcPr>
            <w:tcW w:w="1701" w:type="dxa"/>
            <w:tcBorders>
              <w:top w:val="nil"/>
              <w:left w:val="nil"/>
              <w:bottom w:val="single" w:sz="4" w:space="0" w:color="auto"/>
              <w:right w:val="single" w:sz="4" w:space="0" w:color="auto"/>
            </w:tcBorders>
            <w:shd w:val="clear" w:color="auto" w:fill="C6EFCE"/>
            <w:noWrap/>
            <w:hideMark/>
          </w:tcPr>
          <w:p w14:paraId="13440A9C" w14:textId="77777777" w:rsidR="003D7F65" w:rsidRDefault="0082041E">
            <w:pPr>
              <w:pStyle w:val="P68B1DB1-Normal8"/>
              <w:spacing w:after="0" w:line="240" w:lineRule="auto"/>
              <w:rPr>
                <w:noProof/>
              </w:rPr>
            </w:pPr>
            <w:r>
              <w:rPr>
                <w:noProof/>
              </w:rPr>
              <w:t>Entrée en vigueur des modifications législatives de la loi relative à l’impôt sur le revenu (1205/2020) concernant l’imposition des avantages de la mobilité en matière d’emploi</w:t>
            </w:r>
          </w:p>
        </w:tc>
        <w:tc>
          <w:tcPr>
            <w:tcW w:w="1325" w:type="dxa"/>
            <w:tcBorders>
              <w:top w:val="nil"/>
              <w:left w:val="nil"/>
              <w:bottom w:val="single" w:sz="4" w:space="0" w:color="auto"/>
              <w:right w:val="single" w:sz="4" w:space="0" w:color="auto"/>
            </w:tcBorders>
            <w:shd w:val="clear" w:color="auto" w:fill="C6EFCE"/>
            <w:noWrap/>
            <w:hideMark/>
          </w:tcPr>
          <w:p w14:paraId="3457BCBE" w14:textId="77777777" w:rsidR="003D7F65" w:rsidRDefault="0082041E">
            <w:pPr>
              <w:pStyle w:val="P68B1DB1-Normal8"/>
              <w:spacing w:after="0" w:line="240" w:lineRule="auto"/>
              <w:rPr>
                <w:noProof/>
              </w:rPr>
            </w:pPr>
            <w:r>
              <w:rPr>
                <w:noProof/>
              </w:rPr>
              <w:t>Disposition de la loi indiquant l'entrée en vigueur des modifications apportées à la loi</w:t>
            </w:r>
          </w:p>
        </w:tc>
        <w:tc>
          <w:tcPr>
            <w:tcW w:w="943" w:type="dxa"/>
            <w:tcBorders>
              <w:top w:val="nil"/>
              <w:left w:val="nil"/>
              <w:bottom w:val="single" w:sz="4" w:space="0" w:color="auto"/>
              <w:right w:val="single" w:sz="4" w:space="0" w:color="auto"/>
            </w:tcBorders>
            <w:shd w:val="clear" w:color="auto" w:fill="C6EFCE"/>
            <w:noWrap/>
            <w:hideMark/>
          </w:tcPr>
          <w:p w14:paraId="24F09619" w14:textId="1C0B4EED"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3CBB0517" w14:textId="78DF9F7A" w:rsidR="003D7F65" w:rsidRDefault="003D7F65">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6DBF0C2F" w14:textId="35F6132B"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55435631" w14:textId="77777777" w:rsidR="003D7F65" w:rsidRDefault="0082041E">
            <w:pPr>
              <w:pStyle w:val="P68B1DB1-Normal8"/>
              <w:spacing w:after="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hideMark/>
          </w:tcPr>
          <w:p w14:paraId="134E7E07" w14:textId="77777777" w:rsidR="003D7F65" w:rsidRDefault="0082041E">
            <w:pPr>
              <w:pStyle w:val="P68B1DB1-Normal8"/>
              <w:spacing w:after="0" w:line="240" w:lineRule="auto"/>
              <w:jc w:val="center"/>
              <w:rPr>
                <w:noProof/>
              </w:rPr>
            </w:pPr>
            <w:r>
              <w:rPr>
                <w:noProof/>
              </w:rPr>
              <w:t>2021</w:t>
            </w:r>
          </w:p>
        </w:tc>
        <w:tc>
          <w:tcPr>
            <w:tcW w:w="4472" w:type="dxa"/>
            <w:tcBorders>
              <w:top w:val="nil"/>
              <w:left w:val="nil"/>
              <w:bottom w:val="single" w:sz="4" w:space="0" w:color="auto"/>
              <w:right w:val="single" w:sz="4" w:space="0" w:color="auto"/>
            </w:tcBorders>
            <w:shd w:val="clear" w:color="auto" w:fill="C6EFCE"/>
            <w:noWrap/>
            <w:hideMark/>
          </w:tcPr>
          <w:p w14:paraId="45459F6B" w14:textId="77777777" w:rsidR="003D7F65" w:rsidRDefault="0082041E">
            <w:pPr>
              <w:pStyle w:val="P68B1DB1-Normal8"/>
              <w:spacing w:after="0" w:line="240" w:lineRule="auto"/>
              <w:rPr>
                <w:noProof/>
              </w:rPr>
            </w:pPr>
            <w:r>
              <w:rPr>
                <w:noProof/>
              </w:rPr>
              <w:t xml:space="preserve">Les modifications apportées à la loi relative à l’impôt sur le revenu favoriseront le choix d’une voiture à émissions beaucoup plus faibles et une utilisation plus équitable des services de transport et de mobilité légers et publics. Il comprend des taux d’imposition réduits pour les voitures entièrement électriques pour la période 2021-2029, des régimes d’imposition simplifiés pour les billets de banlieue et des avantages en franchise d’impôt sur les vélos des employés pour la période 2021-2025. </w:t>
            </w:r>
          </w:p>
        </w:tc>
      </w:tr>
      <w:tr w:rsidR="003D7F65" w14:paraId="5C51DC5D" w14:textId="77777777" w:rsidTr="00DF4EDA">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2B55B0BC" w14:textId="77777777" w:rsidR="003D7F65" w:rsidRDefault="0082041E">
            <w:pPr>
              <w:pStyle w:val="P68B1DB1-Normal8"/>
              <w:spacing w:line="240" w:lineRule="auto"/>
              <w:jc w:val="center"/>
              <w:rPr>
                <w:rFonts w:eastAsia="Times New Roman"/>
                <w:noProof/>
              </w:rPr>
            </w:pPr>
            <w:r>
              <w:rPr>
                <w:noProof/>
              </w:rPr>
              <w:t>38</w:t>
            </w:r>
          </w:p>
        </w:tc>
        <w:tc>
          <w:tcPr>
            <w:tcW w:w="1675" w:type="dxa"/>
            <w:tcBorders>
              <w:top w:val="single" w:sz="4" w:space="0" w:color="auto"/>
              <w:left w:val="nil"/>
              <w:bottom w:val="single" w:sz="4" w:space="0" w:color="auto"/>
              <w:right w:val="single" w:sz="4" w:space="0" w:color="auto"/>
            </w:tcBorders>
            <w:shd w:val="clear" w:color="auto" w:fill="C6EFCE"/>
            <w:noWrap/>
            <w:hideMark/>
          </w:tcPr>
          <w:p w14:paraId="1169F670" w14:textId="77777777" w:rsidR="003D7F65" w:rsidRDefault="0082041E">
            <w:pPr>
              <w:pStyle w:val="P68B1DB1-Normal8"/>
              <w:spacing w:after="0" w:line="240" w:lineRule="auto"/>
              <w:rPr>
                <w:noProof/>
              </w:rPr>
            </w:pPr>
            <w:r>
              <w:rPr>
                <w:noProof/>
              </w:rPr>
              <w:t>P1C4R2 – Solutions sobres en carbone pour les villes et les transports – Réforme fiscale pour des transports durables</w:t>
            </w:r>
          </w:p>
        </w:tc>
        <w:tc>
          <w:tcPr>
            <w:tcW w:w="1024" w:type="dxa"/>
            <w:tcBorders>
              <w:top w:val="nil"/>
              <w:left w:val="nil"/>
              <w:bottom w:val="single" w:sz="4" w:space="0" w:color="auto"/>
              <w:right w:val="single" w:sz="4" w:space="0" w:color="auto"/>
            </w:tcBorders>
            <w:shd w:val="clear" w:color="auto" w:fill="C6EFCE"/>
            <w:noWrap/>
          </w:tcPr>
          <w:p w14:paraId="291FEDDF" w14:textId="77777777" w:rsidR="003D7F65" w:rsidRDefault="0082041E">
            <w:pPr>
              <w:pStyle w:val="P68B1DB1-Normal8"/>
              <w:spacing w:after="0" w:line="240" w:lineRule="auto"/>
              <w:rPr>
                <w:noProof/>
              </w:rPr>
            </w:pPr>
            <w:r>
              <w:rPr>
                <w:noProof/>
              </w:rPr>
              <w:t>Étape</w:t>
            </w:r>
          </w:p>
        </w:tc>
        <w:tc>
          <w:tcPr>
            <w:tcW w:w="1701" w:type="dxa"/>
            <w:tcBorders>
              <w:top w:val="nil"/>
              <w:left w:val="nil"/>
              <w:bottom w:val="single" w:sz="4" w:space="0" w:color="auto"/>
              <w:right w:val="single" w:sz="4" w:space="0" w:color="auto"/>
            </w:tcBorders>
            <w:shd w:val="clear" w:color="auto" w:fill="C6EFCE"/>
            <w:noWrap/>
          </w:tcPr>
          <w:p w14:paraId="48F54CEB" w14:textId="77777777" w:rsidR="003D7F65" w:rsidRDefault="0082041E">
            <w:pPr>
              <w:pStyle w:val="P68B1DB1-Normal8"/>
              <w:spacing w:after="0" w:line="240" w:lineRule="auto"/>
              <w:rPr>
                <w:rFonts w:eastAsia="Times New Roman"/>
                <w:noProof/>
              </w:rPr>
            </w:pPr>
            <w:r>
              <w:rPr>
                <w:noProof/>
              </w:rPr>
              <w:t>Entrée en vigueur des modifications législatives de la loi relative à l’impôt sur le revenu (1205/2020) concernant une exonération de la taxe sur l’avantage de recharge d’une voiture entièrement électrique ou d’une voiture hybride rechargeable</w:t>
            </w:r>
          </w:p>
        </w:tc>
        <w:tc>
          <w:tcPr>
            <w:tcW w:w="1325" w:type="dxa"/>
            <w:tcBorders>
              <w:top w:val="single" w:sz="4" w:space="0" w:color="auto"/>
              <w:left w:val="nil"/>
              <w:bottom w:val="single" w:sz="4" w:space="0" w:color="auto"/>
              <w:right w:val="single" w:sz="4" w:space="0" w:color="auto"/>
            </w:tcBorders>
            <w:shd w:val="clear" w:color="auto" w:fill="C6EFCE"/>
            <w:noWrap/>
          </w:tcPr>
          <w:p w14:paraId="0594A319" w14:textId="77777777" w:rsidR="003D7F65" w:rsidRDefault="0082041E">
            <w:pPr>
              <w:pStyle w:val="P68B1DB1-Normal8"/>
              <w:spacing w:after="0" w:line="240" w:lineRule="auto"/>
              <w:rPr>
                <w:rFonts w:eastAsia="Times New Roman"/>
                <w:noProof/>
              </w:rPr>
            </w:pPr>
            <w:r>
              <w:rPr>
                <w:noProof/>
              </w:rPr>
              <w:t>Disposition de la loi indiquant l'entrée en vigueur des modifications apportées à la loi</w:t>
            </w:r>
          </w:p>
        </w:tc>
        <w:tc>
          <w:tcPr>
            <w:tcW w:w="943" w:type="dxa"/>
            <w:tcBorders>
              <w:top w:val="nil"/>
              <w:left w:val="nil"/>
              <w:bottom w:val="single" w:sz="4" w:space="0" w:color="auto"/>
              <w:right w:val="single" w:sz="4" w:space="0" w:color="auto"/>
            </w:tcBorders>
            <w:shd w:val="clear" w:color="auto" w:fill="C6EFCE"/>
            <w:noWrap/>
          </w:tcPr>
          <w:p w14:paraId="3241B3C0" w14:textId="77777777" w:rsidR="003D7F65" w:rsidRDefault="003D7F65">
            <w:pPr>
              <w:spacing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1D999309" w14:textId="77777777" w:rsidR="003D7F65" w:rsidRDefault="003D7F65">
            <w:pPr>
              <w:spacing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7AA8248" w14:textId="77777777" w:rsidR="003D7F65" w:rsidRDefault="003D7F65">
            <w:pPr>
              <w:spacing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354DEF8" w14:textId="77777777" w:rsidR="003D7F65" w:rsidRDefault="0082041E">
            <w:pPr>
              <w:pStyle w:val="P68B1DB1-Normal8"/>
              <w:spacing w:after="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79FAAFA0" w14:textId="77777777" w:rsidR="003D7F65" w:rsidRDefault="0082041E">
            <w:pPr>
              <w:pStyle w:val="P68B1DB1-Normal8"/>
              <w:spacing w:after="0" w:line="240" w:lineRule="auto"/>
              <w:jc w:val="center"/>
              <w:rPr>
                <w:noProof/>
              </w:rPr>
            </w:pPr>
            <w:r>
              <w:rPr>
                <w:noProof/>
              </w:rPr>
              <w:t>2021</w:t>
            </w:r>
          </w:p>
        </w:tc>
        <w:tc>
          <w:tcPr>
            <w:tcW w:w="4472" w:type="dxa"/>
            <w:tcBorders>
              <w:top w:val="nil"/>
              <w:left w:val="nil"/>
              <w:bottom w:val="single" w:sz="4" w:space="0" w:color="auto"/>
              <w:right w:val="single" w:sz="4" w:space="0" w:color="auto"/>
            </w:tcBorders>
            <w:shd w:val="clear" w:color="auto" w:fill="C6EFCE"/>
            <w:noWrap/>
          </w:tcPr>
          <w:p w14:paraId="21307DAB" w14:textId="77777777" w:rsidR="003D7F65" w:rsidRDefault="0082041E">
            <w:pPr>
              <w:pStyle w:val="P68B1DB1-Normal9"/>
              <w:spacing w:line="240" w:lineRule="auto"/>
              <w:rPr>
                <w:noProof/>
              </w:rPr>
            </w:pPr>
            <w:r>
              <w:rPr>
                <w:noProof/>
              </w:rPr>
              <w:t>Une modification temporaire à la Loi de l'impôt sur le revenu appuiera la recharge des voitures entièrement électriques et des voitures hybrides rechargeables. À la suite de la modification, la recharge d’une voiture entièrement électrique ou d’une voiture hybride rechargeable sur le lieu de travail ou à un point de recharge public, payée par l’employeur, constituera un avantage exonéré d’impôt en 2021-2025. L’avantage concerne la facturation de la voiture de l’employé ou d’une voiture de société avec un avantage limité.</w:t>
            </w:r>
          </w:p>
        </w:tc>
      </w:tr>
      <w:tr w:rsidR="003D7F65" w14:paraId="0CD5A045" w14:textId="77777777" w:rsidTr="00DF4EDA">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4B7FD46B" w14:textId="77777777" w:rsidR="003D7F65" w:rsidRDefault="0082041E">
            <w:pPr>
              <w:pStyle w:val="P68B1DB1-Normal8"/>
              <w:spacing w:after="0" w:line="240" w:lineRule="auto"/>
              <w:jc w:val="center"/>
              <w:rPr>
                <w:rFonts w:eastAsia="Times New Roman"/>
                <w:noProof/>
              </w:rPr>
            </w:pPr>
            <w:r>
              <w:rPr>
                <w:noProof/>
              </w:rPr>
              <w:t>39</w:t>
            </w:r>
          </w:p>
        </w:tc>
        <w:tc>
          <w:tcPr>
            <w:tcW w:w="1675" w:type="dxa"/>
            <w:tcBorders>
              <w:top w:val="single" w:sz="4" w:space="0" w:color="auto"/>
              <w:left w:val="nil"/>
              <w:bottom w:val="single" w:sz="4" w:space="0" w:color="auto"/>
              <w:right w:val="single" w:sz="4" w:space="0" w:color="auto"/>
            </w:tcBorders>
            <w:shd w:val="clear" w:color="auto" w:fill="C6EFCE"/>
            <w:noWrap/>
            <w:hideMark/>
          </w:tcPr>
          <w:p w14:paraId="0204F7A6" w14:textId="77777777" w:rsidR="003D7F65" w:rsidRDefault="0082041E">
            <w:pPr>
              <w:pStyle w:val="P68B1DB1-Normal8"/>
              <w:spacing w:after="0" w:line="240" w:lineRule="auto"/>
              <w:rPr>
                <w:rFonts w:eastAsia="Times New Roman"/>
                <w:noProof/>
              </w:rPr>
            </w:pPr>
            <w:r>
              <w:rPr>
                <w:noProof/>
              </w:rPr>
              <w:t>P1C4I1 – Solutions à faible intensité de carbone pour les villes et les transports – Infrastructures publiques de recharge et de ravitaillement pour les transports d’électricité et d’hydrogène</w:t>
            </w:r>
          </w:p>
        </w:tc>
        <w:tc>
          <w:tcPr>
            <w:tcW w:w="1024" w:type="dxa"/>
            <w:tcBorders>
              <w:top w:val="nil"/>
              <w:left w:val="nil"/>
              <w:bottom w:val="single" w:sz="4" w:space="0" w:color="auto"/>
              <w:right w:val="single" w:sz="4" w:space="0" w:color="auto"/>
            </w:tcBorders>
            <w:shd w:val="clear" w:color="auto" w:fill="C6EFCE"/>
            <w:noWrap/>
          </w:tcPr>
          <w:p w14:paraId="139D4890" w14:textId="77777777" w:rsidR="003D7F65" w:rsidRDefault="0082041E">
            <w:pPr>
              <w:pStyle w:val="P68B1DB1-Normal9"/>
              <w:spacing w:after="0" w:line="240" w:lineRule="auto"/>
              <w:rPr>
                <w:noProof/>
              </w:rPr>
            </w:pPr>
            <w:r>
              <w:rPr>
                <w:noProof/>
              </w:rPr>
              <w:t>Étape</w:t>
            </w:r>
          </w:p>
        </w:tc>
        <w:tc>
          <w:tcPr>
            <w:tcW w:w="1701" w:type="dxa"/>
            <w:tcBorders>
              <w:top w:val="nil"/>
              <w:left w:val="nil"/>
              <w:bottom w:val="single" w:sz="4" w:space="0" w:color="auto"/>
              <w:right w:val="single" w:sz="4" w:space="0" w:color="auto"/>
            </w:tcBorders>
            <w:shd w:val="clear" w:color="auto" w:fill="C6EFCE"/>
            <w:noWrap/>
          </w:tcPr>
          <w:p w14:paraId="13F58B11" w14:textId="77777777" w:rsidR="003D7F65" w:rsidRDefault="0082041E">
            <w:pPr>
              <w:pStyle w:val="P68B1DB1-Normal9"/>
              <w:spacing w:after="0" w:line="240" w:lineRule="auto"/>
              <w:rPr>
                <w:noProof/>
              </w:rPr>
            </w:pPr>
            <w:r>
              <w:rPr>
                <w:noProof/>
              </w:rPr>
              <w:t>Publication des appels à candidatures pour l’amélioration des infrastructures de distribution des véhicules électriques et à hydrogène</w:t>
            </w:r>
          </w:p>
        </w:tc>
        <w:tc>
          <w:tcPr>
            <w:tcW w:w="1325" w:type="dxa"/>
            <w:tcBorders>
              <w:top w:val="single" w:sz="4" w:space="0" w:color="auto"/>
              <w:left w:val="nil"/>
              <w:bottom w:val="single" w:sz="4" w:space="0" w:color="auto"/>
              <w:right w:val="single" w:sz="4" w:space="0" w:color="auto"/>
            </w:tcBorders>
            <w:shd w:val="clear" w:color="auto" w:fill="C6EFCE"/>
            <w:noWrap/>
          </w:tcPr>
          <w:p w14:paraId="4DE4D1FC" w14:textId="77777777" w:rsidR="003D7F65" w:rsidRDefault="0082041E">
            <w:pPr>
              <w:pStyle w:val="P68B1DB1-Normal9"/>
              <w:spacing w:after="0" w:line="240" w:lineRule="auto"/>
              <w:rPr>
                <w:noProof/>
              </w:rPr>
            </w:pPr>
            <w:r>
              <w:rPr>
                <w:noProof/>
              </w:rPr>
              <w:t>Publication des appels à candidatures</w:t>
            </w:r>
          </w:p>
        </w:tc>
        <w:tc>
          <w:tcPr>
            <w:tcW w:w="943" w:type="dxa"/>
            <w:tcBorders>
              <w:top w:val="nil"/>
              <w:left w:val="nil"/>
              <w:bottom w:val="single" w:sz="4" w:space="0" w:color="auto"/>
              <w:right w:val="single" w:sz="4" w:space="0" w:color="auto"/>
            </w:tcBorders>
            <w:shd w:val="clear" w:color="auto" w:fill="C6EFCE"/>
            <w:noWrap/>
          </w:tcPr>
          <w:p w14:paraId="5E587CF9"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03BF40CA" w14:textId="77777777"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5B25412D"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3F42333D" w14:textId="77777777" w:rsidR="003D7F65" w:rsidRDefault="0082041E">
            <w:pPr>
              <w:pStyle w:val="P68B1DB1-Normal9"/>
              <w:spacing w:after="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noWrap/>
          </w:tcPr>
          <w:p w14:paraId="69B48778" w14:textId="77777777" w:rsidR="003D7F65" w:rsidRDefault="0082041E">
            <w:pPr>
              <w:pStyle w:val="P68B1DB1-Normal9"/>
              <w:spacing w:after="0" w:line="240" w:lineRule="auto"/>
              <w:jc w:val="center"/>
              <w:rPr>
                <w:noProof/>
              </w:rPr>
            </w:pPr>
            <w:r>
              <w:rPr>
                <w:noProof/>
              </w:rPr>
              <w:t>2022</w:t>
            </w:r>
          </w:p>
        </w:tc>
        <w:tc>
          <w:tcPr>
            <w:tcW w:w="4472" w:type="dxa"/>
            <w:tcBorders>
              <w:top w:val="nil"/>
              <w:left w:val="nil"/>
              <w:bottom w:val="single" w:sz="4" w:space="0" w:color="auto"/>
              <w:right w:val="single" w:sz="4" w:space="0" w:color="auto"/>
            </w:tcBorders>
            <w:shd w:val="clear" w:color="auto" w:fill="C6EFCE"/>
            <w:noWrap/>
          </w:tcPr>
          <w:p w14:paraId="4DBDFE67" w14:textId="77777777" w:rsidR="003D7F65" w:rsidRDefault="0082041E">
            <w:pPr>
              <w:pStyle w:val="P68B1DB1-Normal9"/>
              <w:spacing w:after="0" w:line="240" w:lineRule="auto"/>
              <w:rPr>
                <w:noProof/>
              </w:rPr>
            </w:pPr>
            <w:r>
              <w:rPr>
                <w:noProof/>
              </w:rPr>
              <w:t>Lancement des deux premiers appels à propositions pour l’infrastructure de distribution des véhicules électriques et à hydrogène, avec des termes de référence comprenant des critères d’éligibilité garantissant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1FC8479E" w14:textId="77777777" w:rsidTr="00DF4EDA">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7A722B4A" w14:textId="77777777" w:rsidR="003D7F65" w:rsidRDefault="0082041E">
            <w:pPr>
              <w:pStyle w:val="P68B1DB1-Normal8"/>
              <w:spacing w:after="0" w:line="240" w:lineRule="auto"/>
              <w:jc w:val="center"/>
              <w:rPr>
                <w:rFonts w:eastAsia="Times New Roman"/>
                <w:noProof/>
              </w:rPr>
            </w:pPr>
            <w:r>
              <w:rPr>
                <w:noProof/>
              </w:rPr>
              <w:t>40</w:t>
            </w:r>
          </w:p>
        </w:tc>
        <w:tc>
          <w:tcPr>
            <w:tcW w:w="1675" w:type="dxa"/>
            <w:tcBorders>
              <w:top w:val="nil"/>
              <w:left w:val="nil"/>
              <w:bottom w:val="single" w:sz="4" w:space="0" w:color="auto"/>
              <w:right w:val="single" w:sz="4" w:space="0" w:color="auto"/>
            </w:tcBorders>
            <w:shd w:val="clear" w:color="auto" w:fill="C6EFCE"/>
            <w:noWrap/>
            <w:hideMark/>
          </w:tcPr>
          <w:p w14:paraId="08F3A6E1" w14:textId="77777777" w:rsidR="003D7F65" w:rsidRDefault="0082041E">
            <w:pPr>
              <w:pStyle w:val="P68B1DB1-Normal8"/>
              <w:spacing w:after="0" w:line="240" w:lineRule="auto"/>
              <w:rPr>
                <w:rFonts w:eastAsia="Times New Roman"/>
                <w:noProof/>
              </w:rPr>
            </w:pPr>
            <w:r>
              <w:rPr>
                <w:noProof/>
              </w:rPr>
              <w:t>P1C4I1 – Solutions à faible intensité de carbone pour les villes et les transports – Infrastructures publiques de recharge et de ravitaillement pour les transports d’électricité et d’hydrogène</w:t>
            </w:r>
          </w:p>
        </w:tc>
        <w:tc>
          <w:tcPr>
            <w:tcW w:w="1024" w:type="dxa"/>
            <w:tcBorders>
              <w:top w:val="nil"/>
              <w:left w:val="nil"/>
              <w:bottom w:val="single" w:sz="4" w:space="0" w:color="auto"/>
              <w:right w:val="single" w:sz="4" w:space="0" w:color="auto"/>
            </w:tcBorders>
            <w:shd w:val="clear" w:color="auto" w:fill="C6EFCE"/>
            <w:noWrap/>
            <w:hideMark/>
          </w:tcPr>
          <w:p w14:paraId="0655B5EC" w14:textId="77777777" w:rsidR="003D7F65" w:rsidRDefault="0082041E">
            <w:pPr>
              <w:pStyle w:val="P68B1DB1-Normal8"/>
              <w:spacing w:after="0" w:line="240" w:lineRule="auto"/>
              <w:rPr>
                <w:rFonts w:eastAsia="Times New Roman"/>
                <w:noProof/>
              </w:rPr>
            </w:pPr>
            <w:r>
              <w:rPr>
                <w:noProof/>
              </w:rPr>
              <w:t>Objectif</w:t>
            </w:r>
          </w:p>
        </w:tc>
        <w:tc>
          <w:tcPr>
            <w:tcW w:w="1701" w:type="dxa"/>
            <w:tcBorders>
              <w:top w:val="nil"/>
              <w:left w:val="nil"/>
              <w:bottom w:val="single" w:sz="4" w:space="0" w:color="auto"/>
              <w:right w:val="single" w:sz="4" w:space="0" w:color="auto"/>
            </w:tcBorders>
            <w:shd w:val="clear" w:color="auto" w:fill="C6EFCE"/>
            <w:noWrap/>
            <w:hideMark/>
          </w:tcPr>
          <w:p w14:paraId="2130CA58" w14:textId="3C4A183C" w:rsidR="003D7F65" w:rsidRDefault="0082041E">
            <w:pPr>
              <w:pStyle w:val="P68B1DB1-Normal8"/>
              <w:spacing w:after="0" w:line="240" w:lineRule="auto"/>
              <w:rPr>
                <w:rFonts w:eastAsia="Times New Roman"/>
                <w:noProof/>
              </w:rPr>
            </w:pPr>
            <w:r>
              <w:rPr>
                <w:noProof/>
              </w:rPr>
              <w:t>Budget engagé pour les chargeurs de véhicules électriques et/ou les points de ravitaillement en hydrogène</w:t>
            </w:r>
          </w:p>
        </w:tc>
        <w:tc>
          <w:tcPr>
            <w:tcW w:w="1325" w:type="dxa"/>
            <w:tcBorders>
              <w:top w:val="nil"/>
              <w:left w:val="nil"/>
              <w:bottom w:val="single" w:sz="4" w:space="0" w:color="auto"/>
              <w:right w:val="single" w:sz="4" w:space="0" w:color="auto"/>
            </w:tcBorders>
            <w:shd w:val="clear" w:color="auto" w:fill="C6EFCE"/>
            <w:noWrap/>
          </w:tcPr>
          <w:p w14:paraId="67CF60DE" w14:textId="77777777" w:rsidR="003D7F65" w:rsidRDefault="003D7F65">
            <w:pPr>
              <w:spacing w:after="0" w:line="240" w:lineRule="auto"/>
              <w:rPr>
                <w:rFonts w:ascii="Times New Roman" w:eastAsia="Times New Roman" w:hAnsi="Times New Roman"/>
                <w:noProof/>
                <w:sz w:val="20"/>
                <w:szCs w:val="20"/>
              </w:rPr>
            </w:pPr>
          </w:p>
        </w:tc>
        <w:tc>
          <w:tcPr>
            <w:tcW w:w="943" w:type="dxa"/>
            <w:tcBorders>
              <w:top w:val="nil"/>
              <w:left w:val="nil"/>
              <w:bottom w:val="single" w:sz="4" w:space="0" w:color="auto"/>
              <w:right w:val="single" w:sz="4" w:space="0" w:color="auto"/>
            </w:tcBorders>
            <w:shd w:val="clear" w:color="auto" w:fill="C6EFCE"/>
            <w:noWrap/>
          </w:tcPr>
          <w:p w14:paraId="19C408C1" w14:textId="77777777" w:rsidR="003D7F65" w:rsidRDefault="0082041E">
            <w:pPr>
              <w:pStyle w:val="P68B1DB1-Normal8"/>
              <w:spacing w:after="0" w:line="240" w:lineRule="auto"/>
              <w:jc w:val="center"/>
              <w:rPr>
                <w:rFonts w:eastAsia="Times New Roman"/>
                <w:noProof/>
              </w:rPr>
            </w:pPr>
            <w:r>
              <w:rPr>
                <w:noProof/>
              </w:rPr>
              <w:t>EUR</w:t>
            </w:r>
          </w:p>
        </w:tc>
        <w:tc>
          <w:tcPr>
            <w:tcW w:w="992" w:type="dxa"/>
            <w:tcBorders>
              <w:top w:val="nil"/>
              <w:left w:val="nil"/>
              <w:bottom w:val="single" w:sz="4" w:space="0" w:color="auto"/>
              <w:right w:val="single" w:sz="4" w:space="0" w:color="auto"/>
            </w:tcBorders>
            <w:shd w:val="clear" w:color="auto" w:fill="C6EFCE"/>
            <w:noWrap/>
            <w:hideMark/>
          </w:tcPr>
          <w:p w14:paraId="1090A15E" w14:textId="77777777" w:rsidR="003D7F65" w:rsidRDefault="0082041E">
            <w:pPr>
              <w:pStyle w:val="P68B1DB1-Normal8"/>
              <w:spacing w:after="0" w:line="240" w:lineRule="auto"/>
              <w:jc w:val="center"/>
              <w:rPr>
                <w:rFonts w:eastAsia="Times New Roman"/>
                <w:noProof/>
              </w:rPr>
            </w:pPr>
            <w:r>
              <w:rPr>
                <w:noProof/>
              </w:rPr>
              <w:t>0</w:t>
            </w:r>
          </w:p>
        </w:tc>
        <w:tc>
          <w:tcPr>
            <w:tcW w:w="851" w:type="dxa"/>
            <w:tcBorders>
              <w:top w:val="nil"/>
              <w:left w:val="nil"/>
              <w:bottom w:val="single" w:sz="4" w:space="0" w:color="auto"/>
              <w:right w:val="single" w:sz="4" w:space="0" w:color="auto"/>
            </w:tcBorders>
            <w:shd w:val="clear" w:color="auto" w:fill="C6EFCE"/>
            <w:noWrap/>
          </w:tcPr>
          <w:p w14:paraId="178B510B" w14:textId="77777777" w:rsidR="003D7F65" w:rsidRDefault="0082041E">
            <w:pPr>
              <w:pStyle w:val="P68B1DB1-Normal10"/>
              <w:spacing w:after="0" w:line="240" w:lineRule="auto"/>
              <w:jc w:val="center"/>
              <w:rPr>
                <w:rFonts w:eastAsia="Times New Roman"/>
                <w:noProof/>
              </w:rPr>
            </w:pPr>
            <w:r>
              <w:rPr>
                <w:noProof/>
              </w:rPr>
              <w:t>8 665 000</w:t>
            </w:r>
          </w:p>
        </w:tc>
        <w:tc>
          <w:tcPr>
            <w:tcW w:w="992" w:type="dxa"/>
            <w:tcBorders>
              <w:top w:val="nil"/>
              <w:left w:val="nil"/>
              <w:bottom w:val="single" w:sz="4" w:space="0" w:color="auto"/>
              <w:right w:val="single" w:sz="4" w:space="0" w:color="auto"/>
            </w:tcBorders>
            <w:shd w:val="clear" w:color="auto" w:fill="C6EFCE"/>
            <w:noWrap/>
            <w:hideMark/>
          </w:tcPr>
          <w:p w14:paraId="56B0C7D2" w14:textId="77777777" w:rsidR="003D7F65" w:rsidRDefault="0082041E">
            <w:pPr>
              <w:pStyle w:val="P68B1DB1-Normal8"/>
              <w:spacing w:after="0" w:line="240" w:lineRule="auto"/>
              <w:jc w:val="center"/>
              <w:rPr>
                <w:rFonts w:eastAsia="Times New Roman"/>
                <w:noProof/>
              </w:rPr>
            </w:pPr>
            <w:r>
              <w:rPr>
                <w:noProof/>
              </w:rPr>
              <w:t>T2</w:t>
            </w:r>
          </w:p>
        </w:tc>
        <w:tc>
          <w:tcPr>
            <w:tcW w:w="709" w:type="dxa"/>
            <w:tcBorders>
              <w:top w:val="nil"/>
              <w:left w:val="nil"/>
              <w:bottom w:val="single" w:sz="4" w:space="0" w:color="auto"/>
              <w:right w:val="single" w:sz="4" w:space="0" w:color="auto"/>
            </w:tcBorders>
            <w:shd w:val="clear" w:color="auto" w:fill="C6EFCE"/>
            <w:noWrap/>
            <w:hideMark/>
          </w:tcPr>
          <w:p w14:paraId="56EE9F4D" w14:textId="77777777" w:rsidR="003D7F65" w:rsidRDefault="0082041E">
            <w:pPr>
              <w:pStyle w:val="P68B1DB1-Normal8"/>
              <w:spacing w:after="0" w:line="240" w:lineRule="auto"/>
              <w:jc w:val="center"/>
              <w:rPr>
                <w:rFonts w:eastAsia="Times New Roman"/>
                <w:noProof/>
              </w:rPr>
            </w:pPr>
            <w:r>
              <w:rPr>
                <w:noProof/>
              </w:rPr>
              <w:t>2025</w:t>
            </w:r>
          </w:p>
        </w:tc>
        <w:tc>
          <w:tcPr>
            <w:tcW w:w="4472" w:type="dxa"/>
            <w:tcBorders>
              <w:top w:val="nil"/>
              <w:left w:val="nil"/>
              <w:bottom w:val="single" w:sz="4" w:space="0" w:color="auto"/>
              <w:right w:val="single" w:sz="4" w:space="0" w:color="auto"/>
            </w:tcBorders>
            <w:shd w:val="clear" w:color="auto" w:fill="C6EFCE"/>
            <w:noWrap/>
            <w:hideMark/>
          </w:tcPr>
          <w:p w14:paraId="1B6228EA" w14:textId="12D31344" w:rsidR="003D7F65" w:rsidRDefault="0082041E">
            <w:pPr>
              <w:pStyle w:val="P68B1DB1-Normal8"/>
              <w:spacing w:line="240" w:lineRule="auto"/>
              <w:rPr>
                <w:rFonts w:eastAsia="Times New Roman"/>
                <w:noProof/>
              </w:rPr>
            </w:pPr>
            <w:r>
              <w:rPr>
                <w:noProof/>
              </w:rPr>
              <w:t>Au moins 8 665 000 EUR ont été engagés par l’autorité finlandaise de l’énergie au moyen de décisions de financement pour des projets de chargeurs de véhicules électriques.</w:t>
            </w:r>
          </w:p>
        </w:tc>
      </w:tr>
    </w:tbl>
    <w:p w14:paraId="61702B20" w14:textId="77777777" w:rsidR="003D7F65" w:rsidRDefault="003D7F65">
      <w:pPr>
        <w:rPr>
          <w:rFonts w:ascii="Times New Roman" w:hAnsi="Times New Roman"/>
          <w:noProof/>
          <w:sz w:val="24"/>
        </w:rPr>
        <w:sectPr w:rsidR="003D7F65" w:rsidSect="00A7081A">
          <w:headerReference w:type="even" r:id="rId60"/>
          <w:headerReference w:type="default" r:id="rId61"/>
          <w:footerReference w:type="even" r:id="rId62"/>
          <w:footerReference w:type="default" r:id="rId63"/>
          <w:headerReference w:type="first" r:id="rId64"/>
          <w:footerReference w:type="first" r:id="rId65"/>
          <w:pgSz w:w="16839" w:h="11907" w:orient="landscape" w:code="9"/>
          <w:pgMar w:top="1134" w:right="1134" w:bottom="1134" w:left="1134" w:header="567" w:footer="567" w:gutter="0"/>
          <w:cols w:space="720"/>
          <w:docGrid w:linePitch="360"/>
        </w:sectPr>
      </w:pPr>
    </w:p>
    <w:p w14:paraId="27334358" w14:textId="77777777" w:rsidR="003D7F65" w:rsidRDefault="0082041E">
      <w:pPr>
        <w:pStyle w:val="P68B1DB1-Heading42"/>
        <w:numPr>
          <w:ilvl w:val="0"/>
          <w:numId w:val="0"/>
        </w:numPr>
        <w:rPr>
          <w:noProof/>
        </w:rPr>
      </w:pPr>
      <w:r>
        <w:rPr>
          <w:noProof/>
        </w:rPr>
        <w:t xml:space="preserve">E. Élément P1C5: SOLUTIONS FONDÉES SUR LA DURABILITÉ ENVIRONNEMENTALE ET LA NATURE </w:t>
      </w:r>
    </w:p>
    <w:p w14:paraId="74AB3CD7" w14:textId="77777777" w:rsidR="003D7F65" w:rsidRDefault="0082041E">
      <w:pPr>
        <w:pStyle w:val="NormalLeft"/>
        <w:jc w:val="both"/>
        <w:rPr>
          <w:iCs/>
          <w:noProof/>
          <w:szCs w:val="24"/>
        </w:rPr>
      </w:pPr>
      <w:r>
        <w:rPr>
          <w:noProof/>
        </w:rPr>
        <w:t xml:space="preserve">Le gouvernement finlandais s'est fixé pour objectif d'enrayer la perte de biodiversité d'ici 2030. </w:t>
      </w:r>
      <w:r>
        <w:rPr>
          <w:noProof/>
          <w:szCs w:val="24"/>
        </w:rPr>
        <w:t>L’objectif général de ce volet du plan finlandais pour la reprise et la résilience est de contribuer à enrayer la perte de biodiversité causée par l’utilisation intensive des ressources naturelles ainsi qu’à lutter contre la pollution de la mer Baltique.</w:t>
      </w:r>
    </w:p>
    <w:p w14:paraId="6849F4F2" w14:textId="77777777" w:rsidR="003D7F65" w:rsidRDefault="0082041E">
      <w:pPr>
        <w:pStyle w:val="NormalLeft"/>
        <w:jc w:val="both"/>
        <w:rPr>
          <w:iCs/>
          <w:noProof/>
        </w:rPr>
      </w:pPr>
      <w:r>
        <w:rPr>
          <w:noProof/>
          <w:szCs w:val="24"/>
        </w:rPr>
        <w:t xml:space="preserve">Ce volet comprend des investissements </w:t>
      </w:r>
      <w:r>
        <w:rPr>
          <w:noProof/>
        </w:rPr>
        <w:t xml:space="preserve">visant à promouvoir des solutions innovantes pour lutter contre la pollution, telles que l’utilisation du gypse, un sous-produit industriel destiné à réduire la concentration de phosphore dans la mer Baltique, ainsi qu’à développer une gestion durable des forêts du point de vue climatique. Ces investissements sont complétés par une réforme de la loi sur la conservation de la nature. Cet acte fournit une base juridique à la stratégie nationale en faveur de la biodiversité et vise à renforcer la biodiversité. </w:t>
      </w:r>
    </w:p>
    <w:p w14:paraId="7846D708" w14:textId="77777777" w:rsidR="003D7F65" w:rsidRDefault="0082041E">
      <w:pPr>
        <w:pStyle w:val="P68B1DB1-Normal3"/>
        <w:spacing w:before="120" w:after="120" w:line="240" w:lineRule="auto"/>
        <w:jc w:val="both"/>
        <w:rPr>
          <w:noProof/>
        </w:rPr>
      </w:pPr>
      <w:r>
        <w:rPr>
          <w:noProof/>
        </w:rPr>
        <w:t>Ce volet contribue à donner suite aux recommandations par pays visant à concentrer les investissements sur la transition écologique (recommandation par pays no 3 de 2020).</w:t>
      </w:r>
    </w:p>
    <w:p w14:paraId="50B4360E" w14:textId="77777777" w:rsidR="003D7F65" w:rsidRDefault="0082041E">
      <w:pPr>
        <w:pStyle w:val="P68B1DB1-Normal3"/>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C8AA382" w14:textId="77777777" w:rsidR="003D7F65" w:rsidRDefault="0082041E">
      <w:pPr>
        <w:pStyle w:val="P68B1DB1-Normal5"/>
        <w:spacing w:before="120" w:after="120" w:line="240" w:lineRule="auto"/>
        <w:jc w:val="both"/>
        <w:rPr>
          <w:i/>
          <w:noProof/>
          <w:color w:val="4F81BD"/>
        </w:rPr>
      </w:pPr>
      <w:r>
        <w:rPr>
          <w:noProof/>
        </w:rPr>
        <w:t xml:space="preserve">E.1. </w:t>
      </w:r>
      <w:r>
        <w:rPr>
          <w:noProof/>
        </w:rPr>
        <w:tab/>
        <w:t>Description des réformes et des investissements pour le soutien financier non remboursable</w:t>
      </w:r>
    </w:p>
    <w:p w14:paraId="5DAF85B2" w14:textId="77777777" w:rsidR="003D7F65" w:rsidRDefault="0082041E">
      <w:pPr>
        <w:pStyle w:val="P68B1DB1-Normal6"/>
        <w:spacing w:before="120" w:after="120" w:line="240" w:lineRule="auto"/>
        <w:jc w:val="both"/>
        <w:rPr>
          <w:noProof/>
        </w:rPr>
      </w:pPr>
      <w:r>
        <w:rPr>
          <w:noProof/>
        </w:rPr>
        <w:t xml:space="preserve">Réforme 1 </w:t>
      </w:r>
      <w:bookmarkStart w:id="7" w:name="_Hlk213071768"/>
      <w:r>
        <w:rPr>
          <w:noProof/>
        </w:rPr>
        <w:t>(P1C5R1):</w:t>
      </w:r>
      <w:bookmarkEnd w:id="7"/>
      <w:r>
        <w:rPr>
          <w:noProof/>
        </w:rPr>
        <w:t xml:space="preserve"> Modernisation de la législation relative à la conservation de la nature</w:t>
      </w:r>
    </w:p>
    <w:p w14:paraId="31A8E4D7" w14:textId="77777777" w:rsidR="003D7F65" w:rsidRDefault="0082041E">
      <w:pPr>
        <w:pStyle w:val="P68B1DB1-Normal3"/>
        <w:spacing w:before="120" w:after="120" w:line="240" w:lineRule="auto"/>
        <w:jc w:val="both"/>
        <w:rPr>
          <w:noProof/>
        </w:rPr>
      </w:pPr>
      <w:r>
        <w:rPr>
          <w:noProof/>
        </w:rPr>
        <w:t xml:space="preserve">La Finlande ne dispose actuellement d’aucune base juridique pour la stratégie nationale en faveur de la biodiversité et pour les mesures volontaires de conservation de la nature, y compris les mesures de restauration et de gestion active de la nature. La Finlande met à jour la loi sur la conservation de la nature (1096/1996) afin de mieux répondre aux besoins actuels en vue de renforcer la biodiversité. Les modifications législatives apportées à la loi visent à faire en sorte que la prise de décision tienne mieux compte de la préservation de la biodiversité en dehors des zones de conservation de la nature et du maintien des services écosystémiques. En outre, de nouvelles mesures sont adoptées pour améliorer l'efficacité de la conservation des habitats et des espèces. </w:t>
      </w:r>
    </w:p>
    <w:p w14:paraId="375FEA84" w14:textId="3B99D1AB" w:rsidR="003D7F65" w:rsidRDefault="0082041E">
      <w:pPr>
        <w:pStyle w:val="P68B1DB1-Normal3"/>
        <w:spacing w:before="120" w:after="120" w:line="240" w:lineRule="auto"/>
        <w:jc w:val="both"/>
        <w:rPr>
          <w:noProof/>
        </w:rPr>
      </w:pPr>
      <w:r>
        <w:rPr>
          <w:noProof/>
        </w:rPr>
        <w:t>Le gouvernement soumet la nouvelle loi sur la conservation de la nature au Parlement au plus tard le 31 janvier 2022. La nouvelle loi entrera en vigueur en 2022. La mise en œuvre de la loi est assurée par les centres pour le développement économique, les transports et l'environnement, Metsähallitus et le ministère de l'environnement.</w:t>
      </w:r>
    </w:p>
    <w:p w14:paraId="75B49EB2" w14:textId="77777777" w:rsidR="003D7F65" w:rsidRDefault="0082041E">
      <w:pPr>
        <w:pStyle w:val="P68B1DB1-Normal3"/>
        <w:spacing w:before="120" w:after="120" w:line="240" w:lineRule="auto"/>
        <w:jc w:val="both"/>
        <w:rPr>
          <w:noProof/>
        </w:rPr>
      </w:pPr>
      <w:r>
        <w:rPr>
          <w:noProof/>
        </w:rPr>
        <w:t xml:space="preserve">La Finlande entend également adopter un règlement relatif au système de soutien financier aux mesures de restauration et de soins, qui soutiendra les mesures de réhabilitation et de gestion des habitats, des espèces et des paysages menacés. </w:t>
      </w:r>
    </w:p>
    <w:p w14:paraId="2D38FD37" w14:textId="2ED1F007" w:rsidR="003D7F65" w:rsidRDefault="0082041E">
      <w:pPr>
        <w:pStyle w:val="P68B1DB1-Normal3"/>
        <w:spacing w:before="120" w:after="120" w:line="240" w:lineRule="auto"/>
        <w:jc w:val="both"/>
        <w:rPr>
          <w:noProof/>
        </w:rPr>
      </w:pPr>
      <w:r>
        <w:rPr>
          <w:noProof/>
        </w:rPr>
        <w:t>La mise en œuvre de la réforme est achevée au plus tard le 31 décembre 2023.</w:t>
      </w:r>
    </w:p>
    <w:p w14:paraId="7E56E5D8" w14:textId="77777777" w:rsidR="003D7F65" w:rsidRDefault="0082041E">
      <w:pPr>
        <w:pStyle w:val="P68B1DB1-Normal6"/>
        <w:spacing w:before="120" w:after="120" w:line="240" w:lineRule="auto"/>
        <w:jc w:val="both"/>
        <w:rPr>
          <w:noProof/>
        </w:rPr>
      </w:pPr>
      <w:r>
        <w:rPr>
          <w:noProof/>
        </w:rPr>
        <w:t xml:space="preserve">Investissement 1 (P1C5I1): Traitement du gypse et recyclage des nutriments </w:t>
      </w:r>
    </w:p>
    <w:p w14:paraId="66BC7884" w14:textId="77777777" w:rsidR="003D7F65" w:rsidRDefault="0082041E">
      <w:pPr>
        <w:pStyle w:val="P68B1DB1-Normal3"/>
        <w:spacing w:before="120" w:after="120" w:line="240" w:lineRule="auto"/>
        <w:jc w:val="both"/>
        <w:rPr>
          <w:noProof/>
        </w:rPr>
      </w:pPr>
      <w:r>
        <w:rPr>
          <w:noProof/>
          <w:color w:val="000000" w:themeColor="text1"/>
        </w:rPr>
        <w:t xml:space="preserve">L’objectif de cette mesure est de soutenir les objectifs climatiques et environnementaux en traitant les terres arables avec du gypse et </w:t>
      </w:r>
      <w:r>
        <w:rPr>
          <w:noProof/>
        </w:rPr>
        <w:t>en promouvant le recyclage des éléments nutritifs provenant des flux de déchets riches en éléments nutritifs provenant des zones urbaines. La mesure comprend le traitement des champs avec du gypse, ainsi que des projets d'investissement et de R&amp;D sur le recyclage des nutriments.</w:t>
      </w:r>
    </w:p>
    <w:p w14:paraId="67685344" w14:textId="77777777" w:rsidR="003D7F65" w:rsidRDefault="0082041E">
      <w:pPr>
        <w:pStyle w:val="P68B1DB1-Normal6"/>
        <w:spacing w:before="120" w:after="120" w:line="240" w:lineRule="auto"/>
        <w:jc w:val="both"/>
        <w:rPr>
          <w:noProof/>
        </w:rPr>
      </w:pPr>
      <w:r>
        <w:rPr>
          <w:noProof/>
        </w:rPr>
        <w:t>Investissement 2 (P1C5I2): Mesures durables pour le climat dans le secteur de l’utilisation des terres</w:t>
      </w:r>
    </w:p>
    <w:p w14:paraId="284F4673" w14:textId="77777777" w:rsidR="003D7F65" w:rsidRDefault="0082041E">
      <w:pPr>
        <w:pStyle w:val="P68B1DB1-Normal3"/>
        <w:spacing w:before="120" w:after="120" w:line="240" w:lineRule="auto"/>
        <w:jc w:val="both"/>
        <w:rPr>
          <w:rFonts w:eastAsia="Times New Roman"/>
          <w:noProof/>
        </w:rPr>
      </w:pPr>
      <w:r>
        <w:rPr>
          <w:noProof/>
        </w:rPr>
        <w:t xml:space="preserve">L’objectif de cette mesure est de soutenir les méthodes d’utilisation des terres durables sur le plan climatique dans le secteur forestier («sylviculture de précision»). Cet investissement consiste en des projets favorisant la durabilité des forêts. </w:t>
      </w:r>
    </w:p>
    <w:p w14:paraId="044E6F17" w14:textId="77777777" w:rsidR="003D7F65" w:rsidRDefault="003D7F65">
      <w:pPr>
        <w:spacing w:before="120" w:after="120" w:line="240" w:lineRule="auto"/>
        <w:jc w:val="both"/>
        <w:rPr>
          <w:rFonts w:ascii="Times New Roman" w:hAnsi="Times New Roman"/>
          <w:noProof/>
          <w:sz w:val="24"/>
        </w:rPr>
        <w:sectPr w:rsidR="003D7F65" w:rsidSect="00A7081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50087981" w14:textId="77777777" w:rsidR="003D7F65" w:rsidRDefault="0082041E">
      <w:pPr>
        <w:pStyle w:val="P68B1DB1-Normal5"/>
        <w:spacing w:before="120" w:after="120" w:line="240" w:lineRule="auto"/>
        <w:jc w:val="both"/>
        <w:rPr>
          <w:noProof/>
        </w:rPr>
      </w:pPr>
      <w:r>
        <w:rPr>
          <w:noProof/>
        </w:rPr>
        <w:t xml:space="preserve">E.2. </w:t>
      </w:r>
      <w:r>
        <w:rPr>
          <w:noProof/>
        </w:rPr>
        <w:tab/>
        <w:t>Étapes, cibles, indicateurs et calendrier pour le suivi et la mise en œuvre du soutien financier non remboursable</w:t>
      </w:r>
    </w:p>
    <w:tbl>
      <w:tblPr>
        <w:tblW w:w="16682" w:type="dxa"/>
        <w:jc w:val="center"/>
        <w:tblCellMar>
          <w:left w:w="28" w:type="dxa"/>
          <w:right w:w="28" w:type="dxa"/>
        </w:tblCellMar>
        <w:tblLook w:val="04A0" w:firstRow="1" w:lastRow="0" w:firstColumn="1" w:lastColumn="0" w:noHBand="0" w:noVBand="1"/>
      </w:tblPr>
      <w:tblGrid>
        <w:gridCol w:w="768"/>
        <w:gridCol w:w="1867"/>
        <w:gridCol w:w="1329"/>
        <w:gridCol w:w="1116"/>
        <w:gridCol w:w="1359"/>
        <w:gridCol w:w="756"/>
        <w:gridCol w:w="1022"/>
        <w:gridCol w:w="992"/>
        <w:gridCol w:w="1134"/>
        <w:gridCol w:w="1111"/>
        <w:gridCol w:w="5228"/>
      </w:tblGrid>
      <w:tr w:rsidR="003D7F65" w14:paraId="3334841A" w14:textId="77777777" w:rsidTr="00832095">
        <w:trPr>
          <w:trHeight w:val="632"/>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156621" w14:textId="77777777" w:rsidR="003D7F65" w:rsidRDefault="0082041E">
            <w:pPr>
              <w:pStyle w:val="P68B1DB1-Normal7"/>
              <w:spacing w:after="0" w:line="240" w:lineRule="auto"/>
              <w:jc w:val="center"/>
              <w:rPr>
                <w:noProof/>
              </w:rPr>
            </w:pPr>
            <w:r>
              <w:rPr>
                <w:noProof/>
              </w:rPr>
              <w:t>Numéro</w:t>
            </w:r>
          </w:p>
        </w:tc>
        <w:tc>
          <w:tcPr>
            <w:tcW w:w="1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FBD1BC" w14:textId="77777777" w:rsidR="003D7F65" w:rsidRDefault="0082041E">
            <w:pPr>
              <w:pStyle w:val="P68B1DB1-Normal7"/>
              <w:spacing w:after="0" w:line="240" w:lineRule="auto"/>
              <w:jc w:val="center"/>
              <w:rPr>
                <w:noProof/>
              </w:rPr>
            </w:pPr>
            <w:r>
              <w:rPr>
                <w:noProof/>
              </w:rPr>
              <w:t xml:space="preserve">Mesure </w:t>
            </w:r>
          </w:p>
        </w:tc>
        <w:tc>
          <w:tcPr>
            <w:tcW w:w="13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A9F9A8" w14:textId="77777777" w:rsidR="003D7F65" w:rsidRDefault="0082041E">
            <w:pPr>
              <w:pStyle w:val="P68B1DB1-Normal7"/>
              <w:spacing w:after="0" w:line="240" w:lineRule="auto"/>
              <w:jc w:val="center"/>
              <w:rPr>
                <w:noProof/>
              </w:rPr>
            </w:pPr>
            <w:r>
              <w:rPr>
                <w:noProof/>
              </w:rPr>
              <w:t>Étape/cible</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DB6C23" w14:textId="77777777" w:rsidR="003D7F65" w:rsidRDefault="0082041E">
            <w:pPr>
              <w:pStyle w:val="P68B1DB1-Normal7"/>
              <w:spacing w:after="0" w:line="240" w:lineRule="auto"/>
              <w:jc w:val="center"/>
              <w:rPr>
                <w:noProof/>
              </w:rPr>
            </w:pPr>
            <w:r>
              <w:rPr>
                <w:noProof/>
              </w:rPr>
              <w:t>Nom</w:t>
            </w:r>
          </w:p>
        </w:tc>
        <w:tc>
          <w:tcPr>
            <w:tcW w:w="13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D046D8" w14:textId="11D6F303" w:rsidR="003D7F65" w:rsidRDefault="0082041E">
            <w:pPr>
              <w:pStyle w:val="P68B1DB1-Normal7"/>
              <w:spacing w:after="0" w:line="240" w:lineRule="auto"/>
              <w:jc w:val="center"/>
              <w:rPr>
                <w:bCs/>
                <w:noProof/>
              </w:rPr>
            </w:pPr>
            <w:r>
              <w:rPr>
                <w:noProof/>
              </w:rPr>
              <w:t>Indicateurs qualitatifs (pour les jalons)</w:t>
            </w:r>
          </w:p>
        </w:tc>
        <w:tc>
          <w:tcPr>
            <w:tcW w:w="277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03A94ED" w14:textId="77777777" w:rsidR="003D7F65" w:rsidRDefault="0082041E">
            <w:pPr>
              <w:pStyle w:val="P68B1DB1-Normal7"/>
              <w:spacing w:after="0" w:line="240" w:lineRule="auto"/>
              <w:jc w:val="center"/>
              <w:rPr>
                <w:bCs/>
                <w:noProof/>
              </w:rPr>
            </w:pPr>
            <w:r>
              <w:rPr>
                <w:noProof/>
              </w:rPr>
              <w:t>Indicateurs quantitatifs (pour les objectifs)</w:t>
            </w:r>
          </w:p>
        </w:tc>
        <w:tc>
          <w:tcPr>
            <w:tcW w:w="2245" w:type="dxa"/>
            <w:gridSpan w:val="2"/>
            <w:tcBorders>
              <w:top w:val="single" w:sz="4" w:space="0" w:color="auto"/>
              <w:left w:val="nil"/>
              <w:bottom w:val="single" w:sz="4" w:space="0" w:color="auto"/>
              <w:right w:val="single" w:sz="4" w:space="0" w:color="auto"/>
            </w:tcBorders>
            <w:shd w:val="clear" w:color="auto" w:fill="BDD7EE"/>
            <w:vAlign w:val="center"/>
            <w:hideMark/>
          </w:tcPr>
          <w:p w14:paraId="22701460" w14:textId="17E82B16" w:rsidR="003D7F65" w:rsidRDefault="0082041E">
            <w:pPr>
              <w:pStyle w:val="P68B1DB1-Normal7"/>
              <w:spacing w:after="0" w:line="240" w:lineRule="auto"/>
              <w:jc w:val="center"/>
              <w:rPr>
                <w:noProof/>
              </w:rPr>
            </w:pPr>
            <w:r>
              <w:rPr>
                <w:noProof/>
              </w:rPr>
              <w:t>Calendrier indicatif d'achèvement</w:t>
            </w:r>
          </w:p>
        </w:tc>
        <w:tc>
          <w:tcPr>
            <w:tcW w:w="52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CA7D45" w14:textId="77777777" w:rsidR="003D7F65" w:rsidRDefault="0082041E">
            <w:pPr>
              <w:pStyle w:val="P68B1DB1-Normal7"/>
              <w:spacing w:after="0" w:line="240" w:lineRule="auto"/>
              <w:jc w:val="center"/>
              <w:rPr>
                <w:noProof/>
              </w:rPr>
            </w:pPr>
            <w:r>
              <w:rPr>
                <w:noProof/>
              </w:rPr>
              <w:t>Description de chaque jalon et cible</w:t>
            </w:r>
          </w:p>
        </w:tc>
      </w:tr>
      <w:tr w:rsidR="003D7F65" w14:paraId="5CABADBC" w14:textId="77777777" w:rsidTr="00832095">
        <w:trPr>
          <w:trHeight w:val="692"/>
          <w:tblHeader/>
          <w:jc w:val="center"/>
        </w:trPr>
        <w:tc>
          <w:tcPr>
            <w:tcW w:w="768" w:type="dxa"/>
            <w:vMerge/>
            <w:tcBorders>
              <w:top w:val="single" w:sz="4" w:space="0" w:color="auto"/>
              <w:left w:val="single" w:sz="4" w:space="0" w:color="auto"/>
              <w:bottom w:val="single" w:sz="4" w:space="0" w:color="auto"/>
              <w:right w:val="single" w:sz="4" w:space="0" w:color="auto"/>
            </w:tcBorders>
            <w:vAlign w:val="center"/>
            <w:hideMark/>
          </w:tcPr>
          <w:p w14:paraId="00BCB097" w14:textId="77777777" w:rsidR="003D7F65" w:rsidRDefault="003D7F65">
            <w:pPr>
              <w:spacing w:after="0" w:line="240" w:lineRule="auto"/>
              <w:rPr>
                <w:rFonts w:ascii="Times New Roman" w:eastAsia="Times New Roman" w:hAnsi="Times New Roman"/>
                <w:b/>
                <w:noProof/>
                <w:sz w:val="20"/>
                <w:szCs w:val="20"/>
              </w:rPr>
            </w:pPr>
          </w:p>
        </w:tc>
        <w:tc>
          <w:tcPr>
            <w:tcW w:w="1867" w:type="dxa"/>
            <w:vMerge/>
            <w:tcBorders>
              <w:top w:val="single" w:sz="4" w:space="0" w:color="auto"/>
              <w:left w:val="single" w:sz="4" w:space="0" w:color="auto"/>
              <w:bottom w:val="single" w:sz="4" w:space="0" w:color="auto"/>
              <w:right w:val="single" w:sz="4" w:space="0" w:color="auto"/>
            </w:tcBorders>
            <w:vAlign w:val="center"/>
            <w:hideMark/>
          </w:tcPr>
          <w:p w14:paraId="61CF4DD8" w14:textId="77777777" w:rsidR="003D7F65" w:rsidRDefault="003D7F65">
            <w:pPr>
              <w:spacing w:after="0" w:line="240" w:lineRule="auto"/>
              <w:rPr>
                <w:rFonts w:ascii="Times New Roman" w:eastAsia="Times New Roman" w:hAnsi="Times New Roman"/>
                <w:b/>
                <w:noProof/>
                <w:sz w:val="20"/>
                <w:szCs w:val="20"/>
              </w:rPr>
            </w:pPr>
          </w:p>
        </w:tc>
        <w:tc>
          <w:tcPr>
            <w:tcW w:w="1329" w:type="dxa"/>
            <w:vMerge/>
            <w:tcBorders>
              <w:top w:val="single" w:sz="4" w:space="0" w:color="auto"/>
              <w:left w:val="single" w:sz="4" w:space="0" w:color="auto"/>
              <w:bottom w:val="single" w:sz="4" w:space="0" w:color="auto"/>
              <w:right w:val="single" w:sz="4" w:space="0" w:color="auto"/>
            </w:tcBorders>
            <w:vAlign w:val="center"/>
            <w:hideMark/>
          </w:tcPr>
          <w:p w14:paraId="68EA5220" w14:textId="77777777" w:rsidR="003D7F65" w:rsidRDefault="003D7F65">
            <w:pPr>
              <w:spacing w:after="0" w:line="240" w:lineRule="auto"/>
              <w:rPr>
                <w:rFonts w:ascii="Times New Roman" w:eastAsia="Times New Roman" w:hAnsi="Times New Roman"/>
                <w:b/>
                <w:noProof/>
                <w:sz w:val="20"/>
                <w:szCs w:val="20"/>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005D8832" w14:textId="77777777" w:rsidR="003D7F65" w:rsidRDefault="003D7F65">
            <w:pPr>
              <w:spacing w:after="0" w:line="240" w:lineRule="auto"/>
              <w:rPr>
                <w:rFonts w:ascii="Times New Roman" w:eastAsia="Times New Roman" w:hAnsi="Times New Roman"/>
                <w:b/>
                <w:noProof/>
                <w:sz w:val="20"/>
                <w:szCs w:val="20"/>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1F3E8F3A" w14:textId="77777777" w:rsidR="003D7F65" w:rsidRDefault="003D7F65">
            <w:pPr>
              <w:spacing w:after="0" w:line="240" w:lineRule="auto"/>
              <w:rPr>
                <w:rFonts w:ascii="Times New Roman" w:eastAsia="Times New Roman" w:hAnsi="Times New Roman"/>
                <w:b/>
                <w:noProof/>
                <w:sz w:val="20"/>
                <w:szCs w:val="20"/>
              </w:rPr>
            </w:pP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096C3A" w14:textId="77777777" w:rsidR="003D7F65" w:rsidRDefault="0082041E">
            <w:pPr>
              <w:pStyle w:val="P68B1DB1-Normal7"/>
              <w:spacing w:after="0" w:line="240" w:lineRule="auto"/>
              <w:jc w:val="center"/>
              <w:rPr>
                <w:noProof/>
              </w:rPr>
            </w:pPr>
            <w:r>
              <w:rPr>
                <w:noProof/>
              </w:rPr>
              <w:t>Unité</w:t>
            </w:r>
          </w:p>
        </w:tc>
        <w:tc>
          <w:tcPr>
            <w:tcW w:w="10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A89D23A" w14:textId="77777777" w:rsidR="003D7F65" w:rsidRDefault="0082041E">
            <w:pPr>
              <w:pStyle w:val="P68B1DB1-Normal7"/>
              <w:spacing w:after="0" w:line="240" w:lineRule="auto"/>
              <w:jc w:val="center"/>
              <w:rPr>
                <w:noProof/>
              </w:rPr>
            </w:pPr>
            <w:r>
              <w:rPr>
                <w:noProof/>
              </w:rPr>
              <w:t xml:space="preserve">Données de référence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452B6C9" w14:textId="77777777" w:rsidR="003D7F65" w:rsidRDefault="0082041E">
            <w:pPr>
              <w:pStyle w:val="P68B1DB1-Normal7"/>
              <w:spacing w:after="0" w:line="240" w:lineRule="auto"/>
              <w:jc w:val="center"/>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3B344E" w14:textId="77777777" w:rsidR="003D7F65" w:rsidRDefault="0082041E">
            <w:pPr>
              <w:pStyle w:val="P68B1DB1-Normal7"/>
              <w:spacing w:after="0" w:line="240" w:lineRule="auto"/>
              <w:jc w:val="center"/>
              <w:rPr>
                <w:noProof/>
              </w:rPr>
            </w:pPr>
            <w:r>
              <w:rPr>
                <w:noProof/>
              </w:rPr>
              <w:t>Trimestre</w:t>
            </w:r>
          </w:p>
        </w:tc>
        <w:tc>
          <w:tcPr>
            <w:tcW w:w="11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5274C4" w14:textId="77777777" w:rsidR="003D7F65" w:rsidRDefault="0082041E">
            <w:pPr>
              <w:pStyle w:val="P68B1DB1-Normal7"/>
              <w:spacing w:after="0" w:line="240" w:lineRule="auto"/>
              <w:jc w:val="center"/>
              <w:rPr>
                <w:noProof/>
              </w:rPr>
            </w:pPr>
            <w:r>
              <w:rPr>
                <w:noProof/>
              </w:rPr>
              <w:t>Année</w:t>
            </w:r>
          </w:p>
        </w:tc>
        <w:tc>
          <w:tcPr>
            <w:tcW w:w="5228" w:type="dxa"/>
            <w:vMerge/>
            <w:tcBorders>
              <w:top w:val="single" w:sz="4" w:space="0" w:color="auto"/>
              <w:bottom w:val="single" w:sz="4" w:space="0" w:color="auto"/>
              <w:right w:val="single" w:sz="4" w:space="0" w:color="auto"/>
            </w:tcBorders>
            <w:vAlign w:val="center"/>
            <w:hideMark/>
          </w:tcPr>
          <w:p w14:paraId="3C567AA4" w14:textId="77777777" w:rsidR="003D7F65" w:rsidRDefault="003D7F65">
            <w:pPr>
              <w:spacing w:after="0" w:line="240" w:lineRule="auto"/>
              <w:rPr>
                <w:rFonts w:ascii="Times New Roman" w:eastAsia="Times New Roman" w:hAnsi="Times New Roman"/>
                <w:b/>
                <w:noProof/>
                <w:sz w:val="20"/>
                <w:szCs w:val="20"/>
              </w:rPr>
            </w:pPr>
          </w:p>
        </w:tc>
      </w:tr>
      <w:tr w:rsidR="003D7F65" w14:paraId="1A20CF76" w14:textId="77777777" w:rsidTr="00832095">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4134DC10" w14:textId="77777777" w:rsidR="003D7F65" w:rsidRDefault="0082041E">
            <w:pPr>
              <w:pStyle w:val="P68B1DB1-Normal8"/>
              <w:spacing w:after="0" w:line="240" w:lineRule="auto"/>
              <w:jc w:val="center"/>
              <w:rPr>
                <w:rFonts w:eastAsia="Times New Roman"/>
                <w:noProof/>
              </w:rPr>
            </w:pPr>
            <w:r>
              <w:rPr>
                <w:noProof/>
              </w:rPr>
              <w:t>47</w:t>
            </w:r>
          </w:p>
        </w:tc>
        <w:tc>
          <w:tcPr>
            <w:tcW w:w="1867" w:type="dxa"/>
            <w:tcBorders>
              <w:top w:val="single" w:sz="4" w:space="0" w:color="auto"/>
              <w:left w:val="nil"/>
              <w:bottom w:val="single" w:sz="4" w:space="0" w:color="auto"/>
              <w:right w:val="single" w:sz="4" w:space="0" w:color="auto"/>
            </w:tcBorders>
            <w:shd w:val="clear" w:color="auto" w:fill="C6EFCE"/>
            <w:noWrap/>
            <w:hideMark/>
          </w:tcPr>
          <w:p w14:paraId="11EAA0D7" w14:textId="06D5EDD3" w:rsidR="003D7F65" w:rsidRDefault="0082041E">
            <w:pPr>
              <w:pStyle w:val="P68B1DB1-Normal8"/>
              <w:spacing w:after="0" w:line="240" w:lineRule="auto"/>
              <w:rPr>
                <w:rFonts w:eastAsia="Times New Roman"/>
                <w:noProof/>
              </w:rPr>
            </w:pPr>
            <w:r>
              <w:rPr>
                <w:noProof/>
              </w:rPr>
              <w:t>P1C5R1 – Durabilité environnementale et solutions fondées sur la nature – Modernisation de la législation sur la nature</w:t>
            </w:r>
          </w:p>
        </w:tc>
        <w:tc>
          <w:tcPr>
            <w:tcW w:w="1329" w:type="dxa"/>
            <w:tcBorders>
              <w:top w:val="single" w:sz="4" w:space="0" w:color="auto"/>
              <w:left w:val="nil"/>
              <w:bottom w:val="single" w:sz="4" w:space="0" w:color="auto"/>
              <w:right w:val="single" w:sz="4" w:space="0" w:color="auto"/>
            </w:tcBorders>
            <w:shd w:val="clear" w:color="auto" w:fill="C6EFCE"/>
            <w:noWrap/>
            <w:hideMark/>
          </w:tcPr>
          <w:p w14:paraId="712916F8" w14:textId="77777777" w:rsidR="003D7F65" w:rsidRDefault="0082041E">
            <w:pPr>
              <w:pStyle w:val="P68B1DB1-Normal8"/>
              <w:spacing w:after="0" w:line="240" w:lineRule="auto"/>
              <w:rPr>
                <w:rFonts w:eastAsia="Times New Roman"/>
                <w:noProof/>
              </w:rPr>
            </w:pPr>
            <w:r>
              <w:rPr>
                <w:noProof/>
              </w:rPr>
              <w:t>Étape</w:t>
            </w:r>
          </w:p>
        </w:tc>
        <w:tc>
          <w:tcPr>
            <w:tcW w:w="1116" w:type="dxa"/>
            <w:tcBorders>
              <w:top w:val="single" w:sz="4" w:space="0" w:color="auto"/>
              <w:left w:val="nil"/>
              <w:bottom w:val="single" w:sz="4" w:space="0" w:color="auto"/>
              <w:right w:val="single" w:sz="4" w:space="0" w:color="auto"/>
            </w:tcBorders>
            <w:shd w:val="clear" w:color="auto" w:fill="C6EFCE"/>
            <w:noWrap/>
            <w:hideMark/>
          </w:tcPr>
          <w:p w14:paraId="50631124" w14:textId="77777777" w:rsidR="003D7F65" w:rsidRDefault="0082041E">
            <w:pPr>
              <w:pStyle w:val="P68B1DB1-Normal8"/>
              <w:spacing w:after="0" w:line="240" w:lineRule="auto"/>
              <w:rPr>
                <w:rFonts w:eastAsia="Times New Roman"/>
                <w:noProof/>
              </w:rPr>
            </w:pPr>
            <w:r>
              <w:rPr>
                <w:noProof/>
              </w:rPr>
              <w:t xml:space="preserve">Entrée en vigueur de la loi modifiée sur la conservation de la nature </w:t>
            </w:r>
          </w:p>
        </w:tc>
        <w:tc>
          <w:tcPr>
            <w:tcW w:w="1359" w:type="dxa"/>
            <w:tcBorders>
              <w:top w:val="single" w:sz="4" w:space="0" w:color="auto"/>
              <w:left w:val="nil"/>
              <w:bottom w:val="single" w:sz="4" w:space="0" w:color="auto"/>
              <w:right w:val="single" w:sz="4" w:space="0" w:color="auto"/>
            </w:tcBorders>
            <w:shd w:val="clear" w:color="auto" w:fill="C6EFCE"/>
            <w:noWrap/>
            <w:hideMark/>
          </w:tcPr>
          <w:p w14:paraId="03958566" w14:textId="77777777" w:rsidR="003D7F65" w:rsidRDefault="0082041E">
            <w:pPr>
              <w:pStyle w:val="P68B1DB1-Normal8"/>
              <w:spacing w:after="0" w:line="240" w:lineRule="auto"/>
              <w:rPr>
                <w:rFonts w:eastAsia="Times New Roman"/>
                <w:noProof/>
              </w:rPr>
            </w:pPr>
            <w:r>
              <w:rPr>
                <w:noProof/>
              </w:rPr>
              <w:t>Disposition de la loi indiquant l'entrée en vigueur des modifications apportées à la loi sur la conservation de la nature</w:t>
            </w:r>
          </w:p>
        </w:tc>
        <w:tc>
          <w:tcPr>
            <w:tcW w:w="756" w:type="dxa"/>
            <w:tcBorders>
              <w:top w:val="single" w:sz="4" w:space="0" w:color="auto"/>
              <w:left w:val="nil"/>
              <w:bottom w:val="single" w:sz="4" w:space="0" w:color="auto"/>
              <w:right w:val="single" w:sz="4" w:space="0" w:color="auto"/>
            </w:tcBorders>
            <w:shd w:val="clear" w:color="auto" w:fill="C6EFCE"/>
            <w:noWrap/>
            <w:hideMark/>
          </w:tcPr>
          <w:p w14:paraId="1A2B3C13" w14:textId="4561EA1B" w:rsidR="003D7F65" w:rsidRDefault="003D7F65">
            <w:pPr>
              <w:spacing w:after="0" w:line="240" w:lineRule="auto"/>
              <w:jc w:val="center"/>
              <w:rPr>
                <w:rFonts w:ascii="Times New Roman" w:eastAsia="Times New Roman" w:hAnsi="Times New Roman"/>
                <w:noProof/>
                <w:sz w:val="20"/>
                <w:szCs w:val="20"/>
              </w:rPr>
            </w:pPr>
          </w:p>
        </w:tc>
        <w:tc>
          <w:tcPr>
            <w:tcW w:w="1022" w:type="dxa"/>
            <w:tcBorders>
              <w:top w:val="single" w:sz="4" w:space="0" w:color="auto"/>
              <w:left w:val="nil"/>
              <w:bottom w:val="single" w:sz="4" w:space="0" w:color="auto"/>
              <w:right w:val="single" w:sz="4" w:space="0" w:color="auto"/>
            </w:tcBorders>
            <w:shd w:val="clear" w:color="auto" w:fill="C6EFCE"/>
            <w:noWrap/>
            <w:hideMark/>
          </w:tcPr>
          <w:p w14:paraId="07AC6A37" w14:textId="77777777" w:rsidR="003D7F65" w:rsidRDefault="003D7F65">
            <w:pPr>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7C737421" w14:textId="585EF416"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743B0002" w14:textId="77777777" w:rsidR="003D7F65" w:rsidRDefault="0082041E">
            <w:pPr>
              <w:pStyle w:val="P68B1DB1-Normal8"/>
              <w:spacing w:after="0" w:line="240" w:lineRule="auto"/>
              <w:jc w:val="center"/>
              <w:rPr>
                <w:rFonts w:eastAsia="Times New Roman"/>
                <w:noProof/>
              </w:rPr>
            </w:pPr>
            <w:r>
              <w:rPr>
                <w:noProof/>
              </w:rPr>
              <w:t>T1</w:t>
            </w:r>
          </w:p>
        </w:tc>
        <w:tc>
          <w:tcPr>
            <w:tcW w:w="1111" w:type="dxa"/>
            <w:tcBorders>
              <w:top w:val="single" w:sz="4" w:space="0" w:color="auto"/>
              <w:left w:val="nil"/>
              <w:bottom w:val="single" w:sz="4" w:space="0" w:color="auto"/>
              <w:right w:val="single" w:sz="4" w:space="0" w:color="auto"/>
            </w:tcBorders>
            <w:shd w:val="clear" w:color="auto" w:fill="C6EFCE"/>
            <w:noWrap/>
            <w:hideMark/>
          </w:tcPr>
          <w:p w14:paraId="167C4DD5" w14:textId="77777777" w:rsidR="003D7F65" w:rsidRDefault="0082041E">
            <w:pPr>
              <w:pStyle w:val="P68B1DB1-Normal8"/>
              <w:spacing w:after="0" w:line="240" w:lineRule="auto"/>
              <w:jc w:val="center"/>
              <w:rPr>
                <w:rFonts w:eastAsia="Times New Roman"/>
                <w:noProof/>
              </w:rPr>
            </w:pPr>
            <w:r>
              <w:rPr>
                <w:noProof/>
              </w:rPr>
              <w:t>2023</w:t>
            </w:r>
          </w:p>
        </w:tc>
        <w:tc>
          <w:tcPr>
            <w:tcW w:w="5228" w:type="dxa"/>
            <w:tcBorders>
              <w:top w:val="single" w:sz="4" w:space="0" w:color="auto"/>
              <w:left w:val="nil"/>
              <w:bottom w:val="single" w:sz="4" w:space="0" w:color="auto"/>
              <w:right w:val="single" w:sz="4" w:space="0" w:color="auto"/>
            </w:tcBorders>
            <w:shd w:val="clear" w:color="auto" w:fill="C6EFCE"/>
            <w:noWrap/>
          </w:tcPr>
          <w:p w14:paraId="39C296A8" w14:textId="77777777" w:rsidR="003D7F65" w:rsidRDefault="0082041E">
            <w:pPr>
              <w:pStyle w:val="P68B1DB1-Normal9"/>
              <w:spacing w:after="0" w:line="240" w:lineRule="auto"/>
              <w:rPr>
                <w:noProof/>
              </w:rPr>
            </w:pPr>
            <w:r>
              <w:rPr>
                <w:noProof/>
              </w:rPr>
              <w:t>La modification législative apportée à la loi sur la conservation de la nature (1096/1996) comprend:</w:t>
            </w:r>
          </w:p>
          <w:p w14:paraId="791A804C" w14:textId="77777777" w:rsidR="003D7F65" w:rsidRDefault="0082041E">
            <w:pPr>
              <w:pStyle w:val="P68B1DB1-Normal9"/>
              <w:spacing w:after="0" w:line="240" w:lineRule="auto"/>
              <w:rPr>
                <w:noProof/>
              </w:rPr>
            </w:pPr>
            <w:r>
              <w:rPr>
                <w:noProof/>
              </w:rPr>
              <w:t xml:space="preserve">- la préservation de la biodiversité en dehors des zones de conservation de la nature </w:t>
            </w:r>
          </w:p>
          <w:p w14:paraId="08B8D893" w14:textId="77777777" w:rsidR="003D7F65" w:rsidRDefault="0082041E">
            <w:pPr>
              <w:pStyle w:val="P68B1DB1-Normal9"/>
              <w:spacing w:after="0" w:line="240" w:lineRule="auto"/>
              <w:rPr>
                <w:noProof/>
              </w:rPr>
            </w:pPr>
            <w:r>
              <w:rPr>
                <w:noProof/>
              </w:rPr>
              <w:t>- le maintien des services écosystémiques</w:t>
            </w:r>
          </w:p>
          <w:p w14:paraId="365947B6" w14:textId="77777777" w:rsidR="003D7F65" w:rsidRDefault="0082041E">
            <w:pPr>
              <w:pStyle w:val="P68B1DB1-Normal9"/>
              <w:spacing w:after="0" w:line="240" w:lineRule="auto"/>
              <w:rPr>
                <w:noProof/>
              </w:rPr>
            </w:pPr>
            <w:r>
              <w:rPr>
                <w:noProof/>
              </w:rPr>
              <w:t>- mesures visant à assurer l'efficacité de la conservation des habitats et des espèces</w:t>
            </w:r>
          </w:p>
        </w:tc>
      </w:tr>
      <w:tr w:rsidR="003D7F65" w14:paraId="4537FB14" w14:textId="77777777" w:rsidTr="00832095">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77C39A23" w14:textId="77777777" w:rsidR="003D7F65" w:rsidRDefault="0082041E">
            <w:pPr>
              <w:pStyle w:val="P68B1DB1-Normal8"/>
              <w:spacing w:after="0" w:line="240" w:lineRule="auto"/>
              <w:jc w:val="center"/>
              <w:rPr>
                <w:rFonts w:eastAsia="Times New Roman"/>
                <w:noProof/>
              </w:rPr>
            </w:pPr>
            <w:r>
              <w:rPr>
                <w:noProof/>
              </w:rPr>
              <w:t>48</w:t>
            </w:r>
          </w:p>
        </w:tc>
        <w:tc>
          <w:tcPr>
            <w:tcW w:w="1867" w:type="dxa"/>
            <w:tcBorders>
              <w:top w:val="nil"/>
              <w:left w:val="nil"/>
              <w:bottom w:val="single" w:sz="4" w:space="0" w:color="auto"/>
              <w:right w:val="single" w:sz="4" w:space="0" w:color="auto"/>
            </w:tcBorders>
            <w:shd w:val="clear" w:color="auto" w:fill="C6EFCE"/>
            <w:noWrap/>
            <w:hideMark/>
          </w:tcPr>
          <w:p w14:paraId="79E9401E" w14:textId="5811782A" w:rsidR="003D7F65" w:rsidRDefault="0082041E">
            <w:pPr>
              <w:pStyle w:val="P68B1DB1-Normal8"/>
              <w:spacing w:after="0" w:line="240" w:lineRule="auto"/>
              <w:rPr>
                <w:rFonts w:eastAsia="Times New Roman"/>
                <w:noProof/>
              </w:rPr>
            </w:pPr>
            <w:r>
              <w:rPr>
                <w:noProof/>
              </w:rPr>
              <w:t>P1C5I1 – Durabilité environnementale et solutions fondées sur la nature – Traitement du plâtre et recyclage des nutriments</w:t>
            </w:r>
          </w:p>
        </w:tc>
        <w:tc>
          <w:tcPr>
            <w:tcW w:w="1329" w:type="dxa"/>
            <w:tcBorders>
              <w:top w:val="nil"/>
              <w:left w:val="nil"/>
              <w:bottom w:val="single" w:sz="4" w:space="0" w:color="auto"/>
              <w:right w:val="single" w:sz="4" w:space="0" w:color="auto"/>
            </w:tcBorders>
            <w:shd w:val="clear" w:color="auto" w:fill="C6EFCE"/>
            <w:noWrap/>
            <w:hideMark/>
          </w:tcPr>
          <w:p w14:paraId="044DB30B" w14:textId="77777777" w:rsidR="003D7F65" w:rsidRDefault="0082041E">
            <w:pPr>
              <w:pStyle w:val="P68B1DB1-Normal8"/>
              <w:spacing w:after="0" w:line="240" w:lineRule="auto"/>
              <w:rPr>
                <w:rFonts w:eastAsia="Times New Roman"/>
                <w:noProof/>
              </w:rPr>
            </w:pPr>
            <w:r>
              <w:rPr>
                <w:noProof/>
              </w:rPr>
              <w:t>Étape</w:t>
            </w:r>
          </w:p>
        </w:tc>
        <w:tc>
          <w:tcPr>
            <w:tcW w:w="1116" w:type="dxa"/>
            <w:tcBorders>
              <w:top w:val="nil"/>
              <w:left w:val="nil"/>
              <w:bottom w:val="single" w:sz="4" w:space="0" w:color="auto"/>
              <w:right w:val="single" w:sz="4" w:space="0" w:color="auto"/>
            </w:tcBorders>
            <w:shd w:val="clear" w:color="auto" w:fill="C6EFCE"/>
            <w:noWrap/>
            <w:hideMark/>
          </w:tcPr>
          <w:p w14:paraId="33DA4F17" w14:textId="77777777" w:rsidR="003D7F65" w:rsidRDefault="0082041E">
            <w:pPr>
              <w:pStyle w:val="P68B1DB1-Normal9"/>
              <w:spacing w:after="0" w:line="240" w:lineRule="auto"/>
              <w:rPr>
                <w:noProof/>
              </w:rPr>
            </w:pPr>
            <w:r>
              <w:rPr>
                <w:noProof/>
              </w:rPr>
              <w:t>Attribution de projets pour la fourniture, le transport et la distribution de gypse</w:t>
            </w:r>
          </w:p>
        </w:tc>
        <w:tc>
          <w:tcPr>
            <w:tcW w:w="1359" w:type="dxa"/>
            <w:tcBorders>
              <w:top w:val="nil"/>
              <w:left w:val="nil"/>
              <w:bottom w:val="single" w:sz="4" w:space="0" w:color="auto"/>
              <w:right w:val="single" w:sz="4" w:space="0" w:color="auto"/>
            </w:tcBorders>
            <w:shd w:val="clear" w:color="auto" w:fill="C6EFCE"/>
            <w:noWrap/>
            <w:hideMark/>
          </w:tcPr>
          <w:p w14:paraId="5918F1A2" w14:textId="77777777" w:rsidR="003D7F65" w:rsidRDefault="0082041E">
            <w:pPr>
              <w:pStyle w:val="P68B1DB1-Normal8"/>
              <w:spacing w:after="0" w:line="240" w:lineRule="auto"/>
              <w:rPr>
                <w:rFonts w:eastAsia="Times New Roman"/>
                <w:noProof/>
              </w:rPr>
            </w:pPr>
            <w:r>
              <w:rPr>
                <w:noProof/>
              </w:rPr>
              <w:t>Attribution de projets conformément à l’appel d’offres pour la fourniture, le transport et la distribution de gypse</w:t>
            </w:r>
          </w:p>
        </w:tc>
        <w:tc>
          <w:tcPr>
            <w:tcW w:w="756" w:type="dxa"/>
            <w:tcBorders>
              <w:top w:val="nil"/>
              <w:left w:val="nil"/>
              <w:bottom w:val="single" w:sz="4" w:space="0" w:color="auto"/>
              <w:right w:val="single" w:sz="4" w:space="0" w:color="auto"/>
            </w:tcBorders>
            <w:shd w:val="clear" w:color="auto" w:fill="C6EFCE"/>
            <w:noWrap/>
            <w:hideMark/>
          </w:tcPr>
          <w:p w14:paraId="2CFAAA3F" w14:textId="4DC6C782" w:rsidR="003D7F65" w:rsidRDefault="003D7F65">
            <w:pPr>
              <w:spacing w:after="0" w:line="240" w:lineRule="auto"/>
              <w:jc w:val="center"/>
              <w:rPr>
                <w:rFonts w:ascii="Times New Roman" w:eastAsia="Times New Roman" w:hAnsi="Times New Roman"/>
                <w:noProof/>
                <w:sz w:val="20"/>
                <w:szCs w:val="20"/>
              </w:rPr>
            </w:pPr>
          </w:p>
        </w:tc>
        <w:tc>
          <w:tcPr>
            <w:tcW w:w="1022" w:type="dxa"/>
            <w:tcBorders>
              <w:top w:val="nil"/>
              <w:left w:val="nil"/>
              <w:bottom w:val="single" w:sz="4" w:space="0" w:color="auto"/>
              <w:right w:val="single" w:sz="4" w:space="0" w:color="auto"/>
            </w:tcBorders>
            <w:shd w:val="clear" w:color="auto" w:fill="C6EFCE"/>
            <w:noWrap/>
            <w:hideMark/>
          </w:tcPr>
          <w:p w14:paraId="2761F6EC" w14:textId="5DE0A60F"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744A92E0" w14:textId="0E4F7381"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6BF17EBA" w14:textId="77777777" w:rsidR="003D7F65" w:rsidRDefault="0082041E">
            <w:pPr>
              <w:pStyle w:val="P68B1DB1-Normal8"/>
              <w:spacing w:after="0" w:line="240" w:lineRule="auto"/>
              <w:jc w:val="center"/>
              <w:rPr>
                <w:rFonts w:eastAsia="Times New Roman"/>
                <w:noProof/>
              </w:rPr>
            </w:pPr>
            <w:r>
              <w:rPr>
                <w:noProof/>
              </w:rPr>
              <w:t>T4</w:t>
            </w:r>
          </w:p>
        </w:tc>
        <w:tc>
          <w:tcPr>
            <w:tcW w:w="1111" w:type="dxa"/>
            <w:tcBorders>
              <w:top w:val="nil"/>
              <w:left w:val="nil"/>
              <w:bottom w:val="single" w:sz="4" w:space="0" w:color="auto"/>
              <w:right w:val="single" w:sz="4" w:space="0" w:color="auto"/>
            </w:tcBorders>
            <w:shd w:val="clear" w:color="auto" w:fill="C6EFCE"/>
            <w:noWrap/>
            <w:hideMark/>
          </w:tcPr>
          <w:p w14:paraId="2A97A061" w14:textId="77777777" w:rsidR="003D7F65" w:rsidRDefault="0082041E">
            <w:pPr>
              <w:pStyle w:val="P68B1DB1-Normal8"/>
              <w:spacing w:after="0" w:line="240" w:lineRule="auto"/>
              <w:jc w:val="center"/>
              <w:rPr>
                <w:rFonts w:eastAsia="Times New Roman"/>
                <w:noProof/>
              </w:rPr>
            </w:pPr>
            <w:r>
              <w:rPr>
                <w:noProof/>
              </w:rPr>
              <w:t>2022</w:t>
            </w:r>
          </w:p>
        </w:tc>
        <w:tc>
          <w:tcPr>
            <w:tcW w:w="5228" w:type="dxa"/>
            <w:tcBorders>
              <w:top w:val="nil"/>
              <w:left w:val="nil"/>
              <w:bottom w:val="single" w:sz="4" w:space="0" w:color="auto"/>
              <w:right w:val="single" w:sz="4" w:space="0" w:color="auto"/>
            </w:tcBorders>
            <w:shd w:val="clear" w:color="auto" w:fill="C6EFCE"/>
            <w:noWrap/>
          </w:tcPr>
          <w:p w14:paraId="15F077FE" w14:textId="77777777" w:rsidR="003D7F65" w:rsidRDefault="0082041E">
            <w:pPr>
              <w:pStyle w:val="P68B1DB1-Normal9"/>
              <w:spacing w:after="0" w:line="240" w:lineRule="auto"/>
              <w:rPr>
                <w:noProof/>
              </w:rPr>
            </w:pPr>
            <w:r>
              <w:rPr>
                <w:noProof/>
              </w:rPr>
              <w:t>Lancement de l’appel à propositions concurrentiel pour la fourniture, le transport et la distribution de gypse, avec des termes de référence comprenant des critères d’éligibilité qui garantissent que les contractants sélectionnés respectent l’exigence selon laquelle au moins 50 %, en poids, des déchets non dangereux collectés séparément transformés en matières premières secondaires et conformément aux orientations techniques «Ne pas causer de préjudice important» (2021/C58/01) en utilisant une liste d’exclusion et l’exigence de conformité avec la législation environnementale pertinente de l’UE et nationale. Le financement au titre de cet investissement n’est pas utilisé pour appliquer du gypse à la culture de biocarburants/bioénergies d’origine alimentaire.</w:t>
            </w:r>
          </w:p>
        </w:tc>
      </w:tr>
      <w:tr w:rsidR="003D7F65" w14:paraId="6D567AFC" w14:textId="77777777" w:rsidTr="00832095">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0FA803C3" w14:textId="77777777" w:rsidR="003D7F65" w:rsidRDefault="0082041E">
            <w:pPr>
              <w:pStyle w:val="P68B1DB1-Normal8"/>
              <w:spacing w:after="0" w:line="240" w:lineRule="auto"/>
              <w:jc w:val="center"/>
              <w:rPr>
                <w:rFonts w:eastAsia="Times New Roman"/>
                <w:noProof/>
              </w:rPr>
            </w:pPr>
            <w:r>
              <w:rPr>
                <w:noProof/>
              </w:rPr>
              <w:t>49</w:t>
            </w:r>
          </w:p>
        </w:tc>
        <w:tc>
          <w:tcPr>
            <w:tcW w:w="1867" w:type="dxa"/>
            <w:tcBorders>
              <w:top w:val="nil"/>
              <w:left w:val="nil"/>
              <w:bottom w:val="single" w:sz="4" w:space="0" w:color="auto"/>
              <w:right w:val="single" w:sz="4" w:space="0" w:color="auto"/>
            </w:tcBorders>
            <w:shd w:val="clear" w:color="auto" w:fill="C6EFCE"/>
            <w:noWrap/>
            <w:hideMark/>
          </w:tcPr>
          <w:p w14:paraId="45EFDB6A" w14:textId="313BCC29" w:rsidR="003D7F65" w:rsidRDefault="0082041E">
            <w:pPr>
              <w:pStyle w:val="P68B1DB1-Normal8"/>
              <w:spacing w:after="0" w:line="240" w:lineRule="auto"/>
              <w:rPr>
                <w:rFonts w:eastAsia="Times New Roman"/>
                <w:noProof/>
              </w:rPr>
            </w:pPr>
            <w:r>
              <w:rPr>
                <w:noProof/>
              </w:rPr>
              <w:t>P1C5I1 – Durabilité environnementale et solutions fondées sur la nature – Traitement du gypse et recyclage des nutriments</w:t>
            </w:r>
          </w:p>
        </w:tc>
        <w:tc>
          <w:tcPr>
            <w:tcW w:w="1329" w:type="dxa"/>
            <w:tcBorders>
              <w:top w:val="nil"/>
              <w:left w:val="nil"/>
              <w:bottom w:val="single" w:sz="4" w:space="0" w:color="auto"/>
              <w:right w:val="single" w:sz="4" w:space="0" w:color="auto"/>
            </w:tcBorders>
            <w:shd w:val="clear" w:color="auto" w:fill="C6EFCE"/>
            <w:noWrap/>
            <w:hideMark/>
          </w:tcPr>
          <w:p w14:paraId="1DC1505F" w14:textId="77777777" w:rsidR="003D7F65" w:rsidRDefault="0082041E">
            <w:pPr>
              <w:pStyle w:val="P68B1DB1-Normal8"/>
              <w:spacing w:after="0" w:line="240" w:lineRule="auto"/>
              <w:rPr>
                <w:rFonts w:eastAsia="Times New Roman"/>
                <w:noProof/>
              </w:rPr>
            </w:pPr>
            <w:r>
              <w:rPr>
                <w:noProof/>
              </w:rPr>
              <w:t>Objectif</w:t>
            </w:r>
          </w:p>
        </w:tc>
        <w:tc>
          <w:tcPr>
            <w:tcW w:w="1116" w:type="dxa"/>
            <w:tcBorders>
              <w:top w:val="single" w:sz="4" w:space="0" w:color="auto"/>
              <w:left w:val="nil"/>
              <w:bottom w:val="single" w:sz="4" w:space="0" w:color="auto"/>
              <w:right w:val="single" w:sz="4" w:space="0" w:color="auto"/>
            </w:tcBorders>
            <w:shd w:val="clear" w:color="auto" w:fill="C6EFCE"/>
            <w:noWrap/>
            <w:hideMark/>
          </w:tcPr>
          <w:p w14:paraId="1C34FE57" w14:textId="785F8941" w:rsidR="003D7F65" w:rsidRDefault="0082041E">
            <w:pPr>
              <w:pStyle w:val="P68B1DB1-Normal9"/>
              <w:spacing w:after="0" w:line="240" w:lineRule="auto"/>
              <w:rPr>
                <w:noProof/>
              </w:rPr>
            </w:pPr>
            <w:r>
              <w:rPr>
                <w:noProof/>
              </w:rPr>
              <w:t>Champs traités au gypse</w:t>
            </w:r>
          </w:p>
        </w:tc>
        <w:tc>
          <w:tcPr>
            <w:tcW w:w="1359" w:type="dxa"/>
            <w:tcBorders>
              <w:top w:val="nil"/>
              <w:left w:val="nil"/>
              <w:bottom w:val="single" w:sz="4" w:space="0" w:color="auto"/>
              <w:right w:val="single" w:sz="4" w:space="0" w:color="auto"/>
            </w:tcBorders>
            <w:shd w:val="clear" w:color="auto" w:fill="C6EFCE"/>
            <w:noWrap/>
            <w:hideMark/>
          </w:tcPr>
          <w:p w14:paraId="380E216E" w14:textId="77777777" w:rsidR="003D7F65" w:rsidRDefault="003D7F65">
            <w:pPr>
              <w:spacing w:after="0" w:line="240" w:lineRule="auto"/>
              <w:rPr>
                <w:rFonts w:ascii="Times New Roman" w:eastAsia="Times New Roman" w:hAnsi="Times New Roman"/>
                <w:noProof/>
                <w:sz w:val="20"/>
                <w:szCs w:val="20"/>
              </w:rPr>
            </w:pPr>
          </w:p>
        </w:tc>
        <w:tc>
          <w:tcPr>
            <w:tcW w:w="756" w:type="dxa"/>
            <w:tcBorders>
              <w:top w:val="nil"/>
              <w:left w:val="nil"/>
              <w:bottom w:val="single" w:sz="4" w:space="0" w:color="auto"/>
              <w:right w:val="single" w:sz="4" w:space="0" w:color="auto"/>
            </w:tcBorders>
            <w:shd w:val="clear" w:color="auto" w:fill="C6EFCE"/>
            <w:noWrap/>
            <w:hideMark/>
          </w:tcPr>
          <w:p w14:paraId="112539ED" w14:textId="77777777" w:rsidR="003D7F65" w:rsidRDefault="0082041E">
            <w:pPr>
              <w:pStyle w:val="P68B1DB1-Normal8"/>
              <w:spacing w:after="0" w:line="240" w:lineRule="auto"/>
              <w:jc w:val="center"/>
              <w:rPr>
                <w:rFonts w:eastAsia="Times New Roman"/>
                <w:noProof/>
              </w:rPr>
            </w:pPr>
            <w:r>
              <w:rPr>
                <w:noProof/>
              </w:rPr>
              <w:t>Hectares</w:t>
            </w:r>
          </w:p>
        </w:tc>
        <w:tc>
          <w:tcPr>
            <w:tcW w:w="1022" w:type="dxa"/>
            <w:tcBorders>
              <w:top w:val="nil"/>
              <w:left w:val="nil"/>
              <w:bottom w:val="single" w:sz="4" w:space="0" w:color="auto"/>
              <w:right w:val="single" w:sz="4" w:space="0" w:color="auto"/>
            </w:tcBorders>
            <w:shd w:val="clear" w:color="auto" w:fill="C6EFCE"/>
            <w:noWrap/>
            <w:hideMark/>
          </w:tcPr>
          <w:p w14:paraId="5C2BFF14" w14:textId="77777777" w:rsidR="003D7F65" w:rsidRDefault="0082041E">
            <w:pPr>
              <w:pStyle w:val="P68B1DB1-Normal8"/>
              <w:spacing w:after="0" w:line="240" w:lineRule="auto"/>
              <w:jc w:val="center"/>
              <w:rPr>
                <w:rFonts w:eastAsia="Times New Roman"/>
                <w:noProof/>
              </w:rPr>
            </w:pPr>
            <w:r>
              <w:rPr>
                <w:noProof/>
              </w:rPr>
              <w:t>0</w:t>
            </w:r>
          </w:p>
        </w:tc>
        <w:tc>
          <w:tcPr>
            <w:tcW w:w="992" w:type="dxa"/>
            <w:tcBorders>
              <w:top w:val="nil"/>
              <w:left w:val="nil"/>
              <w:bottom w:val="single" w:sz="4" w:space="0" w:color="auto"/>
              <w:right w:val="single" w:sz="4" w:space="0" w:color="auto"/>
            </w:tcBorders>
            <w:shd w:val="clear" w:color="auto" w:fill="C6EFCE"/>
            <w:noWrap/>
            <w:hideMark/>
          </w:tcPr>
          <w:p w14:paraId="1EE59522" w14:textId="77777777" w:rsidR="003D7F65" w:rsidRDefault="0082041E">
            <w:pPr>
              <w:pStyle w:val="P68B1DB1-Normal8"/>
              <w:spacing w:after="0" w:line="240" w:lineRule="auto"/>
              <w:jc w:val="center"/>
              <w:rPr>
                <w:rFonts w:eastAsia="Times New Roman"/>
                <w:noProof/>
              </w:rPr>
            </w:pPr>
            <w:r>
              <w:rPr>
                <w:noProof/>
              </w:rPr>
              <w:t>50 000</w:t>
            </w:r>
          </w:p>
        </w:tc>
        <w:tc>
          <w:tcPr>
            <w:tcW w:w="1134" w:type="dxa"/>
            <w:tcBorders>
              <w:top w:val="nil"/>
              <w:left w:val="nil"/>
              <w:bottom w:val="single" w:sz="4" w:space="0" w:color="auto"/>
              <w:right w:val="single" w:sz="4" w:space="0" w:color="auto"/>
            </w:tcBorders>
            <w:shd w:val="clear" w:color="auto" w:fill="C6EFCE"/>
            <w:noWrap/>
            <w:hideMark/>
          </w:tcPr>
          <w:p w14:paraId="6896FE49" w14:textId="77777777" w:rsidR="003D7F65" w:rsidRDefault="0082041E">
            <w:pPr>
              <w:pStyle w:val="P68B1DB1-Normal8"/>
              <w:spacing w:after="0" w:line="240" w:lineRule="auto"/>
              <w:jc w:val="center"/>
              <w:rPr>
                <w:rFonts w:eastAsia="Times New Roman"/>
                <w:noProof/>
              </w:rPr>
            </w:pPr>
            <w:r>
              <w:rPr>
                <w:noProof/>
              </w:rPr>
              <w:t>T4</w:t>
            </w:r>
          </w:p>
        </w:tc>
        <w:tc>
          <w:tcPr>
            <w:tcW w:w="1111" w:type="dxa"/>
            <w:tcBorders>
              <w:top w:val="nil"/>
              <w:left w:val="nil"/>
              <w:bottom w:val="single" w:sz="4" w:space="0" w:color="auto"/>
              <w:right w:val="single" w:sz="4" w:space="0" w:color="auto"/>
            </w:tcBorders>
            <w:shd w:val="clear" w:color="auto" w:fill="C6EFCE"/>
            <w:noWrap/>
            <w:hideMark/>
          </w:tcPr>
          <w:p w14:paraId="03A6148F" w14:textId="77777777" w:rsidR="003D7F65" w:rsidRDefault="0082041E">
            <w:pPr>
              <w:pStyle w:val="P68B1DB1-Normal8"/>
              <w:spacing w:after="0" w:line="240" w:lineRule="auto"/>
              <w:jc w:val="center"/>
              <w:rPr>
                <w:rFonts w:eastAsia="Times New Roman"/>
                <w:noProof/>
              </w:rPr>
            </w:pPr>
            <w:r>
              <w:rPr>
                <w:noProof/>
              </w:rPr>
              <w:t>2025</w:t>
            </w:r>
          </w:p>
        </w:tc>
        <w:tc>
          <w:tcPr>
            <w:tcW w:w="5228" w:type="dxa"/>
            <w:tcBorders>
              <w:top w:val="nil"/>
              <w:left w:val="nil"/>
              <w:bottom w:val="single" w:sz="4" w:space="0" w:color="auto"/>
              <w:right w:val="single" w:sz="4" w:space="0" w:color="auto"/>
            </w:tcBorders>
            <w:shd w:val="clear" w:color="auto" w:fill="C6EFCE"/>
            <w:noWrap/>
            <w:hideMark/>
          </w:tcPr>
          <w:p w14:paraId="156F63DB" w14:textId="08013FD2" w:rsidR="003D7F65" w:rsidRDefault="0082041E">
            <w:pPr>
              <w:pStyle w:val="P68B1DB1-Normal9"/>
              <w:spacing w:after="0" w:line="240" w:lineRule="auto"/>
              <w:rPr>
                <w:noProof/>
              </w:rPr>
            </w:pPr>
            <w:r>
              <w:rPr>
                <w:noProof/>
              </w:rPr>
              <w:t>Au moins 50 000 hectares de champs sont traités au gypse.</w:t>
            </w:r>
          </w:p>
        </w:tc>
      </w:tr>
      <w:tr w:rsidR="003D7F65" w14:paraId="283ECF6D" w14:textId="77777777" w:rsidTr="00832095">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29B8F8C1" w14:textId="77777777" w:rsidR="003D7F65" w:rsidRDefault="0082041E">
            <w:pPr>
              <w:pStyle w:val="P68B1DB1-Normal8"/>
              <w:spacing w:after="0" w:line="240" w:lineRule="auto"/>
              <w:jc w:val="center"/>
              <w:rPr>
                <w:rFonts w:eastAsia="Times New Roman"/>
                <w:noProof/>
              </w:rPr>
            </w:pPr>
            <w:r>
              <w:rPr>
                <w:noProof/>
              </w:rPr>
              <w:t>50</w:t>
            </w:r>
          </w:p>
        </w:tc>
        <w:tc>
          <w:tcPr>
            <w:tcW w:w="1867" w:type="dxa"/>
            <w:tcBorders>
              <w:top w:val="nil"/>
              <w:left w:val="nil"/>
              <w:bottom w:val="single" w:sz="4" w:space="0" w:color="auto"/>
              <w:right w:val="single" w:sz="4" w:space="0" w:color="auto"/>
            </w:tcBorders>
            <w:shd w:val="clear" w:color="auto" w:fill="C6EFCE"/>
            <w:noWrap/>
            <w:hideMark/>
          </w:tcPr>
          <w:p w14:paraId="03034CF1" w14:textId="50002D00" w:rsidR="003D7F65" w:rsidRDefault="0082041E">
            <w:pPr>
              <w:pStyle w:val="P68B1DB1-Normal8"/>
              <w:spacing w:after="0" w:line="240" w:lineRule="auto"/>
              <w:rPr>
                <w:rFonts w:eastAsia="Times New Roman"/>
                <w:noProof/>
              </w:rPr>
            </w:pPr>
            <w:r>
              <w:rPr>
                <w:noProof/>
              </w:rPr>
              <w:t>P1C5I1 – Durabilité environnementale et solutions fondées sur la nature – Traitement du gypse et recyclage des nutriments</w:t>
            </w:r>
          </w:p>
        </w:tc>
        <w:tc>
          <w:tcPr>
            <w:tcW w:w="1329" w:type="dxa"/>
            <w:tcBorders>
              <w:top w:val="nil"/>
              <w:left w:val="nil"/>
              <w:bottom w:val="single" w:sz="4" w:space="0" w:color="auto"/>
              <w:right w:val="single" w:sz="4" w:space="0" w:color="auto"/>
            </w:tcBorders>
            <w:shd w:val="clear" w:color="auto" w:fill="C6EFCE"/>
            <w:noWrap/>
            <w:hideMark/>
          </w:tcPr>
          <w:p w14:paraId="30AB69E1" w14:textId="77777777" w:rsidR="003D7F65" w:rsidRDefault="0082041E">
            <w:pPr>
              <w:pStyle w:val="P68B1DB1-Normal8"/>
              <w:spacing w:after="0" w:line="240" w:lineRule="auto"/>
              <w:rPr>
                <w:rFonts w:eastAsia="Times New Roman"/>
                <w:noProof/>
              </w:rPr>
            </w:pPr>
            <w:r>
              <w:rPr>
                <w:noProof/>
              </w:rPr>
              <w:t>Étape</w:t>
            </w:r>
          </w:p>
        </w:tc>
        <w:tc>
          <w:tcPr>
            <w:tcW w:w="1116" w:type="dxa"/>
            <w:tcBorders>
              <w:top w:val="single" w:sz="4" w:space="0" w:color="auto"/>
              <w:left w:val="nil"/>
              <w:bottom w:val="single" w:sz="4" w:space="0" w:color="auto"/>
              <w:right w:val="single" w:sz="4" w:space="0" w:color="auto"/>
            </w:tcBorders>
            <w:shd w:val="clear" w:color="auto" w:fill="C6EFCE"/>
            <w:noWrap/>
            <w:hideMark/>
          </w:tcPr>
          <w:p w14:paraId="3B09BCA6" w14:textId="77777777" w:rsidR="003D7F65" w:rsidRDefault="0082041E">
            <w:pPr>
              <w:pStyle w:val="P68B1DB1-Normal8"/>
              <w:spacing w:after="0" w:line="240" w:lineRule="auto"/>
              <w:rPr>
                <w:rFonts w:eastAsia="Times New Roman"/>
                <w:noProof/>
              </w:rPr>
            </w:pPr>
            <w:r>
              <w:rPr>
                <w:noProof/>
              </w:rPr>
              <w:t>Les projets de recyclage et de valorisation des nutriments sont récompensés</w:t>
            </w:r>
          </w:p>
        </w:tc>
        <w:tc>
          <w:tcPr>
            <w:tcW w:w="1359" w:type="dxa"/>
            <w:tcBorders>
              <w:top w:val="nil"/>
              <w:left w:val="nil"/>
              <w:bottom w:val="single" w:sz="4" w:space="0" w:color="auto"/>
              <w:right w:val="single" w:sz="4" w:space="0" w:color="auto"/>
            </w:tcBorders>
            <w:shd w:val="clear" w:color="auto" w:fill="C6EFCE"/>
            <w:noWrap/>
            <w:hideMark/>
          </w:tcPr>
          <w:p w14:paraId="7F9709F6" w14:textId="77777777" w:rsidR="003D7F65" w:rsidRDefault="0082041E">
            <w:pPr>
              <w:pStyle w:val="P68B1DB1-Normal8"/>
              <w:spacing w:after="0" w:line="240" w:lineRule="auto"/>
              <w:rPr>
                <w:rFonts w:eastAsia="Times New Roman"/>
                <w:noProof/>
              </w:rPr>
            </w:pPr>
            <w:r>
              <w:rPr>
                <w:noProof/>
              </w:rPr>
              <w:t xml:space="preserve">Notification de l'octroi de toutes les subventions </w:t>
            </w:r>
          </w:p>
        </w:tc>
        <w:tc>
          <w:tcPr>
            <w:tcW w:w="756" w:type="dxa"/>
            <w:tcBorders>
              <w:top w:val="nil"/>
              <w:left w:val="nil"/>
              <w:bottom w:val="single" w:sz="4" w:space="0" w:color="auto"/>
              <w:right w:val="single" w:sz="4" w:space="0" w:color="auto"/>
            </w:tcBorders>
            <w:shd w:val="clear" w:color="auto" w:fill="C6EFCE"/>
            <w:noWrap/>
            <w:hideMark/>
          </w:tcPr>
          <w:p w14:paraId="60662484" w14:textId="190EDE7A" w:rsidR="003D7F65" w:rsidRDefault="003D7F65">
            <w:pPr>
              <w:spacing w:after="0" w:line="240" w:lineRule="auto"/>
              <w:jc w:val="center"/>
              <w:rPr>
                <w:rFonts w:ascii="Times New Roman" w:eastAsia="Times New Roman" w:hAnsi="Times New Roman"/>
                <w:noProof/>
                <w:sz w:val="20"/>
                <w:szCs w:val="20"/>
              </w:rPr>
            </w:pPr>
          </w:p>
        </w:tc>
        <w:tc>
          <w:tcPr>
            <w:tcW w:w="1022" w:type="dxa"/>
            <w:tcBorders>
              <w:top w:val="nil"/>
              <w:left w:val="nil"/>
              <w:bottom w:val="single" w:sz="4" w:space="0" w:color="auto"/>
              <w:right w:val="single" w:sz="4" w:space="0" w:color="auto"/>
            </w:tcBorders>
            <w:shd w:val="clear" w:color="auto" w:fill="C6EFCE"/>
            <w:noWrap/>
            <w:hideMark/>
          </w:tcPr>
          <w:p w14:paraId="4993C96C" w14:textId="6A79B42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45A31C89" w14:textId="5A012118"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1D8A879E" w14:textId="77777777" w:rsidR="003D7F65" w:rsidRDefault="0082041E">
            <w:pPr>
              <w:pStyle w:val="P68B1DB1-Normal8"/>
              <w:spacing w:after="0" w:line="240" w:lineRule="auto"/>
              <w:jc w:val="center"/>
              <w:rPr>
                <w:rFonts w:eastAsia="Times New Roman"/>
                <w:noProof/>
              </w:rPr>
            </w:pPr>
            <w:r>
              <w:rPr>
                <w:noProof/>
              </w:rPr>
              <w:t>T4</w:t>
            </w:r>
          </w:p>
        </w:tc>
        <w:tc>
          <w:tcPr>
            <w:tcW w:w="1111" w:type="dxa"/>
            <w:tcBorders>
              <w:top w:val="nil"/>
              <w:left w:val="nil"/>
              <w:bottom w:val="single" w:sz="4" w:space="0" w:color="auto"/>
              <w:right w:val="single" w:sz="4" w:space="0" w:color="auto"/>
            </w:tcBorders>
            <w:shd w:val="clear" w:color="auto" w:fill="C6EFCE"/>
            <w:noWrap/>
            <w:hideMark/>
          </w:tcPr>
          <w:p w14:paraId="668175B0" w14:textId="77777777" w:rsidR="003D7F65" w:rsidRDefault="0082041E">
            <w:pPr>
              <w:pStyle w:val="P68B1DB1-Normal8"/>
              <w:spacing w:after="0" w:line="240" w:lineRule="auto"/>
              <w:jc w:val="center"/>
              <w:rPr>
                <w:rFonts w:eastAsia="Times New Roman"/>
                <w:noProof/>
              </w:rPr>
            </w:pPr>
            <w:r>
              <w:rPr>
                <w:noProof/>
              </w:rPr>
              <w:t>2023</w:t>
            </w:r>
          </w:p>
        </w:tc>
        <w:tc>
          <w:tcPr>
            <w:tcW w:w="5228" w:type="dxa"/>
            <w:tcBorders>
              <w:top w:val="nil"/>
              <w:left w:val="nil"/>
              <w:bottom w:val="single" w:sz="4" w:space="0" w:color="auto"/>
              <w:right w:val="single" w:sz="4" w:space="0" w:color="auto"/>
            </w:tcBorders>
            <w:shd w:val="clear" w:color="auto" w:fill="C6EFCE"/>
            <w:noWrap/>
          </w:tcPr>
          <w:p w14:paraId="0F8CD11C" w14:textId="77777777" w:rsidR="003D7F65" w:rsidRDefault="0082041E">
            <w:pPr>
              <w:pStyle w:val="P68B1DB1-Normal9"/>
              <w:spacing w:after="0" w:line="240" w:lineRule="auto"/>
              <w:rPr>
                <w:noProof/>
              </w:rPr>
            </w:pPr>
            <w:r>
              <w:rPr>
                <w:noProof/>
              </w:rPr>
              <w:t>Notification de l’octroi de toutes les subventions au titre des appels à candidatures ouverts pour le recyclage et la valorisation des nutriments, conformément aux orientations techniques «Ne pas causer de préjudice important» (2021/C58/01), au moyen de l’utilisation d’une liste d’exclusion et de l’exigence de conformité avec la législation environnementale pertinente de l’UE et nationale.</w:t>
            </w:r>
          </w:p>
        </w:tc>
      </w:tr>
      <w:tr w:rsidR="003D7F65" w14:paraId="148757F9" w14:textId="77777777" w:rsidTr="00832095">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0CA8618A" w14:textId="77777777" w:rsidR="003D7F65" w:rsidRDefault="0082041E">
            <w:pPr>
              <w:pStyle w:val="P68B1DB1-Normal8"/>
              <w:spacing w:after="0" w:line="240" w:lineRule="auto"/>
              <w:jc w:val="center"/>
              <w:rPr>
                <w:rFonts w:eastAsia="Times New Roman"/>
                <w:noProof/>
              </w:rPr>
            </w:pPr>
            <w:r>
              <w:rPr>
                <w:noProof/>
              </w:rPr>
              <w:t>51</w:t>
            </w:r>
          </w:p>
        </w:tc>
        <w:tc>
          <w:tcPr>
            <w:tcW w:w="1867" w:type="dxa"/>
            <w:tcBorders>
              <w:top w:val="single" w:sz="4" w:space="0" w:color="auto"/>
              <w:left w:val="nil"/>
              <w:bottom w:val="single" w:sz="4" w:space="0" w:color="auto"/>
              <w:right w:val="single" w:sz="4" w:space="0" w:color="auto"/>
            </w:tcBorders>
            <w:shd w:val="clear" w:color="auto" w:fill="C6EFCE"/>
            <w:noWrap/>
            <w:hideMark/>
          </w:tcPr>
          <w:p w14:paraId="0CF99020" w14:textId="31CB3683" w:rsidR="003D7F65" w:rsidRDefault="0082041E">
            <w:pPr>
              <w:pStyle w:val="P68B1DB1-Normal8"/>
              <w:spacing w:after="0" w:line="240" w:lineRule="auto"/>
              <w:rPr>
                <w:rFonts w:eastAsia="Times New Roman"/>
                <w:noProof/>
              </w:rPr>
            </w:pPr>
            <w:r>
              <w:rPr>
                <w:noProof/>
              </w:rPr>
              <w:t>P1C5I1 – Durabilité environnementale et solutions fondées sur la nature – Traitement du gypse et recyclage des nutriments</w:t>
            </w:r>
          </w:p>
        </w:tc>
        <w:tc>
          <w:tcPr>
            <w:tcW w:w="1329" w:type="dxa"/>
            <w:tcBorders>
              <w:top w:val="single" w:sz="4" w:space="0" w:color="auto"/>
              <w:left w:val="nil"/>
              <w:bottom w:val="single" w:sz="4" w:space="0" w:color="auto"/>
              <w:right w:val="single" w:sz="4" w:space="0" w:color="auto"/>
            </w:tcBorders>
            <w:shd w:val="clear" w:color="auto" w:fill="C6EFCE"/>
            <w:noWrap/>
            <w:hideMark/>
          </w:tcPr>
          <w:p w14:paraId="5D1AE55A" w14:textId="77777777" w:rsidR="003D7F65" w:rsidRDefault="0082041E">
            <w:pPr>
              <w:pStyle w:val="P68B1DB1-Normal8"/>
              <w:spacing w:after="0" w:line="240" w:lineRule="auto"/>
              <w:rPr>
                <w:rFonts w:eastAsia="Times New Roman"/>
                <w:noProof/>
              </w:rPr>
            </w:pPr>
            <w:r>
              <w:rPr>
                <w:noProof/>
              </w:rPr>
              <w:t>Objectif</w:t>
            </w:r>
          </w:p>
        </w:tc>
        <w:tc>
          <w:tcPr>
            <w:tcW w:w="1116" w:type="dxa"/>
            <w:tcBorders>
              <w:top w:val="single" w:sz="4" w:space="0" w:color="auto"/>
              <w:left w:val="nil"/>
              <w:bottom w:val="single" w:sz="4" w:space="0" w:color="auto"/>
              <w:right w:val="single" w:sz="4" w:space="0" w:color="auto"/>
            </w:tcBorders>
            <w:shd w:val="clear" w:color="auto" w:fill="C6EFCE"/>
            <w:noWrap/>
            <w:hideMark/>
          </w:tcPr>
          <w:p w14:paraId="6BDDA3B4" w14:textId="77777777" w:rsidR="003D7F65" w:rsidRDefault="0082041E">
            <w:pPr>
              <w:pStyle w:val="P68B1DB1-Normal8"/>
              <w:spacing w:after="0" w:line="240" w:lineRule="auto"/>
              <w:rPr>
                <w:rFonts w:eastAsia="Times New Roman"/>
                <w:noProof/>
              </w:rPr>
            </w:pPr>
            <w:r>
              <w:rPr>
                <w:noProof/>
              </w:rPr>
              <w:t>Rapports de projet présentés</w:t>
            </w:r>
          </w:p>
        </w:tc>
        <w:tc>
          <w:tcPr>
            <w:tcW w:w="1359" w:type="dxa"/>
            <w:tcBorders>
              <w:top w:val="single" w:sz="4" w:space="0" w:color="auto"/>
              <w:left w:val="nil"/>
              <w:bottom w:val="single" w:sz="4" w:space="0" w:color="auto"/>
              <w:right w:val="single" w:sz="4" w:space="0" w:color="auto"/>
            </w:tcBorders>
            <w:shd w:val="clear" w:color="auto" w:fill="C6EFCE"/>
            <w:noWrap/>
            <w:hideMark/>
          </w:tcPr>
          <w:p w14:paraId="30DE33D1" w14:textId="77777777" w:rsidR="003D7F65" w:rsidRDefault="003D7F65">
            <w:pPr>
              <w:spacing w:after="0" w:line="240" w:lineRule="auto"/>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hideMark/>
          </w:tcPr>
          <w:p w14:paraId="5776A37A" w14:textId="77777777" w:rsidR="003D7F65" w:rsidRDefault="0082041E">
            <w:pPr>
              <w:pStyle w:val="P68B1DB1-Normal8"/>
              <w:spacing w:after="0" w:line="240" w:lineRule="auto"/>
              <w:jc w:val="center"/>
              <w:rPr>
                <w:rFonts w:eastAsia="Times New Roman"/>
                <w:noProof/>
              </w:rPr>
            </w:pPr>
            <w:r>
              <w:rPr>
                <w:noProof/>
              </w:rPr>
              <w:t>Numéro</w:t>
            </w:r>
          </w:p>
        </w:tc>
        <w:tc>
          <w:tcPr>
            <w:tcW w:w="1022" w:type="dxa"/>
            <w:tcBorders>
              <w:top w:val="single" w:sz="4" w:space="0" w:color="auto"/>
              <w:left w:val="nil"/>
              <w:bottom w:val="single" w:sz="4" w:space="0" w:color="auto"/>
              <w:right w:val="single" w:sz="4" w:space="0" w:color="auto"/>
            </w:tcBorders>
            <w:shd w:val="clear" w:color="auto" w:fill="C6EFCE"/>
            <w:noWrap/>
            <w:hideMark/>
          </w:tcPr>
          <w:p w14:paraId="7D6A7541" w14:textId="77777777" w:rsidR="003D7F65" w:rsidRDefault="0082041E">
            <w:pPr>
              <w:pStyle w:val="P68B1DB1-Normal8"/>
              <w:spacing w:after="0" w:line="240" w:lineRule="auto"/>
              <w:jc w:val="center"/>
              <w:rPr>
                <w:rFonts w:eastAsia="Times New Roman"/>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hideMark/>
          </w:tcPr>
          <w:p w14:paraId="78213B11" w14:textId="77777777" w:rsidR="003D7F65" w:rsidRDefault="0082041E">
            <w:pPr>
              <w:pStyle w:val="P68B1DB1-Normal8"/>
              <w:spacing w:after="0" w:line="240" w:lineRule="auto"/>
              <w:jc w:val="center"/>
              <w:rPr>
                <w:rFonts w:eastAsia="Times New Roman"/>
                <w:noProof/>
              </w:rPr>
            </w:pPr>
            <w:r>
              <w:rPr>
                <w:noProof/>
              </w:rPr>
              <w:t>7</w:t>
            </w:r>
          </w:p>
        </w:tc>
        <w:tc>
          <w:tcPr>
            <w:tcW w:w="1134" w:type="dxa"/>
            <w:tcBorders>
              <w:top w:val="single" w:sz="4" w:space="0" w:color="auto"/>
              <w:left w:val="nil"/>
              <w:bottom w:val="single" w:sz="4" w:space="0" w:color="auto"/>
              <w:right w:val="single" w:sz="4" w:space="0" w:color="auto"/>
            </w:tcBorders>
            <w:shd w:val="clear" w:color="auto" w:fill="C6EFCE"/>
            <w:noWrap/>
            <w:hideMark/>
          </w:tcPr>
          <w:p w14:paraId="2DE3F024" w14:textId="77777777" w:rsidR="003D7F65" w:rsidRDefault="0082041E">
            <w:pPr>
              <w:pStyle w:val="P68B1DB1-Normal8"/>
              <w:spacing w:after="0" w:line="240" w:lineRule="auto"/>
              <w:jc w:val="center"/>
              <w:rPr>
                <w:rFonts w:eastAsia="Times New Roman"/>
                <w:noProof/>
              </w:rPr>
            </w:pPr>
            <w:r>
              <w:rPr>
                <w:noProof/>
              </w:rPr>
              <w:t>T4</w:t>
            </w:r>
          </w:p>
        </w:tc>
        <w:tc>
          <w:tcPr>
            <w:tcW w:w="1111" w:type="dxa"/>
            <w:tcBorders>
              <w:top w:val="single" w:sz="4" w:space="0" w:color="auto"/>
              <w:left w:val="nil"/>
              <w:bottom w:val="single" w:sz="4" w:space="0" w:color="auto"/>
              <w:right w:val="single" w:sz="4" w:space="0" w:color="auto"/>
            </w:tcBorders>
            <w:shd w:val="clear" w:color="auto" w:fill="C6EFCE"/>
            <w:noWrap/>
            <w:hideMark/>
          </w:tcPr>
          <w:p w14:paraId="1C805D63" w14:textId="77777777" w:rsidR="003D7F65" w:rsidRDefault="0082041E">
            <w:pPr>
              <w:pStyle w:val="P68B1DB1-Normal8"/>
              <w:spacing w:after="0" w:line="240" w:lineRule="auto"/>
              <w:jc w:val="center"/>
              <w:rPr>
                <w:rFonts w:eastAsia="Times New Roman"/>
                <w:noProof/>
              </w:rPr>
            </w:pPr>
            <w:r>
              <w:rPr>
                <w:noProof/>
              </w:rPr>
              <w:t>2025</w:t>
            </w:r>
          </w:p>
        </w:tc>
        <w:tc>
          <w:tcPr>
            <w:tcW w:w="5228" w:type="dxa"/>
            <w:tcBorders>
              <w:top w:val="single" w:sz="4" w:space="0" w:color="auto"/>
              <w:left w:val="nil"/>
              <w:bottom w:val="single" w:sz="4" w:space="0" w:color="auto"/>
              <w:right w:val="single" w:sz="4" w:space="0" w:color="auto"/>
            </w:tcBorders>
            <w:shd w:val="clear" w:color="auto" w:fill="C6EFCE"/>
            <w:noWrap/>
          </w:tcPr>
          <w:p w14:paraId="038B5D4F" w14:textId="77777777" w:rsidR="003D7F65" w:rsidRDefault="0082041E">
            <w:pPr>
              <w:pStyle w:val="P68B1DB1-Normal8"/>
              <w:spacing w:after="0" w:line="240" w:lineRule="auto"/>
              <w:rPr>
                <w:noProof/>
              </w:rPr>
            </w:pPr>
            <w:r>
              <w:rPr>
                <w:noProof/>
              </w:rPr>
              <w:t xml:space="preserve">Au moins sept rapports sont soumis par les entités bénéficiaires pour les projets bénéficiant de subventions au titre des appels à candidatures visés dans la présente mesure, qui atteignent en moyenne pondérée le recyclage et la valorisation améliorés d’au moins 50 % des nutriments ou de la biomasse valorisables dans les eaux usées. </w:t>
            </w:r>
          </w:p>
        </w:tc>
      </w:tr>
      <w:tr w:rsidR="003D7F65" w14:paraId="67CEE8CC" w14:textId="77777777" w:rsidTr="00832095">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DAA8D35" w14:textId="572B9C1C" w:rsidR="003D7F65" w:rsidRDefault="0082041E">
            <w:pPr>
              <w:pStyle w:val="P68B1DB1-Normal8"/>
              <w:spacing w:after="0" w:line="240" w:lineRule="auto"/>
              <w:jc w:val="center"/>
              <w:rPr>
                <w:rFonts w:eastAsia="Times New Roman"/>
                <w:noProof/>
              </w:rPr>
            </w:pPr>
            <w:r>
              <w:rPr>
                <w:noProof/>
              </w:rPr>
              <w:t>52</w:t>
            </w:r>
          </w:p>
        </w:tc>
        <w:tc>
          <w:tcPr>
            <w:tcW w:w="1867" w:type="dxa"/>
            <w:tcBorders>
              <w:top w:val="single" w:sz="4" w:space="0" w:color="auto"/>
              <w:left w:val="nil"/>
              <w:bottom w:val="single" w:sz="4" w:space="0" w:color="auto"/>
              <w:right w:val="single" w:sz="4" w:space="0" w:color="auto"/>
            </w:tcBorders>
            <w:shd w:val="clear" w:color="auto" w:fill="C6EFCE"/>
            <w:noWrap/>
          </w:tcPr>
          <w:p w14:paraId="319C290E" w14:textId="605C7CC6" w:rsidR="003D7F65" w:rsidRDefault="0082041E">
            <w:pPr>
              <w:pStyle w:val="P68B1DB1-Normal8"/>
              <w:spacing w:after="0" w:line="240" w:lineRule="auto"/>
              <w:rPr>
                <w:noProof/>
              </w:rPr>
            </w:pPr>
            <w:r>
              <w:rPr>
                <w:noProof/>
              </w:rPr>
              <w:t>P1C5I2 – Durabilité environnementale et solutions fondées sur la nature – Mesures résilientes au changement climatique dans le secteur de l’utilisation des terres</w:t>
            </w:r>
          </w:p>
        </w:tc>
        <w:tc>
          <w:tcPr>
            <w:tcW w:w="1329" w:type="dxa"/>
            <w:tcBorders>
              <w:top w:val="single" w:sz="4" w:space="0" w:color="auto"/>
              <w:left w:val="nil"/>
              <w:bottom w:val="single" w:sz="4" w:space="0" w:color="auto"/>
              <w:right w:val="single" w:sz="4" w:space="0" w:color="auto"/>
            </w:tcBorders>
            <w:shd w:val="clear" w:color="auto" w:fill="C6EFCE"/>
            <w:noWrap/>
          </w:tcPr>
          <w:p w14:paraId="4EDFBBC0" w14:textId="77777777" w:rsidR="003D7F65" w:rsidRDefault="0082041E">
            <w:pPr>
              <w:pStyle w:val="P68B1DB1-Normal9"/>
              <w:spacing w:after="0" w:line="240" w:lineRule="auto"/>
              <w:rPr>
                <w:noProof/>
              </w:rPr>
            </w:pPr>
            <w:r>
              <w:rPr>
                <w:noProof/>
              </w:rPr>
              <w:t>Étape</w:t>
            </w:r>
          </w:p>
        </w:tc>
        <w:tc>
          <w:tcPr>
            <w:tcW w:w="1116" w:type="dxa"/>
            <w:tcBorders>
              <w:top w:val="single" w:sz="4" w:space="0" w:color="auto"/>
              <w:left w:val="nil"/>
              <w:bottom w:val="single" w:sz="4" w:space="0" w:color="auto"/>
              <w:right w:val="single" w:sz="4" w:space="0" w:color="auto"/>
            </w:tcBorders>
            <w:shd w:val="clear" w:color="auto" w:fill="C6EFCE"/>
            <w:noWrap/>
          </w:tcPr>
          <w:p w14:paraId="7832A165" w14:textId="77777777" w:rsidR="003D7F65" w:rsidRDefault="0082041E">
            <w:pPr>
              <w:pStyle w:val="P68B1DB1-Normal9"/>
              <w:spacing w:after="0" w:line="240" w:lineRule="auto"/>
              <w:rPr>
                <w:noProof/>
              </w:rPr>
            </w:pPr>
            <w:r>
              <w:rPr>
                <w:noProof/>
              </w:rPr>
              <w:t>Publication du premier appel à propositions pour des projets forestiers de précision</w:t>
            </w:r>
          </w:p>
        </w:tc>
        <w:tc>
          <w:tcPr>
            <w:tcW w:w="1359" w:type="dxa"/>
            <w:tcBorders>
              <w:top w:val="single" w:sz="4" w:space="0" w:color="auto"/>
              <w:left w:val="nil"/>
              <w:bottom w:val="single" w:sz="4" w:space="0" w:color="auto"/>
              <w:right w:val="single" w:sz="4" w:space="0" w:color="auto"/>
            </w:tcBorders>
            <w:shd w:val="clear" w:color="auto" w:fill="C6EFCE"/>
            <w:noWrap/>
          </w:tcPr>
          <w:p w14:paraId="49668811" w14:textId="77777777" w:rsidR="003D7F65" w:rsidRDefault="0082041E">
            <w:pPr>
              <w:pStyle w:val="P68B1DB1-Normal9"/>
              <w:spacing w:after="0" w:line="240" w:lineRule="auto"/>
              <w:rPr>
                <w:noProof/>
              </w:rPr>
            </w:pPr>
            <w:r>
              <w:rPr>
                <w:noProof/>
              </w:rPr>
              <w:t>Publication</w:t>
            </w:r>
          </w:p>
        </w:tc>
        <w:tc>
          <w:tcPr>
            <w:tcW w:w="756" w:type="dxa"/>
            <w:tcBorders>
              <w:top w:val="single" w:sz="4" w:space="0" w:color="auto"/>
              <w:left w:val="nil"/>
              <w:bottom w:val="single" w:sz="4" w:space="0" w:color="auto"/>
              <w:right w:val="single" w:sz="4" w:space="0" w:color="auto"/>
            </w:tcBorders>
            <w:shd w:val="clear" w:color="auto" w:fill="C6EFCE"/>
            <w:noWrap/>
          </w:tcPr>
          <w:p w14:paraId="7D7ECF0F" w14:textId="77777777" w:rsidR="003D7F65" w:rsidRDefault="003D7F65">
            <w:pPr>
              <w:spacing w:after="0" w:line="240" w:lineRule="auto"/>
              <w:jc w:val="center"/>
              <w:rPr>
                <w:rFonts w:ascii="Times New Roman" w:eastAsia="Times New Roman" w:hAnsi="Times New Roman"/>
                <w:noProof/>
                <w:sz w:val="20"/>
                <w:szCs w:val="20"/>
              </w:rPr>
            </w:pPr>
          </w:p>
        </w:tc>
        <w:tc>
          <w:tcPr>
            <w:tcW w:w="1022" w:type="dxa"/>
            <w:tcBorders>
              <w:top w:val="single" w:sz="4" w:space="0" w:color="auto"/>
              <w:left w:val="nil"/>
              <w:bottom w:val="single" w:sz="4" w:space="0" w:color="auto"/>
              <w:right w:val="single" w:sz="4" w:space="0" w:color="auto"/>
            </w:tcBorders>
            <w:shd w:val="clear" w:color="auto" w:fill="C6EFCE"/>
            <w:noWrap/>
          </w:tcPr>
          <w:p w14:paraId="04DA7F51"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4D530C7C"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0612C485" w14:textId="77777777" w:rsidR="003D7F65" w:rsidRDefault="0082041E">
            <w:pPr>
              <w:pStyle w:val="P68B1DB1-Normal8"/>
              <w:spacing w:after="0" w:line="240" w:lineRule="auto"/>
              <w:jc w:val="center"/>
              <w:rPr>
                <w:noProof/>
              </w:rPr>
            </w:pPr>
            <w:r>
              <w:rPr>
                <w:noProof/>
              </w:rPr>
              <w:t>T4</w:t>
            </w:r>
          </w:p>
        </w:tc>
        <w:tc>
          <w:tcPr>
            <w:tcW w:w="1111" w:type="dxa"/>
            <w:tcBorders>
              <w:top w:val="single" w:sz="4" w:space="0" w:color="auto"/>
              <w:left w:val="nil"/>
              <w:bottom w:val="single" w:sz="4" w:space="0" w:color="auto"/>
              <w:right w:val="single" w:sz="4" w:space="0" w:color="auto"/>
            </w:tcBorders>
            <w:shd w:val="clear" w:color="auto" w:fill="C6EFCE"/>
            <w:noWrap/>
          </w:tcPr>
          <w:p w14:paraId="1909E322" w14:textId="77777777" w:rsidR="003D7F65" w:rsidRDefault="0082041E">
            <w:pPr>
              <w:pStyle w:val="P68B1DB1-Normal8"/>
              <w:spacing w:after="0" w:line="240" w:lineRule="auto"/>
              <w:jc w:val="center"/>
              <w:rPr>
                <w:noProof/>
              </w:rPr>
            </w:pPr>
            <w:r>
              <w:rPr>
                <w:noProof/>
              </w:rPr>
              <w:t>2021</w:t>
            </w:r>
          </w:p>
        </w:tc>
        <w:tc>
          <w:tcPr>
            <w:tcW w:w="5228" w:type="dxa"/>
            <w:tcBorders>
              <w:top w:val="single" w:sz="4" w:space="0" w:color="auto"/>
              <w:left w:val="nil"/>
              <w:bottom w:val="single" w:sz="4" w:space="0" w:color="auto"/>
              <w:right w:val="single" w:sz="4" w:space="0" w:color="auto"/>
            </w:tcBorders>
            <w:shd w:val="clear" w:color="auto" w:fill="C6EFCE"/>
            <w:noWrap/>
          </w:tcPr>
          <w:p w14:paraId="2B5B4766" w14:textId="61743A2A" w:rsidR="003D7F65" w:rsidRDefault="0082041E">
            <w:pPr>
              <w:pStyle w:val="P68B1DB1-Normal9"/>
              <w:spacing w:after="0" w:line="240" w:lineRule="auto"/>
              <w:rPr>
                <w:noProof/>
              </w:rPr>
            </w:pPr>
            <w:r>
              <w:rPr>
                <w:noProof/>
              </w:rPr>
              <w:t>Les lignes directrices de financement (décret gouvernemental 5/2021 sur les subventions aux mesures climatiques dans le secteur de l’utilisation des terres en 2020-2025) sont entrées en vigueur, permettant le lancement du premier appel à propositions concurrentiel pour des projets forestiers de précision. Les termes de référence comprennent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Le premier appel à propositions est ouvert au plus tard le 31 décembre 2021. La mesure comprend des méthodes, des technologies et la production d’informations supplémentaires pour promouvoir la durabilité des forêts, y compris en favorisant les forêts mixtes et en renforçant la biodiversité forestière, notamment en augmentant la quantité de bois mort sur le site. Dans les forêts où des méthodes de gestion forestière continue sont appliquées, ce qui implique qu'il n'y a pas de coupes claires, il n'y a pas de fossés nouveaux ou réparateurs. Seuls les projets qui soutiennent l’adaptation au changement climatique et l’atténuation de ses effets sont admissibles au titre de la présente mesure.</w:t>
            </w:r>
          </w:p>
        </w:tc>
      </w:tr>
      <w:tr w:rsidR="003D7F65" w14:paraId="1D9FFDF9" w14:textId="77777777" w:rsidTr="00832095">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7C5C4A9" w14:textId="77777777" w:rsidR="003D7F65" w:rsidRDefault="0082041E">
            <w:pPr>
              <w:pStyle w:val="P68B1DB1-Normal8"/>
              <w:spacing w:after="0" w:line="240" w:lineRule="auto"/>
              <w:jc w:val="center"/>
              <w:rPr>
                <w:rFonts w:eastAsia="Times New Roman"/>
                <w:noProof/>
              </w:rPr>
            </w:pPr>
            <w:r>
              <w:rPr>
                <w:noProof/>
              </w:rPr>
              <w:t>53</w:t>
            </w:r>
          </w:p>
        </w:tc>
        <w:tc>
          <w:tcPr>
            <w:tcW w:w="1867" w:type="dxa"/>
            <w:tcBorders>
              <w:top w:val="single" w:sz="4" w:space="0" w:color="auto"/>
              <w:left w:val="nil"/>
              <w:bottom w:val="single" w:sz="4" w:space="0" w:color="auto"/>
              <w:right w:val="single" w:sz="4" w:space="0" w:color="auto"/>
            </w:tcBorders>
            <w:shd w:val="clear" w:color="auto" w:fill="C6EFCE"/>
            <w:noWrap/>
          </w:tcPr>
          <w:p w14:paraId="768C7B48" w14:textId="7E988675" w:rsidR="003D7F65" w:rsidRDefault="0082041E">
            <w:pPr>
              <w:pStyle w:val="P68B1DB1-Normal8"/>
              <w:spacing w:after="0" w:line="240" w:lineRule="auto"/>
              <w:rPr>
                <w:rFonts w:eastAsia="Times New Roman"/>
                <w:noProof/>
              </w:rPr>
            </w:pPr>
            <w:r>
              <w:rPr>
                <w:noProof/>
              </w:rPr>
              <w:t>P1C5I2 – Durabilité environnementale et solutions fondées sur la nature – Mesures résilientes au changement climatique dans le secteur de l’utilisation des terres</w:t>
            </w:r>
          </w:p>
        </w:tc>
        <w:tc>
          <w:tcPr>
            <w:tcW w:w="1329" w:type="dxa"/>
            <w:tcBorders>
              <w:top w:val="single" w:sz="4" w:space="0" w:color="auto"/>
              <w:left w:val="nil"/>
              <w:bottom w:val="single" w:sz="4" w:space="0" w:color="auto"/>
              <w:right w:val="single" w:sz="4" w:space="0" w:color="auto"/>
            </w:tcBorders>
            <w:shd w:val="clear" w:color="auto" w:fill="C6EFCE"/>
            <w:noWrap/>
          </w:tcPr>
          <w:p w14:paraId="06627491" w14:textId="77777777" w:rsidR="003D7F65" w:rsidRDefault="0082041E">
            <w:pPr>
              <w:pStyle w:val="P68B1DB1-Normal8"/>
              <w:spacing w:after="0" w:line="240" w:lineRule="auto"/>
              <w:rPr>
                <w:rFonts w:eastAsia="Times New Roman"/>
                <w:noProof/>
              </w:rPr>
            </w:pPr>
            <w:r>
              <w:rPr>
                <w:noProof/>
              </w:rPr>
              <w:t>Étape</w:t>
            </w:r>
          </w:p>
        </w:tc>
        <w:tc>
          <w:tcPr>
            <w:tcW w:w="1116" w:type="dxa"/>
            <w:tcBorders>
              <w:top w:val="single" w:sz="4" w:space="0" w:color="auto"/>
              <w:left w:val="nil"/>
              <w:bottom w:val="single" w:sz="4" w:space="0" w:color="auto"/>
              <w:right w:val="single" w:sz="4" w:space="0" w:color="auto"/>
            </w:tcBorders>
            <w:shd w:val="clear" w:color="auto" w:fill="C6EFCE"/>
            <w:noWrap/>
          </w:tcPr>
          <w:p w14:paraId="0A1E9873" w14:textId="77777777" w:rsidR="003D7F65" w:rsidRDefault="0082041E">
            <w:pPr>
              <w:pStyle w:val="P68B1DB1-Normal8"/>
              <w:spacing w:after="0" w:line="240" w:lineRule="auto"/>
              <w:rPr>
                <w:rFonts w:eastAsia="Times New Roman"/>
                <w:noProof/>
              </w:rPr>
            </w:pPr>
            <w:r>
              <w:rPr>
                <w:noProof/>
              </w:rPr>
              <w:t>Attribution de toutes les subventions pour les projets forestiers de précision sélectionnés pour un financement</w:t>
            </w:r>
          </w:p>
        </w:tc>
        <w:tc>
          <w:tcPr>
            <w:tcW w:w="1359" w:type="dxa"/>
            <w:tcBorders>
              <w:top w:val="single" w:sz="4" w:space="0" w:color="auto"/>
              <w:left w:val="nil"/>
              <w:bottom w:val="single" w:sz="4" w:space="0" w:color="auto"/>
              <w:right w:val="single" w:sz="4" w:space="0" w:color="auto"/>
            </w:tcBorders>
            <w:shd w:val="clear" w:color="auto" w:fill="C6EFCE"/>
            <w:noWrap/>
          </w:tcPr>
          <w:p w14:paraId="52CB28FA" w14:textId="77AFEB67" w:rsidR="003D7F65" w:rsidRDefault="0082041E">
            <w:pPr>
              <w:pStyle w:val="P68B1DB1-Normal8"/>
              <w:spacing w:after="0" w:line="240" w:lineRule="auto"/>
              <w:rPr>
                <w:rFonts w:eastAsia="Times New Roman"/>
                <w:noProof/>
              </w:rPr>
            </w:pPr>
            <w:r>
              <w:rPr>
                <w:noProof/>
              </w:rPr>
              <w:t>Notification de l'octroi de toutes les subventions</w:t>
            </w:r>
          </w:p>
        </w:tc>
        <w:tc>
          <w:tcPr>
            <w:tcW w:w="756" w:type="dxa"/>
            <w:tcBorders>
              <w:top w:val="single" w:sz="4" w:space="0" w:color="auto"/>
              <w:left w:val="nil"/>
              <w:bottom w:val="single" w:sz="4" w:space="0" w:color="auto"/>
              <w:right w:val="single" w:sz="4" w:space="0" w:color="auto"/>
            </w:tcBorders>
            <w:shd w:val="clear" w:color="auto" w:fill="C6EFCE"/>
            <w:noWrap/>
          </w:tcPr>
          <w:p w14:paraId="56EFD74F" w14:textId="32E6D97C" w:rsidR="003D7F65" w:rsidRDefault="003D7F65">
            <w:pPr>
              <w:spacing w:after="0" w:line="240" w:lineRule="auto"/>
              <w:jc w:val="center"/>
              <w:rPr>
                <w:rFonts w:ascii="Times New Roman" w:eastAsia="Times New Roman" w:hAnsi="Times New Roman"/>
                <w:noProof/>
                <w:sz w:val="20"/>
                <w:szCs w:val="20"/>
              </w:rPr>
            </w:pPr>
          </w:p>
        </w:tc>
        <w:tc>
          <w:tcPr>
            <w:tcW w:w="1022" w:type="dxa"/>
            <w:tcBorders>
              <w:top w:val="single" w:sz="4" w:space="0" w:color="auto"/>
              <w:left w:val="nil"/>
              <w:bottom w:val="single" w:sz="4" w:space="0" w:color="auto"/>
              <w:right w:val="single" w:sz="4" w:space="0" w:color="auto"/>
            </w:tcBorders>
            <w:shd w:val="clear" w:color="auto" w:fill="C6EFCE"/>
            <w:noWrap/>
          </w:tcPr>
          <w:p w14:paraId="4A23DF65" w14:textId="5D3248AE"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5D3DFC88" w14:textId="6D1B24DB"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2E0DDB41" w14:textId="77777777" w:rsidR="003D7F65" w:rsidRDefault="0082041E">
            <w:pPr>
              <w:pStyle w:val="P68B1DB1-Normal8"/>
              <w:spacing w:after="0" w:line="240" w:lineRule="auto"/>
              <w:jc w:val="center"/>
              <w:rPr>
                <w:rFonts w:eastAsia="Times New Roman"/>
                <w:noProof/>
              </w:rPr>
            </w:pPr>
            <w:r>
              <w:rPr>
                <w:noProof/>
              </w:rPr>
              <w:t>T4</w:t>
            </w:r>
          </w:p>
        </w:tc>
        <w:tc>
          <w:tcPr>
            <w:tcW w:w="1111" w:type="dxa"/>
            <w:tcBorders>
              <w:top w:val="single" w:sz="4" w:space="0" w:color="auto"/>
              <w:left w:val="nil"/>
              <w:bottom w:val="single" w:sz="4" w:space="0" w:color="auto"/>
              <w:right w:val="single" w:sz="4" w:space="0" w:color="auto"/>
            </w:tcBorders>
            <w:shd w:val="clear" w:color="auto" w:fill="C6EFCE"/>
            <w:noWrap/>
          </w:tcPr>
          <w:p w14:paraId="64A10B07" w14:textId="77777777" w:rsidR="003D7F65" w:rsidRDefault="0082041E">
            <w:pPr>
              <w:pStyle w:val="P68B1DB1-Normal8"/>
              <w:spacing w:after="0" w:line="240" w:lineRule="auto"/>
              <w:jc w:val="center"/>
              <w:rPr>
                <w:rFonts w:eastAsia="Times New Roman"/>
                <w:noProof/>
              </w:rPr>
            </w:pPr>
            <w:r>
              <w:rPr>
                <w:noProof/>
              </w:rPr>
              <w:t>2023</w:t>
            </w:r>
          </w:p>
        </w:tc>
        <w:tc>
          <w:tcPr>
            <w:tcW w:w="5228" w:type="dxa"/>
            <w:tcBorders>
              <w:top w:val="single" w:sz="4" w:space="0" w:color="auto"/>
              <w:left w:val="nil"/>
              <w:bottom w:val="single" w:sz="4" w:space="0" w:color="auto"/>
              <w:right w:val="single" w:sz="4" w:space="0" w:color="auto"/>
            </w:tcBorders>
            <w:shd w:val="clear" w:color="auto" w:fill="C6EFCE"/>
            <w:noWrap/>
          </w:tcPr>
          <w:p w14:paraId="1130F126" w14:textId="77777777" w:rsidR="003D7F65" w:rsidRDefault="0082041E">
            <w:pPr>
              <w:pStyle w:val="P68B1DB1-Normal8"/>
              <w:spacing w:after="0" w:line="240" w:lineRule="auto"/>
              <w:rPr>
                <w:rFonts w:eastAsia="Times New Roman"/>
                <w:noProof/>
              </w:rPr>
            </w:pPr>
            <w:r>
              <w:rPr>
                <w:noProof/>
              </w:rPr>
              <w:t>Notification de l’octroi de toutes les subventions pour des projets forestiers de précision sélectionnés dans le cadre des appels à propositions respectifs. Tous les appels sont fondés sur les critères d’éligibilité/de sélection reflétés dans le jalon 52. Toutes les décisions d’octroi de financement ont été attribuées aux bénéficiaires/demandeurs de projets sélectionnés dans le cadre des appels à propositions concurrentiels, ce qui a permis le début de la mise en œuvre des projets sélectionnés.</w:t>
            </w:r>
          </w:p>
        </w:tc>
      </w:tr>
      <w:tr w:rsidR="003D7F65" w14:paraId="70620E5F" w14:textId="77777777" w:rsidTr="00832095">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DEF1A8" w14:textId="77777777" w:rsidR="003D7F65" w:rsidRDefault="0082041E">
            <w:pPr>
              <w:pStyle w:val="P68B1DB1-Normal8"/>
              <w:spacing w:after="0" w:line="240" w:lineRule="auto"/>
              <w:jc w:val="center"/>
              <w:rPr>
                <w:rFonts w:eastAsia="Times New Roman"/>
                <w:noProof/>
              </w:rPr>
            </w:pPr>
            <w:r>
              <w:rPr>
                <w:noProof/>
              </w:rPr>
              <w:t>54</w:t>
            </w:r>
          </w:p>
        </w:tc>
        <w:tc>
          <w:tcPr>
            <w:tcW w:w="1867" w:type="dxa"/>
            <w:tcBorders>
              <w:top w:val="single" w:sz="4" w:space="0" w:color="auto"/>
              <w:left w:val="nil"/>
              <w:bottom w:val="single" w:sz="4" w:space="0" w:color="auto"/>
              <w:right w:val="single" w:sz="4" w:space="0" w:color="auto"/>
            </w:tcBorders>
            <w:shd w:val="clear" w:color="auto" w:fill="C6EFCE"/>
            <w:noWrap/>
          </w:tcPr>
          <w:p w14:paraId="736E16A3" w14:textId="7860AC99" w:rsidR="003D7F65" w:rsidRDefault="0082041E">
            <w:pPr>
              <w:pStyle w:val="P68B1DB1-Normal8"/>
              <w:spacing w:after="0" w:line="240" w:lineRule="auto"/>
              <w:rPr>
                <w:rFonts w:eastAsia="Times New Roman"/>
                <w:noProof/>
              </w:rPr>
            </w:pPr>
            <w:r>
              <w:rPr>
                <w:noProof/>
              </w:rPr>
              <w:t>P1C5I2 – Durabilité environnementale et solutions fondées sur la nature – Mesures résilientes au changement climatique dans le secteur de l’utilisation des terres</w:t>
            </w:r>
          </w:p>
        </w:tc>
        <w:tc>
          <w:tcPr>
            <w:tcW w:w="1329" w:type="dxa"/>
            <w:tcBorders>
              <w:top w:val="single" w:sz="4" w:space="0" w:color="auto"/>
              <w:left w:val="nil"/>
              <w:bottom w:val="single" w:sz="4" w:space="0" w:color="auto"/>
              <w:right w:val="single" w:sz="4" w:space="0" w:color="auto"/>
            </w:tcBorders>
            <w:shd w:val="clear" w:color="auto" w:fill="C6EFCE"/>
            <w:noWrap/>
          </w:tcPr>
          <w:p w14:paraId="6167510A" w14:textId="77777777" w:rsidR="003D7F65" w:rsidRDefault="0082041E">
            <w:pPr>
              <w:pStyle w:val="P68B1DB1-Normal8"/>
              <w:spacing w:after="0" w:line="240" w:lineRule="auto"/>
              <w:rPr>
                <w:rFonts w:eastAsia="Times New Roman"/>
                <w:noProof/>
              </w:rPr>
            </w:pPr>
            <w:r>
              <w:rPr>
                <w:noProof/>
              </w:rPr>
              <w:t>Objectif</w:t>
            </w:r>
          </w:p>
        </w:tc>
        <w:tc>
          <w:tcPr>
            <w:tcW w:w="1116" w:type="dxa"/>
            <w:tcBorders>
              <w:top w:val="single" w:sz="4" w:space="0" w:color="auto"/>
              <w:left w:val="nil"/>
              <w:bottom w:val="single" w:sz="4" w:space="0" w:color="auto"/>
              <w:right w:val="single" w:sz="4" w:space="0" w:color="auto"/>
            </w:tcBorders>
            <w:shd w:val="clear" w:color="auto" w:fill="C6EFCE"/>
            <w:noWrap/>
          </w:tcPr>
          <w:p w14:paraId="539CE724" w14:textId="77777777" w:rsidR="003D7F65" w:rsidRDefault="0082041E">
            <w:pPr>
              <w:pStyle w:val="P68B1DB1-Normal8"/>
              <w:spacing w:after="0" w:line="240" w:lineRule="auto"/>
              <w:rPr>
                <w:rFonts w:eastAsia="Times New Roman"/>
                <w:noProof/>
              </w:rPr>
            </w:pPr>
            <w:r>
              <w:rPr>
                <w:noProof/>
              </w:rPr>
              <w:t>Rapports de projet présentés</w:t>
            </w:r>
          </w:p>
        </w:tc>
        <w:tc>
          <w:tcPr>
            <w:tcW w:w="1359" w:type="dxa"/>
            <w:tcBorders>
              <w:top w:val="single" w:sz="4" w:space="0" w:color="auto"/>
              <w:left w:val="nil"/>
              <w:bottom w:val="single" w:sz="4" w:space="0" w:color="auto"/>
              <w:right w:val="single" w:sz="4" w:space="0" w:color="auto"/>
            </w:tcBorders>
            <w:shd w:val="clear" w:color="auto" w:fill="C6EFCE"/>
            <w:noWrap/>
          </w:tcPr>
          <w:p w14:paraId="455C293E" w14:textId="77777777" w:rsidR="003D7F65" w:rsidRDefault="003D7F65">
            <w:pPr>
              <w:spacing w:after="0" w:line="240" w:lineRule="auto"/>
              <w:rPr>
                <w:rFonts w:ascii="Times New Roman" w:eastAsia="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7BA70F34" w14:textId="77777777" w:rsidR="003D7F65" w:rsidRDefault="0082041E">
            <w:pPr>
              <w:pStyle w:val="P68B1DB1-Normal8"/>
              <w:spacing w:after="0" w:line="240" w:lineRule="auto"/>
              <w:jc w:val="center"/>
              <w:rPr>
                <w:rFonts w:eastAsia="Times New Roman"/>
                <w:noProof/>
              </w:rPr>
            </w:pPr>
            <w:r>
              <w:rPr>
                <w:noProof/>
              </w:rPr>
              <w:t>Numéro</w:t>
            </w:r>
          </w:p>
        </w:tc>
        <w:tc>
          <w:tcPr>
            <w:tcW w:w="1022" w:type="dxa"/>
            <w:tcBorders>
              <w:top w:val="single" w:sz="4" w:space="0" w:color="auto"/>
              <w:left w:val="nil"/>
              <w:bottom w:val="single" w:sz="4" w:space="0" w:color="auto"/>
              <w:right w:val="single" w:sz="4" w:space="0" w:color="auto"/>
            </w:tcBorders>
            <w:shd w:val="clear" w:color="auto" w:fill="C6EFCE"/>
            <w:noWrap/>
          </w:tcPr>
          <w:p w14:paraId="52FF3C5E" w14:textId="77777777" w:rsidR="003D7F65" w:rsidRDefault="0082041E">
            <w:pPr>
              <w:pStyle w:val="P68B1DB1-Normal8"/>
              <w:spacing w:after="0" w:line="240" w:lineRule="auto"/>
              <w:jc w:val="center"/>
              <w:rPr>
                <w:rFonts w:eastAsia="Times New Roman"/>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noWrap/>
          </w:tcPr>
          <w:p w14:paraId="24BBD35E" w14:textId="77777777" w:rsidR="003D7F65" w:rsidRDefault="0082041E">
            <w:pPr>
              <w:pStyle w:val="P68B1DB1-Normal8"/>
              <w:spacing w:after="0" w:line="240" w:lineRule="auto"/>
              <w:jc w:val="center"/>
              <w:rPr>
                <w:rFonts w:eastAsia="Times New Roman"/>
                <w:noProof/>
              </w:rPr>
            </w:pPr>
            <w:r>
              <w:rPr>
                <w:noProof/>
              </w:rPr>
              <w:t>7</w:t>
            </w:r>
          </w:p>
        </w:tc>
        <w:tc>
          <w:tcPr>
            <w:tcW w:w="1134" w:type="dxa"/>
            <w:tcBorders>
              <w:top w:val="single" w:sz="4" w:space="0" w:color="auto"/>
              <w:left w:val="nil"/>
              <w:bottom w:val="single" w:sz="4" w:space="0" w:color="auto"/>
              <w:right w:val="single" w:sz="4" w:space="0" w:color="auto"/>
            </w:tcBorders>
            <w:shd w:val="clear" w:color="auto" w:fill="C6EFCE"/>
            <w:noWrap/>
          </w:tcPr>
          <w:p w14:paraId="54A8823B" w14:textId="77777777" w:rsidR="003D7F65" w:rsidRDefault="0082041E">
            <w:pPr>
              <w:pStyle w:val="P68B1DB1-Normal8"/>
              <w:spacing w:after="0" w:line="240" w:lineRule="auto"/>
              <w:jc w:val="center"/>
              <w:rPr>
                <w:rFonts w:eastAsia="Times New Roman"/>
                <w:noProof/>
              </w:rPr>
            </w:pPr>
            <w:r>
              <w:rPr>
                <w:noProof/>
              </w:rPr>
              <w:t>T4</w:t>
            </w:r>
          </w:p>
        </w:tc>
        <w:tc>
          <w:tcPr>
            <w:tcW w:w="1111" w:type="dxa"/>
            <w:tcBorders>
              <w:top w:val="single" w:sz="4" w:space="0" w:color="auto"/>
              <w:left w:val="nil"/>
              <w:bottom w:val="single" w:sz="4" w:space="0" w:color="auto"/>
              <w:right w:val="single" w:sz="4" w:space="0" w:color="auto"/>
            </w:tcBorders>
            <w:shd w:val="clear" w:color="auto" w:fill="C6EFCE"/>
            <w:noWrap/>
          </w:tcPr>
          <w:p w14:paraId="5F98FD67" w14:textId="77777777" w:rsidR="003D7F65" w:rsidRDefault="0082041E">
            <w:pPr>
              <w:pStyle w:val="P68B1DB1-Normal8"/>
              <w:spacing w:after="0" w:line="240" w:lineRule="auto"/>
              <w:jc w:val="center"/>
              <w:rPr>
                <w:rFonts w:eastAsia="Times New Roman"/>
                <w:noProof/>
              </w:rPr>
            </w:pPr>
            <w:r>
              <w:rPr>
                <w:noProof/>
              </w:rPr>
              <w:t>2025</w:t>
            </w:r>
          </w:p>
        </w:tc>
        <w:tc>
          <w:tcPr>
            <w:tcW w:w="5228" w:type="dxa"/>
            <w:tcBorders>
              <w:top w:val="single" w:sz="4" w:space="0" w:color="auto"/>
              <w:left w:val="nil"/>
              <w:bottom w:val="single" w:sz="4" w:space="0" w:color="auto"/>
              <w:right w:val="single" w:sz="4" w:space="0" w:color="auto"/>
            </w:tcBorders>
            <w:shd w:val="clear" w:color="auto" w:fill="C6EFCE"/>
            <w:noWrap/>
          </w:tcPr>
          <w:p w14:paraId="0B3E4ECF" w14:textId="42E8597D" w:rsidR="003D7F65" w:rsidRDefault="0082041E">
            <w:pPr>
              <w:pStyle w:val="P68B1DB1-Normal8"/>
              <w:spacing w:after="0" w:line="240" w:lineRule="auto"/>
              <w:rPr>
                <w:noProof/>
              </w:rPr>
            </w:pPr>
            <w:r>
              <w:rPr>
                <w:noProof/>
              </w:rPr>
              <w:t>Au moins sept rapports de projet sont soumis par les entités bénéficiaires pour les projets subventionnés au titre des appels à candidatures visés dans la présente mesure.</w:t>
            </w:r>
          </w:p>
        </w:tc>
      </w:tr>
    </w:tbl>
    <w:p w14:paraId="7CCE5509" w14:textId="77777777" w:rsidR="003D7F65" w:rsidRDefault="003D7F65">
      <w:pPr>
        <w:spacing w:before="120" w:after="120" w:line="240" w:lineRule="auto"/>
        <w:jc w:val="both"/>
        <w:rPr>
          <w:rFonts w:ascii="Times New Roman" w:hAnsi="Times New Roman"/>
          <w:noProof/>
          <w:sz w:val="24"/>
        </w:rPr>
      </w:pPr>
    </w:p>
    <w:p w14:paraId="12A1244C" w14:textId="2FCA6537" w:rsidR="003D7F65" w:rsidRDefault="003D7F65">
      <w:pPr>
        <w:tabs>
          <w:tab w:val="left" w:pos="2750"/>
        </w:tabs>
        <w:spacing w:before="120" w:after="120" w:line="240" w:lineRule="auto"/>
        <w:jc w:val="both"/>
        <w:rPr>
          <w:rFonts w:ascii="Times New Roman" w:hAnsi="Times New Roman"/>
          <w:noProof/>
          <w:sz w:val="24"/>
        </w:rPr>
        <w:sectPr w:rsidR="003D7F65" w:rsidSect="00A7081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4AFA2BFC" w14:textId="77777777" w:rsidR="003D7F65" w:rsidRDefault="0082041E">
      <w:pPr>
        <w:pStyle w:val="P68B1DB1-Heading31"/>
        <w:numPr>
          <w:ilvl w:val="0"/>
          <w:numId w:val="0"/>
        </w:numPr>
        <w:spacing w:after="240"/>
        <w:rPr>
          <w:noProof/>
        </w:rPr>
      </w:pPr>
      <w:r>
        <w:rPr>
          <w:noProof/>
        </w:rPr>
        <w:t xml:space="preserve">Pilier n° 2: La numérisation et l’économie fondée sur les données renforceront la productivité et mettront les services à la disposition de tous </w:t>
      </w:r>
    </w:p>
    <w:p w14:paraId="7A763B1C" w14:textId="77777777" w:rsidR="003D7F65" w:rsidRDefault="0082041E">
      <w:pPr>
        <w:pStyle w:val="P68B1DB1-Heading42"/>
        <w:numPr>
          <w:ilvl w:val="0"/>
          <w:numId w:val="0"/>
        </w:numPr>
        <w:rPr>
          <w:noProof/>
        </w:rPr>
      </w:pPr>
      <w:r>
        <w:rPr>
          <w:noProof/>
        </w:rPr>
        <w:t>F. Élément P2C1: INFRASTRUCTURE NUMÉRIQUE</w:t>
      </w:r>
    </w:p>
    <w:p w14:paraId="24C695D6" w14:textId="77777777" w:rsidR="003D7F65" w:rsidRDefault="0082041E">
      <w:pPr>
        <w:pStyle w:val="P68B1DB1-Normal3"/>
        <w:spacing w:before="120" w:after="120" w:line="240" w:lineRule="auto"/>
        <w:jc w:val="both"/>
        <w:rPr>
          <w:noProof/>
        </w:rPr>
      </w:pPr>
      <w:r>
        <w:rPr>
          <w:noProof/>
        </w:rPr>
        <w:t xml:space="preserve">Ce volet du plan finlandais pour la reprise et la résilience comprend des investissements dans les infrastructures de communication et de transport afin de répondre aux besoins d’une société de plus en plus numérique. </w:t>
      </w:r>
    </w:p>
    <w:p w14:paraId="716F0589" w14:textId="77777777" w:rsidR="003D7F65" w:rsidRDefault="0082041E">
      <w:pPr>
        <w:pStyle w:val="P68B1DB1-Normal3"/>
        <w:spacing w:before="120" w:after="120" w:line="240" w:lineRule="auto"/>
        <w:jc w:val="both"/>
        <w:rPr>
          <w:noProof/>
        </w:rPr>
      </w:pPr>
      <w:r>
        <w:rPr>
          <w:noProof/>
        </w:rPr>
        <w:t xml:space="preserve">Premièrement, la Finlande vise à investir dans la numérisation du transport ferroviaire, ce qui l’aidera à atteindre ses objectifs de réduction des émissions, à accroître la capacité du système et à améliorer la qualité des services. En particulier, le projet «Digirail» vise à introduire un nouveau système de protection automatique des trains sur l’ensemble du réseau finlandais, étant donné que le système actuel atteindra la fin de sa durée de vie d’ici la fin de cette décennie. La mise en œuvre du projet contribuera à garantir des services ferroviaires adaptés à l’avenir. </w:t>
      </w:r>
    </w:p>
    <w:p w14:paraId="4B344DF5" w14:textId="77777777" w:rsidR="003D7F65" w:rsidRDefault="0082041E">
      <w:pPr>
        <w:pStyle w:val="NormalLeft"/>
        <w:jc w:val="both"/>
        <w:rPr>
          <w:noProof/>
        </w:rPr>
      </w:pPr>
      <w:r>
        <w:rPr>
          <w:noProof/>
        </w:rPr>
        <w:t xml:space="preserve">Deuxièmement, la Finlande a l'intention d'utiliser un soutien non remboursable pour financer des investissements privés dans les réseaux à haut débit dans les zones où l'accès ne serait pas fourni sur une base commerciale. Ce volet vise à combler les lacunes qui subsistent en matière d’infrastructures à haut débit dans l’ensemble de la Finlande, en particulier dans les zones rurales où les taux d’accès sont plus faibles. Des réseaux de communication complets, de haute qualité et rapides sont nécessaires dans toute la Finlande à mesure que la numérisation du travail et de la production industrielle augmente et que les services sont transférés vers les canaux numériques. Le déploiement de nouvelles solutions numériques dans tous les secteurs nécessite des réseaux de communication rapides et fiables, en particulier pour les applications critiques. </w:t>
      </w:r>
    </w:p>
    <w:p w14:paraId="309F8D24" w14:textId="77777777" w:rsidR="003D7F65" w:rsidRDefault="0082041E">
      <w:pPr>
        <w:pStyle w:val="P68B1DB1-Normal3"/>
        <w:spacing w:before="120" w:after="120" w:line="240" w:lineRule="auto"/>
        <w:jc w:val="both"/>
        <w:rPr>
          <w:noProof/>
        </w:rPr>
      </w:pPr>
      <w:r>
        <w:rPr>
          <w:noProof/>
        </w:rPr>
        <w:t>Ce volet contribue à donner suite aux recommandations par pays visant à concentrer les investissements sur la transition écologique et numérique, en particulier sur les infrastructures durables et efficaces (recommandation par pays no 3 de 2020), ainsi qu’à axer la politique économique liée aux investissements sur les transports durables, en tenant compte des disparités régionales (recommandation par pays no 3 de 2019).</w:t>
      </w:r>
    </w:p>
    <w:p w14:paraId="73F66F73"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01E72A8" w14:textId="77777777" w:rsidR="003D7F65" w:rsidRDefault="0082041E">
      <w:pPr>
        <w:spacing w:before="120" w:after="120" w:line="240" w:lineRule="auto"/>
        <w:jc w:val="both"/>
        <w:rPr>
          <w:rFonts w:ascii="Times New Roman" w:hAnsi="Times New Roman"/>
          <w:b/>
          <w:noProof/>
          <w:sz w:val="24"/>
          <w:szCs w:val="24"/>
          <w:u w:val="single"/>
        </w:rPr>
      </w:pPr>
      <w:r>
        <w:rPr>
          <w:rFonts w:ascii="Times New Roman" w:hAnsi="Times New Roman"/>
          <w:b/>
          <w:noProof/>
          <w:sz w:val="24"/>
          <w:szCs w:val="24"/>
          <w:u w:val="single"/>
        </w:rPr>
        <w:t xml:space="preserve">F.1. </w:t>
      </w:r>
      <w:r>
        <w:rPr>
          <w:noProof/>
        </w:rPr>
        <w:t xml:space="preserve"> </w:t>
      </w:r>
      <w:r>
        <w:rPr>
          <w:rFonts w:ascii="Times New Roman" w:hAnsi="Times New Roman"/>
          <w:b/>
          <w:noProof/>
          <w:sz w:val="24"/>
          <w:szCs w:val="24"/>
          <w:u w:val="single"/>
        </w:rPr>
        <w:t>Description des réformes et des investissements pour le soutien financier non remboursable</w:t>
      </w:r>
    </w:p>
    <w:p w14:paraId="3B2175D1" w14:textId="77777777" w:rsidR="003D7F65" w:rsidRDefault="0082041E">
      <w:pPr>
        <w:pStyle w:val="P68B1DB1-Normal6"/>
        <w:spacing w:before="120" w:after="120" w:line="240" w:lineRule="auto"/>
        <w:jc w:val="both"/>
        <w:rPr>
          <w:noProof/>
        </w:rPr>
      </w:pPr>
      <w:r>
        <w:rPr>
          <w:noProof/>
        </w:rPr>
        <w:t xml:space="preserve">Investissement 1 (P2C1I1): Connectivité numérique - Développer la qualité et la disponibilité des réseaux de communication </w:t>
      </w:r>
    </w:p>
    <w:p w14:paraId="0DB1A427" w14:textId="77777777" w:rsidR="003D7F65" w:rsidRDefault="0082041E">
      <w:pPr>
        <w:pStyle w:val="P68B1DB1-Normal3"/>
        <w:spacing w:before="120" w:after="120" w:line="240" w:lineRule="auto"/>
        <w:jc w:val="both"/>
        <w:rPr>
          <w:noProof/>
        </w:rPr>
      </w:pPr>
      <w:r>
        <w:rPr>
          <w:noProof/>
        </w:rPr>
        <w:t xml:space="preserve">L’objectif de cet investissement est d’améliorer la qualité et la disponibilité des connexions de communication dans les zones où ces connexions ne sont pas fournies sur la seule base des mécanismes du marché et de fournir un soutien sous forme de subventions aux fournisseurs de haut débit. La mesure consiste en l'adoption d'un acte juridique pour le programme à haut débit et de projets à haut débit. </w:t>
      </w:r>
    </w:p>
    <w:p w14:paraId="72F31BBF" w14:textId="77777777" w:rsidR="003D7F65" w:rsidRDefault="0082041E">
      <w:pPr>
        <w:pStyle w:val="P68B1DB1-Normal6"/>
        <w:spacing w:before="120" w:after="120" w:line="240" w:lineRule="auto"/>
        <w:jc w:val="both"/>
        <w:rPr>
          <w:noProof/>
        </w:rPr>
      </w:pPr>
      <w:r>
        <w:rPr>
          <w:noProof/>
        </w:rPr>
        <w:t>Investissement 2 (P2C1I2): Transport et aménagement du territoire - Projet Digirail</w:t>
      </w:r>
    </w:p>
    <w:p w14:paraId="737C5556" w14:textId="77777777" w:rsidR="003D7F65" w:rsidRDefault="0082041E">
      <w:pPr>
        <w:pStyle w:val="P68B1DB1-Normal3"/>
        <w:spacing w:before="120" w:after="120" w:line="240" w:lineRule="auto"/>
        <w:jc w:val="both"/>
        <w:rPr>
          <w:noProof/>
        </w:rPr>
      </w:pPr>
      <w:r>
        <w:rPr>
          <w:noProof/>
        </w:rPr>
        <w:t>Cet investissement a pour objectif de tester le système européen de gestion du trafic ferroviaire (ERTMS) sur le réseau ferroviaire finlandais. Cette mesure consiste à installer le système ERTMS sur une piste pilote.</w:t>
      </w:r>
    </w:p>
    <w:p w14:paraId="03E2B444" w14:textId="77777777" w:rsidR="003D7F65" w:rsidRDefault="003D7F65">
      <w:pPr>
        <w:spacing w:before="120" w:after="120" w:line="240" w:lineRule="auto"/>
        <w:rPr>
          <w:rFonts w:ascii="Times New Roman" w:hAnsi="Times New Roman"/>
          <w:noProof/>
          <w:sz w:val="24"/>
        </w:rPr>
        <w:sectPr w:rsidR="003D7F65" w:rsidSect="00A7081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2B2A3719" w14:textId="77777777" w:rsidR="003D7F65" w:rsidRDefault="0082041E">
      <w:pPr>
        <w:pStyle w:val="P68B1DB1-Normal5"/>
        <w:spacing w:before="120" w:after="120" w:line="240" w:lineRule="auto"/>
        <w:jc w:val="both"/>
        <w:rPr>
          <w:noProof/>
        </w:rPr>
      </w:pPr>
      <w:r>
        <w:rPr>
          <w:noProof/>
        </w:rPr>
        <w:t xml:space="preserve">F.2. </w:t>
      </w:r>
      <w:r>
        <w:rPr>
          <w:noProof/>
        </w:rPr>
        <w:tab/>
        <w:t>Étapes, cibles, indicateurs et calendrier pour le suivi et la mise en œuvre du soutien financier non remboursable</w:t>
      </w:r>
    </w:p>
    <w:tbl>
      <w:tblPr>
        <w:tblW w:w="16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88"/>
        <w:gridCol w:w="1647"/>
        <w:gridCol w:w="1188"/>
        <w:gridCol w:w="1878"/>
        <w:gridCol w:w="1478"/>
        <w:gridCol w:w="856"/>
        <w:gridCol w:w="1030"/>
        <w:gridCol w:w="995"/>
        <w:gridCol w:w="992"/>
        <w:gridCol w:w="709"/>
        <w:gridCol w:w="4327"/>
      </w:tblGrid>
      <w:tr w:rsidR="003D7F65" w14:paraId="6DF79E1C" w14:textId="77777777" w:rsidTr="0024211A">
        <w:trPr>
          <w:trHeight w:val="680"/>
          <w:tblHeader/>
          <w:jc w:val="center"/>
        </w:trPr>
        <w:tc>
          <w:tcPr>
            <w:tcW w:w="988" w:type="dxa"/>
            <w:vMerge w:val="restart"/>
            <w:shd w:val="clear" w:color="auto" w:fill="BDD7EE"/>
            <w:vAlign w:val="center"/>
            <w:hideMark/>
          </w:tcPr>
          <w:p w14:paraId="0D907BDF" w14:textId="77777777" w:rsidR="003D7F65" w:rsidRDefault="0082041E">
            <w:pPr>
              <w:pStyle w:val="P68B1DB1-Normal7"/>
              <w:spacing w:after="0" w:line="240" w:lineRule="auto"/>
              <w:jc w:val="center"/>
              <w:rPr>
                <w:noProof/>
              </w:rPr>
            </w:pPr>
            <w:r>
              <w:rPr>
                <w:noProof/>
              </w:rPr>
              <w:t>Numéro</w:t>
            </w:r>
          </w:p>
        </w:tc>
        <w:tc>
          <w:tcPr>
            <w:tcW w:w="1647" w:type="dxa"/>
            <w:vMerge w:val="restart"/>
            <w:shd w:val="clear" w:color="auto" w:fill="BDD7EE"/>
            <w:vAlign w:val="center"/>
            <w:hideMark/>
          </w:tcPr>
          <w:p w14:paraId="7AECDFEB" w14:textId="2A55A198" w:rsidR="003D7F65" w:rsidRDefault="0082041E">
            <w:pPr>
              <w:pStyle w:val="P68B1DB1-Normal7"/>
              <w:spacing w:after="0" w:line="240" w:lineRule="auto"/>
              <w:jc w:val="center"/>
              <w:rPr>
                <w:noProof/>
              </w:rPr>
            </w:pPr>
            <w:r>
              <w:rPr>
                <w:noProof/>
              </w:rPr>
              <w:t>Mesure</w:t>
            </w:r>
          </w:p>
        </w:tc>
        <w:tc>
          <w:tcPr>
            <w:tcW w:w="1188" w:type="dxa"/>
            <w:vMerge w:val="restart"/>
            <w:shd w:val="clear" w:color="auto" w:fill="BDD7EE"/>
            <w:vAlign w:val="center"/>
            <w:hideMark/>
          </w:tcPr>
          <w:p w14:paraId="6C572644" w14:textId="77777777" w:rsidR="003D7F65" w:rsidRDefault="0082041E">
            <w:pPr>
              <w:pStyle w:val="P68B1DB1-Normal7"/>
              <w:spacing w:after="0" w:line="240" w:lineRule="auto"/>
              <w:jc w:val="center"/>
              <w:rPr>
                <w:noProof/>
              </w:rPr>
            </w:pPr>
            <w:r>
              <w:rPr>
                <w:noProof/>
              </w:rPr>
              <w:t>Étape/cible</w:t>
            </w:r>
          </w:p>
        </w:tc>
        <w:tc>
          <w:tcPr>
            <w:tcW w:w="1878" w:type="dxa"/>
            <w:vMerge w:val="restart"/>
            <w:shd w:val="clear" w:color="auto" w:fill="BDD7EE"/>
            <w:vAlign w:val="center"/>
            <w:hideMark/>
          </w:tcPr>
          <w:p w14:paraId="6663EE1F" w14:textId="77777777" w:rsidR="003D7F65" w:rsidRDefault="0082041E">
            <w:pPr>
              <w:pStyle w:val="P68B1DB1-Normal7"/>
              <w:spacing w:after="0" w:line="240" w:lineRule="auto"/>
              <w:jc w:val="center"/>
              <w:rPr>
                <w:noProof/>
              </w:rPr>
            </w:pPr>
            <w:r>
              <w:rPr>
                <w:noProof/>
              </w:rPr>
              <w:t>Nom</w:t>
            </w:r>
          </w:p>
        </w:tc>
        <w:tc>
          <w:tcPr>
            <w:tcW w:w="1478" w:type="dxa"/>
            <w:vMerge w:val="restart"/>
            <w:shd w:val="clear" w:color="auto" w:fill="BDD7EE"/>
            <w:vAlign w:val="center"/>
            <w:hideMark/>
          </w:tcPr>
          <w:p w14:paraId="22B2F900" w14:textId="616BB459" w:rsidR="003D7F65" w:rsidRDefault="0082041E">
            <w:pPr>
              <w:pStyle w:val="P68B1DB1-Normal7"/>
              <w:spacing w:after="0" w:line="240" w:lineRule="auto"/>
              <w:jc w:val="center"/>
              <w:rPr>
                <w:bCs/>
                <w:noProof/>
              </w:rPr>
            </w:pPr>
            <w:r>
              <w:rPr>
                <w:noProof/>
              </w:rPr>
              <w:t>Indicateurs qualitatifs (pour les jalons)</w:t>
            </w:r>
          </w:p>
        </w:tc>
        <w:tc>
          <w:tcPr>
            <w:tcW w:w="2881" w:type="dxa"/>
            <w:gridSpan w:val="3"/>
            <w:shd w:val="clear" w:color="auto" w:fill="BDD7EE"/>
            <w:vAlign w:val="center"/>
            <w:hideMark/>
          </w:tcPr>
          <w:p w14:paraId="47073164" w14:textId="77777777" w:rsidR="003D7F65" w:rsidRDefault="0082041E">
            <w:pPr>
              <w:pStyle w:val="P68B1DB1-Normal7"/>
              <w:spacing w:after="0" w:line="240" w:lineRule="auto"/>
              <w:jc w:val="center"/>
              <w:rPr>
                <w:noProof/>
              </w:rPr>
            </w:pPr>
            <w:r>
              <w:rPr>
                <w:noProof/>
              </w:rPr>
              <w:t>Indicateurs quantitatifs</w:t>
            </w:r>
            <w:r>
              <w:rPr>
                <w:noProof/>
              </w:rPr>
              <w:br/>
              <w:t>(pour les objectifs)</w:t>
            </w:r>
          </w:p>
        </w:tc>
        <w:tc>
          <w:tcPr>
            <w:tcW w:w="1701" w:type="dxa"/>
            <w:gridSpan w:val="2"/>
            <w:shd w:val="clear" w:color="auto" w:fill="BDD7EE"/>
            <w:vAlign w:val="center"/>
            <w:hideMark/>
          </w:tcPr>
          <w:p w14:paraId="79FEB299" w14:textId="17535635" w:rsidR="003D7F65" w:rsidRDefault="0082041E">
            <w:pPr>
              <w:pStyle w:val="P68B1DB1-Normal7"/>
              <w:spacing w:after="0" w:line="240" w:lineRule="auto"/>
              <w:jc w:val="center"/>
              <w:rPr>
                <w:bCs/>
                <w:noProof/>
              </w:rPr>
            </w:pPr>
            <w:r>
              <w:rPr>
                <w:noProof/>
              </w:rPr>
              <w:t xml:space="preserve">Calendrier indicatif d'achèvement </w:t>
            </w:r>
          </w:p>
        </w:tc>
        <w:tc>
          <w:tcPr>
            <w:tcW w:w="4327" w:type="dxa"/>
            <w:vMerge w:val="restart"/>
            <w:shd w:val="clear" w:color="auto" w:fill="BDD7EE"/>
            <w:vAlign w:val="center"/>
            <w:hideMark/>
          </w:tcPr>
          <w:p w14:paraId="3B169FA7" w14:textId="77777777" w:rsidR="003D7F65" w:rsidRDefault="0082041E">
            <w:pPr>
              <w:pStyle w:val="P68B1DB1-Normal7"/>
              <w:spacing w:after="0" w:line="240" w:lineRule="auto"/>
              <w:jc w:val="center"/>
              <w:rPr>
                <w:noProof/>
              </w:rPr>
            </w:pPr>
            <w:r>
              <w:rPr>
                <w:noProof/>
              </w:rPr>
              <w:t>Description de chaque jalon et cible</w:t>
            </w:r>
          </w:p>
        </w:tc>
      </w:tr>
      <w:tr w:rsidR="003D7F65" w14:paraId="5D0816F7" w14:textId="77777777" w:rsidTr="0024211A">
        <w:trPr>
          <w:trHeight w:val="404"/>
          <w:jc w:val="center"/>
        </w:trPr>
        <w:tc>
          <w:tcPr>
            <w:tcW w:w="988" w:type="dxa"/>
            <w:vMerge/>
            <w:vAlign w:val="center"/>
            <w:hideMark/>
          </w:tcPr>
          <w:p w14:paraId="4F798D36" w14:textId="77777777" w:rsidR="003D7F65" w:rsidRDefault="003D7F65">
            <w:pPr>
              <w:spacing w:after="0" w:line="240" w:lineRule="auto"/>
              <w:rPr>
                <w:rFonts w:ascii="Times New Roman" w:eastAsia="Times New Roman" w:hAnsi="Times New Roman"/>
                <w:b/>
                <w:bCs/>
                <w:noProof/>
                <w:sz w:val="20"/>
                <w:szCs w:val="20"/>
              </w:rPr>
            </w:pPr>
          </w:p>
        </w:tc>
        <w:tc>
          <w:tcPr>
            <w:tcW w:w="1647" w:type="dxa"/>
            <w:vMerge/>
            <w:vAlign w:val="center"/>
            <w:hideMark/>
          </w:tcPr>
          <w:p w14:paraId="052B1FF8" w14:textId="77777777" w:rsidR="003D7F65" w:rsidRDefault="003D7F65">
            <w:pPr>
              <w:spacing w:after="0" w:line="240" w:lineRule="auto"/>
              <w:rPr>
                <w:rFonts w:ascii="Times New Roman" w:eastAsia="Times New Roman" w:hAnsi="Times New Roman"/>
                <w:b/>
                <w:bCs/>
                <w:noProof/>
                <w:sz w:val="20"/>
                <w:szCs w:val="20"/>
              </w:rPr>
            </w:pPr>
          </w:p>
        </w:tc>
        <w:tc>
          <w:tcPr>
            <w:tcW w:w="1188" w:type="dxa"/>
            <w:vMerge/>
            <w:vAlign w:val="center"/>
            <w:hideMark/>
          </w:tcPr>
          <w:p w14:paraId="62762E48" w14:textId="77777777" w:rsidR="003D7F65" w:rsidRDefault="003D7F65">
            <w:pPr>
              <w:spacing w:after="0" w:line="240" w:lineRule="auto"/>
              <w:rPr>
                <w:rFonts w:ascii="Times New Roman" w:eastAsia="Times New Roman" w:hAnsi="Times New Roman"/>
                <w:b/>
                <w:bCs/>
                <w:noProof/>
                <w:sz w:val="20"/>
                <w:szCs w:val="20"/>
              </w:rPr>
            </w:pPr>
          </w:p>
        </w:tc>
        <w:tc>
          <w:tcPr>
            <w:tcW w:w="1878" w:type="dxa"/>
            <w:vMerge/>
            <w:vAlign w:val="center"/>
            <w:hideMark/>
          </w:tcPr>
          <w:p w14:paraId="6ADA5B0B" w14:textId="77777777" w:rsidR="003D7F65" w:rsidRDefault="003D7F65">
            <w:pPr>
              <w:spacing w:after="0" w:line="240" w:lineRule="auto"/>
              <w:rPr>
                <w:rFonts w:ascii="Times New Roman" w:eastAsia="Times New Roman" w:hAnsi="Times New Roman"/>
                <w:b/>
                <w:bCs/>
                <w:noProof/>
                <w:sz w:val="20"/>
                <w:szCs w:val="20"/>
              </w:rPr>
            </w:pPr>
          </w:p>
        </w:tc>
        <w:tc>
          <w:tcPr>
            <w:tcW w:w="1478" w:type="dxa"/>
            <w:vMerge/>
            <w:vAlign w:val="center"/>
            <w:hideMark/>
          </w:tcPr>
          <w:p w14:paraId="55E39B7F" w14:textId="77777777" w:rsidR="003D7F65" w:rsidRDefault="003D7F65">
            <w:pPr>
              <w:spacing w:after="0" w:line="240" w:lineRule="auto"/>
              <w:rPr>
                <w:rFonts w:ascii="Times New Roman" w:eastAsia="Times New Roman" w:hAnsi="Times New Roman"/>
                <w:b/>
                <w:bCs/>
                <w:noProof/>
                <w:sz w:val="20"/>
                <w:szCs w:val="20"/>
              </w:rPr>
            </w:pPr>
          </w:p>
        </w:tc>
        <w:tc>
          <w:tcPr>
            <w:tcW w:w="856" w:type="dxa"/>
            <w:shd w:val="clear" w:color="auto" w:fill="BDD7EE"/>
            <w:vAlign w:val="center"/>
            <w:hideMark/>
          </w:tcPr>
          <w:p w14:paraId="17D14390" w14:textId="77777777" w:rsidR="003D7F65" w:rsidRDefault="0082041E">
            <w:pPr>
              <w:pStyle w:val="P68B1DB1-Normal7"/>
              <w:spacing w:after="0" w:line="240" w:lineRule="auto"/>
              <w:jc w:val="center"/>
              <w:rPr>
                <w:noProof/>
              </w:rPr>
            </w:pPr>
            <w:r>
              <w:rPr>
                <w:noProof/>
              </w:rPr>
              <w:t xml:space="preserve">Unité </w:t>
            </w:r>
          </w:p>
        </w:tc>
        <w:tc>
          <w:tcPr>
            <w:tcW w:w="1030" w:type="dxa"/>
            <w:shd w:val="clear" w:color="auto" w:fill="BDD7EE"/>
            <w:vAlign w:val="center"/>
            <w:hideMark/>
          </w:tcPr>
          <w:p w14:paraId="5219986B" w14:textId="77777777" w:rsidR="003D7F65" w:rsidRDefault="0082041E">
            <w:pPr>
              <w:pStyle w:val="P68B1DB1-Normal7"/>
              <w:spacing w:after="0" w:line="240" w:lineRule="auto"/>
              <w:jc w:val="center"/>
              <w:rPr>
                <w:noProof/>
              </w:rPr>
            </w:pPr>
            <w:r>
              <w:rPr>
                <w:noProof/>
              </w:rPr>
              <w:t xml:space="preserve">Données de référence </w:t>
            </w:r>
          </w:p>
        </w:tc>
        <w:tc>
          <w:tcPr>
            <w:tcW w:w="995" w:type="dxa"/>
            <w:shd w:val="clear" w:color="auto" w:fill="BDD7EE"/>
            <w:vAlign w:val="center"/>
            <w:hideMark/>
          </w:tcPr>
          <w:p w14:paraId="3AF9280C" w14:textId="77777777" w:rsidR="003D7F65" w:rsidRDefault="0082041E">
            <w:pPr>
              <w:pStyle w:val="P68B1DB1-Normal7"/>
              <w:spacing w:after="0" w:line="240" w:lineRule="auto"/>
              <w:jc w:val="center"/>
              <w:rPr>
                <w:noProof/>
              </w:rPr>
            </w:pPr>
            <w:r>
              <w:rPr>
                <w:noProof/>
              </w:rPr>
              <w:t xml:space="preserve">Objectif </w:t>
            </w:r>
          </w:p>
        </w:tc>
        <w:tc>
          <w:tcPr>
            <w:tcW w:w="992" w:type="dxa"/>
            <w:shd w:val="clear" w:color="auto" w:fill="BDD7EE"/>
            <w:vAlign w:val="center"/>
            <w:hideMark/>
          </w:tcPr>
          <w:p w14:paraId="038232C6" w14:textId="77777777" w:rsidR="003D7F65" w:rsidRDefault="0082041E">
            <w:pPr>
              <w:pStyle w:val="P68B1DB1-Normal7"/>
              <w:spacing w:after="0" w:line="240" w:lineRule="auto"/>
              <w:jc w:val="center"/>
              <w:rPr>
                <w:noProof/>
              </w:rPr>
            </w:pPr>
            <w:r>
              <w:rPr>
                <w:noProof/>
              </w:rPr>
              <w:t>Trimestre</w:t>
            </w:r>
          </w:p>
        </w:tc>
        <w:tc>
          <w:tcPr>
            <w:tcW w:w="709" w:type="dxa"/>
            <w:shd w:val="clear" w:color="auto" w:fill="BDD7EE"/>
            <w:vAlign w:val="center"/>
            <w:hideMark/>
          </w:tcPr>
          <w:p w14:paraId="34E28450" w14:textId="77777777" w:rsidR="003D7F65" w:rsidRDefault="0082041E">
            <w:pPr>
              <w:pStyle w:val="P68B1DB1-Normal7"/>
              <w:spacing w:after="0" w:line="240" w:lineRule="auto"/>
              <w:jc w:val="center"/>
              <w:rPr>
                <w:noProof/>
              </w:rPr>
            </w:pPr>
            <w:r>
              <w:rPr>
                <w:noProof/>
              </w:rPr>
              <w:t>Année</w:t>
            </w:r>
          </w:p>
        </w:tc>
        <w:tc>
          <w:tcPr>
            <w:tcW w:w="4327" w:type="dxa"/>
            <w:vMerge/>
            <w:vAlign w:val="center"/>
            <w:hideMark/>
          </w:tcPr>
          <w:p w14:paraId="70FAB53F" w14:textId="77777777" w:rsidR="003D7F65" w:rsidRDefault="003D7F65">
            <w:pPr>
              <w:spacing w:after="0" w:line="240" w:lineRule="auto"/>
              <w:jc w:val="center"/>
              <w:rPr>
                <w:rFonts w:ascii="Times New Roman" w:eastAsia="Times New Roman" w:hAnsi="Times New Roman"/>
                <w:b/>
                <w:bCs/>
                <w:noProof/>
                <w:sz w:val="20"/>
                <w:szCs w:val="20"/>
              </w:rPr>
            </w:pPr>
          </w:p>
        </w:tc>
      </w:tr>
      <w:tr w:rsidR="003D7F65" w14:paraId="5F121F7F" w14:textId="77777777" w:rsidTr="0024211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1A65DCEC" w14:textId="77777777" w:rsidR="003D7F65" w:rsidRDefault="0082041E">
            <w:pPr>
              <w:pStyle w:val="P68B1DB1-Normal9"/>
              <w:spacing w:after="0" w:line="240" w:lineRule="auto"/>
              <w:jc w:val="center"/>
              <w:rPr>
                <w:noProof/>
              </w:rPr>
            </w:pPr>
            <w:r>
              <w:rPr>
                <w:noProof/>
              </w:rPr>
              <w:t>55</w:t>
            </w:r>
          </w:p>
        </w:tc>
        <w:tc>
          <w:tcPr>
            <w:tcW w:w="1647" w:type="dxa"/>
            <w:tcBorders>
              <w:top w:val="single" w:sz="4" w:space="0" w:color="auto"/>
              <w:left w:val="single" w:sz="4" w:space="0" w:color="auto"/>
              <w:bottom w:val="single" w:sz="4" w:space="0" w:color="auto"/>
              <w:right w:val="single" w:sz="4" w:space="0" w:color="auto"/>
            </w:tcBorders>
            <w:shd w:val="clear" w:color="auto" w:fill="C6EFCE"/>
            <w:noWrap/>
            <w:hideMark/>
          </w:tcPr>
          <w:p w14:paraId="50D8FF62" w14:textId="77777777" w:rsidR="003D7F65" w:rsidRDefault="0082041E">
            <w:pPr>
              <w:pStyle w:val="P68B1DB1-Normal9"/>
              <w:spacing w:after="0" w:line="240" w:lineRule="auto"/>
              <w:rPr>
                <w:noProof/>
              </w:rPr>
            </w:pPr>
            <w:r>
              <w:rPr>
                <w:noProof/>
              </w:rPr>
              <w:t>P2C1I1- Connectivité numérique – Développer la qualité et la disponibilité des réseaux de communication</w:t>
            </w:r>
          </w:p>
        </w:tc>
        <w:tc>
          <w:tcPr>
            <w:tcW w:w="1188" w:type="dxa"/>
            <w:tcBorders>
              <w:top w:val="single" w:sz="4" w:space="0" w:color="auto"/>
              <w:left w:val="single" w:sz="4" w:space="0" w:color="auto"/>
              <w:bottom w:val="single" w:sz="4" w:space="0" w:color="auto"/>
              <w:right w:val="single" w:sz="4" w:space="0" w:color="auto"/>
            </w:tcBorders>
            <w:shd w:val="clear" w:color="auto" w:fill="C6EFCE"/>
            <w:noWrap/>
            <w:hideMark/>
          </w:tcPr>
          <w:p w14:paraId="2FCA2E8A" w14:textId="77777777" w:rsidR="003D7F65" w:rsidRDefault="0082041E">
            <w:pPr>
              <w:pStyle w:val="P68B1DB1-Normal9"/>
              <w:spacing w:after="0" w:line="240" w:lineRule="auto"/>
              <w:rPr>
                <w:noProof/>
              </w:rPr>
            </w:pPr>
            <w:r>
              <w:rPr>
                <w:noProof/>
              </w:rPr>
              <w:t>Étape</w:t>
            </w:r>
          </w:p>
        </w:tc>
        <w:tc>
          <w:tcPr>
            <w:tcW w:w="1878" w:type="dxa"/>
            <w:tcBorders>
              <w:top w:val="single" w:sz="4" w:space="0" w:color="auto"/>
              <w:left w:val="single" w:sz="4" w:space="0" w:color="auto"/>
              <w:bottom w:val="single" w:sz="4" w:space="0" w:color="auto"/>
              <w:right w:val="single" w:sz="4" w:space="0" w:color="auto"/>
            </w:tcBorders>
            <w:shd w:val="clear" w:color="auto" w:fill="C6EFCE"/>
            <w:noWrap/>
            <w:hideMark/>
          </w:tcPr>
          <w:p w14:paraId="7A683919" w14:textId="77777777" w:rsidR="003D7F65" w:rsidRDefault="0082041E">
            <w:pPr>
              <w:pStyle w:val="P68B1DB1-Normal9"/>
              <w:spacing w:after="0" w:line="240" w:lineRule="auto"/>
              <w:rPr>
                <w:noProof/>
              </w:rPr>
            </w:pPr>
            <w:r>
              <w:rPr>
                <w:noProof/>
              </w:rPr>
              <w:t>Entrée en vigueur des modifications législatives apportées à la législation sur les aides en faveur du haut débit</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0B63738A" w14:textId="77777777" w:rsidR="003D7F65" w:rsidRDefault="0082041E">
            <w:pPr>
              <w:pStyle w:val="P68B1DB1-Normal9"/>
              <w:spacing w:after="0" w:line="240" w:lineRule="auto"/>
              <w:rPr>
                <w:noProof/>
              </w:rPr>
            </w:pPr>
            <w:r>
              <w:rPr>
                <w:noProof/>
              </w:rPr>
              <w:t>Dispositions des modifications de la législation relative aux aides en faveur du haut débit indiquant leur entrée en vigueur</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01542790" w14:textId="77777777" w:rsidR="003D7F65" w:rsidRDefault="003D7F65">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tcPr>
          <w:p w14:paraId="147E7C28" w14:textId="77777777" w:rsidR="003D7F65" w:rsidRDefault="003D7F65">
            <w:pPr>
              <w:spacing w:after="0" w:line="240" w:lineRule="auto"/>
              <w:jc w:val="center"/>
              <w:rPr>
                <w:rFonts w:ascii="Times New Roman" w:eastAsia="Times New Roman" w:hAnsi="Times New Roman"/>
                <w:noProof/>
                <w:sz w:val="20"/>
                <w:szCs w:val="20"/>
              </w:rPr>
            </w:pPr>
          </w:p>
        </w:tc>
        <w:tc>
          <w:tcPr>
            <w:tcW w:w="995" w:type="dxa"/>
            <w:tcBorders>
              <w:top w:val="single" w:sz="4" w:space="0" w:color="auto"/>
              <w:left w:val="single" w:sz="4" w:space="0" w:color="auto"/>
              <w:bottom w:val="single" w:sz="4" w:space="0" w:color="auto"/>
              <w:right w:val="single" w:sz="4" w:space="0" w:color="auto"/>
            </w:tcBorders>
            <w:shd w:val="clear" w:color="auto" w:fill="C6EFCE"/>
            <w:noWrap/>
          </w:tcPr>
          <w:p w14:paraId="536DD0E4"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6F38F50" w14:textId="77777777" w:rsidR="003D7F65" w:rsidRDefault="0082041E">
            <w:pPr>
              <w:pStyle w:val="P68B1DB1-Normal9"/>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8CDAF01" w14:textId="77777777" w:rsidR="003D7F65" w:rsidRDefault="0082041E">
            <w:pPr>
              <w:pStyle w:val="P68B1DB1-Normal9"/>
              <w:spacing w:after="0" w:line="240" w:lineRule="auto"/>
              <w:jc w:val="center"/>
              <w:rPr>
                <w:noProof/>
              </w:rPr>
            </w:pPr>
            <w:r>
              <w:rPr>
                <w:noProof/>
              </w:rPr>
              <w:t>2022</w:t>
            </w:r>
          </w:p>
        </w:tc>
        <w:tc>
          <w:tcPr>
            <w:tcW w:w="4327" w:type="dxa"/>
            <w:tcBorders>
              <w:top w:val="single" w:sz="4" w:space="0" w:color="auto"/>
              <w:left w:val="single" w:sz="4" w:space="0" w:color="auto"/>
              <w:bottom w:val="single" w:sz="4" w:space="0" w:color="auto"/>
              <w:right w:val="single" w:sz="4" w:space="0" w:color="auto"/>
            </w:tcBorders>
            <w:shd w:val="clear" w:color="auto" w:fill="C6EFCE"/>
            <w:noWrap/>
            <w:hideMark/>
          </w:tcPr>
          <w:p w14:paraId="45BF8305" w14:textId="77777777" w:rsidR="003D7F65" w:rsidRDefault="0082041E">
            <w:pPr>
              <w:pStyle w:val="P68B1DB1-Normal9"/>
              <w:spacing w:after="0" w:line="240" w:lineRule="auto"/>
              <w:rPr>
                <w:noProof/>
              </w:rPr>
            </w:pPr>
            <w:r>
              <w:rPr>
                <w:noProof/>
              </w:rPr>
              <w:t>Les modifications nécessaires de la législation relative aux aides à la large bande sont entrées en vigueur. La loi sur le soutien au haut débit fixe les dispositions relatives aux conditions d’octroi et de versement des fonds, y compris les critères relatifs aux domaines ciblés, ainsi qu’à l’autorité de soutien compétente et à ses tâches. Elle tient compte de toute modification nécessaire en raison de la modification du règlement général d’exemption par catégorie, y compris la mise à jour d’un décret gouvernemental prévoyant des vitesses minimales pour les connexions éligibles.</w:t>
            </w:r>
          </w:p>
        </w:tc>
      </w:tr>
      <w:tr w:rsidR="003D7F65" w14:paraId="361F146C" w14:textId="77777777" w:rsidTr="0024211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554F2C51" w14:textId="77777777" w:rsidR="003D7F65" w:rsidRDefault="0082041E">
            <w:pPr>
              <w:pStyle w:val="P68B1DB1-Normal9"/>
              <w:spacing w:after="0" w:line="240" w:lineRule="auto"/>
              <w:jc w:val="center"/>
              <w:rPr>
                <w:noProof/>
              </w:rPr>
            </w:pPr>
            <w:r>
              <w:rPr>
                <w:noProof/>
              </w:rPr>
              <w:t>57</w:t>
            </w:r>
          </w:p>
        </w:tc>
        <w:tc>
          <w:tcPr>
            <w:tcW w:w="1647" w:type="dxa"/>
            <w:tcBorders>
              <w:top w:val="single" w:sz="4" w:space="0" w:color="auto"/>
              <w:left w:val="single" w:sz="4" w:space="0" w:color="auto"/>
              <w:bottom w:val="single" w:sz="4" w:space="0" w:color="auto"/>
              <w:right w:val="single" w:sz="4" w:space="0" w:color="auto"/>
            </w:tcBorders>
            <w:shd w:val="clear" w:color="auto" w:fill="C6EFCE"/>
            <w:noWrap/>
            <w:hideMark/>
          </w:tcPr>
          <w:p w14:paraId="59640FD1" w14:textId="77777777" w:rsidR="003D7F65" w:rsidRDefault="0082041E">
            <w:pPr>
              <w:pStyle w:val="P68B1DB1-Normal9"/>
              <w:spacing w:after="0" w:line="240" w:lineRule="auto"/>
              <w:rPr>
                <w:noProof/>
              </w:rPr>
            </w:pPr>
            <w:r>
              <w:rPr>
                <w:noProof/>
              </w:rPr>
              <w:t>P2C1I1- Connectivité numérique – Développer la qualité et la disponibilité des réseaux de communication</w:t>
            </w:r>
          </w:p>
        </w:tc>
        <w:tc>
          <w:tcPr>
            <w:tcW w:w="1188" w:type="dxa"/>
            <w:tcBorders>
              <w:top w:val="single" w:sz="4" w:space="0" w:color="auto"/>
              <w:left w:val="single" w:sz="4" w:space="0" w:color="auto"/>
              <w:bottom w:val="single" w:sz="4" w:space="0" w:color="auto"/>
              <w:right w:val="single" w:sz="4" w:space="0" w:color="auto"/>
            </w:tcBorders>
            <w:shd w:val="clear" w:color="auto" w:fill="C6EFCE"/>
            <w:noWrap/>
            <w:hideMark/>
          </w:tcPr>
          <w:p w14:paraId="6EBFB072" w14:textId="77777777" w:rsidR="003D7F65" w:rsidRDefault="0082041E">
            <w:pPr>
              <w:pStyle w:val="P68B1DB1-Normal9"/>
              <w:spacing w:after="0" w:line="240" w:lineRule="auto"/>
              <w:rPr>
                <w:noProof/>
              </w:rPr>
            </w:pPr>
            <w:r>
              <w:rPr>
                <w:noProof/>
              </w:rPr>
              <w:t>Objectif</w:t>
            </w:r>
          </w:p>
        </w:tc>
        <w:tc>
          <w:tcPr>
            <w:tcW w:w="1878" w:type="dxa"/>
            <w:tcBorders>
              <w:top w:val="single" w:sz="4" w:space="0" w:color="auto"/>
              <w:left w:val="single" w:sz="4" w:space="0" w:color="auto"/>
              <w:bottom w:val="single" w:sz="4" w:space="0" w:color="auto"/>
              <w:right w:val="single" w:sz="4" w:space="0" w:color="auto"/>
            </w:tcBorders>
            <w:shd w:val="clear" w:color="auto" w:fill="C6EFCE"/>
            <w:noWrap/>
            <w:hideMark/>
          </w:tcPr>
          <w:p w14:paraId="4AE0F85B" w14:textId="77777777" w:rsidR="003D7F65" w:rsidRDefault="0082041E">
            <w:pPr>
              <w:pStyle w:val="P68B1DB1-Normal9"/>
              <w:spacing w:after="0" w:line="240" w:lineRule="auto"/>
              <w:rPr>
                <w:noProof/>
              </w:rPr>
            </w:pPr>
            <w:r>
              <w:rPr>
                <w:noProof/>
              </w:rPr>
              <w:t xml:space="preserve">Projets à haut débit (100/100 Mbit/s) </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33A4871D" w14:textId="77777777" w:rsidR="003D7F65" w:rsidRDefault="003D7F65">
            <w:pPr>
              <w:spacing w:after="0" w:line="240" w:lineRule="auto"/>
              <w:rPr>
                <w:rFonts w:ascii="Times New Roman" w:eastAsia="Times New Roman" w:hAnsi="Times New Roman"/>
                <w:noProof/>
                <w:sz w:val="20"/>
                <w:szCs w:val="20"/>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49E02506" w14:textId="77777777" w:rsidR="003D7F65" w:rsidRDefault="0082041E">
            <w:pPr>
              <w:pStyle w:val="P68B1DB1-Normal9"/>
              <w:spacing w:after="0" w:line="240" w:lineRule="auto"/>
              <w:jc w:val="center"/>
              <w:rPr>
                <w:noProof/>
              </w:rPr>
            </w:pPr>
            <w:r>
              <w:rPr>
                <w:noProof/>
              </w:rPr>
              <w:t>Numéro</w:t>
            </w: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36F92794" w14:textId="77777777" w:rsidR="003D7F65" w:rsidRDefault="0082041E">
            <w:pPr>
              <w:pStyle w:val="P68B1DB1-Normal9"/>
              <w:spacing w:after="0" w:line="240" w:lineRule="auto"/>
              <w:jc w:val="center"/>
              <w:rPr>
                <w:noProof/>
              </w:rPr>
            </w:pPr>
            <w:r>
              <w:rPr>
                <w:noProof/>
              </w:rPr>
              <w:t>0</w:t>
            </w:r>
          </w:p>
        </w:tc>
        <w:tc>
          <w:tcPr>
            <w:tcW w:w="995" w:type="dxa"/>
            <w:tcBorders>
              <w:top w:val="single" w:sz="4" w:space="0" w:color="auto"/>
              <w:left w:val="single" w:sz="4" w:space="0" w:color="auto"/>
              <w:bottom w:val="single" w:sz="4" w:space="0" w:color="auto"/>
              <w:right w:val="single" w:sz="4" w:space="0" w:color="auto"/>
            </w:tcBorders>
            <w:shd w:val="clear" w:color="auto" w:fill="C6EFCE"/>
            <w:noWrap/>
            <w:hideMark/>
          </w:tcPr>
          <w:p w14:paraId="0F702EC9" w14:textId="77777777" w:rsidR="003D7F65" w:rsidRDefault="0082041E">
            <w:pPr>
              <w:pStyle w:val="P68B1DB1-Normal9"/>
              <w:spacing w:after="0" w:line="240" w:lineRule="auto"/>
              <w:jc w:val="center"/>
              <w:rPr>
                <w:noProof/>
              </w:rPr>
            </w:pPr>
            <w:r>
              <w:rPr>
                <w:noProof/>
              </w:rPr>
              <w:t>35</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DBF9C93" w14:textId="77777777" w:rsidR="003D7F65" w:rsidRDefault="0082041E">
            <w:pPr>
              <w:pStyle w:val="P68B1DB1-Normal9"/>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AE69F27" w14:textId="77777777" w:rsidR="003D7F65" w:rsidRDefault="0082041E">
            <w:pPr>
              <w:pStyle w:val="P68B1DB1-Normal9"/>
              <w:spacing w:after="0" w:line="240" w:lineRule="auto"/>
              <w:jc w:val="center"/>
              <w:rPr>
                <w:noProof/>
              </w:rPr>
            </w:pPr>
            <w:r>
              <w:rPr>
                <w:noProof/>
              </w:rPr>
              <w:t>2026</w:t>
            </w:r>
          </w:p>
        </w:tc>
        <w:tc>
          <w:tcPr>
            <w:tcW w:w="4327" w:type="dxa"/>
            <w:tcBorders>
              <w:top w:val="single" w:sz="4" w:space="0" w:color="auto"/>
              <w:left w:val="single" w:sz="4" w:space="0" w:color="auto"/>
              <w:bottom w:val="single" w:sz="4" w:space="0" w:color="auto"/>
              <w:right w:val="single" w:sz="4" w:space="0" w:color="auto"/>
            </w:tcBorders>
            <w:shd w:val="clear" w:color="auto" w:fill="C6EFCE"/>
            <w:noWrap/>
            <w:hideMark/>
          </w:tcPr>
          <w:p w14:paraId="1C74564A" w14:textId="39E8C6D8" w:rsidR="003D7F65" w:rsidRDefault="0082041E">
            <w:pPr>
              <w:pStyle w:val="P68B1DB1-Normal9"/>
              <w:spacing w:after="0" w:line="240" w:lineRule="auto"/>
              <w:rPr>
                <w:noProof/>
              </w:rPr>
            </w:pPr>
            <w:r>
              <w:rPr>
                <w:noProof/>
              </w:rPr>
              <w:t>35 paiements finaux approuvés pour des projets à haut débit (au moins 100/100 Mbit/s).</w:t>
            </w:r>
          </w:p>
        </w:tc>
      </w:tr>
      <w:tr w:rsidR="003D7F65" w14:paraId="2737452D" w14:textId="77777777" w:rsidTr="0024211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615F4E45" w14:textId="77777777" w:rsidR="003D7F65" w:rsidRDefault="0082041E">
            <w:pPr>
              <w:pStyle w:val="P68B1DB1-Normal9"/>
              <w:spacing w:after="0" w:line="240" w:lineRule="auto"/>
              <w:jc w:val="center"/>
              <w:rPr>
                <w:noProof/>
              </w:rPr>
            </w:pPr>
            <w:r>
              <w:rPr>
                <w:noProof/>
              </w:rPr>
              <w:t>58</w:t>
            </w:r>
          </w:p>
        </w:tc>
        <w:tc>
          <w:tcPr>
            <w:tcW w:w="1647" w:type="dxa"/>
            <w:tcBorders>
              <w:top w:val="single" w:sz="4" w:space="0" w:color="auto"/>
              <w:left w:val="single" w:sz="4" w:space="0" w:color="auto"/>
              <w:bottom w:val="single" w:sz="4" w:space="0" w:color="auto"/>
              <w:right w:val="single" w:sz="4" w:space="0" w:color="auto"/>
            </w:tcBorders>
            <w:shd w:val="clear" w:color="auto" w:fill="C6EFCE"/>
            <w:noWrap/>
            <w:hideMark/>
          </w:tcPr>
          <w:p w14:paraId="204AA182" w14:textId="77777777" w:rsidR="003D7F65" w:rsidRDefault="0082041E">
            <w:pPr>
              <w:pStyle w:val="P68B1DB1-Normal9"/>
              <w:spacing w:after="0" w:line="240" w:lineRule="auto"/>
              <w:rPr>
                <w:noProof/>
              </w:rPr>
            </w:pPr>
            <w:r>
              <w:rPr>
                <w:noProof/>
              </w:rPr>
              <w:t>P2C1I2 – Transport et aménagement du territoire – Projet Digirail</w:t>
            </w:r>
          </w:p>
        </w:tc>
        <w:tc>
          <w:tcPr>
            <w:tcW w:w="1188" w:type="dxa"/>
            <w:tcBorders>
              <w:top w:val="single" w:sz="4" w:space="0" w:color="auto"/>
              <w:left w:val="single" w:sz="4" w:space="0" w:color="auto"/>
              <w:bottom w:val="single" w:sz="4" w:space="0" w:color="auto"/>
              <w:right w:val="single" w:sz="4" w:space="0" w:color="auto"/>
            </w:tcBorders>
            <w:shd w:val="clear" w:color="auto" w:fill="C6EFCE"/>
            <w:noWrap/>
            <w:hideMark/>
          </w:tcPr>
          <w:p w14:paraId="6A22B60A" w14:textId="77777777" w:rsidR="003D7F65" w:rsidRDefault="0082041E">
            <w:pPr>
              <w:pStyle w:val="P68B1DB1-Normal9"/>
              <w:spacing w:after="0" w:line="240" w:lineRule="auto"/>
              <w:rPr>
                <w:noProof/>
              </w:rPr>
            </w:pPr>
            <w:r>
              <w:rPr>
                <w:noProof/>
              </w:rPr>
              <w:t>Étape</w:t>
            </w:r>
          </w:p>
        </w:tc>
        <w:tc>
          <w:tcPr>
            <w:tcW w:w="1878" w:type="dxa"/>
            <w:tcBorders>
              <w:top w:val="single" w:sz="4" w:space="0" w:color="auto"/>
              <w:left w:val="single" w:sz="4" w:space="0" w:color="auto"/>
              <w:bottom w:val="single" w:sz="4" w:space="0" w:color="auto"/>
              <w:right w:val="single" w:sz="4" w:space="0" w:color="auto"/>
            </w:tcBorders>
            <w:shd w:val="clear" w:color="auto" w:fill="C6EFCE"/>
            <w:noWrap/>
            <w:hideMark/>
          </w:tcPr>
          <w:p w14:paraId="50AE9837" w14:textId="77777777" w:rsidR="003D7F65" w:rsidRDefault="0082041E">
            <w:pPr>
              <w:pStyle w:val="P68B1DB1-Normal9"/>
              <w:spacing w:after="0" w:line="240" w:lineRule="auto"/>
              <w:rPr>
                <w:noProof/>
              </w:rPr>
            </w:pPr>
            <w:r>
              <w:rPr>
                <w:noProof/>
              </w:rPr>
              <w:t>Le laboratoire d'essais sur les équipements de modélisation pour le système européen commun de protection automatique des trains (ERTMS) est opérationnel</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5512561D" w14:textId="77777777" w:rsidR="003D7F65" w:rsidRDefault="0082041E">
            <w:pPr>
              <w:pStyle w:val="P68B1DB1-Normal9"/>
              <w:spacing w:after="0" w:line="240" w:lineRule="auto"/>
              <w:rPr>
                <w:noProof/>
              </w:rPr>
            </w:pPr>
            <w:r>
              <w:rPr>
                <w:noProof/>
              </w:rPr>
              <w:t>Le laboratoire d'essais a été mis en place au centre de formation ferroviaire de Kouvola et est disponible pour effectuer les tests de simulation virtuels.</w:t>
            </w: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3B7E7219" w14:textId="77777777" w:rsidR="003D7F65" w:rsidRDefault="003D7F65">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7CEC0192" w14:textId="7C05B57A" w:rsidR="003D7F65" w:rsidRDefault="003D7F65">
            <w:pPr>
              <w:spacing w:after="0" w:line="240" w:lineRule="auto"/>
              <w:jc w:val="center"/>
              <w:rPr>
                <w:rFonts w:ascii="Times New Roman" w:eastAsia="Times New Roman" w:hAnsi="Times New Roman"/>
                <w:noProof/>
                <w:sz w:val="20"/>
                <w:szCs w:val="20"/>
              </w:rPr>
            </w:pPr>
          </w:p>
        </w:tc>
        <w:tc>
          <w:tcPr>
            <w:tcW w:w="995" w:type="dxa"/>
            <w:tcBorders>
              <w:top w:val="single" w:sz="4" w:space="0" w:color="auto"/>
              <w:left w:val="single" w:sz="4" w:space="0" w:color="auto"/>
              <w:bottom w:val="single" w:sz="4" w:space="0" w:color="auto"/>
              <w:right w:val="single" w:sz="4" w:space="0" w:color="auto"/>
            </w:tcBorders>
            <w:shd w:val="clear" w:color="auto" w:fill="C6EFCE"/>
            <w:noWrap/>
            <w:hideMark/>
          </w:tcPr>
          <w:p w14:paraId="05052BBD" w14:textId="020FF9A4"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26BA224" w14:textId="77777777" w:rsidR="003D7F65" w:rsidRDefault="0082041E">
            <w:pPr>
              <w:pStyle w:val="P68B1DB1-Normal9"/>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6638068F" w14:textId="77777777" w:rsidR="003D7F65" w:rsidRDefault="0082041E">
            <w:pPr>
              <w:pStyle w:val="P68B1DB1-Normal9"/>
              <w:spacing w:after="0" w:line="240" w:lineRule="auto"/>
              <w:jc w:val="center"/>
              <w:rPr>
                <w:noProof/>
              </w:rPr>
            </w:pPr>
            <w:r>
              <w:rPr>
                <w:noProof/>
              </w:rPr>
              <w:t>2022</w:t>
            </w:r>
          </w:p>
        </w:tc>
        <w:tc>
          <w:tcPr>
            <w:tcW w:w="4327" w:type="dxa"/>
            <w:tcBorders>
              <w:top w:val="single" w:sz="4" w:space="0" w:color="auto"/>
              <w:left w:val="single" w:sz="4" w:space="0" w:color="auto"/>
              <w:bottom w:val="single" w:sz="4" w:space="0" w:color="auto"/>
              <w:right w:val="single" w:sz="4" w:space="0" w:color="auto"/>
            </w:tcBorders>
            <w:shd w:val="clear" w:color="auto" w:fill="C6EFCE"/>
            <w:noWrap/>
            <w:hideMark/>
          </w:tcPr>
          <w:p w14:paraId="0E6080BB" w14:textId="77777777" w:rsidR="003D7F65" w:rsidRDefault="0082041E">
            <w:pPr>
              <w:pStyle w:val="P68B1DB1-Normal9"/>
              <w:spacing w:after="0" w:line="240" w:lineRule="auto"/>
              <w:rPr>
                <w:noProof/>
              </w:rPr>
            </w:pPr>
            <w:r>
              <w:rPr>
                <w:noProof/>
              </w:rPr>
              <w:t>Les travaux de développement doivent être entamés au moyen d'analyses d'impact réalisées par le laboratoire d'essais avant que la phase de développement puisse passer à des essais dans des conditions réalistes.</w:t>
            </w:r>
          </w:p>
        </w:tc>
      </w:tr>
      <w:tr w:rsidR="003D7F65" w14:paraId="7E4F11A1" w14:textId="77777777" w:rsidTr="0024211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0E658E84" w14:textId="77777777" w:rsidR="003D7F65" w:rsidRDefault="0082041E">
            <w:pPr>
              <w:pStyle w:val="P68B1DB1-Normal9"/>
              <w:spacing w:after="0" w:line="240" w:lineRule="auto"/>
              <w:jc w:val="center"/>
              <w:rPr>
                <w:noProof/>
              </w:rPr>
            </w:pPr>
            <w:r>
              <w:rPr>
                <w:noProof/>
              </w:rPr>
              <w:t>59</w:t>
            </w:r>
          </w:p>
        </w:tc>
        <w:tc>
          <w:tcPr>
            <w:tcW w:w="1647" w:type="dxa"/>
            <w:tcBorders>
              <w:top w:val="single" w:sz="4" w:space="0" w:color="auto"/>
              <w:left w:val="single" w:sz="4" w:space="0" w:color="auto"/>
              <w:bottom w:val="single" w:sz="4" w:space="0" w:color="auto"/>
              <w:right w:val="single" w:sz="4" w:space="0" w:color="auto"/>
            </w:tcBorders>
            <w:shd w:val="clear" w:color="auto" w:fill="C6EFCE"/>
            <w:noWrap/>
            <w:hideMark/>
          </w:tcPr>
          <w:p w14:paraId="69191626" w14:textId="77777777" w:rsidR="003D7F65" w:rsidRDefault="0082041E">
            <w:pPr>
              <w:pStyle w:val="P68B1DB1-Normal9"/>
              <w:spacing w:after="0" w:line="240" w:lineRule="auto"/>
              <w:rPr>
                <w:noProof/>
              </w:rPr>
            </w:pPr>
            <w:r>
              <w:rPr>
                <w:noProof/>
              </w:rPr>
              <w:t>P2C1I2 – Transport et aménagement du territoire – Projet Digirail</w:t>
            </w:r>
          </w:p>
        </w:tc>
        <w:tc>
          <w:tcPr>
            <w:tcW w:w="1188" w:type="dxa"/>
            <w:tcBorders>
              <w:top w:val="single" w:sz="4" w:space="0" w:color="auto"/>
              <w:left w:val="single" w:sz="4" w:space="0" w:color="auto"/>
              <w:bottom w:val="single" w:sz="4" w:space="0" w:color="auto"/>
              <w:right w:val="single" w:sz="4" w:space="0" w:color="auto"/>
            </w:tcBorders>
            <w:shd w:val="clear" w:color="auto" w:fill="C6EFCE"/>
            <w:noWrap/>
            <w:hideMark/>
          </w:tcPr>
          <w:p w14:paraId="0273927D" w14:textId="77777777" w:rsidR="003D7F65" w:rsidRDefault="0082041E">
            <w:pPr>
              <w:pStyle w:val="P68B1DB1-Normal9"/>
              <w:spacing w:after="0" w:line="240" w:lineRule="auto"/>
              <w:rPr>
                <w:noProof/>
              </w:rPr>
            </w:pPr>
            <w:r>
              <w:rPr>
                <w:noProof/>
              </w:rPr>
              <w:t>Étape</w:t>
            </w:r>
          </w:p>
        </w:tc>
        <w:tc>
          <w:tcPr>
            <w:tcW w:w="1878" w:type="dxa"/>
            <w:tcBorders>
              <w:top w:val="single" w:sz="4" w:space="0" w:color="auto"/>
              <w:left w:val="single" w:sz="4" w:space="0" w:color="auto"/>
              <w:bottom w:val="single" w:sz="4" w:space="0" w:color="auto"/>
              <w:right w:val="single" w:sz="4" w:space="0" w:color="auto"/>
            </w:tcBorders>
            <w:shd w:val="clear" w:color="auto" w:fill="C6EFCE"/>
            <w:noWrap/>
            <w:hideMark/>
          </w:tcPr>
          <w:p w14:paraId="26C7815B" w14:textId="77777777" w:rsidR="003D7F65" w:rsidRDefault="0082041E">
            <w:pPr>
              <w:pStyle w:val="P68B1DB1-Normal9"/>
              <w:spacing w:after="0" w:line="240" w:lineRule="auto"/>
              <w:rPr>
                <w:noProof/>
              </w:rPr>
            </w:pPr>
            <w:r>
              <w:rPr>
                <w:noProof/>
              </w:rPr>
              <w:t>Piste d'essai équipée d'ERTMS radio</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4EBA3F86" w14:textId="77777777" w:rsidR="003D7F65" w:rsidRDefault="0082041E">
            <w:pPr>
              <w:pStyle w:val="P68B1DB1-Normal9"/>
              <w:spacing w:after="0" w:line="240" w:lineRule="auto"/>
              <w:rPr>
                <w:noProof/>
              </w:rPr>
            </w:pPr>
            <w:r>
              <w:rPr>
                <w:noProof/>
              </w:rPr>
              <w:t>Piste d'essai équipée d'ERTMS radio</w:t>
            </w: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5A23E2C0" w14:textId="77777777" w:rsidR="003D7F65" w:rsidRDefault="003D7F65">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2DBECF3F" w14:textId="77777777" w:rsidR="003D7F65" w:rsidRDefault="003D7F65">
            <w:pPr>
              <w:spacing w:after="0" w:line="240" w:lineRule="auto"/>
              <w:jc w:val="center"/>
              <w:rPr>
                <w:rFonts w:ascii="Times New Roman" w:eastAsia="Times New Roman" w:hAnsi="Times New Roman"/>
                <w:noProof/>
                <w:sz w:val="20"/>
                <w:szCs w:val="20"/>
              </w:rPr>
            </w:pPr>
          </w:p>
        </w:tc>
        <w:tc>
          <w:tcPr>
            <w:tcW w:w="995" w:type="dxa"/>
            <w:tcBorders>
              <w:top w:val="single" w:sz="4" w:space="0" w:color="auto"/>
              <w:left w:val="single" w:sz="4" w:space="0" w:color="auto"/>
              <w:bottom w:val="single" w:sz="4" w:space="0" w:color="auto"/>
              <w:right w:val="single" w:sz="4" w:space="0" w:color="auto"/>
            </w:tcBorders>
            <w:shd w:val="clear" w:color="auto" w:fill="C6EFCE"/>
            <w:noWrap/>
            <w:hideMark/>
          </w:tcPr>
          <w:p w14:paraId="0C216228"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7BF49D5" w14:textId="77777777" w:rsidR="003D7F65" w:rsidRDefault="0082041E">
            <w:pPr>
              <w:pStyle w:val="P68B1DB1-Normal9"/>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0805E27" w14:textId="77777777" w:rsidR="003D7F65" w:rsidRDefault="0082041E">
            <w:pPr>
              <w:pStyle w:val="P68B1DB1-Normal9"/>
              <w:spacing w:after="0" w:line="240" w:lineRule="auto"/>
              <w:jc w:val="center"/>
              <w:rPr>
                <w:noProof/>
              </w:rPr>
            </w:pPr>
            <w:r>
              <w:rPr>
                <w:noProof/>
              </w:rPr>
              <w:t>2024</w:t>
            </w:r>
          </w:p>
        </w:tc>
        <w:tc>
          <w:tcPr>
            <w:tcW w:w="4327" w:type="dxa"/>
            <w:tcBorders>
              <w:top w:val="single" w:sz="4" w:space="0" w:color="auto"/>
              <w:left w:val="single" w:sz="4" w:space="0" w:color="auto"/>
              <w:bottom w:val="single" w:sz="4" w:space="0" w:color="auto"/>
              <w:right w:val="single" w:sz="4" w:space="0" w:color="auto"/>
            </w:tcBorders>
            <w:shd w:val="clear" w:color="auto" w:fill="C6EFCE"/>
            <w:noWrap/>
            <w:hideMark/>
          </w:tcPr>
          <w:p w14:paraId="57A8B5B0" w14:textId="77777777" w:rsidR="003D7F65" w:rsidRDefault="0082041E">
            <w:pPr>
              <w:pStyle w:val="P68B1DB1-Normal9"/>
              <w:spacing w:after="0" w:line="240" w:lineRule="auto"/>
              <w:rPr>
                <w:noProof/>
              </w:rPr>
            </w:pPr>
            <w:r>
              <w:rPr>
                <w:noProof/>
              </w:rPr>
              <w:t>La piste d'essai située entre Kouvola-Kotka/Hamina doit être équipée d'un système ERMTS radio.</w:t>
            </w:r>
          </w:p>
        </w:tc>
      </w:tr>
      <w:tr w:rsidR="003D7F65" w14:paraId="0F5BF0C5" w14:textId="77777777" w:rsidTr="0024211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3A6439FC" w14:textId="77777777" w:rsidR="003D7F65" w:rsidRDefault="0082041E">
            <w:pPr>
              <w:pStyle w:val="P68B1DB1-Normal9"/>
              <w:spacing w:after="0" w:line="240" w:lineRule="auto"/>
              <w:jc w:val="center"/>
              <w:rPr>
                <w:noProof/>
              </w:rPr>
            </w:pPr>
            <w:r>
              <w:rPr>
                <w:noProof/>
              </w:rPr>
              <w:t>60</w:t>
            </w:r>
          </w:p>
        </w:tc>
        <w:tc>
          <w:tcPr>
            <w:tcW w:w="1647" w:type="dxa"/>
            <w:tcBorders>
              <w:top w:val="single" w:sz="4" w:space="0" w:color="auto"/>
              <w:left w:val="single" w:sz="4" w:space="0" w:color="auto"/>
              <w:bottom w:val="single" w:sz="4" w:space="0" w:color="auto"/>
              <w:right w:val="single" w:sz="4" w:space="0" w:color="auto"/>
            </w:tcBorders>
            <w:shd w:val="clear" w:color="auto" w:fill="C6EFCE"/>
            <w:noWrap/>
          </w:tcPr>
          <w:p w14:paraId="321152FD" w14:textId="77777777" w:rsidR="003D7F65" w:rsidRDefault="0082041E">
            <w:pPr>
              <w:pStyle w:val="P68B1DB1-Normal9"/>
              <w:spacing w:after="0" w:line="240" w:lineRule="auto"/>
              <w:rPr>
                <w:noProof/>
              </w:rPr>
            </w:pPr>
            <w:r>
              <w:rPr>
                <w:noProof/>
              </w:rPr>
              <w:t>P2C1I2 – Transport et aménagement du territoire – Projet Digirail</w:t>
            </w:r>
          </w:p>
        </w:tc>
        <w:tc>
          <w:tcPr>
            <w:tcW w:w="1188" w:type="dxa"/>
            <w:tcBorders>
              <w:top w:val="single" w:sz="4" w:space="0" w:color="auto"/>
              <w:left w:val="single" w:sz="4" w:space="0" w:color="auto"/>
              <w:bottom w:val="single" w:sz="4" w:space="0" w:color="auto"/>
              <w:right w:val="single" w:sz="4" w:space="0" w:color="auto"/>
            </w:tcBorders>
            <w:shd w:val="clear" w:color="auto" w:fill="C6EFCE"/>
            <w:noWrap/>
          </w:tcPr>
          <w:p w14:paraId="5DA9709A" w14:textId="77777777" w:rsidR="003D7F65" w:rsidRDefault="0082041E">
            <w:pPr>
              <w:pStyle w:val="P68B1DB1-Normal9"/>
              <w:spacing w:after="0" w:line="240" w:lineRule="auto"/>
              <w:rPr>
                <w:noProof/>
              </w:rPr>
            </w:pPr>
            <w:r>
              <w:rPr>
                <w:noProof/>
              </w:rPr>
              <w:t>Étape</w:t>
            </w:r>
          </w:p>
        </w:tc>
        <w:tc>
          <w:tcPr>
            <w:tcW w:w="1878" w:type="dxa"/>
            <w:tcBorders>
              <w:top w:val="single" w:sz="4" w:space="0" w:color="auto"/>
              <w:left w:val="single" w:sz="4" w:space="0" w:color="auto"/>
              <w:bottom w:val="single" w:sz="4" w:space="0" w:color="auto"/>
              <w:right w:val="single" w:sz="4" w:space="0" w:color="auto"/>
            </w:tcBorders>
            <w:shd w:val="clear" w:color="auto" w:fill="C6EFCE"/>
            <w:noWrap/>
          </w:tcPr>
          <w:p w14:paraId="4851A2BB" w14:textId="77777777" w:rsidR="003D7F65" w:rsidRDefault="0082041E">
            <w:pPr>
              <w:pStyle w:val="P68B1DB1-Normal9"/>
              <w:spacing w:after="0" w:line="240" w:lineRule="auto"/>
              <w:rPr>
                <w:noProof/>
              </w:rPr>
            </w:pPr>
            <w:r>
              <w:rPr>
                <w:noProof/>
              </w:rPr>
              <w:t>Voie pilote commerciale équipée d'ERMTS</w:t>
            </w:r>
          </w:p>
        </w:tc>
        <w:tc>
          <w:tcPr>
            <w:tcW w:w="1478" w:type="dxa"/>
            <w:tcBorders>
              <w:top w:val="single" w:sz="4" w:space="0" w:color="auto"/>
              <w:left w:val="single" w:sz="4" w:space="0" w:color="auto"/>
              <w:bottom w:val="single" w:sz="4" w:space="0" w:color="auto"/>
              <w:right w:val="single" w:sz="4" w:space="0" w:color="auto"/>
            </w:tcBorders>
            <w:shd w:val="clear" w:color="auto" w:fill="C6EFCE"/>
            <w:noWrap/>
          </w:tcPr>
          <w:p w14:paraId="7EDCB127" w14:textId="77777777" w:rsidR="003D7F65" w:rsidRDefault="0082041E">
            <w:pPr>
              <w:pStyle w:val="P68B1DB1-Normal9"/>
              <w:spacing w:after="0" w:line="240" w:lineRule="auto"/>
              <w:rPr>
                <w:noProof/>
              </w:rPr>
            </w:pPr>
            <w:r>
              <w:rPr>
                <w:noProof/>
              </w:rPr>
              <w:t>Piste pilote équipée de l'ERTMS</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73852179" w14:textId="77777777" w:rsidR="003D7F65" w:rsidRDefault="003D7F65">
            <w:pPr>
              <w:spacing w:after="0" w:line="240" w:lineRule="auto"/>
              <w:jc w:val="center"/>
              <w:rPr>
                <w:rFonts w:ascii="Times New Roman" w:eastAsia="Times New Roman" w:hAnsi="Times New Roman"/>
                <w:noProof/>
                <w:sz w:val="20"/>
                <w:szCs w:val="20"/>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tcPr>
          <w:p w14:paraId="556205FC" w14:textId="77777777" w:rsidR="003D7F65" w:rsidRDefault="003D7F65">
            <w:pPr>
              <w:spacing w:after="0" w:line="240" w:lineRule="auto"/>
              <w:jc w:val="center"/>
              <w:rPr>
                <w:rFonts w:ascii="Times New Roman" w:eastAsia="Times New Roman" w:hAnsi="Times New Roman"/>
                <w:noProof/>
                <w:sz w:val="20"/>
                <w:szCs w:val="20"/>
              </w:rPr>
            </w:pPr>
          </w:p>
        </w:tc>
        <w:tc>
          <w:tcPr>
            <w:tcW w:w="995" w:type="dxa"/>
            <w:tcBorders>
              <w:top w:val="single" w:sz="4" w:space="0" w:color="auto"/>
              <w:left w:val="single" w:sz="4" w:space="0" w:color="auto"/>
              <w:bottom w:val="single" w:sz="4" w:space="0" w:color="auto"/>
              <w:right w:val="single" w:sz="4" w:space="0" w:color="auto"/>
            </w:tcBorders>
            <w:shd w:val="clear" w:color="auto" w:fill="C6EFCE"/>
            <w:noWrap/>
          </w:tcPr>
          <w:p w14:paraId="2C8C6519"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10F2DAD" w14:textId="77777777" w:rsidR="003D7F65" w:rsidRDefault="0082041E">
            <w:pPr>
              <w:pStyle w:val="P68B1DB1-Normal9"/>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E580529" w14:textId="77777777" w:rsidR="003D7F65" w:rsidRDefault="0082041E">
            <w:pPr>
              <w:pStyle w:val="P68B1DB1-Normal9"/>
              <w:spacing w:after="0" w:line="240" w:lineRule="auto"/>
              <w:jc w:val="center"/>
              <w:rPr>
                <w:noProof/>
              </w:rPr>
            </w:pPr>
            <w:r>
              <w:rPr>
                <w:noProof/>
              </w:rPr>
              <w:t>2026</w:t>
            </w:r>
          </w:p>
        </w:tc>
        <w:tc>
          <w:tcPr>
            <w:tcW w:w="4327" w:type="dxa"/>
            <w:tcBorders>
              <w:top w:val="single" w:sz="4" w:space="0" w:color="auto"/>
              <w:left w:val="single" w:sz="4" w:space="0" w:color="auto"/>
              <w:bottom w:val="single" w:sz="4" w:space="0" w:color="auto"/>
              <w:right w:val="single" w:sz="4" w:space="0" w:color="auto"/>
            </w:tcBorders>
            <w:shd w:val="clear" w:color="auto" w:fill="C6EFCE"/>
            <w:noWrap/>
          </w:tcPr>
          <w:p w14:paraId="71CAE263" w14:textId="32212423" w:rsidR="003D7F65" w:rsidRDefault="0082041E">
            <w:pPr>
              <w:pStyle w:val="P68B1DB1-Normal9"/>
              <w:spacing w:after="0" w:line="240" w:lineRule="auto"/>
              <w:rPr>
                <w:noProof/>
              </w:rPr>
            </w:pPr>
            <w:r>
              <w:rPr>
                <w:noProof/>
              </w:rPr>
              <w:t>Système ERTMS radio installé sur une piste de pilote professionnel.</w:t>
            </w:r>
          </w:p>
        </w:tc>
      </w:tr>
    </w:tbl>
    <w:p w14:paraId="55307255" w14:textId="77777777" w:rsidR="003D7F65" w:rsidRDefault="003D7F65">
      <w:pPr>
        <w:pStyle w:val="Heading4"/>
        <w:numPr>
          <w:ilvl w:val="0"/>
          <w:numId w:val="0"/>
        </w:numPr>
        <w:spacing w:after="240"/>
        <w:rPr>
          <w:b/>
          <w:noProof/>
        </w:rPr>
        <w:sectPr w:rsidR="003D7F65" w:rsidSect="00A7081A">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3E9F0CA2" w14:textId="77777777" w:rsidR="003D7F65" w:rsidRDefault="0082041E">
      <w:pPr>
        <w:pStyle w:val="P68B1DB1-Heading42"/>
        <w:numPr>
          <w:ilvl w:val="0"/>
          <w:numId w:val="0"/>
        </w:numPr>
        <w:spacing w:after="240"/>
        <w:rPr>
          <w:noProof/>
        </w:rPr>
      </w:pPr>
      <w:r>
        <w:rPr>
          <w:noProof/>
        </w:rPr>
        <w:t xml:space="preserve">G. Élément P2C2: ACCÉLÉRATION DE L'ÉCONOMIE DES DONNÉES ET DE LA DIGITALISATION </w:t>
      </w:r>
    </w:p>
    <w:p w14:paraId="76B46FF3" w14:textId="77777777" w:rsidR="003D7F65" w:rsidRDefault="0082041E">
      <w:pPr>
        <w:pStyle w:val="P68B1DB1-Normal3"/>
        <w:spacing w:before="120" w:after="120" w:line="240" w:lineRule="auto"/>
        <w:jc w:val="both"/>
        <w:rPr>
          <w:noProof/>
        </w:rPr>
      </w:pPr>
      <w:r>
        <w:rPr>
          <w:noProof/>
        </w:rPr>
        <w:t xml:space="preserve">Ce volet du plan finlandais pour la reprise et la résilience comprend des réformes et des investissements qui soutiendront la numérisation en Finlande en facilitant l’innovation fondée sur les données, l’échange d’informations numériques et l’utilisation des données du secteur public et en encourageant la recherche dans les technologies clés afin d’accroître la compétitivité de la Finlande. En renforçant l’interopérabilité des données pour une utilisation multipartite, la Finlande vise à exploiter pleinement le potentiel de la transformation numérique. Cela nécessite une normalisation pour l’échange d’informations numériques couvrant à la fois les entreprises et le secteur public. Ce volet comprend également la mise au point d’un système de répertoire pour le suivi de la mise en œuvre du plan pour la reprise et la résilience. </w:t>
      </w:r>
    </w:p>
    <w:p w14:paraId="0337B9F6" w14:textId="77777777" w:rsidR="003D7F65" w:rsidRDefault="0082041E">
      <w:pPr>
        <w:pStyle w:val="P68B1DB1-Normal3"/>
        <w:spacing w:before="120" w:after="120" w:line="240" w:lineRule="auto"/>
        <w:jc w:val="both"/>
        <w:rPr>
          <w:noProof/>
        </w:rPr>
      </w:pPr>
      <w:r>
        <w:rPr>
          <w:noProof/>
        </w:rPr>
        <w:t>En élargissant la couverture du système d’information sur la propriété résidentielle et commerciale par des informations sur les prêts aux sociétés de logement, la composante contribue à donner suite aux recommandations par pays visant à renforcer le suivi de l’endettement des ménages et à mettre en place le système d’enregistrement des crédits (recommandation par pays no 4 de 2019), ainsi qu’à concentrer les investissements sur la recherche et l’innovation (recommandation par pays no 3 de 2020 et recommandation par pays no 3 de 2019).</w:t>
      </w:r>
    </w:p>
    <w:p w14:paraId="0BE5CF70"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A53B098" w14:textId="77777777" w:rsidR="003D7F65" w:rsidRDefault="0082041E">
      <w:pPr>
        <w:pStyle w:val="P68B1DB1-Normal5"/>
        <w:spacing w:before="120" w:after="120" w:line="240" w:lineRule="auto"/>
        <w:jc w:val="both"/>
        <w:rPr>
          <w:i/>
          <w:noProof/>
          <w:color w:val="4F81BD"/>
        </w:rPr>
      </w:pPr>
      <w:r>
        <w:rPr>
          <w:noProof/>
        </w:rPr>
        <w:t xml:space="preserve">G.1. </w:t>
      </w:r>
      <w:r>
        <w:rPr>
          <w:noProof/>
        </w:rPr>
        <w:tab/>
        <w:t>Description des réformes et des investissements pour le soutien financier non remboursable</w:t>
      </w:r>
    </w:p>
    <w:p w14:paraId="47AA6477" w14:textId="77777777" w:rsidR="003D7F65" w:rsidRDefault="0082041E">
      <w:pPr>
        <w:pStyle w:val="P68B1DB1-Normal6"/>
        <w:spacing w:before="120" w:after="120" w:line="240" w:lineRule="auto"/>
        <w:jc w:val="both"/>
        <w:rPr>
          <w:b/>
          <w:noProof/>
          <w:color w:val="4F81BD"/>
        </w:rPr>
      </w:pPr>
      <w:r>
        <w:rPr>
          <w:noProof/>
        </w:rPr>
        <w:t>Investissement 1 (P2C2I1):</w:t>
      </w:r>
      <w:bookmarkStart w:id="8" w:name="_Hlk214957070"/>
      <w:r>
        <w:rPr>
          <w:noProof/>
        </w:rPr>
        <w:t xml:space="preserve"> Économie numérique – Programme pour une économie en temps réel (RTE)</w:t>
      </w:r>
      <w:bookmarkEnd w:id="8"/>
    </w:p>
    <w:p w14:paraId="6EDD0F15" w14:textId="77777777" w:rsidR="003D7F65" w:rsidRDefault="0082041E">
      <w:pPr>
        <w:pStyle w:val="P68B1DB1-Normal3"/>
        <w:spacing w:before="120" w:after="120" w:line="259" w:lineRule="auto"/>
        <w:jc w:val="both"/>
        <w:rPr>
          <w:i/>
          <w:iCs/>
          <w:noProof/>
        </w:rPr>
      </w:pPr>
      <w:r>
        <w:rPr>
          <w:noProof/>
        </w:rPr>
        <w:t>L’objectif de cet investissement est de créer des solutions et des structures communes pour faciliter l’échange de données financières numériques entre les organisations dans un format structuré lisible par machine (factures électroniques, reçus électroniques et documents de marché). La mesure consiste en la mise en place d’un écosystème minimum viable (EMV) pour les factures électroniques et la publication d’un rapport sur l’échange d’informations commerciales numériques.</w:t>
      </w:r>
    </w:p>
    <w:p w14:paraId="31989A7B" w14:textId="77777777" w:rsidR="003D7F65" w:rsidRDefault="0082041E">
      <w:pPr>
        <w:pStyle w:val="P68B1DB1-Normal6"/>
        <w:spacing w:before="120" w:after="120" w:line="240" w:lineRule="auto"/>
        <w:jc w:val="both"/>
        <w:rPr>
          <w:noProof/>
        </w:rPr>
      </w:pPr>
      <w:r>
        <w:rPr>
          <w:noProof/>
        </w:rPr>
        <w:t>Investissement 2 (P2C2I2): Accélération de l'économie des données et de la numérisation - Virtual Finland</w:t>
      </w:r>
    </w:p>
    <w:p w14:paraId="466B3248" w14:textId="77777777" w:rsidR="003D7F65" w:rsidRDefault="0082041E">
      <w:pPr>
        <w:pStyle w:val="P68B1DB1-Normal3"/>
        <w:spacing w:before="120" w:after="120" w:line="240" w:lineRule="auto"/>
        <w:jc w:val="both"/>
        <w:rPr>
          <w:noProof/>
        </w:rPr>
      </w:pPr>
      <w:r>
        <w:rPr>
          <w:noProof/>
        </w:rPr>
        <w:t>L'objectif de cet investissement est de permettre la fourniture de services numériques aux différents groupes cibles qui viennent en Finlande, y compris les employés qui immigrent en Finlande. La mesure consiste à publier la plateforme «Virtual Finland» avec au moins un processus de service intégré.</w:t>
      </w:r>
    </w:p>
    <w:p w14:paraId="1974C694" w14:textId="77777777" w:rsidR="003D7F65" w:rsidRDefault="0082041E">
      <w:pPr>
        <w:pStyle w:val="P68B1DB1-Normal6"/>
        <w:spacing w:before="120" w:after="120" w:line="240" w:lineRule="auto"/>
        <w:jc w:val="both"/>
        <w:rPr>
          <w:noProof/>
        </w:rPr>
      </w:pPr>
      <w:r>
        <w:rPr>
          <w:noProof/>
        </w:rPr>
        <w:t>Investissement 3 (P2C2I3): Accélérer les technologies clés (microélectronique, 6G, intelligence artificielle et informatique quantique)</w:t>
      </w:r>
    </w:p>
    <w:p w14:paraId="2FF2EE1D" w14:textId="77777777" w:rsidR="003D7F65" w:rsidRDefault="0082041E">
      <w:pPr>
        <w:pStyle w:val="P68B1DB1-Normal3"/>
        <w:spacing w:before="120" w:after="120" w:line="240" w:lineRule="auto"/>
        <w:jc w:val="both"/>
        <w:rPr>
          <w:noProof/>
        </w:rPr>
      </w:pPr>
      <w:r>
        <w:rPr>
          <w:noProof/>
        </w:rPr>
        <w:t>L’objectif de la mesure est de préserver la compétitivité, la sécurité de l’information et la souveraineté de l’Europe grâce aux nouvelles technologies. L’investissement consiste à financer des activités de RDI appliquée et les infrastructures qui les soutiennent dans les domaines de la microélectronique, de la 6G, de l’intelligence artificielle et de l’informatique quantique.</w:t>
      </w:r>
    </w:p>
    <w:p w14:paraId="15A599EA" w14:textId="77777777" w:rsidR="003D7F65" w:rsidRDefault="0082041E">
      <w:pPr>
        <w:pStyle w:val="P68B1DB1-Normal6"/>
        <w:spacing w:before="120" w:after="120" w:line="240" w:lineRule="auto"/>
        <w:jc w:val="both"/>
        <w:rPr>
          <w:noProof/>
          <w:sz w:val="25"/>
          <w:szCs w:val="25"/>
        </w:rPr>
      </w:pPr>
      <w:r>
        <w:rPr>
          <w:noProof/>
        </w:rPr>
        <w:t>Réforme 1 (P2C2R1): Développement du système d'information sur la propriété résidentielle et commerciale</w:t>
      </w:r>
    </w:p>
    <w:p w14:paraId="0D0E7583" w14:textId="77777777" w:rsidR="003D7F65" w:rsidRDefault="0082041E">
      <w:pPr>
        <w:pStyle w:val="P68B1DB1-Normal3"/>
        <w:spacing w:before="120" w:after="120" w:line="240" w:lineRule="auto"/>
        <w:jc w:val="both"/>
        <w:rPr>
          <w:rFonts w:eastAsia="Arial"/>
          <w:noProof/>
        </w:rPr>
      </w:pPr>
      <w:r>
        <w:rPr>
          <w:noProof/>
        </w:rPr>
        <w:t>L’objectif de la mesure est de mettre à disposition des informations sur la situation financière et technique et les besoins de réparation des biens immobiliers résidentiels et commerciaux dans l’intérêt de la protection des consommateurs sur le marché du logement ainsi que de la concurrence dans le secteur du logement. Cette réforme consiste à étendre la couverture du système d'information sur la propriété résidentielle et commerciale à l'information sur les sociétés de logement.</w:t>
      </w:r>
    </w:p>
    <w:p w14:paraId="7EBECB59" w14:textId="77777777" w:rsidR="003D7F65" w:rsidRDefault="003D7F65">
      <w:pPr>
        <w:spacing w:before="120" w:after="120" w:line="240" w:lineRule="auto"/>
        <w:jc w:val="both"/>
        <w:rPr>
          <w:rFonts w:ascii="Times New Roman" w:eastAsia="Arial" w:hAnsi="Times New Roman"/>
          <w:noProof/>
          <w:sz w:val="24"/>
          <w:szCs w:val="24"/>
        </w:rPr>
      </w:pPr>
    </w:p>
    <w:p w14:paraId="788C0E57" w14:textId="77777777" w:rsidR="003D7F65" w:rsidRDefault="0082041E">
      <w:pPr>
        <w:pStyle w:val="P68B1DB1-Normal6"/>
        <w:spacing w:before="120" w:after="120" w:line="240" w:lineRule="auto"/>
        <w:jc w:val="both"/>
        <w:rPr>
          <w:noProof/>
        </w:rPr>
      </w:pPr>
      <w:r>
        <w:rPr>
          <w:noProof/>
        </w:rPr>
        <w:t>Réforme 2 (P2C2R2): Renforcer l’efficacité et la transparence des réformes et des investissements dans le cadre du PRR en développant les systèmes d’information, l’administration et l’audit</w:t>
      </w:r>
    </w:p>
    <w:p w14:paraId="300F06EF" w14:textId="3C743120" w:rsidR="003D7F65" w:rsidRDefault="0082041E">
      <w:pPr>
        <w:pStyle w:val="P68B1DB1-Normal3"/>
        <w:spacing w:before="120" w:after="120" w:line="240" w:lineRule="auto"/>
        <w:jc w:val="both"/>
        <w:rPr>
          <w:noProof/>
        </w:rPr>
      </w:pPr>
      <w:r>
        <w:rPr>
          <w:noProof/>
        </w:rPr>
        <w:t xml:space="preserve">Pour répondre aux besoins spécifiques du plan finlandais pour la reprise et la résilience en matière de coordination, de gestion, de contrôle, d’établissement de rapports et d’audit, les rôles et responsabilités des autorités finlandaises concernées sont inscrits dans un nouvel instrument juridique. La réussite de la mise en œuvre de ces tâches nécessite également des investissements temporaires ciblés supplémentaires pour assurer le fonctionnement du système de gestion et de contrôle, conformément aux besoins réglementaires. Il s’agit notamment de la mise en place des capacités administratives nécessaires et de la création d’un système de répertoire informatique.  </w:t>
      </w:r>
    </w:p>
    <w:p w14:paraId="4B89C4E2" w14:textId="77777777" w:rsidR="003D7F65" w:rsidRDefault="0082041E">
      <w:pPr>
        <w:pStyle w:val="P68B1DB1-Normal3"/>
        <w:spacing w:before="120" w:after="120" w:line="240" w:lineRule="auto"/>
        <w:jc w:val="both"/>
        <w:rPr>
          <w:noProof/>
        </w:rPr>
      </w:pPr>
      <w:r>
        <w:rPr>
          <w:noProof/>
        </w:rPr>
        <w:t>La mesure vise également à assurer la protection effective des intérêts financiers de l’Union et le respect des règles nationales et de l’Union applicables en Finlande. À cette fin, un décret contraignant pour tous les organismes d’exécution entre en vigueur, établissant une norme minimale pour les activités de gestion des risques et de contrôle qu’ils exercent dans le cadre de la FRR. L’organisme de coordination publie en outre des lignes directrices sur des procédures adéquates de gestion des risques à l’appui de la FRR, qui comprennent, entre autres, des procédures pour la réalisation de contrôles et d’audits conformément aux règles nationales et de l’UE applicables, des procédures pour une gestion appropriée des risques, des procédures pour la vérification des conflits d’intérêts et des procédures pour la vérification du double financement au titre de la facilité et d’autres programmes de l’Union. Les lignes directrices sur les risques définissent des mesures claires et complètes correspondant aux objectifs fixés dans les lignes directrices. Le jalon 72 bis au titre de la présente mesure est atteint au moment de la présentation de la prochaine demande de paiement à la Commission après l’adoption de la présente décision d’exécution et constitue une condition préalable à tout paiement futur.</w:t>
      </w:r>
    </w:p>
    <w:p w14:paraId="7F52E591" w14:textId="762D2222" w:rsidR="003D7F65" w:rsidRDefault="0082041E">
      <w:pPr>
        <w:pStyle w:val="P68B1DB1-Normal3"/>
        <w:spacing w:before="120" w:after="120" w:line="240" w:lineRule="auto"/>
        <w:rPr>
          <w:noProof/>
        </w:rPr>
        <w:sectPr w:rsidR="003D7F65" w:rsidSect="00A7081A">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r>
        <w:rPr>
          <w:noProof/>
        </w:rPr>
        <w:t xml:space="preserve">La mise en œuvre de la réforme est achevée au plus tard le 31 mars 2024. </w:t>
      </w:r>
    </w:p>
    <w:p w14:paraId="2A3DF938" w14:textId="77777777" w:rsidR="003D7F65" w:rsidRDefault="0082041E">
      <w:pPr>
        <w:pStyle w:val="P68B1DB1-Normal5"/>
        <w:spacing w:before="120" w:after="120" w:line="240" w:lineRule="auto"/>
        <w:jc w:val="both"/>
        <w:rPr>
          <w:noProof/>
        </w:rPr>
      </w:pPr>
      <w:r>
        <w:rPr>
          <w:noProof/>
        </w:rPr>
        <w:t xml:space="preserve">G.2. </w:t>
      </w:r>
      <w:r>
        <w:rPr>
          <w:noProof/>
        </w:rPr>
        <w:tab/>
        <w:t>Étapes, cibles, indicateurs et calendrier pour le suivi et la mise en œuvre du soutien financier non remboursable</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5"/>
        <w:gridCol w:w="1680"/>
        <w:gridCol w:w="1308"/>
        <w:gridCol w:w="1277"/>
        <w:gridCol w:w="1735"/>
        <w:gridCol w:w="720"/>
        <w:gridCol w:w="945"/>
        <w:gridCol w:w="993"/>
        <w:gridCol w:w="1134"/>
        <w:gridCol w:w="1417"/>
        <w:gridCol w:w="3265"/>
      </w:tblGrid>
      <w:tr w:rsidR="003D7F65" w14:paraId="41174CB1" w14:textId="77777777" w:rsidTr="00DF4EDA">
        <w:trPr>
          <w:trHeight w:val="752"/>
          <w:tblHeader/>
          <w:jc w:val="center"/>
        </w:trPr>
        <w:tc>
          <w:tcPr>
            <w:tcW w:w="835" w:type="dxa"/>
            <w:vMerge w:val="restart"/>
            <w:shd w:val="clear" w:color="auto" w:fill="BDD7EE"/>
            <w:vAlign w:val="center"/>
            <w:hideMark/>
          </w:tcPr>
          <w:p w14:paraId="466F5DF1" w14:textId="77777777" w:rsidR="003D7F65" w:rsidRDefault="0082041E">
            <w:pPr>
              <w:pStyle w:val="P68B1DB1-Normal7"/>
              <w:spacing w:after="0" w:line="240" w:lineRule="auto"/>
              <w:jc w:val="center"/>
              <w:rPr>
                <w:noProof/>
              </w:rPr>
            </w:pPr>
            <w:r>
              <w:rPr>
                <w:noProof/>
              </w:rPr>
              <w:t>Numéro</w:t>
            </w:r>
          </w:p>
        </w:tc>
        <w:tc>
          <w:tcPr>
            <w:tcW w:w="1680" w:type="dxa"/>
            <w:vMerge w:val="restart"/>
            <w:shd w:val="clear" w:color="auto" w:fill="BDD7EE"/>
            <w:vAlign w:val="center"/>
            <w:hideMark/>
          </w:tcPr>
          <w:p w14:paraId="3973CCFA" w14:textId="77777777" w:rsidR="003D7F65" w:rsidRDefault="0082041E">
            <w:pPr>
              <w:pStyle w:val="P68B1DB1-Normal7"/>
              <w:spacing w:after="0" w:line="240" w:lineRule="auto"/>
              <w:jc w:val="center"/>
              <w:rPr>
                <w:noProof/>
              </w:rPr>
            </w:pPr>
            <w:r>
              <w:rPr>
                <w:noProof/>
              </w:rPr>
              <w:t>Mesure</w:t>
            </w:r>
          </w:p>
        </w:tc>
        <w:tc>
          <w:tcPr>
            <w:tcW w:w="1308" w:type="dxa"/>
            <w:vMerge w:val="restart"/>
            <w:shd w:val="clear" w:color="auto" w:fill="BDD7EE"/>
            <w:vAlign w:val="center"/>
            <w:hideMark/>
          </w:tcPr>
          <w:p w14:paraId="2A8B7846" w14:textId="77777777" w:rsidR="003D7F65" w:rsidRDefault="0082041E">
            <w:pPr>
              <w:pStyle w:val="P68B1DB1-Normal7"/>
              <w:spacing w:after="0" w:line="240" w:lineRule="auto"/>
              <w:jc w:val="center"/>
              <w:rPr>
                <w:noProof/>
              </w:rPr>
            </w:pPr>
            <w:r>
              <w:rPr>
                <w:noProof/>
              </w:rPr>
              <w:t>Étape/objectif</w:t>
            </w:r>
          </w:p>
        </w:tc>
        <w:tc>
          <w:tcPr>
            <w:tcW w:w="1277" w:type="dxa"/>
            <w:vMerge w:val="restart"/>
            <w:shd w:val="clear" w:color="auto" w:fill="BDD7EE"/>
            <w:vAlign w:val="center"/>
            <w:hideMark/>
          </w:tcPr>
          <w:p w14:paraId="4391ED05" w14:textId="77777777" w:rsidR="003D7F65" w:rsidRDefault="0082041E">
            <w:pPr>
              <w:pStyle w:val="P68B1DB1-Normal7"/>
              <w:spacing w:after="0" w:line="240" w:lineRule="auto"/>
              <w:jc w:val="center"/>
              <w:rPr>
                <w:noProof/>
              </w:rPr>
            </w:pPr>
            <w:r>
              <w:rPr>
                <w:noProof/>
              </w:rPr>
              <w:t>Nom</w:t>
            </w:r>
          </w:p>
        </w:tc>
        <w:tc>
          <w:tcPr>
            <w:tcW w:w="1735" w:type="dxa"/>
            <w:vMerge w:val="restart"/>
            <w:shd w:val="clear" w:color="auto" w:fill="BDD7EE"/>
            <w:vAlign w:val="center"/>
            <w:hideMark/>
          </w:tcPr>
          <w:p w14:paraId="503EBF9E" w14:textId="77777777" w:rsidR="003D7F65" w:rsidRDefault="0082041E">
            <w:pPr>
              <w:pStyle w:val="P68B1DB1-Normal7"/>
              <w:spacing w:after="0" w:line="240" w:lineRule="auto"/>
              <w:jc w:val="center"/>
              <w:rPr>
                <w:bCs/>
                <w:noProof/>
              </w:rPr>
            </w:pPr>
            <w:r>
              <w:rPr>
                <w:noProof/>
              </w:rPr>
              <w:t>Indicateurs qualitatifs (pour les jalons)</w:t>
            </w:r>
          </w:p>
        </w:tc>
        <w:tc>
          <w:tcPr>
            <w:tcW w:w="2658" w:type="dxa"/>
            <w:gridSpan w:val="3"/>
            <w:shd w:val="clear" w:color="auto" w:fill="BDD7EE"/>
            <w:vAlign w:val="center"/>
            <w:hideMark/>
          </w:tcPr>
          <w:p w14:paraId="1249F255" w14:textId="04CCFC03" w:rsidR="003D7F65" w:rsidRDefault="0082041E">
            <w:pPr>
              <w:pStyle w:val="P68B1DB1-Normal7"/>
              <w:spacing w:after="0" w:line="240" w:lineRule="auto"/>
              <w:jc w:val="center"/>
              <w:rPr>
                <w:noProof/>
              </w:rPr>
            </w:pPr>
            <w:r>
              <w:rPr>
                <w:noProof/>
              </w:rPr>
              <w:t>Indicateurs quantitatifs (pour les objectifs)</w:t>
            </w:r>
          </w:p>
        </w:tc>
        <w:tc>
          <w:tcPr>
            <w:tcW w:w="2551" w:type="dxa"/>
            <w:gridSpan w:val="2"/>
            <w:shd w:val="clear" w:color="auto" w:fill="BDD7EE"/>
            <w:vAlign w:val="center"/>
            <w:hideMark/>
          </w:tcPr>
          <w:p w14:paraId="39E269DE" w14:textId="77777777" w:rsidR="003D7F65" w:rsidRDefault="0082041E">
            <w:pPr>
              <w:pStyle w:val="P68B1DB1-Normal7"/>
              <w:spacing w:after="0" w:line="240" w:lineRule="auto"/>
              <w:jc w:val="center"/>
              <w:rPr>
                <w:bCs/>
                <w:noProof/>
              </w:rPr>
            </w:pPr>
            <w:r>
              <w:rPr>
                <w:noProof/>
              </w:rPr>
              <w:t xml:space="preserve">Calendrier indicatif d'achèvement </w:t>
            </w:r>
          </w:p>
        </w:tc>
        <w:tc>
          <w:tcPr>
            <w:tcW w:w="3265" w:type="dxa"/>
            <w:vMerge w:val="restart"/>
            <w:shd w:val="clear" w:color="auto" w:fill="BDD7EE"/>
            <w:vAlign w:val="center"/>
            <w:hideMark/>
          </w:tcPr>
          <w:p w14:paraId="3E042BF6" w14:textId="77777777" w:rsidR="003D7F65" w:rsidRDefault="0082041E">
            <w:pPr>
              <w:pStyle w:val="P68B1DB1-Normal7"/>
              <w:spacing w:after="0" w:line="240" w:lineRule="auto"/>
              <w:jc w:val="center"/>
              <w:rPr>
                <w:noProof/>
              </w:rPr>
            </w:pPr>
            <w:r>
              <w:rPr>
                <w:noProof/>
              </w:rPr>
              <w:t>Description de chaque jalon et cible</w:t>
            </w:r>
          </w:p>
        </w:tc>
      </w:tr>
      <w:tr w:rsidR="003D7F65" w14:paraId="6EB3CA3C" w14:textId="77777777" w:rsidTr="00DF4EDA">
        <w:trPr>
          <w:trHeight w:val="620"/>
          <w:tblHeader/>
          <w:jc w:val="center"/>
        </w:trPr>
        <w:tc>
          <w:tcPr>
            <w:tcW w:w="835" w:type="dxa"/>
            <w:vMerge/>
            <w:vAlign w:val="center"/>
            <w:hideMark/>
          </w:tcPr>
          <w:p w14:paraId="35E5F15A" w14:textId="77777777" w:rsidR="003D7F65" w:rsidRDefault="003D7F65">
            <w:pPr>
              <w:spacing w:after="0" w:line="240" w:lineRule="auto"/>
              <w:rPr>
                <w:rFonts w:ascii="Times New Roman" w:eastAsia="Times New Roman" w:hAnsi="Times New Roman"/>
                <w:b/>
                <w:bCs/>
                <w:noProof/>
                <w:sz w:val="20"/>
                <w:szCs w:val="20"/>
              </w:rPr>
            </w:pPr>
          </w:p>
        </w:tc>
        <w:tc>
          <w:tcPr>
            <w:tcW w:w="1680" w:type="dxa"/>
            <w:vMerge/>
            <w:vAlign w:val="center"/>
            <w:hideMark/>
          </w:tcPr>
          <w:p w14:paraId="5168D55F" w14:textId="77777777" w:rsidR="003D7F65" w:rsidRDefault="003D7F65">
            <w:pPr>
              <w:spacing w:after="0" w:line="240" w:lineRule="auto"/>
              <w:rPr>
                <w:rFonts w:ascii="Times New Roman" w:eastAsia="Times New Roman" w:hAnsi="Times New Roman"/>
                <w:b/>
                <w:bCs/>
                <w:noProof/>
                <w:sz w:val="20"/>
                <w:szCs w:val="20"/>
              </w:rPr>
            </w:pPr>
          </w:p>
        </w:tc>
        <w:tc>
          <w:tcPr>
            <w:tcW w:w="1308" w:type="dxa"/>
            <w:vMerge/>
            <w:vAlign w:val="center"/>
            <w:hideMark/>
          </w:tcPr>
          <w:p w14:paraId="3DCE88E2" w14:textId="77777777" w:rsidR="003D7F65" w:rsidRDefault="003D7F65">
            <w:pPr>
              <w:spacing w:after="0" w:line="240" w:lineRule="auto"/>
              <w:rPr>
                <w:rFonts w:ascii="Times New Roman" w:eastAsia="Times New Roman" w:hAnsi="Times New Roman"/>
                <w:b/>
                <w:bCs/>
                <w:noProof/>
                <w:sz w:val="20"/>
                <w:szCs w:val="20"/>
              </w:rPr>
            </w:pPr>
          </w:p>
        </w:tc>
        <w:tc>
          <w:tcPr>
            <w:tcW w:w="1277" w:type="dxa"/>
            <w:vMerge/>
            <w:vAlign w:val="center"/>
            <w:hideMark/>
          </w:tcPr>
          <w:p w14:paraId="37662B1B" w14:textId="77777777" w:rsidR="003D7F65" w:rsidRDefault="003D7F65">
            <w:pPr>
              <w:spacing w:after="0" w:line="240" w:lineRule="auto"/>
              <w:rPr>
                <w:rFonts w:ascii="Times New Roman" w:eastAsia="Times New Roman" w:hAnsi="Times New Roman"/>
                <w:b/>
                <w:bCs/>
                <w:noProof/>
                <w:sz w:val="20"/>
                <w:szCs w:val="20"/>
              </w:rPr>
            </w:pPr>
          </w:p>
        </w:tc>
        <w:tc>
          <w:tcPr>
            <w:tcW w:w="1735" w:type="dxa"/>
            <w:vMerge/>
            <w:vAlign w:val="center"/>
            <w:hideMark/>
          </w:tcPr>
          <w:p w14:paraId="65907EF3" w14:textId="77777777" w:rsidR="003D7F65" w:rsidRDefault="003D7F65">
            <w:pPr>
              <w:spacing w:after="0" w:line="240" w:lineRule="auto"/>
              <w:rPr>
                <w:rFonts w:ascii="Times New Roman" w:eastAsia="Times New Roman" w:hAnsi="Times New Roman"/>
                <w:b/>
                <w:bCs/>
                <w:noProof/>
                <w:sz w:val="20"/>
                <w:szCs w:val="20"/>
              </w:rPr>
            </w:pPr>
          </w:p>
        </w:tc>
        <w:tc>
          <w:tcPr>
            <w:tcW w:w="720" w:type="dxa"/>
            <w:shd w:val="clear" w:color="auto" w:fill="BDD7EE"/>
            <w:vAlign w:val="center"/>
            <w:hideMark/>
          </w:tcPr>
          <w:p w14:paraId="73632FCD" w14:textId="2A83F3B4" w:rsidR="003D7F65" w:rsidRDefault="0082041E">
            <w:pPr>
              <w:pStyle w:val="P68B1DB1-Normal7"/>
              <w:spacing w:after="0" w:line="240" w:lineRule="auto"/>
              <w:jc w:val="center"/>
              <w:rPr>
                <w:noProof/>
              </w:rPr>
            </w:pPr>
            <w:r>
              <w:rPr>
                <w:noProof/>
              </w:rPr>
              <w:t>Unité</w:t>
            </w:r>
          </w:p>
        </w:tc>
        <w:tc>
          <w:tcPr>
            <w:tcW w:w="945" w:type="dxa"/>
            <w:shd w:val="clear" w:color="auto" w:fill="BDD7EE"/>
            <w:vAlign w:val="center"/>
            <w:hideMark/>
          </w:tcPr>
          <w:p w14:paraId="3F2DD185" w14:textId="77777777" w:rsidR="003D7F65" w:rsidRDefault="0082041E">
            <w:pPr>
              <w:pStyle w:val="P68B1DB1-Normal7"/>
              <w:spacing w:after="0" w:line="240" w:lineRule="auto"/>
              <w:jc w:val="center"/>
              <w:rPr>
                <w:bCs/>
                <w:noProof/>
              </w:rPr>
            </w:pPr>
            <w:r>
              <w:rPr>
                <w:noProof/>
              </w:rPr>
              <w:t xml:space="preserve">Données de référence </w:t>
            </w:r>
          </w:p>
        </w:tc>
        <w:tc>
          <w:tcPr>
            <w:tcW w:w="993" w:type="dxa"/>
            <w:shd w:val="clear" w:color="auto" w:fill="BDD7EE"/>
            <w:vAlign w:val="center"/>
            <w:hideMark/>
          </w:tcPr>
          <w:p w14:paraId="5BCBB381" w14:textId="50D7DC11" w:rsidR="003D7F65" w:rsidRDefault="0082041E">
            <w:pPr>
              <w:pStyle w:val="P68B1DB1-Normal7"/>
              <w:spacing w:after="0" w:line="240" w:lineRule="auto"/>
              <w:jc w:val="center"/>
              <w:rPr>
                <w:noProof/>
              </w:rPr>
            </w:pPr>
            <w:r>
              <w:rPr>
                <w:noProof/>
              </w:rPr>
              <w:t>Objectif</w:t>
            </w:r>
          </w:p>
        </w:tc>
        <w:tc>
          <w:tcPr>
            <w:tcW w:w="1134" w:type="dxa"/>
            <w:shd w:val="clear" w:color="auto" w:fill="BDD7EE"/>
            <w:vAlign w:val="center"/>
            <w:hideMark/>
          </w:tcPr>
          <w:p w14:paraId="30B2540D" w14:textId="77777777" w:rsidR="003D7F65" w:rsidRDefault="0082041E">
            <w:pPr>
              <w:pStyle w:val="P68B1DB1-Normal7"/>
              <w:spacing w:after="0" w:line="240" w:lineRule="auto"/>
              <w:jc w:val="center"/>
              <w:rPr>
                <w:noProof/>
              </w:rPr>
            </w:pPr>
            <w:r>
              <w:rPr>
                <w:noProof/>
              </w:rPr>
              <w:t>Trimestre</w:t>
            </w:r>
          </w:p>
        </w:tc>
        <w:tc>
          <w:tcPr>
            <w:tcW w:w="1417" w:type="dxa"/>
            <w:shd w:val="clear" w:color="auto" w:fill="BDD7EE"/>
            <w:vAlign w:val="center"/>
            <w:hideMark/>
          </w:tcPr>
          <w:p w14:paraId="444F37B0" w14:textId="77777777" w:rsidR="003D7F65" w:rsidRDefault="0082041E">
            <w:pPr>
              <w:pStyle w:val="P68B1DB1-Normal7"/>
              <w:spacing w:after="0" w:line="240" w:lineRule="auto"/>
              <w:jc w:val="center"/>
              <w:rPr>
                <w:noProof/>
              </w:rPr>
            </w:pPr>
            <w:r>
              <w:rPr>
                <w:noProof/>
              </w:rPr>
              <w:t>Année</w:t>
            </w:r>
          </w:p>
        </w:tc>
        <w:tc>
          <w:tcPr>
            <w:tcW w:w="3265" w:type="dxa"/>
            <w:vMerge/>
            <w:vAlign w:val="center"/>
            <w:hideMark/>
          </w:tcPr>
          <w:p w14:paraId="2E1820EC" w14:textId="77777777" w:rsidR="003D7F65" w:rsidRDefault="003D7F65">
            <w:pPr>
              <w:spacing w:after="0" w:line="240" w:lineRule="auto"/>
              <w:jc w:val="center"/>
              <w:rPr>
                <w:rFonts w:ascii="Times New Roman" w:eastAsia="Times New Roman" w:hAnsi="Times New Roman"/>
                <w:b/>
                <w:bCs/>
                <w:noProof/>
                <w:sz w:val="20"/>
                <w:szCs w:val="20"/>
              </w:rPr>
            </w:pPr>
          </w:p>
        </w:tc>
      </w:tr>
      <w:tr w:rsidR="003D7F65" w14:paraId="39B489EB" w14:textId="77777777" w:rsidTr="00DF4EDA">
        <w:trPr>
          <w:trHeight w:val="963"/>
          <w:jc w:val="center"/>
        </w:trPr>
        <w:tc>
          <w:tcPr>
            <w:tcW w:w="835" w:type="dxa"/>
            <w:shd w:val="clear" w:color="auto" w:fill="C6EFCE"/>
            <w:noWrap/>
          </w:tcPr>
          <w:p w14:paraId="02624B19" w14:textId="77777777" w:rsidR="003D7F65" w:rsidRDefault="0082041E">
            <w:pPr>
              <w:pStyle w:val="P68B1DB1-Normal9"/>
              <w:spacing w:after="0" w:line="240" w:lineRule="auto"/>
              <w:jc w:val="center"/>
              <w:rPr>
                <w:noProof/>
              </w:rPr>
            </w:pPr>
            <w:r>
              <w:rPr>
                <w:noProof/>
              </w:rPr>
              <w:t>61</w:t>
            </w:r>
          </w:p>
        </w:tc>
        <w:tc>
          <w:tcPr>
            <w:tcW w:w="1680" w:type="dxa"/>
            <w:shd w:val="clear" w:color="auto" w:fill="C6EFCE"/>
            <w:noWrap/>
          </w:tcPr>
          <w:p w14:paraId="0FE7B5C2" w14:textId="77777777" w:rsidR="003D7F65" w:rsidRDefault="0082041E">
            <w:pPr>
              <w:pStyle w:val="P68B1DB1-Normal9"/>
              <w:spacing w:after="0" w:line="240" w:lineRule="auto"/>
              <w:rPr>
                <w:noProof/>
              </w:rPr>
            </w:pPr>
            <w:r>
              <w:rPr>
                <w:noProof/>
              </w:rPr>
              <w:t>P2C2I1 – Économie numérique – Programme «Économie en temps réel» (RTE)</w:t>
            </w:r>
          </w:p>
        </w:tc>
        <w:tc>
          <w:tcPr>
            <w:tcW w:w="1308" w:type="dxa"/>
            <w:shd w:val="clear" w:color="auto" w:fill="C6EFCE"/>
            <w:noWrap/>
          </w:tcPr>
          <w:p w14:paraId="47348562"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44EDCA08" w14:textId="77777777" w:rsidR="003D7F65" w:rsidRDefault="0082041E">
            <w:pPr>
              <w:pStyle w:val="P68B1DB1-Normal9"/>
              <w:spacing w:after="0" w:line="240" w:lineRule="auto"/>
              <w:rPr>
                <w:noProof/>
              </w:rPr>
            </w:pPr>
            <w:r>
              <w:rPr>
                <w:noProof/>
              </w:rPr>
              <w:t>Un écosystème minimum viable est créé et opérationnel</w:t>
            </w:r>
          </w:p>
        </w:tc>
        <w:tc>
          <w:tcPr>
            <w:tcW w:w="1735" w:type="dxa"/>
            <w:shd w:val="clear" w:color="auto" w:fill="C6EFCE"/>
            <w:noWrap/>
          </w:tcPr>
          <w:p w14:paraId="716C6F0B" w14:textId="77777777" w:rsidR="003D7F65" w:rsidRDefault="0082041E">
            <w:pPr>
              <w:pStyle w:val="P68B1DB1-Normal9"/>
              <w:spacing w:after="0" w:line="240" w:lineRule="auto"/>
              <w:rPr>
                <w:noProof/>
              </w:rPr>
            </w:pPr>
            <w:r>
              <w:rPr>
                <w:noProof/>
              </w:rPr>
              <w:t>Un écosystème minimum viable a été créé, comme en témoigne la publication des règles et normes communes documentées sur le site Web du Programme.</w:t>
            </w:r>
          </w:p>
        </w:tc>
        <w:tc>
          <w:tcPr>
            <w:tcW w:w="720" w:type="dxa"/>
            <w:shd w:val="clear" w:color="auto" w:fill="C6EFCE"/>
            <w:noWrap/>
          </w:tcPr>
          <w:p w14:paraId="67ECE68A"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06552B8E"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0C749DE3"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70D9C2E3"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6D166BDC" w14:textId="77777777" w:rsidR="003D7F65" w:rsidRDefault="0082041E">
            <w:pPr>
              <w:pStyle w:val="P68B1DB1-Normal9"/>
              <w:spacing w:after="0" w:line="240" w:lineRule="auto"/>
              <w:jc w:val="center"/>
              <w:rPr>
                <w:noProof/>
              </w:rPr>
            </w:pPr>
            <w:r>
              <w:rPr>
                <w:noProof/>
              </w:rPr>
              <w:t>2022</w:t>
            </w:r>
          </w:p>
        </w:tc>
        <w:tc>
          <w:tcPr>
            <w:tcW w:w="3265" w:type="dxa"/>
            <w:shd w:val="clear" w:color="auto" w:fill="C6EFCE"/>
            <w:noWrap/>
          </w:tcPr>
          <w:p w14:paraId="518D6DA7" w14:textId="3C836DC2" w:rsidR="003D7F65" w:rsidRDefault="0082041E">
            <w:pPr>
              <w:pStyle w:val="P68B1DB1-Normal9"/>
              <w:spacing w:after="0" w:line="240" w:lineRule="auto"/>
              <w:rPr>
                <w:noProof/>
              </w:rPr>
            </w:pPr>
            <w:r>
              <w:rPr>
                <w:noProof/>
              </w:rPr>
              <w:t>L'écosystème minimum viable (EMV) a été établi avec succès dans un environnement de production, sur la base de règles communes documentées. Il permet la circulation des factures électroniques dans un format structuré lisible par machine pour augmenter l'automatisation des processus.</w:t>
            </w:r>
          </w:p>
        </w:tc>
      </w:tr>
      <w:tr w:rsidR="003D7F65" w14:paraId="610F1DF6" w14:textId="77777777" w:rsidTr="00DF4EDA">
        <w:trPr>
          <w:trHeight w:val="309"/>
          <w:jc w:val="center"/>
        </w:trPr>
        <w:tc>
          <w:tcPr>
            <w:tcW w:w="835" w:type="dxa"/>
            <w:shd w:val="clear" w:color="auto" w:fill="C6EFCE"/>
            <w:noWrap/>
          </w:tcPr>
          <w:p w14:paraId="5E1BC593" w14:textId="77777777" w:rsidR="003D7F65" w:rsidRDefault="0082041E">
            <w:pPr>
              <w:pStyle w:val="P68B1DB1-Normal9"/>
              <w:spacing w:after="0" w:line="240" w:lineRule="auto"/>
              <w:jc w:val="center"/>
              <w:rPr>
                <w:noProof/>
              </w:rPr>
            </w:pPr>
            <w:r>
              <w:rPr>
                <w:noProof/>
              </w:rPr>
              <w:t>62</w:t>
            </w:r>
          </w:p>
        </w:tc>
        <w:tc>
          <w:tcPr>
            <w:tcW w:w="1680" w:type="dxa"/>
            <w:shd w:val="clear" w:color="auto" w:fill="C6EFCE"/>
            <w:noWrap/>
          </w:tcPr>
          <w:p w14:paraId="6A7783FF" w14:textId="77777777" w:rsidR="003D7F65" w:rsidRDefault="0082041E">
            <w:pPr>
              <w:pStyle w:val="P68B1DB1-Normal9"/>
              <w:spacing w:after="0" w:line="240" w:lineRule="auto"/>
              <w:rPr>
                <w:noProof/>
              </w:rPr>
            </w:pPr>
            <w:r>
              <w:rPr>
                <w:noProof/>
              </w:rPr>
              <w:t>P2C2I1 – Économie numérique – Programme «Économie en temps réel» (RTE)</w:t>
            </w:r>
          </w:p>
        </w:tc>
        <w:tc>
          <w:tcPr>
            <w:tcW w:w="1308" w:type="dxa"/>
            <w:shd w:val="clear" w:color="auto" w:fill="C6EFCE"/>
            <w:noWrap/>
          </w:tcPr>
          <w:p w14:paraId="060FC78D"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26670DA4" w14:textId="10F6BB3D" w:rsidR="003D7F65" w:rsidRDefault="0082041E">
            <w:pPr>
              <w:pStyle w:val="P68B1DB1-Normal9"/>
              <w:spacing w:after="0" w:line="240" w:lineRule="auto"/>
              <w:rPr>
                <w:noProof/>
              </w:rPr>
            </w:pPr>
            <w:r>
              <w:rPr>
                <w:noProof/>
              </w:rPr>
              <w:t>Rapport sur l’échange d’informations commerciales numériques</w:t>
            </w:r>
          </w:p>
        </w:tc>
        <w:tc>
          <w:tcPr>
            <w:tcW w:w="1735" w:type="dxa"/>
            <w:shd w:val="clear" w:color="auto" w:fill="C6EFCE"/>
            <w:noWrap/>
          </w:tcPr>
          <w:p w14:paraId="5A8326DE" w14:textId="77777777" w:rsidR="003D7F65" w:rsidRDefault="0082041E">
            <w:pPr>
              <w:pStyle w:val="P68B1DB1-Normal9"/>
              <w:spacing w:after="0" w:line="240" w:lineRule="auto"/>
              <w:rPr>
                <w:noProof/>
              </w:rPr>
            </w:pPr>
            <w:r>
              <w:rPr>
                <w:noProof/>
              </w:rPr>
              <w:t>Publication d'un rapport</w:t>
            </w:r>
          </w:p>
        </w:tc>
        <w:tc>
          <w:tcPr>
            <w:tcW w:w="720" w:type="dxa"/>
            <w:shd w:val="clear" w:color="auto" w:fill="C6EFCE"/>
            <w:noWrap/>
          </w:tcPr>
          <w:p w14:paraId="7476E7C4"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10A6313C"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52BB74FB"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7C83A522"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61631564" w14:textId="77777777" w:rsidR="003D7F65" w:rsidRDefault="0082041E">
            <w:pPr>
              <w:pStyle w:val="P68B1DB1-Normal9"/>
              <w:spacing w:after="0" w:line="240" w:lineRule="auto"/>
              <w:jc w:val="center"/>
              <w:rPr>
                <w:noProof/>
              </w:rPr>
            </w:pPr>
            <w:r>
              <w:rPr>
                <w:noProof/>
              </w:rPr>
              <w:t>2024</w:t>
            </w:r>
          </w:p>
        </w:tc>
        <w:tc>
          <w:tcPr>
            <w:tcW w:w="3265" w:type="dxa"/>
            <w:shd w:val="clear" w:color="auto" w:fill="C6EFCE"/>
            <w:noWrap/>
          </w:tcPr>
          <w:p w14:paraId="313889E7" w14:textId="19168B9D" w:rsidR="003D7F65" w:rsidRDefault="0082041E">
            <w:pPr>
              <w:pStyle w:val="P68B1DB1-Normal9"/>
              <w:spacing w:after="0" w:line="259" w:lineRule="auto"/>
              <w:contextualSpacing/>
              <w:rPr>
                <w:noProof/>
              </w:rPr>
            </w:pPr>
            <w:r>
              <w:rPr>
                <w:noProof/>
              </w:rPr>
              <w:t>Publication d’un rapport sur l’échange d’informations commerciales numériques, qui décrit les projets pilotes d’échange de reçus électroniques et de messages relatifs aux marchés publics.</w:t>
            </w:r>
          </w:p>
        </w:tc>
      </w:tr>
      <w:tr w:rsidR="003D7F65" w14:paraId="2898EC08" w14:textId="77777777" w:rsidTr="00DF4EDA">
        <w:trPr>
          <w:trHeight w:val="309"/>
          <w:jc w:val="center"/>
        </w:trPr>
        <w:tc>
          <w:tcPr>
            <w:tcW w:w="835" w:type="dxa"/>
            <w:shd w:val="clear" w:color="auto" w:fill="C6EFCE"/>
            <w:noWrap/>
          </w:tcPr>
          <w:p w14:paraId="1BFD454E" w14:textId="77777777" w:rsidR="003D7F65" w:rsidRDefault="0082041E">
            <w:pPr>
              <w:pStyle w:val="P68B1DB1-Normal9"/>
              <w:spacing w:after="0" w:line="240" w:lineRule="auto"/>
              <w:jc w:val="center"/>
              <w:rPr>
                <w:noProof/>
              </w:rPr>
            </w:pPr>
            <w:r>
              <w:rPr>
                <w:noProof/>
              </w:rPr>
              <w:t xml:space="preserve">63 </w:t>
            </w:r>
          </w:p>
        </w:tc>
        <w:tc>
          <w:tcPr>
            <w:tcW w:w="1680" w:type="dxa"/>
            <w:shd w:val="clear" w:color="auto" w:fill="C6EFCE"/>
            <w:noWrap/>
          </w:tcPr>
          <w:p w14:paraId="5E587A21" w14:textId="77777777" w:rsidR="003D7F65" w:rsidRDefault="0082041E">
            <w:pPr>
              <w:pStyle w:val="P68B1DB1-Normal9"/>
              <w:spacing w:after="0" w:line="240" w:lineRule="auto"/>
              <w:rPr>
                <w:noProof/>
              </w:rPr>
            </w:pPr>
            <w:r>
              <w:rPr>
                <w:noProof/>
              </w:rPr>
              <w:t>P2C2I2 – Accélération de l’économie fondée sur les données et de la numérisation – Finlande virtuelle</w:t>
            </w:r>
          </w:p>
        </w:tc>
        <w:tc>
          <w:tcPr>
            <w:tcW w:w="1308" w:type="dxa"/>
            <w:shd w:val="clear" w:color="auto" w:fill="C6EFCE"/>
            <w:noWrap/>
          </w:tcPr>
          <w:p w14:paraId="0352380E"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043D326D" w14:textId="77777777" w:rsidR="003D7F65" w:rsidRDefault="0082041E">
            <w:pPr>
              <w:pStyle w:val="P68B1DB1-Normal9"/>
              <w:spacing w:after="0" w:line="240" w:lineRule="auto"/>
              <w:rPr>
                <w:noProof/>
              </w:rPr>
            </w:pPr>
            <w:r>
              <w:rPr>
                <w:noProof/>
              </w:rPr>
              <w:t>Plate-forme virtuelle de Finlande</w:t>
            </w:r>
          </w:p>
        </w:tc>
        <w:tc>
          <w:tcPr>
            <w:tcW w:w="1735" w:type="dxa"/>
            <w:shd w:val="clear" w:color="auto" w:fill="C6EFCE"/>
            <w:noWrap/>
          </w:tcPr>
          <w:p w14:paraId="3AC44210" w14:textId="77777777" w:rsidR="003D7F65" w:rsidRDefault="0082041E">
            <w:pPr>
              <w:pStyle w:val="P68B1DB1-Normal9"/>
              <w:spacing w:after="0" w:line="240" w:lineRule="auto"/>
              <w:rPr>
                <w:noProof/>
              </w:rPr>
            </w:pPr>
            <w:r>
              <w:rPr>
                <w:noProof/>
              </w:rPr>
              <w:t>Plateforme publiée</w:t>
            </w:r>
          </w:p>
        </w:tc>
        <w:tc>
          <w:tcPr>
            <w:tcW w:w="720" w:type="dxa"/>
            <w:shd w:val="clear" w:color="auto" w:fill="C6EFCE"/>
            <w:noWrap/>
          </w:tcPr>
          <w:p w14:paraId="16272EB5" w14:textId="2328F870"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78378435" w14:textId="75CFB56E"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04D7D6C6" w14:textId="3C702782"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67572499"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1523E40A" w14:textId="77777777" w:rsidR="003D7F65" w:rsidRDefault="0082041E">
            <w:pPr>
              <w:pStyle w:val="P68B1DB1-Normal9"/>
              <w:spacing w:after="0" w:line="240" w:lineRule="auto"/>
              <w:jc w:val="center"/>
              <w:rPr>
                <w:noProof/>
              </w:rPr>
            </w:pPr>
            <w:r>
              <w:rPr>
                <w:noProof/>
              </w:rPr>
              <w:t>2025</w:t>
            </w:r>
          </w:p>
        </w:tc>
        <w:tc>
          <w:tcPr>
            <w:tcW w:w="3265" w:type="dxa"/>
            <w:shd w:val="clear" w:color="auto" w:fill="C6EFCE"/>
            <w:noWrap/>
          </w:tcPr>
          <w:p w14:paraId="43302219" w14:textId="2E926F37" w:rsidR="003D7F65" w:rsidRDefault="0082041E">
            <w:pPr>
              <w:pStyle w:val="P68B1DB1-Normal9"/>
              <w:spacing w:after="0" w:line="240" w:lineRule="auto"/>
              <w:rPr>
                <w:noProof/>
              </w:rPr>
            </w:pPr>
            <w:r>
              <w:rPr>
                <w:noProof/>
              </w:rPr>
              <w:t>La version de production de la plate-forme a été publiée, et au moins un service a été intégré, concernant le processus d'entrée pour les personnes étrangères.</w:t>
            </w:r>
          </w:p>
        </w:tc>
      </w:tr>
      <w:tr w:rsidR="003D7F65" w14:paraId="7CED94E3" w14:textId="77777777" w:rsidTr="00DF4EDA">
        <w:trPr>
          <w:trHeight w:val="309"/>
          <w:jc w:val="center"/>
        </w:trPr>
        <w:tc>
          <w:tcPr>
            <w:tcW w:w="835" w:type="dxa"/>
            <w:shd w:val="clear" w:color="auto" w:fill="C6EFCE"/>
            <w:noWrap/>
          </w:tcPr>
          <w:p w14:paraId="0DA3A54F" w14:textId="77777777" w:rsidR="003D7F65" w:rsidRDefault="0082041E">
            <w:pPr>
              <w:pStyle w:val="P68B1DB1-Normal9"/>
              <w:spacing w:after="0" w:line="240" w:lineRule="auto"/>
              <w:jc w:val="center"/>
              <w:rPr>
                <w:noProof/>
              </w:rPr>
            </w:pPr>
            <w:r>
              <w:rPr>
                <w:noProof/>
              </w:rPr>
              <w:t>64</w:t>
            </w:r>
          </w:p>
        </w:tc>
        <w:tc>
          <w:tcPr>
            <w:tcW w:w="1680" w:type="dxa"/>
            <w:shd w:val="clear" w:color="auto" w:fill="C6EFCE"/>
            <w:noWrap/>
          </w:tcPr>
          <w:p w14:paraId="5A09763A" w14:textId="77777777" w:rsidR="003D7F65" w:rsidRDefault="0082041E">
            <w:pPr>
              <w:pStyle w:val="P68B1DB1-Normal9"/>
              <w:spacing w:after="0" w:line="240" w:lineRule="auto"/>
              <w:rPr>
                <w:noProof/>
              </w:rPr>
            </w:pPr>
            <w:r>
              <w:rPr>
                <w:noProof/>
              </w:rPr>
              <w:t>P2C2I3 - Accélérer les technologies clés (microélectronique, 6G, intelligence artificielle et informatique quantique)</w:t>
            </w:r>
          </w:p>
        </w:tc>
        <w:tc>
          <w:tcPr>
            <w:tcW w:w="1308" w:type="dxa"/>
            <w:shd w:val="clear" w:color="auto" w:fill="C6EFCE"/>
            <w:noWrap/>
          </w:tcPr>
          <w:p w14:paraId="3809878E" w14:textId="77777777" w:rsidR="003D7F65" w:rsidRDefault="0082041E">
            <w:pPr>
              <w:pStyle w:val="P68B1DB1-Normal9"/>
              <w:spacing w:after="0" w:line="240" w:lineRule="auto"/>
              <w:rPr>
                <w:noProof/>
              </w:rPr>
            </w:pPr>
            <w:r>
              <w:rPr>
                <w:noProof/>
              </w:rPr>
              <w:t>Objectif</w:t>
            </w:r>
          </w:p>
        </w:tc>
        <w:tc>
          <w:tcPr>
            <w:tcW w:w="1277" w:type="dxa"/>
            <w:shd w:val="clear" w:color="auto" w:fill="C6EFCE"/>
            <w:noWrap/>
          </w:tcPr>
          <w:p w14:paraId="60A22F6C" w14:textId="77777777" w:rsidR="003D7F65" w:rsidRDefault="0082041E">
            <w:pPr>
              <w:pStyle w:val="P68B1DB1-Normal9"/>
              <w:spacing w:after="0" w:line="240" w:lineRule="auto"/>
              <w:rPr>
                <w:noProof/>
              </w:rPr>
            </w:pPr>
            <w:r>
              <w:rPr>
                <w:noProof/>
              </w:rPr>
              <w:t>Les projets de micro-électronique sont récompensés</w:t>
            </w:r>
          </w:p>
        </w:tc>
        <w:tc>
          <w:tcPr>
            <w:tcW w:w="1735" w:type="dxa"/>
            <w:shd w:val="clear" w:color="auto" w:fill="C6EFCE"/>
            <w:noWrap/>
          </w:tcPr>
          <w:p w14:paraId="49021E19" w14:textId="77777777" w:rsidR="003D7F65" w:rsidRDefault="003D7F65">
            <w:pPr>
              <w:spacing w:after="0" w:line="240" w:lineRule="auto"/>
              <w:rPr>
                <w:rFonts w:ascii="Times New Roman" w:eastAsia="Times New Roman" w:hAnsi="Times New Roman"/>
                <w:noProof/>
                <w:sz w:val="20"/>
                <w:szCs w:val="20"/>
              </w:rPr>
            </w:pPr>
          </w:p>
        </w:tc>
        <w:tc>
          <w:tcPr>
            <w:tcW w:w="720" w:type="dxa"/>
            <w:shd w:val="clear" w:color="auto" w:fill="C6EFCE"/>
            <w:noWrap/>
          </w:tcPr>
          <w:p w14:paraId="71497314" w14:textId="77777777" w:rsidR="003D7F65" w:rsidRDefault="0082041E">
            <w:pPr>
              <w:pStyle w:val="P68B1DB1-Normal9"/>
              <w:spacing w:after="0" w:line="240" w:lineRule="auto"/>
              <w:jc w:val="center"/>
              <w:rPr>
                <w:noProof/>
              </w:rPr>
            </w:pPr>
            <w:r>
              <w:rPr>
                <w:noProof/>
              </w:rPr>
              <w:t>Numéro</w:t>
            </w:r>
          </w:p>
        </w:tc>
        <w:tc>
          <w:tcPr>
            <w:tcW w:w="945" w:type="dxa"/>
            <w:shd w:val="clear" w:color="auto" w:fill="C6EFCE"/>
            <w:noWrap/>
          </w:tcPr>
          <w:p w14:paraId="29D0C9D7" w14:textId="77777777" w:rsidR="003D7F65" w:rsidRDefault="0082041E">
            <w:pPr>
              <w:pStyle w:val="P68B1DB1-Normal9"/>
              <w:spacing w:after="0" w:line="240" w:lineRule="auto"/>
              <w:jc w:val="center"/>
              <w:rPr>
                <w:noProof/>
              </w:rPr>
            </w:pPr>
            <w:r>
              <w:rPr>
                <w:noProof/>
              </w:rPr>
              <w:t>0</w:t>
            </w:r>
          </w:p>
        </w:tc>
        <w:tc>
          <w:tcPr>
            <w:tcW w:w="993" w:type="dxa"/>
            <w:shd w:val="clear" w:color="auto" w:fill="C6EFCE"/>
            <w:noWrap/>
          </w:tcPr>
          <w:p w14:paraId="49DC1572" w14:textId="77777777" w:rsidR="003D7F65" w:rsidRDefault="0082041E">
            <w:pPr>
              <w:pStyle w:val="P68B1DB1-Normal9"/>
              <w:spacing w:after="0" w:line="240" w:lineRule="auto"/>
              <w:jc w:val="center"/>
              <w:rPr>
                <w:noProof/>
              </w:rPr>
            </w:pPr>
            <w:r>
              <w:rPr>
                <w:noProof/>
              </w:rPr>
              <w:t>2</w:t>
            </w:r>
          </w:p>
        </w:tc>
        <w:tc>
          <w:tcPr>
            <w:tcW w:w="1134" w:type="dxa"/>
            <w:shd w:val="clear" w:color="auto" w:fill="C6EFCE"/>
            <w:noWrap/>
          </w:tcPr>
          <w:p w14:paraId="1B2F962D"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0BA0F512" w14:textId="77777777" w:rsidR="003D7F65" w:rsidRDefault="0082041E">
            <w:pPr>
              <w:pStyle w:val="P68B1DB1-Normal9"/>
              <w:spacing w:after="0" w:line="240" w:lineRule="auto"/>
              <w:jc w:val="center"/>
              <w:rPr>
                <w:noProof/>
              </w:rPr>
            </w:pPr>
            <w:r>
              <w:rPr>
                <w:noProof/>
              </w:rPr>
              <w:t>2022</w:t>
            </w:r>
          </w:p>
        </w:tc>
        <w:tc>
          <w:tcPr>
            <w:tcW w:w="3265" w:type="dxa"/>
            <w:shd w:val="clear" w:color="auto" w:fill="C6EFCE"/>
            <w:noWrap/>
          </w:tcPr>
          <w:p w14:paraId="38E67A46" w14:textId="77777777" w:rsidR="003D7F65" w:rsidRDefault="0082041E">
            <w:pPr>
              <w:pStyle w:val="P68B1DB1-Normal9"/>
              <w:spacing w:after="0" w:line="240" w:lineRule="auto"/>
              <w:rPr>
                <w:noProof/>
              </w:rPr>
            </w:pPr>
            <w:r>
              <w:rPr>
                <w:noProof/>
              </w:rPr>
              <w:t xml:space="preserve"> Notification de l'attribution d'au moins 2 décisions de financement par Business Finland. Les critères d’éligibilité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La sélection des projets évalue la qualité et l’efficacité des activités de RDI et la manière dont elles favorisent la numérisation. Les critères de sélection comprennent la qualité et l’adéquation du projet, les futures incidences commerciales directes et indirectes du projet, l’adéquation du projet à l’idée centrale du PIIEC et aux stratégies nationales et européennes, ainsi que la qualité du consortium du projet. </w:t>
            </w:r>
          </w:p>
        </w:tc>
      </w:tr>
      <w:tr w:rsidR="003D7F65" w14:paraId="5316E5B5" w14:textId="77777777" w:rsidTr="00DF4EDA">
        <w:trPr>
          <w:trHeight w:val="309"/>
          <w:jc w:val="center"/>
        </w:trPr>
        <w:tc>
          <w:tcPr>
            <w:tcW w:w="835" w:type="dxa"/>
            <w:shd w:val="clear" w:color="auto" w:fill="C6EFCE"/>
            <w:noWrap/>
          </w:tcPr>
          <w:p w14:paraId="4175B0EA" w14:textId="77777777" w:rsidR="003D7F65" w:rsidRDefault="0082041E">
            <w:pPr>
              <w:pStyle w:val="P68B1DB1-Normal9"/>
              <w:spacing w:after="0" w:line="240" w:lineRule="auto"/>
              <w:jc w:val="center"/>
              <w:rPr>
                <w:noProof/>
              </w:rPr>
            </w:pPr>
            <w:r>
              <w:rPr>
                <w:noProof/>
              </w:rPr>
              <w:t>66</w:t>
            </w:r>
          </w:p>
        </w:tc>
        <w:tc>
          <w:tcPr>
            <w:tcW w:w="1680" w:type="dxa"/>
            <w:shd w:val="clear" w:color="auto" w:fill="C6EFCE"/>
            <w:noWrap/>
          </w:tcPr>
          <w:p w14:paraId="5B10E2F0" w14:textId="77777777" w:rsidR="003D7F65" w:rsidRDefault="0082041E">
            <w:pPr>
              <w:pStyle w:val="P68B1DB1-Normal9"/>
              <w:spacing w:after="0" w:line="240" w:lineRule="auto"/>
              <w:rPr>
                <w:noProof/>
              </w:rPr>
            </w:pPr>
            <w:r>
              <w:rPr>
                <w:noProof/>
              </w:rPr>
              <w:t>P2C2I3 - Accélérer les technologies clés (microélectronique, 6G, intelligence artificielle et informatique quantique)</w:t>
            </w:r>
          </w:p>
        </w:tc>
        <w:tc>
          <w:tcPr>
            <w:tcW w:w="1308" w:type="dxa"/>
            <w:shd w:val="clear" w:color="auto" w:fill="C6EFCE"/>
            <w:noWrap/>
          </w:tcPr>
          <w:p w14:paraId="31DEFA8A"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523E4272" w14:textId="77777777" w:rsidR="003D7F65" w:rsidRDefault="0082041E">
            <w:pPr>
              <w:pStyle w:val="P68B1DB1-Normal9"/>
              <w:spacing w:after="0" w:line="240" w:lineRule="auto"/>
              <w:rPr>
                <w:noProof/>
              </w:rPr>
            </w:pPr>
            <w:r>
              <w:rPr>
                <w:noProof/>
              </w:rPr>
              <w:t>Les projets développant la 6G, l'IA et l'informatique quantique sont récompensés</w:t>
            </w:r>
          </w:p>
        </w:tc>
        <w:tc>
          <w:tcPr>
            <w:tcW w:w="1735" w:type="dxa"/>
            <w:shd w:val="clear" w:color="auto" w:fill="C6EFCE"/>
            <w:noWrap/>
          </w:tcPr>
          <w:p w14:paraId="3987DFBD" w14:textId="77777777" w:rsidR="003D7F65" w:rsidRDefault="0082041E">
            <w:pPr>
              <w:pStyle w:val="P68B1DB1-Normal9"/>
              <w:spacing w:after="0" w:line="240" w:lineRule="auto"/>
              <w:rPr>
                <w:noProof/>
              </w:rPr>
            </w:pPr>
            <w:r>
              <w:rPr>
                <w:noProof/>
              </w:rPr>
              <w:t>Notification de l’octroi de toutes les subventions pour des projets de développement de la 6G, de l’IA et de l’informatique quantique</w:t>
            </w:r>
          </w:p>
        </w:tc>
        <w:tc>
          <w:tcPr>
            <w:tcW w:w="720" w:type="dxa"/>
            <w:shd w:val="clear" w:color="auto" w:fill="C6EFCE"/>
            <w:noWrap/>
          </w:tcPr>
          <w:p w14:paraId="2C9F24B6"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705025CB"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4DC6C81E"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5DF80BFA"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0FF050F0" w14:textId="77777777" w:rsidR="003D7F65" w:rsidRDefault="0082041E">
            <w:pPr>
              <w:pStyle w:val="P68B1DB1-Normal9"/>
              <w:spacing w:after="0" w:line="240" w:lineRule="auto"/>
              <w:jc w:val="center"/>
              <w:rPr>
                <w:noProof/>
              </w:rPr>
            </w:pPr>
            <w:r>
              <w:rPr>
                <w:noProof/>
              </w:rPr>
              <w:t>2022</w:t>
            </w:r>
          </w:p>
        </w:tc>
        <w:tc>
          <w:tcPr>
            <w:tcW w:w="3265" w:type="dxa"/>
            <w:shd w:val="clear" w:color="auto" w:fill="C6EFCE"/>
            <w:noWrap/>
          </w:tcPr>
          <w:p w14:paraId="115DB5DF" w14:textId="77777777" w:rsidR="003D7F65" w:rsidRDefault="0082041E">
            <w:pPr>
              <w:pStyle w:val="P68B1DB1-Normal9"/>
              <w:spacing w:after="0" w:line="240" w:lineRule="auto"/>
              <w:rPr>
                <w:noProof/>
              </w:rPr>
            </w:pPr>
            <w:r>
              <w:rPr>
                <w:noProof/>
              </w:rPr>
              <w:t>Dans le cadre d’un appel à projets ouvert dans le cadre duquel des entreprises et des instituts de recherche développent et utilisent des environnements d’essai et d’essai, Business Finland sélectionne les projets à financer en fonction des critères de l’appel. Les critères d’éligibilité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Les critères de sélection comprennent la qualité et l’adéquation du projet, les futures incidences commerciales directes et indirectes du projet, l’adéquation des projets aux stratégies nationales et européennes et la qualité du consortium du projet. La sélection des projets évalue la qualité et l’efficacité des activités de RDI et la manière dont elles favorisent la numérisation.</w:t>
            </w:r>
          </w:p>
        </w:tc>
      </w:tr>
      <w:tr w:rsidR="003D7F65" w14:paraId="4C0E3853" w14:textId="77777777" w:rsidTr="00DF4EDA">
        <w:trPr>
          <w:trHeight w:val="309"/>
          <w:jc w:val="center"/>
        </w:trPr>
        <w:tc>
          <w:tcPr>
            <w:tcW w:w="835" w:type="dxa"/>
            <w:shd w:val="clear" w:color="auto" w:fill="C6EFCE"/>
            <w:noWrap/>
          </w:tcPr>
          <w:p w14:paraId="30772559" w14:textId="77777777" w:rsidR="003D7F65" w:rsidRDefault="0082041E">
            <w:pPr>
              <w:pStyle w:val="P68B1DB1-Normal9"/>
              <w:spacing w:after="0" w:line="240" w:lineRule="auto"/>
              <w:jc w:val="center"/>
              <w:rPr>
                <w:noProof/>
              </w:rPr>
            </w:pPr>
            <w:r>
              <w:rPr>
                <w:noProof/>
              </w:rPr>
              <w:t>67</w:t>
            </w:r>
          </w:p>
        </w:tc>
        <w:tc>
          <w:tcPr>
            <w:tcW w:w="1680" w:type="dxa"/>
            <w:shd w:val="clear" w:color="auto" w:fill="C6EFCE"/>
            <w:noWrap/>
          </w:tcPr>
          <w:p w14:paraId="65E0A3F1" w14:textId="77777777" w:rsidR="003D7F65" w:rsidRDefault="0082041E">
            <w:pPr>
              <w:pStyle w:val="P68B1DB1-Normal9"/>
              <w:spacing w:after="0" w:line="240" w:lineRule="auto"/>
              <w:rPr>
                <w:noProof/>
              </w:rPr>
            </w:pPr>
            <w:r>
              <w:rPr>
                <w:noProof/>
              </w:rPr>
              <w:t>P2C2I3 - Accélérer les technologies clés (microélectronique, 6G, intelligence artificielle et informatique quantique)</w:t>
            </w:r>
          </w:p>
        </w:tc>
        <w:tc>
          <w:tcPr>
            <w:tcW w:w="1308" w:type="dxa"/>
            <w:shd w:val="clear" w:color="auto" w:fill="C6EFCE"/>
            <w:noWrap/>
          </w:tcPr>
          <w:p w14:paraId="75FE41DE"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3631E260" w14:textId="42C167D3" w:rsidR="003D7F65" w:rsidRDefault="0082041E">
            <w:pPr>
              <w:pStyle w:val="P68B1DB1-Normal9"/>
              <w:spacing w:after="0" w:line="240" w:lineRule="auto"/>
              <w:rPr>
                <w:noProof/>
              </w:rPr>
            </w:pPr>
            <w:r>
              <w:rPr>
                <w:noProof/>
              </w:rPr>
              <w:t>Rapports de projet présentés</w:t>
            </w:r>
          </w:p>
        </w:tc>
        <w:tc>
          <w:tcPr>
            <w:tcW w:w="1735" w:type="dxa"/>
            <w:shd w:val="clear" w:color="auto" w:fill="C6EFCE"/>
            <w:noWrap/>
          </w:tcPr>
          <w:p w14:paraId="32C6591D" w14:textId="77777777" w:rsidR="003D7F65" w:rsidRDefault="0082041E">
            <w:pPr>
              <w:pStyle w:val="P68B1DB1-Normal9"/>
              <w:spacing w:after="0" w:line="240" w:lineRule="auto"/>
              <w:rPr>
                <w:noProof/>
              </w:rPr>
            </w:pPr>
            <w:r>
              <w:rPr>
                <w:noProof/>
              </w:rPr>
              <w:t>Rapports de projet présentés</w:t>
            </w:r>
          </w:p>
        </w:tc>
        <w:tc>
          <w:tcPr>
            <w:tcW w:w="720" w:type="dxa"/>
            <w:shd w:val="clear" w:color="auto" w:fill="C6EFCE"/>
            <w:noWrap/>
          </w:tcPr>
          <w:p w14:paraId="7E557803"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2FE9FA0F"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3E2AEBBD"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0FA286C8"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69196751" w14:textId="77777777" w:rsidR="003D7F65" w:rsidRDefault="0082041E">
            <w:pPr>
              <w:pStyle w:val="P68B1DB1-Normal9"/>
              <w:spacing w:after="0" w:line="240" w:lineRule="auto"/>
              <w:jc w:val="center"/>
              <w:rPr>
                <w:noProof/>
              </w:rPr>
            </w:pPr>
            <w:r>
              <w:rPr>
                <w:noProof/>
              </w:rPr>
              <w:t>2025</w:t>
            </w:r>
          </w:p>
        </w:tc>
        <w:tc>
          <w:tcPr>
            <w:tcW w:w="3265" w:type="dxa"/>
            <w:shd w:val="clear" w:color="auto" w:fill="C6EFCE"/>
            <w:noWrap/>
          </w:tcPr>
          <w:p w14:paraId="0E9D8544" w14:textId="77777777" w:rsidR="003D7F65" w:rsidRDefault="0082041E">
            <w:pPr>
              <w:pStyle w:val="P68B1DB1-Normal8"/>
              <w:spacing w:after="0" w:line="240" w:lineRule="auto"/>
              <w:rPr>
                <w:rFonts w:eastAsia="Times New Roman"/>
                <w:noProof/>
              </w:rPr>
            </w:pPr>
            <w:r>
              <w:rPr>
                <w:noProof/>
              </w:rPr>
              <w:t>Les entités bénéficiaires soumettent des rapports sur les projets ayant fait l’objet d’une attribution cumulée d’au moins 22 500 000 EUR.</w:t>
            </w:r>
          </w:p>
        </w:tc>
      </w:tr>
      <w:tr w:rsidR="003D7F65" w14:paraId="53508573" w14:textId="77777777" w:rsidTr="00DF4EDA">
        <w:trPr>
          <w:trHeight w:val="173"/>
          <w:jc w:val="center"/>
        </w:trPr>
        <w:tc>
          <w:tcPr>
            <w:tcW w:w="835" w:type="dxa"/>
            <w:shd w:val="clear" w:color="auto" w:fill="C6EFCE"/>
            <w:noWrap/>
          </w:tcPr>
          <w:p w14:paraId="5893B1F3" w14:textId="77777777" w:rsidR="003D7F65" w:rsidRDefault="0082041E">
            <w:pPr>
              <w:pStyle w:val="P68B1DB1-Normal9"/>
              <w:spacing w:after="0" w:line="240" w:lineRule="auto"/>
              <w:jc w:val="center"/>
              <w:rPr>
                <w:noProof/>
              </w:rPr>
            </w:pPr>
            <w:r>
              <w:rPr>
                <w:noProof/>
              </w:rPr>
              <w:t>68</w:t>
            </w:r>
          </w:p>
        </w:tc>
        <w:tc>
          <w:tcPr>
            <w:tcW w:w="1680" w:type="dxa"/>
            <w:shd w:val="clear" w:color="auto" w:fill="C6EFCE"/>
            <w:noWrap/>
          </w:tcPr>
          <w:p w14:paraId="351EA366" w14:textId="77777777" w:rsidR="003D7F65" w:rsidRDefault="0082041E">
            <w:pPr>
              <w:pStyle w:val="P68B1DB1-Normal9"/>
              <w:spacing w:after="0" w:line="240" w:lineRule="auto"/>
              <w:rPr>
                <w:noProof/>
              </w:rPr>
            </w:pPr>
            <w:r>
              <w:rPr>
                <w:noProof/>
              </w:rPr>
              <w:t>P2C2R1 - Développement du système d'information sur la propriété résidentielle et commerciale</w:t>
            </w:r>
          </w:p>
        </w:tc>
        <w:tc>
          <w:tcPr>
            <w:tcW w:w="1308" w:type="dxa"/>
            <w:shd w:val="clear" w:color="auto" w:fill="C6EFCE"/>
            <w:noWrap/>
          </w:tcPr>
          <w:p w14:paraId="736F5E03"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127690C1" w14:textId="10B8D123" w:rsidR="003D7F65" w:rsidRDefault="0082041E">
            <w:pPr>
              <w:pStyle w:val="P68B1DB1-Normal9"/>
              <w:spacing w:after="0" w:line="240" w:lineRule="auto"/>
              <w:rPr>
                <w:noProof/>
              </w:rPr>
            </w:pPr>
            <w:r>
              <w:rPr>
                <w:noProof/>
              </w:rPr>
              <w:t>Adoption d'une législation sur l'extension du champ d'application du système d'information sur les biens immobiliers résidentiels et commerciaux</w:t>
            </w:r>
          </w:p>
        </w:tc>
        <w:tc>
          <w:tcPr>
            <w:tcW w:w="1735" w:type="dxa"/>
            <w:shd w:val="clear" w:color="auto" w:fill="C6EFCE"/>
            <w:noWrap/>
          </w:tcPr>
          <w:p w14:paraId="699BF2BC" w14:textId="77777777" w:rsidR="003D7F65" w:rsidRDefault="0082041E">
            <w:pPr>
              <w:pStyle w:val="P68B1DB1-Normal9"/>
              <w:spacing w:after="0" w:line="240" w:lineRule="auto"/>
              <w:rPr>
                <w:noProof/>
              </w:rPr>
            </w:pPr>
            <w:r>
              <w:rPr>
                <w:noProof/>
              </w:rPr>
              <w:t>Le Parlement adopte les modifications à la Loi sur le Système d'information sur les biens résidentiels et commerciaux et à la Loi sur les sociétés de logement à responsabilité limitée</w:t>
            </w:r>
          </w:p>
        </w:tc>
        <w:tc>
          <w:tcPr>
            <w:tcW w:w="720" w:type="dxa"/>
            <w:shd w:val="clear" w:color="auto" w:fill="C6EFCE"/>
            <w:noWrap/>
          </w:tcPr>
          <w:p w14:paraId="1EBC0019"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2D5C84D7"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51610A11"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12CBFF7A" w14:textId="77777777" w:rsidR="003D7F65" w:rsidRDefault="0082041E">
            <w:pPr>
              <w:pStyle w:val="P68B1DB1-Normal9"/>
              <w:spacing w:after="0" w:line="240" w:lineRule="auto"/>
              <w:jc w:val="center"/>
              <w:rPr>
                <w:noProof/>
              </w:rPr>
            </w:pPr>
            <w:r>
              <w:rPr>
                <w:noProof/>
              </w:rPr>
              <w:t>T2</w:t>
            </w:r>
          </w:p>
        </w:tc>
        <w:tc>
          <w:tcPr>
            <w:tcW w:w="1417" w:type="dxa"/>
            <w:shd w:val="clear" w:color="auto" w:fill="C6EFCE"/>
            <w:noWrap/>
          </w:tcPr>
          <w:p w14:paraId="3714A1DE" w14:textId="77777777" w:rsidR="003D7F65" w:rsidRDefault="0082041E">
            <w:pPr>
              <w:pStyle w:val="P68B1DB1-Normal9"/>
              <w:spacing w:after="0" w:line="240" w:lineRule="auto"/>
              <w:jc w:val="center"/>
              <w:rPr>
                <w:noProof/>
              </w:rPr>
            </w:pPr>
            <w:r>
              <w:rPr>
                <w:noProof/>
              </w:rPr>
              <w:t>2023</w:t>
            </w:r>
          </w:p>
        </w:tc>
        <w:tc>
          <w:tcPr>
            <w:tcW w:w="3265" w:type="dxa"/>
            <w:shd w:val="clear" w:color="auto" w:fill="C6EFCE"/>
            <w:noWrap/>
          </w:tcPr>
          <w:p w14:paraId="2D92A47B" w14:textId="77777777" w:rsidR="003D7F65" w:rsidRDefault="0082041E">
            <w:pPr>
              <w:pStyle w:val="P68B1DB1-Normal9"/>
              <w:spacing w:after="0" w:line="240" w:lineRule="auto"/>
              <w:rPr>
                <w:noProof/>
              </w:rPr>
            </w:pPr>
            <w:r>
              <w:rPr>
                <w:noProof/>
              </w:rPr>
              <w:t xml:space="preserve">Afin d'étendre la portée du système d'information sur le logement aux informations sur les sociétés de logement, la loi sur le système d'information sur les propriétés résidentielles et commerciales et la loi sur les sociétés de logement à responsabilité limitée sont modifiées. En particulier, les modifications portent sur: </w:t>
            </w:r>
          </w:p>
          <w:p w14:paraId="6DBCCC8F" w14:textId="77777777" w:rsidR="003D7F65" w:rsidRDefault="0082041E">
            <w:pPr>
              <w:pStyle w:val="P68B1DB1-Normal9"/>
              <w:spacing w:after="0" w:line="240" w:lineRule="auto"/>
              <w:rPr>
                <w:noProof/>
              </w:rPr>
            </w:pPr>
            <w:r>
              <w:rPr>
                <w:noProof/>
              </w:rPr>
              <w:t>- obligation pour les sociétés de logement de mettre à disposition des données de base dans un format structuré lisible par machine;</w:t>
            </w:r>
          </w:p>
          <w:p w14:paraId="7F008DE5" w14:textId="77777777" w:rsidR="003D7F65" w:rsidRDefault="0082041E">
            <w:pPr>
              <w:pStyle w:val="P68B1DB1-Normal9"/>
              <w:spacing w:after="0" w:line="240" w:lineRule="auto"/>
              <w:rPr>
                <w:noProof/>
              </w:rPr>
            </w:pPr>
            <w:r>
              <w:rPr>
                <w:noProof/>
              </w:rPr>
              <w:t>- droit d'accès aux données mises à disposition dans un format structuré lisible par machine.</w:t>
            </w:r>
          </w:p>
        </w:tc>
      </w:tr>
      <w:tr w:rsidR="003D7F65" w14:paraId="35115F0A" w14:textId="77777777" w:rsidTr="00DF4EDA">
        <w:trPr>
          <w:trHeight w:val="309"/>
          <w:jc w:val="center"/>
        </w:trPr>
        <w:tc>
          <w:tcPr>
            <w:tcW w:w="835" w:type="dxa"/>
            <w:shd w:val="clear" w:color="auto" w:fill="C6EFCE"/>
            <w:noWrap/>
          </w:tcPr>
          <w:p w14:paraId="531C5EF9" w14:textId="77777777" w:rsidR="003D7F65" w:rsidRDefault="0082041E">
            <w:pPr>
              <w:pStyle w:val="P68B1DB1-Normal9"/>
              <w:spacing w:after="0" w:line="240" w:lineRule="auto"/>
              <w:jc w:val="center"/>
              <w:rPr>
                <w:noProof/>
              </w:rPr>
            </w:pPr>
            <w:r>
              <w:rPr>
                <w:noProof/>
              </w:rPr>
              <w:t>69</w:t>
            </w:r>
          </w:p>
        </w:tc>
        <w:tc>
          <w:tcPr>
            <w:tcW w:w="1680" w:type="dxa"/>
            <w:shd w:val="clear" w:color="auto" w:fill="C6EFCE"/>
            <w:noWrap/>
          </w:tcPr>
          <w:p w14:paraId="02745A44" w14:textId="77777777" w:rsidR="003D7F65" w:rsidRDefault="0082041E">
            <w:pPr>
              <w:pStyle w:val="P68B1DB1-Normal9"/>
              <w:spacing w:after="0" w:line="240" w:lineRule="auto"/>
              <w:rPr>
                <w:noProof/>
              </w:rPr>
            </w:pPr>
            <w:r>
              <w:rPr>
                <w:noProof/>
              </w:rPr>
              <w:t>P2C2R1 - Développement du système d'information sur la propriété résidentielle et commerciale</w:t>
            </w:r>
          </w:p>
        </w:tc>
        <w:tc>
          <w:tcPr>
            <w:tcW w:w="1308" w:type="dxa"/>
            <w:shd w:val="clear" w:color="auto" w:fill="C6EFCE"/>
            <w:noWrap/>
          </w:tcPr>
          <w:p w14:paraId="44B79415"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51B8B801" w14:textId="1D3BEA22" w:rsidR="003D7F65" w:rsidRDefault="0082041E">
            <w:pPr>
              <w:pStyle w:val="P68B1DB1-Normal9"/>
              <w:spacing w:after="0" w:line="240" w:lineRule="auto"/>
              <w:rPr>
                <w:noProof/>
              </w:rPr>
            </w:pPr>
            <w:r>
              <w:rPr>
                <w:noProof/>
              </w:rPr>
              <w:t>Entrée en vigueur des actes juridiques</w:t>
            </w:r>
          </w:p>
        </w:tc>
        <w:tc>
          <w:tcPr>
            <w:tcW w:w="1735" w:type="dxa"/>
            <w:shd w:val="clear" w:color="auto" w:fill="C6EFCE"/>
            <w:noWrap/>
          </w:tcPr>
          <w:p w14:paraId="3677EF0E" w14:textId="77777777" w:rsidR="003D7F65" w:rsidRDefault="0082041E">
            <w:pPr>
              <w:pStyle w:val="P68B1DB1-Normal9"/>
              <w:spacing w:after="0" w:line="240" w:lineRule="auto"/>
              <w:rPr>
                <w:noProof/>
              </w:rPr>
            </w:pPr>
            <w:r>
              <w:rPr>
                <w:noProof/>
              </w:rPr>
              <w:t>Les actes juridiques sont entrés en vigueur</w:t>
            </w:r>
          </w:p>
        </w:tc>
        <w:tc>
          <w:tcPr>
            <w:tcW w:w="720" w:type="dxa"/>
            <w:shd w:val="clear" w:color="auto" w:fill="C6EFCE"/>
            <w:noWrap/>
          </w:tcPr>
          <w:p w14:paraId="321ACD1F"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493BDA5B"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1834A276"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364954B2" w14:textId="77777777" w:rsidR="003D7F65" w:rsidRDefault="0082041E">
            <w:pPr>
              <w:pStyle w:val="P68B1DB1-Normal9"/>
              <w:spacing w:after="0" w:line="240" w:lineRule="auto"/>
              <w:jc w:val="center"/>
              <w:rPr>
                <w:noProof/>
              </w:rPr>
            </w:pPr>
            <w:r>
              <w:rPr>
                <w:noProof/>
              </w:rPr>
              <w:t>T2</w:t>
            </w:r>
          </w:p>
        </w:tc>
        <w:tc>
          <w:tcPr>
            <w:tcW w:w="1417" w:type="dxa"/>
            <w:shd w:val="clear" w:color="auto" w:fill="C6EFCE"/>
            <w:noWrap/>
          </w:tcPr>
          <w:p w14:paraId="3643039C" w14:textId="77777777" w:rsidR="003D7F65" w:rsidRDefault="0082041E">
            <w:pPr>
              <w:pStyle w:val="P68B1DB1-Normal9"/>
              <w:spacing w:after="0" w:line="240" w:lineRule="auto"/>
              <w:jc w:val="center"/>
              <w:rPr>
                <w:noProof/>
              </w:rPr>
            </w:pPr>
            <w:r>
              <w:rPr>
                <w:noProof/>
              </w:rPr>
              <w:t>2025</w:t>
            </w:r>
          </w:p>
        </w:tc>
        <w:tc>
          <w:tcPr>
            <w:tcW w:w="3265" w:type="dxa"/>
            <w:shd w:val="clear" w:color="auto" w:fill="C6EFCE"/>
            <w:noWrap/>
          </w:tcPr>
          <w:p w14:paraId="43EE546F" w14:textId="1E91D998" w:rsidR="003D7F65" w:rsidRDefault="0082041E">
            <w:pPr>
              <w:pStyle w:val="P68B1DB1-Normal9"/>
              <w:spacing w:after="0" w:line="240" w:lineRule="auto"/>
              <w:rPr>
                <w:noProof/>
              </w:rPr>
            </w:pPr>
            <w:r>
              <w:rPr>
                <w:noProof/>
              </w:rPr>
              <w:t>Entrée en vigueur d'actes juridiques visant à étendre la couverture du système d'information sur le logement aux informations sur les sociétés de logement, couvrant:</w:t>
            </w:r>
          </w:p>
          <w:p w14:paraId="2929FB38" w14:textId="77777777" w:rsidR="003D7F65" w:rsidRDefault="0082041E">
            <w:pPr>
              <w:pStyle w:val="P68B1DB1-Normal9"/>
              <w:spacing w:after="0" w:line="240" w:lineRule="auto"/>
              <w:rPr>
                <w:noProof/>
              </w:rPr>
            </w:pPr>
            <w:r>
              <w:rPr>
                <w:noProof/>
              </w:rPr>
              <w:t>l'obligation pour les sociétés de logement de mettre à disposition des données de base (par exemple, les prêts, les réparations et les modifications des sociétés de logement) dans un format structuré lisible par machine;</w:t>
            </w:r>
          </w:p>
          <w:p w14:paraId="2D1C6311" w14:textId="5451B9B5" w:rsidR="003D7F65" w:rsidRDefault="0082041E">
            <w:pPr>
              <w:pStyle w:val="P68B1DB1-Normal9"/>
              <w:spacing w:after="0" w:line="240" w:lineRule="auto"/>
              <w:rPr>
                <w:noProof/>
              </w:rPr>
            </w:pPr>
            <w:r>
              <w:rPr>
                <w:noProof/>
              </w:rPr>
              <w:t>- le droit d'accéder aux données mises à disposition dans un format structuré lisible par machine.</w:t>
            </w:r>
          </w:p>
        </w:tc>
      </w:tr>
      <w:tr w:rsidR="003D7F65" w14:paraId="3F487F06" w14:textId="77777777" w:rsidTr="00DF4EDA">
        <w:trPr>
          <w:trHeight w:val="309"/>
          <w:jc w:val="center"/>
        </w:trPr>
        <w:tc>
          <w:tcPr>
            <w:tcW w:w="835" w:type="dxa"/>
            <w:shd w:val="clear" w:color="auto" w:fill="C6EFCE"/>
            <w:noWrap/>
          </w:tcPr>
          <w:p w14:paraId="7677D0A1" w14:textId="77777777" w:rsidR="003D7F65" w:rsidRDefault="0082041E">
            <w:pPr>
              <w:pStyle w:val="P68B1DB1-Normal9"/>
              <w:spacing w:after="0" w:line="240" w:lineRule="auto"/>
              <w:jc w:val="center"/>
              <w:rPr>
                <w:noProof/>
              </w:rPr>
            </w:pPr>
            <w:r>
              <w:rPr>
                <w:noProof/>
              </w:rPr>
              <w:t>70</w:t>
            </w:r>
          </w:p>
        </w:tc>
        <w:tc>
          <w:tcPr>
            <w:tcW w:w="1680" w:type="dxa"/>
            <w:shd w:val="clear" w:color="auto" w:fill="C6EFCE"/>
            <w:noWrap/>
          </w:tcPr>
          <w:p w14:paraId="6D8BB40F" w14:textId="77777777" w:rsidR="003D7F65" w:rsidRDefault="0082041E">
            <w:pPr>
              <w:pStyle w:val="P68B1DB1-Normal9"/>
              <w:spacing w:after="0" w:line="240" w:lineRule="auto"/>
              <w:rPr>
                <w:noProof/>
              </w:rPr>
            </w:pPr>
            <w:r>
              <w:rPr>
                <w:noProof/>
              </w:rPr>
              <w:t>P2C2R1 - Développement du système d'information sur la propriété résidentielle et commerciale</w:t>
            </w:r>
          </w:p>
        </w:tc>
        <w:tc>
          <w:tcPr>
            <w:tcW w:w="1308" w:type="dxa"/>
            <w:shd w:val="clear" w:color="auto" w:fill="C6EFCE"/>
            <w:noWrap/>
          </w:tcPr>
          <w:p w14:paraId="2387A228"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25649201" w14:textId="77777777" w:rsidR="003D7F65" w:rsidRDefault="0082041E">
            <w:pPr>
              <w:pStyle w:val="P68B1DB1-Normal9"/>
              <w:spacing w:after="0" w:line="240" w:lineRule="auto"/>
              <w:rPr>
                <w:noProof/>
              </w:rPr>
            </w:pPr>
            <w:r>
              <w:rPr>
                <w:noProof/>
              </w:rPr>
              <w:t>L'extension de la couverture du système d'information sur les propriétés résidentielles et commerciales pour les données sur les sociétés de logement.</w:t>
            </w:r>
          </w:p>
        </w:tc>
        <w:tc>
          <w:tcPr>
            <w:tcW w:w="1735" w:type="dxa"/>
            <w:shd w:val="clear" w:color="auto" w:fill="C6EFCE"/>
            <w:noWrap/>
          </w:tcPr>
          <w:p w14:paraId="62A30BB2" w14:textId="4E4D4FDA" w:rsidR="003D7F65" w:rsidRDefault="0082041E">
            <w:pPr>
              <w:pStyle w:val="P68B1DB1-Normal9"/>
              <w:spacing w:after="0" w:line="240" w:lineRule="auto"/>
              <w:rPr>
                <w:noProof/>
              </w:rPr>
            </w:pPr>
            <w:r>
              <w:rPr>
                <w:noProof/>
              </w:rPr>
              <w:t xml:space="preserve">Publication du rapport </w:t>
            </w:r>
          </w:p>
        </w:tc>
        <w:tc>
          <w:tcPr>
            <w:tcW w:w="720" w:type="dxa"/>
            <w:shd w:val="clear" w:color="auto" w:fill="C6EFCE"/>
            <w:noWrap/>
          </w:tcPr>
          <w:p w14:paraId="240497DD"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5F42B7D9"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1D93F360"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4FEC60CC" w14:textId="77777777" w:rsidR="003D7F65" w:rsidRDefault="0082041E">
            <w:pPr>
              <w:pStyle w:val="P68B1DB1-Normal9"/>
              <w:spacing w:after="0" w:line="240" w:lineRule="auto"/>
              <w:jc w:val="center"/>
              <w:rPr>
                <w:noProof/>
              </w:rPr>
            </w:pPr>
            <w:r>
              <w:rPr>
                <w:noProof/>
              </w:rPr>
              <w:t>T2</w:t>
            </w:r>
          </w:p>
        </w:tc>
        <w:tc>
          <w:tcPr>
            <w:tcW w:w="1417" w:type="dxa"/>
            <w:shd w:val="clear" w:color="auto" w:fill="C6EFCE"/>
            <w:noWrap/>
          </w:tcPr>
          <w:p w14:paraId="3A4A516B" w14:textId="77777777" w:rsidR="003D7F65" w:rsidRDefault="0082041E">
            <w:pPr>
              <w:pStyle w:val="P68B1DB1-Normal9"/>
              <w:spacing w:after="0" w:line="240" w:lineRule="auto"/>
              <w:jc w:val="center"/>
              <w:rPr>
                <w:noProof/>
              </w:rPr>
            </w:pPr>
            <w:r>
              <w:rPr>
                <w:noProof/>
              </w:rPr>
              <w:t>2026</w:t>
            </w:r>
          </w:p>
        </w:tc>
        <w:tc>
          <w:tcPr>
            <w:tcW w:w="3265" w:type="dxa"/>
            <w:shd w:val="clear" w:color="auto" w:fill="C6EFCE"/>
            <w:noWrap/>
          </w:tcPr>
          <w:p w14:paraId="50225182" w14:textId="77777777" w:rsidR="003D7F65" w:rsidRDefault="0082041E">
            <w:pPr>
              <w:pStyle w:val="P68B1DB1-Normal9"/>
              <w:spacing w:after="0" w:line="240" w:lineRule="auto"/>
              <w:rPr>
                <w:noProof/>
              </w:rPr>
            </w:pPr>
            <w:r>
              <w:rPr>
                <w:noProof/>
              </w:rPr>
              <w:t xml:space="preserve">Publication du rapport confirmant que: </w:t>
            </w:r>
          </w:p>
          <w:p w14:paraId="4F9DC7AF" w14:textId="77777777" w:rsidR="003D7F65" w:rsidRDefault="0082041E">
            <w:pPr>
              <w:pStyle w:val="P68B1DB1-Normal9"/>
              <w:spacing w:after="0" w:line="240" w:lineRule="auto"/>
              <w:rPr>
                <w:noProof/>
              </w:rPr>
            </w:pPr>
            <w:r>
              <w:rPr>
                <w:noProof/>
              </w:rPr>
              <w:t>- des spécifications de données ont été établies pour les données des sociétés de logement avec la possibilité de conserver des données de base (y compris les prêts aux sociétés de logement, les réparations et les modifications) dans le système d'information sur la propriété résidentielle et commerciale,</w:t>
            </w:r>
          </w:p>
          <w:p w14:paraId="73026E25" w14:textId="5E4E3A94" w:rsidR="003D7F65" w:rsidRDefault="0082041E">
            <w:pPr>
              <w:pStyle w:val="P68B1DB1-Normal9"/>
              <w:spacing w:after="0" w:line="240" w:lineRule="auto"/>
              <w:rPr>
                <w:noProof/>
              </w:rPr>
            </w:pPr>
            <w:r>
              <w:rPr>
                <w:noProof/>
              </w:rPr>
              <w:t>- les procédures d’accès aux données des sociétés de logement sont définies et le système d’information sur les biens immobiliers résidentiels et commerciaux permet d’accéder aux données des sociétés de logement dans un format structuré lisible par machine.</w:t>
            </w:r>
          </w:p>
        </w:tc>
      </w:tr>
      <w:tr w:rsidR="003D7F65" w14:paraId="7E19E686" w14:textId="77777777" w:rsidTr="00DF4EDA">
        <w:trPr>
          <w:trHeight w:val="309"/>
          <w:jc w:val="center"/>
        </w:trPr>
        <w:tc>
          <w:tcPr>
            <w:tcW w:w="835" w:type="dxa"/>
            <w:shd w:val="clear" w:color="auto" w:fill="C6EFCE"/>
            <w:noWrap/>
          </w:tcPr>
          <w:p w14:paraId="5B3DCD23" w14:textId="77777777" w:rsidR="003D7F65" w:rsidRDefault="0082041E">
            <w:pPr>
              <w:pStyle w:val="P68B1DB1-Normal9"/>
              <w:spacing w:after="0" w:line="240" w:lineRule="auto"/>
              <w:jc w:val="center"/>
              <w:rPr>
                <w:noProof/>
              </w:rPr>
            </w:pPr>
            <w:r>
              <w:rPr>
                <w:noProof/>
              </w:rPr>
              <w:t>71</w:t>
            </w:r>
          </w:p>
        </w:tc>
        <w:tc>
          <w:tcPr>
            <w:tcW w:w="1680" w:type="dxa"/>
            <w:shd w:val="clear" w:color="auto" w:fill="C6EFCE"/>
            <w:noWrap/>
          </w:tcPr>
          <w:p w14:paraId="6CF3AE40" w14:textId="77777777" w:rsidR="003D7F65" w:rsidRDefault="0082041E">
            <w:pPr>
              <w:pStyle w:val="P68B1DB1-Normal9"/>
              <w:spacing w:after="0" w:line="240" w:lineRule="auto"/>
              <w:rPr>
                <w:noProof/>
              </w:rPr>
            </w:pPr>
            <w:r>
              <w:rPr>
                <w:noProof/>
              </w:rPr>
              <w:t>P2C2R2 - Renforcer l’efficacité et la transparence des réformes et des investissements dans le cadre du PRR en développant les systèmes d’information, l’administration et l’audit</w:t>
            </w:r>
          </w:p>
        </w:tc>
        <w:tc>
          <w:tcPr>
            <w:tcW w:w="1308" w:type="dxa"/>
            <w:shd w:val="clear" w:color="auto" w:fill="C6EFCE"/>
            <w:noWrap/>
          </w:tcPr>
          <w:p w14:paraId="5B70B4BA"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0DD21791" w14:textId="77777777" w:rsidR="003D7F65" w:rsidRDefault="0082041E">
            <w:pPr>
              <w:pStyle w:val="P68B1DB1-Normal9"/>
              <w:spacing w:after="0" w:line="240" w:lineRule="auto"/>
              <w:rPr>
                <w:noProof/>
              </w:rPr>
            </w:pPr>
            <w:r>
              <w:rPr>
                <w:noProof/>
              </w:rPr>
              <w:t>Entrée en vigueur de la loi sur la mise en œuvre du PRR</w:t>
            </w:r>
          </w:p>
        </w:tc>
        <w:tc>
          <w:tcPr>
            <w:tcW w:w="1735" w:type="dxa"/>
            <w:shd w:val="clear" w:color="auto" w:fill="C6EFCE"/>
            <w:noWrap/>
          </w:tcPr>
          <w:p w14:paraId="4FDEE0E7" w14:textId="77777777" w:rsidR="003D7F65" w:rsidRDefault="0082041E">
            <w:pPr>
              <w:pStyle w:val="P68B1DB1-Normal9"/>
              <w:spacing w:after="0" w:line="240" w:lineRule="auto"/>
              <w:rPr>
                <w:noProof/>
              </w:rPr>
            </w:pPr>
            <w:r>
              <w:rPr>
                <w:noProof/>
              </w:rPr>
              <w:t>Disposition de la loi sur la mise en œuvre du PRR indiquant son entrée en vigueur</w:t>
            </w:r>
          </w:p>
        </w:tc>
        <w:tc>
          <w:tcPr>
            <w:tcW w:w="720" w:type="dxa"/>
            <w:shd w:val="clear" w:color="auto" w:fill="C6EFCE"/>
            <w:noWrap/>
          </w:tcPr>
          <w:p w14:paraId="3466E5D8"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6A8C66D5"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2751F1A4"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0DAFE883"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3077AB74" w14:textId="77777777" w:rsidR="003D7F65" w:rsidRDefault="0082041E">
            <w:pPr>
              <w:pStyle w:val="P68B1DB1-Normal9"/>
              <w:spacing w:after="0" w:line="240" w:lineRule="auto"/>
              <w:jc w:val="center"/>
              <w:rPr>
                <w:noProof/>
              </w:rPr>
            </w:pPr>
            <w:r>
              <w:rPr>
                <w:noProof/>
              </w:rPr>
              <w:t>2021</w:t>
            </w:r>
          </w:p>
        </w:tc>
        <w:tc>
          <w:tcPr>
            <w:tcW w:w="3265" w:type="dxa"/>
            <w:shd w:val="clear" w:color="auto" w:fill="C6EFCE"/>
            <w:noWrap/>
          </w:tcPr>
          <w:p w14:paraId="79F94E04" w14:textId="77777777" w:rsidR="003D7F65" w:rsidRDefault="0082041E">
            <w:pPr>
              <w:pStyle w:val="P68B1DB1-Normal9"/>
              <w:spacing w:after="0" w:line="240" w:lineRule="auto"/>
              <w:rPr>
                <w:noProof/>
              </w:rPr>
            </w:pPr>
            <w:r>
              <w:rPr>
                <w:noProof/>
              </w:rPr>
              <w:t>Entrée en vigueur de la loi sur la mise en œuvre du PRR. La loi définit les mandats juridiques des organismes participant à la coordination, au suivi, au contrôle et à l’audit de la mise en œuvre du plan finlandais pour la reprise et la résilience.</w:t>
            </w:r>
          </w:p>
          <w:p w14:paraId="6C32D73A" w14:textId="77777777" w:rsidR="003D7F65" w:rsidRDefault="003D7F65">
            <w:pPr>
              <w:spacing w:after="0" w:line="240" w:lineRule="auto"/>
              <w:rPr>
                <w:rFonts w:ascii="Times New Roman" w:eastAsia="Times New Roman" w:hAnsi="Times New Roman"/>
                <w:noProof/>
                <w:sz w:val="20"/>
                <w:szCs w:val="20"/>
              </w:rPr>
            </w:pPr>
          </w:p>
          <w:p w14:paraId="7577BBEF" w14:textId="77777777" w:rsidR="003D7F65" w:rsidRDefault="0082041E">
            <w:pPr>
              <w:pStyle w:val="P68B1DB1-Normal9"/>
              <w:spacing w:after="0" w:line="240" w:lineRule="auto"/>
              <w:rPr>
                <w:noProof/>
              </w:rPr>
            </w:pPr>
            <w:r>
              <w:rPr>
                <w:noProof/>
              </w:rPr>
              <w:t>La loi définit au moins les rôles et responsabilités de ces organes, en veillant à ce que: a) la collecte et la fiabilité des données liées à la réalisation des jalons et cibles et le suivi de cette réalisation; b) que des procédures sont en place pour l’établissement des déclarations de gestion, des résumés d’audit et des demandes de paiement; c) que les principes nécessaires qui sous-tendent la collecte et le stockage de données sur les bénéficiaires, les contractants, les sous-traitants et les bénéficiaires effectifs conformément à l’article 22 du règlement (UE) 2021/241 établissant la facilité pour la reprise et la résilience sont en place.</w:t>
            </w:r>
          </w:p>
          <w:p w14:paraId="0D71C75F" w14:textId="77777777" w:rsidR="003D7F65" w:rsidRDefault="003D7F65">
            <w:pPr>
              <w:spacing w:after="0" w:line="240" w:lineRule="auto"/>
              <w:rPr>
                <w:rFonts w:ascii="Times New Roman" w:eastAsia="Times New Roman" w:hAnsi="Times New Roman"/>
                <w:noProof/>
                <w:sz w:val="20"/>
                <w:szCs w:val="20"/>
              </w:rPr>
            </w:pPr>
          </w:p>
          <w:p w14:paraId="60FA519D" w14:textId="77777777" w:rsidR="003D7F65" w:rsidRDefault="0082041E">
            <w:pPr>
              <w:pStyle w:val="P68B1DB1-Normal9"/>
              <w:spacing w:after="0" w:line="240" w:lineRule="auto"/>
              <w:rPr>
                <w:noProof/>
              </w:rPr>
            </w:pPr>
            <w:r>
              <w:rPr>
                <w:noProof/>
              </w:rPr>
              <w:t>La loi entre en vigueur avant la présentation de la première demande de paiement au titre du plan pour la reprise et la résilience.</w:t>
            </w:r>
          </w:p>
        </w:tc>
      </w:tr>
      <w:tr w:rsidR="003D7F65" w14:paraId="69D5A570" w14:textId="77777777" w:rsidTr="00DF4EDA">
        <w:trPr>
          <w:trHeight w:val="309"/>
          <w:jc w:val="center"/>
        </w:trPr>
        <w:tc>
          <w:tcPr>
            <w:tcW w:w="835" w:type="dxa"/>
            <w:shd w:val="clear" w:color="auto" w:fill="C6EFCE"/>
            <w:noWrap/>
          </w:tcPr>
          <w:p w14:paraId="42AD9180" w14:textId="77777777" w:rsidR="003D7F65" w:rsidRDefault="0082041E">
            <w:pPr>
              <w:pStyle w:val="P68B1DB1-Normal9"/>
              <w:spacing w:after="0" w:line="240" w:lineRule="auto"/>
              <w:jc w:val="center"/>
              <w:rPr>
                <w:noProof/>
              </w:rPr>
            </w:pPr>
            <w:r>
              <w:rPr>
                <w:noProof/>
              </w:rPr>
              <w:t>72</w:t>
            </w:r>
          </w:p>
        </w:tc>
        <w:tc>
          <w:tcPr>
            <w:tcW w:w="1680" w:type="dxa"/>
            <w:shd w:val="clear" w:color="auto" w:fill="C6EFCE"/>
            <w:noWrap/>
          </w:tcPr>
          <w:p w14:paraId="17B3A7DB" w14:textId="77777777" w:rsidR="003D7F65" w:rsidRDefault="0082041E">
            <w:pPr>
              <w:pStyle w:val="P68B1DB1-Normal9"/>
              <w:spacing w:after="0" w:line="240" w:lineRule="auto"/>
              <w:rPr>
                <w:noProof/>
              </w:rPr>
            </w:pPr>
            <w:r>
              <w:rPr>
                <w:noProof/>
              </w:rPr>
              <w:t>P2C2R2 - Renforcer l’efficacité et la transparence des réformes et des investissements dans le cadre du PRR en développant les systèmes d’information, l’administration et l’audit</w:t>
            </w:r>
          </w:p>
        </w:tc>
        <w:tc>
          <w:tcPr>
            <w:tcW w:w="1308" w:type="dxa"/>
            <w:shd w:val="clear" w:color="auto" w:fill="C6EFCE"/>
            <w:noWrap/>
          </w:tcPr>
          <w:p w14:paraId="623B338E" w14:textId="77777777" w:rsidR="003D7F65" w:rsidRDefault="0082041E">
            <w:pPr>
              <w:pStyle w:val="P68B1DB1-Normal9"/>
              <w:spacing w:after="0" w:line="240" w:lineRule="auto"/>
              <w:rPr>
                <w:noProof/>
              </w:rPr>
            </w:pPr>
            <w:r>
              <w:rPr>
                <w:noProof/>
              </w:rPr>
              <w:t>Étape</w:t>
            </w:r>
          </w:p>
        </w:tc>
        <w:tc>
          <w:tcPr>
            <w:tcW w:w="1277" w:type="dxa"/>
            <w:shd w:val="clear" w:color="auto" w:fill="C6EFCE"/>
            <w:noWrap/>
          </w:tcPr>
          <w:p w14:paraId="1435B4DE" w14:textId="77777777" w:rsidR="003D7F65" w:rsidRDefault="0082041E">
            <w:pPr>
              <w:pStyle w:val="P68B1DB1-Normal9"/>
              <w:spacing w:after="0" w:line="240" w:lineRule="auto"/>
              <w:rPr>
                <w:noProof/>
              </w:rPr>
            </w:pPr>
            <w:r>
              <w:rPr>
                <w:noProof/>
              </w:rPr>
              <w:t>Système de répertoire pour l'audit et les contrôles: informations pour le suivi de la mise en œuvre de la FRR</w:t>
            </w:r>
          </w:p>
        </w:tc>
        <w:tc>
          <w:tcPr>
            <w:tcW w:w="1735" w:type="dxa"/>
            <w:shd w:val="clear" w:color="auto" w:fill="C6EFCE"/>
            <w:noWrap/>
          </w:tcPr>
          <w:p w14:paraId="6B6859CD" w14:textId="77777777" w:rsidR="003D7F65" w:rsidRDefault="0082041E">
            <w:pPr>
              <w:pStyle w:val="P68B1DB1-Normal11"/>
              <w:spacing w:after="0" w:line="240" w:lineRule="auto"/>
              <w:rPr>
                <w:rFonts w:ascii="Times New Roman" w:eastAsia="Times New Roman" w:hAnsi="Times New Roman"/>
                <w:noProof/>
              </w:rPr>
            </w:pPr>
            <w:r>
              <w:rPr>
                <w:rFonts w:ascii="Times New Roman" w:eastAsia="Times New Roman" w:hAnsi="Times New Roman"/>
                <w:noProof/>
              </w:rPr>
              <w:t>Rapport d’audit établi par la fonction d’audit</w:t>
            </w:r>
            <w:r>
              <w:rPr>
                <w:rFonts w:ascii="Times New Roman" w:hAnsi="Times New Roman"/>
                <w:noProof/>
                <w:color w:val="1F497D"/>
                <w:u w:val="single"/>
              </w:rPr>
              <w:t xml:space="preserve"> </w:t>
            </w:r>
            <w:r>
              <w:rPr>
                <w:rFonts w:ascii="Times New Roman" w:eastAsia="Times New Roman" w:hAnsi="Times New Roman"/>
                <w:noProof/>
              </w:rPr>
              <w:t>confirmant les fonctionnalités du système de répertoires</w:t>
            </w:r>
          </w:p>
        </w:tc>
        <w:tc>
          <w:tcPr>
            <w:tcW w:w="720" w:type="dxa"/>
            <w:shd w:val="clear" w:color="auto" w:fill="C6EFCE"/>
            <w:noWrap/>
          </w:tcPr>
          <w:p w14:paraId="1D49ED4F"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3821AF77"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7F5531CE"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0264BA47" w14:textId="77777777" w:rsidR="003D7F65" w:rsidRDefault="0082041E">
            <w:pPr>
              <w:pStyle w:val="P68B1DB1-Normal9"/>
              <w:spacing w:after="0" w:line="240" w:lineRule="auto"/>
              <w:jc w:val="center"/>
              <w:rPr>
                <w:noProof/>
              </w:rPr>
            </w:pPr>
            <w:r>
              <w:rPr>
                <w:noProof/>
              </w:rPr>
              <w:t>T4</w:t>
            </w:r>
          </w:p>
        </w:tc>
        <w:tc>
          <w:tcPr>
            <w:tcW w:w="1417" w:type="dxa"/>
            <w:shd w:val="clear" w:color="auto" w:fill="C6EFCE"/>
            <w:noWrap/>
          </w:tcPr>
          <w:p w14:paraId="6D4AF4CE" w14:textId="77777777" w:rsidR="003D7F65" w:rsidRDefault="0082041E">
            <w:pPr>
              <w:pStyle w:val="P68B1DB1-Normal9"/>
              <w:spacing w:after="0" w:line="240" w:lineRule="auto"/>
              <w:jc w:val="center"/>
              <w:rPr>
                <w:noProof/>
              </w:rPr>
            </w:pPr>
            <w:r>
              <w:rPr>
                <w:noProof/>
              </w:rPr>
              <w:t>2021</w:t>
            </w:r>
          </w:p>
        </w:tc>
        <w:tc>
          <w:tcPr>
            <w:tcW w:w="3265" w:type="dxa"/>
            <w:shd w:val="clear" w:color="auto" w:fill="C6EFCE"/>
            <w:noWrap/>
          </w:tcPr>
          <w:p w14:paraId="6F9E79D2" w14:textId="77777777" w:rsidR="003D7F65" w:rsidRDefault="0082041E">
            <w:pPr>
              <w:pStyle w:val="P68B1DB1-Normal9"/>
              <w:spacing w:after="0" w:line="240" w:lineRule="auto"/>
              <w:rPr>
                <w:noProof/>
              </w:rPr>
            </w:pPr>
            <w:r>
              <w:rPr>
                <w:noProof/>
              </w:rPr>
              <w:t xml:space="preserve">Un système de répertoire pour le suivi de la mise en œuvre de la facilité pour la reprise et la résilience est en place et opérationnel avant la présentation de la première demande de paiement. </w:t>
            </w:r>
          </w:p>
          <w:p w14:paraId="2DB46F4B" w14:textId="77777777" w:rsidR="003D7F65" w:rsidRDefault="003D7F65">
            <w:pPr>
              <w:spacing w:after="0" w:line="240" w:lineRule="auto"/>
              <w:rPr>
                <w:rFonts w:ascii="Times New Roman" w:eastAsia="Times New Roman" w:hAnsi="Times New Roman"/>
                <w:noProof/>
                <w:sz w:val="20"/>
                <w:szCs w:val="20"/>
              </w:rPr>
            </w:pPr>
          </w:p>
          <w:p w14:paraId="7E1E496A" w14:textId="77777777" w:rsidR="003D7F65" w:rsidRDefault="0082041E">
            <w:pPr>
              <w:pStyle w:val="P68B1DB1-Normal9"/>
              <w:spacing w:after="0" w:line="240" w:lineRule="auto"/>
              <w:rPr>
                <w:noProof/>
              </w:rPr>
            </w:pPr>
            <w:r>
              <w:rPr>
                <w:noProof/>
              </w:rPr>
              <w:t>Le système est basé sur les systèmes existants et comprend, au minimum, les fonctionnalités suivantes:</w:t>
            </w:r>
          </w:p>
          <w:p w14:paraId="6AF3580C" w14:textId="77777777" w:rsidR="003D7F65" w:rsidRDefault="0082041E">
            <w:pPr>
              <w:pStyle w:val="P68B1DB1-Normal9"/>
              <w:spacing w:after="0" w:line="240" w:lineRule="auto"/>
              <w:rPr>
                <w:noProof/>
              </w:rPr>
            </w:pPr>
            <w:r>
              <w:rPr>
                <w:noProof/>
              </w:rPr>
              <w:t>a) la collecte de données et le suivi de la réalisation des jalons et cibles;</w:t>
            </w:r>
          </w:p>
          <w:p w14:paraId="1485BDF9" w14:textId="77777777" w:rsidR="003D7F65" w:rsidRDefault="0082041E">
            <w:pPr>
              <w:pStyle w:val="P68B1DB1-Normal9"/>
              <w:spacing w:after="0" w:line="240" w:lineRule="auto"/>
              <w:rPr>
                <w:noProof/>
              </w:rPr>
            </w:pPr>
            <w:r>
              <w:rPr>
                <w:noProof/>
              </w:rPr>
              <w:t>b) collecter, stocker et garantir l’accès aux données requises par l’article 22, paragraphe 2, point d) i) à iii), du règlement FRR.</w:t>
            </w:r>
          </w:p>
        </w:tc>
      </w:tr>
      <w:tr w:rsidR="003D7F65" w14:paraId="61509326" w14:textId="77777777" w:rsidTr="00DF4EDA">
        <w:trPr>
          <w:trHeight w:val="309"/>
          <w:jc w:val="center"/>
        </w:trPr>
        <w:tc>
          <w:tcPr>
            <w:tcW w:w="835" w:type="dxa"/>
            <w:shd w:val="clear" w:color="auto" w:fill="C6EFCE"/>
            <w:noWrap/>
          </w:tcPr>
          <w:p w14:paraId="4438AB6E" w14:textId="77777777" w:rsidR="003D7F65" w:rsidRDefault="0082041E">
            <w:pPr>
              <w:pStyle w:val="P68B1DB1-Normal8"/>
              <w:spacing w:after="0" w:line="240" w:lineRule="auto"/>
              <w:jc w:val="center"/>
              <w:rPr>
                <w:rFonts w:eastAsia="Times New Roman"/>
                <w:noProof/>
              </w:rPr>
            </w:pPr>
            <w:r>
              <w:rPr>
                <w:noProof/>
              </w:rPr>
              <w:t>72bis</w:t>
            </w:r>
          </w:p>
        </w:tc>
        <w:tc>
          <w:tcPr>
            <w:tcW w:w="1680" w:type="dxa"/>
            <w:shd w:val="clear" w:color="auto" w:fill="C6EFCE"/>
            <w:noWrap/>
          </w:tcPr>
          <w:p w14:paraId="4D156A76" w14:textId="59150516" w:rsidR="003D7F65" w:rsidRDefault="0082041E">
            <w:pPr>
              <w:pStyle w:val="P68B1DB1-Normal8"/>
              <w:spacing w:after="0" w:line="240" w:lineRule="auto"/>
              <w:rPr>
                <w:rFonts w:eastAsia="Times New Roman"/>
                <w:noProof/>
              </w:rPr>
            </w:pPr>
            <w:r>
              <w:rPr>
                <w:noProof/>
              </w:rPr>
              <w:t>P2C2R2 : Renforcer l’efficacité et la transparence des réformes et des investissements dans le cadre du PRR en développant les systèmes d’information, l’administration et l’audit</w:t>
            </w:r>
          </w:p>
        </w:tc>
        <w:tc>
          <w:tcPr>
            <w:tcW w:w="1308" w:type="dxa"/>
            <w:shd w:val="clear" w:color="auto" w:fill="C6EFCE"/>
            <w:noWrap/>
          </w:tcPr>
          <w:p w14:paraId="49A1FFFE" w14:textId="77777777" w:rsidR="003D7F65" w:rsidRDefault="0082041E">
            <w:pPr>
              <w:pStyle w:val="P68B1DB1-Normal8"/>
              <w:spacing w:after="0" w:line="240" w:lineRule="auto"/>
              <w:rPr>
                <w:rFonts w:eastAsia="Times New Roman"/>
                <w:noProof/>
              </w:rPr>
            </w:pPr>
            <w:r>
              <w:rPr>
                <w:noProof/>
              </w:rPr>
              <w:t>Étape</w:t>
            </w:r>
          </w:p>
        </w:tc>
        <w:tc>
          <w:tcPr>
            <w:tcW w:w="1277" w:type="dxa"/>
            <w:shd w:val="clear" w:color="auto" w:fill="C6EFCE"/>
            <w:noWrap/>
          </w:tcPr>
          <w:p w14:paraId="34AC6FA0" w14:textId="410788B9" w:rsidR="003D7F65" w:rsidRDefault="0082041E">
            <w:pPr>
              <w:pStyle w:val="P68B1DB1-Normal8"/>
              <w:spacing w:after="0" w:line="240" w:lineRule="auto"/>
              <w:rPr>
                <w:rFonts w:eastAsia="Times New Roman"/>
                <w:noProof/>
              </w:rPr>
            </w:pPr>
            <w:r>
              <w:rPr>
                <w:noProof/>
              </w:rPr>
              <w:t>Entrée en vigueur du décret du ministère des finances sur la gestion des risques et les contrôles visant à garantir la protection des intérêts financiers de l’Union et le respect de la législation de l’Union et de la législation nationale applicables, et publication des lignes directrices de l’organisme de coordination des organes de mise en œuvre de la FRR</w:t>
            </w:r>
          </w:p>
        </w:tc>
        <w:tc>
          <w:tcPr>
            <w:tcW w:w="1735" w:type="dxa"/>
            <w:shd w:val="clear" w:color="auto" w:fill="C6EFCE"/>
            <w:noWrap/>
          </w:tcPr>
          <w:p w14:paraId="653591B3" w14:textId="7A2A3A32" w:rsidR="003D7F65" w:rsidRDefault="0082041E">
            <w:pPr>
              <w:pStyle w:val="P68B1DB1-Normal8"/>
              <w:spacing w:after="0" w:line="240" w:lineRule="auto"/>
              <w:rPr>
                <w:rFonts w:eastAsia="Times New Roman"/>
                <w:noProof/>
              </w:rPr>
            </w:pPr>
            <w:r>
              <w:rPr>
                <w:noProof/>
              </w:rPr>
              <w:t>Dispositions du décret sur la gestion et les contrôles des risques indiquant son entrée en vigueur et publication des lignes directrices de l’organisme de coordination</w:t>
            </w:r>
          </w:p>
        </w:tc>
        <w:tc>
          <w:tcPr>
            <w:tcW w:w="720" w:type="dxa"/>
            <w:shd w:val="clear" w:color="auto" w:fill="C6EFCE"/>
            <w:noWrap/>
          </w:tcPr>
          <w:p w14:paraId="53236AF3" w14:textId="77777777" w:rsidR="003D7F65" w:rsidRDefault="003D7F65">
            <w:pPr>
              <w:spacing w:after="0" w:line="240" w:lineRule="auto"/>
              <w:jc w:val="center"/>
              <w:rPr>
                <w:rFonts w:ascii="Times New Roman" w:eastAsia="Times New Roman" w:hAnsi="Times New Roman"/>
                <w:noProof/>
                <w:sz w:val="20"/>
                <w:szCs w:val="20"/>
              </w:rPr>
            </w:pPr>
          </w:p>
        </w:tc>
        <w:tc>
          <w:tcPr>
            <w:tcW w:w="945" w:type="dxa"/>
            <w:shd w:val="clear" w:color="auto" w:fill="C6EFCE"/>
            <w:noWrap/>
          </w:tcPr>
          <w:p w14:paraId="10CACDD6" w14:textId="77777777" w:rsidR="003D7F65" w:rsidRDefault="003D7F65">
            <w:pPr>
              <w:spacing w:after="0" w:line="240" w:lineRule="auto"/>
              <w:jc w:val="center"/>
              <w:rPr>
                <w:rFonts w:ascii="Times New Roman" w:eastAsia="Times New Roman" w:hAnsi="Times New Roman"/>
                <w:noProof/>
                <w:sz w:val="20"/>
                <w:szCs w:val="20"/>
              </w:rPr>
            </w:pPr>
          </w:p>
        </w:tc>
        <w:tc>
          <w:tcPr>
            <w:tcW w:w="993" w:type="dxa"/>
            <w:shd w:val="clear" w:color="auto" w:fill="C6EFCE"/>
            <w:noWrap/>
          </w:tcPr>
          <w:p w14:paraId="4F475140"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shd w:val="clear" w:color="auto" w:fill="C6EFCE"/>
            <w:noWrap/>
          </w:tcPr>
          <w:p w14:paraId="7E04DB2A" w14:textId="77777777" w:rsidR="003D7F65" w:rsidRDefault="0082041E">
            <w:pPr>
              <w:pStyle w:val="P68B1DB1-Normal8"/>
              <w:spacing w:after="0" w:line="240" w:lineRule="auto"/>
              <w:jc w:val="center"/>
              <w:rPr>
                <w:rFonts w:eastAsia="Times New Roman"/>
                <w:noProof/>
              </w:rPr>
            </w:pPr>
            <w:r>
              <w:rPr>
                <w:noProof/>
              </w:rPr>
              <w:t>T1</w:t>
            </w:r>
          </w:p>
        </w:tc>
        <w:tc>
          <w:tcPr>
            <w:tcW w:w="1417" w:type="dxa"/>
            <w:shd w:val="clear" w:color="auto" w:fill="C6EFCE"/>
            <w:noWrap/>
          </w:tcPr>
          <w:p w14:paraId="1B58CF13" w14:textId="77777777" w:rsidR="003D7F65" w:rsidRDefault="0082041E">
            <w:pPr>
              <w:pStyle w:val="P68B1DB1-Normal8"/>
              <w:spacing w:after="0" w:line="240" w:lineRule="auto"/>
              <w:jc w:val="center"/>
              <w:rPr>
                <w:rFonts w:eastAsia="Times New Roman"/>
                <w:noProof/>
              </w:rPr>
            </w:pPr>
            <w:r>
              <w:rPr>
                <w:noProof/>
              </w:rPr>
              <w:t>2024</w:t>
            </w:r>
          </w:p>
        </w:tc>
        <w:tc>
          <w:tcPr>
            <w:tcW w:w="3265" w:type="dxa"/>
            <w:shd w:val="clear" w:color="auto" w:fill="C6EFCE"/>
            <w:noWrap/>
          </w:tcPr>
          <w:p w14:paraId="390CC646" w14:textId="1670FBB4" w:rsidR="003D7F65" w:rsidRDefault="0082041E">
            <w:pPr>
              <w:pStyle w:val="P68B1DB1-Normal8"/>
              <w:spacing w:after="0" w:line="240" w:lineRule="auto"/>
              <w:rPr>
                <w:noProof/>
              </w:rPr>
            </w:pPr>
            <w:r>
              <w:rPr>
                <w:noProof/>
              </w:rPr>
              <w:t>Le décret du ministère des finances relatif à la gestion des risques et aux contrôles visant à garantir la protection des intérêts financiers de l’Union et le respect des règles nationales et de l’Union applicables à la FRR entre en vigueur. Le décret est contraignant pour tous les organismes d’exécution et prévoit une norme minimale pour, respectivement, les activités de gestion des risques et de contrôle menées par les organismes d’exécution au titre de la FRR.</w:t>
            </w:r>
          </w:p>
          <w:p w14:paraId="3A1F3203" w14:textId="77777777" w:rsidR="003D7F65" w:rsidRDefault="003D7F65">
            <w:pPr>
              <w:spacing w:after="0" w:line="240" w:lineRule="auto"/>
              <w:rPr>
                <w:rFonts w:ascii="Times New Roman" w:hAnsi="Times New Roman"/>
                <w:noProof/>
                <w:sz w:val="20"/>
                <w:szCs w:val="20"/>
              </w:rPr>
            </w:pPr>
          </w:p>
          <w:p w14:paraId="59CE7AF9" w14:textId="77777777" w:rsidR="003D7F65" w:rsidRDefault="0082041E">
            <w:pPr>
              <w:pStyle w:val="P68B1DB1-Normal8"/>
              <w:spacing w:after="0" w:line="240" w:lineRule="auto"/>
              <w:rPr>
                <w:rFonts w:eastAsia="Times New Roman"/>
                <w:noProof/>
              </w:rPr>
            </w:pPr>
            <w:r>
              <w:rPr>
                <w:noProof/>
              </w:rPr>
              <w:t>L’organisme de coordination publie en outre des lignes directrices sur des procédures adéquates de gestion des risques pour soutenir la FRR, qui comprennent i) l’évaluation des principaux risques, facteurs et pratiques de fraude, de conflit d’intérêts et de corruption et la garantie d’une prévention, d’une détection et d’une correction efficaces de la fraude et de la corruption; ii) le cadre d’évaluation des risques de fraude, qui est conforme à l’outil annexé à la note d’orientation sur l’évaluation des risques de fraude et les mesures antifraude efficaces et proportionnées pour les Fonds ESI 2014-2020, pour leurs mesures respectives au titre de la FRR. En outre, les lignes directrices comprennent des procédures adéquates concernant a) la vérification des conflits d’intérêts; b) les vérifications du double financement; c) des vérifications du respect des règles de l'UE et des règles nationales; et d) l’utilisation des données à des fins de détection de la fraude, de la corruption, des conflits d’intérêts et du double financement.</w:t>
            </w:r>
          </w:p>
        </w:tc>
      </w:tr>
    </w:tbl>
    <w:p w14:paraId="6B29F9D6" w14:textId="77777777" w:rsidR="003D7F65" w:rsidRDefault="003D7F65">
      <w:pPr>
        <w:spacing w:before="120" w:after="120" w:line="240" w:lineRule="auto"/>
        <w:jc w:val="both"/>
        <w:rPr>
          <w:rFonts w:ascii="Times New Roman" w:hAnsi="Times New Roman"/>
          <w:noProof/>
          <w:sz w:val="24"/>
          <w:szCs w:val="24"/>
        </w:rPr>
      </w:pPr>
    </w:p>
    <w:p w14:paraId="44626933" w14:textId="77777777" w:rsidR="003D7F65" w:rsidRDefault="003D7F65">
      <w:pPr>
        <w:spacing w:before="120" w:after="120" w:line="240" w:lineRule="auto"/>
        <w:ind w:left="709"/>
        <w:jc w:val="both"/>
        <w:rPr>
          <w:rFonts w:ascii="Times New Roman" w:hAnsi="Times New Roman"/>
          <w:noProof/>
          <w:sz w:val="24"/>
        </w:rPr>
        <w:sectPr w:rsidR="003D7F65" w:rsidSect="00A7081A">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0E6A9715" w14:textId="77777777" w:rsidR="003D7F65" w:rsidRDefault="0082041E">
      <w:pPr>
        <w:pStyle w:val="P68B1DB1-Heading42"/>
        <w:numPr>
          <w:ilvl w:val="0"/>
          <w:numId w:val="0"/>
        </w:numPr>
        <w:rPr>
          <w:noProof/>
        </w:rPr>
      </w:pPr>
      <w:r>
        <w:rPr>
          <w:noProof/>
        </w:rPr>
        <w:t>H. Élément P2C3: SÉCURITÉ NUMÉRIQUE</w:t>
      </w:r>
    </w:p>
    <w:p w14:paraId="2A32B408" w14:textId="77777777" w:rsidR="003D7F65" w:rsidRDefault="0082041E">
      <w:pPr>
        <w:pStyle w:val="P68B1DB1-Normal3"/>
        <w:spacing w:before="120" w:after="120" w:line="240" w:lineRule="auto"/>
        <w:jc w:val="both"/>
        <w:rPr>
          <w:noProof/>
        </w:rPr>
      </w:pPr>
      <w:r>
        <w:rPr>
          <w:noProof/>
        </w:rPr>
        <w:t xml:space="preserve">Ce volet du plan finlandais pour la reprise et la résilience vise à contribuer à la création d’un cadre global pour traiter les questions de cybersécurité et de sécurité de l’information, condition préalable à une transition numérique réussie. Dans le cadre d’un programme de développement de la cybersécurité, la Finlande investit dans les compétences en matière de cybersécurité civile. La Finlande vise également à renforcer les mesures de lutte contre le blanchiment de capitaux en créant un système numérique qui garantira un meilleur échange d’informations entre les différents acteurs participant aux missions de lutte contre le blanchiment de capitaux, tant au niveau national qu’international, en liaison avec les modifications législatives nécessaires. </w:t>
      </w:r>
    </w:p>
    <w:p w14:paraId="7631619B" w14:textId="77777777" w:rsidR="003D7F65" w:rsidRDefault="0082041E">
      <w:pPr>
        <w:pStyle w:val="P68B1DB1-Normal3"/>
        <w:spacing w:before="120" w:after="120" w:line="240" w:lineRule="auto"/>
        <w:jc w:val="both"/>
        <w:rPr>
          <w:noProof/>
        </w:rPr>
      </w:pPr>
      <w:r>
        <w:rPr>
          <w:noProof/>
        </w:rPr>
        <w:t>Ce volet contribue à donner suite à la recommandation par pays 4 2020 visant à assurer une surveillance et une application efficaces du cadre de lutte contre le blanchiment de capitaux, ainsi qu’à la recommandation par pays 3 2020 visant à concentrer les investissements sur la transition écologique et numérique, en particulier la recherche et l’innovation.</w:t>
      </w:r>
    </w:p>
    <w:p w14:paraId="5F7A7B2E"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8D487EC" w14:textId="77777777" w:rsidR="003D7F65" w:rsidRDefault="0082041E">
      <w:pPr>
        <w:pStyle w:val="P68B1DB1-Normal5"/>
        <w:spacing w:before="120" w:after="120" w:line="240" w:lineRule="auto"/>
        <w:jc w:val="both"/>
        <w:rPr>
          <w:noProof/>
        </w:rPr>
      </w:pPr>
      <w:r>
        <w:rPr>
          <w:noProof/>
        </w:rPr>
        <w:t xml:space="preserve">H.1. </w:t>
      </w:r>
      <w:r>
        <w:rPr>
          <w:noProof/>
        </w:rPr>
        <w:tab/>
        <w:t>Description des réformes et des investissements pour le soutien financier non remboursable</w:t>
      </w:r>
    </w:p>
    <w:p w14:paraId="0C6F5E60" w14:textId="77777777" w:rsidR="003D7F65" w:rsidRDefault="0082041E">
      <w:pPr>
        <w:pStyle w:val="P68B1DB1-Normal12"/>
        <w:spacing w:before="120" w:after="120" w:line="240" w:lineRule="auto"/>
        <w:jc w:val="both"/>
        <w:rPr>
          <w:noProof/>
          <w:szCs w:val="24"/>
        </w:rPr>
      </w:pPr>
      <w:r>
        <w:rPr>
          <w:noProof/>
          <w:szCs w:val="24"/>
        </w:rPr>
        <w:t>Réforme 1 (P2C3R1): Assurer une surveillance et une mise en œuvre efficaces de la prévention du blanchiment de capitaux</w:t>
      </w:r>
      <w:r>
        <w:rPr>
          <w:noProof/>
        </w:rPr>
        <w:softHyphen/>
      </w:r>
    </w:p>
    <w:p w14:paraId="2784433F" w14:textId="77777777" w:rsidR="003D7F65" w:rsidRDefault="0082041E">
      <w:pPr>
        <w:pStyle w:val="P68B1DB1-Normal3"/>
        <w:spacing w:before="120" w:after="120" w:line="240" w:lineRule="auto"/>
        <w:jc w:val="both"/>
        <w:rPr>
          <w:noProof/>
        </w:rPr>
      </w:pPr>
      <w:r>
        <w:rPr>
          <w:noProof/>
        </w:rPr>
        <w:t xml:space="preserve">L'objectif de la réforme est de faciliter la collecte et l'échange d'informations entre chaque autorité compétente pour la prévention et la détection du blanchiment de capitaux, y compris par l'automatisation du traitement et de l'analyse des données. La mesure consiste en l’entrée en vigueur d’actes juridiques et en un rapport sur l’augmentation du degré d’automatisation du traitement et de l’échange de données de chaque autorité. </w:t>
      </w:r>
    </w:p>
    <w:p w14:paraId="18148E79" w14:textId="77777777" w:rsidR="003D7F65" w:rsidRDefault="0082041E">
      <w:pPr>
        <w:pStyle w:val="P68B1DB1-Normal6"/>
        <w:spacing w:before="120" w:after="120" w:line="240" w:lineRule="auto"/>
        <w:jc w:val="both"/>
        <w:rPr>
          <w:noProof/>
        </w:rPr>
      </w:pPr>
      <w:r>
        <w:rPr>
          <w:noProof/>
        </w:rPr>
        <w:t>Investissement 1 (P2C3I1): Compétences civiles en matière de cybersécurité</w:t>
      </w:r>
    </w:p>
    <w:p w14:paraId="67AA6F7A" w14:textId="77777777" w:rsidR="003D7F65" w:rsidRDefault="0082041E">
      <w:pPr>
        <w:pStyle w:val="P68B1DB1-Normal3"/>
        <w:spacing w:before="120" w:after="120" w:line="240" w:lineRule="auto"/>
        <w:jc w:val="both"/>
        <w:rPr>
          <w:noProof/>
        </w:rPr>
      </w:pPr>
      <w:r>
        <w:rPr>
          <w:noProof/>
        </w:rPr>
        <w:t xml:space="preserve">L’objectif de l’investissement est d’accroître les compétences de base de la population en matière de cybersécurité afin de faire en sorte que les citoyens puissent utiliser les services numériques en toute sécurité et d’identifier les risques associés à l’utilisation de différents appareils, produits et services. L’investissement consiste en un rapport de recherche sur la manière dont les États membres de l’UE forment les citoyens à la cybersécurité de base et en la mise à la disposition du public d’une plateforme numérique pour la formation à la cybersécurité. </w:t>
      </w:r>
    </w:p>
    <w:p w14:paraId="10838C04" w14:textId="77777777" w:rsidR="003D7F65" w:rsidRDefault="0082041E">
      <w:pPr>
        <w:pStyle w:val="P68B1DB1-Normal6"/>
        <w:spacing w:before="120" w:after="120" w:line="240" w:lineRule="auto"/>
        <w:jc w:val="both"/>
        <w:rPr>
          <w:noProof/>
        </w:rPr>
      </w:pPr>
      <w:r>
        <w:rPr>
          <w:noProof/>
        </w:rPr>
        <w:t>Investissement 2 (P2C3I2): Exercices de cybersécurité</w:t>
      </w:r>
    </w:p>
    <w:p w14:paraId="7305F7B7" w14:textId="0F3C0EA0" w:rsidR="003D7F65" w:rsidRDefault="0082041E">
      <w:pPr>
        <w:pStyle w:val="P68B1DB1-Normal3"/>
        <w:spacing w:before="120" w:after="120" w:line="240" w:lineRule="auto"/>
        <w:jc w:val="both"/>
        <w:rPr>
          <w:noProof/>
        </w:rPr>
      </w:pPr>
      <w:r>
        <w:rPr>
          <w:noProof/>
        </w:rPr>
        <w:t>L’objectif de cet investissement est de fournir des exercices de cybersécurité, de développer la résilience et la préparation de la société aux incidents de cybersécurité. Cette mesure consiste en la fourniture de 19 exercices de cybersécurité.</w:t>
      </w:r>
    </w:p>
    <w:p w14:paraId="0E09C94C" w14:textId="5B1BC61A" w:rsidR="003D7F65" w:rsidRDefault="003D7F65">
      <w:pPr>
        <w:spacing w:after="0" w:line="240" w:lineRule="auto"/>
        <w:rPr>
          <w:rFonts w:ascii="Times New Roman" w:hAnsi="Times New Roman"/>
          <w:noProof/>
          <w:sz w:val="24"/>
          <w:szCs w:val="24"/>
        </w:rPr>
      </w:pPr>
    </w:p>
    <w:p w14:paraId="16D5481C" w14:textId="77777777" w:rsidR="003D7F65" w:rsidRDefault="003D7F65">
      <w:pPr>
        <w:spacing w:before="120" w:after="120" w:line="240" w:lineRule="auto"/>
        <w:jc w:val="both"/>
        <w:rPr>
          <w:rFonts w:ascii="Times New Roman" w:hAnsi="Times New Roman"/>
          <w:noProof/>
          <w:sz w:val="24"/>
          <w:szCs w:val="24"/>
        </w:rPr>
        <w:sectPr w:rsidR="003D7F65" w:rsidSect="00A7081A">
          <w:headerReference w:type="even" r:id="rId102"/>
          <w:headerReference w:type="default" r:id="rId103"/>
          <w:footerReference w:type="even" r:id="rId104"/>
          <w:footerReference w:type="default" r:id="rId105"/>
          <w:headerReference w:type="first" r:id="rId106"/>
          <w:footerReference w:type="first" r:id="rId107"/>
          <w:pgSz w:w="11907" w:h="16839" w:code="9"/>
          <w:pgMar w:top="1134" w:right="1134" w:bottom="1134" w:left="1134" w:header="567" w:footer="567" w:gutter="0"/>
          <w:cols w:space="720"/>
          <w:docGrid w:linePitch="360"/>
        </w:sectPr>
      </w:pPr>
    </w:p>
    <w:p w14:paraId="46FD1B3F" w14:textId="37629A5D" w:rsidR="003D7F65" w:rsidRDefault="0082041E">
      <w:pPr>
        <w:pStyle w:val="P68B1DB1-Normal5"/>
        <w:spacing w:before="120" w:after="120" w:line="240" w:lineRule="auto"/>
        <w:jc w:val="both"/>
        <w:rPr>
          <w:noProof/>
        </w:rPr>
      </w:pPr>
      <w:r>
        <w:rPr>
          <w:noProof/>
        </w:rPr>
        <w:t xml:space="preserve">H.2. </w:t>
      </w:r>
      <w:r>
        <w:rPr>
          <w:noProof/>
        </w:rPr>
        <w:tab/>
        <w:t>Étapes, cibles, indicateurs et calendrier pour le suivi et la mise en œuvre du soutien financier non remboursable</w:t>
      </w:r>
    </w:p>
    <w:tbl>
      <w:tblPr>
        <w:tblW w:w="15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46"/>
        <w:gridCol w:w="1309"/>
        <w:gridCol w:w="1101"/>
        <w:gridCol w:w="1417"/>
        <w:gridCol w:w="1701"/>
        <w:gridCol w:w="709"/>
        <w:gridCol w:w="992"/>
        <w:gridCol w:w="851"/>
        <w:gridCol w:w="992"/>
        <w:gridCol w:w="850"/>
        <w:gridCol w:w="4456"/>
      </w:tblGrid>
      <w:tr w:rsidR="003D7F65" w14:paraId="26FCD46E" w14:textId="77777777" w:rsidTr="00B2367E">
        <w:trPr>
          <w:trHeight w:val="927"/>
          <w:tblHeader/>
          <w:jc w:val="center"/>
        </w:trPr>
        <w:tc>
          <w:tcPr>
            <w:tcW w:w="846" w:type="dxa"/>
            <w:vMerge w:val="restart"/>
            <w:shd w:val="clear" w:color="auto" w:fill="BDD7EE"/>
            <w:vAlign w:val="center"/>
            <w:hideMark/>
          </w:tcPr>
          <w:p w14:paraId="7DD01E4B" w14:textId="77777777" w:rsidR="003D7F65" w:rsidRDefault="0082041E">
            <w:pPr>
              <w:pStyle w:val="P68B1DB1-Normal7"/>
              <w:spacing w:after="0" w:line="240" w:lineRule="auto"/>
              <w:jc w:val="center"/>
              <w:rPr>
                <w:noProof/>
              </w:rPr>
            </w:pPr>
            <w:r>
              <w:rPr>
                <w:noProof/>
              </w:rPr>
              <w:t>Numéro</w:t>
            </w:r>
          </w:p>
        </w:tc>
        <w:tc>
          <w:tcPr>
            <w:tcW w:w="1309" w:type="dxa"/>
            <w:vMerge w:val="restart"/>
            <w:shd w:val="clear" w:color="auto" w:fill="BDD7EE"/>
            <w:vAlign w:val="center"/>
            <w:hideMark/>
          </w:tcPr>
          <w:p w14:paraId="34272240" w14:textId="24457554" w:rsidR="003D7F65" w:rsidRDefault="0082041E">
            <w:pPr>
              <w:pStyle w:val="P68B1DB1-Normal7"/>
              <w:spacing w:after="0" w:line="240" w:lineRule="auto"/>
              <w:jc w:val="center"/>
              <w:rPr>
                <w:noProof/>
              </w:rPr>
            </w:pPr>
            <w:r>
              <w:rPr>
                <w:noProof/>
              </w:rPr>
              <w:t>Mesure</w:t>
            </w:r>
          </w:p>
        </w:tc>
        <w:tc>
          <w:tcPr>
            <w:tcW w:w="1101" w:type="dxa"/>
            <w:vMerge w:val="restart"/>
            <w:shd w:val="clear" w:color="auto" w:fill="BDD7EE"/>
            <w:vAlign w:val="center"/>
            <w:hideMark/>
          </w:tcPr>
          <w:p w14:paraId="5C59C698" w14:textId="77777777" w:rsidR="003D7F65" w:rsidRDefault="0082041E">
            <w:pPr>
              <w:pStyle w:val="P68B1DB1-Normal7"/>
              <w:spacing w:after="0" w:line="240" w:lineRule="auto"/>
              <w:jc w:val="center"/>
              <w:rPr>
                <w:noProof/>
              </w:rPr>
            </w:pPr>
            <w:r>
              <w:rPr>
                <w:noProof/>
              </w:rPr>
              <w:t>Étape/cible</w:t>
            </w:r>
          </w:p>
        </w:tc>
        <w:tc>
          <w:tcPr>
            <w:tcW w:w="1417" w:type="dxa"/>
            <w:vMerge w:val="restart"/>
            <w:shd w:val="clear" w:color="auto" w:fill="BDD7EE"/>
            <w:vAlign w:val="center"/>
            <w:hideMark/>
          </w:tcPr>
          <w:p w14:paraId="7B248AC9" w14:textId="77777777" w:rsidR="003D7F65" w:rsidRDefault="0082041E">
            <w:pPr>
              <w:pStyle w:val="P68B1DB1-Normal7"/>
              <w:spacing w:after="0" w:line="240" w:lineRule="auto"/>
              <w:jc w:val="center"/>
              <w:rPr>
                <w:noProof/>
              </w:rPr>
            </w:pPr>
            <w:r>
              <w:rPr>
                <w:noProof/>
              </w:rPr>
              <w:t>Nom</w:t>
            </w:r>
          </w:p>
        </w:tc>
        <w:tc>
          <w:tcPr>
            <w:tcW w:w="1701" w:type="dxa"/>
            <w:vMerge w:val="restart"/>
            <w:shd w:val="clear" w:color="auto" w:fill="BDD7EE"/>
            <w:vAlign w:val="center"/>
            <w:hideMark/>
          </w:tcPr>
          <w:p w14:paraId="43ED2B7E" w14:textId="77777777" w:rsidR="003D7F65" w:rsidRDefault="0082041E">
            <w:pPr>
              <w:pStyle w:val="P68B1DB1-Normal7"/>
              <w:spacing w:after="0" w:line="240" w:lineRule="auto"/>
              <w:jc w:val="center"/>
              <w:rPr>
                <w:noProof/>
              </w:rPr>
            </w:pPr>
            <w:r>
              <w:rPr>
                <w:noProof/>
              </w:rPr>
              <w:t>Indicateurs qualitatifs</w:t>
            </w:r>
            <w:r>
              <w:rPr>
                <w:noProof/>
              </w:rPr>
              <w:br/>
              <w:t>(pour les jalons)</w:t>
            </w:r>
          </w:p>
        </w:tc>
        <w:tc>
          <w:tcPr>
            <w:tcW w:w="2552" w:type="dxa"/>
            <w:gridSpan w:val="3"/>
            <w:shd w:val="clear" w:color="auto" w:fill="BDD7EE"/>
            <w:vAlign w:val="center"/>
            <w:hideMark/>
          </w:tcPr>
          <w:p w14:paraId="7CAA5EF4" w14:textId="77777777" w:rsidR="003D7F65" w:rsidRDefault="0082041E">
            <w:pPr>
              <w:pStyle w:val="P68B1DB1-Normal7"/>
              <w:spacing w:after="0" w:line="240" w:lineRule="auto"/>
              <w:jc w:val="center"/>
              <w:rPr>
                <w:bCs/>
                <w:noProof/>
              </w:rPr>
            </w:pPr>
            <w:r>
              <w:rPr>
                <w:noProof/>
              </w:rPr>
              <w:t>Indicateurs quantitatifs (pour les objectifs)</w:t>
            </w:r>
          </w:p>
        </w:tc>
        <w:tc>
          <w:tcPr>
            <w:tcW w:w="1842" w:type="dxa"/>
            <w:gridSpan w:val="2"/>
            <w:shd w:val="clear" w:color="auto" w:fill="BDD7EE"/>
            <w:vAlign w:val="center"/>
            <w:hideMark/>
          </w:tcPr>
          <w:p w14:paraId="2F09C335" w14:textId="77777777" w:rsidR="003D7F65" w:rsidRDefault="0082041E">
            <w:pPr>
              <w:pStyle w:val="P68B1DB1-Normal7"/>
              <w:spacing w:after="0" w:line="240" w:lineRule="auto"/>
              <w:jc w:val="center"/>
              <w:rPr>
                <w:bCs/>
                <w:noProof/>
              </w:rPr>
            </w:pPr>
            <w:r>
              <w:rPr>
                <w:noProof/>
              </w:rPr>
              <w:t xml:space="preserve">Calendrier indicatif d'achèvement </w:t>
            </w:r>
          </w:p>
        </w:tc>
        <w:tc>
          <w:tcPr>
            <w:tcW w:w="4456" w:type="dxa"/>
            <w:vMerge w:val="restart"/>
            <w:shd w:val="clear" w:color="auto" w:fill="BDD7EE"/>
            <w:vAlign w:val="center"/>
            <w:hideMark/>
          </w:tcPr>
          <w:p w14:paraId="249298CE" w14:textId="77777777" w:rsidR="003D7F65" w:rsidRDefault="0082041E">
            <w:pPr>
              <w:pStyle w:val="P68B1DB1-Normal7"/>
              <w:spacing w:after="0" w:line="240" w:lineRule="auto"/>
              <w:jc w:val="center"/>
              <w:rPr>
                <w:bCs/>
                <w:noProof/>
              </w:rPr>
            </w:pPr>
            <w:r>
              <w:rPr>
                <w:noProof/>
              </w:rPr>
              <w:t>Description de chaque jalon et cible</w:t>
            </w:r>
          </w:p>
        </w:tc>
      </w:tr>
      <w:tr w:rsidR="003D7F65" w14:paraId="0AA242AC" w14:textId="77777777" w:rsidTr="00B2367E">
        <w:trPr>
          <w:trHeight w:val="612"/>
          <w:tblHeader/>
          <w:jc w:val="center"/>
        </w:trPr>
        <w:tc>
          <w:tcPr>
            <w:tcW w:w="846" w:type="dxa"/>
            <w:vMerge/>
            <w:vAlign w:val="center"/>
            <w:hideMark/>
          </w:tcPr>
          <w:p w14:paraId="4C6E3F46" w14:textId="77777777" w:rsidR="003D7F65" w:rsidRDefault="003D7F65">
            <w:pPr>
              <w:spacing w:after="0" w:line="240" w:lineRule="auto"/>
              <w:rPr>
                <w:rFonts w:ascii="Times New Roman" w:eastAsia="Times New Roman" w:hAnsi="Times New Roman"/>
                <w:b/>
                <w:bCs/>
                <w:noProof/>
                <w:sz w:val="20"/>
                <w:szCs w:val="20"/>
              </w:rPr>
            </w:pPr>
          </w:p>
        </w:tc>
        <w:tc>
          <w:tcPr>
            <w:tcW w:w="1309" w:type="dxa"/>
            <w:vMerge/>
            <w:vAlign w:val="center"/>
            <w:hideMark/>
          </w:tcPr>
          <w:p w14:paraId="3C7E4CED" w14:textId="77777777" w:rsidR="003D7F65" w:rsidRDefault="003D7F65">
            <w:pPr>
              <w:spacing w:after="0" w:line="240" w:lineRule="auto"/>
              <w:rPr>
                <w:rFonts w:ascii="Times New Roman" w:eastAsia="Times New Roman" w:hAnsi="Times New Roman"/>
                <w:b/>
                <w:bCs/>
                <w:noProof/>
                <w:sz w:val="20"/>
                <w:szCs w:val="20"/>
              </w:rPr>
            </w:pPr>
          </w:p>
        </w:tc>
        <w:tc>
          <w:tcPr>
            <w:tcW w:w="1101" w:type="dxa"/>
            <w:vMerge/>
            <w:vAlign w:val="center"/>
            <w:hideMark/>
          </w:tcPr>
          <w:p w14:paraId="5459FA89" w14:textId="77777777" w:rsidR="003D7F65" w:rsidRDefault="003D7F65">
            <w:pPr>
              <w:spacing w:after="0" w:line="240" w:lineRule="auto"/>
              <w:rPr>
                <w:rFonts w:ascii="Times New Roman" w:eastAsia="Times New Roman" w:hAnsi="Times New Roman"/>
                <w:b/>
                <w:bCs/>
                <w:noProof/>
                <w:sz w:val="20"/>
                <w:szCs w:val="20"/>
              </w:rPr>
            </w:pPr>
          </w:p>
        </w:tc>
        <w:tc>
          <w:tcPr>
            <w:tcW w:w="1417" w:type="dxa"/>
            <w:vMerge/>
            <w:vAlign w:val="center"/>
            <w:hideMark/>
          </w:tcPr>
          <w:p w14:paraId="1AED3CD4" w14:textId="77777777" w:rsidR="003D7F65" w:rsidRDefault="003D7F65">
            <w:pPr>
              <w:spacing w:after="0" w:line="240" w:lineRule="auto"/>
              <w:rPr>
                <w:rFonts w:ascii="Times New Roman" w:eastAsia="Times New Roman" w:hAnsi="Times New Roman"/>
                <w:b/>
                <w:bCs/>
                <w:noProof/>
                <w:sz w:val="20"/>
                <w:szCs w:val="20"/>
              </w:rPr>
            </w:pPr>
          </w:p>
        </w:tc>
        <w:tc>
          <w:tcPr>
            <w:tcW w:w="1701" w:type="dxa"/>
            <w:vMerge/>
            <w:vAlign w:val="center"/>
            <w:hideMark/>
          </w:tcPr>
          <w:p w14:paraId="1A434970" w14:textId="77777777" w:rsidR="003D7F65" w:rsidRDefault="003D7F65">
            <w:pPr>
              <w:spacing w:after="0" w:line="240" w:lineRule="auto"/>
              <w:rPr>
                <w:rFonts w:ascii="Times New Roman" w:eastAsia="Times New Roman" w:hAnsi="Times New Roman"/>
                <w:b/>
                <w:bCs/>
                <w:noProof/>
                <w:sz w:val="20"/>
                <w:szCs w:val="20"/>
              </w:rPr>
            </w:pPr>
          </w:p>
        </w:tc>
        <w:tc>
          <w:tcPr>
            <w:tcW w:w="709" w:type="dxa"/>
            <w:shd w:val="clear" w:color="auto" w:fill="BDD7EE"/>
            <w:vAlign w:val="center"/>
            <w:hideMark/>
          </w:tcPr>
          <w:p w14:paraId="22651EE9" w14:textId="424D9D37" w:rsidR="003D7F65" w:rsidRDefault="0082041E">
            <w:pPr>
              <w:pStyle w:val="P68B1DB1-Normal7"/>
              <w:spacing w:after="0" w:line="240" w:lineRule="auto"/>
              <w:jc w:val="center"/>
              <w:rPr>
                <w:noProof/>
              </w:rPr>
            </w:pPr>
            <w:r>
              <w:rPr>
                <w:noProof/>
              </w:rPr>
              <w:t>Unité</w:t>
            </w:r>
          </w:p>
        </w:tc>
        <w:tc>
          <w:tcPr>
            <w:tcW w:w="992" w:type="dxa"/>
            <w:shd w:val="clear" w:color="auto" w:fill="BDD7EE"/>
            <w:vAlign w:val="center"/>
            <w:hideMark/>
          </w:tcPr>
          <w:p w14:paraId="1C5FA697" w14:textId="36951C79" w:rsidR="003D7F65" w:rsidRDefault="0082041E">
            <w:pPr>
              <w:pStyle w:val="P68B1DB1-Normal7"/>
              <w:spacing w:after="0" w:line="240" w:lineRule="auto"/>
              <w:jc w:val="center"/>
              <w:rPr>
                <w:noProof/>
              </w:rPr>
            </w:pPr>
            <w:r>
              <w:rPr>
                <w:noProof/>
              </w:rPr>
              <w:t>Données de référence</w:t>
            </w:r>
          </w:p>
        </w:tc>
        <w:tc>
          <w:tcPr>
            <w:tcW w:w="851" w:type="dxa"/>
            <w:shd w:val="clear" w:color="auto" w:fill="BDD7EE"/>
            <w:vAlign w:val="center"/>
            <w:hideMark/>
          </w:tcPr>
          <w:p w14:paraId="1C86AF72" w14:textId="198D510C" w:rsidR="003D7F65" w:rsidRDefault="0082041E">
            <w:pPr>
              <w:pStyle w:val="P68B1DB1-Normal7"/>
              <w:spacing w:after="0" w:line="240" w:lineRule="auto"/>
              <w:jc w:val="center"/>
              <w:rPr>
                <w:noProof/>
              </w:rPr>
            </w:pPr>
            <w:r>
              <w:rPr>
                <w:noProof/>
              </w:rPr>
              <w:t>Objectif</w:t>
            </w:r>
          </w:p>
        </w:tc>
        <w:tc>
          <w:tcPr>
            <w:tcW w:w="992" w:type="dxa"/>
            <w:shd w:val="clear" w:color="auto" w:fill="BDD7EE"/>
            <w:vAlign w:val="center"/>
            <w:hideMark/>
          </w:tcPr>
          <w:p w14:paraId="760571EA" w14:textId="77777777" w:rsidR="003D7F65" w:rsidRDefault="0082041E">
            <w:pPr>
              <w:pStyle w:val="P68B1DB1-Normal7"/>
              <w:spacing w:after="0" w:line="240" w:lineRule="auto"/>
              <w:jc w:val="center"/>
              <w:rPr>
                <w:noProof/>
              </w:rPr>
            </w:pPr>
            <w:r>
              <w:rPr>
                <w:noProof/>
              </w:rPr>
              <w:t>Trimestre</w:t>
            </w:r>
          </w:p>
        </w:tc>
        <w:tc>
          <w:tcPr>
            <w:tcW w:w="850" w:type="dxa"/>
            <w:shd w:val="clear" w:color="auto" w:fill="BDD7EE"/>
            <w:vAlign w:val="center"/>
            <w:hideMark/>
          </w:tcPr>
          <w:p w14:paraId="49F0257A" w14:textId="77777777" w:rsidR="003D7F65" w:rsidRDefault="0082041E">
            <w:pPr>
              <w:pStyle w:val="P68B1DB1-Normal7"/>
              <w:spacing w:after="0" w:line="240" w:lineRule="auto"/>
              <w:jc w:val="center"/>
              <w:rPr>
                <w:noProof/>
              </w:rPr>
            </w:pPr>
            <w:r>
              <w:rPr>
                <w:noProof/>
              </w:rPr>
              <w:t>Année</w:t>
            </w:r>
          </w:p>
        </w:tc>
        <w:tc>
          <w:tcPr>
            <w:tcW w:w="4456" w:type="dxa"/>
            <w:vMerge/>
            <w:vAlign w:val="center"/>
            <w:hideMark/>
          </w:tcPr>
          <w:p w14:paraId="1CDAA2BF" w14:textId="77777777" w:rsidR="003D7F65" w:rsidRDefault="003D7F65">
            <w:pPr>
              <w:spacing w:after="0" w:line="240" w:lineRule="auto"/>
              <w:jc w:val="center"/>
              <w:rPr>
                <w:rFonts w:ascii="Times New Roman" w:eastAsia="Times New Roman" w:hAnsi="Times New Roman"/>
                <w:b/>
                <w:bCs/>
                <w:noProof/>
                <w:sz w:val="20"/>
                <w:szCs w:val="20"/>
              </w:rPr>
            </w:pPr>
          </w:p>
        </w:tc>
      </w:tr>
      <w:tr w:rsidR="003D7F65" w14:paraId="76E7BFCC" w14:textId="77777777" w:rsidTr="00B2367E">
        <w:trPr>
          <w:trHeight w:val="2460"/>
          <w:jc w:val="center"/>
        </w:trPr>
        <w:tc>
          <w:tcPr>
            <w:tcW w:w="846" w:type="dxa"/>
            <w:shd w:val="clear" w:color="auto" w:fill="C6EFCE"/>
            <w:noWrap/>
            <w:hideMark/>
          </w:tcPr>
          <w:p w14:paraId="0DE46654" w14:textId="77777777" w:rsidR="003D7F65" w:rsidRDefault="0082041E">
            <w:pPr>
              <w:pStyle w:val="P68B1DB1-Normal9"/>
              <w:spacing w:after="0" w:line="240" w:lineRule="auto"/>
              <w:jc w:val="center"/>
              <w:rPr>
                <w:noProof/>
              </w:rPr>
            </w:pPr>
            <w:r>
              <w:rPr>
                <w:noProof/>
              </w:rPr>
              <w:t>73</w:t>
            </w:r>
          </w:p>
        </w:tc>
        <w:tc>
          <w:tcPr>
            <w:tcW w:w="1309" w:type="dxa"/>
            <w:shd w:val="clear" w:color="auto" w:fill="C6EFCE"/>
            <w:noWrap/>
            <w:hideMark/>
          </w:tcPr>
          <w:p w14:paraId="0E364D94" w14:textId="77777777" w:rsidR="003D7F65" w:rsidRDefault="0082041E">
            <w:pPr>
              <w:pStyle w:val="P68B1DB1-Normal9"/>
              <w:spacing w:after="0" w:line="240" w:lineRule="auto"/>
              <w:rPr>
                <w:noProof/>
              </w:rPr>
            </w:pPr>
            <w:r>
              <w:rPr>
                <w:noProof/>
              </w:rPr>
              <w:t>P2C3R1 - Assurer une surveillance et une application efficaces de la prévention du blanchiment de capitaux</w:t>
            </w:r>
          </w:p>
        </w:tc>
        <w:tc>
          <w:tcPr>
            <w:tcW w:w="1101" w:type="dxa"/>
            <w:shd w:val="clear" w:color="auto" w:fill="C6EFCE"/>
            <w:noWrap/>
            <w:hideMark/>
          </w:tcPr>
          <w:p w14:paraId="544AEEEC" w14:textId="77777777" w:rsidR="003D7F65" w:rsidRDefault="0082041E">
            <w:pPr>
              <w:pStyle w:val="P68B1DB1-Normal9"/>
              <w:spacing w:after="0" w:line="240" w:lineRule="auto"/>
              <w:rPr>
                <w:noProof/>
              </w:rPr>
            </w:pPr>
            <w:r>
              <w:rPr>
                <w:noProof/>
              </w:rPr>
              <w:t>Étape</w:t>
            </w:r>
          </w:p>
        </w:tc>
        <w:tc>
          <w:tcPr>
            <w:tcW w:w="1417" w:type="dxa"/>
            <w:shd w:val="clear" w:color="auto" w:fill="C6EFCE"/>
            <w:noWrap/>
            <w:hideMark/>
          </w:tcPr>
          <w:p w14:paraId="59BCAA80" w14:textId="77777777" w:rsidR="003D7F65" w:rsidRDefault="0082041E">
            <w:pPr>
              <w:pStyle w:val="P68B1DB1-Normal9"/>
              <w:spacing w:after="0" w:line="240" w:lineRule="auto"/>
              <w:rPr>
                <w:noProof/>
              </w:rPr>
            </w:pPr>
            <w:r>
              <w:rPr>
                <w:noProof/>
              </w:rPr>
              <w:t>Entrée en vigueur des actes juridiques</w:t>
            </w:r>
          </w:p>
        </w:tc>
        <w:tc>
          <w:tcPr>
            <w:tcW w:w="1701" w:type="dxa"/>
            <w:shd w:val="clear" w:color="auto" w:fill="C6EFCE"/>
            <w:noWrap/>
            <w:hideMark/>
          </w:tcPr>
          <w:p w14:paraId="35E5D761" w14:textId="77777777" w:rsidR="003D7F65" w:rsidRDefault="0082041E">
            <w:pPr>
              <w:pStyle w:val="P68B1DB1-Normal9"/>
              <w:spacing w:after="0" w:line="240" w:lineRule="auto"/>
              <w:rPr>
                <w:noProof/>
              </w:rPr>
            </w:pPr>
            <w:r>
              <w:rPr>
                <w:noProof/>
              </w:rPr>
              <w:t>Les actes juridiques sont entrés en vigueur</w:t>
            </w:r>
          </w:p>
        </w:tc>
        <w:tc>
          <w:tcPr>
            <w:tcW w:w="709" w:type="dxa"/>
            <w:shd w:val="clear" w:color="auto" w:fill="C6EFCE"/>
            <w:noWrap/>
            <w:hideMark/>
          </w:tcPr>
          <w:p w14:paraId="4D8466C6" w14:textId="77777777" w:rsidR="003D7F65" w:rsidRDefault="003D7F65">
            <w:pPr>
              <w:spacing w:after="0" w:line="240" w:lineRule="auto"/>
              <w:jc w:val="center"/>
              <w:rPr>
                <w:rFonts w:ascii="Times New Roman" w:eastAsia="Times New Roman" w:hAnsi="Times New Roman"/>
                <w:noProof/>
                <w:sz w:val="20"/>
                <w:szCs w:val="20"/>
              </w:rPr>
            </w:pPr>
          </w:p>
        </w:tc>
        <w:tc>
          <w:tcPr>
            <w:tcW w:w="992" w:type="dxa"/>
            <w:shd w:val="clear" w:color="auto" w:fill="C6EFCE"/>
            <w:noWrap/>
            <w:hideMark/>
          </w:tcPr>
          <w:p w14:paraId="6B679F28" w14:textId="77777777" w:rsidR="003D7F65" w:rsidRDefault="003D7F65">
            <w:pPr>
              <w:spacing w:after="0" w:line="240" w:lineRule="auto"/>
              <w:jc w:val="center"/>
              <w:rPr>
                <w:rFonts w:ascii="Times New Roman" w:eastAsia="Times New Roman" w:hAnsi="Times New Roman"/>
                <w:noProof/>
                <w:sz w:val="20"/>
                <w:szCs w:val="20"/>
              </w:rPr>
            </w:pPr>
          </w:p>
        </w:tc>
        <w:tc>
          <w:tcPr>
            <w:tcW w:w="851" w:type="dxa"/>
            <w:shd w:val="clear" w:color="auto" w:fill="C6EFCE"/>
            <w:noWrap/>
            <w:hideMark/>
          </w:tcPr>
          <w:p w14:paraId="0151AA96" w14:textId="77777777" w:rsidR="003D7F65" w:rsidRDefault="003D7F65">
            <w:pPr>
              <w:spacing w:after="0" w:line="240" w:lineRule="auto"/>
              <w:jc w:val="center"/>
              <w:rPr>
                <w:rFonts w:ascii="Times New Roman" w:eastAsia="Times New Roman" w:hAnsi="Times New Roman"/>
                <w:noProof/>
                <w:sz w:val="20"/>
                <w:szCs w:val="20"/>
              </w:rPr>
            </w:pPr>
          </w:p>
        </w:tc>
        <w:tc>
          <w:tcPr>
            <w:tcW w:w="992" w:type="dxa"/>
            <w:shd w:val="clear" w:color="auto" w:fill="C6EFCE"/>
            <w:noWrap/>
            <w:hideMark/>
          </w:tcPr>
          <w:p w14:paraId="3509E315" w14:textId="77777777" w:rsidR="003D7F65" w:rsidRDefault="0082041E">
            <w:pPr>
              <w:pStyle w:val="P68B1DB1-Normal9"/>
              <w:spacing w:after="0" w:line="240" w:lineRule="auto"/>
              <w:jc w:val="center"/>
              <w:rPr>
                <w:noProof/>
              </w:rPr>
            </w:pPr>
            <w:r>
              <w:rPr>
                <w:noProof/>
              </w:rPr>
              <w:t>T4</w:t>
            </w:r>
          </w:p>
        </w:tc>
        <w:tc>
          <w:tcPr>
            <w:tcW w:w="850" w:type="dxa"/>
            <w:shd w:val="clear" w:color="auto" w:fill="C6EFCE"/>
            <w:noWrap/>
            <w:hideMark/>
          </w:tcPr>
          <w:p w14:paraId="57596502" w14:textId="77777777" w:rsidR="003D7F65" w:rsidRDefault="0082041E">
            <w:pPr>
              <w:pStyle w:val="P68B1DB1-Normal9"/>
              <w:spacing w:after="0" w:line="240" w:lineRule="auto"/>
              <w:jc w:val="center"/>
              <w:rPr>
                <w:noProof/>
              </w:rPr>
            </w:pPr>
            <w:r>
              <w:rPr>
                <w:noProof/>
              </w:rPr>
              <w:t>2025</w:t>
            </w:r>
          </w:p>
        </w:tc>
        <w:tc>
          <w:tcPr>
            <w:tcW w:w="4456" w:type="dxa"/>
            <w:shd w:val="clear" w:color="auto" w:fill="C6EFCE"/>
            <w:noWrap/>
            <w:hideMark/>
          </w:tcPr>
          <w:p w14:paraId="1B84F4E7" w14:textId="5FC08B31" w:rsidR="003D7F65" w:rsidRDefault="0082041E">
            <w:pPr>
              <w:pStyle w:val="P68B1DB1-Normal9"/>
              <w:spacing w:after="0" w:line="240" w:lineRule="auto"/>
              <w:rPr>
                <w:noProof/>
              </w:rPr>
            </w:pPr>
            <w:r>
              <w:rPr>
                <w:noProof/>
              </w:rPr>
              <w:t>Les actes juridiques entrent en vigueur et comprennent:</w:t>
            </w:r>
          </w:p>
          <w:p w14:paraId="56B404C1" w14:textId="64546E5D" w:rsidR="003D7F65" w:rsidRDefault="0082041E">
            <w:pPr>
              <w:pStyle w:val="P68B1DB1-Normal9"/>
              <w:numPr>
                <w:ilvl w:val="0"/>
                <w:numId w:val="24"/>
              </w:numPr>
              <w:spacing w:after="0" w:line="240" w:lineRule="auto"/>
              <w:ind w:left="112" w:hanging="141"/>
              <w:rPr>
                <w:noProof/>
              </w:rPr>
            </w:pPr>
            <w:r>
              <w:rPr>
                <w:noProof/>
              </w:rPr>
              <w:t>Possibilité pour l'Office finlandais des brevets et de l'enregistrement d'imposer des taxes pour négligence afin de garantir l'exactitude des informations sur les bénéficiaires effectifs</w:t>
            </w:r>
          </w:p>
          <w:p w14:paraId="53273ADA" w14:textId="161AC9E4" w:rsidR="003D7F65" w:rsidRDefault="0082041E">
            <w:pPr>
              <w:pStyle w:val="P68B1DB1-Normal9"/>
              <w:numPr>
                <w:ilvl w:val="0"/>
                <w:numId w:val="24"/>
              </w:numPr>
              <w:spacing w:after="0" w:line="240" w:lineRule="auto"/>
              <w:ind w:left="112" w:hanging="142"/>
              <w:rPr>
                <w:noProof/>
              </w:rPr>
            </w:pPr>
            <w:r>
              <w:rPr>
                <w:noProof/>
              </w:rPr>
              <w:t>Possibilité d’ordonner la liquidation ou la radiation d’une entité assujettie pour négligence dans la notification des bénéficiaires effectifs</w:t>
            </w:r>
          </w:p>
          <w:p w14:paraId="230995C3" w14:textId="77777777" w:rsidR="003D7F65" w:rsidRDefault="0082041E">
            <w:pPr>
              <w:pStyle w:val="P68B1DB1-Normal9"/>
              <w:numPr>
                <w:ilvl w:val="0"/>
                <w:numId w:val="24"/>
              </w:numPr>
              <w:spacing w:after="0" w:line="240" w:lineRule="auto"/>
              <w:ind w:left="112" w:hanging="142"/>
              <w:rPr>
                <w:noProof/>
              </w:rPr>
            </w:pPr>
            <w:r>
              <w:rPr>
                <w:noProof/>
              </w:rPr>
              <w:t xml:space="preserve">Les douanes gèrent une application permettant aux services répressifs de formuler et de recevoir des réponses aux demandes d’informations. </w:t>
            </w:r>
          </w:p>
          <w:p w14:paraId="41C32824" w14:textId="1CE368CF" w:rsidR="003D7F65" w:rsidRDefault="0082041E">
            <w:pPr>
              <w:pStyle w:val="P68B1DB1-Normal9"/>
              <w:numPr>
                <w:ilvl w:val="0"/>
                <w:numId w:val="24"/>
              </w:numPr>
              <w:spacing w:after="0" w:line="240" w:lineRule="auto"/>
              <w:ind w:left="112" w:hanging="142"/>
              <w:rPr>
                <w:noProof/>
              </w:rPr>
            </w:pPr>
            <w:r>
              <w:rPr>
                <w:noProof/>
              </w:rPr>
              <w:t>Les autorités compétentes pour obtenir des informations sur les transactions de compte sont définies en fonction de leur juridiction existante.</w:t>
            </w:r>
          </w:p>
        </w:tc>
      </w:tr>
      <w:tr w:rsidR="003D7F65" w14:paraId="6ED201B2" w14:textId="77777777" w:rsidTr="00B2367E">
        <w:trPr>
          <w:trHeight w:val="309"/>
          <w:jc w:val="center"/>
        </w:trPr>
        <w:tc>
          <w:tcPr>
            <w:tcW w:w="846" w:type="dxa"/>
            <w:shd w:val="clear" w:color="auto" w:fill="C6EFCE"/>
            <w:noWrap/>
          </w:tcPr>
          <w:p w14:paraId="33B5E354" w14:textId="77777777" w:rsidR="003D7F65" w:rsidRDefault="0082041E">
            <w:pPr>
              <w:pStyle w:val="P68B1DB1-Normal9"/>
              <w:spacing w:after="0" w:line="240" w:lineRule="auto"/>
              <w:jc w:val="center"/>
              <w:rPr>
                <w:noProof/>
              </w:rPr>
            </w:pPr>
            <w:r>
              <w:rPr>
                <w:noProof/>
              </w:rPr>
              <w:t xml:space="preserve">74 </w:t>
            </w:r>
          </w:p>
        </w:tc>
        <w:tc>
          <w:tcPr>
            <w:tcW w:w="1309" w:type="dxa"/>
            <w:shd w:val="clear" w:color="auto" w:fill="C6EFCE"/>
            <w:noWrap/>
          </w:tcPr>
          <w:p w14:paraId="63DEEED8" w14:textId="77777777" w:rsidR="003D7F65" w:rsidRDefault="0082041E">
            <w:pPr>
              <w:pStyle w:val="P68B1DB1-Normal9"/>
              <w:spacing w:after="0" w:line="240" w:lineRule="auto"/>
              <w:rPr>
                <w:noProof/>
              </w:rPr>
            </w:pPr>
            <w:r>
              <w:rPr>
                <w:noProof/>
              </w:rPr>
              <w:t>P2C3R1 - Assurer une surveillance et une application efficaces de la prévention du blanchiment de capitaux</w:t>
            </w:r>
          </w:p>
        </w:tc>
        <w:tc>
          <w:tcPr>
            <w:tcW w:w="1101" w:type="dxa"/>
            <w:shd w:val="clear" w:color="auto" w:fill="C6EFCE"/>
            <w:noWrap/>
          </w:tcPr>
          <w:p w14:paraId="7A7DD2CB" w14:textId="77777777" w:rsidR="003D7F65" w:rsidRDefault="0082041E">
            <w:pPr>
              <w:pStyle w:val="P68B1DB1-Normal9"/>
              <w:spacing w:after="0" w:line="240" w:lineRule="auto"/>
              <w:rPr>
                <w:noProof/>
              </w:rPr>
            </w:pPr>
            <w:r>
              <w:rPr>
                <w:noProof/>
              </w:rPr>
              <w:t>Étape</w:t>
            </w:r>
          </w:p>
        </w:tc>
        <w:tc>
          <w:tcPr>
            <w:tcW w:w="1417" w:type="dxa"/>
            <w:shd w:val="clear" w:color="auto" w:fill="C6EFCE"/>
            <w:noWrap/>
          </w:tcPr>
          <w:p w14:paraId="480CBF64" w14:textId="77777777" w:rsidR="003D7F65" w:rsidRDefault="0082041E">
            <w:pPr>
              <w:pStyle w:val="P68B1DB1-Normal9"/>
              <w:spacing w:after="0" w:line="240" w:lineRule="auto"/>
              <w:rPr>
                <w:noProof/>
              </w:rPr>
            </w:pPr>
            <w:r>
              <w:rPr>
                <w:noProof/>
              </w:rPr>
              <w:t>Rapport final du groupe de pilotage</w:t>
            </w:r>
          </w:p>
        </w:tc>
        <w:tc>
          <w:tcPr>
            <w:tcW w:w="1701" w:type="dxa"/>
            <w:shd w:val="clear" w:color="auto" w:fill="C6EFCE"/>
            <w:noWrap/>
          </w:tcPr>
          <w:p w14:paraId="2C172CBB" w14:textId="77777777" w:rsidR="003D7F65" w:rsidRDefault="0082041E">
            <w:pPr>
              <w:pStyle w:val="P68B1DB1-Normal9"/>
              <w:spacing w:after="0" w:line="240" w:lineRule="auto"/>
              <w:rPr>
                <w:noProof/>
              </w:rPr>
            </w:pPr>
            <w:r>
              <w:rPr>
                <w:noProof/>
              </w:rPr>
              <w:t>Rapport final du groupe de pilotage</w:t>
            </w:r>
          </w:p>
        </w:tc>
        <w:tc>
          <w:tcPr>
            <w:tcW w:w="709" w:type="dxa"/>
            <w:shd w:val="clear" w:color="auto" w:fill="C6EFCE"/>
            <w:noWrap/>
          </w:tcPr>
          <w:p w14:paraId="101BCDC4" w14:textId="77777777" w:rsidR="003D7F65" w:rsidRDefault="003D7F65">
            <w:pPr>
              <w:spacing w:after="0" w:line="240" w:lineRule="auto"/>
              <w:jc w:val="center"/>
              <w:rPr>
                <w:rFonts w:ascii="Times New Roman" w:eastAsia="Times New Roman" w:hAnsi="Times New Roman"/>
                <w:noProof/>
                <w:sz w:val="20"/>
                <w:szCs w:val="20"/>
              </w:rPr>
            </w:pPr>
          </w:p>
        </w:tc>
        <w:tc>
          <w:tcPr>
            <w:tcW w:w="992" w:type="dxa"/>
            <w:shd w:val="clear" w:color="auto" w:fill="C6EFCE"/>
            <w:noWrap/>
          </w:tcPr>
          <w:p w14:paraId="15B184CA" w14:textId="77777777" w:rsidR="003D7F65" w:rsidRDefault="003D7F65">
            <w:pPr>
              <w:spacing w:after="0" w:line="240" w:lineRule="auto"/>
              <w:jc w:val="center"/>
              <w:rPr>
                <w:rFonts w:ascii="Times New Roman" w:eastAsia="Times New Roman" w:hAnsi="Times New Roman"/>
                <w:noProof/>
                <w:sz w:val="20"/>
                <w:szCs w:val="20"/>
              </w:rPr>
            </w:pPr>
          </w:p>
        </w:tc>
        <w:tc>
          <w:tcPr>
            <w:tcW w:w="851" w:type="dxa"/>
            <w:shd w:val="clear" w:color="auto" w:fill="C6EFCE"/>
            <w:noWrap/>
          </w:tcPr>
          <w:p w14:paraId="563FEFC8" w14:textId="77777777" w:rsidR="003D7F65" w:rsidRDefault="003D7F65">
            <w:pPr>
              <w:spacing w:after="0" w:line="240" w:lineRule="auto"/>
              <w:jc w:val="center"/>
              <w:rPr>
                <w:rFonts w:ascii="Times New Roman" w:eastAsia="Times New Roman" w:hAnsi="Times New Roman"/>
                <w:noProof/>
                <w:sz w:val="20"/>
                <w:szCs w:val="20"/>
              </w:rPr>
            </w:pPr>
          </w:p>
        </w:tc>
        <w:tc>
          <w:tcPr>
            <w:tcW w:w="992" w:type="dxa"/>
            <w:shd w:val="clear" w:color="auto" w:fill="C6EFCE"/>
            <w:noWrap/>
          </w:tcPr>
          <w:p w14:paraId="6DDEA08C" w14:textId="77777777" w:rsidR="003D7F65" w:rsidRDefault="0082041E">
            <w:pPr>
              <w:pStyle w:val="P68B1DB1-Normal9"/>
              <w:spacing w:after="0" w:line="240" w:lineRule="auto"/>
              <w:jc w:val="center"/>
              <w:rPr>
                <w:noProof/>
              </w:rPr>
            </w:pPr>
            <w:r>
              <w:rPr>
                <w:noProof/>
              </w:rPr>
              <w:t>T2</w:t>
            </w:r>
          </w:p>
        </w:tc>
        <w:tc>
          <w:tcPr>
            <w:tcW w:w="850" w:type="dxa"/>
            <w:shd w:val="clear" w:color="auto" w:fill="C6EFCE"/>
            <w:noWrap/>
          </w:tcPr>
          <w:p w14:paraId="10C21359" w14:textId="77777777" w:rsidR="003D7F65" w:rsidRDefault="0082041E">
            <w:pPr>
              <w:pStyle w:val="P68B1DB1-Normal9"/>
              <w:spacing w:after="0" w:line="240" w:lineRule="auto"/>
              <w:jc w:val="center"/>
              <w:rPr>
                <w:noProof/>
              </w:rPr>
            </w:pPr>
            <w:r>
              <w:rPr>
                <w:noProof/>
              </w:rPr>
              <w:t>2026</w:t>
            </w:r>
          </w:p>
        </w:tc>
        <w:tc>
          <w:tcPr>
            <w:tcW w:w="4456" w:type="dxa"/>
            <w:shd w:val="clear" w:color="auto" w:fill="C6EFCE"/>
            <w:noWrap/>
          </w:tcPr>
          <w:p w14:paraId="006CF3CF" w14:textId="77777777" w:rsidR="003D7F65" w:rsidRDefault="0082041E">
            <w:pPr>
              <w:pStyle w:val="P68B1DB1-Normal9"/>
              <w:spacing w:after="0" w:line="240" w:lineRule="auto"/>
              <w:rPr>
                <w:noProof/>
              </w:rPr>
            </w:pPr>
            <w:r>
              <w:rPr>
                <w:noProof/>
              </w:rPr>
              <w:t>Rapport final du groupe de pilotage sur: (i) une demande d’agrégation et l’ajout d’informations sur les transactions de compte au système de contrôle des comptes bancaires et de paiement, (ii) l’amélioration de l’actualité, de l’exhaustivité et de l’exactitude du registre des bénéficiaires effectifs, (iii) la numérisation du processus de dédouanement du blanchiment de capitaux par la cellule de renseignement financier.</w:t>
            </w:r>
          </w:p>
        </w:tc>
      </w:tr>
      <w:tr w:rsidR="003D7F65" w14:paraId="6647EE22" w14:textId="77777777" w:rsidTr="00B2367E">
        <w:trPr>
          <w:trHeight w:val="309"/>
          <w:jc w:val="center"/>
        </w:trPr>
        <w:tc>
          <w:tcPr>
            <w:tcW w:w="846" w:type="dxa"/>
            <w:shd w:val="clear" w:color="auto" w:fill="C6EFCE"/>
            <w:noWrap/>
          </w:tcPr>
          <w:p w14:paraId="0997FE08" w14:textId="77777777" w:rsidR="003D7F65" w:rsidRDefault="0082041E">
            <w:pPr>
              <w:pStyle w:val="P68B1DB1-Normal9"/>
              <w:spacing w:after="0" w:line="240" w:lineRule="auto"/>
              <w:jc w:val="center"/>
              <w:rPr>
                <w:noProof/>
              </w:rPr>
            </w:pPr>
            <w:r>
              <w:rPr>
                <w:noProof/>
              </w:rPr>
              <w:t>75</w:t>
            </w:r>
          </w:p>
        </w:tc>
        <w:tc>
          <w:tcPr>
            <w:tcW w:w="1309" w:type="dxa"/>
            <w:shd w:val="clear" w:color="auto" w:fill="C6EFCE"/>
            <w:noWrap/>
          </w:tcPr>
          <w:p w14:paraId="26F93B5F" w14:textId="77777777" w:rsidR="003D7F65" w:rsidRDefault="0082041E">
            <w:pPr>
              <w:pStyle w:val="P68B1DB1-Normal9"/>
              <w:spacing w:after="0" w:line="240" w:lineRule="auto"/>
              <w:rPr>
                <w:noProof/>
              </w:rPr>
            </w:pPr>
            <w:r>
              <w:rPr>
                <w:noProof/>
              </w:rPr>
              <w:t>P2C3I1 – Compétences civiles en matière de cybersécurité</w:t>
            </w:r>
          </w:p>
        </w:tc>
        <w:tc>
          <w:tcPr>
            <w:tcW w:w="1101" w:type="dxa"/>
            <w:shd w:val="clear" w:color="auto" w:fill="C6EFCE"/>
            <w:noWrap/>
          </w:tcPr>
          <w:p w14:paraId="42676369" w14:textId="77777777" w:rsidR="003D7F65" w:rsidRDefault="0082041E">
            <w:pPr>
              <w:pStyle w:val="P68B1DB1-Normal9"/>
              <w:spacing w:after="0" w:line="240" w:lineRule="auto"/>
              <w:rPr>
                <w:noProof/>
              </w:rPr>
            </w:pPr>
            <w:r>
              <w:rPr>
                <w:noProof/>
              </w:rPr>
              <w:t>Étape</w:t>
            </w:r>
          </w:p>
        </w:tc>
        <w:tc>
          <w:tcPr>
            <w:tcW w:w="1417" w:type="dxa"/>
            <w:shd w:val="clear" w:color="auto" w:fill="C6EFCE"/>
            <w:noWrap/>
          </w:tcPr>
          <w:p w14:paraId="135D79F4" w14:textId="77777777" w:rsidR="003D7F65" w:rsidRDefault="0082041E">
            <w:pPr>
              <w:pStyle w:val="P68B1DB1-Normal9"/>
              <w:spacing w:after="0" w:line="240" w:lineRule="auto"/>
              <w:rPr>
                <w:noProof/>
              </w:rPr>
            </w:pPr>
            <w:r>
              <w:rPr>
                <w:noProof/>
              </w:rPr>
              <w:t xml:space="preserve">Une plateforme numérique pour la formation à la cybersécurité </w:t>
            </w:r>
          </w:p>
        </w:tc>
        <w:tc>
          <w:tcPr>
            <w:tcW w:w="1701" w:type="dxa"/>
            <w:shd w:val="clear" w:color="auto" w:fill="C6EFCE"/>
            <w:noWrap/>
          </w:tcPr>
          <w:p w14:paraId="041C5212" w14:textId="77777777" w:rsidR="003D7F65" w:rsidRDefault="0082041E">
            <w:pPr>
              <w:pStyle w:val="P68B1DB1-Normal9"/>
              <w:spacing w:after="0" w:line="240" w:lineRule="auto"/>
              <w:rPr>
                <w:noProof/>
              </w:rPr>
            </w:pPr>
            <w:r>
              <w:rPr>
                <w:noProof/>
              </w:rPr>
              <w:t>Plateforme de formation accessible au public</w:t>
            </w:r>
          </w:p>
        </w:tc>
        <w:tc>
          <w:tcPr>
            <w:tcW w:w="709" w:type="dxa"/>
            <w:shd w:val="clear" w:color="auto" w:fill="C6EFCE"/>
            <w:noWrap/>
          </w:tcPr>
          <w:p w14:paraId="4D853A81" w14:textId="77777777" w:rsidR="003D7F65" w:rsidRDefault="003D7F65">
            <w:pPr>
              <w:spacing w:after="0" w:line="240" w:lineRule="auto"/>
              <w:jc w:val="center"/>
              <w:rPr>
                <w:rFonts w:ascii="Times New Roman" w:eastAsia="Times New Roman" w:hAnsi="Times New Roman"/>
                <w:noProof/>
                <w:sz w:val="20"/>
                <w:szCs w:val="20"/>
              </w:rPr>
            </w:pPr>
          </w:p>
        </w:tc>
        <w:tc>
          <w:tcPr>
            <w:tcW w:w="992" w:type="dxa"/>
            <w:shd w:val="clear" w:color="auto" w:fill="C6EFCE"/>
            <w:noWrap/>
          </w:tcPr>
          <w:p w14:paraId="0B224906" w14:textId="77777777" w:rsidR="003D7F65" w:rsidRDefault="003D7F65">
            <w:pPr>
              <w:spacing w:after="0" w:line="240" w:lineRule="auto"/>
              <w:jc w:val="center"/>
              <w:rPr>
                <w:rFonts w:ascii="Times New Roman" w:eastAsia="Times New Roman" w:hAnsi="Times New Roman"/>
                <w:noProof/>
                <w:sz w:val="20"/>
                <w:szCs w:val="20"/>
              </w:rPr>
            </w:pPr>
          </w:p>
        </w:tc>
        <w:tc>
          <w:tcPr>
            <w:tcW w:w="851" w:type="dxa"/>
            <w:shd w:val="clear" w:color="auto" w:fill="C6EFCE"/>
            <w:noWrap/>
          </w:tcPr>
          <w:p w14:paraId="3D581CB5" w14:textId="77777777" w:rsidR="003D7F65" w:rsidRDefault="003D7F65">
            <w:pPr>
              <w:spacing w:after="0" w:line="240" w:lineRule="auto"/>
              <w:jc w:val="center"/>
              <w:rPr>
                <w:rFonts w:ascii="Times New Roman" w:eastAsia="Times New Roman" w:hAnsi="Times New Roman"/>
                <w:noProof/>
                <w:sz w:val="20"/>
                <w:szCs w:val="20"/>
              </w:rPr>
            </w:pPr>
          </w:p>
        </w:tc>
        <w:tc>
          <w:tcPr>
            <w:tcW w:w="992" w:type="dxa"/>
            <w:shd w:val="clear" w:color="auto" w:fill="C6EFCE"/>
            <w:noWrap/>
          </w:tcPr>
          <w:p w14:paraId="78522810" w14:textId="77777777" w:rsidR="003D7F65" w:rsidRDefault="0082041E">
            <w:pPr>
              <w:pStyle w:val="P68B1DB1-Normal9"/>
              <w:spacing w:after="0" w:line="240" w:lineRule="auto"/>
              <w:jc w:val="center"/>
              <w:rPr>
                <w:noProof/>
              </w:rPr>
            </w:pPr>
            <w:r>
              <w:rPr>
                <w:noProof/>
              </w:rPr>
              <w:t>T4</w:t>
            </w:r>
          </w:p>
        </w:tc>
        <w:tc>
          <w:tcPr>
            <w:tcW w:w="850" w:type="dxa"/>
            <w:shd w:val="clear" w:color="auto" w:fill="C6EFCE"/>
            <w:noWrap/>
          </w:tcPr>
          <w:p w14:paraId="02D7E5A0" w14:textId="77777777" w:rsidR="003D7F65" w:rsidRDefault="0082041E">
            <w:pPr>
              <w:pStyle w:val="P68B1DB1-Normal9"/>
              <w:spacing w:after="0" w:line="240" w:lineRule="auto"/>
              <w:jc w:val="center"/>
              <w:rPr>
                <w:noProof/>
              </w:rPr>
            </w:pPr>
            <w:r>
              <w:rPr>
                <w:noProof/>
              </w:rPr>
              <w:t>2024</w:t>
            </w:r>
          </w:p>
        </w:tc>
        <w:tc>
          <w:tcPr>
            <w:tcW w:w="4456" w:type="dxa"/>
            <w:shd w:val="clear" w:color="auto" w:fill="C6EFCE"/>
            <w:noWrap/>
          </w:tcPr>
          <w:p w14:paraId="2F90EFB0" w14:textId="77777777" w:rsidR="003D7F65" w:rsidRDefault="0082041E">
            <w:pPr>
              <w:pStyle w:val="P68B1DB1-Normal9"/>
              <w:spacing w:after="0" w:line="240" w:lineRule="auto"/>
              <w:rPr>
                <w:noProof/>
              </w:rPr>
            </w:pPr>
            <w:r>
              <w:rPr>
                <w:noProof/>
              </w:rPr>
              <w:t>Un rapport de recherche sur la manière dont les États membres de l’UE forment les citoyens à la cybersécurité de base est accessible en ligne. Une plateforme numérique de formation à la cybersécurité est accessible en ligne dans 24 langues de l’Union.</w:t>
            </w:r>
          </w:p>
        </w:tc>
      </w:tr>
      <w:tr w:rsidR="003D7F65" w14:paraId="4001D631" w14:textId="77777777" w:rsidTr="00B2367E">
        <w:trPr>
          <w:trHeight w:val="309"/>
          <w:jc w:val="center"/>
        </w:trPr>
        <w:tc>
          <w:tcPr>
            <w:tcW w:w="846" w:type="dxa"/>
            <w:shd w:val="clear" w:color="auto" w:fill="C6EFCE"/>
            <w:noWrap/>
          </w:tcPr>
          <w:p w14:paraId="70876BDC" w14:textId="77777777" w:rsidR="003D7F65" w:rsidRDefault="0082041E">
            <w:pPr>
              <w:pStyle w:val="P68B1DB1-Normal9"/>
              <w:spacing w:after="0" w:line="240" w:lineRule="auto"/>
              <w:jc w:val="center"/>
              <w:rPr>
                <w:noProof/>
              </w:rPr>
            </w:pPr>
            <w:r>
              <w:rPr>
                <w:noProof/>
              </w:rPr>
              <w:t>76</w:t>
            </w:r>
          </w:p>
        </w:tc>
        <w:tc>
          <w:tcPr>
            <w:tcW w:w="1309" w:type="dxa"/>
            <w:shd w:val="clear" w:color="auto" w:fill="C6EFCE"/>
            <w:noWrap/>
          </w:tcPr>
          <w:p w14:paraId="1641CB23" w14:textId="77777777" w:rsidR="003D7F65" w:rsidRDefault="0082041E">
            <w:pPr>
              <w:pStyle w:val="P68B1DB1-Normal9"/>
              <w:spacing w:after="0" w:line="240" w:lineRule="auto"/>
              <w:rPr>
                <w:noProof/>
              </w:rPr>
            </w:pPr>
            <w:r>
              <w:rPr>
                <w:noProof/>
              </w:rPr>
              <w:t>P2C3I2 – Exercices de cybersécurité</w:t>
            </w:r>
          </w:p>
        </w:tc>
        <w:tc>
          <w:tcPr>
            <w:tcW w:w="1101" w:type="dxa"/>
            <w:shd w:val="clear" w:color="auto" w:fill="C6EFCE"/>
            <w:noWrap/>
          </w:tcPr>
          <w:p w14:paraId="751ACD10" w14:textId="77777777" w:rsidR="003D7F65" w:rsidRDefault="0082041E">
            <w:pPr>
              <w:pStyle w:val="P68B1DB1-Normal9"/>
              <w:spacing w:after="0" w:line="240" w:lineRule="auto"/>
              <w:rPr>
                <w:noProof/>
              </w:rPr>
            </w:pPr>
            <w:r>
              <w:rPr>
                <w:noProof/>
              </w:rPr>
              <w:t>Objectif</w:t>
            </w:r>
          </w:p>
        </w:tc>
        <w:tc>
          <w:tcPr>
            <w:tcW w:w="1417" w:type="dxa"/>
            <w:shd w:val="clear" w:color="auto" w:fill="C6EFCE"/>
            <w:noWrap/>
          </w:tcPr>
          <w:p w14:paraId="2039C65E" w14:textId="77777777" w:rsidR="003D7F65" w:rsidRDefault="0082041E">
            <w:pPr>
              <w:pStyle w:val="P68B1DB1-Normal9"/>
              <w:spacing w:after="0" w:line="240" w:lineRule="auto"/>
              <w:rPr>
                <w:noProof/>
              </w:rPr>
            </w:pPr>
            <w:r>
              <w:rPr>
                <w:noProof/>
              </w:rPr>
              <w:t>Nombre d’exercices de cybersécurité</w:t>
            </w:r>
          </w:p>
        </w:tc>
        <w:tc>
          <w:tcPr>
            <w:tcW w:w="1701" w:type="dxa"/>
            <w:shd w:val="clear" w:color="auto" w:fill="C6EFCE"/>
            <w:noWrap/>
          </w:tcPr>
          <w:p w14:paraId="637BB8D2" w14:textId="77777777" w:rsidR="003D7F65" w:rsidRDefault="003D7F65">
            <w:pPr>
              <w:spacing w:after="0" w:line="240" w:lineRule="auto"/>
              <w:rPr>
                <w:rFonts w:ascii="Times New Roman" w:eastAsia="Times New Roman" w:hAnsi="Times New Roman"/>
                <w:noProof/>
                <w:sz w:val="20"/>
                <w:szCs w:val="20"/>
              </w:rPr>
            </w:pPr>
          </w:p>
        </w:tc>
        <w:tc>
          <w:tcPr>
            <w:tcW w:w="709" w:type="dxa"/>
            <w:shd w:val="clear" w:color="auto" w:fill="C6EFCE"/>
            <w:noWrap/>
          </w:tcPr>
          <w:p w14:paraId="1C6E44BB" w14:textId="77777777" w:rsidR="003D7F65" w:rsidRDefault="0082041E">
            <w:pPr>
              <w:pStyle w:val="P68B1DB1-Normal13"/>
              <w:spacing w:after="0" w:line="240" w:lineRule="auto"/>
              <w:jc w:val="center"/>
              <w:rPr>
                <w:noProof/>
              </w:rPr>
            </w:pPr>
            <w:r>
              <w:rPr>
                <w:noProof/>
              </w:rPr>
              <w:t>Numéro</w:t>
            </w:r>
          </w:p>
        </w:tc>
        <w:tc>
          <w:tcPr>
            <w:tcW w:w="992" w:type="dxa"/>
            <w:shd w:val="clear" w:color="auto" w:fill="C6EFCE"/>
            <w:noWrap/>
          </w:tcPr>
          <w:p w14:paraId="4D4F77C0" w14:textId="77777777" w:rsidR="003D7F65" w:rsidRDefault="0082041E">
            <w:pPr>
              <w:pStyle w:val="P68B1DB1-Normal9"/>
              <w:spacing w:after="0" w:line="240" w:lineRule="auto"/>
              <w:jc w:val="center"/>
              <w:rPr>
                <w:noProof/>
              </w:rPr>
            </w:pPr>
            <w:r>
              <w:rPr>
                <w:noProof/>
              </w:rPr>
              <w:t>0</w:t>
            </w:r>
          </w:p>
        </w:tc>
        <w:tc>
          <w:tcPr>
            <w:tcW w:w="851" w:type="dxa"/>
            <w:shd w:val="clear" w:color="auto" w:fill="C6EFCE"/>
            <w:noWrap/>
          </w:tcPr>
          <w:p w14:paraId="7CB1D4F7" w14:textId="77777777" w:rsidR="003D7F65" w:rsidRDefault="0082041E">
            <w:pPr>
              <w:pStyle w:val="P68B1DB1-Normal9"/>
              <w:spacing w:after="0" w:line="240" w:lineRule="auto"/>
              <w:jc w:val="center"/>
              <w:rPr>
                <w:noProof/>
              </w:rPr>
            </w:pPr>
            <w:r>
              <w:rPr>
                <w:noProof/>
              </w:rPr>
              <w:t>19</w:t>
            </w:r>
          </w:p>
        </w:tc>
        <w:tc>
          <w:tcPr>
            <w:tcW w:w="992" w:type="dxa"/>
            <w:shd w:val="clear" w:color="auto" w:fill="C6EFCE"/>
            <w:noWrap/>
          </w:tcPr>
          <w:p w14:paraId="4D440E3A" w14:textId="77777777" w:rsidR="003D7F65" w:rsidRDefault="0082041E">
            <w:pPr>
              <w:pStyle w:val="P68B1DB1-Normal9"/>
              <w:spacing w:after="0" w:line="240" w:lineRule="auto"/>
              <w:jc w:val="center"/>
              <w:rPr>
                <w:noProof/>
              </w:rPr>
            </w:pPr>
            <w:r>
              <w:rPr>
                <w:noProof/>
              </w:rPr>
              <w:t>T4</w:t>
            </w:r>
          </w:p>
        </w:tc>
        <w:tc>
          <w:tcPr>
            <w:tcW w:w="850" w:type="dxa"/>
            <w:shd w:val="clear" w:color="auto" w:fill="C6EFCE"/>
            <w:noWrap/>
          </w:tcPr>
          <w:p w14:paraId="46E2A2B5" w14:textId="77777777" w:rsidR="003D7F65" w:rsidRDefault="0082041E">
            <w:pPr>
              <w:pStyle w:val="P68B1DB1-Normal9"/>
              <w:spacing w:after="0" w:line="240" w:lineRule="auto"/>
              <w:jc w:val="center"/>
              <w:rPr>
                <w:noProof/>
              </w:rPr>
            </w:pPr>
            <w:r>
              <w:rPr>
                <w:noProof/>
              </w:rPr>
              <w:t>2025</w:t>
            </w:r>
          </w:p>
        </w:tc>
        <w:tc>
          <w:tcPr>
            <w:tcW w:w="4456" w:type="dxa"/>
            <w:shd w:val="clear" w:color="auto" w:fill="C6EFCE"/>
            <w:noWrap/>
          </w:tcPr>
          <w:p w14:paraId="7F88D936" w14:textId="5B3888C4" w:rsidR="003D7F65" w:rsidRDefault="0082041E">
            <w:pPr>
              <w:pStyle w:val="P68B1DB1-Normal9"/>
              <w:spacing w:after="0" w:line="240" w:lineRule="auto"/>
              <w:rPr>
                <w:noProof/>
              </w:rPr>
            </w:pPr>
            <w:r>
              <w:rPr>
                <w:noProof/>
              </w:rPr>
              <w:t>Au moins 19 exercices de cybersécurité ont lieu.</w:t>
            </w:r>
          </w:p>
        </w:tc>
      </w:tr>
    </w:tbl>
    <w:p w14:paraId="3D489CD3" w14:textId="77777777" w:rsidR="003D7F65" w:rsidRDefault="003D7F65">
      <w:pPr>
        <w:tabs>
          <w:tab w:val="left" w:pos="4334"/>
        </w:tabs>
        <w:spacing w:before="120" w:after="120" w:line="240" w:lineRule="auto"/>
        <w:jc w:val="both"/>
        <w:rPr>
          <w:rFonts w:ascii="Times New Roman" w:hAnsi="Times New Roman"/>
          <w:noProof/>
          <w:sz w:val="24"/>
        </w:rPr>
        <w:sectPr w:rsidR="003D7F65" w:rsidSect="00FF5517">
          <w:headerReference w:type="even" r:id="rId108"/>
          <w:headerReference w:type="default" r:id="rId109"/>
          <w:footerReference w:type="even" r:id="rId110"/>
          <w:footerReference w:type="default" r:id="rId111"/>
          <w:headerReference w:type="first" r:id="rId112"/>
          <w:footerReference w:type="first" r:id="rId113"/>
          <w:pgSz w:w="16839" w:h="11907" w:orient="landscape" w:code="9"/>
          <w:pgMar w:top="1134" w:right="1134" w:bottom="1134" w:left="1134" w:header="567" w:footer="567" w:gutter="0"/>
          <w:cols w:space="720"/>
          <w:docGrid w:linePitch="360"/>
        </w:sectPr>
      </w:pPr>
    </w:p>
    <w:p w14:paraId="2A90B85C" w14:textId="61E06A2B" w:rsidR="003D7F65" w:rsidRDefault="0082041E">
      <w:pPr>
        <w:pStyle w:val="P68B1DB1-Normal14"/>
        <w:spacing w:after="0" w:line="240" w:lineRule="auto"/>
        <w:rPr>
          <w:i/>
          <w:noProof/>
        </w:rPr>
      </w:pPr>
      <w:r>
        <w:rPr>
          <w:noProof/>
        </w:rPr>
        <w:t>Pilier 3: Augmenter le taux d'emploi et le niveau de compétences pour stimuler une croissance durable</w:t>
      </w:r>
    </w:p>
    <w:p w14:paraId="0CFD62EA" w14:textId="77777777" w:rsidR="003D7F65" w:rsidRDefault="0082041E">
      <w:pPr>
        <w:pStyle w:val="Heading4"/>
        <w:numPr>
          <w:ilvl w:val="0"/>
          <w:numId w:val="0"/>
        </w:numPr>
        <w:rPr>
          <w:noProof/>
          <w:color w:val="000000"/>
          <w:szCs w:val="24"/>
        </w:rPr>
      </w:pPr>
      <w:r>
        <w:rPr>
          <w:b/>
          <w:noProof/>
          <w:color w:val="000000"/>
          <w:szCs w:val="24"/>
        </w:rPr>
        <w:t>I.</w:t>
      </w:r>
      <w:r>
        <w:rPr>
          <w:noProof/>
          <w:color w:val="000000"/>
          <w:szCs w:val="24"/>
        </w:rPr>
        <w:t xml:space="preserve"> </w:t>
      </w:r>
      <w:r>
        <w:rPr>
          <w:rStyle w:val="Heading1Char"/>
          <w:rFonts w:eastAsia="Calibri"/>
          <w:noProof/>
        </w:rPr>
        <w:t>Élément P3C1: EMPLOI ET MARCHÉ DU TRAVAIL</w:t>
      </w:r>
    </w:p>
    <w:p w14:paraId="6FC8550A" w14:textId="15586603" w:rsidR="003D7F65" w:rsidRDefault="0082041E">
      <w:pPr>
        <w:pStyle w:val="PILLAR"/>
        <w:rPr>
          <w:b/>
          <w:bCs/>
          <w:smallCaps/>
          <w:noProof/>
        </w:rPr>
      </w:pPr>
      <w:r>
        <w:rPr>
          <w:noProof/>
        </w:rPr>
        <w:t xml:space="preserve">Ce volet du plan finlandais pour la reprise et la résilience aborde les défis liés à l’emploi et au marché du travail. La </w:t>
      </w:r>
      <w:r>
        <w:rPr>
          <w:rFonts w:eastAsia="Times New Roman"/>
          <w:noProof/>
        </w:rPr>
        <w:t>main-d’œuvre finlandaise diminue, ce qui affecte le potentiel de croissance du pays, tandis qu’un chômage structurel élevé persiste par rapport à d’autres pays nordiques, aggravé par la crise de la COVID-19.</w:t>
      </w:r>
    </w:p>
    <w:p w14:paraId="73735D03" w14:textId="77777777" w:rsidR="003D7F65" w:rsidRDefault="0082041E">
      <w:pPr>
        <w:pStyle w:val="PILLAR"/>
        <w:rPr>
          <w:noProof/>
        </w:rPr>
      </w:pPr>
      <w:r>
        <w:rPr>
          <w:noProof/>
        </w:rPr>
        <w:t>L'objectif de ce volet est d'augmenter le taux d'emploi et de renforcer le fonctionnement du marché du travail. Cela se fera au moyen d’une réforme structurelle et de la numérisation des services publics de l’emploi («modèle d’emploi nordique»). Il convient également de favoriser l'emploi en supprimant progressivement l'allocation de chômage étendue aux personnes âgées avant l'âge légal de la retraite, ce que l'on appelle le "tunnel du chômage". Un troisième élément pour augmenter l'emploi est de faciliter l'immigration basée sur le travail et l'éducation. Enfin, il est également proposé de promouvoir l'intégration sur le marché du travail des jeunes et des personnes ayant une capacité de travail partielle.</w:t>
      </w:r>
    </w:p>
    <w:p w14:paraId="2BC42A03" w14:textId="77777777" w:rsidR="003D7F65" w:rsidRDefault="0082041E">
      <w:pPr>
        <w:pStyle w:val="P68B1DB1-Normal3"/>
        <w:spacing w:before="120" w:after="120" w:line="240" w:lineRule="auto"/>
        <w:jc w:val="both"/>
        <w:rPr>
          <w:noProof/>
          <w:color w:val="000000"/>
        </w:rPr>
      </w:pPr>
      <w:r>
        <w:rPr>
          <w:noProof/>
        </w:rPr>
        <w:t>Ce volet contribue à donner suite aux recommandations par pays relatives à l’amélioration des incitations à accepter un travail et au renforcement des compétences et de l’inclusion active, notamment au moyen de services bien intégrés pour les chômeurs et les inactifs (recommandation par pays no 2 de 2019) et au renforcement des mesures visant à soutenir l’emploi et à renforcer les politiques actives du marché du travail (recommandation par pays no 2 de 2020). Le volet vise également à contribuer aux principes pertinents du socle européen des droits sociaux.</w:t>
      </w:r>
    </w:p>
    <w:p w14:paraId="1F8C7A8D"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6B46354F" w14:textId="77777777" w:rsidR="003D7F65" w:rsidRDefault="0082041E">
      <w:pPr>
        <w:pStyle w:val="P68B1DB1-Normal5"/>
        <w:spacing w:before="120" w:after="120" w:line="240" w:lineRule="auto"/>
        <w:jc w:val="both"/>
        <w:rPr>
          <w:bCs/>
          <w:noProof/>
          <w:color w:val="000000"/>
        </w:rPr>
      </w:pPr>
      <w:r>
        <w:rPr>
          <w:noProof/>
          <w:color w:val="000000"/>
        </w:rPr>
        <w:t xml:space="preserve">I.1. </w:t>
      </w:r>
      <w:r>
        <w:rPr>
          <w:noProof/>
        </w:rPr>
        <w:t xml:space="preserve"> </w:t>
      </w:r>
      <w:r>
        <w:rPr>
          <w:noProof/>
          <w:color w:val="000000"/>
        </w:rPr>
        <w:t>Description des réformes et des investissements pour le soutien financier non remboursable</w:t>
      </w:r>
    </w:p>
    <w:p w14:paraId="7F77F97A" w14:textId="7B4E445F" w:rsidR="003D7F65" w:rsidRDefault="0082041E">
      <w:pPr>
        <w:pStyle w:val="P68B1DB1-Normal15"/>
        <w:spacing w:before="120" w:after="120" w:line="240" w:lineRule="auto"/>
        <w:jc w:val="both"/>
        <w:rPr>
          <w:noProof/>
          <w:color w:val="000000"/>
        </w:rPr>
      </w:pPr>
      <w:r>
        <w:rPr>
          <w:noProof/>
        </w:rPr>
        <w:t>Réforme 1 (P3C1R1): Modèle nordique des services de l'emploi</w:t>
      </w:r>
    </w:p>
    <w:p w14:paraId="38AABF2C" w14:textId="77777777" w:rsidR="003D7F65" w:rsidRDefault="0082041E">
      <w:pPr>
        <w:pStyle w:val="PILLAR"/>
        <w:rPr>
          <w:noProof/>
        </w:rPr>
      </w:pPr>
      <w:r>
        <w:rPr>
          <w:noProof/>
        </w:rPr>
        <w:t>L’objectif de la mesure est de réformer le processus des services publics de l’emploi. La réforme consiste en une transition vers un nouveau modèle nordique de services de l’emploi impliquant des services personnalisés et intégrés pour les demandeurs d’emploi et une obligation de recherche active pour les demandeurs d’emploi, ainsi qu’un système d’information numérique pour les services publics de l’emploi.</w:t>
      </w:r>
    </w:p>
    <w:p w14:paraId="0974CC96" w14:textId="77777777" w:rsidR="003D7F65" w:rsidRDefault="0082041E">
      <w:pPr>
        <w:pStyle w:val="P68B1DB1-Normal15"/>
        <w:spacing w:before="120" w:after="120" w:line="240" w:lineRule="auto"/>
        <w:jc w:val="both"/>
        <w:rPr>
          <w:noProof/>
          <w:color w:val="000000"/>
        </w:rPr>
      </w:pPr>
      <w:r>
        <w:rPr>
          <w:noProof/>
        </w:rPr>
        <w:t>Réforme 2 (P3C1R2): Suppression des jours supplémentaires d'allocation de chômage</w:t>
      </w:r>
    </w:p>
    <w:p w14:paraId="60D9428C" w14:textId="77777777" w:rsidR="003D7F65" w:rsidRDefault="0082041E">
      <w:pPr>
        <w:pStyle w:val="P68B1DB1-Normal3"/>
        <w:spacing w:before="120" w:after="120" w:line="240" w:lineRule="auto"/>
        <w:jc w:val="both"/>
        <w:rPr>
          <w:noProof/>
        </w:rPr>
      </w:pPr>
      <w:r>
        <w:rPr>
          <w:noProof/>
        </w:rPr>
        <w:t>L’objectif de la réforme est de favoriser l’emploi en supprimant les facteurs qui dissuadent les personnes âgées de travailler et en atténuant le ciblage des licenciements sur les travailleurs âgés. La nécessité d'introduire une telle réforme découle du fait que le droit à des journées supplémentaires de prestations de chômage liées aux revenus se traduit par une prolongation des périodes de chômage chez les personnes âgées approchant de l'âge légal de la retraite.</w:t>
      </w:r>
    </w:p>
    <w:p w14:paraId="09DAED93" w14:textId="04A1F510" w:rsidR="003D7F65" w:rsidRDefault="0082041E">
      <w:pPr>
        <w:pStyle w:val="P68B1DB1-Normal3"/>
        <w:spacing w:before="120" w:after="120" w:line="240" w:lineRule="auto"/>
        <w:jc w:val="both"/>
        <w:rPr>
          <w:noProof/>
        </w:rPr>
      </w:pPr>
      <w:r>
        <w:rPr>
          <w:noProof/>
        </w:rPr>
        <w:t>La mesure consiste à modifier la loi sur la sécurité du chômage afin de supprimer progressivement la limite d'âge pour les jours supplémentaires de prestations de chômage liées au revenu. L’incidence attendue est une augmentation de l’emploi d’environ 7 900 travailleurs d’ici à la fin de 2029, c’est-à-dire au-delà de la période couverte par la facilité pour la reprise et la résilience.</w:t>
      </w:r>
    </w:p>
    <w:p w14:paraId="2ED8C56B" w14:textId="2E8090B5" w:rsidR="003D7F65" w:rsidRDefault="0082041E">
      <w:pPr>
        <w:pStyle w:val="P68B1DB1-Normal3"/>
        <w:spacing w:before="120" w:after="120" w:line="240" w:lineRule="auto"/>
        <w:jc w:val="both"/>
        <w:rPr>
          <w:noProof/>
        </w:rPr>
      </w:pPr>
      <w:r>
        <w:rPr>
          <w:noProof/>
        </w:rPr>
        <w:t>La mise en œuvre de la réforme est achevée au plus tard le 30 juin 2023.</w:t>
      </w:r>
    </w:p>
    <w:p w14:paraId="4D1A695F" w14:textId="77777777" w:rsidR="003D7F65" w:rsidRDefault="0082041E">
      <w:pPr>
        <w:pStyle w:val="P68B1DB1-Normal6"/>
        <w:spacing w:before="120" w:after="120" w:line="240" w:lineRule="auto"/>
        <w:jc w:val="both"/>
        <w:rPr>
          <w:noProof/>
        </w:rPr>
      </w:pPr>
      <w:r>
        <w:rPr>
          <w:noProof/>
        </w:rPr>
        <w:t xml:space="preserve">Réforme 3 (P3C1R3): Rationalisation du processus d'immigration fondé sur le travail et l'éducation </w:t>
      </w:r>
    </w:p>
    <w:p w14:paraId="094930A4" w14:textId="153C325E" w:rsidR="003D7F65" w:rsidRDefault="0082041E">
      <w:pPr>
        <w:pStyle w:val="P68B1DB1-Normal3"/>
        <w:spacing w:before="120" w:after="120" w:line="240" w:lineRule="auto"/>
        <w:jc w:val="both"/>
        <w:rPr>
          <w:noProof/>
          <w:u w:val="single"/>
        </w:rPr>
      </w:pPr>
      <w:r>
        <w:rPr>
          <w:noProof/>
        </w:rPr>
        <w:t>L’objectif de la réforme est de rationaliser les procédures administratives d’octroi des permis de séjour fondés sur le travail et l’éducation. La mesure consiste en un projet interadministratif visant i) à rationaliser les actes juridiques pertinents en matière d’immigration, ii) à créer une «voie rapide» pour les entrepreneurs en croissance, les spécialistes et les membres de leur famille qui les accompagnent, et iii) à investir dans les infrastructures numériques.</w:t>
      </w:r>
    </w:p>
    <w:p w14:paraId="57DBAFDC" w14:textId="77777777" w:rsidR="003D7F65" w:rsidRDefault="0082041E">
      <w:pPr>
        <w:pStyle w:val="P68B1DB1-Normal6"/>
        <w:spacing w:before="120" w:after="120" w:line="240" w:lineRule="auto"/>
        <w:jc w:val="both"/>
        <w:rPr>
          <w:noProof/>
        </w:rPr>
      </w:pPr>
      <w:r>
        <w:rPr>
          <w:noProof/>
        </w:rPr>
        <w:t>Réforme 4 (P3C1R4): Services multidisciplinaires pour les jeunes (services Ohjaamo)</w:t>
      </w:r>
    </w:p>
    <w:p w14:paraId="21F6722D" w14:textId="416505FB" w:rsidR="003D7F65" w:rsidRDefault="0082041E">
      <w:pPr>
        <w:pStyle w:val="P68B1DB1-Normal3"/>
        <w:spacing w:before="120" w:after="120" w:line="240" w:lineRule="auto"/>
        <w:jc w:val="both"/>
        <w:rPr>
          <w:noProof/>
        </w:rPr>
      </w:pPr>
      <w:r>
        <w:rPr>
          <w:noProof/>
        </w:rPr>
        <w:t>L'objectif de la réforme est de fournir des services multidisciplinaires aux jeunes. La mesure consiste à fournir de la main-d'œuvre aux centres de jeunesse à guichet unique (Ohjaamo) pour offrir des services éducatifs, sanitaires et/ou sociaux.</w:t>
      </w:r>
    </w:p>
    <w:p w14:paraId="0686E75E" w14:textId="68391D3B" w:rsidR="003D7F65" w:rsidRDefault="0082041E">
      <w:pPr>
        <w:pStyle w:val="P68B1DB1-Normal6"/>
        <w:spacing w:before="120" w:after="120" w:line="240" w:lineRule="auto"/>
        <w:jc w:val="both"/>
        <w:rPr>
          <w:noProof/>
        </w:rPr>
      </w:pPr>
      <w:r>
        <w:rPr>
          <w:noProof/>
        </w:rPr>
        <w:t xml:space="preserve">Investissement 1 (P3C1I1): Capacité au travail, productivité et bien-être au travail </w:t>
      </w:r>
    </w:p>
    <w:p w14:paraId="0066AB6A" w14:textId="5BA3531C" w:rsidR="003D7F65" w:rsidRDefault="0082041E">
      <w:pPr>
        <w:pStyle w:val="P68B1DB1-Normal3"/>
        <w:spacing w:before="120" w:after="120" w:line="240" w:lineRule="auto"/>
        <w:jc w:val="both"/>
        <w:rPr>
          <w:noProof/>
        </w:rPr>
      </w:pPr>
      <w:r>
        <w:rPr>
          <w:noProof/>
        </w:rPr>
        <w:t>L’objectif de l’investissement est d’accroître la participation au marché du travail des personnes ayant une capacité de travail partielle. L’investissement consiste en une extension du programme «capacité de travail» à de nouvelles municipalités et du modèle individuel de placement et de soutien à de nouvelles zones de protection sociale, ainsi qu’en une augmentation du nombre de lieux de travail ou d’unités de soins de santé professionnels participant à des mesures de promotion de la capacité de travail.</w:t>
      </w:r>
    </w:p>
    <w:p w14:paraId="7DCA9FB3" w14:textId="77777777" w:rsidR="003D7F65" w:rsidRDefault="003D7F65">
      <w:pPr>
        <w:spacing w:before="120" w:after="120" w:line="240" w:lineRule="auto"/>
        <w:jc w:val="both"/>
        <w:rPr>
          <w:rFonts w:ascii="Times New Roman" w:hAnsi="Times New Roman"/>
          <w:noProof/>
          <w:sz w:val="24"/>
          <w:szCs w:val="24"/>
        </w:rPr>
        <w:sectPr w:rsidR="003D7F65" w:rsidSect="00A70B17">
          <w:headerReference w:type="default" r:id="rId114"/>
          <w:footerReference w:type="default" r:id="rId115"/>
          <w:pgSz w:w="11907" w:h="16839" w:code="9"/>
          <w:pgMar w:top="1134" w:right="1134" w:bottom="1134" w:left="1134" w:header="567" w:footer="567" w:gutter="0"/>
          <w:cols w:space="720"/>
          <w:docGrid w:linePitch="360"/>
        </w:sectPr>
      </w:pPr>
    </w:p>
    <w:p w14:paraId="615D9DF2" w14:textId="77777777" w:rsidR="003D7F65" w:rsidRDefault="0082041E">
      <w:pPr>
        <w:pStyle w:val="P68B1DB1-Normal5"/>
        <w:spacing w:before="120" w:after="120" w:line="240" w:lineRule="auto"/>
        <w:jc w:val="both"/>
        <w:rPr>
          <w:noProof/>
        </w:rPr>
      </w:pPr>
      <w:r>
        <w:rPr>
          <w:noProof/>
        </w:rPr>
        <w:t xml:space="preserve">I.2. </w:t>
      </w:r>
      <w:r>
        <w:rPr>
          <w:noProof/>
        </w:rPr>
        <w:tab/>
        <w:t>Étapes, cibles, indicateurs et calendrier pour le suivi et la mise en œuvre du soutien financier non remboursable</w:t>
      </w:r>
    </w:p>
    <w:tbl>
      <w:tblPr>
        <w:tblW w:w="15593" w:type="dxa"/>
        <w:jc w:val="center"/>
        <w:tblLayout w:type="fixed"/>
        <w:tblCellMar>
          <w:left w:w="28" w:type="dxa"/>
          <w:right w:w="28" w:type="dxa"/>
        </w:tblCellMar>
        <w:tblLook w:val="0600" w:firstRow="0" w:lastRow="0" w:firstColumn="0" w:lastColumn="0" w:noHBand="1" w:noVBand="1"/>
      </w:tblPr>
      <w:tblGrid>
        <w:gridCol w:w="846"/>
        <w:gridCol w:w="1669"/>
        <w:gridCol w:w="1024"/>
        <w:gridCol w:w="1676"/>
        <w:gridCol w:w="1473"/>
        <w:gridCol w:w="1104"/>
        <w:gridCol w:w="992"/>
        <w:gridCol w:w="850"/>
        <w:gridCol w:w="993"/>
        <w:gridCol w:w="1134"/>
        <w:gridCol w:w="3832"/>
      </w:tblGrid>
      <w:tr w:rsidR="003D7F65" w14:paraId="763DB869" w14:textId="77777777" w:rsidTr="00B035AD">
        <w:trPr>
          <w:trHeight w:val="699"/>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BA921A" w14:textId="77777777" w:rsidR="003D7F65" w:rsidRDefault="0082041E">
            <w:pPr>
              <w:pStyle w:val="P68B1DB1-Normal7"/>
              <w:spacing w:after="0" w:line="240" w:lineRule="auto"/>
              <w:jc w:val="center"/>
              <w:rPr>
                <w:noProof/>
              </w:rPr>
            </w:pPr>
            <w:r>
              <w:rPr>
                <w:noProof/>
              </w:rPr>
              <w:t>Numéro</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83F2A4" w14:textId="77777777" w:rsidR="003D7F65" w:rsidRDefault="0082041E">
            <w:pPr>
              <w:pStyle w:val="P68B1DB1-Normal7"/>
              <w:spacing w:after="0" w:line="240" w:lineRule="auto"/>
              <w:jc w:val="center"/>
              <w:rPr>
                <w:noProof/>
              </w:rPr>
            </w:pPr>
            <w:r>
              <w:rPr>
                <w:noProof/>
              </w:rPr>
              <w:t xml:space="preserve">Mesure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007FE1" w14:textId="77777777" w:rsidR="003D7F65" w:rsidRDefault="0082041E">
            <w:pPr>
              <w:pStyle w:val="P68B1DB1-Normal7"/>
              <w:spacing w:after="0" w:line="240" w:lineRule="auto"/>
              <w:jc w:val="center"/>
              <w:rPr>
                <w:noProof/>
              </w:rPr>
            </w:pPr>
            <w:r>
              <w:rPr>
                <w:noProof/>
              </w:rPr>
              <w:t>Étape/cible</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36AFC8" w14:textId="77777777" w:rsidR="003D7F65" w:rsidRDefault="0082041E">
            <w:pPr>
              <w:pStyle w:val="P68B1DB1-Normal7"/>
              <w:spacing w:after="0" w:line="240" w:lineRule="auto"/>
              <w:jc w:val="center"/>
              <w:rPr>
                <w:noProof/>
              </w:rPr>
            </w:pPr>
            <w:r>
              <w:rPr>
                <w:noProof/>
              </w:rPr>
              <w:t>Nom</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026BB8" w14:textId="77777777" w:rsidR="003D7F65" w:rsidRDefault="0082041E">
            <w:pPr>
              <w:pStyle w:val="P68B1DB1-Normal7"/>
              <w:spacing w:after="0" w:line="240" w:lineRule="auto"/>
              <w:jc w:val="center"/>
              <w:rPr>
                <w:noProof/>
              </w:rPr>
            </w:pPr>
            <w:r>
              <w:rPr>
                <w:noProof/>
              </w:rPr>
              <w:t xml:space="preserve">Indicateurs qualitatifs </w:t>
            </w:r>
            <w:r>
              <w:rPr>
                <w:noProof/>
              </w:rPr>
              <w:br/>
              <w:t>(pour les jalons)</w:t>
            </w:r>
          </w:p>
        </w:tc>
        <w:tc>
          <w:tcPr>
            <w:tcW w:w="294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CEB203A" w14:textId="77777777" w:rsidR="003D7F65" w:rsidRDefault="0082041E">
            <w:pPr>
              <w:pStyle w:val="P68B1DB1-Normal7"/>
              <w:spacing w:after="0" w:line="240" w:lineRule="auto"/>
              <w:jc w:val="center"/>
              <w:rPr>
                <w:noProof/>
              </w:rPr>
            </w:pPr>
            <w:r>
              <w:rPr>
                <w:noProof/>
              </w:rPr>
              <w:t>Indicateurs quantitatifs</w:t>
            </w:r>
            <w:r>
              <w:rPr>
                <w:noProof/>
              </w:rPr>
              <w:br/>
              <w:t>(pour les objectifs)</w:t>
            </w:r>
          </w:p>
        </w:tc>
        <w:tc>
          <w:tcPr>
            <w:tcW w:w="212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3401542" w14:textId="370CF306" w:rsidR="003D7F65" w:rsidRDefault="0082041E">
            <w:pPr>
              <w:pStyle w:val="P68B1DB1-Normal7"/>
              <w:spacing w:after="0" w:line="240" w:lineRule="auto"/>
              <w:jc w:val="center"/>
              <w:rPr>
                <w:noProof/>
              </w:rPr>
            </w:pPr>
            <w:r>
              <w:rPr>
                <w:noProof/>
              </w:rPr>
              <w:t>Calendrier indicatif d'achèvement</w:t>
            </w:r>
          </w:p>
        </w:tc>
        <w:tc>
          <w:tcPr>
            <w:tcW w:w="38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7C43B0" w14:textId="77777777" w:rsidR="003D7F65" w:rsidRDefault="0082041E">
            <w:pPr>
              <w:pStyle w:val="P68B1DB1-Normal7"/>
              <w:spacing w:after="0" w:line="240" w:lineRule="auto"/>
              <w:jc w:val="center"/>
              <w:rPr>
                <w:noProof/>
              </w:rPr>
            </w:pPr>
            <w:r>
              <w:rPr>
                <w:noProof/>
              </w:rPr>
              <w:t>Description de chaque jalon et cible</w:t>
            </w:r>
          </w:p>
        </w:tc>
      </w:tr>
      <w:tr w:rsidR="003D7F65" w14:paraId="4C3933C9" w14:textId="77777777" w:rsidTr="00B035AD">
        <w:trPr>
          <w:trHeight w:val="552"/>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D88F8D" w14:textId="77777777" w:rsidR="003D7F65" w:rsidRDefault="003D7F65">
            <w:pPr>
              <w:spacing w:after="0" w:line="240" w:lineRule="auto"/>
              <w:jc w:val="center"/>
              <w:rPr>
                <w:rFonts w:ascii="Times New Roman" w:eastAsia="Times New Roman" w:hAnsi="Times New Roman"/>
                <w:b/>
                <w:noProof/>
                <w:sz w:val="20"/>
                <w:szCs w:val="20"/>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14:paraId="6707F45B" w14:textId="77777777" w:rsidR="003D7F65" w:rsidRDefault="003D7F65">
            <w:pPr>
              <w:spacing w:after="0" w:line="240" w:lineRule="auto"/>
              <w:jc w:val="center"/>
              <w:rPr>
                <w:rFonts w:ascii="Times New Roman" w:eastAsia="Times New Roman" w:hAnsi="Times New Roman"/>
                <w:b/>
                <w:noProof/>
                <w:sz w:val="20"/>
                <w:szCs w:val="20"/>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736229F" w14:textId="77777777" w:rsidR="003D7F65" w:rsidRDefault="003D7F65">
            <w:pPr>
              <w:spacing w:after="0" w:line="240" w:lineRule="auto"/>
              <w:jc w:val="center"/>
              <w:rPr>
                <w:rFonts w:ascii="Times New Roman" w:eastAsia="Times New Roman" w:hAnsi="Times New Roman"/>
                <w:b/>
                <w:noProof/>
                <w:sz w:val="20"/>
                <w:szCs w:val="20"/>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32DB0641" w14:textId="77777777" w:rsidR="003D7F65" w:rsidRDefault="003D7F65">
            <w:pPr>
              <w:spacing w:after="0" w:line="240" w:lineRule="auto"/>
              <w:jc w:val="center"/>
              <w:rPr>
                <w:rFonts w:ascii="Times New Roman" w:eastAsia="Times New Roman" w:hAnsi="Times New Roman"/>
                <w:b/>
                <w:noProof/>
                <w:sz w:val="20"/>
                <w:szCs w:val="20"/>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178BB2F3" w14:textId="77777777" w:rsidR="003D7F65" w:rsidRDefault="003D7F65">
            <w:pPr>
              <w:spacing w:after="0" w:line="240" w:lineRule="auto"/>
              <w:jc w:val="center"/>
              <w:rPr>
                <w:rFonts w:ascii="Times New Roman" w:eastAsia="Times New Roman" w:hAnsi="Times New Roman"/>
                <w:b/>
                <w:noProof/>
                <w:sz w:val="20"/>
                <w:szCs w:val="20"/>
              </w:rPr>
            </w:pPr>
          </w:p>
        </w:tc>
        <w:tc>
          <w:tcPr>
            <w:tcW w:w="110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5CC4C1" w14:textId="23B84CB7" w:rsidR="003D7F65" w:rsidRDefault="0082041E">
            <w:pPr>
              <w:pStyle w:val="P68B1DB1-Normal7"/>
              <w:spacing w:after="0" w:line="240" w:lineRule="auto"/>
              <w:jc w:val="center"/>
              <w:rPr>
                <w:noProof/>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F50DF6" w14:textId="7063BF66" w:rsidR="003D7F65" w:rsidRDefault="0082041E">
            <w:pPr>
              <w:pStyle w:val="P68B1DB1-Normal7"/>
              <w:spacing w:after="0" w:line="240" w:lineRule="auto"/>
              <w:jc w:val="center"/>
              <w:rPr>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554C7" w14:textId="77777777" w:rsidR="003D7F65" w:rsidRDefault="0082041E">
            <w:pPr>
              <w:pStyle w:val="P68B1DB1-Normal7"/>
              <w:spacing w:after="0" w:line="240" w:lineRule="auto"/>
              <w:jc w:val="center"/>
              <w:rPr>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326241" w14:textId="77777777" w:rsidR="003D7F65" w:rsidRDefault="0082041E">
            <w:pPr>
              <w:pStyle w:val="P68B1DB1-Normal7"/>
              <w:spacing w:after="0" w:line="240" w:lineRule="auto"/>
              <w:jc w:val="center"/>
              <w:rPr>
                <w:noProof/>
              </w:rPr>
            </w:pPr>
            <w:r>
              <w:rPr>
                <w:noProof/>
              </w:rPr>
              <w:t>Trimestre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F06382" w14:textId="77777777" w:rsidR="003D7F65" w:rsidRDefault="0082041E">
            <w:pPr>
              <w:pStyle w:val="P68B1DB1-Normal7"/>
              <w:spacing w:after="0" w:line="240" w:lineRule="auto"/>
              <w:jc w:val="center"/>
              <w:rPr>
                <w:noProof/>
              </w:rPr>
            </w:pPr>
            <w:r>
              <w:rPr>
                <w:noProof/>
              </w:rPr>
              <w:t>Année</w:t>
            </w:r>
          </w:p>
        </w:tc>
        <w:tc>
          <w:tcPr>
            <w:tcW w:w="3832" w:type="dxa"/>
            <w:vMerge/>
            <w:tcBorders>
              <w:top w:val="single" w:sz="4" w:space="0" w:color="auto"/>
              <w:bottom w:val="single" w:sz="4" w:space="0" w:color="auto"/>
              <w:right w:val="single" w:sz="4" w:space="0" w:color="auto"/>
            </w:tcBorders>
            <w:vAlign w:val="center"/>
            <w:hideMark/>
          </w:tcPr>
          <w:p w14:paraId="4D262A7F" w14:textId="77777777" w:rsidR="003D7F65" w:rsidRDefault="003D7F65">
            <w:pPr>
              <w:spacing w:after="0" w:line="240" w:lineRule="auto"/>
              <w:jc w:val="center"/>
              <w:rPr>
                <w:rFonts w:ascii="Times New Roman" w:eastAsia="Times New Roman" w:hAnsi="Times New Roman"/>
                <w:b/>
                <w:noProof/>
                <w:sz w:val="20"/>
                <w:szCs w:val="20"/>
              </w:rPr>
            </w:pPr>
          </w:p>
        </w:tc>
      </w:tr>
      <w:tr w:rsidR="003D7F65" w14:paraId="52B55DFA" w14:textId="77777777" w:rsidTr="00B035A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9848434" w14:textId="77777777" w:rsidR="003D7F65" w:rsidRDefault="0082041E">
            <w:pPr>
              <w:pStyle w:val="P68B1DB1-Normal9"/>
              <w:spacing w:after="0" w:line="240" w:lineRule="auto"/>
              <w:jc w:val="center"/>
              <w:rPr>
                <w:noProof/>
                <w:u w:val="single"/>
              </w:rPr>
            </w:pPr>
            <w:r>
              <w:rPr>
                <w:noProof/>
              </w:rPr>
              <w:t>77</w:t>
            </w:r>
          </w:p>
        </w:tc>
        <w:tc>
          <w:tcPr>
            <w:tcW w:w="1669" w:type="dxa"/>
            <w:tcBorders>
              <w:top w:val="single" w:sz="4" w:space="0" w:color="auto"/>
              <w:left w:val="nil"/>
              <w:bottom w:val="single" w:sz="4" w:space="0" w:color="auto"/>
              <w:right w:val="single" w:sz="4" w:space="0" w:color="auto"/>
            </w:tcBorders>
            <w:shd w:val="clear" w:color="auto" w:fill="C6EFCE"/>
            <w:noWrap/>
            <w:hideMark/>
          </w:tcPr>
          <w:p w14:paraId="7BD0A517" w14:textId="77777777" w:rsidR="003D7F65" w:rsidRDefault="0082041E">
            <w:pPr>
              <w:pStyle w:val="P68B1DB1-Normal9"/>
              <w:spacing w:after="0" w:line="240" w:lineRule="auto"/>
              <w:rPr>
                <w:noProof/>
              </w:rPr>
            </w:pPr>
            <w:r>
              <w:rPr>
                <w:noProof/>
              </w:rPr>
              <w:t>P3C1R1 – Emploi et marché du travail – Modèle nordique de services de l’emploi</w:t>
            </w:r>
          </w:p>
        </w:tc>
        <w:tc>
          <w:tcPr>
            <w:tcW w:w="1024" w:type="dxa"/>
            <w:tcBorders>
              <w:top w:val="single" w:sz="4" w:space="0" w:color="auto"/>
              <w:left w:val="nil"/>
              <w:bottom w:val="single" w:sz="4" w:space="0" w:color="auto"/>
              <w:right w:val="single" w:sz="4" w:space="0" w:color="auto"/>
            </w:tcBorders>
            <w:shd w:val="clear" w:color="auto" w:fill="C6EFCE"/>
            <w:noWrap/>
            <w:hideMark/>
          </w:tcPr>
          <w:p w14:paraId="0E5A5A45" w14:textId="77777777" w:rsidR="003D7F65" w:rsidRDefault="0082041E">
            <w:pPr>
              <w:pStyle w:val="P68B1DB1-Normal9"/>
              <w:spacing w:after="0" w:line="240" w:lineRule="auto"/>
              <w:rPr>
                <w:noProof/>
              </w:rPr>
            </w:pPr>
            <w:r>
              <w:rPr>
                <w:noProof/>
              </w:rPr>
              <w:t>Étape</w:t>
            </w:r>
          </w:p>
        </w:tc>
        <w:tc>
          <w:tcPr>
            <w:tcW w:w="1676" w:type="dxa"/>
            <w:tcBorders>
              <w:top w:val="single" w:sz="4" w:space="0" w:color="auto"/>
              <w:left w:val="nil"/>
              <w:bottom w:val="single" w:sz="4" w:space="0" w:color="auto"/>
              <w:right w:val="single" w:sz="4" w:space="0" w:color="auto"/>
            </w:tcBorders>
            <w:shd w:val="clear" w:color="auto" w:fill="C6EFCE"/>
            <w:noWrap/>
            <w:hideMark/>
          </w:tcPr>
          <w:p w14:paraId="3B45C6BC" w14:textId="77777777" w:rsidR="003D7F65" w:rsidRDefault="0082041E">
            <w:pPr>
              <w:pStyle w:val="P68B1DB1-Normal9"/>
              <w:spacing w:after="0" w:line="240" w:lineRule="auto"/>
              <w:rPr>
                <w:noProof/>
              </w:rPr>
            </w:pPr>
            <w:r>
              <w:rPr>
                <w:noProof/>
              </w:rPr>
              <w:t>Entrée en vigueur de la loi sur l’emploi public et les services aux entreprises réglementant le modèle de service nordique de l’emploi pour le processus de service aux demandeurs d’emploi</w:t>
            </w:r>
          </w:p>
        </w:tc>
        <w:tc>
          <w:tcPr>
            <w:tcW w:w="1473" w:type="dxa"/>
            <w:tcBorders>
              <w:top w:val="single" w:sz="4" w:space="0" w:color="auto"/>
              <w:left w:val="nil"/>
              <w:bottom w:val="single" w:sz="4" w:space="0" w:color="auto"/>
              <w:right w:val="single" w:sz="4" w:space="0" w:color="auto"/>
            </w:tcBorders>
            <w:shd w:val="clear" w:color="auto" w:fill="C6EFCE"/>
            <w:noWrap/>
            <w:hideMark/>
          </w:tcPr>
          <w:p w14:paraId="7EE5E093" w14:textId="77777777" w:rsidR="003D7F65" w:rsidRDefault="0082041E">
            <w:pPr>
              <w:pStyle w:val="P68B1DB1-Normal9"/>
              <w:spacing w:after="0" w:line="240" w:lineRule="auto"/>
              <w:rPr>
                <w:noProof/>
              </w:rPr>
            </w:pPr>
            <w:r>
              <w:rPr>
                <w:noProof/>
              </w:rPr>
              <w:t>Disposition de la loi sur l'emploi public et les services aux entreprises, indiquant son entrée en vigueur</w:t>
            </w:r>
          </w:p>
        </w:tc>
        <w:tc>
          <w:tcPr>
            <w:tcW w:w="1104" w:type="dxa"/>
            <w:tcBorders>
              <w:top w:val="single" w:sz="4" w:space="0" w:color="auto"/>
              <w:left w:val="nil"/>
              <w:bottom w:val="single" w:sz="4" w:space="0" w:color="auto"/>
              <w:right w:val="single" w:sz="4" w:space="0" w:color="auto"/>
            </w:tcBorders>
            <w:shd w:val="clear" w:color="auto" w:fill="C6EFCE"/>
            <w:noWrap/>
            <w:hideMark/>
          </w:tcPr>
          <w:p w14:paraId="53E57624"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24F21DF8" w14:textId="77777777"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7774733B" w14:textId="77777777" w:rsidR="003D7F65" w:rsidRDefault="003D7F65">
            <w:pPr>
              <w:spacing w:after="0" w:line="240" w:lineRule="auto"/>
              <w:jc w:val="center"/>
              <w:rPr>
                <w:rFonts w:ascii="Times New Roman" w:eastAsia="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hideMark/>
          </w:tcPr>
          <w:p w14:paraId="49758ADB" w14:textId="77777777" w:rsidR="003D7F65" w:rsidRDefault="0082041E">
            <w:pPr>
              <w:pStyle w:val="P68B1DB1-Normal9"/>
              <w:spacing w:after="0" w:line="240" w:lineRule="auto"/>
              <w:jc w:val="center"/>
              <w:rPr>
                <w:noProof/>
              </w:rPr>
            </w:pPr>
            <w:r>
              <w:rPr>
                <w:noProof/>
              </w:rPr>
              <w:t>T2</w:t>
            </w:r>
          </w:p>
        </w:tc>
        <w:tc>
          <w:tcPr>
            <w:tcW w:w="1134" w:type="dxa"/>
            <w:tcBorders>
              <w:top w:val="single" w:sz="4" w:space="0" w:color="auto"/>
              <w:left w:val="nil"/>
              <w:bottom w:val="single" w:sz="4" w:space="0" w:color="auto"/>
              <w:right w:val="single" w:sz="4" w:space="0" w:color="auto"/>
            </w:tcBorders>
            <w:shd w:val="clear" w:color="auto" w:fill="C6EFCE"/>
            <w:noWrap/>
            <w:hideMark/>
          </w:tcPr>
          <w:p w14:paraId="3D5CC71B" w14:textId="77777777" w:rsidR="003D7F65" w:rsidRDefault="0082041E">
            <w:pPr>
              <w:pStyle w:val="P68B1DB1-Normal9"/>
              <w:spacing w:after="0" w:line="240" w:lineRule="auto"/>
              <w:jc w:val="center"/>
              <w:rPr>
                <w:noProof/>
              </w:rPr>
            </w:pPr>
            <w:r>
              <w:rPr>
                <w:noProof/>
              </w:rPr>
              <w:t>2022</w:t>
            </w:r>
          </w:p>
        </w:tc>
        <w:tc>
          <w:tcPr>
            <w:tcW w:w="3832" w:type="dxa"/>
            <w:tcBorders>
              <w:top w:val="single" w:sz="4" w:space="0" w:color="auto"/>
              <w:left w:val="nil"/>
              <w:bottom w:val="single" w:sz="4" w:space="0" w:color="auto"/>
              <w:right w:val="single" w:sz="4" w:space="0" w:color="auto"/>
            </w:tcBorders>
            <w:shd w:val="clear" w:color="auto" w:fill="C6EFCE"/>
            <w:noWrap/>
            <w:hideMark/>
          </w:tcPr>
          <w:p w14:paraId="077C9D90" w14:textId="1913A89D" w:rsidR="003D7F65" w:rsidRDefault="0082041E">
            <w:pPr>
              <w:pStyle w:val="P68B1DB1-Normal9"/>
              <w:spacing w:after="0" w:line="240" w:lineRule="auto"/>
              <w:rPr>
                <w:noProof/>
              </w:rPr>
            </w:pPr>
            <w:r>
              <w:rPr>
                <w:noProof/>
              </w:rPr>
              <w:t xml:space="preserve">Entrée en vigueur de la loi sur l’emploi public et les services aux entreprises </w:t>
            </w:r>
            <w:r>
              <w:rPr>
                <w:noProof/>
                <w:color w:val="000000"/>
              </w:rPr>
              <w:t>réglementant le modèle nordique de service de l’emploi pour le processus de service des demandeurs d’emploi.</w:t>
            </w:r>
            <w:r>
              <w:rPr>
                <w:noProof/>
              </w:rPr>
              <w:t xml:space="preserve"> Le modèle implique des services personnalisés et intégrés pour les demandeurs d'emploi et l'obligation pour les demandeurs d'emploi de rechercher activement un emploi.</w:t>
            </w:r>
          </w:p>
        </w:tc>
      </w:tr>
      <w:tr w:rsidR="003D7F65" w14:paraId="25A14DD2"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12E3104C" w14:textId="77777777" w:rsidR="003D7F65" w:rsidRDefault="0082041E">
            <w:pPr>
              <w:pStyle w:val="P68B1DB1-Normal9"/>
              <w:spacing w:after="0" w:line="240" w:lineRule="auto"/>
              <w:jc w:val="center"/>
              <w:rPr>
                <w:noProof/>
                <w:u w:val="single"/>
              </w:rPr>
            </w:pPr>
            <w:r>
              <w:rPr>
                <w:noProof/>
              </w:rPr>
              <w:t>78</w:t>
            </w:r>
          </w:p>
        </w:tc>
        <w:tc>
          <w:tcPr>
            <w:tcW w:w="1669" w:type="dxa"/>
            <w:tcBorders>
              <w:top w:val="nil"/>
              <w:left w:val="nil"/>
              <w:bottom w:val="single" w:sz="4" w:space="0" w:color="auto"/>
              <w:right w:val="single" w:sz="4" w:space="0" w:color="auto"/>
            </w:tcBorders>
            <w:shd w:val="clear" w:color="auto" w:fill="C6EFCE"/>
            <w:noWrap/>
          </w:tcPr>
          <w:p w14:paraId="2BF4EA3C" w14:textId="77777777" w:rsidR="003D7F65" w:rsidRDefault="0082041E">
            <w:pPr>
              <w:pStyle w:val="P68B1DB1-Normal9"/>
              <w:spacing w:after="0" w:line="240" w:lineRule="auto"/>
              <w:rPr>
                <w:noProof/>
              </w:rPr>
            </w:pPr>
            <w:r>
              <w:rPr>
                <w:noProof/>
              </w:rPr>
              <w:t>P3C1R1 – Emploi et marché du travail – Modèle nordique de services de l’emploi</w:t>
            </w:r>
          </w:p>
        </w:tc>
        <w:tc>
          <w:tcPr>
            <w:tcW w:w="1024" w:type="dxa"/>
            <w:tcBorders>
              <w:top w:val="nil"/>
              <w:left w:val="nil"/>
              <w:bottom w:val="single" w:sz="4" w:space="0" w:color="auto"/>
              <w:right w:val="single" w:sz="4" w:space="0" w:color="auto"/>
            </w:tcBorders>
            <w:shd w:val="clear" w:color="auto" w:fill="C6EFCE"/>
            <w:noWrap/>
          </w:tcPr>
          <w:p w14:paraId="6DCAC33B" w14:textId="77777777" w:rsidR="003D7F65" w:rsidRDefault="0082041E">
            <w:pPr>
              <w:pStyle w:val="P68B1DB1-Normal9"/>
              <w:spacing w:after="0" w:line="240" w:lineRule="auto"/>
              <w:rPr>
                <w:noProof/>
              </w:rPr>
            </w:pPr>
            <w:r>
              <w:rPr>
                <w:noProof/>
              </w:rPr>
              <w:t>Objectif</w:t>
            </w:r>
          </w:p>
        </w:tc>
        <w:tc>
          <w:tcPr>
            <w:tcW w:w="1676" w:type="dxa"/>
            <w:tcBorders>
              <w:top w:val="nil"/>
              <w:left w:val="nil"/>
              <w:bottom w:val="single" w:sz="4" w:space="0" w:color="auto"/>
              <w:right w:val="single" w:sz="4" w:space="0" w:color="auto"/>
            </w:tcBorders>
            <w:shd w:val="clear" w:color="auto" w:fill="C6EFCE"/>
            <w:noWrap/>
          </w:tcPr>
          <w:p w14:paraId="16B09A8F" w14:textId="77777777" w:rsidR="003D7F65" w:rsidRDefault="0082041E">
            <w:pPr>
              <w:pStyle w:val="P68B1DB1-Normal9"/>
              <w:spacing w:after="0" w:line="240" w:lineRule="auto"/>
              <w:rPr>
                <w:noProof/>
              </w:rPr>
            </w:pPr>
            <w:r>
              <w:rPr>
                <w:noProof/>
              </w:rPr>
              <w:t xml:space="preserve">Nombre d’entretiens de recherche d’emploi menés par les services publics de l’emploi </w:t>
            </w:r>
          </w:p>
        </w:tc>
        <w:tc>
          <w:tcPr>
            <w:tcW w:w="1473" w:type="dxa"/>
            <w:tcBorders>
              <w:top w:val="nil"/>
              <w:left w:val="nil"/>
              <w:bottom w:val="single" w:sz="4" w:space="0" w:color="auto"/>
              <w:right w:val="single" w:sz="4" w:space="0" w:color="auto"/>
            </w:tcBorders>
            <w:shd w:val="clear" w:color="auto" w:fill="C6EFCE"/>
            <w:noWrap/>
          </w:tcPr>
          <w:p w14:paraId="102617A0" w14:textId="77777777" w:rsidR="003D7F65" w:rsidRDefault="003D7F65">
            <w:pPr>
              <w:spacing w:after="0" w:line="240" w:lineRule="auto"/>
              <w:rPr>
                <w:rFonts w:ascii="Times New Roman" w:eastAsia="Times New Roman" w:hAnsi="Times New Roman"/>
                <w:noProof/>
                <w:sz w:val="20"/>
                <w:szCs w:val="20"/>
              </w:rPr>
            </w:pPr>
          </w:p>
        </w:tc>
        <w:tc>
          <w:tcPr>
            <w:tcW w:w="1104" w:type="dxa"/>
            <w:tcBorders>
              <w:top w:val="nil"/>
              <w:left w:val="nil"/>
              <w:bottom w:val="single" w:sz="4" w:space="0" w:color="auto"/>
              <w:right w:val="single" w:sz="4" w:space="0" w:color="auto"/>
            </w:tcBorders>
            <w:shd w:val="clear" w:color="auto" w:fill="C6EFCE"/>
            <w:noWrap/>
          </w:tcPr>
          <w:p w14:paraId="20650708" w14:textId="77777777" w:rsidR="003D7F65" w:rsidRDefault="0082041E">
            <w:pPr>
              <w:pStyle w:val="P68B1DB1-Normal9"/>
              <w:spacing w:after="0" w:line="240" w:lineRule="auto"/>
              <w:jc w:val="center"/>
              <w:rPr>
                <w:noProof/>
              </w:rPr>
            </w:pPr>
            <w:r>
              <w:rPr>
                <w:noProof/>
              </w:rPr>
              <w:t>Numéro</w:t>
            </w:r>
          </w:p>
        </w:tc>
        <w:tc>
          <w:tcPr>
            <w:tcW w:w="992" w:type="dxa"/>
            <w:tcBorders>
              <w:top w:val="nil"/>
              <w:left w:val="nil"/>
              <w:bottom w:val="single" w:sz="4" w:space="0" w:color="auto"/>
              <w:right w:val="single" w:sz="4" w:space="0" w:color="auto"/>
            </w:tcBorders>
            <w:shd w:val="clear" w:color="auto" w:fill="C6EFCE"/>
            <w:noWrap/>
          </w:tcPr>
          <w:p w14:paraId="3DA15016" w14:textId="77777777"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708A2259" w14:textId="77777777" w:rsidR="003D7F65" w:rsidRDefault="0082041E">
            <w:pPr>
              <w:pStyle w:val="P68B1DB1-Normal8"/>
              <w:spacing w:after="0" w:line="240" w:lineRule="auto"/>
              <w:jc w:val="center"/>
              <w:rPr>
                <w:rFonts w:eastAsia="Times New Roman"/>
                <w:strike/>
                <w:noProof/>
                <w:u w:val="single"/>
              </w:rPr>
            </w:pPr>
            <w:r>
              <w:rPr>
                <w:noProof/>
              </w:rPr>
              <w:t>2 200 000</w:t>
            </w:r>
          </w:p>
        </w:tc>
        <w:tc>
          <w:tcPr>
            <w:tcW w:w="993" w:type="dxa"/>
            <w:tcBorders>
              <w:top w:val="nil"/>
              <w:left w:val="nil"/>
              <w:bottom w:val="single" w:sz="4" w:space="0" w:color="auto"/>
              <w:right w:val="single" w:sz="4" w:space="0" w:color="auto"/>
            </w:tcBorders>
            <w:shd w:val="clear" w:color="auto" w:fill="C6EFCE"/>
            <w:noWrap/>
          </w:tcPr>
          <w:p w14:paraId="7E549FAC" w14:textId="77777777" w:rsidR="003D7F65" w:rsidRDefault="0082041E">
            <w:pPr>
              <w:pStyle w:val="P68B1DB1-Normal9"/>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noWrap/>
          </w:tcPr>
          <w:p w14:paraId="0401FBDC" w14:textId="06D40526" w:rsidR="003D7F65" w:rsidRDefault="0082041E">
            <w:pPr>
              <w:pStyle w:val="P68B1DB1-Normal9"/>
              <w:spacing w:after="0" w:line="240" w:lineRule="auto"/>
              <w:jc w:val="center"/>
              <w:rPr>
                <w:noProof/>
              </w:rPr>
            </w:pPr>
            <w:r>
              <w:rPr>
                <w:noProof/>
              </w:rPr>
              <w:t>2024</w:t>
            </w:r>
          </w:p>
        </w:tc>
        <w:tc>
          <w:tcPr>
            <w:tcW w:w="3832" w:type="dxa"/>
            <w:tcBorders>
              <w:top w:val="nil"/>
              <w:left w:val="nil"/>
              <w:bottom w:val="single" w:sz="4" w:space="0" w:color="auto"/>
              <w:right w:val="single" w:sz="4" w:space="0" w:color="auto"/>
            </w:tcBorders>
            <w:shd w:val="clear" w:color="auto" w:fill="C6EFCE"/>
            <w:noWrap/>
          </w:tcPr>
          <w:p w14:paraId="5B27EC4E" w14:textId="77777777" w:rsidR="003D7F65" w:rsidRDefault="0082041E">
            <w:pPr>
              <w:pStyle w:val="P68B1DB1-Normal8"/>
              <w:spacing w:after="0" w:line="240" w:lineRule="auto"/>
              <w:rPr>
                <w:rFonts w:eastAsia="Times New Roman"/>
                <w:b/>
                <w:noProof/>
              </w:rPr>
            </w:pPr>
            <w:r>
              <w:rPr>
                <w:noProof/>
              </w:rPr>
              <w:t>Le nombre d’entretiens de recherche d’emploi menés par les services publics de l’emploi entre le 1er janvier 2023 et le 30 juin 2024 est d’au moins 2 200 000.</w:t>
            </w:r>
          </w:p>
        </w:tc>
      </w:tr>
      <w:tr w:rsidR="003D7F65" w14:paraId="2F073FC3"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383330D4" w14:textId="77777777" w:rsidR="003D7F65" w:rsidRDefault="0082041E">
            <w:pPr>
              <w:pStyle w:val="P68B1DB1-Normal9"/>
              <w:spacing w:after="0" w:line="240" w:lineRule="auto"/>
              <w:jc w:val="center"/>
              <w:rPr>
                <w:noProof/>
                <w:u w:val="single"/>
              </w:rPr>
            </w:pPr>
            <w:r>
              <w:rPr>
                <w:noProof/>
              </w:rPr>
              <w:t>79</w:t>
            </w:r>
          </w:p>
        </w:tc>
        <w:tc>
          <w:tcPr>
            <w:tcW w:w="1669" w:type="dxa"/>
            <w:tcBorders>
              <w:top w:val="nil"/>
              <w:left w:val="nil"/>
              <w:bottom w:val="single" w:sz="4" w:space="0" w:color="auto"/>
              <w:right w:val="single" w:sz="4" w:space="0" w:color="auto"/>
            </w:tcBorders>
            <w:shd w:val="clear" w:color="auto" w:fill="C6EFCE"/>
            <w:noWrap/>
          </w:tcPr>
          <w:p w14:paraId="1EE5100E" w14:textId="77777777" w:rsidR="003D7F65" w:rsidRDefault="0082041E">
            <w:pPr>
              <w:pStyle w:val="P68B1DB1-Normal9"/>
              <w:spacing w:after="0" w:line="240" w:lineRule="auto"/>
              <w:rPr>
                <w:noProof/>
              </w:rPr>
            </w:pPr>
            <w:r>
              <w:rPr>
                <w:noProof/>
              </w:rPr>
              <w:t>P3C1R1 – Emploi et marché du travail – Modèle nordique de services de l’emploi</w:t>
            </w:r>
          </w:p>
        </w:tc>
        <w:tc>
          <w:tcPr>
            <w:tcW w:w="1024" w:type="dxa"/>
            <w:tcBorders>
              <w:top w:val="nil"/>
              <w:left w:val="nil"/>
              <w:bottom w:val="single" w:sz="4" w:space="0" w:color="auto"/>
              <w:right w:val="single" w:sz="4" w:space="0" w:color="auto"/>
            </w:tcBorders>
            <w:shd w:val="clear" w:color="auto" w:fill="C6EFCE"/>
            <w:noWrap/>
          </w:tcPr>
          <w:p w14:paraId="54A5B729" w14:textId="77777777" w:rsidR="003D7F65" w:rsidRDefault="0082041E">
            <w:pPr>
              <w:pStyle w:val="P68B1DB1-Normal9"/>
              <w:spacing w:after="0" w:line="240" w:lineRule="auto"/>
              <w:rPr>
                <w:noProof/>
              </w:rPr>
            </w:pPr>
            <w:r>
              <w:rPr>
                <w:noProof/>
              </w:rPr>
              <w:t>Étape</w:t>
            </w:r>
          </w:p>
        </w:tc>
        <w:tc>
          <w:tcPr>
            <w:tcW w:w="1676" w:type="dxa"/>
            <w:tcBorders>
              <w:top w:val="nil"/>
              <w:left w:val="nil"/>
              <w:bottom w:val="single" w:sz="4" w:space="0" w:color="auto"/>
              <w:right w:val="single" w:sz="4" w:space="0" w:color="auto"/>
            </w:tcBorders>
            <w:shd w:val="clear" w:color="auto" w:fill="C6EFCE"/>
            <w:noWrap/>
          </w:tcPr>
          <w:p w14:paraId="74708412" w14:textId="77777777" w:rsidR="003D7F65" w:rsidRDefault="0082041E">
            <w:pPr>
              <w:pStyle w:val="P68B1DB1-Normal9"/>
              <w:spacing w:after="0" w:line="240" w:lineRule="auto"/>
              <w:rPr>
                <w:noProof/>
              </w:rPr>
            </w:pPr>
            <w:r>
              <w:rPr>
                <w:noProof/>
              </w:rPr>
              <w:t>Les cinq fonctionnalités numériques requises par le modèle des services nordiques de l’emploi sont intégrées dans le système d’information des services publics de l’emploi (TE-PSE) et sont opérationnelles.</w:t>
            </w:r>
          </w:p>
        </w:tc>
        <w:tc>
          <w:tcPr>
            <w:tcW w:w="1473" w:type="dxa"/>
            <w:tcBorders>
              <w:top w:val="nil"/>
              <w:left w:val="nil"/>
              <w:bottom w:val="single" w:sz="4" w:space="0" w:color="auto"/>
              <w:right w:val="single" w:sz="4" w:space="0" w:color="auto"/>
            </w:tcBorders>
            <w:shd w:val="clear" w:color="auto" w:fill="C6EFCE"/>
            <w:noWrap/>
          </w:tcPr>
          <w:p w14:paraId="1B87A120" w14:textId="77777777" w:rsidR="003D7F65" w:rsidRDefault="0082041E">
            <w:pPr>
              <w:pStyle w:val="P68B1DB1-Normal9"/>
              <w:spacing w:after="0" w:line="240" w:lineRule="auto"/>
              <w:rPr>
                <w:noProof/>
              </w:rPr>
            </w:pPr>
            <w:r>
              <w:rPr>
                <w:noProof/>
              </w:rPr>
              <w:t>Fonctionnalités numériques intégrées dans le système d’information des services publics de l’emploi (SPE-TE) et opérationnelles</w:t>
            </w:r>
          </w:p>
        </w:tc>
        <w:tc>
          <w:tcPr>
            <w:tcW w:w="1104" w:type="dxa"/>
            <w:tcBorders>
              <w:top w:val="nil"/>
              <w:left w:val="nil"/>
              <w:bottom w:val="single" w:sz="4" w:space="0" w:color="auto"/>
              <w:right w:val="single" w:sz="4" w:space="0" w:color="auto"/>
            </w:tcBorders>
            <w:shd w:val="clear" w:color="auto" w:fill="C6EFCE"/>
            <w:noWrap/>
          </w:tcPr>
          <w:p w14:paraId="3D3D0265"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6891B840" w14:textId="77777777"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39566E1B" w14:textId="77777777" w:rsidR="003D7F65" w:rsidRDefault="003D7F65">
            <w:pPr>
              <w:spacing w:after="0" w:line="240" w:lineRule="auto"/>
              <w:jc w:val="center"/>
              <w:rPr>
                <w:rFonts w:ascii="Times New Roman" w:eastAsia="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3CAC924"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559340EB" w14:textId="77777777" w:rsidR="003D7F65" w:rsidRDefault="0082041E">
            <w:pPr>
              <w:pStyle w:val="P68B1DB1-Normal9"/>
              <w:spacing w:after="0" w:line="240" w:lineRule="auto"/>
              <w:jc w:val="center"/>
              <w:rPr>
                <w:noProof/>
              </w:rPr>
            </w:pPr>
            <w:r>
              <w:rPr>
                <w:noProof/>
              </w:rPr>
              <w:t>2023</w:t>
            </w:r>
          </w:p>
        </w:tc>
        <w:tc>
          <w:tcPr>
            <w:tcW w:w="3832" w:type="dxa"/>
            <w:tcBorders>
              <w:top w:val="nil"/>
              <w:left w:val="nil"/>
              <w:bottom w:val="single" w:sz="4" w:space="0" w:color="auto"/>
              <w:right w:val="single" w:sz="4" w:space="0" w:color="auto"/>
            </w:tcBorders>
            <w:shd w:val="clear" w:color="auto" w:fill="C6EFCE"/>
            <w:noWrap/>
          </w:tcPr>
          <w:p w14:paraId="0D2E6538" w14:textId="77777777" w:rsidR="003D7F65" w:rsidRDefault="0082041E">
            <w:pPr>
              <w:pStyle w:val="P68B1DB1-Normal9"/>
              <w:spacing w:after="0" w:line="240" w:lineRule="auto"/>
              <w:rPr>
                <w:noProof/>
              </w:rPr>
            </w:pPr>
            <w:r>
              <w:rPr>
                <w:noProof/>
              </w:rPr>
              <w:t>Les cinq fonctionnalités de l’infrastructure numérique sont développées et intégrées dans le système d’information des services publics de l’emploi (SPE-TE) et sont pleinement opérationnelles pour permettre la mise en œuvre du modèle des services nordiques de l’emploi. Les cinq fonctionnalités concernées sont les suivantes:</w:t>
            </w:r>
          </w:p>
          <w:p w14:paraId="47EDD3C2" w14:textId="77777777" w:rsidR="003D7F65" w:rsidRDefault="0082041E">
            <w:pPr>
              <w:pStyle w:val="P68B1DB1-ListParagraph16"/>
              <w:numPr>
                <w:ilvl w:val="0"/>
                <w:numId w:val="25"/>
              </w:numPr>
              <w:spacing w:after="0" w:line="240" w:lineRule="auto"/>
              <w:rPr>
                <w:noProof/>
              </w:rPr>
            </w:pPr>
            <w:r>
              <w:rPr>
                <w:noProof/>
              </w:rPr>
              <w:t>élargir les outils d'évaluation des besoins en matière de service à la clientèle;</w:t>
            </w:r>
          </w:p>
          <w:p w14:paraId="09E19F15" w14:textId="77777777" w:rsidR="003D7F65" w:rsidRDefault="0082041E">
            <w:pPr>
              <w:pStyle w:val="P68B1DB1-ListParagraph16"/>
              <w:numPr>
                <w:ilvl w:val="0"/>
                <w:numId w:val="25"/>
              </w:numPr>
              <w:spacing w:after="0" w:line="240" w:lineRule="auto"/>
              <w:rPr>
                <w:noProof/>
              </w:rPr>
            </w:pPr>
            <w:r>
              <w:rPr>
                <w:noProof/>
              </w:rPr>
              <w:t>compléter le profil automatique de recherche d'emploi;</w:t>
            </w:r>
          </w:p>
          <w:p w14:paraId="2FA0A7CB" w14:textId="77777777" w:rsidR="003D7F65" w:rsidRDefault="0082041E">
            <w:pPr>
              <w:pStyle w:val="P68B1DB1-ListParagraph16"/>
              <w:numPr>
                <w:ilvl w:val="0"/>
                <w:numId w:val="25"/>
              </w:numPr>
              <w:spacing w:after="0" w:line="240" w:lineRule="auto"/>
              <w:rPr>
                <w:noProof/>
              </w:rPr>
            </w:pPr>
            <w:r>
              <w:rPr>
                <w:noProof/>
              </w:rPr>
              <w:t xml:space="preserve">système d’autodéclaration de la recherche d’emploi pour les demandeurs d’emploi (service de messagerie); </w:t>
            </w:r>
          </w:p>
          <w:p w14:paraId="4151F54E" w14:textId="77777777" w:rsidR="003D7F65" w:rsidRDefault="0082041E">
            <w:pPr>
              <w:pStyle w:val="P68B1DB1-ListParagraph16"/>
              <w:numPr>
                <w:ilvl w:val="0"/>
                <w:numId w:val="25"/>
              </w:numPr>
              <w:spacing w:after="0" w:line="240" w:lineRule="auto"/>
              <w:rPr>
                <w:noProof/>
              </w:rPr>
            </w:pPr>
            <w:r>
              <w:rPr>
                <w:noProof/>
              </w:rPr>
              <w:t>système électronique de rendez-vous pour les entretiens de recherche d’emploi;</w:t>
            </w:r>
          </w:p>
          <w:p w14:paraId="003C9405" w14:textId="77777777" w:rsidR="003D7F65" w:rsidRDefault="0082041E">
            <w:pPr>
              <w:pStyle w:val="P68B1DB1-ListParagraph16"/>
              <w:numPr>
                <w:ilvl w:val="0"/>
                <w:numId w:val="25"/>
              </w:numPr>
              <w:spacing w:after="0" w:line="240" w:lineRule="auto"/>
              <w:rPr>
                <w:noProof/>
              </w:rPr>
            </w:pPr>
            <w:r>
              <w:rPr>
                <w:noProof/>
              </w:rPr>
              <w:t>guidage en ligne des clients.</w:t>
            </w:r>
          </w:p>
        </w:tc>
      </w:tr>
      <w:tr w:rsidR="003D7F65" w14:paraId="3D52EFA0"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425DB4E" w14:textId="77777777" w:rsidR="003D7F65" w:rsidRDefault="0082041E">
            <w:pPr>
              <w:pStyle w:val="P68B1DB1-Normal9"/>
              <w:spacing w:after="0" w:line="240" w:lineRule="auto"/>
              <w:jc w:val="center"/>
              <w:rPr>
                <w:noProof/>
                <w:u w:val="single"/>
              </w:rPr>
            </w:pPr>
            <w:r>
              <w:rPr>
                <w:noProof/>
              </w:rPr>
              <w:t>80</w:t>
            </w:r>
          </w:p>
        </w:tc>
        <w:tc>
          <w:tcPr>
            <w:tcW w:w="1669" w:type="dxa"/>
            <w:tcBorders>
              <w:top w:val="nil"/>
              <w:left w:val="nil"/>
              <w:bottom w:val="single" w:sz="4" w:space="0" w:color="auto"/>
              <w:right w:val="single" w:sz="4" w:space="0" w:color="auto"/>
            </w:tcBorders>
            <w:shd w:val="clear" w:color="auto" w:fill="C6EFCE"/>
            <w:noWrap/>
            <w:hideMark/>
          </w:tcPr>
          <w:p w14:paraId="7B5B21CA" w14:textId="77777777" w:rsidR="003D7F65" w:rsidRDefault="0082041E">
            <w:pPr>
              <w:pStyle w:val="P68B1DB1-Normal9"/>
              <w:spacing w:after="0" w:line="240" w:lineRule="auto"/>
              <w:rPr>
                <w:noProof/>
              </w:rPr>
            </w:pPr>
            <w:r>
              <w:rPr>
                <w:noProof/>
              </w:rPr>
              <w:t> P3C1R2 – Emploi et marché du travail – Suppression des jours supplémentaires d’allocation de chômage</w:t>
            </w:r>
          </w:p>
        </w:tc>
        <w:tc>
          <w:tcPr>
            <w:tcW w:w="1024" w:type="dxa"/>
            <w:tcBorders>
              <w:top w:val="nil"/>
              <w:left w:val="nil"/>
              <w:bottom w:val="single" w:sz="4" w:space="0" w:color="auto"/>
              <w:right w:val="single" w:sz="4" w:space="0" w:color="auto"/>
            </w:tcBorders>
            <w:shd w:val="clear" w:color="auto" w:fill="C6EFCE"/>
            <w:noWrap/>
            <w:hideMark/>
          </w:tcPr>
          <w:p w14:paraId="722C3625" w14:textId="77777777" w:rsidR="003D7F65" w:rsidRDefault="0082041E">
            <w:pPr>
              <w:pStyle w:val="P68B1DB1-Normal9"/>
              <w:spacing w:after="0" w:line="240" w:lineRule="auto"/>
              <w:rPr>
                <w:noProof/>
              </w:rPr>
            </w:pPr>
            <w:r>
              <w:rPr>
                <w:noProof/>
              </w:rPr>
              <w:t>Étape</w:t>
            </w:r>
          </w:p>
        </w:tc>
        <w:tc>
          <w:tcPr>
            <w:tcW w:w="1676" w:type="dxa"/>
            <w:tcBorders>
              <w:top w:val="nil"/>
              <w:left w:val="nil"/>
              <w:bottom w:val="single" w:sz="4" w:space="0" w:color="auto"/>
              <w:right w:val="single" w:sz="4" w:space="0" w:color="auto"/>
            </w:tcBorders>
            <w:shd w:val="clear" w:color="auto" w:fill="C6EFCE"/>
            <w:noWrap/>
            <w:hideMark/>
          </w:tcPr>
          <w:p w14:paraId="25261BB6" w14:textId="77777777" w:rsidR="003D7F65" w:rsidRDefault="0082041E">
            <w:pPr>
              <w:pStyle w:val="P68B1DB1-Normal9"/>
              <w:spacing w:after="0" w:line="240" w:lineRule="auto"/>
              <w:rPr>
                <w:noProof/>
              </w:rPr>
            </w:pPr>
            <w:r>
              <w:rPr>
                <w:noProof/>
              </w:rPr>
              <w:t>Entrée en vigueur des modifications législatives apportées à la loi sur la sécurité du chômage concernant la suppression progressive des jours supplémentaires de sécurité du chômage</w:t>
            </w:r>
          </w:p>
        </w:tc>
        <w:tc>
          <w:tcPr>
            <w:tcW w:w="1473" w:type="dxa"/>
            <w:tcBorders>
              <w:top w:val="nil"/>
              <w:left w:val="nil"/>
              <w:bottom w:val="single" w:sz="4" w:space="0" w:color="auto"/>
              <w:right w:val="single" w:sz="4" w:space="0" w:color="auto"/>
            </w:tcBorders>
            <w:shd w:val="clear" w:color="auto" w:fill="C6EFCE"/>
            <w:noWrap/>
            <w:hideMark/>
          </w:tcPr>
          <w:p w14:paraId="597F00A1" w14:textId="0ED63FBA" w:rsidR="003D7F65" w:rsidRDefault="0082041E">
            <w:pPr>
              <w:pStyle w:val="P68B1DB1-Normal9"/>
              <w:spacing w:after="0" w:line="240" w:lineRule="auto"/>
              <w:rPr>
                <w:strike/>
                <w:noProof/>
                <w:u w:val="single"/>
              </w:rPr>
            </w:pPr>
            <w:r>
              <w:rPr>
                <w:noProof/>
              </w:rPr>
              <w:t>Dispositions des amendements à la loi sur la sécurité du chômage indiquant leur entrée en vigueur</w:t>
            </w:r>
          </w:p>
        </w:tc>
        <w:tc>
          <w:tcPr>
            <w:tcW w:w="1104" w:type="dxa"/>
            <w:tcBorders>
              <w:top w:val="nil"/>
              <w:left w:val="nil"/>
              <w:bottom w:val="single" w:sz="4" w:space="0" w:color="auto"/>
              <w:right w:val="single" w:sz="4" w:space="0" w:color="auto"/>
            </w:tcBorders>
            <w:shd w:val="clear" w:color="auto" w:fill="C6EFCE"/>
            <w:noWrap/>
            <w:hideMark/>
          </w:tcPr>
          <w:p w14:paraId="784817FF" w14:textId="3DB2B1BA"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00CD86FB" w14:textId="0B590836"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67BFE9AD" w14:textId="719CB8B6" w:rsidR="003D7F65" w:rsidRDefault="003D7F65">
            <w:pPr>
              <w:spacing w:after="0" w:line="240" w:lineRule="auto"/>
              <w:jc w:val="center"/>
              <w:rPr>
                <w:rFonts w:ascii="Times New Roman" w:eastAsia="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hideMark/>
          </w:tcPr>
          <w:p w14:paraId="48748F47" w14:textId="77777777" w:rsidR="003D7F65" w:rsidRDefault="0082041E">
            <w:pPr>
              <w:pStyle w:val="P68B1DB1-Normal9"/>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noWrap/>
            <w:hideMark/>
          </w:tcPr>
          <w:p w14:paraId="3AA97EA5" w14:textId="77777777" w:rsidR="003D7F65" w:rsidRDefault="0082041E">
            <w:pPr>
              <w:pStyle w:val="P68B1DB1-Normal9"/>
              <w:spacing w:after="0" w:line="240" w:lineRule="auto"/>
              <w:jc w:val="center"/>
              <w:rPr>
                <w:noProof/>
              </w:rPr>
            </w:pPr>
            <w:r>
              <w:rPr>
                <w:noProof/>
              </w:rPr>
              <w:t>2023</w:t>
            </w:r>
          </w:p>
        </w:tc>
        <w:tc>
          <w:tcPr>
            <w:tcW w:w="3832" w:type="dxa"/>
            <w:tcBorders>
              <w:top w:val="nil"/>
              <w:left w:val="nil"/>
              <w:bottom w:val="single" w:sz="4" w:space="0" w:color="auto"/>
              <w:right w:val="single" w:sz="4" w:space="0" w:color="auto"/>
            </w:tcBorders>
            <w:shd w:val="clear" w:color="auto" w:fill="C6EFCE"/>
            <w:noWrap/>
            <w:hideMark/>
          </w:tcPr>
          <w:p w14:paraId="136C5058" w14:textId="77777777" w:rsidR="003D7F65" w:rsidRDefault="0082041E">
            <w:pPr>
              <w:pStyle w:val="P68B1DB1-Normal9"/>
              <w:spacing w:after="120" w:line="240" w:lineRule="auto"/>
              <w:rPr>
                <w:noProof/>
              </w:rPr>
            </w:pPr>
            <w:r>
              <w:rPr>
                <w:noProof/>
              </w:rPr>
              <w:t>Entrée en vigueur des modifications apportées à la loi sur la sécurité du chômage. Les modifications législatives comprennent la suppression progressive des jours supplémentaires de sécurité du chômage afin que l'âge minimum des jours supplémentaires augmente d'un an par groupe d'âge à partir de la naissance de 1963 et que la possibilité d'un jour supplémentaire soit complètement supprimée pour les personnes nées en 1965 et par la suite.</w:t>
            </w:r>
          </w:p>
        </w:tc>
      </w:tr>
      <w:tr w:rsidR="003D7F65" w14:paraId="538023C2"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31BF94AF" w14:textId="77777777" w:rsidR="003D7F65" w:rsidRDefault="0082041E">
            <w:pPr>
              <w:pStyle w:val="P68B1DB1-Normal9"/>
              <w:spacing w:after="0" w:line="240" w:lineRule="auto"/>
              <w:jc w:val="center"/>
              <w:rPr>
                <w:noProof/>
              </w:rPr>
            </w:pPr>
            <w:r>
              <w:rPr>
                <w:noProof/>
              </w:rPr>
              <w:t>81</w:t>
            </w:r>
          </w:p>
        </w:tc>
        <w:tc>
          <w:tcPr>
            <w:tcW w:w="1669" w:type="dxa"/>
            <w:tcBorders>
              <w:top w:val="nil"/>
              <w:left w:val="nil"/>
              <w:bottom w:val="single" w:sz="4" w:space="0" w:color="auto"/>
              <w:right w:val="single" w:sz="4" w:space="0" w:color="auto"/>
            </w:tcBorders>
            <w:shd w:val="clear" w:color="auto" w:fill="C6EFCE"/>
            <w:noWrap/>
          </w:tcPr>
          <w:p w14:paraId="1DB7C2F6" w14:textId="77777777" w:rsidR="003D7F65" w:rsidRDefault="0082041E">
            <w:pPr>
              <w:pStyle w:val="P68B1DB1-Normal9"/>
              <w:spacing w:after="0" w:line="240" w:lineRule="auto"/>
              <w:rPr>
                <w:noProof/>
              </w:rPr>
            </w:pPr>
            <w:r>
              <w:rPr>
                <w:noProof/>
              </w:rPr>
              <w:t>P3C1R3 – Emploi et marché du travail – Rationalisation du processus d’immigration fondé sur le travail et l’éducation</w:t>
            </w:r>
          </w:p>
        </w:tc>
        <w:tc>
          <w:tcPr>
            <w:tcW w:w="1024" w:type="dxa"/>
            <w:tcBorders>
              <w:top w:val="nil"/>
              <w:left w:val="nil"/>
              <w:bottom w:val="single" w:sz="4" w:space="0" w:color="auto"/>
              <w:right w:val="single" w:sz="4" w:space="0" w:color="auto"/>
            </w:tcBorders>
            <w:shd w:val="clear" w:color="auto" w:fill="C6EFCE"/>
            <w:noWrap/>
          </w:tcPr>
          <w:p w14:paraId="2DBF127D" w14:textId="77777777" w:rsidR="003D7F65" w:rsidRDefault="0082041E">
            <w:pPr>
              <w:pStyle w:val="P68B1DB1-Normal9"/>
              <w:spacing w:after="0" w:line="240" w:lineRule="auto"/>
              <w:rPr>
                <w:noProof/>
              </w:rPr>
            </w:pPr>
            <w:r>
              <w:rPr>
                <w:noProof/>
              </w:rPr>
              <w:t>Étape</w:t>
            </w:r>
          </w:p>
        </w:tc>
        <w:tc>
          <w:tcPr>
            <w:tcW w:w="1676" w:type="dxa"/>
            <w:tcBorders>
              <w:top w:val="nil"/>
              <w:left w:val="nil"/>
              <w:bottom w:val="single" w:sz="4" w:space="0" w:color="auto"/>
              <w:right w:val="single" w:sz="4" w:space="0" w:color="auto"/>
            </w:tcBorders>
            <w:shd w:val="clear" w:color="auto" w:fill="C6EFCE"/>
            <w:noWrap/>
          </w:tcPr>
          <w:p w14:paraId="0B0BB952" w14:textId="7F18A423" w:rsidR="003D7F65" w:rsidRDefault="0082041E">
            <w:pPr>
              <w:pStyle w:val="P68B1DB1-Normal9"/>
              <w:spacing w:after="0" w:line="240" w:lineRule="auto"/>
              <w:rPr>
                <w:noProof/>
              </w:rPr>
            </w:pPr>
            <w:r>
              <w:rPr>
                <w:noProof/>
              </w:rPr>
              <w:t>Entrée en vigueur des modifications législatives apportées à la loi concernant les étudiants, les chercheurs et les stagiaires (719/2018)</w:t>
            </w:r>
          </w:p>
        </w:tc>
        <w:tc>
          <w:tcPr>
            <w:tcW w:w="1473" w:type="dxa"/>
            <w:tcBorders>
              <w:top w:val="nil"/>
              <w:left w:val="nil"/>
              <w:bottom w:val="single" w:sz="4" w:space="0" w:color="auto"/>
              <w:right w:val="single" w:sz="4" w:space="0" w:color="auto"/>
            </w:tcBorders>
            <w:shd w:val="clear" w:color="auto" w:fill="C6EFCE"/>
            <w:noWrap/>
          </w:tcPr>
          <w:p w14:paraId="5BD12680" w14:textId="77777777" w:rsidR="003D7F65" w:rsidRDefault="0082041E">
            <w:pPr>
              <w:pStyle w:val="P68B1DB1-Normal9"/>
              <w:spacing w:after="0" w:line="240" w:lineRule="auto"/>
              <w:rPr>
                <w:noProof/>
              </w:rPr>
            </w:pPr>
            <w:r>
              <w:rPr>
                <w:noProof/>
              </w:rPr>
              <w:t>Dispositions des modifications de la loi no 719/2018 relatives aux étudiants, aux chercheurs et aux stagiaires, indiquant leur entrée en vigueur</w:t>
            </w:r>
          </w:p>
        </w:tc>
        <w:tc>
          <w:tcPr>
            <w:tcW w:w="1104" w:type="dxa"/>
            <w:tcBorders>
              <w:top w:val="nil"/>
              <w:left w:val="nil"/>
              <w:bottom w:val="single" w:sz="4" w:space="0" w:color="auto"/>
              <w:right w:val="single" w:sz="4" w:space="0" w:color="auto"/>
            </w:tcBorders>
            <w:shd w:val="clear" w:color="auto" w:fill="C6EFCE"/>
            <w:noWrap/>
          </w:tcPr>
          <w:p w14:paraId="01BEE0AF"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12BE476F" w14:textId="77777777"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28C72719" w14:textId="77777777" w:rsidR="003D7F65" w:rsidRDefault="003D7F65">
            <w:pPr>
              <w:spacing w:after="0" w:line="240" w:lineRule="auto"/>
              <w:jc w:val="center"/>
              <w:rPr>
                <w:rFonts w:ascii="Times New Roman" w:eastAsia="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B33B648" w14:textId="77777777" w:rsidR="003D7F65" w:rsidRDefault="0082041E">
            <w:pPr>
              <w:pStyle w:val="P68B1DB1-Normal9"/>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noWrap/>
          </w:tcPr>
          <w:p w14:paraId="09E4DDF2" w14:textId="77777777" w:rsidR="003D7F65" w:rsidRDefault="0082041E">
            <w:pPr>
              <w:pStyle w:val="P68B1DB1-Normal9"/>
              <w:spacing w:after="0" w:line="240" w:lineRule="auto"/>
              <w:jc w:val="center"/>
              <w:rPr>
                <w:noProof/>
              </w:rPr>
            </w:pPr>
            <w:r>
              <w:rPr>
                <w:noProof/>
              </w:rPr>
              <w:t>2022</w:t>
            </w:r>
          </w:p>
        </w:tc>
        <w:tc>
          <w:tcPr>
            <w:tcW w:w="3832" w:type="dxa"/>
            <w:tcBorders>
              <w:top w:val="nil"/>
              <w:left w:val="nil"/>
              <w:bottom w:val="single" w:sz="4" w:space="0" w:color="auto"/>
              <w:right w:val="single" w:sz="4" w:space="0" w:color="auto"/>
            </w:tcBorders>
            <w:shd w:val="clear" w:color="auto" w:fill="C6EFCE"/>
            <w:noWrap/>
          </w:tcPr>
          <w:p w14:paraId="2C235512" w14:textId="77777777" w:rsidR="003D7F65" w:rsidRDefault="0082041E">
            <w:pPr>
              <w:pStyle w:val="P68B1DB1-Normal9"/>
              <w:spacing w:after="0" w:line="240" w:lineRule="auto"/>
              <w:rPr>
                <w:noProof/>
              </w:rPr>
            </w:pPr>
            <w:r>
              <w:rPr>
                <w:noProof/>
              </w:rPr>
              <w:t>Entrée en vigueur d’une modification législative concernant les étudiants, les chercheurs et les stagiaires (719/2018).</w:t>
            </w:r>
          </w:p>
          <w:p w14:paraId="62836A4E" w14:textId="77777777" w:rsidR="003D7F65" w:rsidRDefault="0082041E">
            <w:pPr>
              <w:pStyle w:val="P68B1DB1-Normal9"/>
              <w:spacing w:after="0" w:line="240" w:lineRule="auto"/>
              <w:rPr>
                <w:noProof/>
              </w:rPr>
            </w:pPr>
            <w:r>
              <w:rPr>
                <w:noProof/>
              </w:rPr>
              <w:t>La modification comprend au moins les éléments suivants:</w:t>
            </w:r>
          </w:p>
          <w:p w14:paraId="66921936" w14:textId="77777777" w:rsidR="003D7F65" w:rsidRDefault="0082041E">
            <w:pPr>
              <w:pStyle w:val="P68B1DB1-ListParagraph16"/>
              <w:numPr>
                <w:ilvl w:val="0"/>
                <w:numId w:val="25"/>
              </w:numPr>
              <w:spacing w:after="0" w:line="240" w:lineRule="auto"/>
              <w:rPr>
                <w:noProof/>
              </w:rPr>
            </w:pPr>
            <w:r>
              <w:rPr>
                <w:noProof/>
              </w:rPr>
              <w:t xml:space="preserve">le changement du type de titre de séjour pour les études supérieures conduisant à un diplôme de temporaire (B) à continu (A). Il en résultera la possibilité d'accorder plus rapidement un titre de séjour permanent; </w:t>
            </w:r>
          </w:p>
          <w:p w14:paraId="0DDE1585" w14:textId="77777777" w:rsidR="003D7F65" w:rsidRDefault="0082041E">
            <w:pPr>
              <w:pStyle w:val="P68B1DB1-ListParagraph16"/>
              <w:numPr>
                <w:ilvl w:val="0"/>
                <w:numId w:val="25"/>
              </w:numPr>
              <w:spacing w:after="0" w:line="240" w:lineRule="auto"/>
              <w:rPr>
                <w:noProof/>
              </w:rPr>
            </w:pPr>
            <w:r>
              <w:rPr>
                <w:noProof/>
              </w:rPr>
              <w:t>prolonger la durée d’un titre de séjour fondé sur des études d’un an pour couvrir toute la durée des études lorsque ces études débouchent sur un diplôme;</w:t>
            </w:r>
          </w:p>
          <w:p w14:paraId="1BEC4E2F" w14:textId="77777777" w:rsidR="003D7F65" w:rsidRDefault="0082041E">
            <w:pPr>
              <w:pStyle w:val="P68B1DB1-ListParagraph16"/>
              <w:numPr>
                <w:ilvl w:val="0"/>
                <w:numId w:val="25"/>
              </w:numPr>
              <w:spacing w:after="0" w:line="240" w:lineRule="auto"/>
              <w:rPr>
                <w:noProof/>
              </w:rPr>
            </w:pPr>
            <w:r>
              <w:rPr>
                <w:noProof/>
              </w:rPr>
              <w:t>centraliser et clarifier le règlement relatif au droit au travail.</w:t>
            </w:r>
          </w:p>
        </w:tc>
      </w:tr>
      <w:tr w:rsidR="003D7F65" w14:paraId="78D52CA6"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5E8BCA3" w14:textId="77777777" w:rsidR="003D7F65" w:rsidRDefault="0082041E">
            <w:pPr>
              <w:pStyle w:val="P68B1DB1-Normal9"/>
              <w:spacing w:after="0" w:line="240" w:lineRule="auto"/>
              <w:jc w:val="center"/>
              <w:rPr>
                <w:noProof/>
                <w:u w:val="single"/>
              </w:rPr>
            </w:pPr>
            <w:r>
              <w:rPr>
                <w:noProof/>
              </w:rPr>
              <w:t>82</w:t>
            </w:r>
          </w:p>
        </w:tc>
        <w:tc>
          <w:tcPr>
            <w:tcW w:w="1669" w:type="dxa"/>
            <w:tcBorders>
              <w:top w:val="nil"/>
              <w:left w:val="nil"/>
              <w:bottom w:val="single" w:sz="4" w:space="0" w:color="auto"/>
              <w:right w:val="single" w:sz="4" w:space="0" w:color="auto"/>
            </w:tcBorders>
            <w:shd w:val="clear" w:color="auto" w:fill="C6EFCE"/>
            <w:noWrap/>
            <w:hideMark/>
          </w:tcPr>
          <w:p w14:paraId="7C99C062" w14:textId="77777777" w:rsidR="003D7F65" w:rsidRDefault="0082041E">
            <w:pPr>
              <w:pStyle w:val="P68B1DB1-Normal9"/>
              <w:spacing w:after="0" w:line="240" w:lineRule="auto"/>
              <w:rPr>
                <w:noProof/>
              </w:rPr>
            </w:pPr>
            <w:r>
              <w:rPr>
                <w:noProof/>
              </w:rPr>
              <w:t> P3C1R3 – Emploi et marché du travail – Rationalisation du processus d’immigration fondé sur le travail et l’éducation</w:t>
            </w:r>
          </w:p>
        </w:tc>
        <w:tc>
          <w:tcPr>
            <w:tcW w:w="1024" w:type="dxa"/>
            <w:tcBorders>
              <w:top w:val="nil"/>
              <w:left w:val="nil"/>
              <w:bottom w:val="single" w:sz="4" w:space="0" w:color="auto"/>
              <w:right w:val="single" w:sz="4" w:space="0" w:color="auto"/>
            </w:tcBorders>
            <w:shd w:val="clear" w:color="auto" w:fill="C6EFCE"/>
            <w:noWrap/>
            <w:hideMark/>
          </w:tcPr>
          <w:p w14:paraId="31766384" w14:textId="77777777" w:rsidR="003D7F65" w:rsidRDefault="0082041E">
            <w:pPr>
              <w:pStyle w:val="P68B1DB1-Normal9"/>
              <w:spacing w:after="0" w:line="240" w:lineRule="auto"/>
              <w:rPr>
                <w:noProof/>
              </w:rPr>
            </w:pPr>
            <w:r>
              <w:rPr>
                <w:noProof/>
              </w:rPr>
              <w:t>Étape</w:t>
            </w:r>
          </w:p>
        </w:tc>
        <w:tc>
          <w:tcPr>
            <w:tcW w:w="1676" w:type="dxa"/>
            <w:tcBorders>
              <w:top w:val="nil"/>
              <w:left w:val="nil"/>
              <w:bottom w:val="single" w:sz="4" w:space="0" w:color="auto"/>
              <w:right w:val="single" w:sz="4" w:space="0" w:color="auto"/>
            </w:tcBorders>
            <w:shd w:val="clear" w:color="auto" w:fill="C6EFCE"/>
            <w:noWrap/>
            <w:hideMark/>
          </w:tcPr>
          <w:p w14:paraId="25D498CB" w14:textId="77777777" w:rsidR="003D7F65" w:rsidRDefault="0082041E">
            <w:pPr>
              <w:pStyle w:val="P68B1DB1-Normal9"/>
              <w:spacing w:after="0" w:line="240" w:lineRule="auto"/>
              <w:rPr>
                <w:noProof/>
              </w:rPr>
            </w:pPr>
            <w:r>
              <w:rPr>
                <w:noProof/>
              </w:rPr>
              <w:t>Entrée en vigueur des modifications législatives apportées à la loi sur les étrangers (301/2004)</w:t>
            </w:r>
          </w:p>
        </w:tc>
        <w:tc>
          <w:tcPr>
            <w:tcW w:w="1473" w:type="dxa"/>
            <w:tcBorders>
              <w:top w:val="nil"/>
              <w:left w:val="nil"/>
              <w:bottom w:val="single" w:sz="4" w:space="0" w:color="auto"/>
              <w:right w:val="single" w:sz="4" w:space="0" w:color="auto"/>
            </w:tcBorders>
            <w:shd w:val="clear" w:color="auto" w:fill="C6EFCE"/>
            <w:noWrap/>
            <w:hideMark/>
          </w:tcPr>
          <w:p w14:paraId="67F6756A" w14:textId="77777777" w:rsidR="003D7F65" w:rsidRDefault="0082041E">
            <w:pPr>
              <w:pStyle w:val="P68B1DB1-Normal9"/>
              <w:spacing w:after="0" w:line="240" w:lineRule="auto"/>
              <w:rPr>
                <w:noProof/>
              </w:rPr>
            </w:pPr>
            <w:r>
              <w:rPr>
                <w:noProof/>
              </w:rPr>
              <w:t>Dispositions des amendements à la loi sur les étrangers indiquant leur entrée en vigueur</w:t>
            </w:r>
          </w:p>
        </w:tc>
        <w:tc>
          <w:tcPr>
            <w:tcW w:w="1104" w:type="dxa"/>
            <w:tcBorders>
              <w:top w:val="nil"/>
              <w:left w:val="nil"/>
              <w:bottom w:val="single" w:sz="4" w:space="0" w:color="auto"/>
              <w:right w:val="single" w:sz="4" w:space="0" w:color="auto"/>
            </w:tcBorders>
            <w:shd w:val="clear" w:color="auto" w:fill="C6EFCE"/>
            <w:noWrap/>
            <w:hideMark/>
          </w:tcPr>
          <w:p w14:paraId="75036342" w14:textId="246707B1"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1E03CF91" w14:textId="1F9EE898"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133EB96E" w14:textId="2E4DDA26" w:rsidR="003D7F65" w:rsidRDefault="003D7F65">
            <w:pPr>
              <w:spacing w:after="0" w:line="240" w:lineRule="auto"/>
              <w:jc w:val="center"/>
              <w:rPr>
                <w:rFonts w:ascii="Times New Roman" w:eastAsia="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hideMark/>
          </w:tcPr>
          <w:p w14:paraId="685C7CF0" w14:textId="77777777" w:rsidR="003D7F65" w:rsidRDefault="0082041E">
            <w:pPr>
              <w:pStyle w:val="P68B1DB1-Normal9"/>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noWrap/>
            <w:hideMark/>
          </w:tcPr>
          <w:p w14:paraId="3F31E412" w14:textId="77777777" w:rsidR="003D7F65" w:rsidRDefault="0082041E">
            <w:pPr>
              <w:pStyle w:val="P68B1DB1-Normal9"/>
              <w:spacing w:after="0" w:line="240" w:lineRule="auto"/>
              <w:jc w:val="center"/>
              <w:rPr>
                <w:noProof/>
              </w:rPr>
            </w:pPr>
            <w:r>
              <w:rPr>
                <w:noProof/>
              </w:rPr>
              <w:t>2023</w:t>
            </w:r>
          </w:p>
        </w:tc>
        <w:tc>
          <w:tcPr>
            <w:tcW w:w="3832" w:type="dxa"/>
            <w:tcBorders>
              <w:top w:val="nil"/>
              <w:left w:val="nil"/>
              <w:bottom w:val="single" w:sz="4" w:space="0" w:color="auto"/>
              <w:right w:val="single" w:sz="4" w:space="0" w:color="auto"/>
            </w:tcBorders>
            <w:shd w:val="clear" w:color="auto" w:fill="C6EFCE"/>
            <w:noWrap/>
            <w:hideMark/>
          </w:tcPr>
          <w:p w14:paraId="78075B0E" w14:textId="77777777" w:rsidR="003D7F65" w:rsidRDefault="0082041E">
            <w:pPr>
              <w:pStyle w:val="P68B1DB1-Normal9"/>
              <w:spacing w:after="0" w:line="240" w:lineRule="auto"/>
              <w:rPr>
                <w:noProof/>
              </w:rPr>
            </w:pPr>
            <w:r>
              <w:rPr>
                <w:noProof/>
              </w:rPr>
              <w:t>La loi sur les étrangers (301/2004) est modifiée dans le but de rationaliser les procédures de délivrance de permis pour l'immigration fondée sur le travail et l'éducation. Les modifications législatives comprennent:</w:t>
            </w:r>
          </w:p>
          <w:p w14:paraId="4D3D2417" w14:textId="77777777" w:rsidR="003D7F65" w:rsidRDefault="0082041E">
            <w:pPr>
              <w:pStyle w:val="P68B1DB1-Normal9"/>
              <w:numPr>
                <w:ilvl w:val="0"/>
                <w:numId w:val="25"/>
              </w:numPr>
              <w:spacing w:after="0" w:line="240" w:lineRule="auto"/>
              <w:rPr>
                <w:noProof/>
              </w:rPr>
            </w:pPr>
            <w:r>
              <w:rPr>
                <w:noProof/>
              </w:rPr>
              <w:t>affiner les responsabilités de l'employeur et du demandeur dans le processus de demande</w:t>
            </w:r>
          </w:p>
          <w:p w14:paraId="3D9E77DF" w14:textId="77777777" w:rsidR="003D7F65" w:rsidRDefault="0082041E">
            <w:pPr>
              <w:pStyle w:val="P68B1DB1-Normal9"/>
              <w:numPr>
                <w:ilvl w:val="0"/>
                <w:numId w:val="25"/>
              </w:numPr>
              <w:spacing w:after="0" w:line="240" w:lineRule="auto"/>
              <w:rPr>
                <w:noProof/>
              </w:rPr>
            </w:pPr>
            <w:r>
              <w:rPr>
                <w:noProof/>
              </w:rPr>
              <w:t>différencier le titre de séjour du spécialiste dans sa propre catégorie avec des conditions révisées pour l’octroi du permis</w:t>
            </w:r>
          </w:p>
          <w:p w14:paraId="036986F9" w14:textId="77777777" w:rsidR="003D7F65" w:rsidRDefault="0082041E">
            <w:pPr>
              <w:pStyle w:val="P68B1DB1-Normal9"/>
              <w:numPr>
                <w:ilvl w:val="0"/>
                <w:numId w:val="25"/>
              </w:numPr>
              <w:spacing w:after="0" w:line="240" w:lineRule="auto"/>
              <w:rPr>
                <w:noProof/>
              </w:rPr>
            </w:pPr>
            <w:r>
              <w:rPr>
                <w:noProof/>
              </w:rPr>
              <w:t>modifications de la réglementation régissant les activités des missions diplomatiques finlandaises à l'étranger et</w:t>
            </w:r>
          </w:p>
          <w:p w14:paraId="026BB396" w14:textId="77777777" w:rsidR="003D7F65" w:rsidRDefault="0082041E">
            <w:pPr>
              <w:pStyle w:val="P68B1DB1-Normal9"/>
              <w:numPr>
                <w:ilvl w:val="0"/>
                <w:numId w:val="25"/>
              </w:numPr>
              <w:spacing w:after="0" w:line="240" w:lineRule="auto"/>
              <w:rPr>
                <w:noProof/>
              </w:rPr>
            </w:pPr>
            <w:r>
              <w:rPr>
                <w:noProof/>
              </w:rPr>
              <w:t>révision des conditions de délivrance des titres de séjour.</w:t>
            </w:r>
          </w:p>
        </w:tc>
      </w:tr>
      <w:tr w:rsidR="003D7F65" w14:paraId="5E794367"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251ECE20" w14:textId="77777777" w:rsidR="003D7F65" w:rsidRDefault="0082041E">
            <w:pPr>
              <w:pStyle w:val="P68B1DB1-Normal9"/>
              <w:spacing w:after="0" w:line="240" w:lineRule="auto"/>
              <w:jc w:val="center"/>
              <w:rPr>
                <w:noProof/>
              </w:rPr>
            </w:pPr>
            <w:r>
              <w:rPr>
                <w:noProof/>
              </w:rPr>
              <w:t>83</w:t>
            </w:r>
          </w:p>
        </w:tc>
        <w:tc>
          <w:tcPr>
            <w:tcW w:w="1669" w:type="dxa"/>
            <w:tcBorders>
              <w:top w:val="nil"/>
              <w:left w:val="nil"/>
              <w:bottom w:val="single" w:sz="4" w:space="0" w:color="auto"/>
              <w:right w:val="single" w:sz="4" w:space="0" w:color="auto"/>
            </w:tcBorders>
            <w:shd w:val="clear" w:color="auto" w:fill="C6EFCE"/>
            <w:noWrap/>
          </w:tcPr>
          <w:p w14:paraId="29D668BC" w14:textId="77777777" w:rsidR="003D7F65" w:rsidRDefault="0082041E">
            <w:pPr>
              <w:pStyle w:val="P68B1DB1-Normal9"/>
              <w:spacing w:after="0" w:line="240" w:lineRule="auto"/>
              <w:rPr>
                <w:noProof/>
              </w:rPr>
            </w:pPr>
            <w:r>
              <w:rPr>
                <w:noProof/>
              </w:rPr>
              <w:t>P3C1R3 - Emploi et marché du travail - Rationalisation du processus d'immigration fondé sur le travail et l'éducation</w:t>
            </w:r>
          </w:p>
        </w:tc>
        <w:tc>
          <w:tcPr>
            <w:tcW w:w="1024" w:type="dxa"/>
            <w:tcBorders>
              <w:top w:val="single" w:sz="4" w:space="0" w:color="auto"/>
              <w:left w:val="nil"/>
              <w:bottom w:val="single" w:sz="4" w:space="0" w:color="auto"/>
              <w:right w:val="single" w:sz="4" w:space="0" w:color="auto"/>
            </w:tcBorders>
            <w:shd w:val="clear" w:color="auto" w:fill="C6EFCE"/>
            <w:noWrap/>
          </w:tcPr>
          <w:p w14:paraId="4867EFA4" w14:textId="4C576988" w:rsidR="003D7F65" w:rsidRDefault="0082041E">
            <w:pPr>
              <w:pStyle w:val="P68B1DB1-Normal9"/>
              <w:spacing w:after="0" w:line="240" w:lineRule="auto"/>
              <w:rPr>
                <w:noProof/>
              </w:rPr>
            </w:pPr>
            <w:r>
              <w:rPr>
                <w:noProof/>
              </w:rPr>
              <w:t>Étape</w:t>
            </w:r>
          </w:p>
        </w:tc>
        <w:tc>
          <w:tcPr>
            <w:tcW w:w="1676" w:type="dxa"/>
            <w:tcBorders>
              <w:top w:val="nil"/>
              <w:left w:val="nil"/>
              <w:bottom w:val="single" w:sz="4" w:space="0" w:color="auto"/>
              <w:right w:val="single" w:sz="4" w:space="0" w:color="auto"/>
            </w:tcBorders>
            <w:shd w:val="clear" w:color="auto" w:fill="C6EFCE"/>
            <w:noWrap/>
          </w:tcPr>
          <w:p w14:paraId="56614A3B" w14:textId="77777777" w:rsidR="003D7F65" w:rsidRDefault="0082041E">
            <w:pPr>
              <w:pStyle w:val="P68B1DB1-Normal9"/>
              <w:spacing w:after="0" w:line="240" w:lineRule="auto"/>
              <w:rPr>
                <w:noProof/>
              </w:rPr>
            </w:pPr>
            <w:r>
              <w:rPr>
                <w:noProof/>
              </w:rPr>
              <w:t>Mettre en place un processus accéléré pour les spécialistes, les entrepreneurs de croissance et les membres de leur famille qui les accompagnent</w:t>
            </w:r>
          </w:p>
        </w:tc>
        <w:tc>
          <w:tcPr>
            <w:tcW w:w="1473" w:type="dxa"/>
            <w:tcBorders>
              <w:top w:val="single" w:sz="4" w:space="0" w:color="auto"/>
              <w:left w:val="nil"/>
              <w:bottom w:val="single" w:sz="4" w:space="0" w:color="auto"/>
              <w:right w:val="single" w:sz="4" w:space="0" w:color="auto"/>
            </w:tcBorders>
            <w:shd w:val="clear" w:color="auto" w:fill="C6EFCE"/>
            <w:noWrap/>
          </w:tcPr>
          <w:p w14:paraId="6D69A999" w14:textId="77777777" w:rsidR="003D7F65" w:rsidRDefault="0082041E">
            <w:pPr>
              <w:pStyle w:val="P68B1DB1-Normal9"/>
              <w:spacing w:after="0"/>
              <w:rPr>
                <w:noProof/>
              </w:rPr>
            </w:pPr>
            <w:r>
              <w:rPr>
                <w:noProof/>
              </w:rPr>
              <w:t>La mise en œuvre d'une procédure accélérée de permis de séjour pour les spécialistes, les entrepreneurs de croissance et les membres de leur famille qui les accompagnent.</w:t>
            </w:r>
          </w:p>
        </w:tc>
        <w:tc>
          <w:tcPr>
            <w:tcW w:w="1104" w:type="dxa"/>
            <w:tcBorders>
              <w:top w:val="nil"/>
              <w:left w:val="nil"/>
              <w:bottom w:val="single" w:sz="4" w:space="0" w:color="auto"/>
              <w:right w:val="single" w:sz="4" w:space="0" w:color="auto"/>
            </w:tcBorders>
            <w:shd w:val="clear" w:color="auto" w:fill="C6EFCE"/>
            <w:noWrap/>
          </w:tcPr>
          <w:p w14:paraId="099C4F91"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4CA52040" w14:textId="77777777"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75D32864" w14:textId="77777777" w:rsidR="003D7F65" w:rsidRDefault="003D7F65">
            <w:pPr>
              <w:spacing w:after="0" w:line="240" w:lineRule="auto"/>
              <w:jc w:val="center"/>
              <w:rPr>
                <w:rFonts w:ascii="Times New Roman" w:eastAsia="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0C168CF"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56DE9701" w14:textId="77777777" w:rsidR="003D7F65" w:rsidRDefault="0082041E">
            <w:pPr>
              <w:pStyle w:val="P68B1DB1-Normal9"/>
              <w:spacing w:after="0" w:line="240" w:lineRule="auto"/>
              <w:jc w:val="center"/>
              <w:rPr>
                <w:noProof/>
              </w:rPr>
            </w:pPr>
            <w:r>
              <w:rPr>
                <w:noProof/>
              </w:rPr>
              <w:t>2022</w:t>
            </w:r>
          </w:p>
        </w:tc>
        <w:tc>
          <w:tcPr>
            <w:tcW w:w="3832" w:type="dxa"/>
            <w:tcBorders>
              <w:top w:val="single" w:sz="4" w:space="0" w:color="auto"/>
              <w:left w:val="nil"/>
              <w:bottom w:val="single" w:sz="4" w:space="0" w:color="auto"/>
              <w:right w:val="single" w:sz="4" w:space="0" w:color="auto"/>
            </w:tcBorders>
            <w:shd w:val="clear" w:color="auto" w:fill="C6EFCE"/>
            <w:noWrap/>
          </w:tcPr>
          <w:p w14:paraId="3453D7FB" w14:textId="45447B7E" w:rsidR="003D7F65" w:rsidRDefault="0082041E">
            <w:pPr>
              <w:pStyle w:val="P68B1DB1-Normal9"/>
              <w:spacing w:after="0" w:line="240" w:lineRule="auto"/>
              <w:rPr>
                <w:noProof/>
              </w:rPr>
            </w:pPr>
            <w:r>
              <w:rPr>
                <w:noProof/>
              </w:rPr>
              <w:t xml:space="preserve">Une procédure accélérée de traitement des titres de séjour est créée et mise en œuvre pour les spécialistes (travaillant dans la direction intermédiaire ou supérieure d’une entreprise ou dans des emplois nécessitant une expertise particulière, et les spécialistes de la carte bleue européenne), les entrepreneurs en croissance et les membres de leur famille qui les accompagnent, dans le cadre de laquelle le groupe cible optant pour la procédure accélérée reçoit un engagement de service comprenant un délai de traitement de 14 jours. L'engagement de service accéléré s'applique aux demandes électroniques qui remplissent les conditions énoncées pour le processus accéléré. </w:t>
            </w:r>
          </w:p>
          <w:p w14:paraId="0F919120" w14:textId="77777777" w:rsidR="003D7F65" w:rsidRDefault="0082041E">
            <w:pPr>
              <w:pStyle w:val="P68B1DB1-Normal9"/>
              <w:spacing w:after="0" w:line="240" w:lineRule="auto"/>
              <w:rPr>
                <w:noProof/>
              </w:rPr>
            </w:pPr>
            <w:r>
              <w:rPr>
                <w:noProof/>
              </w:rPr>
              <w:t>La définition d'un entrepreneur de croissance et d'un spécialiste et les critères d'octroi d'un permis de séjour sont ceux énoncés dans la loi sur les étrangers (301/2004).</w:t>
            </w:r>
          </w:p>
        </w:tc>
      </w:tr>
      <w:tr w:rsidR="003D7F65" w14:paraId="72E62CCE"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D1BAAE5" w14:textId="77777777" w:rsidR="003D7F65" w:rsidRDefault="0082041E">
            <w:pPr>
              <w:pStyle w:val="P68B1DB1-Normal9"/>
              <w:spacing w:after="0" w:line="240" w:lineRule="auto"/>
              <w:jc w:val="center"/>
              <w:rPr>
                <w:noProof/>
                <w:u w:val="single"/>
              </w:rPr>
            </w:pPr>
            <w:r>
              <w:rPr>
                <w:noProof/>
              </w:rPr>
              <w:t>84</w:t>
            </w:r>
          </w:p>
        </w:tc>
        <w:tc>
          <w:tcPr>
            <w:tcW w:w="1669" w:type="dxa"/>
            <w:tcBorders>
              <w:top w:val="nil"/>
              <w:left w:val="nil"/>
              <w:bottom w:val="single" w:sz="4" w:space="0" w:color="auto"/>
              <w:right w:val="single" w:sz="4" w:space="0" w:color="auto"/>
            </w:tcBorders>
            <w:shd w:val="clear" w:color="auto" w:fill="C6EFCE"/>
            <w:noWrap/>
          </w:tcPr>
          <w:p w14:paraId="59780348" w14:textId="77777777" w:rsidR="003D7F65" w:rsidRDefault="0082041E">
            <w:pPr>
              <w:pStyle w:val="P68B1DB1-Normal9"/>
              <w:spacing w:after="0" w:line="240" w:lineRule="auto"/>
              <w:rPr>
                <w:noProof/>
              </w:rPr>
            </w:pPr>
            <w:r>
              <w:rPr>
                <w:noProof/>
              </w:rPr>
              <w:t>P3C1R3 – Emploi et marché du travail – Rationalisation du processus d’immigration fondé sur le travail et l’éducation</w:t>
            </w:r>
          </w:p>
        </w:tc>
        <w:tc>
          <w:tcPr>
            <w:tcW w:w="1024" w:type="dxa"/>
            <w:tcBorders>
              <w:top w:val="single" w:sz="4" w:space="0" w:color="auto"/>
              <w:left w:val="nil"/>
              <w:bottom w:val="single" w:sz="4" w:space="0" w:color="auto"/>
              <w:right w:val="single" w:sz="4" w:space="0" w:color="auto"/>
            </w:tcBorders>
            <w:shd w:val="clear" w:color="auto" w:fill="C6EFCE"/>
            <w:noWrap/>
          </w:tcPr>
          <w:p w14:paraId="6C22D72A" w14:textId="77777777" w:rsidR="003D7F65" w:rsidRDefault="0082041E">
            <w:pPr>
              <w:pStyle w:val="P68B1DB1-Normal9"/>
              <w:spacing w:after="0" w:line="240" w:lineRule="auto"/>
              <w:rPr>
                <w:noProof/>
              </w:rPr>
            </w:pPr>
            <w:r>
              <w:rPr>
                <w:noProof/>
              </w:rPr>
              <w:t>Objectif</w:t>
            </w:r>
          </w:p>
        </w:tc>
        <w:tc>
          <w:tcPr>
            <w:tcW w:w="1676" w:type="dxa"/>
            <w:tcBorders>
              <w:top w:val="nil"/>
              <w:left w:val="nil"/>
              <w:bottom w:val="single" w:sz="4" w:space="0" w:color="auto"/>
              <w:right w:val="single" w:sz="4" w:space="0" w:color="auto"/>
            </w:tcBorders>
            <w:shd w:val="clear" w:color="auto" w:fill="C6EFCE"/>
            <w:noWrap/>
          </w:tcPr>
          <w:p w14:paraId="0FA569AF" w14:textId="77777777" w:rsidR="003D7F65" w:rsidRDefault="0082041E">
            <w:pPr>
              <w:pStyle w:val="P68B1DB1-Normal9"/>
              <w:spacing w:after="0" w:line="240" w:lineRule="auto"/>
              <w:rPr>
                <w:noProof/>
              </w:rPr>
            </w:pPr>
            <w:r>
              <w:rPr>
                <w:noProof/>
              </w:rPr>
              <w:t>Diminution du nombre moyen de jours de traitement des demandes de permis de séjour sur la base du travail et de l'éducation</w:t>
            </w:r>
          </w:p>
        </w:tc>
        <w:tc>
          <w:tcPr>
            <w:tcW w:w="1473" w:type="dxa"/>
            <w:tcBorders>
              <w:top w:val="single" w:sz="4" w:space="0" w:color="auto"/>
              <w:left w:val="nil"/>
              <w:bottom w:val="single" w:sz="4" w:space="0" w:color="auto"/>
              <w:right w:val="single" w:sz="4" w:space="0" w:color="auto"/>
            </w:tcBorders>
            <w:shd w:val="clear" w:color="auto" w:fill="C6EFCE"/>
            <w:noWrap/>
          </w:tcPr>
          <w:p w14:paraId="57D42920" w14:textId="77777777" w:rsidR="003D7F65" w:rsidRDefault="003D7F65">
            <w:pPr>
              <w:spacing w:after="0" w:line="240" w:lineRule="auto"/>
              <w:rPr>
                <w:rFonts w:ascii="Times New Roman" w:eastAsia="Times New Roman" w:hAnsi="Times New Roman"/>
                <w:strike/>
                <w:noProof/>
                <w:sz w:val="20"/>
                <w:szCs w:val="20"/>
                <w:u w:val="single"/>
              </w:rPr>
            </w:pPr>
          </w:p>
        </w:tc>
        <w:tc>
          <w:tcPr>
            <w:tcW w:w="1104" w:type="dxa"/>
            <w:tcBorders>
              <w:top w:val="nil"/>
              <w:left w:val="nil"/>
              <w:bottom w:val="single" w:sz="4" w:space="0" w:color="auto"/>
              <w:right w:val="single" w:sz="4" w:space="0" w:color="auto"/>
            </w:tcBorders>
            <w:shd w:val="clear" w:color="auto" w:fill="C6EFCE"/>
            <w:noWrap/>
          </w:tcPr>
          <w:p w14:paraId="013AA691" w14:textId="77777777" w:rsidR="003D7F65" w:rsidRDefault="0082041E">
            <w:pPr>
              <w:pStyle w:val="P68B1DB1-Normal9"/>
              <w:spacing w:after="0" w:line="240" w:lineRule="auto"/>
              <w:jc w:val="center"/>
              <w:rPr>
                <w:noProof/>
              </w:rPr>
            </w:pPr>
            <w:r>
              <w:rPr>
                <w:noProof/>
              </w:rPr>
              <w:t>Numéro</w:t>
            </w:r>
          </w:p>
        </w:tc>
        <w:tc>
          <w:tcPr>
            <w:tcW w:w="992" w:type="dxa"/>
            <w:tcBorders>
              <w:top w:val="nil"/>
              <w:left w:val="nil"/>
              <w:bottom w:val="single" w:sz="4" w:space="0" w:color="auto"/>
              <w:right w:val="single" w:sz="4" w:space="0" w:color="auto"/>
            </w:tcBorders>
            <w:shd w:val="clear" w:color="auto" w:fill="C6EFCE"/>
            <w:noWrap/>
          </w:tcPr>
          <w:p w14:paraId="4214B868" w14:textId="77777777" w:rsidR="003D7F65" w:rsidRDefault="0082041E">
            <w:pPr>
              <w:pStyle w:val="P68B1DB1-Normal9"/>
              <w:spacing w:after="0" w:line="240" w:lineRule="auto"/>
              <w:jc w:val="center"/>
              <w:rPr>
                <w:noProof/>
              </w:rPr>
            </w:pPr>
            <w:r>
              <w:rPr>
                <w:noProof/>
              </w:rPr>
              <w:t>52.6</w:t>
            </w:r>
          </w:p>
        </w:tc>
        <w:tc>
          <w:tcPr>
            <w:tcW w:w="850" w:type="dxa"/>
            <w:tcBorders>
              <w:top w:val="nil"/>
              <w:left w:val="nil"/>
              <w:bottom w:val="single" w:sz="4" w:space="0" w:color="auto"/>
              <w:right w:val="single" w:sz="4" w:space="0" w:color="auto"/>
            </w:tcBorders>
            <w:shd w:val="clear" w:color="auto" w:fill="C6EFCE"/>
            <w:noWrap/>
          </w:tcPr>
          <w:p w14:paraId="2FF33C4F" w14:textId="77777777" w:rsidR="003D7F65" w:rsidRDefault="0082041E">
            <w:pPr>
              <w:pStyle w:val="P68B1DB1-Normal9"/>
              <w:spacing w:after="0" w:line="240" w:lineRule="auto"/>
              <w:jc w:val="center"/>
              <w:rPr>
                <w:noProof/>
              </w:rPr>
            </w:pPr>
            <w:r>
              <w:rPr>
                <w:noProof/>
              </w:rPr>
              <w:t>30</w:t>
            </w:r>
          </w:p>
        </w:tc>
        <w:tc>
          <w:tcPr>
            <w:tcW w:w="993" w:type="dxa"/>
            <w:tcBorders>
              <w:top w:val="nil"/>
              <w:left w:val="nil"/>
              <w:bottom w:val="single" w:sz="4" w:space="0" w:color="auto"/>
              <w:right w:val="single" w:sz="4" w:space="0" w:color="auto"/>
            </w:tcBorders>
            <w:shd w:val="clear" w:color="auto" w:fill="C6EFCE"/>
            <w:noWrap/>
          </w:tcPr>
          <w:p w14:paraId="215D6F6E"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18888270" w14:textId="77777777" w:rsidR="003D7F65" w:rsidRDefault="0082041E">
            <w:pPr>
              <w:pStyle w:val="P68B1DB1-Normal9"/>
              <w:spacing w:after="0" w:line="240" w:lineRule="auto"/>
              <w:jc w:val="center"/>
              <w:rPr>
                <w:noProof/>
              </w:rPr>
            </w:pPr>
            <w:r>
              <w:rPr>
                <w:noProof/>
              </w:rPr>
              <w:t>2024</w:t>
            </w:r>
          </w:p>
        </w:tc>
        <w:tc>
          <w:tcPr>
            <w:tcW w:w="3832" w:type="dxa"/>
            <w:tcBorders>
              <w:top w:val="single" w:sz="4" w:space="0" w:color="auto"/>
              <w:left w:val="nil"/>
              <w:bottom w:val="single" w:sz="4" w:space="0" w:color="auto"/>
              <w:right w:val="single" w:sz="4" w:space="0" w:color="auto"/>
            </w:tcBorders>
            <w:shd w:val="clear" w:color="auto" w:fill="C6EFCE"/>
            <w:noWrap/>
          </w:tcPr>
          <w:p w14:paraId="4800D45C" w14:textId="5FEFF280" w:rsidR="003D7F65" w:rsidRDefault="0082041E">
            <w:pPr>
              <w:pStyle w:val="P68B1DB1-Normal9"/>
              <w:spacing w:before="120" w:after="120" w:line="240" w:lineRule="auto"/>
              <w:rPr>
                <w:noProof/>
              </w:rPr>
            </w:pPr>
            <w:bookmarkStart w:id="9" w:name="_Hlk216109079"/>
            <w:r>
              <w:rPr>
                <w:noProof/>
              </w:rPr>
              <w:t xml:space="preserve">Le délai de traitement pour l’octroi de titres de séjour électroniques fondés sur le travail et l’éducation est ramené à 30 jours en moyenne </w:t>
            </w:r>
            <w:r>
              <w:rPr>
                <w:noProof/>
                <w:color w:val="000000" w:themeColor="text1"/>
              </w:rPr>
              <w:t>au cours d’une période de six mois en 2024.</w:t>
            </w:r>
            <w:r>
              <w:rPr>
                <w:noProof/>
              </w:rPr>
              <w:t xml:space="preserve"> En outre, les nouvelles fonctionnalités de l’infrastructure numérique gérée par les services finlandais de l’immigration (Migri) peuvent inclure, sans toutefois s’y limiter:</w:t>
            </w:r>
          </w:p>
          <w:p w14:paraId="62DFA6CF" w14:textId="77777777" w:rsidR="003D7F65" w:rsidRDefault="0082041E">
            <w:pPr>
              <w:pStyle w:val="P68B1DB1-ListParagraph16"/>
              <w:numPr>
                <w:ilvl w:val="0"/>
                <w:numId w:val="26"/>
              </w:numPr>
              <w:spacing w:before="120" w:after="120" w:line="276" w:lineRule="auto"/>
              <w:rPr>
                <w:noProof/>
              </w:rPr>
            </w:pPr>
            <w:r>
              <w:rPr>
                <w:noProof/>
              </w:rPr>
              <w:t>nouvelles fonctionnalités numériques;</w:t>
            </w:r>
          </w:p>
          <w:p w14:paraId="390F47CA" w14:textId="77777777" w:rsidR="003D7F65" w:rsidRDefault="0082041E">
            <w:pPr>
              <w:pStyle w:val="P68B1DB1-ListParagraph16"/>
              <w:numPr>
                <w:ilvl w:val="0"/>
                <w:numId w:val="26"/>
              </w:numPr>
              <w:spacing w:before="120" w:after="120" w:line="276" w:lineRule="auto"/>
              <w:rPr>
                <w:noProof/>
              </w:rPr>
            </w:pPr>
            <w:r>
              <w:rPr>
                <w:noProof/>
              </w:rPr>
              <w:t>intégration du système et transfert de données;</w:t>
            </w:r>
          </w:p>
          <w:p w14:paraId="1A41DC23" w14:textId="77777777" w:rsidR="003D7F65" w:rsidRDefault="0082041E">
            <w:pPr>
              <w:pStyle w:val="P68B1DB1-ListParagraph16"/>
              <w:numPr>
                <w:ilvl w:val="0"/>
                <w:numId w:val="26"/>
              </w:numPr>
              <w:spacing w:before="120" w:after="120" w:line="276" w:lineRule="auto"/>
              <w:rPr>
                <w:noProof/>
              </w:rPr>
            </w:pPr>
            <w:r>
              <w:rPr>
                <w:noProof/>
              </w:rPr>
              <w:t>enregistrement et traitement des demandes;</w:t>
            </w:r>
          </w:p>
          <w:p w14:paraId="6BA6F6B1" w14:textId="77777777" w:rsidR="003D7F65" w:rsidRDefault="0082041E">
            <w:pPr>
              <w:pStyle w:val="P68B1DB1-ListParagraph16"/>
              <w:numPr>
                <w:ilvl w:val="0"/>
                <w:numId w:val="26"/>
              </w:numPr>
              <w:spacing w:before="120" w:after="120" w:line="276" w:lineRule="auto"/>
              <w:rPr>
                <w:noProof/>
              </w:rPr>
            </w:pPr>
            <w:r>
              <w:rPr>
                <w:noProof/>
              </w:rPr>
              <w:t>gestion intersectorielle fondée sur la connaissance;</w:t>
            </w:r>
          </w:p>
          <w:p w14:paraId="7F52C52E" w14:textId="77777777" w:rsidR="003D7F65" w:rsidRDefault="0082041E">
            <w:pPr>
              <w:pStyle w:val="P68B1DB1-ListParagraph16"/>
              <w:numPr>
                <w:ilvl w:val="0"/>
                <w:numId w:val="26"/>
              </w:numPr>
              <w:spacing w:before="120" w:after="120" w:line="276" w:lineRule="auto"/>
              <w:rPr>
                <w:noProof/>
              </w:rPr>
            </w:pPr>
            <w:r>
              <w:rPr>
                <w:noProof/>
              </w:rPr>
              <w:t>l'orientation et la communication client;</w:t>
            </w:r>
          </w:p>
          <w:p w14:paraId="256370AC" w14:textId="77777777" w:rsidR="003D7F65" w:rsidRDefault="0082041E">
            <w:pPr>
              <w:pStyle w:val="P68B1DB1-ListParagraph16"/>
              <w:numPr>
                <w:ilvl w:val="0"/>
                <w:numId w:val="26"/>
              </w:numPr>
              <w:spacing w:before="120" w:after="120" w:line="276" w:lineRule="auto"/>
              <w:rPr>
                <w:noProof/>
              </w:rPr>
            </w:pPr>
            <w:r>
              <w:rPr>
                <w:noProof/>
              </w:rPr>
              <w:t>convivialité, performance et automatisation.</w:t>
            </w:r>
            <w:bookmarkEnd w:id="9"/>
          </w:p>
        </w:tc>
      </w:tr>
      <w:tr w:rsidR="003D7F65" w14:paraId="4C165070"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351CF21" w14:textId="77777777" w:rsidR="003D7F65" w:rsidRDefault="0082041E">
            <w:pPr>
              <w:pStyle w:val="P68B1DB1-Normal9"/>
              <w:spacing w:after="0" w:line="240" w:lineRule="auto"/>
              <w:jc w:val="center"/>
              <w:rPr>
                <w:noProof/>
                <w:u w:val="single"/>
              </w:rPr>
            </w:pPr>
            <w:r>
              <w:rPr>
                <w:noProof/>
              </w:rPr>
              <w:t>85</w:t>
            </w:r>
          </w:p>
        </w:tc>
        <w:tc>
          <w:tcPr>
            <w:tcW w:w="1669" w:type="dxa"/>
            <w:tcBorders>
              <w:top w:val="nil"/>
              <w:left w:val="nil"/>
              <w:bottom w:val="single" w:sz="4" w:space="0" w:color="auto"/>
              <w:right w:val="single" w:sz="4" w:space="0" w:color="auto"/>
            </w:tcBorders>
            <w:shd w:val="clear" w:color="auto" w:fill="C6EFCE"/>
            <w:noWrap/>
          </w:tcPr>
          <w:p w14:paraId="7483D4DD" w14:textId="77777777" w:rsidR="003D7F65" w:rsidRDefault="0082041E">
            <w:pPr>
              <w:pStyle w:val="P68B1DB1-Normal9"/>
              <w:spacing w:after="0" w:line="240" w:lineRule="auto"/>
              <w:rPr>
                <w:noProof/>
              </w:rPr>
            </w:pPr>
            <w:r>
              <w:rPr>
                <w:noProof/>
              </w:rPr>
              <w:t>P3C1R4 - Emploi et marché du travail – Services multidisciplinaires pour les jeunes (services Ohjaamo)</w:t>
            </w:r>
          </w:p>
        </w:tc>
        <w:tc>
          <w:tcPr>
            <w:tcW w:w="1024" w:type="dxa"/>
            <w:tcBorders>
              <w:top w:val="nil"/>
              <w:left w:val="nil"/>
              <w:bottom w:val="single" w:sz="4" w:space="0" w:color="auto"/>
              <w:right w:val="single" w:sz="4" w:space="0" w:color="auto"/>
            </w:tcBorders>
            <w:shd w:val="clear" w:color="auto" w:fill="C6EFCE"/>
            <w:noWrap/>
          </w:tcPr>
          <w:p w14:paraId="008A251E" w14:textId="77777777" w:rsidR="003D7F65" w:rsidRDefault="0082041E">
            <w:pPr>
              <w:pStyle w:val="P68B1DB1-Normal9"/>
              <w:spacing w:after="0" w:line="240" w:lineRule="auto"/>
              <w:rPr>
                <w:noProof/>
              </w:rPr>
            </w:pPr>
            <w:r>
              <w:rPr>
                <w:noProof/>
              </w:rPr>
              <w:t>Objectif</w:t>
            </w:r>
          </w:p>
        </w:tc>
        <w:tc>
          <w:tcPr>
            <w:tcW w:w="1676" w:type="dxa"/>
            <w:tcBorders>
              <w:top w:val="nil"/>
              <w:left w:val="nil"/>
              <w:bottom w:val="single" w:sz="4" w:space="0" w:color="auto"/>
              <w:right w:val="single" w:sz="4" w:space="0" w:color="auto"/>
            </w:tcBorders>
            <w:shd w:val="clear" w:color="auto" w:fill="C6EFCE"/>
            <w:noWrap/>
          </w:tcPr>
          <w:p w14:paraId="4EBE99A2" w14:textId="42571319" w:rsidR="003D7F65" w:rsidRDefault="0082041E">
            <w:pPr>
              <w:pStyle w:val="P68B1DB1-Normal9"/>
              <w:spacing w:after="0" w:line="240" w:lineRule="auto"/>
              <w:rPr>
                <w:noProof/>
              </w:rPr>
            </w:pPr>
            <w:r>
              <w:rPr>
                <w:noProof/>
              </w:rPr>
              <w:t>Nombre de personnes affectées à l ' offre de services sanitaires, sociaux et/ou éducatifs dans les centres d ' orientation à guichet unique d ' Ohjaamo</w:t>
            </w:r>
          </w:p>
        </w:tc>
        <w:tc>
          <w:tcPr>
            <w:tcW w:w="1473" w:type="dxa"/>
            <w:tcBorders>
              <w:top w:val="nil"/>
              <w:left w:val="nil"/>
              <w:bottom w:val="single" w:sz="4" w:space="0" w:color="auto"/>
              <w:right w:val="single" w:sz="4" w:space="0" w:color="auto"/>
            </w:tcBorders>
            <w:shd w:val="clear" w:color="auto" w:fill="C6EFCE"/>
            <w:noWrap/>
          </w:tcPr>
          <w:p w14:paraId="0118BC5D" w14:textId="77777777" w:rsidR="003D7F65" w:rsidRDefault="0082041E">
            <w:pPr>
              <w:pStyle w:val="P68B1DB1-Normal9"/>
              <w:spacing w:after="0" w:line="240" w:lineRule="auto"/>
              <w:rPr>
                <w:strike/>
                <w:noProof/>
                <w:u w:val="single"/>
              </w:rPr>
            </w:pPr>
            <w:r>
              <w:rPr>
                <w:noProof/>
              </w:rPr>
              <w:t>Nombre de personnes affectées à l ' offre de services sanitaires, sociaux et/ou éducatifs dans les centres d ' orientation à guichet unique d ' Ohjaamo</w:t>
            </w:r>
          </w:p>
        </w:tc>
        <w:tc>
          <w:tcPr>
            <w:tcW w:w="1104" w:type="dxa"/>
            <w:tcBorders>
              <w:top w:val="nil"/>
              <w:left w:val="nil"/>
              <w:bottom w:val="single" w:sz="4" w:space="0" w:color="auto"/>
              <w:right w:val="single" w:sz="4" w:space="0" w:color="auto"/>
            </w:tcBorders>
            <w:shd w:val="clear" w:color="auto" w:fill="C6EFCE"/>
            <w:noWrap/>
          </w:tcPr>
          <w:p w14:paraId="2CFEF8EE" w14:textId="74F27DF8" w:rsidR="003D7F65" w:rsidRDefault="0082041E">
            <w:pPr>
              <w:pStyle w:val="P68B1DB1-Normal13"/>
              <w:spacing w:after="0" w:line="240" w:lineRule="auto"/>
              <w:jc w:val="center"/>
              <w:rPr>
                <w:noProof/>
              </w:rPr>
            </w:pPr>
            <w:r>
              <w:rPr>
                <w:noProof/>
              </w:rPr>
              <w:t>Nombre de personnes-années</w:t>
            </w:r>
          </w:p>
        </w:tc>
        <w:tc>
          <w:tcPr>
            <w:tcW w:w="992" w:type="dxa"/>
            <w:tcBorders>
              <w:top w:val="nil"/>
              <w:left w:val="nil"/>
              <w:bottom w:val="single" w:sz="4" w:space="0" w:color="auto"/>
              <w:right w:val="single" w:sz="4" w:space="0" w:color="auto"/>
            </w:tcBorders>
            <w:shd w:val="clear" w:color="auto" w:fill="C6EFCE"/>
            <w:noWrap/>
          </w:tcPr>
          <w:p w14:paraId="4CA07E54" w14:textId="77777777" w:rsidR="003D7F65" w:rsidRDefault="0082041E">
            <w:pPr>
              <w:pStyle w:val="P68B1DB1-Normal9"/>
              <w:spacing w:after="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441B46E0" w14:textId="77777777" w:rsidR="003D7F65" w:rsidRDefault="0082041E">
            <w:pPr>
              <w:pStyle w:val="P68B1DB1-Normal9"/>
              <w:spacing w:after="0" w:line="240" w:lineRule="auto"/>
              <w:jc w:val="center"/>
              <w:rPr>
                <w:noProof/>
              </w:rPr>
            </w:pPr>
            <w:r>
              <w:rPr>
                <w:noProof/>
              </w:rPr>
              <w:t>100</w:t>
            </w:r>
          </w:p>
        </w:tc>
        <w:tc>
          <w:tcPr>
            <w:tcW w:w="993" w:type="dxa"/>
            <w:tcBorders>
              <w:top w:val="nil"/>
              <w:left w:val="nil"/>
              <w:bottom w:val="single" w:sz="4" w:space="0" w:color="auto"/>
              <w:right w:val="single" w:sz="4" w:space="0" w:color="auto"/>
            </w:tcBorders>
            <w:shd w:val="clear" w:color="auto" w:fill="C6EFCE"/>
            <w:noWrap/>
          </w:tcPr>
          <w:p w14:paraId="657AE62D"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36DD2E48" w14:textId="77777777" w:rsidR="003D7F65" w:rsidRDefault="0082041E">
            <w:pPr>
              <w:pStyle w:val="P68B1DB1-Normal9"/>
              <w:spacing w:after="0" w:line="240" w:lineRule="auto"/>
              <w:jc w:val="center"/>
              <w:rPr>
                <w:noProof/>
              </w:rPr>
            </w:pPr>
            <w:r>
              <w:rPr>
                <w:noProof/>
              </w:rPr>
              <w:t>2025</w:t>
            </w:r>
          </w:p>
        </w:tc>
        <w:tc>
          <w:tcPr>
            <w:tcW w:w="3832" w:type="dxa"/>
            <w:tcBorders>
              <w:top w:val="nil"/>
              <w:left w:val="nil"/>
              <w:bottom w:val="single" w:sz="4" w:space="0" w:color="auto"/>
              <w:right w:val="single" w:sz="4" w:space="0" w:color="auto"/>
            </w:tcBorders>
            <w:shd w:val="clear" w:color="auto" w:fill="C6EFCE"/>
            <w:noWrap/>
          </w:tcPr>
          <w:p w14:paraId="222DA4C1" w14:textId="22385672" w:rsidR="003D7F65" w:rsidRDefault="0082041E">
            <w:pPr>
              <w:pStyle w:val="P68B1DB1-Normal8"/>
              <w:spacing w:after="0" w:line="240" w:lineRule="auto"/>
              <w:rPr>
                <w:rFonts w:eastAsia="Times New Roman"/>
                <w:noProof/>
              </w:rPr>
            </w:pPr>
            <w:r>
              <w:rPr>
                <w:noProof/>
              </w:rPr>
              <w:t xml:space="preserve">Au moins 100 personnes (personnes-années) sont assignées pour offrir des services de santé, sociaux et/ou éducatifs dans les centres d'Ohjaamo One-Stop-Guidance. </w:t>
            </w:r>
          </w:p>
        </w:tc>
      </w:tr>
      <w:tr w:rsidR="003D7F65" w14:paraId="276637EB" w14:textId="77777777" w:rsidTr="00B035AD">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F18A7BD" w14:textId="77777777" w:rsidR="003D7F65" w:rsidRDefault="0082041E">
            <w:pPr>
              <w:pStyle w:val="P68B1DB1-Normal9"/>
              <w:spacing w:after="0" w:line="240" w:lineRule="auto"/>
              <w:jc w:val="center"/>
              <w:rPr>
                <w:noProof/>
              </w:rPr>
            </w:pPr>
            <w:r>
              <w:rPr>
                <w:noProof/>
              </w:rPr>
              <w:t>89</w:t>
            </w:r>
          </w:p>
        </w:tc>
        <w:tc>
          <w:tcPr>
            <w:tcW w:w="1669" w:type="dxa"/>
            <w:tcBorders>
              <w:top w:val="nil"/>
              <w:left w:val="nil"/>
              <w:bottom w:val="single" w:sz="4" w:space="0" w:color="auto"/>
              <w:right w:val="single" w:sz="4" w:space="0" w:color="auto"/>
            </w:tcBorders>
            <w:shd w:val="clear" w:color="auto" w:fill="C6EFCE"/>
            <w:noWrap/>
          </w:tcPr>
          <w:p w14:paraId="3FE7C957" w14:textId="77777777" w:rsidR="003D7F65" w:rsidRDefault="0082041E">
            <w:pPr>
              <w:pStyle w:val="P68B1DB1-Normal9"/>
              <w:spacing w:after="0" w:line="240" w:lineRule="auto"/>
              <w:rPr>
                <w:noProof/>
              </w:rPr>
            </w:pPr>
            <w:r>
              <w:rPr>
                <w:noProof/>
              </w:rPr>
              <w:t>P3C1I1 – Emploi et marché du travail – Aptitude au travail, productivité et bien-être au travail</w:t>
            </w:r>
          </w:p>
        </w:tc>
        <w:tc>
          <w:tcPr>
            <w:tcW w:w="1024" w:type="dxa"/>
            <w:tcBorders>
              <w:top w:val="nil"/>
              <w:left w:val="nil"/>
              <w:bottom w:val="single" w:sz="4" w:space="0" w:color="auto"/>
              <w:right w:val="single" w:sz="4" w:space="0" w:color="auto"/>
            </w:tcBorders>
            <w:shd w:val="clear" w:color="auto" w:fill="C6EFCE"/>
            <w:noWrap/>
          </w:tcPr>
          <w:p w14:paraId="3A23D39D" w14:textId="77777777" w:rsidR="003D7F65" w:rsidRDefault="0082041E">
            <w:pPr>
              <w:pStyle w:val="P68B1DB1-Normal9"/>
              <w:spacing w:after="0" w:line="240" w:lineRule="auto"/>
              <w:rPr>
                <w:noProof/>
              </w:rPr>
            </w:pPr>
            <w:r>
              <w:rPr>
                <w:noProof/>
              </w:rPr>
              <w:t>Étape</w:t>
            </w:r>
          </w:p>
        </w:tc>
        <w:tc>
          <w:tcPr>
            <w:tcW w:w="1676" w:type="dxa"/>
            <w:tcBorders>
              <w:top w:val="nil"/>
              <w:left w:val="nil"/>
              <w:bottom w:val="single" w:sz="4" w:space="0" w:color="auto"/>
              <w:right w:val="single" w:sz="4" w:space="0" w:color="auto"/>
            </w:tcBorders>
            <w:shd w:val="clear" w:color="auto" w:fill="C6EFCE"/>
            <w:noWrap/>
          </w:tcPr>
          <w:p w14:paraId="0B7A130B" w14:textId="77777777" w:rsidR="003D7F65" w:rsidRDefault="0082041E">
            <w:pPr>
              <w:pStyle w:val="P68B1DB1-Normal9"/>
              <w:spacing w:after="0" w:line="240" w:lineRule="auto"/>
              <w:rPr>
                <w:noProof/>
              </w:rPr>
            </w:pPr>
            <w:r>
              <w:rPr>
                <w:noProof/>
              </w:rPr>
              <w:t>Équipes d'aptitude au travail pour la fourniture du programme d'aptitude au travail offert dans les nouvelles municipalités et du service modèle de placement individuel et de soutien offert dans les nouvelles zones de bien-être</w:t>
            </w:r>
          </w:p>
        </w:tc>
        <w:tc>
          <w:tcPr>
            <w:tcW w:w="1473" w:type="dxa"/>
            <w:tcBorders>
              <w:top w:val="nil"/>
              <w:left w:val="nil"/>
              <w:bottom w:val="single" w:sz="4" w:space="0" w:color="auto"/>
              <w:right w:val="single" w:sz="4" w:space="0" w:color="auto"/>
            </w:tcBorders>
            <w:shd w:val="clear" w:color="auto" w:fill="C6EFCE"/>
            <w:noWrap/>
          </w:tcPr>
          <w:p w14:paraId="65393AC6" w14:textId="77777777" w:rsidR="003D7F65" w:rsidRDefault="0082041E">
            <w:pPr>
              <w:pStyle w:val="P68B1DB1-Normal9"/>
              <w:spacing w:after="0" w:line="240" w:lineRule="auto"/>
              <w:rPr>
                <w:noProof/>
              </w:rPr>
            </w:pPr>
            <w:r>
              <w:rPr>
                <w:noProof/>
              </w:rPr>
              <w:t>Équipes d'aptitude au travail pour la fourniture du programme d'aptitude au travail offert dans les nouvelles municipalités et du service modèle de placement individuel et de soutien offert dans les nouvelles zones de bien-être</w:t>
            </w:r>
          </w:p>
        </w:tc>
        <w:tc>
          <w:tcPr>
            <w:tcW w:w="1104" w:type="dxa"/>
            <w:tcBorders>
              <w:top w:val="nil"/>
              <w:left w:val="nil"/>
              <w:bottom w:val="single" w:sz="4" w:space="0" w:color="auto"/>
              <w:right w:val="single" w:sz="4" w:space="0" w:color="auto"/>
            </w:tcBorders>
            <w:shd w:val="clear" w:color="auto" w:fill="C6EFCE"/>
            <w:noWrap/>
          </w:tcPr>
          <w:p w14:paraId="5F90BD75" w14:textId="77777777" w:rsidR="003D7F65" w:rsidRDefault="003D7F65">
            <w:pPr>
              <w:spacing w:after="0" w:line="240" w:lineRule="auto"/>
              <w:jc w:val="center"/>
              <w:rPr>
                <w:rFonts w:ascii="Times New Roman" w:eastAsia="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4EC11130" w14:textId="77777777" w:rsidR="003D7F65" w:rsidRDefault="003D7F65">
            <w:pPr>
              <w:spacing w:after="0" w:line="240" w:lineRule="auto"/>
              <w:jc w:val="center"/>
              <w:rPr>
                <w:rFonts w:ascii="Times New Roman" w:eastAsia="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FBD368D" w14:textId="77777777" w:rsidR="003D7F65" w:rsidRDefault="003D7F65">
            <w:pPr>
              <w:spacing w:after="0" w:line="240" w:lineRule="auto"/>
              <w:jc w:val="center"/>
              <w:rPr>
                <w:rFonts w:ascii="Times New Roman" w:eastAsia="Times New Roman" w:hAnsi="Times New Roman"/>
                <w:noProof/>
                <w:sz w:val="20"/>
                <w:szCs w:val="20"/>
                <w:u w:val="single"/>
              </w:rPr>
            </w:pPr>
          </w:p>
        </w:tc>
        <w:tc>
          <w:tcPr>
            <w:tcW w:w="993" w:type="dxa"/>
            <w:tcBorders>
              <w:top w:val="nil"/>
              <w:left w:val="nil"/>
              <w:bottom w:val="single" w:sz="4" w:space="0" w:color="auto"/>
              <w:right w:val="single" w:sz="4" w:space="0" w:color="auto"/>
            </w:tcBorders>
            <w:shd w:val="clear" w:color="auto" w:fill="C6EFCE"/>
            <w:noWrap/>
          </w:tcPr>
          <w:p w14:paraId="78E2B070"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2B97A423" w14:textId="77777777" w:rsidR="003D7F65" w:rsidRDefault="0082041E">
            <w:pPr>
              <w:pStyle w:val="P68B1DB1-Normal9"/>
              <w:spacing w:after="0" w:line="240" w:lineRule="auto"/>
              <w:jc w:val="center"/>
              <w:rPr>
                <w:noProof/>
              </w:rPr>
            </w:pPr>
            <w:r>
              <w:rPr>
                <w:noProof/>
              </w:rPr>
              <w:t>2024</w:t>
            </w:r>
          </w:p>
        </w:tc>
        <w:tc>
          <w:tcPr>
            <w:tcW w:w="3832" w:type="dxa"/>
            <w:tcBorders>
              <w:top w:val="nil"/>
              <w:left w:val="nil"/>
              <w:bottom w:val="single" w:sz="4" w:space="0" w:color="auto"/>
              <w:right w:val="single" w:sz="4" w:space="0" w:color="auto"/>
            </w:tcBorders>
            <w:shd w:val="clear" w:color="auto" w:fill="C6EFCE"/>
            <w:noWrap/>
          </w:tcPr>
          <w:p w14:paraId="73809878" w14:textId="66590ADC" w:rsidR="003D7F65" w:rsidRDefault="0082041E">
            <w:pPr>
              <w:pStyle w:val="P68B1DB1-Normal9"/>
              <w:spacing w:before="120" w:after="120" w:line="240" w:lineRule="auto"/>
              <w:jc w:val="both"/>
              <w:rPr>
                <w:noProof/>
                <w:u w:val="single"/>
              </w:rPr>
            </w:pPr>
            <w:r>
              <w:rPr>
                <w:noProof/>
              </w:rPr>
              <w:t>Des équipes d'aptitude au travail pour la fourniture du programme d'aptitude au travail seront proposées dans cinq nouvelles municipalités, et le service modèle de placement individuel et de soutien sera offert dans six nouvelles zones de bien-être.</w:t>
            </w:r>
          </w:p>
        </w:tc>
      </w:tr>
      <w:tr w:rsidR="003D7F65" w14:paraId="4D845463" w14:textId="77777777" w:rsidTr="00B035AD">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7C03D2" w14:textId="77777777" w:rsidR="003D7F65" w:rsidRDefault="0082041E">
            <w:pPr>
              <w:pStyle w:val="P68B1DB1-Normal9"/>
              <w:spacing w:after="0" w:line="240" w:lineRule="auto"/>
              <w:jc w:val="center"/>
              <w:rPr>
                <w:noProof/>
              </w:rPr>
            </w:pPr>
            <w:r>
              <w:rPr>
                <w:noProof/>
              </w:rPr>
              <w:t>90</w:t>
            </w:r>
          </w:p>
        </w:tc>
        <w:tc>
          <w:tcPr>
            <w:tcW w:w="1669" w:type="dxa"/>
            <w:tcBorders>
              <w:top w:val="single" w:sz="4" w:space="0" w:color="auto"/>
              <w:left w:val="nil"/>
              <w:bottom w:val="single" w:sz="4" w:space="0" w:color="auto"/>
              <w:right w:val="single" w:sz="4" w:space="0" w:color="auto"/>
            </w:tcBorders>
            <w:shd w:val="clear" w:color="auto" w:fill="C6EFCE"/>
            <w:noWrap/>
          </w:tcPr>
          <w:p w14:paraId="0BAB53C7" w14:textId="77777777" w:rsidR="003D7F65" w:rsidRDefault="0082041E">
            <w:pPr>
              <w:pStyle w:val="P68B1DB1-Normal9"/>
              <w:spacing w:after="0" w:line="240" w:lineRule="auto"/>
              <w:rPr>
                <w:noProof/>
              </w:rPr>
            </w:pPr>
            <w:r>
              <w:rPr>
                <w:noProof/>
              </w:rPr>
              <w:t>P3C1I1 – Emploi et marché du travail – Capacité, productivité et bien-être au travail</w:t>
            </w:r>
          </w:p>
        </w:tc>
        <w:tc>
          <w:tcPr>
            <w:tcW w:w="1024" w:type="dxa"/>
            <w:tcBorders>
              <w:top w:val="single" w:sz="4" w:space="0" w:color="auto"/>
              <w:left w:val="nil"/>
              <w:bottom w:val="single" w:sz="4" w:space="0" w:color="auto"/>
              <w:right w:val="single" w:sz="4" w:space="0" w:color="auto"/>
            </w:tcBorders>
            <w:shd w:val="clear" w:color="auto" w:fill="C6EFCE"/>
            <w:noWrap/>
          </w:tcPr>
          <w:p w14:paraId="46B9AD85" w14:textId="77777777" w:rsidR="003D7F65" w:rsidRDefault="0082041E">
            <w:pPr>
              <w:pStyle w:val="P68B1DB1-Normal9"/>
              <w:spacing w:after="0" w:line="240" w:lineRule="auto"/>
              <w:rPr>
                <w:noProof/>
              </w:rPr>
            </w:pPr>
            <w:r>
              <w:rPr>
                <w:noProof/>
              </w:rPr>
              <w:t>Objectif</w:t>
            </w:r>
          </w:p>
        </w:tc>
        <w:tc>
          <w:tcPr>
            <w:tcW w:w="1676" w:type="dxa"/>
            <w:tcBorders>
              <w:top w:val="single" w:sz="4" w:space="0" w:color="auto"/>
              <w:left w:val="nil"/>
              <w:bottom w:val="single" w:sz="4" w:space="0" w:color="auto"/>
              <w:right w:val="single" w:sz="4" w:space="0" w:color="auto"/>
            </w:tcBorders>
            <w:shd w:val="clear" w:color="auto" w:fill="C6EFCE"/>
            <w:noWrap/>
          </w:tcPr>
          <w:p w14:paraId="5C4291F2" w14:textId="77777777" w:rsidR="003D7F65" w:rsidRDefault="0082041E">
            <w:pPr>
              <w:pStyle w:val="P68B1DB1-Normal9"/>
              <w:spacing w:after="0" w:line="240" w:lineRule="auto"/>
              <w:rPr>
                <w:noProof/>
              </w:rPr>
            </w:pPr>
            <w:r>
              <w:rPr>
                <w:noProof/>
              </w:rPr>
              <w:t>Nombre de lieux de travail ou d’unités de soins de santé au travail ayant participé à des mesures de promotion de la capacité de travail</w:t>
            </w:r>
          </w:p>
        </w:tc>
        <w:tc>
          <w:tcPr>
            <w:tcW w:w="1473" w:type="dxa"/>
            <w:tcBorders>
              <w:top w:val="single" w:sz="4" w:space="0" w:color="auto"/>
              <w:left w:val="nil"/>
              <w:bottom w:val="single" w:sz="4" w:space="0" w:color="auto"/>
              <w:right w:val="single" w:sz="4" w:space="0" w:color="auto"/>
            </w:tcBorders>
            <w:shd w:val="clear" w:color="auto" w:fill="C6EFCE"/>
            <w:noWrap/>
          </w:tcPr>
          <w:p w14:paraId="00E5C776" w14:textId="77777777" w:rsidR="003D7F65" w:rsidRDefault="003D7F65">
            <w:pPr>
              <w:spacing w:after="0" w:line="240" w:lineRule="auto"/>
              <w:rPr>
                <w:rFonts w:ascii="Times New Roman" w:eastAsia="Times New Roman" w:hAnsi="Times New Roman"/>
                <w:noProof/>
                <w:sz w:val="20"/>
                <w:szCs w:val="20"/>
              </w:rPr>
            </w:pPr>
          </w:p>
        </w:tc>
        <w:tc>
          <w:tcPr>
            <w:tcW w:w="1104" w:type="dxa"/>
            <w:tcBorders>
              <w:top w:val="single" w:sz="4" w:space="0" w:color="auto"/>
              <w:left w:val="nil"/>
              <w:bottom w:val="single" w:sz="4" w:space="0" w:color="auto"/>
              <w:right w:val="single" w:sz="4" w:space="0" w:color="auto"/>
            </w:tcBorders>
            <w:shd w:val="clear" w:color="auto" w:fill="C6EFCE"/>
            <w:noWrap/>
          </w:tcPr>
          <w:p w14:paraId="0A21A57B" w14:textId="77777777" w:rsidR="003D7F65" w:rsidRDefault="0082041E">
            <w:pPr>
              <w:pStyle w:val="P68B1DB1-Normal9"/>
              <w:spacing w:after="0" w:line="240" w:lineRule="auto"/>
              <w:jc w:val="center"/>
              <w:rPr>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Pr>
          <w:p w14:paraId="47D60839" w14:textId="77777777" w:rsidR="003D7F65" w:rsidRDefault="0082041E">
            <w:pPr>
              <w:pStyle w:val="P68B1DB1-Normal9"/>
              <w:spacing w:after="0" w:line="240" w:lineRule="auto"/>
              <w:jc w:val="center"/>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noWrap/>
          </w:tcPr>
          <w:p w14:paraId="79063BF2" w14:textId="77777777" w:rsidR="003D7F65" w:rsidRDefault="0082041E">
            <w:pPr>
              <w:pStyle w:val="P68B1DB1-Normal9"/>
              <w:spacing w:after="0" w:line="240" w:lineRule="auto"/>
              <w:jc w:val="center"/>
              <w:rPr>
                <w:noProof/>
              </w:rPr>
            </w:pPr>
            <w:r>
              <w:rPr>
                <w:noProof/>
              </w:rPr>
              <w:t>2 000</w:t>
            </w:r>
          </w:p>
        </w:tc>
        <w:tc>
          <w:tcPr>
            <w:tcW w:w="993" w:type="dxa"/>
            <w:tcBorders>
              <w:top w:val="single" w:sz="4" w:space="0" w:color="auto"/>
              <w:left w:val="nil"/>
              <w:bottom w:val="single" w:sz="4" w:space="0" w:color="auto"/>
              <w:right w:val="single" w:sz="4" w:space="0" w:color="auto"/>
            </w:tcBorders>
            <w:shd w:val="clear" w:color="auto" w:fill="C6EFCE"/>
            <w:noWrap/>
          </w:tcPr>
          <w:p w14:paraId="7F36B523" w14:textId="77777777" w:rsidR="003D7F65" w:rsidRDefault="0082041E">
            <w:pPr>
              <w:pStyle w:val="P68B1DB1-Normal9"/>
              <w:spacing w:after="0" w:line="240" w:lineRule="auto"/>
              <w:jc w:val="center"/>
              <w:rPr>
                <w:noProof/>
              </w:rPr>
            </w:pPr>
            <w:r>
              <w:rPr>
                <w:noProof/>
              </w:rPr>
              <w:t>T3</w:t>
            </w:r>
          </w:p>
        </w:tc>
        <w:tc>
          <w:tcPr>
            <w:tcW w:w="1134" w:type="dxa"/>
            <w:tcBorders>
              <w:top w:val="single" w:sz="4" w:space="0" w:color="auto"/>
              <w:left w:val="nil"/>
              <w:bottom w:val="single" w:sz="4" w:space="0" w:color="auto"/>
              <w:right w:val="single" w:sz="4" w:space="0" w:color="auto"/>
            </w:tcBorders>
            <w:shd w:val="clear" w:color="auto" w:fill="C6EFCE"/>
            <w:noWrap/>
          </w:tcPr>
          <w:p w14:paraId="70CFF43A" w14:textId="77777777" w:rsidR="003D7F65" w:rsidRDefault="0082041E">
            <w:pPr>
              <w:pStyle w:val="P68B1DB1-Normal9"/>
              <w:spacing w:after="0" w:line="240" w:lineRule="auto"/>
              <w:jc w:val="center"/>
              <w:rPr>
                <w:noProof/>
              </w:rPr>
            </w:pPr>
            <w:r>
              <w:rPr>
                <w:noProof/>
              </w:rPr>
              <w:t>2025</w:t>
            </w:r>
          </w:p>
        </w:tc>
        <w:tc>
          <w:tcPr>
            <w:tcW w:w="3832" w:type="dxa"/>
            <w:tcBorders>
              <w:top w:val="single" w:sz="4" w:space="0" w:color="auto"/>
              <w:left w:val="nil"/>
              <w:bottom w:val="single" w:sz="4" w:space="0" w:color="auto"/>
              <w:right w:val="single" w:sz="4" w:space="0" w:color="auto"/>
            </w:tcBorders>
            <w:shd w:val="clear" w:color="auto" w:fill="C6EFCE"/>
            <w:noWrap/>
          </w:tcPr>
          <w:p w14:paraId="74D9404A" w14:textId="77777777" w:rsidR="003D7F65" w:rsidRDefault="0082041E">
            <w:pPr>
              <w:pStyle w:val="P68B1DB1-Normal8"/>
              <w:spacing w:after="0" w:line="240" w:lineRule="auto"/>
              <w:rPr>
                <w:noProof/>
              </w:rPr>
            </w:pPr>
            <w:r>
              <w:rPr>
                <w:noProof/>
              </w:rPr>
              <w:t>Au moins 2 000 lieux de travail ou unités de soins de santé au travail participent à des mesures de promotion des aptitudes au travail.</w:t>
            </w:r>
          </w:p>
        </w:tc>
      </w:tr>
    </w:tbl>
    <w:p w14:paraId="68A63D64" w14:textId="77777777" w:rsidR="003D7F65" w:rsidRDefault="003D7F65">
      <w:pPr>
        <w:spacing w:before="120" w:after="120" w:line="240" w:lineRule="auto"/>
        <w:ind w:left="709"/>
        <w:jc w:val="both"/>
        <w:rPr>
          <w:rFonts w:ascii="Times New Roman" w:hAnsi="Times New Roman"/>
          <w:noProof/>
          <w:sz w:val="24"/>
          <w:szCs w:val="24"/>
        </w:rPr>
        <w:sectPr w:rsidR="003D7F65" w:rsidSect="00A7081A">
          <w:headerReference w:type="even" r:id="rId116"/>
          <w:headerReference w:type="default" r:id="rId117"/>
          <w:footerReference w:type="even" r:id="rId118"/>
          <w:footerReference w:type="default" r:id="rId119"/>
          <w:headerReference w:type="first" r:id="rId120"/>
          <w:footerReference w:type="first" r:id="rId121"/>
          <w:pgSz w:w="16839" w:h="11907" w:orient="landscape" w:code="9"/>
          <w:pgMar w:top="1134" w:right="1134" w:bottom="1134" w:left="1134" w:header="567" w:footer="567" w:gutter="0"/>
          <w:cols w:space="720"/>
          <w:docGrid w:linePitch="360"/>
        </w:sectPr>
      </w:pPr>
    </w:p>
    <w:p w14:paraId="4C8E26F4" w14:textId="77777777" w:rsidR="003D7F65" w:rsidRDefault="0082041E">
      <w:pPr>
        <w:spacing w:after="0" w:line="240" w:lineRule="auto"/>
        <w:jc w:val="both"/>
        <w:rPr>
          <w:rFonts w:ascii="Times New Roman" w:eastAsia="Times New Roman" w:hAnsi="Times New Roman"/>
          <w:noProof/>
        </w:rPr>
      </w:pPr>
      <w:r>
        <w:rPr>
          <w:rFonts w:ascii="Times New Roman" w:eastAsia="Times New Roman" w:hAnsi="Times New Roman"/>
          <w:b/>
          <w:noProof/>
        </w:rPr>
        <w:t>J.</w:t>
      </w:r>
      <w:r>
        <w:rPr>
          <w:rFonts w:ascii="Times New Roman" w:eastAsia="Times New Roman" w:hAnsi="Times New Roman"/>
          <w:noProof/>
        </w:rPr>
        <w:t xml:space="preserve"> </w:t>
      </w:r>
      <w:r>
        <w:rPr>
          <w:rStyle w:val="Heading1Char"/>
          <w:rFonts w:eastAsia="Calibri"/>
          <w:noProof/>
        </w:rPr>
        <w:t>Élément P3C2: RENFORCER LE NIVEAU DE COMPÉTENCE ET LA RÉFORME DE L'APPRENTISSAGE CONTINU</w:t>
      </w:r>
      <w:r>
        <w:rPr>
          <w:rFonts w:ascii="Times New Roman" w:eastAsia="Times New Roman" w:hAnsi="Times New Roman"/>
          <w:noProof/>
        </w:rPr>
        <w:t xml:space="preserve"> </w:t>
      </w:r>
    </w:p>
    <w:p w14:paraId="047941A0" w14:textId="77777777" w:rsidR="003D7F65" w:rsidRDefault="0082041E">
      <w:pPr>
        <w:pStyle w:val="P68B1DB1-Normal4"/>
        <w:spacing w:before="120" w:after="120" w:line="240" w:lineRule="auto"/>
        <w:jc w:val="both"/>
        <w:rPr>
          <w:noProof/>
        </w:rPr>
      </w:pPr>
      <w:r>
        <w:rPr>
          <w:noProof/>
        </w:rPr>
        <w:t>Ce volet du plan finlandais pour la reprise et la résilience répond aux défis découlant de la mondialisation et des changements technologiques et démographiques, qui ont une incidence sur l’économie finlandaise et menacent le niveau de l’emploi. Le développement des compétences des personnes en âge de travailler (par la reconversion et le perfectionnement professionnels), y compris des personnes peu qualifiées, dans des domaines pertinents pour le marché du travail est essentiel pour renforcer l’employabilité de la main-d’œuvre dans une économie de plus en plus numérique et plus verte.</w:t>
      </w:r>
    </w:p>
    <w:p w14:paraId="3AD74894" w14:textId="77777777" w:rsidR="003D7F65" w:rsidRDefault="0082041E">
      <w:pPr>
        <w:pStyle w:val="P68B1DB1-Normal4"/>
        <w:spacing w:before="120" w:after="120" w:line="240" w:lineRule="auto"/>
        <w:jc w:val="both"/>
        <w:rPr>
          <w:noProof/>
        </w:rPr>
      </w:pPr>
      <w:r>
        <w:rPr>
          <w:noProof/>
        </w:rPr>
        <w:t xml:space="preserve">L’objectif général de ce volet est de relever le niveau de compétences de la Finlande et d’accroître l’efficacité du système d’enseignement supérieur. Pour atteindre cet objectif, le volet comprend les activités suivantes: i) une réforme de l’apprentissage continu afin de répondre aux besoins futurs en matière de compétences; ii) investir dans la numérisation de l’apprentissage continu; iii) l'augmentation du nombre de places d'étudiants dans l'enseignement supérieur; et iv) investir dans la numérisation et la modernisation de l’enseignement supérieur dans les îles Åland. </w:t>
      </w:r>
    </w:p>
    <w:p w14:paraId="70082B1B" w14:textId="77777777" w:rsidR="003D7F65" w:rsidRDefault="0082041E">
      <w:pPr>
        <w:pStyle w:val="P68B1DB1-Normal4"/>
        <w:spacing w:before="120" w:after="120" w:line="240" w:lineRule="auto"/>
        <w:jc w:val="both"/>
        <w:rPr>
          <w:noProof/>
        </w:rPr>
      </w:pPr>
      <w:r>
        <w:rPr>
          <w:noProof/>
        </w:rPr>
        <w:t xml:space="preserve">Le volet soutiendra des transitions plus fluides entre la vie professionnelle et l’éducation. Elle contribue également à améliorer les conditions d'emploi, en particulier parmi les groupes sous-représentés, et à permettre aux personnes des secteurs économiques clés d'assumer de nouvelles tâches. </w:t>
      </w:r>
    </w:p>
    <w:p w14:paraId="046AA6BE" w14:textId="77777777" w:rsidR="003D7F65" w:rsidRDefault="0082041E">
      <w:pPr>
        <w:pStyle w:val="P68B1DB1-Normal4"/>
        <w:spacing w:before="120" w:after="120" w:line="240" w:lineRule="auto"/>
        <w:jc w:val="both"/>
        <w:rPr>
          <w:noProof/>
        </w:rPr>
      </w:pPr>
      <w:r>
        <w:rPr>
          <w:noProof/>
        </w:rPr>
        <w:t>Ce volet contribue à donner suite aux recommandations par pays relatives à l’amélioration des incitations à accepter un travail et au renforcement des compétences et de l’inclusion active, notamment au moyen de services bien intégrés pour les chômeurs et les inactifs (recommandation par pays no 2 de 2019), ainsi qu’au renforcement des mesures visant à soutenir l’emploi et à soutenir les politiques actives du marché du travail (recommandation par pays no 2 de 2020).</w:t>
      </w:r>
    </w:p>
    <w:p w14:paraId="0A8B8B49" w14:textId="77777777" w:rsidR="003D7F65" w:rsidRDefault="0082041E">
      <w:pPr>
        <w:pStyle w:val="P68B1DB1-Normal4"/>
        <w:spacing w:before="120" w:after="120" w:line="240" w:lineRule="auto"/>
        <w:jc w:val="both"/>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266B3534" w14:textId="77777777" w:rsidR="003D7F65" w:rsidRDefault="0082041E">
      <w:pPr>
        <w:pStyle w:val="P68B1DB1-Normal4"/>
        <w:spacing w:before="120" w:after="120" w:line="240" w:lineRule="auto"/>
        <w:jc w:val="both"/>
        <w:rPr>
          <w:noProof/>
        </w:rPr>
      </w:pPr>
      <w:r>
        <w:rPr>
          <w:b/>
          <w:noProof/>
        </w:rPr>
        <w:t>J.1. Description des réformes et des investissements pour le soutien financier non remboursable</w:t>
      </w:r>
      <w:r>
        <w:rPr>
          <w:noProof/>
        </w:rPr>
        <w:t xml:space="preserve"> </w:t>
      </w:r>
    </w:p>
    <w:p w14:paraId="79E4E2E1" w14:textId="77777777" w:rsidR="003D7F65" w:rsidRDefault="0082041E">
      <w:pPr>
        <w:pStyle w:val="P68B1DB1-Normal6"/>
        <w:spacing w:before="120" w:after="120" w:line="240" w:lineRule="auto"/>
        <w:jc w:val="both"/>
        <w:rPr>
          <w:noProof/>
        </w:rPr>
      </w:pPr>
      <w:r>
        <w:rPr>
          <w:noProof/>
        </w:rPr>
        <w:t xml:space="preserve">Réforme 1 (P3C2R1): Réforme de l'apprentissage continu </w:t>
      </w:r>
    </w:p>
    <w:p w14:paraId="5CE0CD85" w14:textId="0A519B53" w:rsidR="003D7F65" w:rsidRDefault="0082041E">
      <w:pPr>
        <w:pStyle w:val="P68B1DB1-Normal4"/>
        <w:spacing w:before="120" w:after="120" w:line="240" w:lineRule="auto"/>
        <w:jc w:val="both"/>
        <w:rPr>
          <w:noProof/>
        </w:rPr>
      </w:pPr>
      <w:r>
        <w:rPr>
          <w:noProof/>
        </w:rPr>
        <w:t xml:space="preserve">L'objectif de cette réforme est de soutenir l'apprentissage continu. La mesure consiste en: i) la création d’un centre de services pour l’apprentissage continu et l’emploi afin de promouvoir la mise en œuvre de la réforme; ii) la création d’un système d’anticipation des besoins en main-d’œuvre et en compétences; iii) la mise en œuvre de programmes de formation qui soutiennent la transition numérique, la compréhension des nouvelles méthodes de travail, ainsi qu’une transition juste vers une société neutre en carbone; et iv) la mise en œuvre de formations pour les services d’orientation professionnelle. </w:t>
      </w:r>
    </w:p>
    <w:p w14:paraId="373943DB" w14:textId="77777777" w:rsidR="003D7F65" w:rsidRDefault="0082041E">
      <w:pPr>
        <w:pStyle w:val="P68B1DB1-Normal6"/>
        <w:spacing w:before="120" w:after="120" w:line="240" w:lineRule="auto"/>
        <w:jc w:val="both"/>
        <w:rPr>
          <w:noProof/>
        </w:rPr>
      </w:pPr>
      <w:r>
        <w:rPr>
          <w:noProof/>
        </w:rPr>
        <w:t xml:space="preserve">Investissement 1 (P3C2I1): Programme de numérisation pour l’apprentissage continu </w:t>
      </w:r>
    </w:p>
    <w:p w14:paraId="2AECE88D" w14:textId="77777777" w:rsidR="003D7F65" w:rsidRDefault="0082041E">
      <w:pPr>
        <w:pStyle w:val="P68B1DB1-Normal4"/>
        <w:spacing w:before="120" w:after="120" w:line="240" w:lineRule="auto"/>
        <w:jc w:val="both"/>
        <w:rPr>
          <w:noProof/>
        </w:rPr>
      </w:pPr>
      <w:r>
        <w:rPr>
          <w:noProof/>
        </w:rPr>
        <w:t xml:space="preserve">L’objectif de cet investissement est de mettre en œuvre un vaste programme de numérisation visant à développer des services numériques et des ressources d’information qui soutiennent l’apprentissage continu. La mesure consiste à créer des services numériques pour l’apprentissage continu. </w:t>
      </w:r>
    </w:p>
    <w:p w14:paraId="5DA22158" w14:textId="77777777" w:rsidR="003D7F65" w:rsidRDefault="0082041E">
      <w:pPr>
        <w:pStyle w:val="P68B1DB1-Normal6"/>
        <w:spacing w:before="120" w:after="120" w:line="240" w:lineRule="auto"/>
        <w:jc w:val="both"/>
        <w:rPr>
          <w:noProof/>
        </w:rPr>
      </w:pPr>
      <w:r>
        <w:rPr>
          <w:noProof/>
        </w:rPr>
        <w:t>Investissement 2 (P3C2I2): Améliorer le niveau d'éducation en augmentant les places d'étudiants dans l'enseignement supérieur</w:t>
      </w:r>
    </w:p>
    <w:p w14:paraId="2FE608AF" w14:textId="77777777" w:rsidR="003D7F65" w:rsidRDefault="0082041E">
      <w:pPr>
        <w:pStyle w:val="P68B1DB1-Normal4"/>
        <w:spacing w:before="120" w:after="120" w:line="240" w:lineRule="auto"/>
        <w:jc w:val="both"/>
        <w:rPr>
          <w:noProof/>
        </w:rPr>
      </w:pPr>
      <w:r>
        <w:rPr>
          <w:noProof/>
        </w:rPr>
        <w:t xml:space="preserve">L'objectif de cet investissement est d'élever le niveau d'éducation en augmentant le nombre de personnes titulaires d'un diplôme de l'enseignement supérieur. L’objectif est de contribuer à la reprise économique et d’atténuer les effets négatifs de la pandémie de COVID-19 en accélérant l’accès des jeunes à l’enseignement supérieur. </w:t>
      </w:r>
    </w:p>
    <w:p w14:paraId="26E7E1A4" w14:textId="77777777" w:rsidR="003D7F65" w:rsidRDefault="0082041E">
      <w:pPr>
        <w:pStyle w:val="P68B1DB1-Normal4"/>
        <w:spacing w:before="120" w:after="120" w:line="240" w:lineRule="auto"/>
        <w:jc w:val="both"/>
        <w:rPr>
          <w:noProof/>
        </w:rPr>
      </w:pPr>
      <w:r>
        <w:rPr>
          <w:noProof/>
        </w:rPr>
        <w:t>La mesure consiste à augmenter d’au moins 600 le nombre de places allouées aux établissements d’enseignement supérieur proposant des études supérieures destinées aux secteurs professionnels confrontés à des pénuries de main-d’œuvre. Ces secteurs comprennent les secteurs sociaux et des soins de santé, de l'éducation, de la technologie et des TIC. Tous les secteurs professionnels choisis contribuent à la bonne mise en œuvre du plan pour la reprise et la résilience. L’investissement couvre les coûts de l’éducation des étudiants pour l’établissement d’enseignement supérieur pendant toute la durée des études.</w:t>
      </w:r>
    </w:p>
    <w:p w14:paraId="28C80FAB" w14:textId="27F5E5D7" w:rsidR="003D7F65" w:rsidRDefault="0082041E">
      <w:pPr>
        <w:pStyle w:val="P68B1DB1-Normal4"/>
        <w:spacing w:before="120" w:after="120" w:line="240" w:lineRule="auto"/>
        <w:jc w:val="both"/>
        <w:rPr>
          <w:noProof/>
        </w:rPr>
      </w:pPr>
      <w:r>
        <w:rPr>
          <w:noProof/>
        </w:rPr>
        <w:t>La mise en œuvre de l’investissement est achevée au plus tard le 31 décembre 2022.</w:t>
      </w:r>
    </w:p>
    <w:p w14:paraId="1E0DEAB7" w14:textId="77777777" w:rsidR="003D7F65" w:rsidRDefault="0082041E">
      <w:pPr>
        <w:pStyle w:val="P68B1DB1-Normal6"/>
        <w:spacing w:before="120" w:after="120" w:line="240" w:lineRule="auto"/>
        <w:jc w:val="both"/>
        <w:rPr>
          <w:noProof/>
        </w:rPr>
      </w:pPr>
      <w:r>
        <w:rPr>
          <w:noProof/>
        </w:rPr>
        <w:t xml:space="preserve">Investissement 3 (P3C2I3): Numérisation de l’éducation en Åland </w:t>
      </w:r>
    </w:p>
    <w:p w14:paraId="16F22EEC" w14:textId="010283A6" w:rsidR="003D7F65" w:rsidRDefault="0082041E">
      <w:pPr>
        <w:pStyle w:val="P68B1DB1-Normal4"/>
        <w:spacing w:before="120" w:after="120" w:line="240" w:lineRule="auto"/>
        <w:jc w:val="both"/>
        <w:rPr>
          <w:noProof/>
        </w:rPr>
      </w:pPr>
      <w:r>
        <w:rPr>
          <w:noProof/>
        </w:rPr>
        <w:t>Les objectifs de cet investissement sont d'améliorer la qualité des compétences fournies par le système éducatif, d'offrir des possibilités d'apprentissage tout au long de la vie et de soutenir la création d'emplois et l'esprit d'entreprise dans les îles Åland. La mesure consiste à numériser les études supérieures et à créer deux nouveaux programmes de licence et de master dans les domaines de la numérisation, de l’automatisation et des énergies renouvelables.</w:t>
      </w:r>
    </w:p>
    <w:p w14:paraId="63FECF4D" w14:textId="77777777" w:rsidR="003D7F65" w:rsidRDefault="003D7F65">
      <w:pPr>
        <w:spacing w:after="0" w:line="240" w:lineRule="auto"/>
        <w:rPr>
          <w:rFonts w:ascii="Times New Roman" w:eastAsia="Times New Roman" w:hAnsi="Times New Roman"/>
          <w:noProof/>
          <w:sz w:val="24"/>
          <w:szCs w:val="24"/>
        </w:rPr>
        <w:sectPr w:rsidR="003D7F65" w:rsidSect="00A7081A">
          <w:headerReference w:type="even" r:id="rId122"/>
          <w:headerReference w:type="default" r:id="rId123"/>
          <w:footerReference w:type="even" r:id="rId124"/>
          <w:footerReference w:type="default" r:id="rId125"/>
          <w:headerReference w:type="first" r:id="rId126"/>
          <w:footerReference w:type="first" r:id="rId127"/>
          <w:pgSz w:w="11907" w:h="16839" w:code="9"/>
          <w:pgMar w:top="1134" w:right="1134" w:bottom="1134" w:left="1134" w:header="567" w:footer="567" w:gutter="0"/>
          <w:cols w:space="720"/>
          <w:docGrid w:linePitch="360"/>
        </w:sectPr>
      </w:pPr>
    </w:p>
    <w:p w14:paraId="4163A652" w14:textId="77777777" w:rsidR="003D7F65" w:rsidRDefault="0082041E">
      <w:pPr>
        <w:pStyle w:val="P68B1DB1-Normal5"/>
        <w:spacing w:before="120" w:after="120" w:line="240" w:lineRule="auto"/>
        <w:jc w:val="both"/>
        <w:rPr>
          <w:bCs/>
          <w:noProof/>
        </w:rPr>
      </w:pPr>
      <w:r>
        <w:rPr>
          <w:noProof/>
        </w:rPr>
        <w:t xml:space="preserve">J.2. </w:t>
      </w:r>
      <w:r>
        <w:rPr>
          <w:noProof/>
        </w:rPr>
        <w:tab/>
        <w:t>Étapes, cibles, indicateurs et calendrier pour le suivi et la mise en œuvre du soutien financier non remboursable</w:t>
      </w:r>
    </w:p>
    <w:tbl>
      <w:tblPr>
        <w:tblW w:w="15593" w:type="dxa"/>
        <w:jc w:val="center"/>
        <w:tblLayout w:type="fixed"/>
        <w:tblCellMar>
          <w:left w:w="28" w:type="dxa"/>
          <w:right w:w="28" w:type="dxa"/>
        </w:tblCellMar>
        <w:tblLook w:val="04A0" w:firstRow="1" w:lastRow="0" w:firstColumn="1" w:lastColumn="0" w:noHBand="0" w:noVBand="1"/>
      </w:tblPr>
      <w:tblGrid>
        <w:gridCol w:w="867"/>
        <w:gridCol w:w="1528"/>
        <w:gridCol w:w="1144"/>
        <w:gridCol w:w="1438"/>
        <w:gridCol w:w="1417"/>
        <w:gridCol w:w="972"/>
        <w:gridCol w:w="1134"/>
        <w:gridCol w:w="851"/>
        <w:gridCol w:w="1134"/>
        <w:gridCol w:w="1134"/>
        <w:gridCol w:w="3974"/>
      </w:tblGrid>
      <w:tr w:rsidR="003D7F65" w14:paraId="1FBD4EBA" w14:textId="77777777" w:rsidTr="00904869">
        <w:trPr>
          <w:trHeight w:val="741"/>
          <w:tblHeader/>
          <w:jc w:val="center"/>
        </w:trPr>
        <w:tc>
          <w:tcPr>
            <w:tcW w:w="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7D258D" w14:textId="77777777" w:rsidR="003D7F65" w:rsidRDefault="0082041E">
            <w:pPr>
              <w:pStyle w:val="P68B1DB1-Normal7"/>
              <w:spacing w:after="0" w:line="240" w:lineRule="auto"/>
              <w:jc w:val="center"/>
              <w:rPr>
                <w:noProof/>
              </w:rPr>
            </w:pPr>
            <w:r>
              <w:rPr>
                <w:noProof/>
              </w:rPr>
              <w:t>Numéro</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1687A3" w14:textId="77777777" w:rsidR="003D7F65" w:rsidRDefault="0082041E">
            <w:pPr>
              <w:pStyle w:val="P68B1DB1-Normal7"/>
              <w:spacing w:after="0" w:line="240" w:lineRule="auto"/>
              <w:jc w:val="center"/>
              <w:rPr>
                <w:noProof/>
              </w:rPr>
            </w:pPr>
            <w:r>
              <w:rPr>
                <w:noProof/>
              </w:rPr>
              <w:t>Mesure</w:t>
            </w:r>
          </w:p>
        </w:tc>
        <w:tc>
          <w:tcPr>
            <w:tcW w:w="11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5E43F8" w14:textId="77777777" w:rsidR="003D7F65" w:rsidRDefault="0082041E">
            <w:pPr>
              <w:pStyle w:val="P68B1DB1-Normal7"/>
              <w:spacing w:after="0" w:line="240" w:lineRule="auto"/>
              <w:jc w:val="center"/>
              <w:rPr>
                <w:noProof/>
              </w:rPr>
            </w:pPr>
            <w:r>
              <w:rPr>
                <w:noProof/>
              </w:rPr>
              <w:t>Étape/cible</w:t>
            </w:r>
          </w:p>
        </w:tc>
        <w:tc>
          <w:tcPr>
            <w:tcW w:w="14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624D12" w14:textId="77777777" w:rsidR="003D7F65" w:rsidRDefault="0082041E">
            <w:pPr>
              <w:pStyle w:val="P68B1DB1-Normal7"/>
              <w:spacing w:after="0" w:line="240" w:lineRule="auto"/>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338C6D" w14:textId="77777777" w:rsidR="003D7F65" w:rsidRDefault="0082041E">
            <w:pPr>
              <w:pStyle w:val="P68B1DB1-Normal7"/>
              <w:spacing w:after="0" w:line="240" w:lineRule="auto"/>
              <w:jc w:val="center"/>
              <w:rPr>
                <w:bCs/>
                <w:noProof/>
              </w:rPr>
            </w:pPr>
            <w:r>
              <w:rPr>
                <w:noProof/>
              </w:rPr>
              <w:t>Indicateurs qualitatifs (pour les jalons)</w:t>
            </w:r>
          </w:p>
        </w:tc>
        <w:tc>
          <w:tcPr>
            <w:tcW w:w="29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F9EDFC0" w14:textId="77777777" w:rsidR="003D7F65" w:rsidRDefault="0082041E">
            <w:pPr>
              <w:pStyle w:val="P68B1DB1-Normal7"/>
              <w:spacing w:after="0" w:line="240" w:lineRule="auto"/>
              <w:jc w:val="center"/>
              <w:rPr>
                <w:bCs/>
                <w:noProof/>
              </w:rPr>
            </w:pPr>
            <w:r>
              <w:rPr>
                <w:noProof/>
              </w:rPr>
              <w:t>Indicateurs quantitatifs (pour les objectifs)</w:t>
            </w:r>
          </w:p>
        </w:tc>
        <w:tc>
          <w:tcPr>
            <w:tcW w:w="2268" w:type="dxa"/>
            <w:gridSpan w:val="2"/>
            <w:tcBorders>
              <w:top w:val="single" w:sz="4" w:space="0" w:color="auto"/>
              <w:left w:val="nil"/>
              <w:bottom w:val="single" w:sz="4" w:space="0" w:color="auto"/>
              <w:right w:val="single" w:sz="4" w:space="0" w:color="auto"/>
            </w:tcBorders>
            <w:shd w:val="clear" w:color="auto" w:fill="BDD7EE"/>
            <w:vAlign w:val="center"/>
            <w:hideMark/>
          </w:tcPr>
          <w:p w14:paraId="6CFAC4C1" w14:textId="37AC048E" w:rsidR="003D7F65" w:rsidRDefault="0082041E">
            <w:pPr>
              <w:pStyle w:val="P68B1DB1-Normal7"/>
              <w:spacing w:after="0" w:line="240" w:lineRule="auto"/>
              <w:jc w:val="center"/>
              <w:rPr>
                <w:noProof/>
              </w:rPr>
            </w:pPr>
            <w:r>
              <w:rPr>
                <w:noProof/>
              </w:rPr>
              <w:t>Calendrier indicatif d'achèvement</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5B118D" w14:textId="77777777" w:rsidR="003D7F65" w:rsidRDefault="0082041E">
            <w:pPr>
              <w:pStyle w:val="P68B1DB1-Normal7"/>
              <w:spacing w:after="0" w:line="240" w:lineRule="auto"/>
              <w:jc w:val="center"/>
              <w:rPr>
                <w:noProof/>
              </w:rPr>
            </w:pPr>
            <w:r>
              <w:rPr>
                <w:noProof/>
              </w:rPr>
              <w:t>Description de chaque jalon et cible</w:t>
            </w:r>
          </w:p>
        </w:tc>
      </w:tr>
      <w:tr w:rsidR="003D7F65" w14:paraId="5AD281D8" w14:textId="77777777" w:rsidTr="00904869">
        <w:trPr>
          <w:trHeight w:val="512"/>
          <w:tblHeader/>
          <w:jc w:val="center"/>
        </w:trPr>
        <w:tc>
          <w:tcPr>
            <w:tcW w:w="867" w:type="dxa"/>
            <w:vMerge/>
            <w:tcBorders>
              <w:top w:val="single" w:sz="4" w:space="0" w:color="auto"/>
              <w:left w:val="single" w:sz="4" w:space="0" w:color="auto"/>
              <w:bottom w:val="single" w:sz="4" w:space="0" w:color="auto"/>
              <w:right w:val="single" w:sz="4" w:space="0" w:color="auto"/>
            </w:tcBorders>
            <w:vAlign w:val="center"/>
            <w:hideMark/>
          </w:tcPr>
          <w:p w14:paraId="3C81FCD4" w14:textId="77777777" w:rsidR="003D7F65" w:rsidRDefault="003D7F65">
            <w:pPr>
              <w:spacing w:after="0" w:line="240" w:lineRule="auto"/>
              <w:rPr>
                <w:rFonts w:ascii="Times New Roman" w:eastAsia="Times New Roman" w:hAnsi="Times New Roman"/>
                <w:b/>
                <w:noProof/>
                <w:sz w:val="20"/>
                <w:szCs w:val="20"/>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61CD20E3" w14:textId="77777777" w:rsidR="003D7F65" w:rsidRDefault="003D7F65">
            <w:pPr>
              <w:spacing w:after="0" w:line="240" w:lineRule="auto"/>
              <w:rPr>
                <w:rFonts w:ascii="Times New Roman" w:eastAsia="Times New Roman" w:hAnsi="Times New Roman"/>
                <w:b/>
                <w:noProof/>
                <w:sz w:val="20"/>
                <w:szCs w:val="20"/>
              </w:rPr>
            </w:pP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1573966F" w14:textId="77777777" w:rsidR="003D7F65" w:rsidRDefault="003D7F65">
            <w:pPr>
              <w:spacing w:after="0" w:line="240" w:lineRule="auto"/>
              <w:rPr>
                <w:rFonts w:ascii="Times New Roman" w:eastAsia="Times New Roman" w:hAnsi="Times New Roman"/>
                <w:b/>
                <w:noProof/>
                <w:sz w:val="20"/>
                <w:szCs w:val="20"/>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14:paraId="0E5EDE5E" w14:textId="77777777" w:rsidR="003D7F65" w:rsidRDefault="003D7F65">
            <w:pPr>
              <w:spacing w:after="0" w:line="240" w:lineRule="auto"/>
              <w:rPr>
                <w:rFonts w:ascii="Times New Roman" w:eastAsia="Times New Roman" w:hAnsi="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8857EE8" w14:textId="77777777" w:rsidR="003D7F65" w:rsidRDefault="003D7F65">
            <w:pPr>
              <w:spacing w:after="0" w:line="240" w:lineRule="auto"/>
              <w:rPr>
                <w:rFonts w:ascii="Times New Roman" w:eastAsia="Times New Roman" w:hAnsi="Times New Roman"/>
                <w:b/>
                <w:noProof/>
                <w:sz w:val="20"/>
                <w:szCs w:val="20"/>
              </w:rPr>
            </w:pPr>
          </w:p>
        </w:tc>
        <w:tc>
          <w:tcPr>
            <w:tcW w:w="9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462846A" w14:textId="77777777" w:rsidR="003D7F65" w:rsidRDefault="0082041E">
            <w:pPr>
              <w:pStyle w:val="P68B1DB1-Normal7"/>
              <w:spacing w:after="0" w:line="240" w:lineRule="auto"/>
              <w:jc w:val="center"/>
              <w:rPr>
                <w:noProof/>
              </w:rPr>
            </w:pPr>
            <w:r>
              <w:rPr>
                <w:noProof/>
              </w:rPr>
              <w:t>Unité</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327EB332" w14:textId="77777777" w:rsidR="003D7F65" w:rsidRDefault="0082041E">
            <w:pPr>
              <w:pStyle w:val="P68B1DB1-Normal7"/>
              <w:spacing w:after="0" w:line="240" w:lineRule="auto"/>
              <w:jc w:val="center"/>
              <w:rPr>
                <w:bCs/>
                <w:noProof/>
              </w:rPr>
            </w:pPr>
            <w:r>
              <w:rPr>
                <w:noProof/>
              </w:rPr>
              <w:t xml:space="preserve">Données de référence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41AD5317" w14:textId="77777777" w:rsidR="003D7F65" w:rsidRDefault="0082041E">
            <w:pPr>
              <w:pStyle w:val="P68B1DB1-Normal7"/>
              <w:spacing w:after="0" w:line="240" w:lineRule="auto"/>
              <w:jc w:val="center"/>
              <w:rPr>
                <w:noProof/>
              </w:rPr>
            </w:pPr>
            <w:r>
              <w:rPr>
                <w:noProof/>
              </w:rPr>
              <w:t xml:space="preserve">Objectif </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31596F99" w14:textId="77777777" w:rsidR="003D7F65" w:rsidRDefault="0082041E">
            <w:pPr>
              <w:pStyle w:val="P68B1DB1-Normal7"/>
              <w:spacing w:after="0" w:line="240" w:lineRule="auto"/>
              <w:jc w:val="center"/>
              <w:rPr>
                <w:noProof/>
              </w:rPr>
            </w:pPr>
            <w:r>
              <w:rPr>
                <w:noProof/>
              </w:rPr>
              <w:t>Trimestre</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4F1B1D0B" w14:textId="77777777" w:rsidR="003D7F65" w:rsidRDefault="0082041E">
            <w:pPr>
              <w:pStyle w:val="P68B1DB1-Normal7"/>
              <w:spacing w:after="0" w:line="240" w:lineRule="auto"/>
              <w:jc w:val="center"/>
              <w:rPr>
                <w:noProof/>
              </w:rPr>
            </w:pPr>
            <w:r>
              <w:rPr>
                <w:noProof/>
              </w:rPr>
              <w:t>Année</w:t>
            </w:r>
          </w:p>
        </w:tc>
        <w:tc>
          <w:tcPr>
            <w:tcW w:w="3974" w:type="dxa"/>
            <w:vMerge/>
            <w:tcBorders>
              <w:top w:val="single" w:sz="4" w:space="0" w:color="auto"/>
              <w:bottom w:val="single" w:sz="4" w:space="0" w:color="auto"/>
              <w:right w:val="single" w:sz="4" w:space="0" w:color="auto"/>
            </w:tcBorders>
            <w:vAlign w:val="center"/>
            <w:hideMark/>
          </w:tcPr>
          <w:p w14:paraId="5E360E61" w14:textId="77777777" w:rsidR="003D7F65" w:rsidRDefault="003D7F65">
            <w:pPr>
              <w:spacing w:after="0" w:line="240" w:lineRule="auto"/>
              <w:rPr>
                <w:rFonts w:ascii="Times New Roman" w:eastAsia="Times New Roman" w:hAnsi="Times New Roman"/>
                <w:b/>
                <w:noProof/>
                <w:sz w:val="20"/>
                <w:szCs w:val="20"/>
              </w:rPr>
            </w:pPr>
          </w:p>
        </w:tc>
      </w:tr>
      <w:tr w:rsidR="003D7F65" w14:paraId="5643B4ED" w14:textId="77777777" w:rsidTr="00904869">
        <w:trPr>
          <w:trHeight w:val="309"/>
          <w:jc w:val="center"/>
        </w:trPr>
        <w:tc>
          <w:tcPr>
            <w:tcW w:w="867" w:type="dxa"/>
            <w:tcBorders>
              <w:top w:val="single" w:sz="4" w:space="0" w:color="auto"/>
              <w:left w:val="single" w:sz="4" w:space="0" w:color="auto"/>
              <w:bottom w:val="single" w:sz="4" w:space="0" w:color="auto"/>
              <w:right w:val="single" w:sz="4" w:space="0" w:color="auto"/>
            </w:tcBorders>
            <w:shd w:val="clear" w:color="auto" w:fill="C6EFCE"/>
            <w:noWrap/>
            <w:hideMark/>
          </w:tcPr>
          <w:p w14:paraId="58CC16CE" w14:textId="77777777" w:rsidR="003D7F65" w:rsidRDefault="0082041E">
            <w:pPr>
              <w:pStyle w:val="P68B1DB1-Normal9"/>
              <w:spacing w:after="0" w:line="240" w:lineRule="auto"/>
              <w:jc w:val="center"/>
              <w:rPr>
                <w:noProof/>
              </w:rPr>
            </w:pPr>
            <w:r>
              <w:rPr>
                <w:noProof/>
              </w:rPr>
              <w:t>91</w:t>
            </w:r>
          </w:p>
        </w:tc>
        <w:tc>
          <w:tcPr>
            <w:tcW w:w="1528" w:type="dxa"/>
            <w:tcBorders>
              <w:top w:val="single" w:sz="4" w:space="0" w:color="auto"/>
              <w:left w:val="nil"/>
              <w:bottom w:val="single" w:sz="4" w:space="0" w:color="auto"/>
              <w:right w:val="single" w:sz="4" w:space="0" w:color="auto"/>
            </w:tcBorders>
            <w:shd w:val="clear" w:color="auto" w:fill="C6EFCE"/>
            <w:noWrap/>
            <w:hideMark/>
          </w:tcPr>
          <w:p w14:paraId="2893C6C9" w14:textId="77777777" w:rsidR="003D7F65" w:rsidRDefault="0082041E">
            <w:pPr>
              <w:pStyle w:val="P68B1DB1-Normal9"/>
              <w:spacing w:after="0" w:line="240" w:lineRule="auto"/>
              <w:rPr>
                <w:noProof/>
              </w:rPr>
            </w:pPr>
            <w:r>
              <w:rPr>
                <w:noProof/>
              </w:rPr>
              <w:t>P3C2R1- Réforme de l'apprentissage continu</w:t>
            </w:r>
          </w:p>
        </w:tc>
        <w:tc>
          <w:tcPr>
            <w:tcW w:w="1144" w:type="dxa"/>
            <w:tcBorders>
              <w:top w:val="single" w:sz="4" w:space="0" w:color="auto"/>
              <w:left w:val="nil"/>
              <w:bottom w:val="single" w:sz="4" w:space="0" w:color="auto"/>
              <w:right w:val="single" w:sz="4" w:space="0" w:color="auto"/>
            </w:tcBorders>
            <w:shd w:val="clear" w:color="auto" w:fill="C6EFCE"/>
            <w:noWrap/>
            <w:hideMark/>
          </w:tcPr>
          <w:p w14:paraId="483DE0B7" w14:textId="77777777" w:rsidR="003D7F65" w:rsidRDefault="0082041E">
            <w:pPr>
              <w:pStyle w:val="P68B1DB1-Normal9"/>
              <w:spacing w:after="0" w:line="240" w:lineRule="auto"/>
              <w:rPr>
                <w:noProof/>
              </w:rPr>
            </w:pPr>
            <w:r>
              <w:rPr>
                <w:noProof/>
              </w:rPr>
              <w:t>Étape</w:t>
            </w:r>
          </w:p>
        </w:tc>
        <w:tc>
          <w:tcPr>
            <w:tcW w:w="1438" w:type="dxa"/>
            <w:tcBorders>
              <w:top w:val="single" w:sz="4" w:space="0" w:color="auto"/>
              <w:left w:val="nil"/>
              <w:bottom w:val="single" w:sz="4" w:space="0" w:color="auto"/>
              <w:right w:val="single" w:sz="4" w:space="0" w:color="auto"/>
            </w:tcBorders>
            <w:shd w:val="clear" w:color="auto" w:fill="C6EFCE"/>
            <w:noWrap/>
            <w:hideMark/>
          </w:tcPr>
          <w:p w14:paraId="08E2A234" w14:textId="76BA3B41" w:rsidR="003D7F65" w:rsidRDefault="0082041E">
            <w:pPr>
              <w:pStyle w:val="P68B1DB1-Normal9"/>
              <w:spacing w:after="0" w:line="240" w:lineRule="auto"/>
              <w:rPr>
                <w:noProof/>
              </w:rPr>
            </w:pPr>
            <w:r>
              <w:rPr>
                <w:noProof/>
              </w:rPr>
              <w:t>Entrée en vigueur de la loi sur le Centre de services pour l'apprentissage continu et l'emploi</w:t>
            </w:r>
          </w:p>
        </w:tc>
        <w:tc>
          <w:tcPr>
            <w:tcW w:w="1417" w:type="dxa"/>
            <w:tcBorders>
              <w:top w:val="single" w:sz="4" w:space="0" w:color="auto"/>
              <w:left w:val="nil"/>
              <w:bottom w:val="single" w:sz="4" w:space="0" w:color="auto"/>
              <w:right w:val="single" w:sz="4" w:space="0" w:color="auto"/>
            </w:tcBorders>
            <w:shd w:val="clear" w:color="auto" w:fill="C6EFCE"/>
            <w:noWrap/>
            <w:hideMark/>
          </w:tcPr>
          <w:p w14:paraId="79755092" w14:textId="6FC514C2" w:rsidR="003D7F65" w:rsidRDefault="0082041E">
            <w:pPr>
              <w:pStyle w:val="P68B1DB1-Normal9"/>
              <w:spacing w:after="0" w:line="240" w:lineRule="auto"/>
              <w:rPr>
                <w:noProof/>
              </w:rPr>
            </w:pPr>
            <w:r>
              <w:rPr>
                <w:noProof/>
              </w:rPr>
              <w:t>Disposition de la loi sur le Centre de services pour l'apprentissage continu et l'emploi indiquant son entrée en vigueur</w:t>
            </w:r>
          </w:p>
        </w:tc>
        <w:tc>
          <w:tcPr>
            <w:tcW w:w="972" w:type="dxa"/>
            <w:tcBorders>
              <w:top w:val="nil"/>
              <w:left w:val="nil"/>
              <w:bottom w:val="single" w:sz="4" w:space="0" w:color="auto"/>
              <w:right w:val="single" w:sz="4" w:space="0" w:color="auto"/>
            </w:tcBorders>
            <w:shd w:val="clear" w:color="auto" w:fill="C6EFCE"/>
            <w:noWrap/>
            <w:hideMark/>
          </w:tcPr>
          <w:p w14:paraId="24A0ED46"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4CBB5033" w14:textId="77777777"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49009017"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35A49AD9"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hideMark/>
          </w:tcPr>
          <w:p w14:paraId="06D53E2B" w14:textId="77777777" w:rsidR="003D7F65" w:rsidRDefault="0082041E">
            <w:pPr>
              <w:pStyle w:val="P68B1DB1-Normal9"/>
              <w:spacing w:after="0" w:line="240" w:lineRule="auto"/>
              <w:jc w:val="center"/>
              <w:rPr>
                <w:noProof/>
              </w:rPr>
            </w:pPr>
            <w:r>
              <w:rPr>
                <w:noProof/>
              </w:rPr>
              <w:t>2021</w:t>
            </w:r>
          </w:p>
        </w:tc>
        <w:tc>
          <w:tcPr>
            <w:tcW w:w="3974" w:type="dxa"/>
            <w:tcBorders>
              <w:top w:val="single" w:sz="4" w:space="0" w:color="auto"/>
              <w:left w:val="nil"/>
              <w:bottom w:val="single" w:sz="4" w:space="0" w:color="auto"/>
              <w:right w:val="single" w:sz="4" w:space="0" w:color="auto"/>
            </w:tcBorders>
            <w:shd w:val="clear" w:color="auto" w:fill="C6EFCE"/>
            <w:noWrap/>
            <w:hideMark/>
          </w:tcPr>
          <w:p w14:paraId="3DBEA81A" w14:textId="77777777" w:rsidR="003D7F65" w:rsidRDefault="0082041E">
            <w:pPr>
              <w:pStyle w:val="P68B1DB1-Normal8"/>
              <w:spacing w:after="0" w:line="240" w:lineRule="auto"/>
              <w:rPr>
                <w:noProof/>
              </w:rPr>
            </w:pPr>
            <w:r>
              <w:rPr>
                <w:noProof/>
              </w:rPr>
              <w:t>Entrée en vigueur de la loi sur le Centre de services finlandais pour l'apprentissage continu et l'emploi. La loi contient au moins les informations suivantes: i) l’organisation et la structure du centre de services; ii) la mission et les objectifs; iii) le financement de services d’éducation et de compétences. L'objectif de la création du centre de services est de réformer le système de services afin que le développement des compétences de la population en âge de travailler soit plus étroitement lié aux besoins de la vie active et au développement et au renouvellement des industries régionales. Le centre de services pour l'apprentissage continu et l'emploi est conçu pour promouvoir le développement des compétences au sein de la population en âge de travailler et la disponibilité d'une main-d'œuvre qualifiée.</w:t>
            </w:r>
          </w:p>
        </w:tc>
      </w:tr>
      <w:tr w:rsidR="003D7F65" w14:paraId="4FB8E534"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7E80CCDF" w14:textId="77777777" w:rsidR="003D7F65" w:rsidRDefault="0082041E">
            <w:pPr>
              <w:pStyle w:val="P68B1DB1-Normal9"/>
              <w:spacing w:after="0" w:line="240" w:lineRule="auto"/>
              <w:jc w:val="center"/>
              <w:rPr>
                <w:noProof/>
              </w:rPr>
            </w:pPr>
            <w:r>
              <w:rPr>
                <w:noProof/>
              </w:rPr>
              <w:t>92</w:t>
            </w:r>
          </w:p>
        </w:tc>
        <w:tc>
          <w:tcPr>
            <w:tcW w:w="1528" w:type="dxa"/>
            <w:tcBorders>
              <w:top w:val="nil"/>
              <w:left w:val="nil"/>
              <w:bottom w:val="single" w:sz="4" w:space="0" w:color="auto"/>
              <w:right w:val="single" w:sz="4" w:space="0" w:color="auto"/>
            </w:tcBorders>
            <w:shd w:val="clear" w:color="auto" w:fill="C6EFCE"/>
            <w:noWrap/>
            <w:hideMark/>
          </w:tcPr>
          <w:p w14:paraId="2E4092FB" w14:textId="77777777" w:rsidR="003D7F65" w:rsidRDefault="0082041E">
            <w:pPr>
              <w:pStyle w:val="P68B1DB1-Normal9"/>
              <w:spacing w:after="0" w:line="240" w:lineRule="auto"/>
              <w:rPr>
                <w:noProof/>
              </w:rPr>
            </w:pPr>
            <w:r>
              <w:rPr>
                <w:noProof/>
              </w:rPr>
              <w:t xml:space="preserve">P3C2R1- Réforme de l'apprentissage continu </w:t>
            </w:r>
          </w:p>
        </w:tc>
        <w:tc>
          <w:tcPr>
            <w:tcW w:w="1144" w:type="dxa"/>
            <w:tcBorders>
              <w:top w:val="nil"/>
              <w:left w:val="nil"/>
              <w:bottom w:val="single" w:sz="4" w:space="0" w:color="auto"/>
              <w:right w:val="single" w:sz="4" w:space="0" w:color="auto"/>
            </w:tcBorders>
            <w:shd w:val="clear" w:color="auto" w:fill="C6EFCE"/>
            <w:noWrap/>
            <w:hideMark/>
          </w:tcPr>
          <w:p w14:paraId="7E536658" w14:textId="77777777" w:rsidR="003D7F65" w:rsidRDefault="0082041E">
            <w:pPr>
              <w:pStyle w:val="P68B1DB1-Normal9"/>
              <w:spacing w:after="0" w:line="240" w:lineRule="auto"/>
              <w:rPr>
                <w:noProof/>
              </w:rPr>
            </w:pPr>
            <w:r>
              <w:rPr>
                <w:noProof/>
              </w:rPr>
              <w:t>Étape</w:t>
            </w:r>
          </w:p>
        </w:tc>
        <w:tc>
          <w:tcPr>
            <w:tcW w:w="1438" w:type="dxa"/>
            <w:tcBorders>
              <w:top w:val="nil"/>
              <w:left w:val="nil"/>
              <w:bottom w:val="single" w:sz="4" w:space="0" w:color="auto"/>
              <w:right w:val="single" w:sz="4" w:space="0" w:color="auto"/>
            </w:tcBorders>
            <w:shd w:val="clear" w:color="auto" w:fill="C6EFCE"/>
            <w:noWrap/>
            <w:hideMark/>
          </w:tcPr>
          <w:p w14:paraId="608A42E4" w14:textId="77777777" w:rsidR="003D7F65" w:rsidRDefault="0082041E">
            <w:pPr>
              <w:pStyle w:val="P68B1DB1-Normal9"/>
              <w:spacing w:after="0" w:line="240" w:lineRule="auto"/>
              <w:rPr>
                <w:noProof/>
              </w:rPr>
            </w:pPr>
            <w:r>
              <w:rPr>
                <w:noProof/>
              </w:rPr>
              <w:t>Achèvement d'un modèle de prospective à moyen terme pour les besoins en main-d'œuvre et en compétences</w:t>
            </w:r>
          </w:p>
        </w:tc>
        <w:tc>
          <w:tcPr>
            <w:tcW w:w="1417" w:type="dxa"/>
            <w:tcBorders>
              <w:top w:val="nil"/>
              <w:left w:val="nil"/>
              <w:bottom w:val="single" w:sz="4" w:space="0" w:color="auto"/>
              <w:right w:val="single" w:sz="4" w:space="0" w:color="auto"/>
            </w:tcBorders>
            <w:shd w:val="clear" w:color="auto" w:fill="C6EFCE"/>
            <w:noWrap/>
            <w:hideMark/>
          </w:tcPr>
          <w:p w14:paraId="333507A9" w14:textId="77777777" w:rsidR="003D7F65" w:rsidRDefault="0082041E">
            <w:pPr>
              <w:pStyle w:val="P68B1DB1-Normal9"/>
              <w:spacing w:after="0" w:line="240" w:lineRule="auto"/>
              <w:rPr>
                <w:noProof/>
              </w:rPr>
            </w:pPr>
            <w:r>
              <w:rPr>
                <w:noProof/>
              </w:rPr>
              <w:t>Le modèle de prospective à moyen terme est opérationnel</w:t>
            </w:r>
          </w:p>
        </w:tc>
        <w:tc>
          <w:tcPr>
            <w:tcW w:w="972" w:type="dxa"/>
            <w:tcBorders>
              <w:top w:val="nil"/>
              <w:left w:val="nil"/>
              <w:bottom w:val="single" w:sz="4" w:space="0" w:color="auto"/>
              <w:right w:val="single" w:sz="4" w:space="0" w:color="auto"/>
            </w:tcBorders>
            <w:shd w:val="clear" w:color="auto" w:fill="C6EFCE"/>
            <w:noWrap/>
            <w:hideMark/>
          </w:tcPr>
          <w:p w14:paraId="1473A847"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340B6304" w14:textId="77777777"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33E26546"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0F53F996"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hideMark/>
          </w:tcPr>
          <w:p w14:paraId="239AAA17" w14:textId="77777777" w:rsidR="003D7F65" w:rsidRDefault="0082041E">
            <w:pPr>
              <w:pStyle w:val="P68B1DB1-Normal9"/>
              <w:spacing w:after="0" w:line="240" w:lineRule="auto"/>
              <w:jc w:val="center"/>
              <w:rPr>
                <w:noProof/>
              </w:rPr>
            </w:pPr>
            <w:r>
              <w:rPr>
                <w:noProof/>
              </w:rPr>
              <w:t>2023</w:t>
            </w:r>
          </w:p>
        </w:tc>
        <w:tc>
          <w:tcPr>
            <w:tcW w:w="3974" w:type="dxa"/>
            <w:tcBorders>
              <w:top w:val="nil"/>
              <w:left w:val="nil"/>
              <w:bottom w:val="single" w:sz="4" w:space="0" w:color="auto"/>
              <w:right w:val="single" w:sz="4" w:space="0" w:color="auto"/>
            </w:tcBorders>
            <w:shd w:val="clear" w:color="auto" w:fill="C6EFCE"/>
            <w:noWrap/>
            <w:hideMark/>
          </w:tcPr>
          <w:p w14:paraId="7F7BE97A" w14:textId="77777777" w:rsidR="003D7F65" w:rsidRDefault="0082041E">
            <w:pPr>
              <w:pStyle w:val="P68B1DB1-Normal8"/>
              <w:spacing w:after="0" w:line="240" w:lineRule="auto"/>
              <w:rPr>
                <w:noProof/>
              </w:rPr>
            </w:pPr>
            <w:r>
              <w:rPr>
                <w:noProof/>
              </w:rPr>
              <w:t>Un système de prévision des besoins en main-d'œuvre et en compétences doit être achevé et opérationnel. Le modèle renforce la capacité d'anticipation des compétences nécessaires à la population en âge de travailler. Le modèle comprend la prévision de la demande à moyen terme de main-d’œuvre, d’éducation et de compétences, ainsi qu’une évaluation de l’évolution des différents flux d’offre de main-d’œuvre (prévision du nombre de qualifications accomplies à différents niveaux d’éducation, évaluation du développement des transitions professionnelles et évaluation du potentiel de main-d’œuvre des chômeurs et des personnes n’appartenant pas à la population active).</w:t>
            </w:r>
          </w:p>
        </w:tc>
      </w:tr>
      <w:tr w:rsidR="003D7F65" w14:paraId="46B2C320"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033DEDB6" w14:textId="77777777" w:rsidR="003D7F65" w:rsidRDefault="0082041E">
            <w:pPr>
              <w:pStyle w:val="P68B1DB1-Normal9"/>
              <w:spacing w:after="0" w:line="240" w:lineRule="auto"/>
              <w:jc w:val="center"/>
              <w:rPr>
                <w:noProof/>
              </w:rPr>
            </w:pPr>
            <w:r>
              <w:rPr>
                <w:noProof/>
              </w:rPr>
              <w:t>93</w:t>
            </w:r>
          </w:p>
        </w:tc>
        <w:tc>
          <w:tcPr>
            <w:tcW w:w="1528" w:type="dxa"/>
            <w:tcBorders>
              <w:top w:val="nil"/>
              <w:left w:val="nil"/>
              <w:bottom w:val="single" w:sz="4" w:space="0" w:color="auto"/>
              <w:right w:val="single" w:sz="4" w:space="0" w:color="auto"/>
            </w:tcBorders>
            <w:shd w:val="clear" w:color="auto" w:fill="C6EFCE"/>
            <w:noWrap/>
          </w:tcPr>
          <w:p w14:paraId="79D50F38" w14:textId="77777777" w:rsidR="003D7F65" w:rsidRDefault="0082041E">
            <w:pPr>
              <w:pStyle w:val="P68B1DB1-Normal9"/>
              <w:spacing w:after="0" w:line="240" w:lineRule="auto"/>
              <w:rPr>
                <w:noProof/>
              </w:rPr>
            </w:pPr>
            <w:r>
              <w:rPr>
                <w:noProof/>
              </w:rPr>
              <w:t>P3C2R1- Réforme de l'apprentissage continu</w:t>
            </w:r>
          </w:p>
        </w:tc>
        <w:tc>
          <w:tcPr>
            <w:tcW w:w="1144" w:type="dxa"/>
            <w:tcBorders>
              <w:top w:val="nil"/>
              <w:left w:val="nil"/>
              <w:bottom w:val="single" w:sz="4" w:space="0" w:color="auto"/>
              <w:right w:val="single" w:sz="4" w:space="0" w:color="auto"/>
            </w:tcBorders>
            <w:shd w:val="clear" w:color="auto" w:fill="C6EFCE"/>
            <w:noWrap/>
          </w:tcPr>
          <w:p w14:paraId="7DB5C8B6" w14:textId="77777777" w:rsidR="003D7F65" w:rsidRDefault="0082041E">
            <w:pPr>
              <w:pStyle w:val="P68B1DB1-Normal9"/>
              <w:spacing w:after="0" w:line="240" w:lineRule="auto"/>
              <w:rPr>
                <w:noProof/>
              </w:rPr>
            </w:pPr>
            <w:r>
              <w:rPr>
                <w:noProof/>
              </w:rPr>
              <w:t>Étape</w:t>
            </w:r>
          </w:p>
        </w:tc>
        <w:tc>
          <w:tcPr>
            <w:tcW w:w="1438" w:type="dxa"/>
            <w:tcBorders>
              <w:top w:val="nil"/>
              <w:left w:val="nil"/>
              <w:bottom w:val="single" w:sz="4" w:space="0" w:color="auto"/>
              <w:right w:val="single" w:sz="4" w:space="0" w:color="auto"/>
            </w:tcBorders>
            <w:shd w:val="clear" w:color="auto" w:fill="C6EFCE"/>
            <w:noWrap/>
          </w:tcPr>
          <w:p w14:paraId="41E1D824" w14:textId="77777777" w:rsidR="003D7F65" w:rsidRDefault="0082041E">
            <w:pPr>
              <w:pStyle w:val="P68B1DB1-Normal9"/>
              <w:spacing w:after="0" w:line="240" w:lineRule="auto"/>
              <w:rPr>
                <w:noProof/>
              </w:rPr>
            </w:pPr>
            <w:r>
              <w:rPr>
                <w:noProof/>
              </w:rPr>
              <w:t>Publication du premier appel à candidatures pour la formation au renforcement des compétences numériques et vertes</w:t>
            </w:r>
          </w:p>
        </w:tc>
        <w:tc>
          <w:tcPr>
            <w:tcW w:w="1417" w:type="dxa"/>
            <w:tcBorders>
              <w:top w:val="single" w:sz="4" w:space="0" w:color="auto"/>
              <w:left w:val="nil"/>
              <w:bottom w:val="single" w:sz="4" w:space="0" w:color="auto"/>
              <w:right w:val="single" w:sz="4" w:space="0" w:color="auto"/>
            </w:tcBorders>
            <w:shd w:val="clear" w:color="auto" w:fill="C6EFCE"/>
            <w:noWrap/>
          </w:tcPr>
          <w:p w14:paraId="102DB7D2" w14:textId="1F7F3FF3" w:rsidR="003D7F65" w:rsidRDefault="0082041E">
            <w:pPr>
              <w:pStyle w:val="P68B1DB1-Normal9"/>
              <w:spacing w:after="0" w:line="240" w:lineRule="auto"/>
              <w:rPr>
                <w:noProof/>
              </w:rPr>
            </w:pPr>
            <w:r>
              <w:rPr>
                <w:noProof/>
              </w:rPr>
              <w:t>Publication du premier appel à candidatures</w:t>
            </w:r>
          </w:p>
        </w:tc>
        <w:tc>
          <w:tcPr>
            <w:tcW w:w="972" w:type="dxa"/>
            <w:tcBorders>
              <w:top w:val="nil"/>
              <w:left w:val="nil"/>
              <w:bottom w:val="single" w:sz="4" w:space="0" w:color="auto"/>
              <w:right w:val="single" w:sz="4" w:space="0" w:color="auto"/>
            </w:tcBorders>
            <w:shd w:val="clear" w:color="auto" w:fill="C6EFCE"/>
            <w:noWrap/>
          </w:tcPr>
          <w:p w14:paraId="44F1A57E"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566A114" w14:textId="77777777"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4D3E289F"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64A949FB" w14:textId="77777777" w:rsidR="003D7F65" w:rsidRDefault="0082041E">
            <w:pPr>
              <w:pStyle w:val="P68B1DB1-Normal9"/>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noWrap/>
          </w:tcPr>
          <w:p w14:paraId="4D880371" w14:textId="77777777" w:rsidR="003D7F65" w:rsidRDefault="0082041E">
            <w:pPr>
              <w:pStyle w:val="P68B1DB1-Normal9"/>
              <w:spacing w:after="0" w:line="240" w:lineRule="auto"/>
              <w:jc w:val="center"/>
              <w:rPr>
                <w:noProof/>
              </w:rPr>
            </w:pPr>
            <w:r>
              <w:rPr>
                <w:noProof/>
              </w:rPr>
              <w:t>2022</w:t>
            </w:r>
          </w:p>
        </w:tc>
        <w:tc>
          <w:tcPr>
            <w:tcW w:w="3974" w:type="dxa"/>
            <w:tcBorders>
              <w:top w:val="nil"/>
              <w:left w:val="nil"/>
              <w:bottom w:val="single" w:sz="4" w:space="0" w:color="auto"/>
              <w:right w:val="single" w:sz="4" w:space="0" w:color="auto"/>
            </w:tcBorders>
            <w:shd w:val="clear" w:color="auto" w:fill="C6EFCE"/>
            <w:noWrap/>
          </w:tcPr>
          <w:p w14:paraId="665ECEC2" w14:textId="54BCCEB5" w:rsidR="003D7F65" w:rsidRDefault="0082041E">
            <w:pPr>
              <w:pStyle w:val="P68B1DB1-Normal8"/>
              <w:spacing w:after="0" w:line="240" w:lineRule="auto"/>
              <w:rPr>
                <w:rFonts w:eastAsia="Times New Roman"/>
                <w:noProof/>
              </w:rPr>
            </w:pPr>
            <w:r>
              <w:rPr>
                <w:noProof/>
              </w:rPr>
              <w:t>Lancement du premier appel à candidatures pour la fourniture de formations visant à répondre aux changements dans la vie professionnelle, y compris la numérisation et la transition écologique.</w:t>
            </w:r>
          </w:p>
          <w:p w14:paraId="077F4DAD" w14:textId="77777777" w:rsidR="003D7F65" w:rsidRDefault="003D7F65">
            <w:pPr>
              <w:spacing w:after="0" w:line="240" w:lineRule="auto"/>
              <w:rPr>
                <w:rFonts w:ascii="Times New Roman" w:hAnsi="Times New Roman"/>
                <w:noProof/>
                <w:sz w:val="20"/>
                <w:szCs w:val="20"/>
              </w:rPr>
            </w:pPr>
          </w:p>
          <w:p w14:paraId="5E2EDBCA" w14:textId="60DB483C" w:rsidR="003D7F65" w:rsidRDefault="0082041E">
            <w:pPr>
              <w:pStyle w:val="P68B1DB1-Normal8"/>
              <w:spacing w:after="0" w:line="240" w:lineRule="auto"/>
              <w:rPr>
                <w:noProof/>
              </w:rPr>
            </w:pPr>
            <w:r>
              <w:rPr>
                <w:noProof/>
              </w:rPr>
              <w:t>Au moins 20 % de la formation sont destinés à soutenir en particulier la transition numérique (15 %) et une transition juste vers une société neutre en carbone (5 %). À cette fin, le cahier des charges des appels à candidatures ou des appels à la concurrence comprend des critères de sélection/d’éligibilité correspondant aux domaines d’intervention applicables énoncés aux annexes VI et VII du règlement établissant la facilité pour la reprise et la résilience, à savoir «Contribuer aux compétences et emplois verts et à l’économie verte (01)» et «Soutien au développement des compétences numériques (108)».</w:t>
            </w:r>
          </w:p>
        </w:tc>
      </w:tr>
      <w:tr w:rsidR="003D7F65" w14:paraId="255EB0A4"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52F48E4C" w14:textId="77777777" w:rsidR="003D7F65" w:rsidRDefault="0082041E">
            <w:pPr>
              <w:pStyle w:val="P68B1DB1-Normal9"/>
              <w:spacing w:after="0" w:line="240" w:lineRule="auto"/>
              <w:jc w:val="center"/>
              <w:rPr>
                <w:noProof/>
              </w:rPr>
            </w:pPr>
            <w:r>
              <w:rPr>
                <w:noProof/>
              </w:rPr>
              <w:t>94</w:t>
            </w:r>
          </w:p>
        </w:tc>
        <w:tc>
          <w:tcPr>
            <w:tcW w:w="1528" w:type="dxa"/>
            <w:tcBorders>
              <w:top w:val="single" w:sz="4" w:space="0" w:color="auto"/>
              <w:left w:val="nil"/>
              <w:bottom w:val="single" w:sz="4" w:space="0" w:color="auto"/>
              <w:right w:val="single" w:sz="4" w:space="0" w:color="auto"/>
            </w:tcBorders>
            <w:shd w:val="clear" w:color="auto" w:fill="C6EFCE"/>
            <w:noWrap/>
          </w:tcPr>
          <w:p w14:paraId="0B03D420" w14:textId="77777777" w:rsidR="003D7F65" w:rsidRDefault="0082041E">
            <w:pPr>
              <w:pStyle w:val="P68B1DB1-Normal9"/>
              <w:spacing w:after="0" w:line="240" w:lineRule="auto"/>
              <w:rPr>
                <w:noProof/>
              </w:rPr>
            </w:pPr>
            <w:r>
              <w:rPr>
                <w:noProof/>
              </w:rPr>
              <w:t>P3C2R1- Réforme de l'apprentissage continu</w:t>
            </w:r>
          </w:p>
        </w:tc>
        <w:tc>
          <w:tcPr>
            <w:tcW w:w="1144" w:type="dxa"/>
            <w:tcBorders>
              <w:top w:val="nil"/>
              <w:left w:val="nil"/>
              <w:bottom w:val="single" w:sz="4" w:space="0" w:color="auto"/>
              <w:right w:val="single" w:sz="4" w:space="0" w:color="auto"/>
            </w:tcBorders>
            <w:shd w:val="clear" w:color="auto" w:fill="C6EFCE"/>
            <w:noWrap/>
          </w:tcPr>
          <w:p w14:paraId="2CED9349" w14:textId="77777777" w:rsidR="003D7F65" w:rsidRDefault="0082041E">
            <w:pPr>
              <w:pStyle w:val="P68B1DB1-Normal9"/>
              <w:spacing w:after="0" w:line="240" w:lineRule="auto"/>
              <w:rPr>
                <w:noProof/>
              </w:rPr>
            </w:pPr>
            <w:r>
              <w:rPr>
                <w:noProof/>
              </w:rPr>
              <w:t>Objectif</w:t>
            </w:r>
          </w:p>
        </w:tc>
        <w:tc>
          <w:tcPr>
            <w:tcW w:w="1438" w:type="dxa"/>
            <w:tcBorders>
              <w:top w:val="single" w:sz="4" w:space="0" w:color="auto"/>
              <w:left w:val="nil"/>
              <w:bottom w:val="single" w:sz="4" w:space="0" w:color="auto"/>
              <w:right w:val="single" w:sz="4" w:space="0" w:color="auto"/>
            </w:tcBorders>
            <w:shd w:val="clear" w:color="auto" w:fill="C6EFCE"/>
            <w:noWrap/>
          </w:tcPr>
          <w:p w14:paraId="3138322F" w14:textId="77777777" w:rsidR="003D7F65" w:rsidRDefault="0082041E">
            <w:pPr>
              <w:pStyle w:val="P68B1DB1-Normal9"/>
              <w:spacing w:after="0" w:line="240" w:lineRule="auto"/>
              <w:rPr>
                <w:noProof/>
              </w:rPr>
            </w:pPr>
            <w:r>
              <w:rPr>
                <w:noProof/>
              </w:rPr>
              <w:t xml:space="preserve">Nombre de personnes ayant participé à des formations pour faire face aux changements dans la vie professionnelle, y compris la numérisation et la transition écologique </w:t>
            </w:r>
          </w:p>
        </w:tc>
        <w:tc>
          <w:tcPr>
            <w:tcW w:w="1417" w:type="dxa"/>
            <w:tcBorders>
              <w:top w:val="single" w:sz="4" w:space="0" w:color="auto"/>
              <w:left w:val="nil"/>
              <w:bottom w:val="single" w:sz="4" w:space="0" w:color="auto"/>
              <w:right w:val="single" w:sz="4" w:space="0" w:color="auto"/>
            </w:tcBorders>
            <w:shd w:val="clear" w:color="auto" w:fill="C6EFCE"/>
            <w:noWrap/>
          </w:tcPr>
          <w:p w14:paraId="53EA06AC" w14:textId="77777777" w:rsidR="003D7F65" w:rsidRDefault="003D7F65">
            <w:pPr>
              <w:spacing w:after="0" w:line="240" w:lineRule="auto"/>
              <w:rPr>
                <w:rFonts w:ascii="Times New Roman" w:eastAsia="Times New Roman" w:hAnsi="Times New Roman"/>
                <w:noProof/>
                <w:sz w:val="20"/>
                <w:szCs w:val="20"/>
              </w:rPr>
            </w:pPr>
          </w:p>
        </w:tc>
        <w:tc>
          <w:tcPr>
            <w:tcW w:w="972" w:type="dxa"/>
            <w:tcBorders>
              <w:top w:val="single" w:sz="4" w:space="0" w:color="auto"/>
              <w:left w:val="nil"/>
              <w:bottom w:val="single" w:sz="4" w:space="0" w:color="auto"/>
              <w:right w:val="single" w:sz="4" w:space="0" w:color="auto"/>
            </w:tcBorders>
            <w:shd w:val="clear" w:color="auto" w:fill="C6EFCE"/>
            <w:noWrap/>
          </w:tcPr>
          <w:p w14:paraId="540EC6E8" w14:textId="77777777" w:rsidR="003D7F65" w:rsidRDefault="0082041E">
            <w:pPr>
              <w:pStyle w:val="P68B1DB1-Normal9"/>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55F184A0" w14:textId="77777777" w:rsidR="003D7F65" w:rsidRDefault="0082041E">
            <w:pPr>
              <w:pStyle w:val="P68B1DB1-Normal9"/>
              <w:spacing w:after="0" w:line="240" w:lineRule="auto"/>
              <w:jc w:val="center"/>
              <w:rPr>
                <w:noProof/>
              </w:rPr>
            </w:pPr>
            <w:r>
              <w:rPr>
                <w:noProof/>
              </w:rPr>
              <w:t>0</w:t>
            </w:r>
          </w:p>
        </w:tc>
        <w:tc>
          <w:tcPr>
            <w:tcW w:w="851" w:type="dxa"/>
            <w:tcBorders>
              <w:top w:val="nil"/>
              <w:left w:val="nil"/>
              <w:bottom w:val="single" w:sz="4" w:space="0" w:color="auto"/>
              <w:right w:val="single" w:sz="4" w:space="0" w:color="auto"/>
            </w:tcBorders>
            <w:shd w:val="clear" w:color="auto" w:fill="C6EFCE"/>
            <w:noWrap/>
          </w:tcPr>
          <w:p w14:paraId="2D79DFDE" w14:textId="77777777" w:rsidR="003D7F65" w:rsidRDefault="0082041E">
            <w:pPr>
              <w:pStyle w:val="P68B1DB1-Normal9"/>
              <w:spacing w:after="0" w:line="240" w:lineRule="auto"/>
              <w:jc w:val="center"/>
              <w:rPr>
                <w:noProof/>
              </w:rPr>
            </w:pPr>
            <w:r>
              <w:rPr>
                <w:noProof/>
              </w:rPr>
              <w:t>7 800</w:t>
            </w:r>
          </w:p>
        </w:tc>
        <w:tc>
          <w:tcPr>
            <w:tcW w:w="1134" w:type="dxa"/>
            <w:tcBorders>
              <w:top w:val="nil"/>
              <w:left w:val="nil"/>
              <w:bottom w:val="single" w:sz="4" w:space="0" w:color="auto"/>
              <w:right w:val="single" w:sz="4" w:space="0" w:color="auto"/>
            </w:tcBorders>
            <w:shd w:val="clear" w:color="auto" w:fill="C6EFCE"/>
            <w:noWrap/>
          </w:tcPr>
          <w:p w14:paraId="378E1726" w14:textId="77777777" w:rsidR="003D7F65" w:rsidRDefault="0082041E">
            <w:pPr>
              <w:pStyle w:val="P68B1DB1-Normal9"/>
              <w:spacing w:after="0" w:line="240" w:lineRule="auto"/>
              <w:jc w:val="center"/>
              <w:rPr>
                <w:noProof/>
              </w:rPr>
            </w:pPr>
            <w:r>
              <w:rPr>
                <w:noProof/>
              </w:rPr>
              <w:t>T2</w:t>
            </w:r>
          </w:p>
        </w:tc>
        <w:tc>
          <w:tcPr>
            <w:tcW w:w="1134" w:type="dxa"/>
            <w:tcBorders>
              <w:top w:val="nil"/>
              <w:left w:val="nil"/>
              <w:bottom w:val="single" w:sz="4" w:space="0" w:color="auto"/>
              <w:right w:val="single" w:sz="4" w:space="0" w:color="auto"/>
            </w:tcBorders>
            <w:shd w:val="clear" w:color="auto" w:fill="C6EFCE"/>
            <w:noWrap/>
          </w:tcPr>
          <w:p w14:paraId="611ADBED" w14:textId="77777777" w:rsidR="003D7F65" w:rsidRDefault="0082041E">
            <w:pPr>
              <w:pStyle w:val="P68B1DB1-Normal9"/>
              <w:spacing w:after="0" w:line="240" w:lineRule="auto"/>
              <w:jc w:val="center"/>
              <w:rPr>
                <w:noProof/>
              </w:rPr>
            </w:pPr>
            <w:r>
              <w:rPr>
                <w:noProof/>
              </w:rPr>
              <w:t>2026</w:t>
            </w:r>
          </w:p>
        </w:tc>
        <w:tc>
          <w:tcPr>
            <w:tcW w:w="3974" w:type="dxa"/>
            <w:tcBorders>
              <w:top w:val="nil"/>
              <w:left w:val="nil"/>
              <w:bottom w:val="single" w:sz="4" w:space="0" w:color="auto"/>
              <w:right w:val="single" w:sz="4" w:space="0" w:color="auto"/>
            </w:tcBorders>
            <w:shd w:val="clear" w:color="auto" w:fill="C6EFCE"/>
            <w:noWrap/>
          </w:tcPr>
          <w:p w14:paraId="5E740C1B" w14:textId="6A52D4C3" w:rsidR="003D7F65" w:rsidRDefault="0082041E">
            <w:pPr>
              <w:pStyle w:val="P68B1DB1-Normal8"/>
              <w:spacing w:after="0" w:line="240" w:lineRule="auto"/>
              <w:rPr>
                <w:noProof/>
              </w:rPr>
            </w:pPr>
            <w:r>
              <w:rPr>
                <w:noProof/>
              </w:rPr>
              <w:t>Au moins 7 800 personnes, dont 1 500 membres de groupes sous-représentés, ont participé aux programmes de formation.</w:t>
            </w:r>
          </w:p>
          <w:p w14:paraId="25014F10" w14:textId="77777777" w:rsidR="003D7F65" w:rsidRDefault="003D7F65">
            <w:pPr>
              <w:spacing w:after="0" w:line="240" w:lineRule="auto"/>
              <w:rPr>
                <w:rFonts w:ascii="Times New Roman" w:hAnsi="Times New Roman"/>
                <w:noProof/>
                <w:sz w:val="20"/>
                <w:szCs w:val="20"/>
              </w:rPr>
            </w:pPr>
          </w:p>
          <w:p w14:paraId="3E42D7D4" w14:textId="588AD35C" w:rsidR="003D7F65" w:rsidRDefault="0082041E">
            <w:pPr>
              <w:pStyle w:val="P68B1DB1-Normal8"/>
              <w:spacing w:after="0" w:line="240" w:lineRule="auto"/>
              <w:rPr>
                <w:rFonts w:eastAsia="Times New Roman"/>
                <w:noProof/>
              </w:rPr>
            </w:pPr>
            <w:r>
              <w:rPr>
                <w:noProof/>
              </w:rPr>
              <w:t>Au moins 20 % de la formation sont destinés à soutenir en particulier la transition numérique et une transition juste vers une société neutre en carbone.</w:t>
            </w:r>
          </w:p>
        </w:tc>
      </w:tr>
      <w:tr w:rsidR="003D7F65" w14:paraId="5E6E498D"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3CAB4823" w14:textId="77777777" w:rsidR="003D7F65" w:rsidRDefault="0082041E">
            <w:pPr>
              <w:pStyle w:val="P68B1DB1-Normal9"/>
              <w:spacing w:after="0" w:line="240" w:lineRule="auto"/>
              <w:jc w:val="center"/>
              <w:rPr>
                <w:noProof/>
              </w:rPr>
            </w:pPr>
            <w:r>
              <w:rPr>
                <w:noProof/>
              </w:rPr>
              <w:t> 95</w:t>
            </w:r>
          </w:p>
        </w:tc>
        <w:tc>
          <w:tcPr>
            <w:tcW w:w="1528" w:type="dxa"/>
            <w:tcBorders>
              <w:top w:val="nil"/>
              <w:left w:val="nil"/>
              <w:bottom w:val="single" w:sz="4" w:space="0" w:color="auto"/>
              <w:right w:val="single" w:sz="4" w:space="0" w:color="auto"/>
            </w:tcBorders>
            <w:shd w:val="clear" w:color="auto" w:fill="C6EFCE"/>
            <w:noWrap/>
            <w:hideMark/>
          </w:tcPr>
          <w:p w14:paraId="11FB4846" w14:textId="77777777" w:rsidR="003D7F65" w:rsidRDefault="0082041E">
            <w:pPr>
              <w:pStyle w:val="P68B1DB1-Normal9"/>
              <w:spacing w:after="0" w:line="240" w:lineRule="auto"/>
              <w:rPr>
                <w:noProof/>
              </w:rPr>
            </w:pPr>
            <w:r>
              <w:rPr>
                <w:noProof/>
              </w:rPr>
              <w:t>P3C2R1- Réforme de l'apprentissage continu</w:t>
            </w:r>
          </w:p>
        </w:tc>
        <w:tc>
          <w:tcPr>
            <w:tcW w:w="1144" w:type="dxa"/>
            <w:tcBorders>
              <w:top w:val="nil"/>
              <w:left w:val="nil"/>
              <w:bottom w:val="single" w:sz="4" w:space="0" w:color="auto"/>
              <w:right w:val="single" w:sz="4" w:space="0" w:color="auto"/>
            </w:tcBorders>
            <w:shd w:val="clear" w:color="auto" w:fill="C6EFCE"/>
            <w:noWrap/>
            <w:hideMark/>
          </w:tcPr>
          <w:p w14:paraId="70106BEF" w14:textId="6BE92C31" w:rsidR="003D7F65" w:rsidRDefault="0082041E">
            <w:pPr>
              <w:pStyle w:val="P68B1DB1-Normal9"/>
              <w:spacing w:after="0" w:line="240" w:lineRule="auto"/>
              <w:rPr>
                <w:noProof/>
              </w:rPr>
            </w:pPr>
            <w:r>
              <w:rPr>
                <w:noProof/>
              </w:rPr>
              <w:t>Objectif</w:t>
            </w:r>
          </w:p>
        </w:tc>
        <w:tc>
          <w:tcPr>
            <w:tcW w:w="1438" w:type="dxa"/>
            <w:tcBorders>
              <w:top w:val="nil"/>
              <w:left w:val="nil"/>
              <w:bottom w:val="single" w:sz="4" w:space="0" w:color="auto"/>
              <w:right w:val="single" w:sz="4" w:space="0" w:color="auto"/>
            </w:tcBorders>
            <w:shd w:val="clear" w:color="auto" w:fill="C6EFCE"/>
            <w:noWrap/>
            <w:hideMark/>
          </w:tcPr>
          <w:p w14:paraId="4109AD1B" w14:textId="77777777" w:rsidR="003D7F65" w:rsidRDefault="0082041E">
            <w:pPr>
              <w:pStyle w:val="P68B1DB1-Normal9"/>
              <w:spacing w:after="0" w:line="240" w:lineRule="auto"/>
              <w:rPr>
                <w:noProof/>
              </w:rPr>
            </w:pPr>
            <w:r>
              <w:rPr>
                <w:noProof/>
              </w:rPr>
              <w:t>Nombre de participants à une formation continue en orientation professionnelle</w:t>
            </w:r>
          </w:p>
        </w:tc>
        <w:tc>
          <w:tcPr>
            <w:tcW w:w="1417" w:type="dxa"/>
            <w:tcBorders>
              <w:top w:val="nil"/>
              <w:left w:val="nil"/>
              <w:bottom w:val="single" w:sz="4" w:space="0" w:color="auto"/>
              <w:right w:val="single" w:sz="4" w:space="0" w:color="auto"/>
            </w:tcBorders>
            <w:shd w:val="clear" w:color="auto" w:fill="C6EFCE"/>
            <w:noWrap/>
            <w:hideMark/>
          </w:tcPr>
          <w:p w14:paraId="2B42B343" w14:textId="77777777" w:rsidR="003D7F65" w:rsidRDefault="003D7F65">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hideMark/>
          </w:tcPr>
          <w:p w14:paraId="38E3CBA3" w14:textId="77777777" w:rsidR="003D7F65" w:rsidRDefault="0082041E">
            <w:pPr>
              <w:pStyle w:val="P68B1DB1-Normal9"/>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hideMark/>
          </w:tcPr>
          <w:p w14:paraId="1607EBD5" w14:textId="77777777" w:rsidR="003D7F65" w:rsidRDefault="0082041E">
            <w:pPr>
              <w:pStyle w:val="P68B1DB1-Normal9"/>
              <w:spacing w:after="0" w:line="240" w:lineRule="auto"/>
              <w:jc w:val="center"/>
              <w:rPr>
                <w:noProof/>
              </w:rPr>
            </w:pPr>
            <w:r>
              <w:rPr>
                <w:noProof/>
              </w:rPr>
              <w:t>0</w:t>
            </w:r>
          </w:p>
        </w:tc>
        <w:tc>
          <w:tcPr>
            <w:tcW w:w="851" w:type="dxa"/>
            <w:tcBorders>
              <w:top w:val="nil"/>
              <w:left w:val="nil"/>
              <w:bottom w:val="single" w:sz="4" w:space="0" w:color="auto"/>
              <w:right w:val="single" w:sz="4" w:space="0" w:color="auto"/>
            </w:tcBorders>
            <w:shd w:val="clear" w:color="auto" w:fill="C6EFCE"/>
            <w:noWrap/>
            <w:hideMark/>
          </w:tcPr>
          <w:p w14:paraId="48EF0606" w14:textId="77777777" w:rsidR="003D7F65" w:rsidRDefault="0082041E">
            <w:pPr>
              <w:pStyle w:val="P68B1DB1-Normal9"/>
              <w:spacing w:after="0" w:line="240" w:lineRule="auto"/>
              <w:jc w:val="center"/>
              <w:rPr>
                <w:noProof/>
              </w:rPr>
            </w:pPr>
            <w:r>
              <w:rPr>
                <w:noProof/>
              </w:rPr>
              <w:t>300</w:t>
            </w:r>
          </w:p>
        </w:tc>
        <w:tc>
          <w:tcPr>
            <w:tcW w:w="1134" w:type="dxa"/>
            <w:tcBorders>
              <w:top w:val="nil"/>
              <w:left w:val="nil"/>
              <w:bottom w:val="single" w:sz="4" w:space="0" w:color="auto"/>
              <w:right w:val="single" w:sz="4" w:space="0" w:color="auto"/>
            </w:tcBorders>
            <w:shd w:val="clear" w:color="auto" w:fill="C6EFCE"/>
            <w:noWrap/>
            <w:hideMark/>
          </w:tcPr>
          <w:p w14:paraId="14C6DE23"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hideMark/>
          </w:tcPr>
          <w:p w14:paraId="2C44A2E8" w14:textId="77777777" w:rsidR="003D7F65" w:rsidRDefault="0082041E">
            <w:pPr>
              <w:pStyle w:val="P68B1DB1-Normal9"/>
              <w:spacing w:after="0" w:line="240" w:lineRule="auto"/>
              <w:jc w:val="center"/>
              <w:rPr>
                <w:noProof/>
              </w:rPr>
            </w:pPr>
            <w:r>
              <w:rPr>
                <w:noProof/>
              </w:rPr>
              <w:t>2024</w:t>
            </w:r>
          </w:p>
        </w:tc>
        <w:tc>
          <w:tcPr>
            <w:tcW w:w="3974" w:type="dxa"/>
            <w:tcBorders>
              <w:top w:val="nil"/>
              <w:left w:val="nil"/>
              <w:bottom w:val="single" w:sz="4" w:space="0" w:color="auto"/>
              <w:right w:val="single" w:sz="4" w:space="0" w:color="auto"/>
            </w:tcBorders>
            <w:shd w:val="clear" w:color="auto" w:fill="C6EFCE"/>
            <w:noWrap/>
            <w:hideMark/>
          </w:tcPr>
          <w:p w14:paraId="602A6EFA" w14:textId="4A4BC9D5" w:rsidR="003D7F65" w:rsidRDefault="0082041E">
            <w:pPr>
              <w:pStyle w:val="P68B1DB1-Normal8"/>
              <w:spacing w:after="0" w:line="240" w:lineRule="auto"/>
              <w:rPr>
                <w:noProof/>
              </w:rPr>
            </w:pPr>
            <w:r>
              <w:rPr>
                <w:noProof/>
              </w:rPr>
              <w:t>Au moins 300 personnes reçoivent une formation complémentaire en orientation professionnelle, spécialisée dans l’un des domaines suivants: les compétences numériques des formateurs, la connaissance des langues et de la culture, la transition écologique ou la promotion de l’égalité entre les hommes et les femmes.</w:t>
            </w:r>
          </w:p>
          <w:p w14:paraId="56F05EB6" w14:textId="77777777" w:rsidR="003D7F65" w:rsidRDefault="003D7F65">
            <w:pPr>
              <w:spacing w:after="0" w:line="240" w:lineRule="auto"/>
              <w:rPr>
                <w:rFonts w:ascii="Times New Roman" w:hAnsi="Times New Roman"/>
                <w:noProof/>
                <w:sz w:val="20"/>
                <w:szCs w:val="20"/>
              </w:rPr>
            </w:pPr>
          </w:p>
        </w:tc>
      </w:tr>
      <w:tr w:rsidR="003D7F65" w14:paraId="4D6AC2C8"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48089378" w14:textId="77777777" w:rsidR="003D7F65" w:rsidRDefault="0082041E">
            <w:pPr>
              <w:pStyle w:val="P68B1DB1-Normal9"/>
              <w:spacing w:after="0" w:line="240" w:lineRule="auto"/>
              <w:jc w:val="center"/>
              <w:rPr>
                <w:noProof/>
              </w:rPr>
            </w:pPr>
            <w:r>
              <w:rPr>
                <w:noProof/>
              </w:rPr>
              <w:t> 96</w:t>
            </w:r>
          </w:p>
        </w:tc>
        <w:tc>
          <w:tcPr>
            <w:tcW w:w="1528" w:type="dxa"/>
            <w:tcBorders>
              <w:top w:val="nil"/>
              <w:left w:val="nil"/>
              <w:bottom w:val="single" w:sz="4" w:space="0" w:color="auto"/>
              <w:right w:val="single" w:sz="4" w:space="0" w:color="auto"/>
            </w:tcBorders>
            <w:shd w:val="clear" w:color="auto" w:fill="C6EFCE"/>
            <w:noWrap/>
            <w:hideMark/>
          </w:tcPr>
          <w:p w14:paraId="0C0E35FE" w14:textId="77777777" w:rsidR="003D7F65" w:rsidRDefault="0082041E">
            <w:pPr>
              <w:pStyle w:val="P68B1DB1-Normal9"/>
              <w:spacing w:after="0" w:line="240" w:lineRule="auto"/>
              <w:rPr>
                <w:noProof/>
              </w:rPr>
            </w:pPr>
            <w:r>
              <w:rPr>
                <w:noProof/>
              </w:rPr>
              <w:t>P3C2I1 - Programme de numérisation pour l'apprentissage continu</w:t>
            </w:r>
          </w:p>
        </w:tc>
        <w:tc>
          <w:tcPr>
            <w:tcW w:w="1144" w:type="dxa"/>
            <w:tcBorders>
              <w:top w:val="nil"/>
              <w:left w:val="nil"/>
              <w:bottom w:val="single" w:sz="4" w:space="0" w:color="auto"/>
              <w:right w:val="single" w:sz="4" w:space="0" w:color="auto"/>
            </w:tcBorders>
            <w:shd w:val="clear" w:color="auto" w:fill="C6EFCE"/>
            <w:noWrap/>
            <w:hideMark/>
          </w:tcPr>
          <w:p w14:paraId="183A0B1F" w14:textId="6B515067" w:rsidR="003D7F65" w:rsidRDefault="0082041E">
            <w:pPr>
              <w:pStyle w:val="P68B1DB1-Normal9"/>
              <w:spacing w:after="0" w:line="240" w:lineRule="auto"/>
              <w:rPr>
                <w:noProof/>
              </w:rPr>
            </w:pPr>
            <w:r>
              <w:rPr>
                <w:noProof/>
              </w:rPr>
              <w:t>Étape</w:t>
            </w:r>
          </w:p>
        </w:tc>
        <w:tc>
          <w:tcPr>
            <w:tcW w:w="1438" w:type="dxa"/>
            <w:tcBorders>
              <w:top w:val="nil"/>
              <w:left w:val="nil"/>
              <w:bottom w:val="single" w:sz="4" w:space="0" w:color="auto"/>
              <w:right w:val="single" w:sz="4" w:space="0" w:color="auto"/>
            </w:tcBorders>
            <w:shd w:val="clear" w:color="auto" w:fill="C6EFCE"/>
            <w:noWrap/>
            <w:hideMark/>
          </w:tcPr>
          <w:p w14:paraId="05C9606F" w14:textId="77777777" w:rsidR="003D7F65" w:rsidRDefault="0082041E">
            <w:pPr>
              <w:pStyle w:val="P68B1DB1-Normal9"/>
              <w:spacing w:after="0" w:line="240" w:lineRule="auto"/>
              <w:rPr>
                <w:noProof/>
              </w:rPr>
            </w:pPr>
            <w:r>
              <w:rPr>
                <w:noProof/>
              </w:rPr>
              <w:t>Achèvement de l’architecture informatique pour les services numériques d’apprentissage continu</w:t>
            </w:r>
          </w:p>
          <w:p w14:paraId="19853055" w14:textId="77777777" w:rsidR="003D7F65" w:rsidRDefault="003D7F65">
            <w:pPr>
              <w:spacing w:after="0" w:line="240" w:lineRule="auto"/>
              <w:rPr>
                <w:rFonts w:ascii="Times New Roman" w:eastAsia="Times New Roman" w:hAnsi="Times New Roman"/>
                <w:noProof/>
                <w:sz w:val="20"/>
                <w:szCs w:val="20"/>
              </w:rPr>
            </w:pPr>
          </w:p>
        </w:tc>
        <w:tc>
          <w:tcPr>
            <w:tcW w:w="1417" w:type="dxa"/>
            <w:tcBorders>
              <w:top w:val="nil"/>
              <w:left w:val="nil"/>
              <w:bottom w:val="single" w:sz="4" w:space="0" w:color="auto"/>
              <w:right w:val="single" w:sz="4" w:space="0" w:color="auto"/>
            </w:tcBorders>
            <w:shd w:val="clear" w:color="auto" w:fill="C6EFCE"/>
            <w:noWrap/>
            <w:hideMark/>
          </w:tcPr>
          <w:p w14:paraId="259BF496" w14:textId="77777777" w:rsidR="003D7F65" w:rsidRDefault="0082041E">
            <w:pPr>
              <w:pStyle w:val="P68B1DB1-Normal9"/>
              <w:spacing w:after="0" w:line="240" w:lineRule="auto"/>
              <w:rPr>
                <w:noProof/>
              </w:rPr>
            </w:pPr>
            <w:r>
              <w:rPr>
                <w:noProof/>
              </w:rPr>
              <w:t>L'architecture informatique est achevée et opérationnelle</w:t>
            </w:r>
          </w:p>
          <w:p w14:paraId="6B02F1CF" w14:textId="77777777" w:rsidR="003D7F65" w:rsidRDefault="003D7F65">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6B0391CD"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2FD4C34" w14:textId="77777777"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4A611B91"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0A6B57C2" w14:textId="7D2498BE"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hideMark/>
          </w:tcPr>
          <w:p w14:paraId="53125BEE" w14:textId="77777777" w:rsidR="003D7F65" w:rsidRDefault="0082041E">
            <w:pPr>
              <w:pStyle w:val="P68B1DB1-Normal9"/>
              <w:spacing w:after="0" w:line="240" w:lineRule="auto"/>
              <w:jc w:val="center"/>
              <w:rPr>
                <w:noProof/>
              </w:rPr>
            </w:pPr>
            <w:r>
              <w:rPr>
                <w:noProof/>
              </w:rPr>
              <w:t>2021</w:t>
            </w:r>
          </w:p>
        </w:tc>
        <w:tc>
          <w:tcPr>
            <w:tcW w:w="3974" w:type="dxa"/>
            <w:tcBorders>
              <w:top w:val="nil"/>
              <w:left w:val="nil"/>
              <w:bottom w:val="single" w:sz="4" w:space="0" w:color="auto"/>
              <w:right w:val="single" w:sz="4" w:space="0" w:color="auto"/>
            </w:tcBorders>
            <w:shd w:val="clear" w:color="auto" w:fill="C6EFCE"/>
            <w:noWrap/>
            <w:hideMark/>
          </w:tcPr>
          <w:p w14:paraId="025DAAFB" w14:textId="77777777" w:rsidR="003D7F65" w:rsidRDefault="0082041E">
            <w:pPr>
              <w:pStyle w:val="P68B1DB1-Normal8"/>
              <w:spacing w:after="0" w:line="240" w:lineRule="auto"/>
              <w:rPr>
                <w:noProof/>
              </w:rPr>
            </w:pPr>
            <w:r>
              <w:rPr>
                <w:noProof/>
              </w:rPr>
              <w:t>Une architecture informatique pour les services numériques d’apprentissage continu est développée et pleinement opérationnelle. Il définit le cadre de planification de l’allocation des ressources et de rationalisation des pratiques actuelles en matière de fourniture de services, de manière à créer des services numériques axés sur le client pour l’apprentissage continu. À cette fin, elle tient compte de tous les aspects nécessaires du développement informatique, y compris les capacités opérationnelles, les composants, les applications, les groupes d’utilisateurs et les objets de données.</w:t>
            </w:r>
          </w:p>
          <w:p w14:paraId="5E7519C7" w14:textId="07CFFE42" w:rsidR="003D7F65" w:rsidRDefault="0082041E">
            <w:pPr>
              <w:pStyle w:val="P68B1DB1-Normal9"/>
              <w:spacing w:after="0" w:line="240" w:lineRule="auto"/>
              <w:rPr>
                <w:noProof/>
              </w:rPr>
            </w:pPr>
            <w:r>
              <w:rPr>
                <w:noProof/>
              </w:rPr>
              <w:t>L’architecture informatique sert de base à la mise à jour des services numériques existants et au développement de nouveaux services numériques et comprend la liste des services à développer.</w:t>
            </w:r>
          </w:p>
        </w:tc>
      </w:tr>
      <w:tr w:rsidR="003D7F65" w14:paraId="166FF34B"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13BF5B2F" w14:textId="77777777" w:rsidR="003D7F65" w:rsidRDefault="0082041E">
            <w:pPr>
              <w:pStyle w:val="P68B1DB1-Normal9"/>
              <w:spacing w:after="0" w:line="240" w:lineRule="auto"/>
              <w:jc w:val="center"/>
              <w:rPr>
                <w:noProof/>
              </w:rPr>
            </w:pPr>
            <w:r>
              <w:rPr>
                <w:noProof/>
              </w:rPr>
              <w:t>97</w:t>
            </w:r>
          </w:p>
        </w:tc>
        <w:tc>
          <w:tcPr>
            <w:tcW w:w="1528" w:type="dxa"/>
            <w:tcBorders>
              <w:top w:val="single" w:sz="4" w:space="0" w:color="auto"/>
              <w:left w:val="nil"/>
              <w:bottom w:val="single" w:sz="4" w:space="0" w:color="auto"/>
              <w:right w:val="single" w:sz="4" w:space="0" w:color="auto"/>
            </w:tcBorders>
            <w:shd w:val="clear" w:color="auto" w:fill="C6EFCE"/>
            <w:noWrap/>
          </w:tcPr>
          <w:p w14:paraId="2F19DC76" w14:textId="77777777" w:rsidR="003D7F65" w:rsidRDefault="0082041E">
            <w:pPr>
              <w:pStyle w:val="P68B1DB1-Normal9"/>
              <w:spacing w:after="0" w:line="240" w:lineRule="auto"/>
              <w:rPr>
                <w:noProof/>
              </w:rPr>
            </w:pPr>
            <w:r>
              <w:rPr>
                <w:noProof/>
              </w:rPr>
              <w:t>P3C2I1 - Programme de numérisation pour l'apprentissage continu</w:t>
            </w:r>
          </w:p>
        </w:tc>
        <w:tc>
          <w:tcPr>
            <w:tcW w:w="1144" w:type="dxa"/>
            <w:tcBorders>
              <w:top w:val="nil"/>
              <w:left w:val="nil"/>
              <w:bottom w:val="single" w:sz="4" w:space="0" w:color="auto"/>
              <w:right w:val="single" w:sz="4" w:space="0" w:color="auto"/>
            </w:tcBorders>
            <w:shd w:val="clear" w:color="auto" w:fill="C6EFCE"/>
            <w:noWrap/>
          </w:tcPr>
          <w:p w14:paraId="0E2B7229" w14:textId="77777777" w:rsidR="003D7F65" w:rsidRDefault="0082041E">
            <w:pPr>
              <w:pStyle w:val="P68B1DB1-Normal9"/>
              <w:spacing w:after="0" w:line="240" w:lineRule="auto"/>
              <w:rPr>
                <w:noProof/>
              </w:rPr>
            </w:pPr>
            <w:r>
              <w:rPr>
                <w:noProof/>
              </w:rPr>
              <w:t>Objectif</w:t>
            </w:r>
          </w:p>
        </w:tc>
        <w:tc>
          <w:tcPr>
            <w:tcW w:w="1438" w:type="dxa"/>
            <w:tcBorders>
              <w:top w:val="single" w:sz="4" w:space="0" w:color="auto"/>
              <w:left w:val="nil"/>
              <w:bottom w:val="single" w:sz="4" w:space="0" w:color="auto"/>
              <w:right w:val="single" w:sz="4" w:space="0" w:color="auto"/>
            </w:tcBorders>
            <w:shd w:val="clear" w:color="auto" w:fill="C6EFCE"/>
            <w:noWrap/>
          </w:tcPr>
          <w:p w14:paraId="33C759D3" w14:textId="77777777" w:rsidR="003D7F65" w:rsidRDefault="0082041E">
            <w:pPr>
              <w:pStyle w:val="P68B1DB1-Normal9"/>
              <w:spacing w:after="0" w:line="240" w:lineRule="auto"/>
              <w:rPr>
                <w:noProof/>
              </w:rPr>
            </w:pPr>
            <w:r>
              <w:rPr>
                <w:noProof/>
              </w:rPr>
              <w:t>Services numériques pour l'apprentissage continu</w:t>
            </w:r>
          </w:p>
          <w:p w14:paraId="01CDBFB5" w14:textId="77777777" w:rsidR="003D7F65" w:rsidRDefault="003D7F65">
            <w:pPr>
              <w:spacing w:after="0" w:line="240" w:lineRule="auto"/>
              <w:rPr>
                <w:rFonts w:ascii="Times New Roman" w:eastAsia="Times New Roman" w:hAnsi="Times New Roman"/>
                <w:noProof/>
                <w:sz w:val="20"/>
                <w:szCs w:val="20"/>
              </w:rPr>
            </w:pPr>
          </w:p>
        </w:tc>
        <w:tc>
          <w:tcPr>
            <w:tcW w:w="1417" w:type="dxa"/>
            <w:tcBorders>
              <w:top w:val="single" w:sz="4" w:space="0" w:color="auto"/>
              <w:left w:val="nil"/>
              <w:bottom w:val="single" w:sz="4" w:space="0" w:color="auto"/>
              <w:right w:val="single" w:sz="4" w:space="0" w:color="auto"/>
            </w:tcBorders>
            <w:shd w:val="clear" w:color="auto" w:fill="C6EFCE"/>
            <w:noWrap/>
          </w:tcPr>
          <w:p w14:paraId="4D40443E" w14:textId="77777777" w:rsidR="003D7F65" w:rsidRDefault="003D7F65">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3586CEED" w14:textId="77777777" w:rsidR="003D7F65" w:rsidRDefault="0082041E">
            <w:pPr>
              <w:pStyle w:val="P68B1DB1-Normal9"/>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0FBD20C2" w14:textId="77777777" w:rsidR="003D7F65" w:rsidRDefault="0082041E">
            <w:pPr>
              <w:pStyle w:val="P68B1DB1-Normal9"/>
              <w:spacing w:after="0" w:line="240" w:lineRule="auto"/>
              <w:jc w:val="center"/>
              <w:rPr>
                <w:noProof/>
              </w:rPr>
            </w:pPr>
            <w:r>
              <w:rPr>
                <w:noProof/>
              </w:rPr>
              <w:t>0</w:t>
            </w:r>
          </w:p>
        </w:tc>
        <w:tc>
          <w:tcPr>
            <w:tcW w:w="851" w:type="dxa"/>
            <w:tcBorders>
              <w:top w:val="nil"/>
              <w:left w:val="nil"/>
              <w:bottom w:val="single" w:sz="4" w:space="0" w:color="auto"/>
              <w:right w:val="single" w:sz="4" w:space="0" w:color="auto"/>
            </w:tcBorders>
            <w:shd w:val="clear" w:color="auto" w:fill="C6EFCE"/>
            <w:noWrap/>
          </w:tcPr>
          <w:p w14:paraId="659E70F7" w14:textId="77777777" w:rsidR="003D7F65" w:rsidRDefault="0082041E">
            <w:pPr>
              <w:pStyle w:val="P68B1DB1-Normal9"/>
              <w:spacing w:after="0" w:line="240" w:lineRule="auto"/>
              <w:jc w:val="center"/>
              <w:rPr>
                <w:noProof/>
              </w:rPr>
            </w:pPr>
            <w:r>
              <w:rPr>
                <w:noProof/>
              </w:rPr>
              <w:t>15</w:t>
            </w:r>
          </w:p>
        </w:tc>
        <w:tc>
          <w:tcPr>
            <w:tcW w:w="1134" w:type="dxa"/>
            <w:tcBorders>
              <w:top w:val="nil"/>
              <w:left w:val="nil"/>
              <w:bottom w:val="single" w:sz="4" w:space="0" w:color="auto"/>
              <w:right w:val="single" w:sz="4" w:space="0" w:color="auto"/>
            </w:tcBorders>
            <w:shd w:val="clear" w:color="auto" w:fill="C6EFCE"/>
            <w:noWrap/>
          </w:tcPr>
          <w:p w14:paraId="0A60A04E"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37F28B61" w14:textId="77777777" w:rsidR="003D7F65" w:rsidRDefault="0082041E">
            <w:pPr>
              <w:pStyle w:val="P68B1DB1-Normal9"/>
              <w:spacing w:after="0" w:line="240" w:lineRule="auto"/>
              <w:jc w:val="center"/>
              <w:rPr>
                <w:noProof/>
              </w:rPr>
            </w:pPr>
            <w:r>
              <w:rPr>
                <w:noProof/>
              </w:rPr>
              <w:t>2025</w:t>
            </w:r>
          </w:p>
        </w:tc>
        <w:tc>
          <w:tcPr>
            <w:tcW w:w="3974" w:type="dxa"/>
            <w:tcBorders>
              <w:top w:val="nil"/>
              <w:left w:val="nil"/>
              <w:bottom w:val="single" w:sz="4" w:space="0" w:color="auto"/>
              <w:right w:val="single" w:sz="4" w:space="0" w:color="auto"/>
            </w:tcBorders>
            <w:shd w:val="clear" w:color="auto" w:fill="C6EFCE"/>
            <w:noWrap/>
          </w:tcPr>
          <w:p w14:paraId="38866225" w14:textId="39D3A78F" w:rsidR="003D7F65" w:rsidRDefault="0082041E">
            <w:pPr>
              <w:pStyle w:val="P68B1DB1-Normal8"/>
              <w:spacing w:after="0" w:line="240" w:lineRule="auto"/>
              <w:rPr>
                <w:noProof/>
              </w:rPr>
            </w:pPr>
            <w:r>
              <w:rPr>
                <w:noProof/>
              </w:rPr>
              <w:t>Au moins 15 services numériques définis et répertoriés dans l’architecture informatique visée au jalon 96 sont disponibles.</w:t>
            </w:r>
          </w:p>
        </w:tc>
      </w:tr>
      <w:tr w:rsidR="003D7F65" w14:paraId="3C735C72"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5FD55385" w14:textId="77777777" w:rsidR="003D7F65" w:rsidRDefault="0082041E">
            <w:pPr>
              <w:pStyle w:val="P68B1DB1-Normal9"/>
              <w:spacing w:after="0" w:line="240" w:lineRule="auto"/>
              <w:jc w:val="center"/>
              <w:rPr>
                <w:noProof/>
              </w:rPr>
            </w:pPr>
            <w:r>
              <w:rPr>
                <w:noProof/>
              </w:rPr>
              <w:t>98</w:t>
            </w:r>
          </w:p>
        </w:tc>
        <w:tc>
          <w:tcPr>
            <w:tcW w:w="1528" w:type="dxa"/>
            <w:tcBorders>
              <w:top w:val="single" w:sz="4" w:space="0" w:color="auto"/>
              <w:left w:val="nil"/>
              <w:bottom w:val="single" w:sz="4" w:space="0" w:color="auto"/>
              <w:right w:val="single" w:sz="4" w:space="0" w:color="auto"/>
            </w:tcBorders>
            <w:shd w:val="clear" w:color="auto" w:fill="C6EFCE"/>
            <w:noWrap/>
          </w:tcPr>
          <w:p w14:paraId="15F1F5E7" w14:textId="77777777" w:rsidR="003D7F65" w:rsidRDefault="0082041E">
            <w:pPr>
              <w:pStyle w:val="P68B1DB1-Normal9"/>
              <w:spacing w:after="0" w:line="240" w:lineRule="auto"/>
              <w:rPr>
                <w:noProof/>
              </w:rPr>
            </w:pPr>
            <w:r>
              <w:rPr>
                <w:noProof/>
              </w:rPr>
              <w:t>P3C2I2 - Améliorer le niveau d'éducation en augmentant la place des étudiants dans l'enseignement supérieur</w:t>
            </w:r>
          </w:p>
        </w:tc>
        <w:tc>
          <w:tcPr>
            <w:tcW w:w="1144" w:type="dxa"/>
            <w:tcBorders>
              <w:top w:val="nil"/>
              <w:left w:val="nil"/>
              <w:bottom w:val="single" w:sz="4" w:space="0" w:color="auto"/>
              <w:right w:val="single" w:sz="4" w:space="0" w:color="auto"/>
            </w:tcBorders>
            <w:shd w:val="clear" w:color="auto" w:fill="C6EFCE"/>
            <w:noWrap/>
          </w:tcPr>
          <w:p w14:paraId="7E73578F" w14:textId="77777777" w:rsidR="003D7F65" w:rsidRDefault="0082041E">
            <w:pPr>
              <w:pStyle w:val="P68B1DB1-Normal9"/>
              <w:spacing w:after="0" w:line="240" w:lineRule="auto"/>
              <w:rPr>
                <w:noProof/>
              </w:rPr>
            </w:pPr>
            <w:r>
              <w:rPr>
                <w:noProof/>
              </w:rPr>
              <w:t>Objectif</w:t>
            </w:r>
          </w:p>
        </w:tc>
        <w:tc>
          <w:tcPr>
            <w:tcW w:w="1438" w:type="dxa"/>
            <w:tcBorders>
              <w:top w:val="single" w:sz="4" w:space="0" w:color="auto"/>
              <w:left w:val="nil"/>
              <w:bottom w:val="single" w:sz="4" w:space="0" w:color="auto"/>
              <w:right w:val="single" w:sz="4" w:space="0" w:color="auto"/>
            </w:tcBorders>
            <w:shd w:val="clear" w:color="auto" w:fill="C6EFCE"/>
            <w:noWrap/>
          </w:tcPr>
          <w:p w14:paraId="29F31571" w14:textId="77777777" w:rsidR="003D7F65" w:rsidRDefault="0082041E">
            <w:pPr>
              <w:pStyle w:val="P68B1DB1-Normal9"/>
              <w:spacing w:after="0" w:line="240" w:lineRule="auto"/>
              <w:rPr>
                <w:noProof/>
              </w:rPr>
            </w:pPr>
            <w:r>
              <w:rPr>
                <w:noProof/>
              </w:rPr>
              <w:t xml:space="preserve">Augmentation du nombre d’admissions d’étudiants dans les établissements d’enseignement supérieur </w:t>
            </w:r>
          </w:p>
        </w:tc>
        <w:tc>
          <w:tcPr>
            <w:tcW w:w="1417" w:type="dxa"/>
            <w:tcBorders>
              <w:top w:val="nil"/>
              <w:left w:val="nil"/>
              <w:bottom w:val="single" w:sz="4" w:space="0" w:color="auto"/>
              <w:right w:val="single" w:sz="4" w:space="0" w:color="auto"/>
            </w:tcBorders>
            <w:shd w:val="clear" w:color="auto" w:fill="C6EFCE"/>
            <w:noWrap/>
          </w:tcPr>
          <w:p w14:paraId="6D8A59B4" w14:textId="77777777" w:rsidR="003D7F65" w:rsidRDefault="003D7F65">
            <w:pPr>
              <w:spacing w:after="0" w:line="240" w:lineRule="auto"/>
              <w:rPr>
                <w:rFonts w:ascii="Times New Roman" w:eastAsia="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6FA03D6F" w14:textId="77777777" w:rsidR="003D7F65" w:rsidRDefault="0082041E">
            <w:pPr>
              <w:pStyle w:val="P68B1DB1-Normal9"/>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7161ACA7" w14:textId="77777777" w:rsidR="003D7F65" w:rsidRDefault="0082041E">
            <w:pPr>
              <w:pStyle w:val="P68B1DB1-Normal9"/>
              <w:spacing w:after="0" w:line="240" w:lineRule="auto"/>
              <w:jc w:val="center"/>
              <w:rPr>
                <w:noProof/>
              </w:rPr>
            </w:pPr>
            <w:r>
              <w:rPr>
                <w:noProof/>
              </w:rPr>
              <w:t>0</w:t>
            </w:r>
          </w:p>
        </w:tc>
        <w:tc>
          <w:tcPr>
            <w:tcW w:w="851" w:type="dxa"/>
            <w:tcBorders>
              <w:top w:val="nil"/>
              <w:left w:val="nil"/>
              <w:bottom w:val="single" w:sz="4" w:space="0" w:color="auto"/>
              <w:right w:val="single" w:sz="4" w:space="0" w:color="auto"/>
            </w:tcBorders>
            <w:shd w:val="clear" w:color="auto" w:fill="C6EFCE"/>
            <w:noWrap/>
          </w:tcPr>
          <w:p w14:paraId="4B298112" w14:textId="77777777" w:rsidR="003D7F65" w:rsidRDefault="0082041E">
            <w:pPr>
              <w:pStyle w:val="P68B1DB1-Normal9"/>
              <w:spacing w:after="0" w:line="240" w:lineRule="auto"/>
              <w:jc w:val="center"/>
              <w:rPr>
                <w:noProof/>
              </w:rPr>
            </w:pPr>
            <w:r>
              <w:rPr>
                <w:noProof/>
              </w:rPr>
              <w:t>600</w:t>
            </w:r>
          </w:p>
        </w:tc>
        <w:tc>
          <w:tcPr>
            <w:tcW w:w="1134" w:type="dxa"/>
            <w:tcBorders>
              <w:top w:val="nil"/>
              <w:left w:val="nil"/>
              <w:bottom w:val="single" w:sz="4" w:space="0" w:color="auto"/>
              <w:right w:val="single" w:sz="4" w:space="0" w:color="auto"/>
            </w:tcBorders>
            <w:shd w:val="clear" w:color="auto" w:fill="C6EFCE"/>
            <w:noWrap/>
          </w:tcPr>
          <w:p w14:paraId="124979DE"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27D4E376" w14:textId="77777777" w:rsidR="003D7F65" w:rsidRDefault="0082041E">
            <w:pPr>
              <w:pStyle w:val="P68B1DB1-Normal9"/>
              <w:spacing w:after="0" w:line="240" w:lineRule="auto"/>
              <w:jc w:val="center"/>
              <w:rPr>
                <w:noProof/>
              </w:rPr>
            </w:pPr>
            <w:r>
              <w:rPr>
                <w:noProof/>
              </w:rPr>
              <w:t>2022</w:t>
            </w:r>
          </w:p>
        </w:tc>
        <w:tc>
          <w:tcPr>
            <w:tcW w:w="3974" w:type="dxa"/>
            <w:tcBorders>
              <w:top w:val="nil"/>
              <w:left w:val="nil"/>
              <w:bottom w:val="single" w:sz="4" w:space="0" w:color="auto"/>
              <w:right w:val="single" w:sz="4" w:space="0" w:color="auto"/>
            </w:tcBorders>
            <w:shd w:val="clear" w:color="auto" w:fill="C6EFCE"/>
            <w:noWrap/>
          </w:tcPr>
          <w:p w14:paraId="2D26E6FB" w14:textId="6C566ACA" w:rsidR="003D7F65" w:rsidRDefault="0082041E">
            <w:pPr>
              <w:pStyle w:val="P68B1DB1-Normal8"/>
              <w:spacing w:after="0" w:line="240" w:lineRule="auto"/>
              <w:rPr>
                <w:noProof/>
              </w:rPr>
            </w:pPr>
            <w:r>
              <w:rPr>
                <w:noProof/>
              </w:rPr>
              <w:t>Les établissements d’enseignement supérieur étendent leur nombre de places d’études avec au moins 600 places en 2022 dans les programmes menant à un diplôme du premier cycle visant à soutenir la mise en œuvre du programme de croissance durable de la Finlande et à remédier aux pénuries de main-d’œuvre. Cela devrait compléter les fonds nationaux qui ont déjà été alloués pour accroître le nombre d’établissements d’enseignement supérieur à partir de 2020.</w:t>
            </w:r>
          </w:p>
          <w:p w14:paraId="4877FF1A" w14:textId="77777777" w:rsidR="003D7F65" w:rsidRDefault="003D7F65">
            <w:pPr>
              <w:spacing w:after="0" w:line="240" w:lineRule="auto"/>
              <w:rPr>
                <w:rFonts w:ascii="Times New Roman" w:hAnsi="Times New Roman"/>
                <w:noProof/>
                <w:sz w:val="20"/>
                <w:szCs w:val="20"/>
              </w:rPr>
            </w:pPr>
          </w:p>
          <w:p w14:paraId="3E827312" w14:textId="77777777" w:rsidR="003D7F65" w:rsidRDefault="0082041E">
            <w:pPr>
              <w:pStyle w:val="P68B1DB1-Normal8"/>
              <w:spacing w:after="0" w:line="240" w:lineRule="auto"/>
              <w:rPr>
                <w:noProof/>
              </w:rPr>
            </w:pPr>
            <w:r>
              <w:rPr>
                <w:noProof/>
              </w:rPr>
              <w:t>D’ici à la fin de 2021, le ministère de l’éducation et de la culture et les établissements d’enseignement supérieur devraient convenir des domaines d’études et des établissements d’enseignement supérieur à cibler. L'augmentation du nombre de places d'études est ciblée sur les zones où la demande d'éducation est la plus forte et où les compétences sont insuffisantes. Les critères de sélection comprennent la demande de main-d’œuvre aux niveaux régional et national, la demande d’éducation et l’efficacité avec laquelle les programmes soutiennent les nouvelles demandes de compétences pour l’avenir, en mettant notamment l’accent sur le secteur de la santé, les technologies de pointe et les secteurs des TIC. Les nouveaux étudiants devraient s’inscrire à des programmes d’études à l’automne 2022 au plus tard (année universitaire 2022/2023).</w:t>
            </w:r>
          </w:p>
          <w:p w14:paraId="2D853F39" w14:textId="77777777" w:rsidR="003D7F65" w:rsidRDefault="003D7F65">
            <w:pPr>
              <w:spacing w:after="0" w:line="240" w:lineRule="auto"/>
              <w:rPr>
                <w:rFonts w:ascii="Times New Roman" w:hAnsi="Times New Roman"/>
                <w:noProof/>
                <w:sz w:val="20"/>
                <w:szCs w:val="20"/>
              </w:rPr>
            </w:pPr>
          </w:p>
          <w:p w14:paraId="6BD744B2" w14:textId="77777777" w:rsidR="003D7F65" w:rsidRDefault="0082041E">
            <w:pPr>
              <w:pStyle w:val="P68B1DB1-Normal8"/>
              <w:spacing w:after="0" w:line="240" w:lineRule="auto"/>
              <w:rPr>
                <w:noProof/>
              </w:rPr>
            </w:pPr>
            <w:r>
              <w:rPr>
                <w:noProof/>
              </w:rPr>
              <w:t>Le ministère de l’éducation et de la culture veille à ce que l’augmentation de l’admission d’étudiants ait eu lieu en comparant l’admission d’étudiants en 2022 à la valeur de référence définie comme l’admission annuelle maximale pour les années 2017-2019.</w:t>
            </w:r>
          </w:p>
        </w:tc>
      </w:tr>
      <w:tr w:rsidR="003D7F65" w14:paraId="52D54823" w14:textId="77777777" w:rsidTr="00904869">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30AE5DF4" w14:textId="77777777" w:rsidR="003D7F65" w:rsidRDefault="0082041E">
            <w:pPr>
              <w:pStyle w:val="P68B1DB1-Normal9"/>
              <w:spacing w:after="0" w:line="240" w:lineRule="auto"/>
              <w:jc w:val="center"/>
              <w:rPr>
                <w:noProof/>
              </w:rPr>
            </w:pPr>
            <w:r>
              <w:rPr>
                <w:noProof/>
              </w:rPr>
              <w:t>99</w:t>
            </w:r>
          </w:p>
        </w:tc>
        <w:tc>
          <w:tcPr>
            <w:tcW w:w="1528" w:type="dxa"/>
            <w:tcBorders>
              <w:top w:val="single" w:sz="4" w:space="0" w:color="auto"/>
              <w:left w:val="nil"/>
              <w:bottom w:val="single" w:sz="4" w:space="0" w:color="auto"/>
              <w:right w:val="single" w:sz="4" w:space="0" w:color="auto"/>
            </w:tcBorders>
            <w:shd w:val="clear" w:color="auto" w:fill="C6EFCE"/>
            <w:noWrap/>
          </w:tcPr>
          <w:p w14:paraId="2C5719A2" w14:textId="77777777" w:rsidR="003D7F65" w:rsidRDefault="0082041E">
            <w:pPr>
              <w:pStyle w:val="P68B1DB1-Normal8"/>
              <w:spacing w:after="0" w:line="240" w:lineRule="auto"/>
              <w:rPr>
                <w:rFonts w:eastAsia="Times New Roman"/>
                <w:noProof/>
              </w:rPr>
            </w:pPr>
            <w:r>
              <w:rPr>
                <w:noProof/>
              </w:rPr>
              <w:t>P3C2I3 - Numérisation de l'éducation en Åland</w:t>
            </w:r>
          </w:p>
        </w:tc>
        <w:tc>
          <w:tcPr>
            <w:tcW w:w="1144" w:type="dxa"/>
            <w:tcBorders>
              <w:top w:val="nil"/>
              <w:left w:val="nil"/>
              <w:bottom w:val="single" w:sz="4" w:space="0" w:color="auto"/>
              <w:right w:val="single" w:sz="4" w:space="0" w:color="auto"/>
            </w:tcBorders>
            <w:shd w:val="clear" w:color="auto" w:fill="C6EFCE"/>
            <w:noWrap/>
          </w:tcPr>
          <w:p w14:paraId="247F13FA" w14:textId="77777777" w:rsidR="003D7F65" w:rsidRDefault="0082041E">
            <w:pPr>
              <w:pStyle w:val="P68B1DB1-Normal9"/>
              <w:spacing w:after="0" w:line="240" w:lineRule="auto"/>
              <w:rPr>
                <w:noProof/>
              </w:rPr>
            </w:pPr>
            <w:r>
              <w:rPr>
                <w:noProof/>
              </w:rPr>
              <w:t>Étape</w:t>
            </w:r>
          </w:p>
        </w:tc>
        <w:tc>
          <w:tcPr>
            <w:tcW w:w="1438" w:type="dxa"/>
            <w:tcBorders>
              <w:top w:val="single" w:sz="4" w:space="0" w:color="auto"/>
              <w:left w:val="nil"/>
              <w:bottom w:val="single" w:sz="4" w:space="0" w:color="auto"/>
              <w:right w:val="single" w:sz="4" w:space="0" w:color="auto"/>
            </w:tcBorders>
            <w:shd w:val="clear" w:color="auto" w:fill="C6EFCE"/>
            <w:noWrap/>
          </w:tcPr>
          <w:p w14:paraId="3A2E132C" w14:textId="77777777" w:rsidR="003D7F65" w:rsidRDefault="0082041E">
            <w:pPr>
              <w:pStyle w:val="P68B1DB1-Normal8"/>
              <w:spacing w:after="0" w:line="240" w:lineRule="auto"/>
              <w:rPr>
                <w:rFonts w:eastAsia="Times New Roman"/>
                <w:noProof/>
              </w:rPr>
            </w:pPr>
            <w:r>
              <w:rPr>
                <w:noProof/>
              </w:rPr>
              <w:t>Numérisation dans l’enseignement supérieur en Åland</w:t>
            </w:r>
          </w:p>
        </w:tc>
        <w:tc>
          <w:tcPr>
            <w:tcW w:w="1417" w:type="dxa"/>
            <w:tcBorders>
              <w:top w:val="single" w:sz="4" w:space="0" w:color="auto"/>
              <w:left w:val="nil"/>
              <w:bottom w:val="single" w:sz="4" w:space="0" w:color="auto"/>
              <w:right w:val="single" w:sz="4" w:space="0" w:color="auto"/>
            </w:tcBorders>
            <w:shd w:val="clear" w:color="auto" w:fill="C6EFCE"/>
            <w:noWrap/>
          </w:tcPr>
          <w:p w14:paraId="1AAEC728" w14:textId="5E79AEB9" w:rsidR="003D7F65" w:rsidRDefault="0082041E">
            <w:pPr>
              <w:pStyle w:val="P68B1DB1-Normal9"/>
              <w:spacing w:after="0" w:line="240" w:lineRule="auto"/>
              <w:rPr>
                <w:noProof/>
              </w:rPr>
            </w:pPr>
            <w:r>
              <w:rPr>
                <w:noProof/>
              </w:rPr>
              <w:t>Offre plus élevée d'études en ligne ou hybrides</w:t>
            </w:r>
          </w:p>
        </w:tc>
        <w:tc>
          <w:tcPr>
            <w:tcW w:w="972" w:type="dxa"/>
            <w:tcBorders>
              <w:top w:val="nil"/>
              <w:left w:val="nil"/>
              <w:bottom w:val="single" w:sz="4" w:space="0" w:color="auto"/>
              <w:right w:val="single" w:sz="4" w:space="0" w:color="auto"/>
            </w:tcBorders>
            <w:shd w:val="clear" w:color="auto" w:fill="C6EFCE"/>
            <w:noWrap/>
          </w:tcPr>
          <w:p w14:paraId="3E1B09F8" w14:textId="5159CD44"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2E5A5107" w14:textId="77777777" w:rsidR="003D7F65" w:rsidRDefault="003D7F65">
            <w:pPr>
              <w:spacing w:after="0" w:line="240" w:lineRule="auto"/>
              <w:jc w:val="center"/>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59E33C87" w14:textId="77777777" w:rsidR="003D7F65" w:rsidRDefault="003D7F65">
            <w:pPr>
              <w:spacing w:after="0" w:line="240" w:lineRule="auto"/>
              <w:jc w:val="center"/>
              <w:rPr>
                <w:rFonts w:ascii="Times New Roman" w:eastAsia="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D95EFB7" w14:textId="77777777" w:rsidR="003D7F65" w:rsidRDefault="0082041E">
            <w:pPr>
              <w:pStyle w:val="P68B1DB1-Normal9"/>
              <w:spacing w:after="0" w:line="240" w:lineRule="auto"/>
              <w:jc w:val="center"/>
              <w:rPr>
                <w:noProof/>
              </w:rPr>
            </w:pPr>
            <w:r>
              <w:rPr>
                <w:noProof/>
              </w:rPr>
              <w:t>T4</w:t>
            </w:r>
          </w:p>
        </w:tc>
        <w:tc>
          <w:tcPr>
            <w:tcW w:w="1134" w:type="dxa"/>
            <w:tcBorders>
              <w:top w:val="nil"/>
              <w:left w:val="nil"/>
              <w:bottom w:val="single" w:sz="4" w:space="0" w:color="auto"/>
              <w:right w:val="single" w:sz="4" w:space="0" w:color="auto"/>
            </w:tcBorders>
            <w:shd w:val="clear" w:color="auto" w:fill="C6EFCE"/>
            <w:noWrap/>
          </w:tcPr>
          <w:p w14:paraId="7C1A362A" w14:textId="77777777" w:rsidR="003D7F65" w:rsidRDefault="0082041E">
            <w:pPr>
              <w:pStyle w:val="P68B1DB1-Normal9"/>
              <w:spacing w:after="0" w:line="240" w:lineRule="auto"/>
              <w:jc w:val="center"/>
              <w:rPr>
                <w:noProof/>
              </w:rPr>
            </w:pPr>
            <w:r>
              <w:rPr>
                <w:noProof/>
              </w:rPr>
              <w:t>2025</w:t>
            </w:r>
          </w:p>
        </w:tc>
        <w:tc>
          <w:tcPr>
            <w:tcW w:w="3974" w:type="dxa"/>
            <w:tcBorders>
              <w:top w:val="nil"/>
              <w:left w:val="nil"/>
              <w:bottom w:val="single" w:sz="4" w:space="0" w:color="auto"/>
              <w:right w:val="single" w:sz="4" w:space="0" w:color="auto"/>
            </w:tcBorders>
            <w:shd w:val="clear" w:color="auto" w:fill="C6EFCE"/>
            <w:noWrap/>
          </w:tcPr>
          <w:p w14:paraId="6117383C" w14:textId="67C42F45" w:rsidR="003D7F65" w:rsidRDefault="0082041E">
            <w:pPr>
              <w:pStyle w:val="P68B1DB1-Normal8"/>
              <w:spacing w:after="0" w:line="240" w:lineRule="auto"/>
              <w:rPr>
                <w:noProof/>
              </w:rPr>
            </w:pPr>
            <w:r>
              <w:rPr>
                <w:noProof/>
              </w:rPr>
              <w:t>Un nouveau programme de master et deux nouveaux programmes de licence sont introduits à l’université d’Åland, proposant des études en ligne ou hybrides. En outre, les diplômes d'administration des affaires et de soins infirmiers sont offerts pour l'apprentissage à distance.</w:t>
            </w:r>
          </w:p>
        </w:tc>
      </w:tr>
    </w:tbl>
    <w:p w14:paraId="5B3D4799" w14:textId="77777777" w:rsidR="003D7F65" w:rsidRDefault="003D7F65">
      <w:pPr>
        <w:spacing w:before="120" w:after="120" w:line="240" w:lineRule="auto"/>
        <w:ind w:left="709"/>
        <w:jc w:val="both"/>
        <w:rPr>
          <w:rFonts w:ascii="Times New Roman" w:hAnsi="Times New Roman"/>
          <w:noProof/>
          <w:sz w:val="24"/>
        </w:rPr>
        <w:sectPr w:rsidR="003D7F65" w:rsidSect="00A7081A">
          <w:headerReference w:type="even" r:id="rId128"/>
          <w:headerReference w:type="default" r:id="rId129"/>
          <w:footerReference w:type="even" r:id="rId130"/>
          <w:footerReference w:type="default" r:id="rId131"/>
          <w:headerReference w:type="first" r:id="rId132"/>
          <w:footerReference w:type="first" r:id="rId133"/>
          <w:pgSz w:w="16839" w:h="11907" w:orient="landscape" w:code="9"/>
          <w:pgMar w:top="1134" w:right="1134" w:bottom="1134" w:left="1134" w:header="567" w:footer="567" w:gutter="0"/>
          <w:cols w:space="720"/>
          <w:docGrid w:linePitch="360"/>
        </w:sectPr>
      </w:pPr>
    </w:p>
    <w:p w14:paraId="58F08D1A" w14:textId="77777777" w:rsidR="003D7F65" w:rsidRDefault="0082041E">
      <w:pPr>
        <w:pStyle w:val="P68B1DB1-Heading42"/>
        <w:numPr>
          <w:ilvl w:val="0"/>
          <w:numId w:val="0"/>
        </w:numPr>
        <w:rPr>
          <w:noProof/>
        </w:rPr>
      </w:pPr>
      <w:r>
        <w:rPr>
          <w:noProof/>
        </w:rPr>
        <w:t>K. Élément P3C3: RDI, INFRASTRUCTURES DE RECHERCHE ET PILOTAGE</w:t>
      </w:r>
    </w:p>
    <w:p w14:paraId="1F61F417" w14:textId="7207CE41" w:rsidR="003D7F65" w:rsidRDefault="0082041E">
      <w:pPr>
        <w:pStyle w:val="P68B1DB1-Normal3"/>
        <w:spacing w:before="120" w:after="120" w:line="240" w:lineRule="auto"/>
        <w:jc w:val="both"/>
        <w:rPr>
          <w:b/>
          <w:bCs/>
          <w:smallCaps/>
          <w:noProof/>
        </w:rPr>
      </w:pPr>
      <w:r>
        <w:rPr>
          <w:noProof/>
        </w:rPr>
        <w:t>Ce volet du plan finlandais pour la reprise et la résilience répond aux défis dans le domaine de la recherche, du développement et de l’innovation (RDI). Bien qu’elle figure parmi les leaders de l’innovation selon le tableau de bord européen de l’innovation depuis des années, la Finlande a connu un recul en 2010 en ce qui concerne les investissements dans les activités de RDI, en particulier en termes d’investissements du secteur privé dans les activités de RDI. Un autre défi auquel la Finlande est confrontée est la nécessité de renforcer la coopération au sein des entités publiques de RDI et entre les entités publiques et privées impliquées dans la RDI, y compris au niveau international.</w:t>
      </w:r>
    </w:p>
    <w:p w14:paraId="0BDDE170" w14:textId="77777777" w:rsidR="003D7F65" w:rsidRDefault="0082041E">
      <w:pPr>
        <w:pStyle w:val="P68B1DB1-Normal3"/>
        <w:spacing w:before="120" w:after="120" w:line="240" w:lineRule="auto"/>
        <w:jc w:val="both"/>
        <w:rPr>
          <w:noProof/>
        </w:rPr>
      </w:pPr>
      <w:r>
        <w:rPr>
          <w:noProof/>
        </w:rPr>
        <w:t xml:space="preserve">L’objectif de ce volet est de contribuer à renforcer l’intensité de la RDI, à faire passer la part des dépenses de RDI en Finlande de 2,9 % (2019) à 4 % du PIB d’ici à 2030 et à relever le niveau d’ambition des activités de RDI, conformément à la feuille de route nationale pour la recherche, le développement et l’innovation adoptée au printemps 2020. À cette fin, le volet propose deux trains de mesures d’investissement visant à promouvoir la transition écologique et à investir dans des infrastructures de recherche et d’innovation soutenant la croissance durable et la numérisation. </w:t>
      </w:r>
    </w:p>
    <w:p w14:paraId="5A1E3950" w14:textId="30807792" w:rsidR="003D7F65" w:rsidRDefault="0082041E">
      <w:pPr>
        <w:pStyle w:val="P68B1DB1-Normal3"/>
        <w:spacing w:before="120" w:after="120" w:line="240" w:lineRule="auto"/>
        <w:jc w:val="both"/>
        <w:rPr>
          <w:noProof/>
        </w:rPr>
      </w:pPr>
      <w:r>
        <w:rPr>
          <w:noProof/>
        </w:rPr>
        <w:t>Le train de mesures promouvant la transition écologique comprend des investissements destinés à soutenir des projets d’entreprises de premier plan, à accélérer des secteurs clés et à renforcer les compétences dans des secteurs clés, ainsi qu’à soutenir des entreprises innovantes en croissance (investissements 1 à 4 ci-dessous).</w:t>
      </w:r>
    </w:p>
    <w:p w14:paraId="548991AC" w14:textId="77777777" w:rsidR="003D7F65" w:rsidRDefault="0082041E">
      <w:pPr>
        <w:spacing w:before="120" w:after="120" w:line="240" w:lineRule="auto"/>
        <w:jc w:val="both"/>
        <w:rPr>
          <w:rFonts w:ascii="Times New Roman" w:hAnsi="Times New Roman"/>
          <w:noProof/>
          <w:sz w:val="24"/>
          <w:szCs w:val="24"/>
        </w:rPr>
      </w:pPr>
      <w:r>
        <w:rPr>
          <w:rFonts w:ascii="Times New Roman" w:hAnsi="Times New Roman"/>
          <w:noProof/>
          <w:sz w:val="24"/>
          <w:szCs w:val="24"/>
        </w:rPr>
        <w:t>Afin de garantir que les investissements au titre de ce volet sont conformes aux orientations techniques «Ne pas causer de préjudice important» (2021/C58/01), les critères d’éligibilité contenus dans les termes de référence pour les prochains appels à projets excluent la liste d’activités suivante:</w:t>
      </w:r>
      <w:r>
        <w:rPr>
          <w:rFonts w:ascii="Times New Roman" w:hAnsi="Times New Roman"/>
          <w:noProof/>
          <w:color w:val="FF0000"/>
          <w:sz w:val="24"/>
          <w:szCs w:val="24"/>
        </w:rPr>
        <w:t xml:space="preserve"> </w:t>
      </w:r>
      <w:r>
        <w:rPr>
          <w:rFonts w:ascii="Times New Roman" w:hAnsi="Times New Roman"/>
          <w:noProof/>
          <w:sz w:val="24"/>
          <w:szCs w:val="24"/>
        </w:rPr>
        <w:t>i) les activités liées aux combustibles fossiles, y compris leur utilisation en aval;</w:t>
      </w:r>
      <w:r w:rsidRPr="00895411">
        <w:rPr>
          <w:rFonts w:ascii="Times New Roman" w:hAnsi="Times New Roman"/>
          <w:noProof/>
          <w:sz w:val="24"/>
          <w:szCs w:val="24"/>
          <w:vertAlign w:val="superscript"/>
        </w:rPr>
        <w:footnoteReference w:id="6"/>
      </w:r>
      <w:r>
        <w:rPr>
          <w:rFonts w:ascii="Times New Roman" w:hAnsi="Times New Roman"/>
          <w:noProof/>
          <w:sz w:val="24"/>
          <w:szCs w:val="24"/>
        </w:rPr>
        <w:t xml:space="preserve"> ii) les activités menées dans le cadre du système d’échange de quotas d’émission de l’UE (SEQE) pour atteindre des émissions de gaz à effet de serre prévues qui ne sont pas inférieures aux référentiels pertinents;</w:t>
      </w:r>
      <w:r w:rsidRPr="00895411">
        <w:rPr>
          <w:rFonts w:ascii="Times New Roman" w:hAnsi="Times New Roman"/>
          <w:noProof/>
          <w:sz w:val="24"/>
          <w:szCs w:val="24"/>
          <w:vertAlign w:val="superscript"/>
        </w:rPr>
        <w:footnoteReference w:id="7"/>
      </w:r>
      <w:r>
        <w:rPr>
          <w:rFonts w:ascii="Times New Roman" w:hAnsi="Times New Roman"/>
          <w:noProof/>
          <w:sz w:val="24"/>
          <w:szCs w:val="24"/>
        </w:rPr>
        <w:t xml:space="preserve"> iii) les activités liées aux décharges de déchets, aux incinérateurs</w:t>
      </w:r>
      <w:r>
        <w:rPr>
          <w:rStyle w:val="FootnoteReference"/>
          <w:rFonts w:ascii="Times New Roman" w:hAnsi="Times New Roman"/>
          <w:noProof/>
          <w:sz w:val="24"/>
          <w:szCs w:val="24"/>
        </w:rPr>
        <w:footnoteReference w:id="8"/>
      </w:r>
      <w:r>
        <w:rPr>
          <w:rFonts w:ascii="Times New Roman" w:hAnsi="Times New Roman"/>
          <w:noProof/>
          <w:sz w:val="24"/>
          <w:szCs w:val="24"/>
        </w:rPr>
        <w:t xml:space="preserve"> et aux usines de traitement biologique mécanique;</w:t>
      </w:r>
      <w:r>
        <w:rPr>
          <w:rStyle w:val="FootnoteReference"/>
          <w:rFonts w:ascii="Times New Roman" w:hAnsi="Times New Roman"/>
          <w:noProof/>
          <w:sz w:val="24"/>
          <w:szCs w:val="24"/>
        </w:rPr>
        <w:footnoteReference w:id="9"/>
      </w:r>
      <w:r>
        <w:rPr>
          <w:rFonts w:ascii="Times New Roman" w:hAnsi="Times New Roman"/>
          <w:noProof/>
          <w:sz w:val="24"/>
          <w:szCs w:val="24"/>
        </w:rPr>
        <w:t xml:space="preserve"> et iv) les activités dans lesquelles l’élimination à long terme des déchets peut nuire à l’environnement. Le mandat exige en outre que seules les activités conformes à la législation environnementale pertinente de l’Union et des États membres puissent être sélectionnées. Les actions de R&amp;D&amp;I suivantes sont considérées comme conformes aux orientations techniques «Ne pas causer de préjudice important» (2021/C58/01): (i) ces actions de R&amp;D&amp;I aboutissant à des résultats technologiquement neutres au niveau de leur application; ii) les actions de R&amp;D&amp;I soutenant des solutions de remplacement ayant de faibles incidences sur l’environnement pour lesquelles elles existent; ou iii) les actions de R&amp;D&amp;I qui sont principalement axées sur le développement de solutions de remplacement ayant les incidences environnementales les plus faibles possibles dans le secteur pour les activités pour lesquelles il n’existe pas de solution de remplacement à faible incidence réalisable sur le plan technologique et économique.</w:t>
      </w:r>
    </w:p>
    <w:p w14:paraId="3CA644A2" w14:textId="77777777" w:rsidR="003D7F65" w:rsidRDefault="0082041E">
      <w:pPr>
        <w:pStyle w:val="P68B1DB1-Normal3"/>
        <w:spacing w:before="120" w:after="120" w:line="240" w:lineRule="auto"/>
        <w:jc w:val="both"/>
        <w:rPr>
          <w:noProof/>
        </w:rPr>
      </w:pPr>
      <w:r>
        <w:rPr>
          <w:noProof/>
        </w:rPr>
        <w:t>Le train de mesures visant à promouvoir l’innovation et les infrastructures de recherche comprend des investissements pour le développement d’infrastructures de recherche locales, d’infrastructures de recherche nationales et d’infrastructures d’innovation.</w:t>
      </w:r>
    </w:p>
    <w:p w14:paraId="51A3C9D3" w14:textId="4B77DB81" w:rsidR="003D7F65" w:rsidRDefault="0082041E">
      <w:pPr>
        <w:pStyle w:val="P68B1DB1-Normal3"/>
        <w:spacing w:before="120" w:after="120" w:line="240" w:lineRule="auto"/>
        <w:jc w:val="both"/>
        <w:rPr>
          <w:noProof/>
        </w:rPr>
      </w:pPr>
      <w:r>
        <w:rPr>
          <w:noProof/>
        </w:rPr>
        <w:t>Ce volet contribue à donner suite aux recommandations par pays visant à axer la politique économique liée aux investissements sur la recherche et l’innovation, la transition énergétique et à faible intensité de carbone et les transports durables (recommandation par pays no 3 de 2019), ainsi qu’à concentrer les investissements sur la transition écologique et numérique, en particulier sur la production et l’utilisation propres et efficaces de l’énergie, les infrastructures durables et efficaces ainsi que la recherche et l’innovation (recommandation par pays no 3 de 2020).</w:t>
      </w:r>
    </w:p>
    <w:p w14:paraId="13828EBA" w14:textId="77777777" w:rsidR="003D7F65" w:rsidRDefault="0082041E">
      <w:pPr>
        <w:pStyle w:val="P68B1DB1-Normal5"/>
        <w:spacing w:before="120" w:after="120" w:line="240" w:lineRule="auto"/>
        <w:jc w:val="both"/>
        <w:rPr>
          <w:bCs/>
          <w:noProof/>
        </w:rPr>
      </w:pPr>
      <w:r>
        <w:rPr>
          <w:noProof/>
        </w:rPr>
        <w:t xml:space="preserve">K.1. </w:t>
      </w:r>
      <w:r>
        <w:rPr>
          <w:noProof/>
        </w:rPr>
        <w:tab/>
        <w:t>Description des réformes et des investissements pour le soutien financier non remboursable</w:t>
      </w:r>
    </w:p>
    <w:p w14:paraId="12AA3EB4" w14:textId="77777777" w:rsidR="003D7F65" w:rsidRDefault="0082041E">
      <w:pPr>
        <w:pStyle w:val="P68B1DB1-Normal6"/>
        <w:spacing w:before="120" w:after="120" w:line="240" w:lineRule="auto"/>
        <w:jc w:val="both"/>
        <w:rPr>
          <w:noProof/>
        </w:rPr>
      </w:pPr>
      <w:r>
        <w:rPr>
          <w:noProof/>
        </w:rPr>
        <w:t xml:space="preserve">Investissement 1 (P3C3I1): Paquet de financement de la RDI en faveur de la transition écologique – Entreprises de premier plan </w:t>
      </w:r>
    </w:p>
    <w:p w14:paraId="28343DA8" w14:textId="502CB7EF" w:rsidR="003D7F65" w:rsidRDefault="0082041E">
      <w:pPr>
        <w:pStyle w:val="P68B1DB1-Normal3"/>
        <w:spacing w:before="120" w:after="120" w:line="240" w:lineRule="auto"/>
        <w:jc w:val="both"/>
        <w:rPr>
          <w:noProof/>
        </w:rPr>
      </w:pPr>
      <w:r>
        <w:rPr>
          <w:noProof/>
        </w:rPr>
        <w:t>L’objectif de l’investissement est de soutenir, au moyen d’un régime géré par Business Finland, des partenariats entre des entreprises et d’autres organismes de recherche afin de soutenir la compétitivité des entreprises et l’efficacité des activités de recherche et de développement. L’investissement consiste à soutenir la création de nouveaux secteurs, produits, entreprises et modèles opérationnels, ainsi que l’utilisation des résultats de la recherche des universités, des universités de sciences appliquées et des instituts de recherche pour les besoins des entreprises, en mettant l’accent sur les domaines qui soutiennent la transition écologique.</w:t>
      </w:r>
    </w:p>
    <w:p w14:paraId="772E2DB2" w14:textId="77777777" w:rsidR="003D7F65" w:rsidRDefault="0082041E">
      <w:pPr>
        <w:pStyle w:val="P68B1DB1-Normal6"/>
        <w:spacing w:before="120" w:after="120" w:line="240" w:lineRule="auto"/>
        <w:jc w:val="both"/>
        <w:rPr>
          <w:noProof/>
        </w:rPr>
      </w:pPr>
      <w:r>
        <w:rPr>
          <w:noProof/>
        </w:rPr>
        <w:t>Investissement 2 (P3C3I2): Paquet de financement de la RDI promouvant la transition écologique – accélérer les secteurs clés et renforcer les compétences (Académie de Finlande)</w:t>
      </w:r>
    </w:p>
    <w:p w14:paraId="419BF36F" w14:textId="77777777" w:rsidR="003D7F65" w:rsidRDefault="0082041E">
      <w:pPr>
        <w:pStyle w:val="P68B1DB1-Normal3"/>
        <w:spacing w:before="120" w:after="120" w:line="240" w:lineRule="auto"/>
        <w:jc w:val="both"/>
        <w:rPr>
          <w:noProof/>
        </w:rPr>
      </w:pPr>
      <w:r>
        <w:rPr>
          <w:noProof/>
        </w:rPr>
        <w:t>L’objectif de cet investissement est de stimuler, au moyen d’un programme géré par l’Académie de Finlande, les activités de RDI soutenant la transition écologique. La mesure consiste à soutenir les pôles de recherche, à accroître le niveau d’expertise et à soutenir le renouvellement des activités commerciales au moyen d’investissements dans la RDI, avec un soutien apporté aux organismes de recherche et la promotion de partenariats entre les acteurs de la RDI.</w:t>
      </w:r>
    </w:p>
    <w:p w14:paraId="16D6C736" w14:textId="77777777" w:rsidR="003D7F65" w:rsidRDefault="0082041E">
      <w:pPr>
        <w:pStyle w:val="P68B1DB1-Normal6"/>
        <w:spacing w:before="120" w:after="120" w:line="240" w:lineRule="auto"/>
        <w:jc w:val="both"/>
        <w:rPr>
          <w:noProof/>
        </w:rPr>
      </w:pPr>
      <w:r>
        <w:rPr>
          <w:noProof/>
        </w:rPr>
        <w:t>Investissement 3 (P3C3I3): Paquet de financement de la RDI promouvant la transition écologique – accélérer les secteurs clés et renforcer les compétences (Business Finland)</w:t>
      </w:r>
    </w:p>
    <w:p w14:paraId="48A52CF2" w14:textId="77777777" w:rsidR="003D7F65" w:rsidRDefault="0082041E">
      <w:pPr>
        <w:pStyle w:val="P68B1DB1-Normal3"/>
        <w:spacing w:before="120" w:after="120" w:line="240" w:lineRule="auto"/>
        <w:jc w:val="both"/>
        <w:rPr>
          <w:noProof/>
        </w:rPr>
      </w:pPr>
      <w:r>
        <w:rPr>
          <w:noProof/>
        </w:rPr>
        <w:t xml:space="preserve">L’objectif de cet investissement est de stimuler, au moyen d’un régime géré par Business Finland, les activités de RDI soutenant la transition écologique. La mesure consiste à soutenir les pôles de recherche et le renouvellement des activités des entreprises au moyen d’investissements dans la RDI, avec un soutien apporté aux organismes de recherche et aux entreprises, et à promouvoir les partenariats entre les acteurs de la RDI. </w:t>
      </w:r>
    </w:p>
    <w:p w14:paraId="03BA20F3" w14:textId="5E991E05" w:rsidR="003D7F65" w:rsidRDefault="0082041E">
      <w:pPr>
        <w:pStyle w:val="P68B1DB1-Normal6"/>
        <w:spacing w:before="120" w:after="120" w:line="240" w:lineRule="auto"/>
        <w:jc w:val="both"/>
        <w:rPr>
          <w:noProof/>
        </w:rPr>
      </w:pPr>
      <w:r>
        <w:rPr>
          <w:noProof/>
        </w:rPr>
        <w:t>Investissement 4 (P3C3I4): Paquet de financement de la RDI soutenant la transition écologique – Soutenir les entreprises innovantes en croissance</w:t>
      </w:r>
    </w:p>
    <w:p w14:paraId="168EC65F" w14:textId="77777777" w:rsidR="003D7F65" w:rsidRDefault="0082041E">
      <w:pPr>
        <w:pStyle w:val="P68B1DB1-Normal3"/>
        <w:spacing w:before="120" w:after="120" w:line="240" w:lineRule="auto"/>
        <w:jc w:val="both"/>
        <w:rPr>
          <w:noProof/>
        </w:rPr>
      </w:pPr>
      <w:r>
        <w:rPr>
          <w:noProof/>
        </w:rPr>
        <w:t>L’objectif de l’investissement est d’accroître les investissements des petites et moyennes entreprises dans la RDI afin de soutenir leur préparation à la transition numérique et écologique. La mesure consiste à fournir un soutien ciblé aux entreprises à fort potentiel de croissance qui développent des solutions pour la transition écologique.</w:t>
      </w:r>
    </w:p>
    <w:p w14:paraId="7E5CF7E9" w14:textId="77777777" w:rsidR="003D7F65" w:rsidRDefault="0082041E">
      <w:pPr>
        <w:pStyle w:val="P68B1DB1-Normal6"/>
        <w:spacing w:before="120" w:after="120" w:line="240" w:lineRule="auto"/>
        <w:jc w:val="both"/>
        <w:rPr>
          <w:noProof/>
        </w:rPr>
      </w:pPr>
      <w:r>
        <w:rPr>
          <w:noProof/>
        </w:rPr>
        <w:t>Investissement 5 (P3C3I5): Promouvoir l’innovation et les infrastructures de recherche – Infrastructures de recherche locales</w:t>
      </w:r>
    </w:p>
    <w:p w14:paraId="4F9F97D6" w14:textId="77777777" w:rsidR="003D7F65" w:rsidRDefault="0082041E">
      <w:pPr>
        <w:pStyle w:val="P68B1DB1-Normal3"/>
        <w:spacing w:before="120" w:after="120" w:line="240" w:lineRule="auto"/>
        <w:jc w:val="both"/>
        <w:rPr>
          <w:noProof/>
        </w:rPr>
      </w:pPr>
      <w:r>
        <w:rPr>
          <w:noProof/>
        </w:rPr>
        <w:t xml:space="preserve">L’objectif de cet investissement est de financer </w:t>
      </w:r>
      <w:bookmarkStart w:id="10" w:name="_Hlk212889528"/>
      <w:r>
        <w:rPr>
          <w:noProof/>
        </w:rPr>
        <w:t xml:space="preserve">le renouvellement </w:t>
      </w:r>
      <w:bookmarkEnd w:id="10"/>
      <w:r>
        <w:rPr>
          <w:noProof/>
        </w:rPr>
        <w:t xml:space="preserve">ou la construction d’infrastructures de recherche locales, en mettant l’accent sur la transition écologique et numérique. La mesure consiste à fournir un soutien financier aux infrastructures de recherche locales. </w:t>
      </w:r>
    </w:p>
    <w:p w14:paraId="3890BFB0" w14:textId="3321899F" w:rsidR="003D7F65" w:rsidRDefault="0082041E">
      <w:pPr>
        <w:pStyle w:val="P68B1DB1-Normal6"/>
        <w:spacing w:before="120" w:after="120" w:line="240" w:lineRule="auto"/>
        <w:jc w:val="both"/>
        <w:rPr>
          <w:noProof/>
        </w:rPr>
      </w:pPr>
      <w:r>
        <w:rPr>
          <w:noProof/>
        </w:rPr>
        <w:t>Investissement 6 (P3C3I6): Promouvoir l’innovation et les infrastructures de recherche – Infrastructures nationales de recherche</w:t>
      </w:r>
    </w:p>
    <w:p w14:paraId="24169FB3" w14:textId="77777777" w:rsidR="003D7F65" w:rsidRDefault="0082041E">
      <w:pPr>
        <w:pStyle w:val="P68B1DB1-Normal3"/>
        <w:spacing w:before="120" w:after="120" w:line="240" w:lineRule="auto"/>
        <w:jc w:val="both"/>
        <w:rPr>
          <w:noProof/>
        </w:rPr>
      </w:pPr>
      <w:r>
        <w:rPr>
          <w:noProof/>
        </w:rPr>
        <w:t xml:space="preserve">L’objectif de cet investissement est de financer le renouvellement ou la construction d’infrastructures nationales de recherche en mettant l’accent sur la transition écologique et numérique. La mesure consiste à fournir un soutien financier à la construction d’infrastructures nationales de recherche, une part importante étant allouée à la numérisation. </w:t>
      </w:r>
    </w:p>
    <w:p w14:paraId="12F96AED" w14:textId="28A97081" w:rsidR="003D7F65" w:rsidRDefault="0082041E">
      <w:pPr>
        <w:pStyle w:val="P68B1DB1-Normal6"/>
        <w:spacing w:before="120" w:after="120" w:line="240" w:lineRule="auto"/>
        <w:jc w:val="both"/>
        <w:rPr>
          <w:noProof/>
        </w:rPr>
      </w:pPr>
      <w:r>
        <w:rPr>
          <w:noProof/>
        </w:rPr>
        <w:t>Investissement 7 (P3C3I7): Promouvoir l’innovation et les infrastructures de recherche – un financement compétitif pour les infrastructures d’innovation</w:t>
      </w:r>
    </w:p>
    <w:p w14:paraId="0587B1DC" w14:textId="77777777" w:rsidR="003D7F65" w:rsidRDefault="0082041E">
      <w:pPr>
        <w:pStyle w:val="P68B1DB1-Normal17"/>
        <w:spacing w:before="120" w:after="120" w:line="240" w:lineRule="auto"/>
        <w:jc w:val="both"/>
        <w:rPr>
          <w:rFonts w:ascii="Times New Roman" w:hAnsi="Times New Roman"/>
          <w:noProof/>
        </w:rPr>
      </w:pPr>
      <w:r>
        <w:rPr>
          <w:rFonts w:ascii="Times New Roman" w:hAnsi="Times New Roman"/>
          <w:noProof/>
        </w:rPr>
        <w:t xml:space="preserve">L’objectif de l’investissement est de soutenir la création d’environnements d’essai pour l’innovation, en mettant l’accent sur la transition écologique et numérique. La mesure consiste à soutenir la création d’environnements et la mise à l’essai de solutions </w:t>
      </w:r>
      <w:r>
        <w:rPr>
          <w:rFonts w:ascii="Times New Roman" w:eastAsia="Times New Roman" w:hAnsi="Times New Roman"/>
          <w:noProof/>
          <w:color w:val="000000"/>
        </w:rPr>
        <w:t xml:space="preserve">qui promeuvent la neutralité carbone et la numérisation </w:t>
      </w:r>
      <w:r>
        <w:rPr>
          <w:rFonts w:ascii="Times New Roman" w:hAnsi="Times New Roman"/>
          <w:noProof/>
        </w:rPr>
        <w:t>dans de véritables conditions d’utilisation. Ces environnements peuvent inclure, sans s’y limiter, différentes infrastructures de recherche des villes, des municipalités et d’autres acteurs publics, ou des environnements d’innovation construits conjointement par des entreprises et d’autres acteurs.</w:t>
      </w:r>
    </w:p>
    <w:p w14:paraId="41BEFB65" w14:textId="77777777" w:rsidR="003D7F65" w:rsidRDefault="003D7F65">
      <w:pPr>
        <w:spacing w:after="0" w:line="240" w:lineRule="auto"/>
        <w:rPr>
          <w:rFonts w:ascii="Times New Roman" w:hAnsi="Times New Roman"/>
          <w:noProof/>
          <w:sz w:val="24"/>
        </w:rPr>
        <w:sectPr w:rsidR="003D7F65" w:rsidSect="00A7081A">
          <w:headerReference w:type="even" r:id="rId134"/>
          <w:headerReference w:type="default" r:id="rId135"/>
          <w:footerReference w:type="even" r:id="rId136"/>
          <w:footerReference w:type="default" r:id="rId137"/>
          <w:headerReference w:type="first" r:id="rId138"/>
          <w:footerReference w:type="first" r:id="rId139"/>
          <w:pgSz w:w="11907" w:h="16839" w:code="9"/>
          <w:pgMar w:top="1134" w:right="1134" w:bottom="1134" w:left="1134" w:header="567" w:footer="567" w:gutter="0"/>
          <w:cols w:space="720"/>
          <w:docGrid w:linePitch="360"/>
        </w:sectPr>
      </w:pPr>
    </w:p>
    <w:p w14:paraId="56BF2D8D" w14:textId="77777777" w:rsidR="003D7F65" w:rsidRDefault="0082041E">
      <w:pPr>
        <w:pStyle w:val="P68B1DB1-Normal5"/>
        <w:spacing w:before="120" w:after="120" w:line="240" w:lineRule="auto"/>
        <w:rPr>
          <w:bCs/>
          <w:noProof/>
        </w:rPr>
      </w:pPr>
      <w:r>
        <w:rPr>
          <w:noProof/>
        </w:rPr>
        <w:t xml:space="preserve">K.2. </w:t>
      </w:r>
      <w:r>
        <w:rPr>
          <w:noProof/>
        </w:rPr>
        <w:tab/>
        <w:t>Étapes, cibles, indicateurs et calendrier pour le suivi et la mise en œuvre du soutien financier non remboursable</w:t>
      </w:r>
    </w:p>
    <w:tbl>
      <w:tblPr>
        <w:tblW w:w="15701" w:type="dxa"/>
        <w:jc w:val="center"/>
        <w:tblLayout w:type="fixed"/>
        <w:tblLook w:val="04A0" w:firstRow="1" w:lastRow="0" w:firstColumn="1" w:lastColumn="0" w:noHBand="0" w:noVBand="1"/>
      </w:tblPr>
      <w:tblGrid>
        <w:gridCol w:w="988"/>
        <w:gridCol w:w="1804"/>
        <w:gridCol w:w="1314"/>
        <w:gridCol w:w="1511"/>
        <w:gridCol w:w="1891"/>
        <w:gridCol w:w="992"/>
        <w:gridCol w:w="1134"/>
        <w:gridCol w:w="993"/>
        <w:gridCol w:w="1134"/>
        <w:gridCol w:w="850"/>
        <w:gridCol w:w="3090"/>
      </w:tblGrid>
      <w:tr w:rsidR="003D7F65" w14:paraId="0002DA17" w14:textId="77777777" w:rsidTr="006B6182">
        <w:trPr>
          <w:trHeight w:val="74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F64DB4" w14:textId="77777777" w:rsidR="003D7F65" w:rsidRDefault="0082041E">
            <w:pPr>
              <w:pStyle w:val="P68B1DB1-Normal7"/>
              <w:spacing w:after="0" w:line="240" w:lineRule="auto"/>
              <w:jc w:val="center"/>
              <w:rPr>
                <w:noProof/>
              </w:rPr>
            </w:pPr>
            <w:r>
              <w:rPr>
                <w:noProof/>
              </w:rPr>
              <w:t>Numéro</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0FCABA" w14:textId="288C49DC" w:rsidR="003D7F65" w:rsidRDefault="0082041E">
            <w:pPr>
              <w:pStyle w:val="P68B1DB1-Normal7"/>
              <w:spacing w:after="0" w:line="240" w:lineRule="auto"/>
              <w:jc w:val="center"/>
              <w:rPr>
                <w:noProof/>
              </w:rPr>
            </w:pPr>
            <w:r>
              <w:rPr>
                <w:noProof/>
              </w:rPr>
              <w:t>Mesure</w:t>
            </w:r>
          </w:p>
        </w:tc>
        <w:tc>
          <w:tcPr>
            <w:tcW w:w="131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E147B2" w14:textId="77777777" w:rsidR="003D7F65" w:rsidRDefault="0082041E">
            <w:pPr>
              <w:pStyle w:val="P68B1DB1-Normal7"/>
              <w:spacing w:after="0" w:line="240" w:lineRule="auto"/>
              <w:jc w:val="center"/>
              <w:rPr>
                <w:noProof/>
              </w:rPr>
            </w:pPr>
            <w:r>
              <w:rPr>
                <w:noProof/>
              </w:rPr>
              <w:t>Étape/cible</w:t>
            </w:r>
          </w:p>
        </w:tc>
        <w:tc>
          <w:tcPr>
            <w:tcW w:w="15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883089" w14:textId="77777777" w:rsidR="003D7F65" w:rsidRDefault="0082041E">
            <w:pPr>
              <w:pStyle w:val="P68B1DB1-Normal7"/>
              <w:spacing w:after="0" w:line="240" w:lineRule="auto"/>
              <w:jc w:val="center"/>
              <w:rPr>
                <w:noProof/>
              </w:rPr>
            </w:pPr>
            <w:r>
              <w:rPr>
                <w:noProof/>
              </w:rPr>
              <w:t>Nom</w:t>
            </w:r>
          </w:p>
        </w:tc>
        <w:tc>
          <w:tcPr>
            <w:tcW w:w="18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ACC70" w14:textId="527768BD" w:rsidR="003D7F65" w:rsidRDefault="0082041E">
            <w:pPr>
              <w:pStyle w:val="P68B1DB1-Normal7"/>
              <w:spacing w:after="0" w:line="240" w:lineRule="auto"/>
              <w:jc w:val="center"/>
              <w:rPr>
                <w:bCs/>
                <w:noProof/>
              </w:rPr>
            </w:pPr>
            <w:r>
              <w:rPr>
                <w:noProof/>
              </w:rPr>
              <w:t>Indicateurs qualitatifs (pour les jalons)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BACC1F9" w14:textId="49F9F59F" w:rsidR="003D7F65" w:rsidRDefault="0082041E">
            <w:pPr>
              <w:pStyle w:val="P68B1DB1-Normal7"/>
              <w:spacing w:after="0" w:line="240" w:lineRule="auto"/>
              <w:jc w:val="center"/>
              <w:rPr>
                <w:bCs/>
                <w:noProof/>
              </w:rPr>
            </w:pPr>
            <w:r>
              <w:rPr>
                <w:noProof/>
              </w:rPr>
              <w:t>Indicateurs quantitatifs (pour les objectifs)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hideMark/>
          </w:tcPr>
          <w:p w14:paraId="2D9A7587" w14:textId="563839BC" w:rsidR="003D7F65" w:rsidRDefault="0082041E">
            <w:pPr>
              <w:pStyle w:val="P68B1DB1-Normal7"/>
              <w:spacing w:after="0" w:line="240" w:lineRule="auto"/>
              <w:jc w:val="center"/>
              <w:rPr>
                <w:noProof/>
              </w:rPr>
            </w:pPr>
            <w:r>
              <w:rPr>
                <w:noProof/>
              </w:rPr>
              <w:t>Calendrier indicatif d'achèvement</w:t>
            </w:r>
          </w:p>
        </w:tc>
        <w:tc>
          <w:tcPr>
            <w:tcW w:w="30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9B907D" w14:textId="77777777" w:rsidR="003D7F65" w:rsidRDefault="0082041E">
            <w:pPr>
              <w:pStyle w:val="P68B1DB1-Normal7"/>
              <w:spacing w:after="0" w:line="240" w:lineRule="auto"/>
              <w:jc w:val="center"/>
              <w:rPr>
                <w:noProof/>
              </w:rPr>
            </w:pPr>
            <w:r>
              <w:rPr>
                <w:noProof/>
              </w:rPr>
              <w:t>Description de chaque jalon et cible</w:t>
            </w:r>
          </w:p>
        </w:tc>
      </w:tr>
      <w:tr w:rsidR="003D7F65" w14:paraId="7FD0A971" w14:textId="77777777" w:rsidTr="006B6182">
        <w:trPr>
          <w:trHeight w:val="519"/>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8754D32" w14:textId="77777777" w:rsidR="003D7F65" w:rsidRDefault="003D7F65">
            <w:pPr>
              <w:spacing w:after="0" w:line="240" w:lineRule="auto"/>
              <w:rPr>
                <w:rFonts w:ascii="Times New Roman" w:eastAsia="Times New Roman" w:hAnsi="Times New Roman"/>
                <w:b/>
                <w:noProof/>
                <w:sz w:val="20"/>
                <w:szCs w:val="20"/>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171F2A6B" w14:textId="77777777" w:rsidR="003D7F65" w:rsidRDefault="003D7F65">
            <w:pPr>
              <w:spacing w:after="0" w:line="240" w:lineRule="auto"/>
              <w:rPr>
                <w:rFonts w:ascii="Times New Roman" w:eastAsia="Times New Roman" w:hAnsi="Times New Roman"/>
                <w:b/>
                <w:noProof/>
                <w:sz w:val="20"/>
                <w:szCs w:val="20"/>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14:paraId="21AB1579" w14:textId="77777777" w:rsidR="003D7F65" w:rsidRDefault="003D7F65">
            <w:pPr>
              <w:spacing w:after="0" w:line="240" w:lineRule="auto"/>
              <w:rPr>
                <w:rFonts w:ascii="Times New Roman" w:eastAsia="Times New Roman" w:hAnsi="Times New Roman"/>
                <w:b/>
                <w:noProof/>
                <w:sz w:val="20"/>
                <w:szCs w:val="20"/>
              </w:rPr>
            </w:pPr>
          </w:p>
        </w:tc>
        <w:tc>
          <w:tcPr>
            <w:tcW w:w="1511" w:type="dxa"/>
            <w:vMerge/>
            <w:tcBorders>
              <w:top w:val="single" w:sz="4" w:space="0" w:color="auto"/>
              <w:left w:val="single" w:sz="4" w:space="0" w:color="auto"/>
              <w:bottom w:val="single" w:sz="4" w:space="0" w:color="auto"/>
              <w:right w:val="single" w:sz="4" w:space="0" w:color="auto"/>
            </w:tcBorders>
            <w:vAlign w:val="center"/>
            <w:hideMark/>
          </w:tcPr>
          <w:p w14:paraId="3B639215" w14:textId="77777777" w:rsidR="003D7F65" w:rsidRDefault="003D7F65">
            <w:pPr>
              <w:spacing w:after="0" w:line="240" w:lineRule="auto"/>
              <w:rPr>
                <w:rFonts w:ascii="Times New Roman" w:eastAsia="Times New Roman" w:hAnsi="Times New Roman"/>
                <w:b/>
                <w:noProof/>
                <w:sz w:val="20"/>
                <w:szCs w:val="20"/>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75E80246" w14:textId="77777777" w:rsidR="003D7F65" w:rsidRDefault="003D7F65">
            <w:pPr>
              <w:spacing w:after="0" w:line="240" w:lineRule="auto"/>
              <w:rPr>
                <w:rFonts w:ascii="Times New Roman" w:eastAsia="Times New Roman" w:hAnsi="Times New Roman"/>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AC1EAE" w14:textId="77777777" w:rsidR="003D7F65" w:rsidRDefault="0082041E">
            <w:pPr>
              <w:pStyle w:val="P68B1DB1-Normal7"/>
              <w:spacing w:after="0" w:line="240" w:lineRule="auto"/>
              <w:jc w:val="center"/>
              <w:rPr>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21DEBD" w14:textId="77777777" w:rsidR="003D7F65" w:rsidRDefault="0082041E">
            <w:pPr>
              <w:pStyle w:val="P68B1DB1-Normal7"/>
              <w:spacing w:after="0" w:line="240" w:lineRule="auto"/>
              <w:jc w:val="center"/>
              <w:rPr>
                <w:bCs/>
                <w:noProof/>
              </w:rPr>
            </w:pPr>
            <w:r>
              <w:rPr>
                <w:noProof/>
              </w:rPr>
              <w:t xml:space="preserve">Données de référence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6AD739" w14:textId="77777777" w:rsidR="003D7F65" w:rsidRDefault="0082041E">
            <w:pPr>
              <w:pStyle w:val="P68B1DB1-Normal7"/>
              <w:spacing w:after="0" w:line="240" w:lineRule="auto"/>
              <w:jc w:val="center"/>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CF6206" w14:textId="77777777" w:rsidR="003D7F65" w:rsidRDefault="0082041E">
            <w:pPr>
              <w:pStyle w:val="P68B1DB1-Normal7"/>
              <w:spacing w:after="0" w:line="240" w:lineRule="auto"/>
              <w:jc w:val="center"/>
              <w:rPr>
                <w:noProof/>
              </w:rPr>
            </w:pPr>
            <w:r>
              <w:rPr>
                <w:noProof/>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F0627D" w14:textId="77777777" w:rsidR="003D7F65" w:rsidRDefault="0082041E">
            <w:pPr>
              <w:pStyle w:val="P68B1DB1-Normal7"/>
              <w:spacing w:after="0" w:line="240" w:lineRule="auto"/>
              <w:jc w:val="center"/>
              <w:rPr>
                <w:noProof/>
              </w:rPr>
            </w:pPr>
            <w:r>
              <w:rPr>
                <w:noProof/>
              </w:rPr>
              <w:t>Année</w:t>
            </w:r>
          </w:p>
        </w:tc>
        <w:tc>
          <w:tcPr>
            <w:tcW w:w="3090" w:type="dxa"/>
            <w:vMerge/>
            <w:tcBorders>
              <w:top w:val="single" w:sz="4" w:space="0" w:color="auto"/>
              <w:bottom w:val="single" w:sz="4" w:space="0" w:color="auto"/>
              <w:right w:val="single" w:sz="4" w:space="0" w:color="auto"/>
            </w:tcBorders>
            <w:vAlign w:val="center"/>
            <w:hideMark/>
          </w:tcPr>
          <w:p w14:paraId="27FF14E0" w14:textId="77777777" w:rsidR="003D7F65" w:rsidRDefault="003D7F65">
            <w:pPr>
              <w:spacing w:after="0" w:line="240" w:lineRule="auto"/>
              <w:rPr>
                <w:rFonts w:ascii="Times New Roman" w:eastAsia="Times New Roman" w:hAnsi="Times New Roman"/>
                <w:b/>
                <w:noProof/>
                <w:sz w:val="20"/>
                <w:szCs w:val="20"/>
              </w:rPr>
            </w:pPr>
          </w:p>
        </w:tc>
      </w:tr>
      <w:tr w:rsidR="003D7F65" w14:paraId="4C2DE153" w14:textId="77777777" w:rsidTr="006B6182">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03014C9D" w14:textId="77777777" w:rsidR="003D7F65" w:rsidRDefault="0082041E">
            <w:pPr>
              <w:pStyle w:val="P68B1DB1-Normal8"/>
              <w:spacing w:after="0" w:line="240" w:lineRule="auto"/>
              <w:jc w:val="center"/>
              <w:rPr>
                <w:noProof/>
              </w:rPr>
            </w:pPr>
            <w:r>
              <w:rPr>
                <w:noProof/>
              </w:rPr>
              <w:t>100</w:t>
            </w:r>
          </w:p>
        </w:tc>
        <w:tc>
          <w:tcPr>
            <w:tcW w:w="1804" w:type="dxa"/>
            <w:tcBorders>
              <w:top w:val="single" w:sz="4" w:space="0" w:color="auto"/>
              <w:left w:val="nil"/>
              <w:bottom w:val="single" w:sz="4" w:space="0" w:color="auto"/>
              <w:right w:val="single" w:sz="4" w:space="0" w:color="auto"/>
            </w:tcBorders>
            <w:shd w:val="clear" w:color="auto" w:fill="C6EFCE"/>
            <w:noWrap/>
          </w:tcPr>
          <w:p w14:paraId="63E4E08D" w14:textId="77777777" w:rsidR="003D7F65" w:rsidRDefault="0082041E">
            <w:pPr>
              <w:pStyle w:val="P68B1DB1-Normal8"/>
              <w:spacing w:after="0" w:line="240" w:lineRule="auto"/>
              <w:rPr>
                <w:noProof/>
              </w:rPr>
            </w:pPr>
            <w:r>
              <w:rPr>
                <w:noProof/>
              </w:rPr>
              <w:t>P3C3I1 – RDI, infrastructures de recherche et pilotage – Paquet de financement de la RDI promouvant la transition écologique – Entreprises de premier plan</w:t>
            </w:r>
          </w:p>
        </w:tc>
        <w:tc>
          <w:tcPr>
            <w:tcW w:w="1314" w:type="dxa"/>
            <w:tcBorders>
              <w:top w:val="single" w:sz="4" w:space="0" w:color="auto"/>
              <w:left w:val="nil"/>
              <w:bottom w:val="single" w:sz="4" w:space="0" w:color="auto"/>
              <w:right w:val="single" w:sz="4" w:space="0" w:color="auto"/>
            </w:tcBorders>
            <w:shd w:val="clear" w:color="auto" w:fill="C6EFCE"/>
            <w:noWrap/>
          </w:tcPr>
          <w:p w14:paraId="5E875FEF"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0A783516" w14:textId="77777777" w:rsidR="003D7F65" w:rsidRDefault="0082041E">
            <w:pPr>
              <w:pStyle w:val="P68B1DB1-Normal8"/>
              <w:spacing w:after="0" w:line="240" w:lineRule="auto"/>
              <w:rPr>
                <w:noProof/>
              </w:rPr>
            </w:pPr>
            <w:r>
              <w:rPr>
                <w:noProof/>
              </w:rPr>
              <w:t>Publication d’un appel à candidatures pour des projets d’entreprises de premier plan</w:t>
            </w:r>
          </w:p>
        </w:tc>
        <w:tc>
          <w:tcPr>
            <w:tcW w:w="1891" w:type="dxa"/>
            <w:tcBorders>
              <w:top w:val="single" w:sz="4" w:space="0" w:color="auto"/>
              <w:left w:val="nil"/>
              <w:bottom w:val="single" w:sz="4" w:space="0" w:color="auto"/>
              <w:right w:val="single" w:sz="4" w:space="0" w:color="auto"/>
            </w:tcBorders>
            <w:shd w:val="clear" w:color="auto" w:fill="C6EFCE"/>
            <w:noWrap/>
          </w:tcPr>
          <w:p w14:paraId="409937A0" w14:textId="77777777" w:rsidR="003D7F65" w:rsidRDefault="0082041E">
            <w:pPr>
              <w:pStyle w:val="P68B1DB1-Normal8"/>
              <w:spacing w:after="0" w:line="240" w:lineRule="auto"/>
              <w:rPr>
                <w:noProof/>
              </w:rPr>
            </w:pPr>
            <w:r>
              <w:rPr>
                <w:noProof/>
              </w:rPr>
              <w:t>Publication de l'appel à candidatures par Business Finland</w:t>
            </w:r>
          </w:p>
        </w:tc>
        <w:tc>
          <w:tcPr>
            <w:tcW w:w="992" w:type="dxa"/>
            <w:tcBorders>
              <w:top w:val="single" w:sz="4" w:space="0" w:color="auto"/>
              <w:left w:val="nil"/>
              <w:bottom w:val="single" w:sz="4" w:space="0" w:color="auto"/>
              <w:right w:val="single" w:sz="4" w:space="0" w:color="auto"/>
            </w:tcBorders>
            <w:shd w:val="clear" w:color="auto" w:fill="C6EFCE"/>
            <w:noWrap/>
          </w:tcPr>
          <w:p w14:paraId="50F7DC86" w14:textId="5D129FAA" w:rsidR="003D7F65" w:rsidRDefault="003D7F65">
            <w:pPr>
              <w:spacing w:after="0" w:line="240" w:lineRule="auto"/>
              <w:jc w:val="center"/>
              <w:rPr>
                <w:rFonts w:ascii="Times New Roman" w:hAnsi="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4FD3F3FE" w14:textId="2E84127A" w:rsidR="003D7F65" w:rsidRDefault="003D7F65">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11444605" w14:textId="1BC5A45F" w:rsidR="003D7F65" w:rsidRDefault="003D7F65">
            <w:pPr>
              <w:spacing w:after="0" w:line="240" w:lineRule="auto"/>
              <w:jc w:val="center"/>
              <w:rPr>
                <w:rFonts w:ascii="Times New Roman" w:hAnsi="Times New Roman"/>
                <w:noProof/>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tcPr>
          <w:p w14:paraId="033EF321" w14:textId="77777777" w:rsidR="003D7F65" w:rsidRDefault="0082041E">
            <w:pPr>
              <w:pStyle w:val="P68B1DB1-Normal8"/>
              <w:spacing w:after="0" w:line="240" w:lineRule="auto"/>
              <w:jc w:val="center"/>
              <w:rPr>
                <w:noProof/>
              </w:rPr>
            </w:pPr>
            <w:r>
              <w:rPr>
                <w:noProof/>
              </w:rPr>
              <w:t>T2</w:t>
            </w:r>
          </w:p>
        </w:tc>
        <w:tc>
          <w:tcPr>
            <w:tcW w:w="850" w:type="dxa"/>
            <w:tcBorders>
              <w:top w:val="single" w:sz="4" w:space="0" w:color="auto"/>
              <w:left w:val="nil"/>
              <w:bottom w:val="single" w:sz="4" w:space="0" w:color="auto"/>
              <w:right w:val="single" w:sz="4" w:space="0" w:color="auto"/>
            </w:tcBorders>
            <w:shd w:val="clear" w:color="auto" w:fill="C6EFCE"/>
            <w:noWrap/>
          </w:tcPr>
          <w:p w14:paraId="2101ED24" w14:textId="77777777" w:rsidR="003D7F65" w:rsidRDefault="0082041E">
            <w:pPr>
              <w:pStyle w:val="P68B1DB1-Normal8"/>
              <w:spacing w:after="0" w:line="240" w:lineRule="auto"/>
              <w:jc w:val="center"/>
              <w:rPr>
                <w:noProof/>
              </w:rPr>
            </w:pPr>
            <w:r>
              <w:rPr>
                <w:noProof/>
              </w:rPr>
              <w:t>2022</w:t>
            </w:r>
          </w:p>
        </w:tc>
        <w:tc>
          <w:tcPr>
            <w:tcW w:w="3090" w:type="dxa"/>
            <w:tcBorders>
              <w:top w:val="single" w:sz="4" w:space="0" w:color="auto"/>
              <w:left w:val="nil"/>
              <w:bottom w:val="single" w:sz="4" w:space="0" w:color="auto"/>
              <w:right w:val="single" w:sz="4" w:space="0" w:color="auto"/>
            </w:tcBorders>
            <w:shd w:val="clear" w:color="auto" w:fill="C6EFCE"/>
            <w:noWrap/>
          </w:tcPr>
          <w:p w14:paraId="61F341BD" w14:textId="77777777" w:rsidR="003D7F65" w:rsidRDefault="0082041E">
            <w:pPr>
              <w:pStyle w:val="P68B1DB1-Normal8"/>
              <w:spacing w:after="0" w:line="240" w:lineRule="auto"/>
              <w:rPr>
                <w:noProof/>
              </w:rPr>
            </w:pPr>
            <w:r>
              <w:rPr>
                <w:noProof/>
              </w:rPr>
              <w:t>Business Finland lance un appel à candidatures pour des projets d’entreprises de premier plan. Les critères d’éligibilité/de sélection exigent que la recherche soit ciblée sur l’économie à faible intensité de carbone ainsi que sur l’adaptation au changement climatique et la résilience à celui-ci, conformément au domaine d’intervention 022 de l’annexe VI du règlement FRR. Les critères d’éligibilité garantissent également que les projets sélectionnés sont conformes aux orientations techniques «Ne pas causer de préjudice important» (2021/C58/01) grâce à l’utilisation d’une liste d’exclusion et à l’exigence de conformité avec la législation environnementale pertinente de l’UE et nationale. Les projets promouvant l’utilisation de combustibles fossiles ne sont pas financés. Un projet proposé par une entreprise couverte par le système d’échange de quotas d’émission de l’UE (SEQE) ne peut être financé que s’il réduit considérablement les émissions de gaz à effet de serre.</w:t>
            </w:r>
          </w:p>
        </w:tc>
      </w:tr>
      <w:tr w:rsidR="003D7F65" w14:paraId="56735237"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72A1C0D" w14:textId="77777777" w:rsidR="003D7F65" w:rsidRDefault="0082041E">
            <w:pPr>
              <w:pStyle w:val="P68B1DB1-Normal8"/>
              <w:spacing w:after="0" w:line="240" w:lineRule="auto"/>
              <w:jc w:val="center"/>
              <w:rPr>
                <w:noProof/>
              </w:rPr>
            </w:pPr>
            <w:r>
              <w:rPr>
                <w:noProof/>
              </w:rPr>
              <w:t>101</w:t>
            </w:r>
          </w:p>
        </w:tc>
        <w:tc>
          <w:tcPr>
            <w:tcW w:w="1804" w:type="dxa"/>
            <w:tcBorders>
              <w:top w:val="nil"/>
              <w:left w:val="nil"/>
              <w:bottom w:val="single" w:sz="4" w:space="0" w:color="auto"/>
              <w:right w:val="single" w:sz="4" w:space="0" w:color="auto"/>
            </w:tcBorders>
            <w:shd w:val="clear" w:color="auto" w:fill="C6EFCE"/>
            <w:noWrap/>
          </w:tcPr>
          <w:p w14:paraId="4582CB9B"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w:t>
            </w:r>
            <w:r>
              <w:rPr>
                <w:rFonts w:ascii="Times New Roman" w:hAnsi="Times New Roman"/>
                <w:noProof/>
              </w:rPr>
              <w:t xml:space="preserve"> 1 – RDI, infrastructures de recherche et pilotage – Paquet de financement de la RDI promouvant la transition écologique – Entreprises de premier plan</w:t>
            </w:r>
          </w:p>
        </w:tc>
        <w:tc>
          <w:tcPr>
            <w:tcW w:w="1314" w:type="dxa"/>
            <w:tcBorders>
              <w:top w:val="nil"/>
              <w:left w:val="nil"/>
              <w:bottom w:val="single" w:sz="4" w:space="0" w:color="auto"/>
              <w:right w:val="single" w:sz="4" w:space="0" w:color="auto"/>
            </w:tcBorders>
            <w:shd w:val="clear" w:color="auto" w:fill="C6EFCE"/>
            <w:noWrap/>
          </w:tcPr>
          <w:p w14:paraId="45C9CB94" w14:textId="77777777" w:rsidR="003D7F65" w:rsidRDefault="0082041E">
            <w:pPr>
              <w:pStyle w:val="P68B1DB1-Normal8"/>
              <w:spacing w:after="0" w:line="240" w:lineRule="auto"/>
              <w:rPr>
                <w:noProof/>
              </w:rPr>
            </w:pPr>
            <w:r>
              <w:rPr>
                <w:noProof/>
              </w:rPr>
              <w:t>Objectif</w:t>
            </w:r>
          </w:p>
        </w:tc>
        <w:tc>
          <w:tcPr>
            <w:tcW w:w="1511" w:type="dxa"/>
            <w:tcBorders>
              <w:top w:val="nil"/>
              <w:left w:val="nil"/>
              <w:bottom w:val="single" w:sz="4" w:space="0" w:color="auto"/>
              <w:right w:val="single" w:sz="4" w:space="0" w:color="auto"/>
            </w:tcBorders>
            <w:shd w:val="clear" w:color="auto" w:fill="C6EFCE"/>
            <w:noWrap/>
          </w:tcPr>
          <w:p w14:paraId="6993D789" w14:textId="77777777" w:rsidR="003D7F65" w:rsidRDefault="0082041E">
            <w:pPr>
              <w:pStyle w:val="P68B1DB1-Normal8"/>
              <w:spacing w:after="0" w:line="240" w:lineRule="auto"/>
              <w:rPr>
                <w:noProof/>
              </w:rPr>
            </w:pPr>
            <w:r>
              <w:rPr>
                <w:noProof/>
              </w:rPr>
              <w:t>Octroi de subventions à des projets d’entreprises de premier plan</w:t>
            </w:r>
          </w:p>
        </w:tc>
        <w:tc>
          <w:tcPr>
            <w:tcW w:w="1891" w:type="dxa"/>
            <w:tcBorders>
              <w:top w:val="nil"/>
              <w:left w:val="nil"/>
              <w:bottom w:val="single" w:sz="4" w:space="0" w:color="auto"/>
              <w:right w:val="single" w:sz="4" w:space="0" w:color="auto"/>
            </w:tcBorders>
            <w:shd w:val="clear" w:color="auto" w:fill="C6EFCE"/>
            <w:noWrap/>
          </w:tcPr>
          <w:p w14:paraId="67C09CC0"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634A66DC"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38590274"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49BFF1A2" w14:textId="77777777" w:rsidR="003D7F65" w:rsidRDefault="0082041E">
            <w:pPr>
              <w:pStyle w:val="P68B1DB1-Normal8"/>
              <w:spacing w:after="0" w:line="240" w:lineRule="auto"/>
              <w:jc w:val="center"/>
              <w:rPr>
                <w:noProof/>
              </w:rPr>
            </w:pPr>
            <w:r>
              <w:rPr>
                <w:noProof/>
              </w:rPr>
              <w:t>5</w:t>
            </w:r>
          </w:p>
        </w:tc>
        <w:tc>
          <w:tcPr>
            <w:tcW w:w="1134" w:type="dxa"/>
            <w:tcBorders>
              <w:top w:val="nil"/>
              <w:left w:val="nil"/>
              <w:bottom w:val="single" w:sz="4" w:space="0" w:color="auto"/>
              <w:right w:val="single" w:sz="4" w:space="0" w:color="auto"/>
            </w:tcBorders>
            <w:shd w:val="clear" w:color="auto" w:fill="C6EFCE"/>
            <w:noWrap/>
          </w:tcPr>
          <w:p w14:paraId="63A5B75B"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6778004A" w14:textId="77777777" w:rsidR="003D7F65" w:rsidRDefault="0082041E">
            <w:pPr>
              <w:pStyle w:val="P68B1DB1-Normal8"/>
              <w:spacing w:after="0" w:line="240" w:lineRule="auto"/>
              <w:jc w:val="center"/>
              <w:rPr>
                <w:noProof/>
              </w:rPr>
            </w:pPr>
            <w:r>
              <w:rPr>
                <w:noProof/>
              </w:rPr>
              <w:t>2023</w:t>
            </w:r>
          </w:p>
        </w:tc>
        <w:tc>
          <w:tcPr>
            <w:tcW w:w="3090" w:type="dxa"/>
            <w:tcBorders>
              <w:top w:val="nil"/>
              <w:left w:val="nil"/>
              <w:bottom w:val="single" w:sz="4" w:space="0" w:color="auto"/>
              <w:right w:val="single" w:sz="4" w:space="0" w:color="auto"/>
            </w:tcBorders>
            <w:shd w:val="clear" w:color="auto" w:fill="C6EFCE"/>
            <w:noWrap/>
          </w:tcPr>
          <w:p w14:paraId="01AFF5BF" w14:textId="77777777" w:rsidR="003D7F65" w:rsidRDefault="0082041E">
            <w:pPr>
              <w:pStyle w:val="P68B1DB1-Normal8"/>
              <w:spacing w:after="0" w:line="240" w:lineRule="auto"/>
              <w:rPr>
                <w:noProof/>
              </w:rPr>
            </w:pPr>
            <w:r>
              <w:rPr>
                <w:noProof/>
              </w:rPr>
              <w:t xml:space="preserve">Notification par Business Finland de l’octroi d’au moins 5 subventions pour des projets d’entreprises de premier plan sélectionnés conformément aux critères d’éligibilité/de sélection spécifiés au jalon 100. </w:t>
            </w:r>
          </w:p>
        </w:tc>
      </w:tr>
      <w:tr w:rsidR="003D7F65" w14:paraId="2E627287"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125D9CF" w14:textId="77777777" w:rsidR="003D7F65" w:rsidRDefault="0082041E">
            <w:pPr>
              <w:pStyle w:val="P68B1DB1-Normal8"/>
              <w:spacing w:after="0" w:line="240" w:lineRule="auto"/>
              <w:jc w:val="center"/>
              <w:rPr>
                <w:noProof/>
              </w:rPr>
            </w:pPr>
            <w:r>
              <w:rPr>
                <w:noProof/>
              </w:rPr>
              <w:t>102</w:t>
            </w:r>
          </w:p>
        </w:tc>
        <w:tc>
          <w:tcPr>
            <w:tcW w:w="1804" w:type="dxa"/>
            <w:tcBorders>
              <w:top w:val="single" w:sz="4" w:space="0" w:color="auto"/>
              <w:left w:val="nil"/>
              <w:bottom w:val="single" w:sz="4" w:space="0" w:color="auto"/>
              <w:right w:val="single" w:sz="4" w:space="0" w:color="auto"/>
            </w:tcBorders>
            <w:shd w:val="clear" w:color="auto" w:fill="C6EFCE"/>
            <w:noWrap/>
          </w:tcPr>
          <w:p w14:paraId="44218BCD"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w:t>
            </w:r>
            <w:r>
              <w:rPr>
                <w:rFonts w:ascii="Times New Roman" w:hAnsi="Times New Roman"/>
                <w:noProof/>
              </w:rPr>
              <w:t xml:space="preserve"> 1 – RDI, infrastructures de recherche et pilotage – Paquet de financement de la RDI promouvant la transition écologique – Entreprises de premier plan</w:t>
            </w:r>
          </w:p>
        </w:tc>
        <w:tc>
          <w:tcPr>
            <w:tcW w:w="1314" w:type="dxa"/>
            <w:tcBorders>
              <w:top w:val="nil"/>
              <w:left w:val="nil"/>
              <w:bottom w:val="single" w:sz="4" w:space="0" w:color="auto"/>
              <w:right w:val="single" w:sz="4" w:space="0" w:color="auto"/>
            </w:tcBorders>
            <w:shd w:val="clear" w:color="auto" w:fill="C6EFCE"/>
            <w:noWrap/>
          </w:tcPr>
          <w:p w14:paraId="55FD1AC0" w14:textId="77777777" w:rsidR="003D7F65" w:rsidRDefault="0082041E">
            <w:pPr>
              <w:pStyle w:val="P68B1DB1-Normal8"/>
              <w:spacing w:after="0" w:line="240" w:lineRule="auto"/>
              <w:rPr>
                <w:noProof/>
              </w:rPr>
            </w:pPr>
            <w:r>
              <w:rPr>
                <w:noProof/>
              </w:rPr>
              <w:t>Étape</w:t>
            </w:r>
          </w:p>
        </w:tc>
        <w:tc>
          <w:tcPr>
            <w:tcW w:w="1511" w:type="dxa"/>
            <w:tcBorders>
              <w:top w:val="nil"/>
              <w:left w:val="nil"/>
              <w:bottom w:val="single" w:sz="4" w:space="0" w:color="auto"/>
              <w:right w:val="single" w:sz="4" w:space="0" w:color="auto"/>
            </w:tcBorders>
            <w:shd w:val="clear" w:color="auto" w:fill="C6EFCE"/>
            <w:noWrap/>
          </w:tcPr>
          <w:p w14:paraId="69F82B70" w14:textId="77777777" w:rsidR="003D7F65" w:rsidRDefault="0082041E">
            <w:pPr>
              <w:pStyle w:val="P68B1DB1-Normal8"/>
              <w:spacing w:after="0" w:line="240" w:lineRule="auto"/>
              <w:rPr>
                <w:noProof/>
              </w:rPr>
            </w:pPr>
            <w:r>
              <w:rPr>
                <w:noProof/>
              </w:rPr>
              <w:t>Rapports de projet présentés</w:t>
            </w:r>
          </w:p>
        </w:tc>
        <w:tc>
          <w:tcPr>
            <w:tcW w:w="1891" w:type="dxa"/>
            <w:tcBorders>
              <w:top w:val="nil"/>
              <w:left w:val="nil"/>
              <w:bottom w:val="single" w:sz="4" w:space="0" w:color="auto"/>
              <w:right w:val="single" w:sz="4" w:space="0" w:color="auto"/>
            </w:tcBorders>
            <w:shd w:val="clear" w:color="auto" w:fill="C6EFCE"/>
            <w:noWrap/>
          </w:tcPr>
          <w:p w14:paraId="70A752E8" w14:textId="77777777" w:rsidR="003D7F65" w:rsidRDefault="003D7F65">
            <w:pPr>
              <w:spacing w:after="0" w:line="240" w:lineRule="auto"/>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E248BB6"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3B10A1A7"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8166A06"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EEE204D"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705A05AF" w14:textId="77777777" w:rsidR="003D7F65" w:rsidRDefault="0082041E">
            <w:pPr>
              <w:pStyle w:val="P68B1DB1-Normal8"/>
              <w:spacing w:after="0" w:line="240" w:lineRule="auto"/>
              <w:jc w:val="center"/>
              <w:rPr>
                <w:noProof/>
              </w:rPr>
            </w:pPr>
            <w:r>
              <w:rPr>
                <w:noProof/>
              </w:rPr>
              <w:t>2026</w:t>
            </w:r>
          </w:p>
        </w:tc>
        <w:tc>
          <w:tcPr>
            <w:tcW w:w="3090" w:type="dxa"/>
            <w:tcBorders>
              <w:top w:val="nil"/>
              <w:left w:val="nil"/>
              <w:bottom w:val="single" w:sz="4" w:space="0" w:color="auto"/>
              <w:right w:val="single" w:sz="4" w:space="0" w:color="auto"/>
            </w:tcBorders>
            <w:shd w:val="clear" w:color="auto" w:fill="C6EFCE"/>
            <w:noWrap/>
          </w:tcPr>
          <w:p w14:paraId="4898F100" w14:textId="77777777" w:rsidR="003D7F65" w:rsidRDefault="0082041E">
            <w:pPr>
              <w:pStyle w:val="P68B1DB1-Normal8"/>
              <w:spacing w:after="0" w:line="240" w:lineRule="auto"/>
              <w:rPr>
                <w:noProof/>
              </w:rPr>
            </w:pPr>
            <w:bookmarkStart w:id="11" w:name="_Hlk212116058"/>
            <w:r>
              <w:rPr>
                <w:noProof/>
              </w:rPr>
              <w:t>Les entités bénéficiaires soumettent des rapports sur les projets ayant fait l’objet d’une attribution cumulée d’au moins 90 000 000 EUR.</w:t>
            </w:r>
            <w:bookmarkEnd w:id="11"/>
          </w:p>
        </w:tc>
      </w:tr>
      <w:tr w:rsidR="003D7F65" w14:paraId="6ED43FEC"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1D0839B" w14:textId="77777777" w:rsidR="003D7F65" w:rsidRDefault="0082041E">
            <w:pPr>
              <w:pStyle w:val="P68B1DB1-Normal8"/>
              <w:spacing w:after="0" w:line="240" w:lineRule="auto"/>
              <w:jc w:val="center"/>
              <w:rPr>
                <w:noProof/>
              </w:rPr>
            </w:pPr>
            <w:r>
              <w:rPr>
                <w:noProof/>
              </w:rPr>
              <w:t>103</w:t>
            </w:r>
          </w:p>
        </w:tc>
        <w:tc>
          <w:tcPr>
            <w:tcW w:w="1804" w:type="dxa"/>
            <w:tcBorders>
              <w:top w:val="single" w:sz="4" w:space="0" w:color="auto"/>
              <w:left w:val="nil"/>
              <w:bottom w:val="single" w:sz="4" w:space="0" w:color="auto"/>
              <w:right w:val="single" w:sz="4" w:space="0" w:color="auto"/>
            </w:tcBorders>
            <w:shd w:val="clear" w:color="auto" w:fill="C6EFCE"/>
            <w:noWrap/>
          </w:tcPr>
          <w:p w14:paraId="07558DA1"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themeColor="text1"/>
              </w:rPr>
              <w:t>P3C3I</w:t>
            </w:r>
            <w:r>
              <w:rPr>
                <w:rFonts w:ascii="Times New Roman" w:hAnsi="Times New Roman"/>
                <w:noProof/>
              </w:rPr>
              <w:t xml:space="preserve"> 2 – RDI, infrastructures de recherche et pilotage – Paquet de financement de la RDI soutenant la transition écologique – Accélérer les secteurs clés et renforcer les compétences (Académie de Finlande)</w:t>
            </w:r>
          </w:p>
        </w:tc>
        <w:tc>
          <w:tcPr>
            <w:tcW w:w="1314" w:type="dxa"/>
            <w:tcBorders>
              <w:top w:val="nil"/>
              <w:left w:val="nil"/>
              <w:bottom w:val="single" w:sz="4" w:space="0" w:color="auto"/>
              <w:right w:val="single" w:sz="4" w:space="0" w:color="auto"/>
            </w:tcBorders>
            <w:shd w:val="clear" w:color="auto" w:fill="C6EFCE"/>
            <w:noWrap/>
          </w:tcPr>
          <w:p w14:paraId="7827156E"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0E6E02CB" w14:textId="77777777" w:rsidR="003D7F65" w:rsidRDefault="0082041E">
            <w:pPr>
              <w:pStyle w:val="P68B1DB1-Normal8"/>
              <w:spacing w:after="0" w:line="240" w:lineRule="auto"/>
              <w:rPr>
                <w:noProof/>
              </w:rPr>
            </w:pPr>
            <w:r>
              <w:rPr>
                <w:noProof/>
              </w:rPr>
              <w:t xml:space="preserve">Publication par l'Académie de Finlande d'un premier appel à candidatures pour des projets de recherche visant à accroître les compétences dans des secteurs clés </w:t>
            </w:r>
          </w:p>
        </w:tc>
        <w:tc>
          <w:tcPr>
            <w:tcW w:w="1891" w:type="dxa"/>
            <w:tcBorders>
              <w:top w:val="nil"/>
              <w:left w:val="nil"/>
              <w:bottom w:val="single" w:sz="4" w:space="0" w:color="auto"/>
              <w:right w:val="single" w:sz="4" w:space="0" w:color="auto"/>
            </w:tcBorders>
            <w:shd w:val="clear" w:color="auto" w:fill="C6EFCE"/>
            <w:noWrap/>
          </w:tcPr>
          <w:p w14:paraId="2D6DD387" w14:textId="77777777" w:rsidR="003D7F65" w:rsidRDefault="0082041E">
            <w:pPr>
              <w:pStyle w:val="P68B1DB1-Normal8"/>
              <w:spacing w:after="0" w:line="240" w:lineRule="auto"/>
              <w:rPr>
                <w:noProof/>
              </w:rPr>
            </w:pPr>
            <w:r>
              <w:rPr>
                <w:noProof/>
              </w:rPr>
              <w:t>Publication du premier appel à candidatures de l'Académie de Finlande</w:t>
            </w:r>
          </w:p>
        </w:tc>
        <w:tc>
          <w:tcPr>
            <w:tcW w:w="992" w:type="dxa"/>
            <w:tcBorders>
              <w:top w:val="nil"/>
              <w:left w:val="nil"/>
              <w:bottom w:val="single" w:sz="4" w:space="0" w:color="auto"/>
              <w:right w:val="single" w:sz="4" w:space="0" w:color="auto"/>
            </w:tcBorders>
            <w:shd w:val="clear" w:color="auto" w:fill="C6EFCE"/>
            <w:noWrap/>
          </w:tcPr>
          <w:p w14:paraId="6958BB35" w14:textId="7F86F809"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C12BFF1" w14:textId="77E66ABA"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65A324E" w14:textId="5D994C5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D48A531"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36F60DE3" w14:textId="77777777" w:rsidR="003D7F65" w:rsidRDefault="0082041E">
            <w:pPr>
              <w:pStyle w:val="P68B1DB1-Normal8"/>
              <w:spacing w:after="0" w:line="240" w:lineRule="auto"/>
              <w:jc w:val="center"/>
              <w:rPr>
                <w:noProof/>
              </w:rPr>
            </w:pPr>
            <w:r>
              <w:rPr>
                <w:noProof/>
              </w:rPr>
              <w:t>2021</w:t>
            </w:r>
          </w:p>
        </w:tc>
        <w:tc>
          <w:tcPr>
            <w:tcW w:w="3090" w:type="dxa"/>
            <w:tcBorders>
              <w:top w:val="nil"/>
              <w:left w:val="nil"/>
              <w:bottom w:val="single" w:sz="4" w:space="0" w:color="auto"/>
              <w:right w:val="single" w:sz="4" w:space="0" w:color="auto"/>
            </w:tcBorders>
            <w:shd w:val="clear" w:color="auto" w:fill="C6EFCE"/>
            <w:noWrap/>
          </w:tcPr>
          <w:p w14:paraId="187F8313" w14:textId="77777777" w:rsidR="003D7F65" w:rsidRDefault="0082041E">
            <w:pPr>
              <w:pStyle w:val="P68B1DB1-Normal8"/>
              <w:spacing w:after="0" w:line="240" w:lineRule="auto"/>
              <w:rPr>
                <w:noProof/>
              </w:rPr>
            </w:pPr>
            <w:r>
              <w:rPr>
                <w:noProof/>
              </w:rPr>
              <w:t>L’Académie de Finlande lance un premier appel à candidatures pour un financement de la recherche axé sur les secteurs et technologies clés de la transition écologique afin de promouvoir l’utilisation et le partage du savoir-faire et d’améliorer la qualité et l’efficacité des partenariats et des écosystèmes. Les critères d’éligibilité/de sélection exigent que la recherche soit ciblée sur l’économie à faible intensité de carbone ainsi que sur l’adaptation au changement climatique et la résilience à celui-ci, conformément au domaine d’intervention 022 de l’annexe VI du règlement FRR. Le système couvre toutes les branches de la science et tous les secteurs, y compris l’économie de l’hydrogène, les bioproduits de grande valeur et les systèmes énergétiques sans émissions, ainsi que les compétences en matière d’analyse des données et de sciences sociales. Les critères d’éligibilité garantissent également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3CBD19ED"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FA540A3" w14:textId="77777777" w:rsidR="003D7F65" w:rsidRDefault="0082041E">
            <w:pPr>
              <w:pStyle w:val="P68B1DB1-Normal8"/>
              <w:spacing w:after="0" w:line="240" w:lineRule="auto"/>
              <w:jc w:val="center"/>
              <w:rPr>
                <w:noProof/>
              </w:rPr>
            </w:pPr>
            <w:r>
              <w:rPr>
                <w:noProof/>
              </w:rPr>
              <w:t>104</w:t>
            </w:r>
          </w:p>
        </w:tc>
        <w:tc>
          <w:tcPr>
            <w:tcW w:w="1804" w:type="dxa"/>
            <w:tcBorders>
              <w:top w:val="nil"/>
              <w:left w:val="nil"/>
              <w:bottom w:val="single" w:sz="4" w:space="0" w:color="auto"/>
              <w:right w:val="single" w:sz="4" w:space="0" w:color="auto"/>
            </w:tcBorders>
            <w:shd w:val="clear" w:color="auto" w:fill="C6EFCE"/>
            <w:noWrap/>
          </w:tcPr>
          <w:p w14:paraId="61AD8973"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w:t>
            </w:r>
            <w:r>
              <w:rPr>
                <w:rFonts w:ascii="Times New Roman" w:hAnsi="Times New Roman"/>
                <w:noProof/>
              </w:rPr>
              <w:t xml:space="preserve"> 2 – RDI, infrastructures de recherche et pilotage – Paquet de financement de la RDI soutenant la transition écologique – Accélérer les secteurs clés et renforcer les compétences (Académie de Finlande)</w:t>
            </w:r>
          </w:p>
        </w:tc>
        <w:tc>
          <w:tcPr>
            <w:tcW w:w="1314" w:type="dxa"/>
            <w:tcBorders>
              <w:top w:val="nil"/>
              <w:left w:val="nil"/>
              <w:bottom w:val="single" w:sz="4" w:space="0" w:color="auto"/>
              <w:right w:val="single" w:sz="4" w:space="0" w:color="auto"/>
            </w:tcBorders>
            <w:shd w:val="clear" w:color="auto" w:fill="C6EFCE"/>
            <w:noWrap/>
          </w:tcPr>
          <w:p w14:paraId="597EF19E" w14:textId="77777777" w:rsidR="003D7F65" w:rsidRDefault="0082041E">
            <w:pPr>
              <w:pStyle w:val="P68B1DB1-Normal8"/>
              <w:spacing w:after="0" w:line="240" w:lineRule="auto"/>
              <w:rPr>
                <w:noProof/>
              </w:rPr>
            </w:pPr>
            <w:r>
              <w:rPr>
                <w:noProof/>
              </w:rPr>
              <w:t>Objectif</w:t>
            </w:r>
          </w:p>
        </w:tc>
        <w:tc>
          <w:tcPr>
            <w:tcW w:w="1511" w:type="dxa"/>
            <w:tcBorders>
              <w:top w:val="nil"/>
              <w:left w:val="nil"/>
              <w:bottom w:val="single" w:sz="4" w:space="0" w:color="auto"/>
              <w:right w:val="single" w:sz="4" w:space="0" w:color="auto"/>
            </w:tcBorders>
            <w:shd w:val="clear" w:color="auto" w:fill="C6EFCE"/>
            <w:noWrap/>
          </w:tcPr>
          <w:p w14:paraId="7608295D" w14:textId="77777777" w:rsidR="003D7F65" w:rsidRDefault="0082041E">
            <w:pPr>
              <w:pStyle w:val="P68B1DB1-Normal8"/>
              <w:spacing w:after="0" w:line="240" w:lineRule="auto"/>
              <w:rPr>
                <w:noProof/>
              </w:rPr>
            </w:pPr>
            <w:r>
              <w:rPr>
                <w:noProof/>
              </w:rPr>
              <w:t>Attribution par l'Académie de Finlande de subventions pour des projets de recherche visant à accroître les compétences dans des secteurs clés</w:t>
            </w:r>
          </w:p>
        </w:tc>
        <w:tc>
          <w:tcPr>
            <w:tcW w:w="1891" w:type="dxa"/>
            <w:tcBorders>
              <w:top w:val="nil"/>
              <w:left w:val="nil"/>
              <w:bottom w:val="single" w:sz="4" w:space="0" w:color="auto"/>
              <w:right w:val="single" w:sz="4" w:space="0" w:color="auto"/>
            </w:tcBorders>
            <w:shd w:val="clear" w:color="auto" w:fill="C6EFCE"/>
            <w:noWrap/>
          </w:tcPr>
          <w:p w14:paraId="3227D55D"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3D311EF0"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207CA1F9"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685E9D8E" w14:textId="77777777" w:rsidR="003D7F65" w:rsidRDefault="0082041E">
            <w:pPr>
              <w:pStyle w:val="P68B1DB1-Normal8"/>
              <w:spacing w:after="0" w:line="240" w:lineRule="auto"/>
              <w:jc w:val="center"/>
              <w:rPr>
                <w:noProof/>
              </w:rPr>
            </w:pPr>
            <w:r>
              <w:rPr>
                <w:noProof/>
              </w:rPr>
              <w:t>25</w:t>
            </w:r>
          </w:p>
        </w:tc>
        <w:tc>
          <w:tcPr>
            <w:tcW w:w="1134" w:type="dxa"/>
            <w:tcBorders>
              <w:top w:val="nil"/>
              <w:left w:val="nil"/>
              <w:bottom w:val="single" w:sz="4" w:space="0" w:color="auto"/>
              <w:right w:val="single" w:sz="4" w:space="0" w:color="auto"/>
            </w:tcBorders>
            <w:shd w:val="clear" w:color="auto" w:fill="C6EFCE"/>
            <w:noWrap/>
          </w:tcPr>
          <w:p w14:paraId="10CF3119"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779B3DC2" w14:textId="77777777" w:rsidR="003D7F65" w:rsidRDefault="0082041E">
            <w:pPr>
              <w:pStyle w:val="P68B1DB1-Normal8"/>
              <w:spacing w:after="0" w:line="240" w:lineRule="auto"/>
              <w:jc w:val="center"/>
              <w:rPr>
                <w:noProof/>
              </w:rPr>
            </w:pPr>
            <w:r>
              <w:rPr>
                <w:noProof/>
              </w:rPr>
              <w:t>2023</w:t>
            </w:r>
          </w:p>
        </w:tc>
        <w:tc>
          <w:tcPr>
            <w:tcW w:w="3090" w:type="dxa"/>
            <w:tcBorders>
              <w:top w:val="nil"/>
              <w:left w:val="nil"/>
              <w:bottom w:val="single" w:sz="4" w:space="0" w:color="auto"/>
              <w:right w:val="single" w:sz="4" w:space="0" w:color="auto"/>
            </w:tcBorders>
            <w:shd w:val="clear" w:color="auto" w:fill="C6EFCE"/>
            <w:noWrap/>
          </w:tcPr>
          <w:p w14:paraId="199D25BA" w14:textId="77777777" w:rsidR="003D7F65" w:rsidRDefault="0082041E">
            <w:pPr>
              <w:pStyle w:val="P68B1DB1-Normal8"/>
              <w:spacing w:after="0" w:line="240" w:lineRule="auto"/>
              <w:rPr>
                <w:noProof/>
              </w:rPr>
            </w:pPr>
            <w:r>
              <w:rPr>
                <w:noProof/>
              </w:rPr>
              <w:t>Notification par l’Académie de Finlande de l’octroi d’au moins 25 subventions pour des projets de recherche sélectionnés conformément aux critères spécifiés au jalon 103. Tous les appels sont fondés sur les critères d’éligibilité/de sélection indiqués au jalon 103.</w:t>
            </w:r>
          </w:p>
        </w:tc>
      </w:tr>
      <w:tr w:rsidR="003D7F65" w14:paraId="67DE3B42"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D986C45" w14:textId="77777777" w:rsidR="003D7F65" w:rsidRDefault="0082041E">
            <w:pPr>
              <w:pStyle w:val="P68B1DB1-Normal8"/>
              <w:spacing w:after="0" w:line="240" w:lineRule="auto"/>
              <w:jc w:val="center"/>
              <w:rPr>
                <w:noProof/>
              </w:rPr>
            </w:pPr>
            <w:r>
              <w:rPr>
                <w:noProof/>
              </w:rPr>
              <w:t>105</w:t>
            </w:r>
          </w:p>
        </w:tc>
        <w:tc>
          <w:tcPr>
            <w:tcW w:w="1804" w:type="dxa"/>
            <w:tcBorders>
              <w:top w:val="single" w:sz="4" w:space="0" w:color="auto"/>
              <w:left w:val="nil"/>
              <w:bottom w:val="single" w:sz="4" w:space="0" w:color="auto"/>
              <w:right w:val="single" w:sz="4" w:space="0" w:color="auto"/>
            </w:tcBorders>
            <w:shd w:val="clear" w:color="auto" w:fill="C6EFCE"/>
            <w:noWrap/>
          </w:tcPr>
          <w:p w14:paraId="1B7E5E5F"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themeColor="text1"/>
              </w:rPr>
              <w:t>P3C3I</w:t>
            </w:r>
            <w:r>
              <w:rPr>
                <w:rFonts w:ascii="Times New Roman" w:hAnsi="Times New Roman"/>
                <w:noProof/>
              </w:rPr>
              <w:t xml:space="preserve"> 2 – RDI, infrastructures de recherche et pilotage – Paquet de financement de la RDI soutenant la transition écologique – Accélérer les secteurs clés et renforcer les compétences (Académie de Finlande)</w:t>
            </w:r>
          </w:p>
        </w:tc>
        <w:tc>
          <w:tcPr>
            <w:tcW w:w="1314" w:type="dxa"/>
            <w:tcBorders>
              <w:top w:val="nil"/>
              <w:left w:val="nil"/>
              <w:bottom w:val="single" w:sz="4" w:space="0" w:color="auto"/>
              <w:right w:val="single" w:sz="4" w:space="0" w:color="auto"/>
            </w:tcBorders>
            <w:shd w:val="clear" w:color="auto" w:fill="C6EFCE"/>
            <w:noWrap/>
          </w:tcPr>
          <w:p w14:paraId="59F72B0B"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7A3B183D" w14:textId="77777777" w:rsidR="003D7F65" w:rsidRDefault="0082041E">
            <w:pPr>
              <w:pStyle w:val="P68B1DB1-Normal8"/>
              <w:spacing w:after="0" w:line="240" w:lineRule="auto"/>
              <w:rPr>
                <w:noProof/>
              </w:rPr>
            </w:pPr>
            <w:r>
              <w:rPr>
                <w:noProof/>
              </w:rPr>
              <w:t xml:space="preserve">Rapports de projet présentés </w:t>
            </w:r>
          </w:p>
        </w:tc>
        <w:tc>
          <w:tcPr>
            <w:tcW w:w="1891" w:type="dxa"/>
            <w:tcBorders>
              <w:top w:val="single" w:sz="4" w:space="0" w:color="auto"/>
              <w:left w:val="nil"/>
              <w:bottom w:val="single" w:sz="4" w:space="0" w:color="auto"/>
              <w:right w:val="single" w:sz="4" w:space="0" w:color="auto"/>
            </w:tcBorders>
            <w:shd w:val="clear" w:color="auto" w:fill="C6EFCE"/>
            <w:noWrap/>
          </w:tcPr>
          <w:p w14:paraId="481DD4CB" w14:textId="29868252" w:rsidR="003D7F65" w:rsidRDefault="0082041E">
            <w:pPr>
              <w:pStyle w:val="P68B1DB1-Normal8"/>
              <w:spacing w:after="0" w:line="240" w:lineRule="auto"/>
              <w:rPr>
                <w:noProof/>
              </w:rPr>
            </w:pPr>
            <w:r>
              <w:rPr>
                <w:noProof/>
              </w:rPr>
              <w:t>Rapports de projet présentés</w:t>
            </w:r>
          </w:p>
        </w:tc>
        <w:tc>
          <w:tcPr>
            <w:tcW w:w="992" w:type="dxa"/>
            <w:tcBorders>
              <w:top w:val="nil"/>
              <w:left w:val="nil"/>
              <w:bottom w:val="single" w:sz="4" w:space="0" w:color="auto"/>
              <w:right w:val="single" w:sz="4" w:space="0" w:color="auto"/>
            </w:tcBorders>
            <w:shd w:val="clear" w:color="auto" w:fill="C6EFCE"/>
            <w:noWrap/>
          </w:tcPr>
          <w:p w14:paraId="3B795AAB"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399833AE"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F0360B9"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FA249C2"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6FF48C4A" w14:textId="77777777" w:rsidR="003D7F65" w:rsidRDefault="0082041E">
            <w:pPr>
              <w:pStyle w:val="P68B1DB1-Normal8"/>
              <w:spacing w:after="0" w:line="240" w:lineRule="auto"/>
              <w:jc w:val="center"/>
              <w:rPr>
                <w:noProof/>
              </w:rPr>
            </w:pPr>
            <w:r>
              <w:rPr>
                <w:noProof/>
              </w:rPr>
              <w:t>2026</w:t>
            </w:r>
          </w:p>
        </w:tc>
        <w:tc>
          <w:tcPr>
            <w:tcW w:w="3090" w:type="dxa"/>
            <w:tcBorders>
              <w:top w:val="nil"/>
              <w:left w:val="nil"/>
              <w:bottom w:val="single" w:sz="4" w:space="0" w:color="auto"/>
              <w:right w:val="single" w:sz="4" w:space="0" w:color="auto"/>
            </w:tcBorders>
            <w:shd w:val="clear" w:color="auto" w:fill="C6EFCE"/>
            <w:noWrap/>
          </w:tcPr>
          <w:p w14:paraId="13B6D38B" w14:textId="074DD33E" w:rsidR="003D7F65" w:rsidRDefault="0082041E">
            <w:pPr>
              <w:pStyle w:val="P68B1DB1-Normal8"/>
              <w:spacing w:after="0" w:line="240" w:lineRule="auto"/>
              <w:rPr>
                <w:noProof/>
              </w:rPr>
            </w:pPr>
            <w:r>
              <w:rPr>
                <w:noProof/>
              </w:rPr>
              <w:t>Les entités bénéficiaires soumettent des rapports sur les projets ayant fait l’objet d’une attribution cumulée d’au moins 40 500 000 EUR.</w:t>
            </w:r>
          </w:p>
        </w:tc>
      </w:tr>
      <w:tr w:rsidR="003D7F65" w14:paraId="0E1FED94"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39442EB" w14:textId="77777777" w:rsidR="003D7F65" w:rsidRDefault="0082041E">
            <w:pPr>
              <w:pStyle w:val="P68B1DB1-Normal8"/>
              <w:spacing w:after="0" w:line="240" w:lineRule="auto"/>
              <w:jc w:val="center"/>
              <w:rPr>
                <w:noProof/>
              </w:rPr>
            </w:pPr>
            <w:r>
              <w:rPr>
                <w:noProof/>
              </w:rPr>
              <w:t>106</w:t>
            </w:r>
          </w:p>
        </w:tc>
        <w:tc>
          <w:tcPr>
            <w:tcW w:w="1804" w:type="dxa"/>
            <w:tcBorders>
              <w:top w:val="single" w:sz="4" w:space="0" w:color="auto"/>
              <w:left w:val="nil"/>
              <w:bottom w:val="single" w:sz="4" w:space="0" w:color="auto"/>
              <w:right w:val="single" w:sz="4" w:space="0" w:color="auto"/>
            </w:tcBorders>
            <w:shd w:val="clear" w:color="auto" w:fill="C6EFCE"/>
            <w:noWrap/>
          </w:tcPr>
          <w:p w14:paraId="79D81971"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P3C3I3</w:t>
            </w:r>
            <w:r>
              <w:rPr>
                <w:rFonts w:ascii="Times New Roman" w:hAnsi="Times New Roman"/>
                <w:noProof/>
              </w:rPr>
              <w:t xml:space="preserve"> - RDI, infrastructures de recherche et pilotage – Paquet de financement RDI soutenant la transition écologique – Accélérer les secteurs clés et renforcer les compétences (Business Finland)</w:t>
            </w:r>
          </w:p>
        </w:tc>
        <w:tc>
          <w:tcPr>
            <w:tcW w:w="1314" w:type="dxa"/>
            <w:tcBorders>
              <w:top w:val="nil"/>
              <w:left w:val="nil"/>
              <w:bottom w:val="single" w:sz="4" w:space="0" w:color="auto"/>
              <w:right w:val="single" w:sz="4" w:space="0" w:color="auto"/>
            </w:tcBorders>
            <w:shd w:val="clear" w:color="auto" w:fill="C6EFCE"/>
            <w:noWrap/>
          </w:tcPr>
          <w:p w14:paraId="72550FB7"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4448CF80" w14:textId="77777777" w:rsidR="003D7F65" w:rsidRDefault="0082041E">
            <w:pPr>
              <w:pStyle w:val="P68B1DB1-Normal8"/>
              <w:spacing w:after="0" w:line="240" w:lineRule="auto"/>
              <w:rPr>
                <w:noProof/>
              </w:rPr>
            </w:pPr>
            <w:r>
              <w:rPr>
                <w:noProof/>
              </w:rPr>
              <w:t xml:space="preserve">Publication par Business Finland d'un appel à candidatures pour des projets de RDI visant à accroître les compétences dans des secteurs clés </w:t>
            </w:r>
          </w:p>
        </w:tc>
        <w:tc>
          <w:tcPr>
            <w:tcW w:w="1891" w:type="dxa"/>
            <w:tcBorders>
              <w:top w:val="nil"/>
              <w:left w:val="nil"/>
              <w:bottom w:val="single" w:sz="4" w:space="0" w:color="auto"/>
              <w:right w:val="single" w:sz="4" w:space="0" w:color="auto"/>
            </w:tcBorders>
            <w:shd w:val="clear" w:color="auto" w:fill="C6EFCE"/>
            <w:noWrap/>
          </w:tcPr>
          <w:p w14:paraId="384D2A42" w14:textId="77777777" w:rsidR="003D7F65" w:rsidRDefault="0082041E">
            <w:pPr>
              <w:pStyle w:val="P68B1DB1-Normal8"/>
              <w:spacing w:after="0" w:line="240" w:lineRule="auto"/>
              <w:rPr>
                <w:noProof/>
              </w:rPr>
            </w:pPr>
            <w:r>
              <w:rPr>
                <w:noProof/>
              </w:rPr>
              <w:t xml:space="preserve">Publication de l'appel à candidatures par Business Finland </w:t>
            </w:r>
          </w:p>
        </w:tc>
        <w:tc>
          <w:tcPr>
            <w:tcW w:w="992" w:type="dxa"/>
            <w:tcBorders>
              <w:top w:val="nil"/>
              <w:left w:val="nil"/>
              <w:bottom w:val="single" w:sz="4" w:space="0" w:color="auto"/>
              <w:right w:val="single" w:sz="4" w:space="0" w:color="auto"/>
            </w:tcBorders>
            <w:shd w:val="clear" w:color="auto" w:fill="C6EFCE"/>
            <w:noWrap/>
          </w:tcPr>
          <w:p w14:paraId="035AE7C5"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17A101C"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2C8EE11"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161F199"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257E31E2" w14:textId="77777777" w:rsidR="003D7F65" w:rsidRDefault="0082041E">
            <w:pPr>
              <w:pStyle w:val="P68B1DB1-Normal8"/>
              <w:spacing w:after="0" w:line="240" w:lineRule="auto"/>
              <w:jc w:val="center"/>
              <w:rPr>
                <w:noProof/>
              </w:rPr>
            </w:pPr>
            <w:r>
              <w:rPr>
                <w:noProof/>
              </w:rPr>
              <w:t>2022</w:t>
            </w:r>
          </w:p>
        </w:tc>
        <w:tc>
          <w:tcPr>
            <w:tcW w:w="3090" w:type="dxa"/>
            <w:tcBorders>
              <w:top w:val="nil"/>
              <w:left w:val="nil"/>
              <w:bottom w:val="single" w:sz="4" w:space="0" w:color="auto"/>
              <w:right w:val="single" w:sz="4" w:space="0" w:color="auto"/>
            </w:tcBorders>
            <w:shd w:val="clear" w:color="auto" w:fill="C6EFCE"/>
            <w:noWrap/>
          </w:tcPr>
          <w:p w14:paraId="754C6086" w14:textId="77777777" w:rsidR="003D7F65" w:rsidRDefault="0082041E">
            <w:pPr>
              <w:pStyle w:val="P68B1DB1-Normal8"/>
              <w:spacing w:after="0" w:line="240" w:lineRule="auto"/>
              <w:rPr>
                <w:noProof/>
              </w:rPr>
            </w:pPr>
            <w:r>
              <w:rPr>
                <w:noProof/>
              </w:rPr>
              <w:t>Business Finland lance un appel à candidatures pour des projets de RDI visant à accroître les compétences dans des secteurs clés de la transition écologique, tels que l’économie de l’hydrogène, les bioproduits de grande valeur et les systèmes énergétiques sans émissions, ainsi que les compétences en matière, par exemple, d’analyse des données et de sciences sociales liées à la résilience et à l’adaptation au changement climatique. Les critères d’éligibilité/de sélection exigent que la recherche soit ciblée sur l’économie à faible intensité de carbone ainsi que sur l’adaptation au changement climatique et la résilience à celui-ci, conformément au domaine d’intervention 022 de l’annexe VI du règlement FRR. Les critères d’éligibilité garantissent également que les projets sélectionnés sont conformes aux orientations techniques «Ne pas causer de préjudice important» (2021/C58/01) grâce à l’utilisation d’une liste d’exclusion et à l’exigence de conformité avec la législation environnementale pertinente de l’UE et nationale. Les projets promouvant l’utilisation de combustibles fossiles ne sont pas financés. Un projet proposé par une entreprise couverte par le système d’échange de quotas d’émission de l’UE (SEQE) ne peut être financé que s’il réduit considérablement les émissions de gaz à effet de serre.</w:t>
            </w:r>
          </w:p>
        </w:tc>
      </w:tr>
      <w:tr w:rsidR="003D7F65" w14:paraId="359F679B"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79EA106B" w14:textId="77777777" w:rsidR="003D7F65" w:rsidRDefault="0082041E">
            <w:pPr>
              <w:pStyle w:val="P68B1DB1-Normal8"/>
              <w:spacing w:after="0" w:line="240" w:lineRule="auto"/>
              <w:jc w:val="center"/>
              <w:rPr>
                <w:noProof/>
              </w:rPr>
            </w:pPr>
            <w:r>
              <w:rPr>
                <w:noProof/>
              </w:rPr>
              <w:t>107</w:t>
            </w:r>
          </w:p>
        </w:tc>
        <w:tc>
          <w:tcPr>
            <w:tcW w:w="1804" w:type="dxa"/>
            <w:tcBorders>
              <w:top w:val="single" w:sz="4" w:space="0" w:color="auto"/>
              <w:left w:val="nil"/>
              <w:bottom w:val="single" w:sz="4" w:space="0" w:color="auto"/>
              <w:right w:val="single" w:sz="4" w:space="0" w:color="auto"/>
            </w:tcBorders>
            <w:shd w:val="clear" w:color="auto" w:fill="C6EFCE"/>
            <w:noWrap/>
          </w:tcPr>
          <w:p w14:paraId="2384C7EB"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P3C3I3</w:t>
            </w:r>
            <w:r>
              <w:rPr>
                <w:rFonts w:ascii="Times New Roman" w:hAnsi="Times New Roman"/>
                <w:noProof/>
              </w:rPr>
              <w:t xml:space="preserve"> - RDI, infrastructures de recherche et pilotage – Paquet de financement RDI soutenant la transition écologique – Accélérer les secteurs clés et renforcer les compétences (Business Finland)</w:t>
            </w:r>
          </w:p>
        </w:tc>
        <w:tc>
          <w:tcPr>
            <w:tcW w:w="1314" w:type="dxa"/>
            <w:tcBorders>
              <w:top w:val="nil"/>
              <w:left w:val="nil"/>
              <w:bottom w:val="single" w:sz="4" w:space="0" w:color="auto"/>
              <w:right w:val="single" w:sz="4" w:space="0" w:color="auto"/>
            </w:tcBorders>
            <w:shd w:val="clear" w:color="auto" w:fill="C6EFCE"/>
            <w:noWrap/>
          </w:tcPr>
          <w:p w14:paraId="37F63D57" w14:textId="77777777" w:rsidR="003D7F65" w:rsidRDefault="0082041E">
            <w:pPr>
              <w:pStyle w:val="P68B1DB1-Normal8"/>
              <w:spacing w:after="0" w:line="240" w:lineRule="auto"/>
              <w:rPr>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7C9C0A91" w14:textId="77777777" w:rsidR="003D7F65" w:rsidRDefault="0082041E">
            <w:pPr>
              <w:pStyle w:val="P68B1DB1-Normal8"/>
              <w:spacing w:after="0" w:line="240" w:lineRule="auto"/>
              <w:rPr>
                <w:noProof/>
              </w:rPr>
            </w:pPr>
            <w:r>
              <w:rPr>
                <w:noProof/>
              </w:rPr>
              <w:t xml:space="preserve">Attribution par Business Finland de subventions pour des projets de RDI visant à accroître les compétences dans des secteurs clés </w:t>
            </w:r>
          </w:p>
        </w:tc>
        <w:tc>
          <w:tcPr>
            <w:tcW w:w="1891" w:type="dxa"/>
            <w:tcBorders>
              <w:top w:val="single" w:sz="4" w:space="0" w:color="auto"/>
              <w:left w:val="nil"/>
              <w:bottom w:val="single" w:sz="4" w:space="0" w:color="auto"/>
              <w:right w:val="single" w:sz="4" w:space="0" w:color="auto"/>
            </w:tcBorders>
            <w:shd w:val="clear" w:color="auto" w:fill="C6EFCE"/>
            <w:noWrap/>
          </w:tcPr>
          <w:p w14:paraId="094E6653"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FB82531"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767794A0"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648DB76F" w14:textId="77777777" w:rsidR="003D7F65" w:rsidRDefault="0082041E">
            <w:pPr>
              <w:pStyle w:val="P68B1DB1-Normal8"/>
              <w:spacing w:after="0" w:line="240" w:lineRule="auto"/>
              <w:jc w:val="center"/>
              <w:rPr>
                <w:noProof/>
              </w:rPr>
            </w:pPr>
            <w:r>
              <w:rPr>
                <w:noProof/>
              </w:rPr>
              <w:t>10</w:t>
            </w:r>
          </w:p>
        </w:tc>
        <w:tc>
          <w:tcPr>
            <w:tcW w:w="1134" w:type="dxa"/>
            <w:tcBorders>
              <w:top w:val="nil"/>
              <w:left w:val="nil"/>
              <w:bottom w:val="single" w:sz="4" w:space="0" w:color="auto"/>
              <w:right w:val="single" w:sz="4" w:space="0" w:color="auto"/>
            </w:tcBorders>
            <w:shd w:val="clear" w:color="auto" w:fill="C6EFCE"/>
            <w:noWrap/>
          </w:tcPr>
          <w:p w14:paraId="2BC2FA29"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7203D2C1" w14:textId="77777777" w:rsidR="003D7F65" w:rsidRDefault="0082041E">
            <w:pPr>
              <w:pStyle w:val="P68B1DB1-Normal8"/>
              <w:spacing w:after="0" w:line="240" w:lineRule="auto"/>
              <w:jc w:val="center"/>
              <w:rPr>
                <w:noProof/>
              </w:rPr>
            </w:pPr>
            <w:r>
              <w:rPr>
                <w:noProof/>
              </w:rPr>
              <w:t>2023</w:t>
            </w:r>
          </w:p>
        </w:tc>
        <w:tc>
          <w:tcPr>
            <w:tcW w:w="3090" w:type="dxa"/>
            <w:tcBorders>
              <w:top w:val="nil"/>
              <w:left w:val="nil"/>
              <w:bottom w:val="single" w:sz="4" w:space="0" w:color="auto"/>
              <w:right w:val="single" w:sz="4" w:space="0" w:color="auto"/>
            </w:tcBorders>
            <w:shd w:val="clear" w:color="auto" w:fill="C6EFCE"/>
            <w:noWrap/>
          </w:tcPr>
          <w:p w14:paraId="17B92A7B" w14:textId="77777777" w:rsidR="003D7F65" w:rsidRDefault="0082041E">
            <w:pPr>
              <w:pStyle w:val="P68B1DB1-Normal8"/>
              <w:spacing w:after="0" w:line="240" w:lineRule="auto"/>
              <w:rPr>
                <w:noProof/>
              </w:rPr>
            </w:pPr>
            <w:r>
              <w:rPr>
                <w:noProof/>
              </w:rPr>
              <w:t>Notification par Business Finland de l’octroi d’au moins 10 subventions pour des projets de RDI sélectionnés conformément aux critères d’éligibilité/de sélection spécifiés au jalon 106.</w:t>
            </w:r>
          </w:p>
        </w:tc>
      </w:tr>
      <w:tr w:rsidR="003D7F65" w14:paraId="2DDC8E86"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F56849E" w14:textId="77777777" w:rsidR="003D7F65" w:rsidRDefault="0082041E">
            <w:pPr>
              <w:pStyle w:val="P68B1DB1-Normal8"/>
              <w:spacing w:after="0" w:line="240" w:lineRule="auto"/>
              <w:jc w:val="center"/>
              <w:rPr>
                <w:noProof/>
              </w:rPr>
            </w:pPr>
            <w:r>
              <w:rPr>
                <w:noProof/>
              </w:rPr>
              <w:t>108</w:t>
            </w:r>
          </w:p>
        </w:tc>
        <w:tc>
          <w:tcPr>
            <w:tcW w:w="1804" w:type="dxa"/>
            <w:tcBorders>
              <w:top w:val="single" w:sz="4" w:space="0" w:color="auto"/>
              <w:left w:val="nil"/>
              <w:bottom w:val="single" w:sz="4" w:space="0" w:color="auto"/>
              <w:right w:val="single" w:sz="4" w:space="0" w:color="auto"/>
            </w:tcBorders>
            <w:shd w:val="clear" w:color="auto" w:fill="C6EFCE"/>
            <w:noWrap/>
          </w:tcPr>
          <w:p w14:paraId="752A7D08"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P3C3I3</w:t>
            </w:r>
            <w:r>
              <w:rPr>
                <w:rFonts w:ascii="Times New Roman" w:hAnsi="Times New Roman"/>
                <w:noProof/>
              </w:rPr>
              <w:t xml:space="preserve"> - RDI, infrastructures de recherche et pilotage – Paquet de financement RDI soutenant la transition écologique – Accélérer les secteurs clés et renforcer les compétences (Business Finland)</w:t>
            </w:r>
          </w:p>
        </w:tc>
        <w:tc>
          <w:tcPr>
            <w:tcW w:w="1314" w:type="dxa"/>
            <w:tcBorders>
              <w:top w:val="nil"/>
              <w:left w:val="nil"/>
              <w:bottom w:val="single" w:sz="4" w:space="0" w:color="auto"/>
              <w:right w:val="single" w:sz="4" w:space="0" w:color="auto"/>
            </w:tcBorders>
            <w:shd w:val="clear" w:color="auto" w:fill="C6EFCE"/>
            <w:noWrap/>
          </w:tcPr>
          <w:p w14:paraId="7A0BA1BA"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2B48464C" w14:textId="77777777" w:rsidR="003D7F65" w:rsidRDefault="0082041E">
            <w:pPr>
              <w:pStyle w:val="P68B1DB1-Normal8"/>
              <w:spacing w:after="0" w:line="240" w:lineRule="auto"/>
              <w:rPr>
                <w:noProof/>
              </w:rPr>
            </w:pPr>
            <w:r>
              <w:rPr>
                <w:noProof/>
              </w:rPr>
              <w:t>Rapports de projet présentés</w:t>
            </w:r>
          </w:p>
        </w:tc>
        <w:tc>
          <w:tcPr>
            <w:tcW w:w="1891" w:type="dxa"/>
            <w:tcBorders>
              <w:top w:val="nil"/>
              <w:left w:val="nil"/>
              <w:bottom w:val="single" w:sz="4" w:space="0" w:color="auto"/>
              <w:right w:val="single" w:sz="4" w:space="0" w:color="auto"/>
            </w:tcBorders>
            <w:shd w:val="clear" w:color="auto" w:fill="C6EFCE"/>
            <w:noWrap/>
          </w:tcPr>
          <w:p w14:paraId="0EBD907A" w14:textId="284243DB" w:rsidR="003D7F65" w:rsidRDefault="0082041E">
            <w:pPr>
              <w:pStyle w:val="P68B1DB1-Normal8"/>
              <w:spacing w:after="0" w:line="240" w:lineRule="auto"/>
              <w:rPr>
                <w:noProof/>
              </w:rPr>
            </w:pPr>
            <w:r>
              <w:rPr>
                <w:noProof/>
              </w:rPr>
              <w:t>Rapports de projet présentés</w:t>
            </w:r>
          </w:p>
        </w:tc>
        <w:tc>
          <w:tcPr>
            <w:tcW w:w="992" w:type="dxa"/>
            <w:tcBorders>
              <w:top w:val="nil"/>
              <w:left w:val="nil"/>
              <w:bottom w:val="single" w:sz="4" w:space="0" w:color="auto"/>
              <w:right w:val="single" w:sz="4" w:space="0" w:color="auto"/>
            </w:tcBorders>
            <w:shd w:val="clear" w:color="auto" w:fill="C6EFCE"/>
            <w:noWrap/>
          </w:tcPr>
          <w:p w14:paraId="195C5B02"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71C2888"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E4BA3D9"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16D9AFC0"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38380C27" w14:textId="77777777" w:rsidR="003D7F65" w:rsidRDefault="0082041E">
            <w:pPr>
              <w:pStyle w:val="P68B1DB1-Normal8"/>
              <w:spacing w:after="0" w:line="240" w:lineRule="auto"/>
              <w:jc w:val="center"/>
              <w:rPr>
                <w:noProof/>
              </w:rPr>
            </w:pPr>
            <w:r>
              <w:rPr>
                <w:noProof/>
              </w:rPr>
              <w:t>2025</w:t>
            </w:r>
          </w:p>
        </w:tc>
        <w:tc>
          <w:tcPr>
            <w:tcW w:w="3090" w:type="dxa"/>
            <w:tcBorders>
              <w:top w:val="nil"/>
              <w:left w:val="nil"/>
              <w:bottom w:val="single" w:sz="4" w:space="0" w:color="auto"/>
              <w:right w:val="single" w:sz="4" w:space="0" w:color="auto"/>
            </w:tcBorders>
            <w:shd w:val="clear" w:color="auto" w:fill="C6EFCE"/>
            <w:noWrap/>
          </w:tcPr>
          <w:p w14:paraId="5936FEDF" w14:textId="77777777" w:rsidR="003D7F65" w:rsidRDefault="0082041E">
            <w:pPr>
              <w:pStyle w:val="P68B1DB1-Normal8"/>
              <w:spacing w:after="0" w:line="240" w:lineRule="auto"/>
              <w:rPr>
                <w:noProof/>
              </w:rPr>
            </w:pPr>
            <w:r>
              <w:rPr>
                <w:noProof/>
              </w:rPr>
              <w:t xml:space="preserve">Les entités bénéficiaires soumettent des rapports sur les projets ayant fait l’objet d’une attribution cumulée d’au moins 22 500 000 EUR. </w:t>
            </w:r>
          </w:p>
        </w:tc>
      </w:tr>
      <w:tr w:rsidR="003D7F65" w14:paraId="5E484E15"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0A0C8AF" w14:textId="1E601DFA" w:rsidR="003D7F65" w:rsidRDefault="0082041E">
            <w:pPr>
              <w:pStyle w:val="P68B1DB1-Normal8"/>
              <w:spacing w:after="0" w:line="240" w:lineRule="auto"/>
              <w:jc w:val="center"/>
              <w:rPr>
                <w:noProof/>
              </w:rPr>
            </w:pPr>
            <w:r>
              <w:rPr>
                <w:noProof/>
              </w:rPr>
              <w:t>109</w:t>
            </w:r>
          </w:p>
        </w:tc>
        <w:tc>
          <w:tcPr>
            <w:tcW w:w="1804" w:type="dxa"/>
            <w:tcBorders>
              <w:top w:val="single" w:sz="4" w:space="0" w:color="auto"/>
              <w:left w:val="nil"/>
              <w:bottom w:val="single" w:sz="4" w:space="0" w:color="auto"/>
              <w:right w:val="single" w:sz="4" w:space="0" w:color="auto"/>
            </w:tcBorders>
            <w:shd w:val="clear" w:color="auto" w:fill="C6EFCE"/>
            <w:noWrap/>
          </w:tcPr>
          <w:p w14:paraId="533F9BCB"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P3C3I4</w:t>
            </w:r>
            <w:r>
              <w:rPr>
                <w:rFonts w:ascii="Times New Roman" w:hAnsi="Times New Roman"/>
                <w:noProof/>
              </w:rPr>
              <w:t xml:space="preserve"> – RDI, infrastructures de recherche et pilotage – Paquet de financement de la RDI soutenant la transition écologique – Soutien aux entreprises innovantes en croissance</w:t>
            </w:r>
          </w:p>
        </w:tc>
        <w:tc>
          <w:tcPr>
            <w:tcW w:w="1314" w:type="dxa"/>
            <w:tcBorders>
              <w:top w:val="nil"/>
              <w:left w:val="nil"/>
              <w:bottom w:val="single" w:sz="4" w:space="0" w:color="auto"/>
              <w:right w:val="single" w:sz="4" w:space="0" w:color="auto"/>
            </w:tcBorders>
            <w:shd w:val="clear" w:color="auto" w:fill="C6EFCE"/>
            <w:noWrap/>
          </w:tcPr>
          <w:p w14:paraId="4A48A542"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5FF8A35A" w14:textId="77777777" w:rsidR="003D7F65" w:rsidRDefault="0082041E">
            <w:pPr>
              <w:pStyle w:val="P68B1DB1-Normal8"/>
              <w:spacing w:after="0" w:line="240" w:lineRule="auto"/>
              <w:rPr>
                <w:noProof/>
              </w:rPr>
            </w:pPr>
            <w:r>
              <w:rPr>
                <w:noProof/>
              </w:rPr>
              <w:t>Publication par Business Finland d'un appel à candidatures pour des projets de RDI en faveur d'entreprises innovantes en croissance</w:t>
            </w:r>
          </w:p>
        </w:tc>
        <w:tc>
          <w:tcPr>
            <w:tcW w:w="1891" w:type="dxa"/>
            <w:tcBorders>
              <w:top w:val="single" w:sz="4" w:space="0" w:color="auto"/>
              <w:left w:val="nil"/>
              <w:bottom w:val="single" w:sz="4" w:space="0" w:color="auto"/>
              <w:right w:val="single" w:sz="4" w:space="0" w:color="auto"/>
            </w:tcBorders>
            <w:shd w:val="clear" w:color="auto" w:fill="C6EFCE"/>
            <w:noWrap/>
          </w:tcPr>
          <w:p w14:paraId="609F8D62" w14:textId="77777777" w:rsidR="003D7F65" w:rsidRDefault="0082041E">
            <w:pPr>
              <w:pStyle w:val="P68B1DB1-Normal8"/>
              <w:spacing w:after="0" w:line="240" w:lineRule="auto"/>
              <w:rPr>
                <w:noProof/>
              </w:rPr>
            </w:pPr>
            <w:r>
              <w:rPr>
                <w:noProof/>
              </w:rPr>
              <w:t>Publication d'un appel à candidatures par Business Finland</w:t>
            </w:r>
          </w:p>
        </w:tc>
        <w:tc>
          <w:tcPr>
            <w:tcW w:w="992" w:type="dxa"/>
            <w:tcBorders>
              <w:top w:val="nil"/>
              <w:left w:val="nil"/>
              <w:bottom w:val="single" w:sz="4" w:space="0" w:color="auto"/>
              <w:right w:val="single" w:sz="4" w:space="0" w:color="auto"/>
            </w:tcBorders>
            <w:shd w:val="clear" w:color="auto" w:fill="C6EFCE"/>
            <w:noWrap/>
          </w:tcPr>
          <w:p w14:paraId="63FFD2B3"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6842FEA8"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6D3066DE"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4E74BCE"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68541319" w14:textId="77777777" w:rsidR="003D7F65" w:rsidRDefault="0082041E">
            <w:pPr>
              <w:pStyle w:val="P68B1DB1-Normal8"/>
              <w:spacing w:after="0" w:line="240" w:lineRule="auto"/>
              <w:jc w:val="center"/>
              <w:rPr>
                <w:noProof/>
              </w:rPr>
            </w:pPr>
            <w:r>
              <w:rPr>
                <w:noProof/>
              </w:rPr>
              <w:t>2022</w:t>
            </w:r>
          </w:p>
        </w:tc>
        <w:tc>
          <w:tcPr>
            <w:tcW w:w="3090" w:type="dxa"/>
            <w:tcBorders>
              <w:top w:val="nil"/>
              <w:left w:val="nil"/>
              <w:bottom w:val="single" w:sz="4" w:space="0" w:color="auto"/>
              <w:right w:val="single" w:sz="4" w:space="0" w:color="auto"/>
            </w:tcBorders>
            <w:shd w:val="clear" w:color="auto" w:fill="C6EFCE"/>
            <w:noWrap/>
          </w:tcPr>
          <w:p w14:paraId="7C6D8A42" w14:textId="77777777" w:rsidR="003D7F65" w:rsidRDefault="0082041E">
            <w:pPr>
              <w:pStyle w:val="P68B1DB1-Normal8"/>
              <w:spacing w:after="0" w:line="240" w:lineRule="auto"/>
              <w:rPr>
                <w:noProof/>
              </w:rPr>
            </w:pPr>
            <w:r>
              <w:rPr>
                <w:noProof/>
              </w:rPr>
              <w:t>Business Finland lance un appel à candidatures pour un financement de la RDI destiné à soutenir les entreprises innovantes en croissance. Les critères d’éligibilité/de sélection exigent que la recherche soit ciblée sur l’économie à faible intensité de carbone ainsi que sur l’adaptation au changement climatique et la résilience à celui-ci, conformément au domaine d’intervention 022 de l’annexe VI du règlement FRR.</w:t>
            </w:r>
          </w:p>
          <w:p w14:paraId="115E0090" w14:textId="77777777" w:rsidR="003D7F65" w:rsidRDefault="0082041E">
            <w:pPr>
              <w:pStyle w:val="P68B1DB1-Normal8"/>
              <w:spacing w:after="0" w:line="240" w:lineRule="auto"/>
              <w:rPr>
                <w:noProof/>
              </w:rPr>
            </w:pPr>
            <w:r>
              <w:rPr>
                <w:noProof/>
              </w:rPr>
              <w:t>Les critères d’éligibilité garantissent également que les projets sélectionnés sont conformes aux orientations techniques «Ne pas causer de préjudice important» (2021/C58/01) grâce à l’utilisation d’une liste d’exclusion et à l’exigence de conformité avec la législation environnementale pertinente de l’UE et nationale. Les projets promouvant l’utilisation de combustibles fossiles ne sont pas financés. Un projet proposé par une entreprise couverte par le système d’échange de quotas d’émission de l’UE (SEQE) ne peut être financé que s’il réduit considérablement les émissions de gaz à effet de serre.</w:t>
            </w:r>
          </w:p>
        </w:tc>
      </w:tr>
      <w:tr w:rsidR="003D7F65" w14:paraId="1D67A3FE"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6E85732" w14:textId="77777777" w:rsidR="003D7F65" w:rsidRDefault="0082041E">
            <w:pPr>
              <w:pStyle w:val="P68B1DB1-Normal8"/>
              <w:spacing w:after="0" w:line="240" w:lineRule="auto"/>
              <w:jc w:val="center"/>
              <w:rPr>
                <w:noProof/>
              </w:rPr>
            </w:pPr>
            <w:r>
              <w:rPr>
                <w:noProof/>
              </w:rPr>
              <w:t>110</w:t>
            </w:r>
          </w:p>
        </w:tc>
        <w:tc>
          <w:tcPr>
            <w:tcW w:w="1804" w:type="dxa"/>
            <w:tcBorders>
              <w:top w:val="single" w:sz="4" w:space="0" w:color="auto"/>
              <w:left w:val="nil"/>
              <w:bottom w:val="single" w:sz="4" w:space="0" w:color="auto"/>
              <w:right w:val="single" w:sz="4" w:space="0" w:color="auto"/>
            </w:tcBorders>
            <w:shd w:val="clear" w:color="auto" w:fill="C6EFCE"/>
            <w:noWrap/>
          </w:tcPr>
          <w:p w14:paraId="6A65CB4A"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P3C3I4</w:t>
            </w:r>
            <w:r>
              <w:rPr>
                <w:rFonts w:ascii="Times New Roman" w:hAnsi="Times New Roman"/>
                <w:noProof/>
              </w:rPr>
              <w:t xml:space="preserve"> – RDI, infrastructures de recherche et pilotage – Paquet de financement de la RDI soutenant la transition écologique – Soutien aux entreprises innovantes en croissance</w:t>
            </w:r>
          </w:p>
        </w:tc>
        <w:tc>
          <w:tcPr>
            <w:tcW w:w="1314" w:type="dxa"/>
            <w:tcBorders>
              <w:top w:val="nil"/>
              <w:left w:val="nil"/>
              <w:bottom w:val="single" w:sz="4" w:space="0" w:color="auto"/>
              <w:right w:val="single" w:sz="4" w:space="0" w:color="auto"/>
            </w:tcBorders>
            <w:shd w:val="clear" w:color="auto" w:fill="C6EFCE"/>
            <w:noWrap/>
          </w:tcPr>
          <w:p w14:paraId="5E34C394" w14:textId="77777777" w:rsidR="003D7F65" w:rsidRDefault="0082041E">
            <w:pPr>
              <w:pStyle w:val="P68B1DB1-Normal8"/>
              <w:spacing w:after="0" w:line="240" w:lineRule="auto"/>
              <w:rPr>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293FDB9C" w14:textId="77777777" w:rsidR="003D7F65" w:rsidRDefault="0082041E">
            <w:pPr>
              <w:pStyle w:val="P68B1DB1-Normal8"/>
              <w:spacing w:after="0" w:line="240" w:lineRule="auto"/>
              <w:rPr>
                <w:noProof/>
              </w:rPr>
            </w:pPr>
            <w:r>
              <w:rPr>
                <w:noProof/>
              </w:rPr>
              <w:t>Octroi de subventions pour soutenir les entreprises innovantes en croissance</w:t>
            </w:r>
          </w:p>
        </w:tc>
        <w:tc>
          <w:tcPr>
            <w:tcW w:w="1891" w:type="dxa"/>
            <w:tcBorders>
              <w:top w:val="nil"/>
              <w:left w:val="nil"/>
              <w:bottom w:val="single" w:sz="4" w:space="0" w:color="auto"/>
              <w:right w:val="single" w:sz="4" w:space="0" w:color="auto"/>
            </w:tcBorders>
            <w:shd w:val="clear" w:color="auto" w:fill="C6EFCE"/>
            <w:noWrap/>
          </w:tcPr>
          <w:p w14:paraId="11D8B728"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41F737F2"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442A2484"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1FC7C17C" w14:textId="77777777" w:rsidR="003D7F65" w:rsidRDefault="0082041E">
            <w:pPr>
              <w:pStyle w:val="P68B1DB1-Normal8"/>
              <w:spacing w:after="0" w:line="240" w:lineRule="auto"/>
              <w:jc w:val="center"/>
              <w:rPr>
                <w:noProof/>
              </w:rPr>
            </w:pPr>
            <w:r>
              <w:rPr>
                <w:noProof/>
              </w:rPr>
              <w:t>22</w:t>
            </w:r>
          </w:p>
        </w:tc>
        <w:tc>
          <w:tcPr>
            <w:tcW w:w="1134" w:type="dxa"/>
            <w:tcBorders>
              <w:top w:val="nil"/>
              <w:left w:val="nil"/>
              <w:bottom w:val="single" w:sz="4" w:space="0" w:color="auto"/>
              <w:right w:val="single" w:sz="4" w:space="0" w:color="auto"/>
            </w:tcBorders>
            <w:shd w:val="clear" w:color="auto" w:fill="C6EFCE"/>
            <w:noWrap/>
          </w:tcPr>
          <w:p w14:paraId="4D566A3E"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0736AF35" w14:textId="77777777" w:rsidR="003D7F65" w:rsidRDefault="0082041E">
            <w:pPr>
              <w:pStyle w:val="P68B1DB1-Normal8"/>
              <w:spacing w:after="0" w:line="240" w:lineRule="auto"/>
              <w:jc w:val="center"/>
              <w:rPr>
                <w:noProof/>
              </w:rPr>
            </w:pPr>
            <w:r>
              <w:rPr>
                <w:noProof/>
              </w:rPr>
              <w:t>2023</w:t>
            </w:r>
          </w:p>
        </w:tc>
        <w:tc>
          <w:tcPr>
            <w:tcW w:w="3090" w:type="dxa"/>
            <w:tcBorders>
              <w:top w:val="nil"/>
              <w:left w:val="nil"/>
              <w:bottom w:val="single" w:sz="4" w:space="0" w:color="auto"/>
              <w:right w:val="single" w:sz="4" w:space="0" w:color="auto"/>
            </w:tcBorders>
            <w:shd w:val="clear" w:color="auto" w:fill="C6EFCE"/>
            <w:noWrap/>
          </w:tcPr>
          <w:p w14:paraId="57EC4032" w14:textId="77777777" w:rsidR="003D7F65" w:rsidRDefault="0082041E">
            <w:pPr>
              <w:pStyle w:val="P68B1DB1-Normal8"/>
              <w:spacing w:after="0" w:line="240" w:lineRule="auto"/>
              <w:rPr>
                <w:noProof/>
              </w:rPr>
            </w:pPr>
            <w:r>
              <w:rPr>
                <w:noProof/>
              </w:rPr>
              <w:t>Notification par Business Finland de l’octroi d’au moins 22 subventions en faveur d’entreprises innovantes en croissance, conformément aux critères d’éligibilité/de sélection spécifiés au jalon 109.</w:t>
            </w:r>
          </w:p>
        </w:tc>
      </w:tr>
      <w:tr w:rsidR="003D7F65" w14:paraId="6C658104"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C0B1B58" w14:textId="77777777" w:rsidR="003D7F65" w:rsidRDefault="0082041E">
            <w:pPr>
              <w:pStyle w:val="P68B1DB1-Normal8"/>
              <w:spacing w:after="0" w:line="240" w:lineRule="auto"/>
              <w:jc w:val="center"/>
              <w:rPr>
                <w:noProof/>
              </w:rPr>
            </w:pPr>
            <w:r>
              <w:rPr>
                <w:noProof/>
              </w:rPr>
              <w:t>111</w:t>
            </w:r>
          </w:p>
        </w:tc>
        <w:tc>
          <w:tcPr>
            <w:tcW w:w="1804" w:type="dxa"/>
            <w:tcBorders>
              <w:top w:val="nil"/>
              <w:left w:val="nil"/>
              <w:bottom w:val="single" w:sz="4" w:space="0" w:color="auto"/>
              <w:right w:val="single" w:sz="4" w:space="0" w:color="auto"/>
            </w:tcBorders>
            <w:shd w:val="clear" w:color="auto" w:fill="C6EFCE"/>
            <w:noWrap/>
          </w:tcPr>
          <w:p w14:paraId="4124D12A"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P3C3I4</w:t>
            </w:r>
            <w:r>
              <w:rPr>
                <w:rFonts w:ascii="Times New Roman" w:hAnsi="Times New Roman"/>
                <w:noProof/>
              </w:rPr>
              <w:t xml:space="preserve"> – RDI, infrastructures de recherche et pilotage – Paquet de financement de la RDI soutenant la transition écologique – Soutien aux entreprises innovantes en croissance</w:t>
            </w:r>
          </w:p>
        </w:tc>
        <w:tc>
          <w:tcPr>
            <w:tcW w:w="1314" w:type="dxa"/>
            <w:tcBorders>
              <w:top w:val="nil"/>
              <w:left w:val="nil"/>
              <w:bottom w:val="single" w:sz="4" w:space="0" w:color="auto"/>
              <w:right w:val="single" w:sz="4" w:space="0" w:color="auto"/>
            </w:tcBorders>
            <w:shd w:val="clear" w:color="auto" w:fill="C6EFCE"/>
            <w:noWrap/>
          </w:tcPr>
          <w:p w14:paraId="3C791C10" w14:textId="77777777" w:rsidR="003D7F65" w:rsidRDefault="0082041E">
            <w:pPr>
              <w:pStyle w:val="P68B1DB1-Normal8"/>
              <w:spacing w:after="0" w:line="240" w:lineRule="auto"/>
              <w:rPr>
                <w:noProof/>
              </w:rPr>
            </w:pPr>
            <w:r>
              <w:rPr>
                <w:noProof/>
              </w:rPr>
              <w:t>Étape</w:t>
            </w:r>
          </w:p>
        </w:tc>
        <w:tc>
          <w:tcPr>
            <w:tcW w:w="1511" w:type="dxa"/>
            <w:tcBorders>
              <w:top w:val="nil"/>
              <w:left w:val="nil"/>
              <w:bottom w:val="single" w:sz="4" w:space="0" w:color="auto"/>
              <w:right w:val="single" w:sz="4" w:space="0" w:color="auto"/>
            </w:tcBorders>
            <w:shd w:val="clear" w:color="auto" w:fill="C6EFCE"/>
            <w:noWrap/>
          </w:tcPr>
          <w:p w14:paraId="0D36698F" w14:textId="77777777" w:rsidR="003D7F65" w:rsidRDefault="0082041E">
            <w:pPr>
              <w:pStyle w:val="P68B1DB1-Normal8"/>
              <w:spacing w:after="0" w:line="240" w:lineRule="auto"/>
              <w:rPr>
                <w:noProof/>
              </w:rPr>
            </w:pPr>
            <w:r>
              <w:rPr>
                <w:noProof/>
              </w:rPr>
              <w:t>Rapports de projet présentés</w:t>
            </w:r>
          </w:p>
        </w:tc>
        <w:tc>
          <w:tcPr>
            <w:tcW w:w="1891" w:type="dxa"/>
            <w:tcBorders>
              <w:top w:val="nil"/>
              <w:left w:val="nil"/>
              <w:bottom w:val="single" w:sz="4" w:space="0" w:color="auto"/>
              <w:right w:val="single" w:sz="4" w:space="0" w:color="auto"/>
            </w:tcBorders>
            <w:shd w:val="clear" w:color="auto" w:fill="C6EFCE"/>
            <w:noWrap/>
          </w:tcPr>
          <w:p w14:paraId="7B7C3AF5" w14:textId="1131E7A7" w:rsidR="003D7F65" w:rsidRDefault="0082041E">
            <w:pPr>
              <w:pStyle w:val="P68B1DB1-Normal8"/>
              <w:spacing w:after="0" w:line="240" w:lineRule="auto"/>
              <w:rPr>
                <w:noProof/>
              </w:rPr>
            </w:pPr>
            <w:r>
              <w:rPr>
                <w:noProof/>
              </w:rPr>
              <w:t>Rapports de projet présentés</w:t>
            </w:r>
          </w:p>
        </w:tc>
        <w:tc>
          <w:tcPr>
            <w:tcW w:w="992" w:type="dxa"/>
            <w:tcBorders>
              <w:top w:val="nil"/>
              <w:left w:val="nil"/>
              <w:bottom w:val="single" w:sz="4" w:space="0" w:color="auto"/>
              <w:right w:val="single" w:sz="4" w:space="0" w:color="auto"/>
            </w:tcBorders>
            <w:shd w:val="clear" w:color="auto" w:fill="C6EFCE"/>
            <w:noWrap/>
          </w:tcPr>
          <w:p w14:paraId="67EEC90E"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4EA40842"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5DDB495"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25655B1F"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3C65876F" w14:textId="77777777" w:rsidR="003D7F65" w:rsidRDefault="0082041E">
            <w:pPr>
              <w:pStyle w:val="P68B1DB1-Normal8"/>
              <w:spacing w:after="0" w:line="240" w:lineRule="auto"/>
              <w:jc w:val="center"/>
              <w:rPr>
                <w:noProof/>
              </w:rPr>
            </w:pPr>
            <w:r>
              <w:rPr>
                <w:noProof/>
              </w:rPr>
              <w:t>2025</w:t>
            </w:r>
          </w:p>
        </w:tc>
        <w:tc>
          <w:tcPr>
            <w:tcW w:w="3090" w:type="dxa"/>
            <w:tcBorders>
              <w:top w:val="nil"/>
              <w:left w:val="nil"/>
              <w:bottom w:val="single" w:sz="4" w:space="0" w:color="auto"/>
              <w:right w:val="single" w:sz="4" w:space="0" w:color="auto"/>
            </w:tcBorders>
            <w:shd w:val="clear" w:color="auto" w:fill="C6EFCE"/>
            <w:noWrap/>
          </w:tcPr>
          <w:p w14:paraId="1E0978A1" w14:textId="77777777" w:rsidR="003D7F65" w:rsidRDefault="0082041E">
            <w:pPr>
              <w:pStyle w:val="P68B1DB1-Normal8"/>
              <w:spacing w:after="0" w:line="240" w:lineRule="auto"/>
              <w:rPr>
                <w:noProof/>
              </w:rPr>
            </w:pPr>
            <w:r>
              <w:rPr>
                <w:noProof/>
              </w:rPr>
              <w:t>Les entités bénéficiaires soumettent des rapports sur les projets ayant fait l’objet d’une attribution cumulée d’au moins 16 200 000 EUR.</w:t>
            </w:r>
          </w:p>
        </w:tc>
      </w:tr>
      <w:tr w:rsidR="003D7F65" w14:paraId="498856B8"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D137011" w14:textId="77777777" w:rsidR="003D7F65" w:rsidRDefault="0082041E">
            <w:pPr>
              <w:pStyle w:val="P68B1DB1-Normal8"/>
              <w:spacing w:after="0" w:line="240" w:lineRule="auto"/>
              <w:jc w:val="center"/>
              <w:rPr>
                <w:noProof/>
              </w:rPr>
            </w:pPr>
            <w:r>
              <w:rPr>
                <w:noProof/>
              </w:rPr>
              <w:t>112</w:t>
            </w:r>
          </w:p>
        </w:tc>
        <w:tc>
          <w:tcPr>
            <w:tcW w:w="1804" w:type="dxa"/>
            <w:tcBorders>
              <w:top w:val="single" w:sz="4" w:space="0" w:color="auto"/>
              <w:left w:val="nil"/>
              <w:bottom w:val="single" w:sz="4" w:space="0" w:color="auto"/>
              <w:right w:val="single" w:sz="4" w:space="0" w:color="auto"/>
            </w:tcBorders>
            <w:shd w:val="clear" w:color="auto" w:fill="C6EFCE"/>
            <w:noWrap/>
          </w:tcPr>
          <w:p w14:paraId="3DBEE829"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P3C3I5</w:t>
            </w:r>
            <w:r>
              <w:rPr>
                <w:rFonts w:ascii="Times New Roman" w:hAnsi="Times New Roman"/>
                <w:noProof/>
              </w:rPr>
              <w:t xml:space="preserve"> – RDI, infrastructures de recherche et pilotage – Promouvoir l’innovation et les infrastructures de recherche – Infrastructures de recherche locales </w:t>
            </w:r>
          </w:p>
        </w:tc>
        <w:tc>
          <w:tcPr>
            <w:tcW w:w="1314" w:type="dxa"/>
            <w:tcBorders>
              <w:top w:val="nil"/>
              <w:left w:val="nil"/>
              <w:bottom w:val="single" w:sz="4" w:space="0" w:color="auto"/>
              <w:right w:val="single" w:sz="4" w:space="0" w:color="auto"/>
            </w:tcBorders>
            <w:shd w:val="clear" w:color="auto" w:fill="C6EFCE"/>
            <w:noWrap/>
          </w:tcPr>
          <w:p w14:paraId="5FDD3845"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44C4A4EE" w14:textId="77777777" w:rsidR="003D7F65" w:rsidRDefault="0082041E">
            <w:pPr>
              <w:pStyle w:val="P68B1DB1-Normal8"/>
              <w:spacing w:after="0" w:line="240" w:lineRule="auto"/>
              <w:rPr>
                <w:noProof/>
              </w:rPr>
            </w:pPr>
            <w:r>
              <w:rPr>
                <w:noProof/>
              </w:rPr>
              <w:t>Publication d'un appel à candidatures pour le renouvellement et le développement des infrastructures de recherche locales</w:t>
            </w:r>
          </w:p>
        </w:tc>
        <w:tc>
          <w:tcPr>
            <w:tcW w:w="1891" w:type="dxa"/>
            <w:tcBorders>
              <w:top w:val="single" w:sz="4" w:space="0" w:color="auto"/>
              <w:left w:val="nil"/>
              <w:bottom w:val="single" w:sz="4" w:space="0" w:color="auto"/>
              <w:right w:val="single" w:sz="4" w:space="0" w:color="auto"/>
            </w:tcBorders>
            <w:shd w:val="clear" w:color="auto" w:fill="C6EFCE"/>
            <w:noWrap/>
          </w:tcPr>
          <w:p w14:paraId="46F80D96" w14:textId="77777777" w:rsidR="003D7F65" w:rsidRDefault="0082041E">
            <w:pPr>
              <w:pStyle w:val="P68B1DB1-Normal8"/>
              <w:spacing w:after="0" w:line="240" w:lineRule="auto"/>
              <w:rPr>
                <w:noProof/>
              </w:rPr>
            </w:pPr>
            <w:r>
              <w:rPr>
                <w:noProof/>
              </w:rPr>
              <w:t>Publication de l'appel à candidatures par l'Académie de Finlande</w:t>
            </w:r>
          </w:p>
        </w:tc>
        <w:tc>
          <w:tcPr>
            <w:tcW w:w="992" w:type="dxa"/>
            <w:tcBorders>
              <w:top w:val="nil"/>
              <w:left w:val="nil"/>
              <w:bottom w:val="single" w:sz="4" w:space="0" w:color="auto"/>
              <w:right w:val="single" w:sz="4" w:space="0" w:color="auto"/>
            </w:tcBorders>
            <w:shd w:val="clear" w:color="auto" w:fill="C6EFCE"/>
            <w:noWrap/>
          </w:tcPr>
          <w:p w14:paraId="352E0624"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41AE53F7"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7D8101B"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16EED2CC"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6319A0AB" w14:textId="77777777" w:rsidR="003D7F65" w:rsidRDefault="0082041E">
            <w:pPr>
              <w:pStyle w:val="P68B1DB1-Normal8"/>
              <w:spacing w:after="0" w:line="240" w:lineRule="auto"/>
              <w:jc w:val="center"/>
              <w:rPr>
                <w:noProof/>
              </w:rPr>
            </w:pPr>
            <w:r>
              <w:rPr>
                <w:noProof/>
              </w:rPr>
              <w:t>2022</w:t>
            </w:r>
          </w:p>
        </w:tc>
        <w:tc>
          <w:tcPr>
            <w:tcW w:w="3090" w:type="dxa"/>
            <w:tcBorders>
              <w:top w:val="nil"/>
              <w:left w:val="nil"/>
              <w:bottom w:val="single" w:sz="4" w:space="0" w:color="auto"/>
              <w:right w:val="single" w:sz="4" w:space="0" w:color="auto"/>
            </w:tcBorders>
            <w:shd w:val="clear" w:color="auto" w:fill="C6EFCE"/>
            <w:noWrap/>
          </w:tcPr>
          <w:p w14:paraId="6935A1AD" w14:textId="77777777" w:rsidR="003D7F65" w:rsidRDefault="0082041E">
            <w:pPr>
              <w:pStyle w:val="P68B1DB1-Normal8"/>
              <w:spacing w:after="0" w:line="240" w:lineRule="auto"/>
              <w:rPr>
                <w:noProof/>
              </w:rPr>
            </w:pPr>
            <w:r>
              <w:rPr>
                <w:noProof/>
              </w:rPr>
              <w:t>L'Académie de Finlande lance un appel à candidatures pour le développement d'infrastructures de recherche locales. Les critères d’éligibilité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Les projets promouvant l’utilisation de combustibles fossiles ne sont pas financés. Un projet proposé par une entreprise couverte par le système d’échange de quotas d’émission de l’UE (SEQE) ne peut être financé que s’il réduit considérablement les émissions de gaz à effet de serre. Les critères de sélection comprennent l’incidence des projets sur le développement durable, la transition écologique et la numérisation.</w:t>
            </w:r>
          </w:p>
        </w:tc>
      </w:tr>
      <w:tr w:rsidR="003D7F65" w14:paraId="366BB879"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E73A7C4" w14:textId="77777777" w:rsidR="003D7F65" w:rsidRDefault="0082041E">
            <w:pPr>
              <w:pStyle w:val="P68B1DB1-Normal8"/>
              <w:spacing w:after="0" w:line="240" w:lineRule="auto"/>
              <w:jc w:val="center"/>
              <w:rPr>
                <w:noProof/>
              </w:rPr>
            </w:pPr>
            <w:r>
              <w:rPr>
                <w:noProof/>
              </w:rPr>
              <w:t>113</w:t>
            </w:r>
          </w:p>
        </w:tc>
        <w:tc>
          <w:tcPr>
            <w:tcW w:w="1804" w:type="dxa"/>
            <w:tcBorders>
              <w:top w:val="single" w:sz="4" w:space="0" w:color="auto"/>
              <w:left w:val="nil"/>
              <w:bottom w:val="single" w:sz="4" w:space="0" w:color="auto"/>
              <w:right w:val="single" w:sz="4" w:space="0" w:color="auto"/>
            </w:tcBorders>
            <w:shd w:val="clear" w:color="auto" w:fill="C6EFCE"/>
            <w:noWrap/>
          </w:tcPr>
          <w:p w14:paraId="05F7B24B"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P3C3I5</w:t>
            </w:r>
            <w:r>
              <w:rPr>
                <w:rFonts w:ascii="Times New Roman" w:hAnsi="Times New Roman"/>
                <w:noProof/>
              </w:rPr>
              <w:t xml:space="preserve"> – RDI, infrastructures de recherche et pilotage – Promouvoir l’innovation et les infrastructures de recherche – Infrastructures de recherche locales </w:t>
            </w:r>
          </w:p>
        </w:tc>
        <w:tc>
          <w:tcPr>
            <w:tcW w:w="1314" w:type="dxa"/>
            <w:tcBorders>
              <w:top w:val="nil"/>
              <w:left w:val="nil"/>
              <w:bottom w:val="single" w:sz="4" w:space="0" w:color="auto"/>
              <w:right w:val="single" w:sz="4" w:space="0" w:color="auto"/>
            </w:tcBorders>
            <w:shd w:val="clear" w:color="auto" w:fill="C6EFCE"/>
            <w:noWrap/>
          </w:tcPr>
          <w:p w14:paraId="0A7FA18B" w14:textId="77777777" w:rsidR="003D7F65" w:rsidRDefault="0082041E">
            <w:pPr>
              <w:pStyle w:val="P68B1DB1-Normal8"/>
              <w:spacing w:after="0" w:line="240" w:lineRule="auto"/>
              <w:rPr>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5D65111C" w14:textId="77777777" w:rsidR="003D7F65" w:rsidRDefault="0082041E">
            <w:pPr>
              <w:pStyle w:val="P68B1DB1-Normal8"/>
              <w:spacing w:after="0" w:line="240" w:lineRule="auto"/>
              <w:rPr>
                <w:noProof/>
              </w:rPr>
            </w:pPr>
            <w:r>
              <w:rPr>
                <w:noProof/>
              </w:rPr>
              <w:t xml:space="preserve">Octroi de subventions pour le renouvellement et le développement d'infrastructures de recherche locales </w:t>
            </w:r>
          </w:p>
        </w:tc>
        <w:tc>
          <w:tcPr>
            <w:tcW w:w="1891" w:type="dxa"/>
            <w:tcBorders>
              <w:top w:val="nil"/>
              <w:left w:val="nil"/>
              <w:bottom w:val="single" w:sz="4" w:space="0" w:color="auto"/>
              <w:right w:val="single" w:sz="4" w:space="0" w:color="auto"/>
            </w:tcBorders>
            <w:shd w:val="clear" w:color="auto" w:fill="C6EFCE"/>
            <w:noWrap/>
          </w:tcPr>
          <w:p w14:paraId="094E412F"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1A274BAB"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708E9D4F"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2A35D6C3" w14:textId="77777777" w:rsidR="003D7F65" w:rsidRDefault="0082041E">
            <w:pPr>
              <w:pStyle w:val="P68B1DB1-Normal8"/>
              <w:spacing w:after="0" w:line="240" w:lineRule="auto"/>
              <w:jc w:val="center"/>
              <w:rPr>
                <w:noProof/>
              </w:rPr>
            </w:pPr>
            <w:r>
              <w:rPr>
                <w:noProof/>
              </w:rPr>
              <w:t>10</w:t>
            </w:r>
          </w:p>
        </w:tc>
        <w:tc>
          <w:tcPr>
            <w:tcW w:w="1134" w:type="dxa"/>
            <w:tcBorders>
              <w:top w:val="nil"/>
              <w:left w:val="nil"/>
              <w:bottom w:val="single" w:sz="4" w:space="0" w:color="auto"/>
              <w:right w:val="single" w:sz="4" w:space="0" w:color="auto"/>
            </w:tcBorders>
            <w:shd w:val="clear" w:color="auto" w:fill="C6EFCE"/>
            <w:noWrap/>
          </w:tcPr>
          <w:p w14:paraId="6E7CC271"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433C4D74" w14:textId="77777777" w:rsidR="003D7F65" w:rsidRDefault="0082041E">
            <w:pPr>
              <w:pStyle w:val="P68B1DB1-Normal8"/>
              <w:spacing w:after="0" w:line="240" w:lineRule="auto"/>
              <w:jc w:val="center"/>
              <w:rPr>
                <w:noProof/>
              </w:rPr>
            </w:pPr>
            <w:r>
              <w:rPr>
                <w:noProof/>
              </w:rPr>
              <w:t>2022</w:t>
            </w:r>
          </w:p>
        </w:tc>
        <w:tc>
          <w:tcPr>
            <w:tcW w:w="3090" w:type="dxa"/>
            <w:tcBorders>
              <w:top w:val="nil"/>
              <w:left w:val="nil"/>
              <w:bottom w:val="single" w:sz="4" w:space="0" w:color="auto"/>
              <w:right w:val="single" w:sz="4" w:space="0" w:color="auto"/>
            </w:tcBorders>
            <w:shd w:val="clear" w:color="auto" w:fill="C6EFCE"/>
            <w:noWrap/>
          </w:tcPr>
          <w:p w14:paraId="7B744443" w14:textId="4FADA4D9" w:rsidR="003D7F65" w:rsidRDefault="0082041E">
            <w:pPr>
              <w:pStyle w:val="P68B1DB1-Normal8"/>
              <w:spacing w:after="0" w:line="240" w:lineRule="auto"/>
              <w:rPr>
                <w:noProof/>
              </w:rPr>
            </w:pPr>
            <w:r>
              <w:rPr>
                <w:noProof/>
              </w:rPr>
              <w:t>Notification par l’Académie de Finlande de l’octroi d’au moins 10 subventions pour des projets sélectionnés conformément aux critères d’éligibilité/de sélection spécifiés au jalon 112.</w:t>
            </w:r>
          </w:p>
        </w:tc>
      </w:tr>
      <w:tr w:rsidR="003D7F65" w14:paraId="417048AE"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D90D6CB" w14:textId="77777777" w:rsidR="003D7F65" w:rsidRDefault="0082041E">
            <w:pPr>
              <w:pStyle w:val="P68B1DB1-Normal8"/>
              <w:spacing w:after="0" w:line="240" w:lineRule="auto"/>
              <w:jc w:val="center"/>
              <w:rPr>
                <w:noProof/>
              </w:rPr>
            </w:pPr>
            <w:r>
              <w:rPr>
                <w:noProof/>
              </w:rPr>
              <w:t>114</w:t>
            </w:r>
          </w:p>
        </w:tc>
        <w:tc>
          <w:tcPr>
            <w:tcW w:w="1804" w:type="dxa"/>
            <w:tcBorders>
              <w:top w:val="nil"/>
              <w:left w:val="nil"/>
              <w:bottom w:val="single" w:sz="4" w:space="0" w:color="auto"/>
              <w:right w:val="single" w:sz="4" w:space="0" w:color="auto"/>
            </w:tcBorders>
            <w:shd w:val="clear" w:color="auto" w:fill="C6EFCE"/>
            <w:noWrap/>
          </w:tcPr>
          <w:p w14:paraId="188D059C"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P3C3I5</w:t>
            </w:r>
            <w:r>
              <w:rPr>
                <w:rFonts w:ascii="Times New Roman" w:hAnsi="Times New Roman"/>
                <w:noProof/>
              </w:rPr>
              <w:t xml:space="preserve"> – RDI, infrastructures de recherche et pilotage – Promouvoir l’innovation et les infrastructures de recherche – Infrastructures de recherche locales </w:t>
            </w:r>
          </w:p>
        </w:tc>
        <w:tc>
          <w:tcPr>
            <w:tcW w:w="1314" w:type="dxa"/>
            <w:tcBorders>
              <w:top w:val="nil"/>
              <w:left w:val="nil"/>
              <w:bottom w:val="single" w:sz="4" w:space="0" w:color="auto"/>
              <w:right w:val="single" w:sz="4" w:space="0" w:color="auto"/>
            </w:tcBorders>
            <w:shd w:val="clear" w:color="auto" w:fill="C6EFCE"/>
            <w:noWrap/>
          </w:tcPr>
          <w:p w14:paraId="751CFFAB" w14:textId="77777777" w:rsidR="003D7F65" w:rsidRDefault="0082041E">
            <w:pPr>
              <w:pStyle w:val="P68B1DB1-Normal8"/>
              <w:spacing w:after="0" w:line="240" w:lineRule="auto"/>
              <w:rPr>
                <w:noProof/>
              </w:rPr>
            </w:pPr>
            <w:r>
              <w:rPr>
                <w:noProof/>
              </w:rPr>
              <w:t>Étape</w:t>
            </w:r>
          </w:p>
        </w:tc>
        <w:tc>
          <w:tcPr>
            <w:tcW w:w="1511" w:type="dxa"/>
            <w:tcBorders>
              <w:top w:val="nil"/>
              <w:left w:val="nil"/>
              <w:bottom w:val="single" w:sz="4" w:space="0" w:color="auto"/>
              <w:right w:val="single" w:sz="4" w:space="0" w:color="auto"/>
            </w:tcBorders>
            <w:shd w:val="clear" w:color="auto" w:fill="C6EFCE"/>
            <w:noWrap/>
          </w:tcPr>
          <w:p w14:paraId="748946B1" w14:textId="77777777" w:rsidR="003D7F65" w:rsidRDefault="0082041E">
            <w:pPr>
              <w:pStyle w:val="P68B1DB1-Normal8"/>
              <w:spacing w:after="0" w:line="240" w:lineRule="auto"/>
              <w:rPr>
                <w:noProof/>
              </w:rPr>
            </w:pPr>
            <w:r>
              <w:rPr>
                <w:noProof/>
              </w:rPr>
              <w:t>Rapports de projet présentés</w:t>
            </w:r>
          </w:p>
        </w:tc>
        <w:tc>
          <w:tcPr>
            <w:tcW w:w="1891" w:type="dxa"/>
            <w:tcBorders>
              <w:top w:val="nil"/>
              <w:left w:val="nil"/>
              <w:bottom w:val="single" w:sz="4" w:space="0" w:color="auto"/>
              <w:right w:val="single" w:sz="4" w:space="0" w:color="auto"/>
            </w:tcBorders>
            <w:shd w:val="clear" w:color="auto" w:fill="C6EFCE"/>
            <w:noWrap/>
          </w:tcPr>
          <w:p w14:paraId="5169F301" w14:textId="4290A2E5" w:rsidR="003D7F65" w:rsidRDefault="0082041E">
            <w:pPr>
              <w:pStyle w:val="P68B1DB1-Normal8"/>
              <w:spacing w:after="0" w:line="240" w:lineRule="auto"/>
              <w:rPr>
                <w:noProof/>
              </w:rPr>
            </w:pPr>
            <w:r>
              <w:rPr>
                <w:noProof/>
              </w:rPr>
              <w:t>Rapports de projet présentés</w:t>
            </w:r>
          </w:p>
        </w:tc>
        <w:tc>
          <w:tcPr>
            <w:tcW w:w="992" w:type="dxa"/>
            <w:tcBorders>
              <w:top w:val="nil"/>
              <w:left w:val="nil"/>
              <w:bottom w:val="single" w:sz="4" w:space="0" w:color="auto"/>
              <w:right w:val="single" w:sz="4" w:space="0" w:color="auto"/>
            </w:tcBorders>
            <w:shd w:val="clear" w:color="auto" w:fill="C6EFCE"/>
            <w:noWrap/>
          </w:tcPr>
          <w:p w14:paraId="689C4D32"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4F4A5D37"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2E6EFF4"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20904FD7"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5B53A9AB" w14:textId="77777777" w:rsidR="003D7F65" w:rsidRDefault="0082041E">
            <w:pPr>
              <w:pStyle w:val="P68B1DB1-Normal8"/>
              <w:spacing w:after="0" w:line="240" w:lineRule="auto"/>
              <w:jc w:val="center"/>
              <w:rPr>
                <w:noProof/>
              </w:rPr>
            </w:pPr>
            <w:r>
              <w:rPr>
                <w:noProof/>
              </w:rPr>
              <w:t>2026</w:t>
            </w:r>
          </w:p>
        </w:tc>
        <w:tc>
          <w:tcPr>
            <w:tcW w:w="3090" w:type="dxa"/>
            <w:tcBorders>
              <w:top w:val="nil"/>
              <w:left w:val="nil"/>
              <w:bottom w:val="single" w:sz="4" w:space="0" w:color="auto"/>
              <w:right w:val="single" w:sz="4" w:space="0" w:color="auto"/>
            </w:tcBorders>
            <w:shd w:val="clear" w:color="auto" w:fill="C6EFCE"/>
            <w:noWrap/>
          </w:tcPr>
          <w:p w14:paraId="33A0F8A9" w14:textId="539A02EE" w:rsidR="003D7F65" w:rsidRDefault="0082041E">
            <w:pPr>
              <w:pStyle w:val="P68B1DB1-Normal8"/>
              <w:spacing w:after="0" w:line="240" w:lineRule="auto"/>
              <w:rPr>
                <w:noProof/>
              </w:rPr>
            </w:pPr>
            <w:r>
              <w:rPr>
                <w:noProof/>
              </w:rPr>
              <w:t>Les entités bénéficiaires soumettent des rapports sur les projets ayant fait l’objet d’une attribution cumulée d’au moins 22 725 000 EUR.</w:t>
            </w:r>
          </w:p>
        </w:tc>
      </w:tr>
      <w:tr w:rsidR="003D7F65" w14:paraId="5D3D5542"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BA11A86" w14:textId="77777777" w:rsidR="003D7F65" w:rsidRDefault="0082041E">
            <w:pPr>
              <w:pStyle w:val="P68B1DB1-Normal8"/>
              <w:spacing w:after="0" w:line="240" w:lineRule="auto"/>
              <w:jc w:val="center"/>
              <w:rPr>
                <w:noProof/>
              </w:rPr>
            </w:pPr>
            <w:r>
              <w:rPr>
                <w:noProof/>
              </w:rPr>
              <w:t>115</w:t>
            </w:r>
          </w:p>
        </w:tc>
        <w:tc>
          <w:tcPr>
            <w:tcW w:w="1804" w:type="dxa"/>
            <w:tcBorders>
              <w:top w:val="single" w:sz="4" w:space="0" w:color="auto"/>
              <w:left w:val="nil"/>
              <w:bottom w:val="single" w:sz="4" w:space="0" w:color="auto"/>
              <w:right w:val="single" w:sz="4" w:space="0" w:color="auto"/>
            </w:tcBorders>
            <w:shd w:val="clear" w:color="auto" w:fill="C6EFCE"/>
            <w:noWrap/>
          </w:tcPr>
          <w:p w14:paraId="3E833BF4"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P3C3I6</w:t>
            </w:r>
            <w:r>
              <w:rPr>
                <w:rFonts w:ascii="Times New Roman" w:hAnsi="Times New Roman"/>
                <w:noProof/>
              </w:rPr>
              <w:t xml:space="preserve"> – RDI, infrastructures de recherche et pilotage – Promouvoir l’innovation et les infrastructures de recherche – Infrastructures nationales de recherche </w:t>
            </w:r>
          </w:p>
        </w:tc>
        <w:tc>
          <w:tcPr>
            <w:tcW w:w="1314" w:type="dxa"/>
            <w:tcBorders>
              <w:top w:val="nil"/>
              <w:left w:val="nil"/>
              <w:bottom w:val="single" w:sz="4" w:space="0" w:color="auto"/>
              <w:right w:val="single" w:sz="4" w:space="0" w:color="auto"/>
            </w:tcBorders>
            <w:shd w:val="clear" w:color="auto" w:fill="C6EFCE"/>
            <w:noWrap/>
          </w:tcPr>
          <w:p w14:paraId="4B9FDF19"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4F3EABA8" w14:textId="77777777" w:rsidR="003D7F65" w:rsidRDefault="0082041E">
            <w:pPr>
              <w:pStyle w:val="P68B1DB1-Normal8"/>
              <w:spacing w:after="0" w:line="240" w:lineRule="auto"/>
              <w:rPr>
                <w:noProof/>
              </w:rPr>
            </w:pPr>
            <w:r>
              <w:rPr>
                <w:noProof/>
              </w:rPr>
              <w:t>Publication d'un appel à candidatures pour le renouvellement et le développement des infrastructures nationales de recherche</w:t>
            </w:r>
          </w:p>
        </w:tc>
        <w:tc>
          <w:tcPr>
            <w:tcW w:w="1891" w:type="dxa"/>
            <w:tcBorders>
              <w:top w:val="single" w:sz="4" w:space="0" w:color="auto"/>
              <w:left w:val="nil"/>
              <w:bottom w:val="single" w:sz="4" w:space="0" w:color="auto"/>
              <w:right w:val="single" w:sz="4" w:space="0" w:color="auto"/>
            </w:tcBorders>
            <w:shd w:val="clear" w:color="auto" w:fill="C6EFCE"/>
            <w:noWrap/>
          </w:tcPr>
          <w:p w14:paraId="324C2340" w14:textId="77777777" w:rsidR="003D7F65" w:rsidRDefault="0082041E">
            <w:pPr>
              <w:pStyle w:val="P68B1DB1-Normal8"/>
              <w:spacing w:after="0" w:line="240" w:lineRule="auto"/>
              <w:rPr>
                <w:noProof/>
              </w:rPr>
            </w:pPr>
            <w:r>
              <w:rPr>
                <w:noProof/>
              </w:rPr>
              <w:t>Publication de l'appel à candidatures par l'Académie de Finlande</w:t>
            </w:r>
          </w:p>
        </w:tc>
        <w:tc>
          <w:tcPr>
            <w:tcW w:w="992" w:type="dxa"/>
            <w:tcBorders>
              <w:top w:val="nil"/>
              <w:left w:val="nil"/>
              <w:bottom w:val="single" w:sz="4" w:space="0" w:color="auto"/>
              <w:right w:val="single" w:sz="4" w:space="0" w:color="auto"/>
            </w:tcBorders>
            <w:shd w:val="clear" w:color="auto" w:fill="C6EFCE"/>
            <w:noWrap/>
          </w:tcPr>
          <w:p w14:paraId="2DF11236"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145471CB"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69E39DD"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F1E80D7"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5041A2BA" w14:textId="77777777" w:rsidR="003D7F65" w:rsidRDefault="0082041E">
            <w:pPr>
              <w:pStyle w:val="P68B1DB1-Normal8"/>
              <w:spacing w:after="0" w:line="240" w:lineRule="auto"/>
              <w:jc w:val="center"/>
              <w:rPr>
                <w:noProof/>
              </w:rPr>
            </w:pPr>
            <w:r>
              <w:rPr>
                <w:noProof/>
              </w:rPr>
              <w:t>2021</w:t>
            </w:r>
          </w:p>
        </w:tc>
        <w:tc>
          <w:tcPr>
            <w:tcW w:w="3090" w:type="dxa"/>
            <w:tcBorders>
              <w:top w:val="nil"/>
              <w:left w:val="nil"/>
              <w:bottom w:val="single" w:sz="4" w:space="0" w:color="auto"/>
              <w:right w:val="single" w:sz="4" w:space="0" w:color="auto"/>
            </w:tcBorders>
            <w:shd w:val="clear" w:color="auto" w:fill="C6EFCE"/>
            <w:noWrap/>
          </w:tcPr>
          <w:p w14:paraId="010CA5B2" w14:textId="77777777" w:rsidR="003D7F65" w:rsidRDefault="0082041E">
            <w:pPr>
              <w:pStyle w:val="P68B1DB1-Normal8"/>
              <w:spacing w:after="0" w:line="240" w:lineRule="auto"/>
              <w:rPr>
                <w:noProof/>
              </w:rPr>
            </w:pPr>
            <w:r>
              <w:rPr>
                <w:noProof/>
              </w:rPr>
              <w:t>L'Académie de Finlande lance un appel à candidatures pour les infrastructures nationales de recherche. Les critères d’éligibilité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Les projets promouvant l’utilisation de combustibles fossiles ne sont pas financés. Un projet proposé par une entreprise couverte par le système d’échange de quotas d’émission de l’UE (SEQE) ne peut être financé que s’il réduit considérablement les émissions de gaz à effet de serre. Les critères de sélection comprennent l’incidence des projets sur le développement durable, la transition écologique et la numérisation. Lors de la sélection des projets, il convient également de veiller à ce qu’au moins 8 000 000 EUR soient alloués conformément au domaine d’intervention 009bis (Investissement dans les activités de R&amp;I liées au numérique) figurant à l’annexe VII du règlement FRR.</w:t>
            </w:r>
          </w:p>
        </w:tc>
      </w:tr>
      <w:tr w:rsidR="003D7F65" w14:paraId="7F5458C4"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4FCBCA4" w14:textId="77777777" w:rsidR="003D7F65" w:rsidRDefault="0082041E">
            <w:pPr>
              <w:pStyle w:val="P68B1DB1-Normal8"/>
              <w:spacing w:after="0" w:line="240" w:lineRule="auto"/>
              <w:jc w:val="center"/>
              <w:rPr>
                <w:noProof/>
              </w:rPr>
            </w:pPr>
            <w:r>
              <w:rPr>
                <w:noProof/>
              </w:rPr>
              <w:t>116</w:t>
            </w:r>
          </w:p>
        </w:tc>
        <w:tc>
          <w:tcPr>
            <w:tcW w:w="1804" w:type="dxa"/>
            <w:tcBorders>
              <w:top w:val="single" w:sz="4" w:space="0" w:color="auto"/>
              <w:left w:val="nil"/>
              <w:bottom w:val="single" w:sz="4" w:space="0" w:color="auto"/>
              <w:right w:val="single" w:sz="4" w:space="0" w:color="auto"/>
            </w:tcBorders>
            <w:shd w:val="clear" w:color="auto" w:fill="C6EFCE"/>
            <w:noWrap/>
          </w:tcPr>
          <w:p w14:paraId="3EDDA197"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P3C3I6</w:t>
            </w:r>
            <w:r>
              <w:rPr>
                <w:rFonts w:ascii="Times New Roman" w:hAnsi="Times New Roman"/>
                <w:noProof/>
              </w:rPr>
              <w:t xml:space="preserve"> – RDI, infrastructures de recherche et pilotage – Promouvoir l’innovation et les infrastructures de recherche – Infrastructures nationales de recherche </w:t>
            </w:r>
          </w:p>
        </w:tc>
        <w:tc>
          <w:tcPr>
            <w:tcW w:w="1314" w:type="dxa"/>
            <w:tcBorders>
              <w:top w:val="nil"/>
              <w:left w:val="nil"/>
              <w:bottom w:val="single" w:sz="4" w:space="0" w:color="auto"/>
              <w:right w:val="single" w:sz="4" w:space="0" w:color="auto"/>
            </w:tcBorders>
            <w:shd w:val="clear" w:color="auto" w:fill="C6EFCE"/>
            <w:noWrap/>
          </w:tcPr>
          <w:p w14:paraId="578CF8AB" w14:textId="77777777" w:rsidR="003D7F65" w:rsidRDefault="0082041E">
            <w:pPr>
              <w:pStyle w:val="P68B1DB1-Normal8"/>
              <w:spacing w:after="0" w:line="240" w:lineRule="auto"/>
              <w:rPr>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562C97A7" w14:textId="77777777" w:rsidR="003D7F65" w:rsidRDefault="0082041E">
            <w:pPr>
              <w:pStyle w:val="P68B1DB1-Normal8"/>
              <w:spacing w:after="0" w:line="240" w:lineRule="auto"/>
              <w:rPr>
                <w:noProof/>
              </w:rPr>
            </w:pPr>
            <w:r>
              <w:rPr>
                <w:noProof/>
              </w:rPr>
              <w:t xml:space="preserve">Octroi de subventions pour le renouvellement et le développement des infrastructures nationales de recherche </w:t>
            </w:r>
          </w:p>
        </w:tc>
        <w:tc>
          <w:tcPr>
            <w:tcW w:w="1891" w:type="dxa"/>
            <w:tcBorders>
              <w:top w:val="nil"/>
              <w:left w:val="nil"/>
              <w:bottom w:val="single" w:sz="4" w:space="0" w:color="auto"/>
              <w:right w:val="single" w:sz="4" w:space="0" w:color="auto"/>
            </w:tcBorders>
            <w:shd w:val="clear" w:color="auto" w:fill="C6EFCE"/>
            <w:noWrap/>
          </w:tcPr>
          <w:p w14:paraId="07C2D237"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80734B6"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277E14D1"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2AF16294" w14:textId="77777777" w:rsidR="003D7F65" w:rsidRDefault="0082041E">
            <w:pPr>
              <w:pStyle w:val="P68B1DB1-Normal8"/>
              <w:spacing w:after="0" w:line="240" w:lineRule="auto"/>
              <w:jc w:val="center"/>
              <w:rPr>
                <w:noProof/>
              </w:rPr>
            </w:pPr>
            <w:r>
              <w:rPr>
                <w:noProof/>
              </w:rPr>
              <w:t>6</w:t>
            </w:r>
          </w:p>
        </w:tc>
        <w:tc>
          <w:tcPr>
            <w:tcW w:w="1134" w:type="dxa"/>
            <w:tcBorders>
              <w:top w:val="nil"/>
              <w:left w:val="nil"/>
              <w:bottom w:val="single" w:sz="4" w:space="0" w:color="auto"/>
              <w:right w:val="single" w:sz="4" w:space="0" w:color="auto"/>
            </w:tcBorders>
            <w:shd w:val="clear" w:color="auto" w:fill="C6EFCE"/>
            <w:noWrap/>
          </w:tcPr>
          <w:p w14:paraId="095F9AA4"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33BC3502" w14:textId="77777777" w:rsidR="003D7F65" w:rsidRDefault="0082041E">
            <w:pPr>
              <w:pStyle w:val="P68B1DB1-Normal8"/>
              <w:spacing w:after="0" w:line="240" w:lineRule="auto"/>
              <w:jc w:val="center"/>
              <w:rPr>
                <w:noProof/>
              </w:rPr>
            </w:pPr>
            <w:r>
              <w:rPr>
                <w:noProof/>
              </w:rPr>
              <w:t>2022</w:t>
            </w:r>
          </w:p>
        </w:tc>
        <w:tc>
          <w:tcPr>
            <w:tcW w:w="3090" w:type="dxa"/>
            <w:tcBorders>
              <w:top w:val="nil"/>
              <w:left w:val="nil"/>
              <w:bottom w:val="single" w:sz="4" w:space="0" w:color="auto"/>
              <w:right w:val="single" w:sz="4" w:space="0" w:color="auto"/>
            </w:tcBorders>
            <w:shd w:val="clear" w:color="auto" w:fill="C6EFCE"/>
            <w:noWrap/>
          </w:tcPr>
          <w:p w14:paraId="564A66BE" w14:textId="77777777" w:rsidR="003D7F65" w:rsidRDefault="0082041E">
            <w:pPr>
              <w:pStyle w:val="P68B1DB1-Normal8"/>
              <w:spacing w:after="0" w:line="240" w:lineRule="auto"/>
              <w:rPr>
                <w:noProof/>
              </w:rPr>
            </w:pPr>
            <w:r>
              <w:rPr>
                <w:noProof/>
              </w:rPr>
              <w:t xml:space="preserve">Notification par l’Académie de Finlande de l’octroi d’au moins 6 subventions pour des projets sélectionnés conformément aux critères d’éligibilité/de sélection spécifiés au jalon 115. </w:t>
            </w:r>
          </w:p>
        </w:tc>
      </w:tr>
      <w:tr w:rsidR="003D7F65" w14:paraId="53A9A1DE"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1DE5DEC" w14:textId="77777777" w:rsidR="003D7F65" w:rsidRDefault="0082041E">
            <w:pPr>
              <w:pStyle w:val="P68B1DB1-Normal8"/>
              <w:spacing w:after="0" w:line="240" w:lineRule="auto"/>
              <w:jc w:val="center"/>
              <w:rPr>
                <w:noProof/>
              </w:rPr>
            </w:pPr>
            <w:r>
              <w:rPr>
                <w:noProof/>
              </w:rPr>
              <w:t>117</w:t>
            </w:r>
          </w:p>
        </w:tc>
        <w:tc>
          <w:tcPr>
            <w:tcW w:w="1804" w:type="dxa"/>
            <w:tcBorders>
              <w:top w:val="nil"/>
              <w:left w:val="nil"/>
              <w:bottom w:val="single" w:sz="4" w:space="0" w:color="auto"/>
              <w:right w:val="single" w:sz="4" w:space="0" w:color="auto"/>
            </w:tcBorders>
            <w:shd w:val="clear" w:color="auto" w:fill="C6EFCE"/>
            <w:noWrap/>
          </w:tcPr>
          <w:p w14:paraId="2AC6175A"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P3C3I6</w:t>
            </w:r>
            <w:r>
              <w:rPr>
                <w:rFonts w:ascii="Times New Roman" w:hAnsi="Times New Roman"/>
                <w:noProof/>
              </w:rPr>
              <w:t xml:space="preserve"> – RDI, infrastructures de recherche et pilotage – Promouvoir l’innovation et les infrastructures de recherche – Infrastructures nationales de recherche </w:t>
            </w:r>
          </w:p>
        </w:tc>
        <w:tc>
          <w:tcPr>
            <w:tcW w:w="1314" w:type="dxa"/>
            <w:tcBorders>
              <w:top w:val="nil"/>
              <w:left w:val="nil"/>
              <w:bottom w:val="single" w:sz="4" w:space="0" w:color="auto"/>
              <w:right w:val="single" w:sz="4" w:space="0" w:color="auto"/>
            </w:tcBorders>
            <w:shd w:val="clear" w:color="auto" w:fill="C6EFCE"/>
            <w:noWrap/>
          </w:tcPr>
          <w:p w14:paraId="0C7AB1C3" w14:textId="77777777" w:rsidR="003D7F65" w:rsidRDefault="0082041E">
            <w:pPr>
              <w:pStyle w:val="P68B1DB1-Normal8"/>
              <w:spacing w:after="0" w:line="240" w:lineRule="auto"/>
              <w:rPr>
                <w:noProof/>
              </w:rPr>
            </w:pPr>
            <w:r>
              <w:rPr>
                <w:noProof/>
              </w:rPr>
              <w:t>Étape</w:t>
            </w:r>
          </w:p>
        </w:tc>
        <w:tc>
          <w:tcPr>
            <w:tcW w:w="1511" w:type="dxa"/>
            <w:tcBorders>
              <w:top w:val="nil"/>
              <w:left w:val="nil"/>
              <w:bottom w:val="single" w:sz="4" w:space="0" w:color="auto"/>
              <w:right w:val="single" w:sz="4" w:space="0" w:color="auto"/>
            </w:tcBorders>
            <w:shd w:val="clear" w:color="auto" w:fill="C6EFCE"/>
            <w:noWrap/>
          </w:tcPr>
          <w:p w14:paraId="5A02460D" w14:textId="77777777" w:rsidR="003D7F65" w:rsidRDefault="0082041E">
            <w:pPr>
              <w:pStyle w:val="P68B1DB1-Normal8"/>
              <w:spacing w:after="0" w:line="240" w:lineRule="auto"/>
              <w:rPr>
                <w:noProof/>
              </w:rPr>
            </w:pPr>
            <w:r>
              <w:rPr>
                <w:noProof/>
              </w:rPr>
              <w:t>Rapports de projet présentés</w:t>
            </w:r>
          </w:p>
        </w:tc>
        <w:tc>
          <w:tcPr>
            <w:tcW w:w="1891" w:type="dxa"/>
            <w:tcBorders>
              <w:top w:val="nil"/>
              <w:left w:val="nil"/>
              <w:bottom w:val="single" w:sz="4" w:space="0" w:color="auto"/>
              <w:right w:val="single" w:sz="4" w:space="0" w:color="auto"/>
            </w:tcBorders>
            <w:shd w:val="clear" w:color="auto" w:fill="C6EFCE"/>
            <w:noWrap/>
          </w:tcPr>
          <w:p w14:paraId="2446541D" w14:textId="41C611FE" w:rsidR="003D7F65" w:rsidRDefault="0082041E">
            <w:pPr>
              <w:pStyle w:val="P68B1DB1-Normal8"/>
              <w:spacing w:after="0" w:line="240" w:lineRule="auto"/>
              <w:rPr>
                <w:noProof/>
              </w:rPr>
            </w:pPr>
            <w:r>
              <w:rPr>
                <w:noProof/>
              </w:rPr>
              <w:t>Rapports de projet présentés</w:t>
            </w:r>
          </w:p>
        </w:tc>
        <w:tc>
          <w:tcPr>
            <w:tcW w:w="992" w:type="dxa"/>
            <w:tcBorders>
              <w:top w:val="nil"/>
              <w:left w:val="nil"/>
              <w:bottom w:val="single" w:sz="4" w:space="0" w:color="auto"/>
              <w:right w:val="single" w:sz="4" w:space="0" w:color="auto"/>
            </w:tcBorders>
            <w:shd w:val="clear" w:color="auto" w:fill="C6EFCE"/>
            <w:noWrap/>
          </w:tcPr>
          <w:p w14:paraId="3915ABE3"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0F6FE4A8"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2A3B58E"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6D78EF16"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53790B6A" w14:textId="77777777" w:rsidR="003D7F65" w:rsidRDefault="0082041E">
            <w:pPr>
              <w:pStyle w:val="P68B1DB1-Normal8"/>
              <w:spacing w:after="0" w:line="240" w:lineRule="auto"/>
              <w:jc w:val="center"/>
              <w:rPr>
                <w:noProof/>
              </w:rPr>
            </w:pPr>
            <w:r>
              <w:rPr>
                <w:noProof/>
              </w:rPr>
              <w:t>2026</w:t>
            </w:r>
          </w:p>
        </w:tc>
        <w:tc>
          <w:tcPr>
            <w:tcW w:w="3090" w:type="dxa"/>
            <w:tcBorders>
              <w:top w:val="nil"/>
              <w:left w:val="nil"/>
              <w:bottom w:val="single" w:sz="4" w:space="0" w:color="auto"/>
              <w:right w:val="single" w:sz="4" w:space="0" w:color="auto"/>
            </w:tcBorders>
            <w:shd w:val="clear" w:color="auto" w:fill="C6EFCE"/>
            <w:noWrap/>
          </w:tcPr>
          <w:p w14:paraId="65B7B50D" w14:textId="77777777" w:rsidR="003D7F65" w:rsidRDefault="0082041E">
            <w:pPr>
              <w:pStyle w:val="P68B1DB1-Normal8"/>
              <w:spacing w:after="0" w:line="240" w:lineRule="auto"/>
              <w:rPr>
                <w:noProof/>
              </w:rPr>
            </w:pPr>
            <w:r>
              <w:rPr>
                <w:noProof/>
              </w:rPr>
              <w:t>Les entités bénéficiaires soumettent des rapports sur les projets ayant fait l’objet d’une attribution cumulée d’au moins 18 000 000 EUR.</w:t>
            </w:r>
          </w:p>
        </w:tc>
      </w:tr>
      <w:tr w:rsidR="003D7F65" w14:paraId="4D5E2B52"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DB39BF0" w14:textId="77777777" w:rsidR="003D7F65" w:rsidRDefault="0082041E">
            <w:pPr>
              <w:pStyle w:val="P68B1DB1-Normal8"/>
              <w:spacing w:after="0" w:line="240" w:lineRule="auto"/>
              <w:jc w:val="center"/>
              <w:rPr>
                <w:noProof/>
              </w:rPr>
            </w:pPr>
            <w:r>
              <w:rPr>
                <w:noProof/>
              </w:rPr>
              <w:t>118</w:t>
            </w:r>
          </w:p>
        </w:tc>
        <w:tc>
          <w:tcPr>
            <w:tcW w:w="1804" w:type="dxa"/>
            <w:tcBorders>
              <w:top w:val="single" w:sz="4" w:space="0" w:color="auto"/>
              <w:left w:val="nil"/>
              <w:bottom w:val="single" w:sz="4" w:space="0" w:color="auto"/>
              <w:right w:val="single" w:sz="4" w:space="0" w:color="auto"/>
            </w:tcBorders>
            <w:shd w:val="clear" w:color="auto" w:fill="C6EFCE"/>
            <w:noWrap/>
          </w:tcPr>
          <w:p w14:paraId="5E721B4E" w14:textId="77777777"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P3C3I7</w:t>
            </w:r>
            <w:r>
              <w:rPr>
                <w:rFonts w:ascii="Times New Roman" w:hAnsi="Times New Roman"/>
                <w:noProof/>
              </w:rPr>
              <w:t xml:space="preserve"> – RDI, infrastructures de recherche et pilotage – Promouvoir l’innovation et les infrastructures de recherche – Financement compétitif des infrastructures d’innovation </w:t>
            </w:r>
          </w:p>
        </w:tc>
        <w:tc>
          <w:tcPr>
            <w:tcW w:w="1314" w:type="dxa"/>
            <w:tcBorders>
              <w:top w:val="nil"/>
              <w:left w:val="nil"/>
              <w:bottom w:val="single" w:sz="4" w:space="0" w:color="auto"/>
              <w:right w:val="single" w:sz="4" w:space="0" w:color="auto"/>
            </w:tcBorders>
            <w:shd w:val="clear" w:color="auto" w:fill="C6EFCE"/>
            <w:noWrap/>
          </w:tcPr>
          <w:p w14:paraId="5A8E665C" w14:textId="77777777" w:rsidR="003D7F65" w:rsidRDefault="0082041E">
            <w:pPr>
              <w:pStyle w:val="P68B1DB1-Normal8"/>
              <w:spacing w:after="0" w:line="240" w:lineRule="auto"/>
              <w:rPr>
                <w:noProof/>
              </w:rPr>
            </w:pPr>
            <w:r>
              <w:rPr>
                <w:noProof/>
              </w:rPr>
              <w:t>Étape</w:t>
            </w:r>
          </w:p>
        </w:tc>
        <w:tc>
          <w:tcPr>
            <w:tcW w:w="1511" w:type="dxa"/>
            <w:tcBorders>
              <w:top w:val="single" w:sz="4" w:space="0" w:color="auto"/>
              <w:left w:val="nil"/>
              <w:bottom w:val="single" w:sz="4" w:space="0" w:color="auto"/>
              <w:right w:val="single" w:sz="4" w:space="0" w:color="auto"/>
            </w:tcBorders>
            <w:shd w:val="clear" w:color="auto" w:fill="C6EFCE"/>
            <w:noWrap/>
          </w:tcPr>
          <w:p w14:paraId="23F9CE43" w14:textId="77777777" w:rsidR="003D7F65" w:rsidRDefault="0082041E">
            <w:pPr>
              <w:pStyle w:val="P68B1DB1-Normal8"/>
              <w:spacing w:after="0" w:line="240" w:lineRule="auto"/>
              <w:rPr>
                <w:noProof/>
              </w:rPr>
            </w:pPr>
            <w:r>
              <w:rPr>
                <w:noProof/>
              </w:rPr>
              <w:t>Publication d'un appel à candidatures pour le développement d'infrastructures d'innovation</w:t>
            </w:r>
          </w:p>
        </w:tc>
        <w:tc>
          <w:tcPr>
            <w:tcW w:w="1891" w:type="dxa"/>
            <w:tcBorders>
              <w:top w:val="single" w:sz="4" w:space="0" w:color="auto"/>
              <w:left w:val="nil"/>
              <w:bottom w:val="single" w:sz="4" w:space="0" w:color="auto"/>
              <w:right w:val="single" w:sz="4" w:space="0" w:color="auto"/>
            </w:tcBorders>
            <w:shd w:val="clear" w:color="auto" w:fill="C6EFCE"/>
            <w:noWrap/>
          </w:tcPr>
          <w:p w14:paraId="416A96F6" w14:textId="77777777" w:rsidR="003D7F65" w:rsidRDefault="0082041E">
            <w:pPr>
              <w:pStyle w:val="P68B1DB1-Normal8"/>
              <w:spacing w:after="0" w:line="240" w:lineRule="auto"/>
              <w:rPr>
                <w:noProof/>
              </w:rPr>
            </w:pPr>
            <w:r>
              <w:rPr>
                <w:noProof/>
              </w:rPr>
              <w:t>Publication de l'appel à candidatures par Business Finland</w:t>
            </w:r>
          </w:p>
        </w:tc>
        <w:tc>
          <w:tcPr>
            <w:tcW w:w="992" w:type="dxa"/>
            <w:tcBorders>
              <w:top w:val="nil"/>
              <w:left w:val="nil"/>
              <w:bottom w:val="single" w:sz="4" w:space="0" w:color="auto"/>
              <w:right w:val="single" w:sz="4" w:space="0" w:color="auto"/>
            </w:tcBorders>
            <w:shd w:val="clear" w:color="auto" w:fill="C6EFCE"/>
            <w:noWrap/>
          </w:tcPr>
          <w:p w14:paraId="312E452B"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7204861"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C858F34"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7AD368D2" w14:textId="77777777" w:rsidR="003D7F65" w:rsidRDefault="0082041E">
            <w:pPr>
              <w:pStyle w:val="P68B1DB1-Normal8"/>
              <w:spacing w:after="0" w:line="240" w:lineRule="auto"/>
              <w:jc w:val="center"/>
              <w:rPr>
                <w:noProof/>
              </w:rPr>
            </w:pPr>
            <w:r>
              <w:rPr>
                <w:noProof/>
              </w:rPr>
              <w:t>T2</w:t>
            </w:r>
          </w:p>
        </w:tc>
        <w:tc>
          <w:tcPr>
            <w:tcW w:w="850" w:type="dxa"/>
            <w:tcBorders>
              <w:top w:val="nil"/>
              <w:left w:val="nil"/>
              <w:bottom w:val="single" w:sz="4" w:space="0" w:color="auto"/>
              <w:right w:val="single" w:sz="4" w:space="0" w:color="auto"/>
            </w:tcBorders>
            <w:shd w:val="clear" w:color="auto" w:fill="C6EFCE"/>
            <w:noWrap/>
          </w:tcPr>
          <w:p w14:paraId="1B694391" w14:textId="77777777" w:rsidR="003D7F65" w:rsidRDefault="0082041E">
            <w:pPr>
              <w:pStyle w:val="P68B1DB1-Normal8"/>
              <w:spacing w:after="0" w:line="240" w:lineRule="auto"/>
              <w:jc w:val="center"/>
              <w:rPr>
                <w:noProof/>
              </w:rPr>
            </w:pPr>
            <w:r>
              <w:rPr>
                <w:noProof/>
              </w:rPr>
              <w:t>2022</w:t>
            </w:r>
          </w:p>
        </w:tc>
        <w:tc>
          <w:tcPr>
            <w:tcW w:w="3090" w:type="dxa"/>
            <w:tcBorders>
              <w:top w:val="single" w:sz="4" w:space="0" w:color="auto"/>
              <w:left w:val="nil"/>
              <w:bottom w:val="single" w:sz="4" w:space="0" w:color="auto"/>
              <w:right w:val="single" w:sz="4" w:space="0" w:color="auto"/>
            </w:tcBorders>
            <w:shd w:val="clear" w:color="auto" w:fill="C6EFCE"/>
            <w:noWrap/>
          </w:tcPr>
          <w:p w14:paraId="3051CE25" w14:textId="77777777" w:rsidR="003D7F65" w:rsidRDefault="0082041E">
            <w:pPr>
              <w:pStyle w:val="P68B1DB1-Normal8"/>
              <w:spacing w:after="0" w:line="240" w:lineRule="auto"/>
              <w:rPr>
                <w:noProof/>
              </w:rPr>
            </w:pPr>
            <w:r>
              <w:rPr>
                <w:noProof/>
              </w:rPr>
              <w:t>Business Finland lance un appel à candidatures pour le développement d'infrastructures d'innovation. Les critères d’éligibilité/de sélection garantissent que l’intervention se concentre sur la promotion d’éléments directement liés à la numérisation des entreprises (conformément au domaine d’intervention 019 de l’annexe VII du règlement FRR). Les critères d’éligibilité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 Les projets promouvant l’utilisation de combustibles fossiles ne sont pas financés. Un projet proposé par une entreprise couverte par le système d’échange de quotas d’émission de l’UE (SEQE) ne peut être financé que s’il réduit considérablement les émissions de gaz à effet de serre.</w:t>
            </w:r>
          </w:p>
        </w:tc>
      </w:tr>
      <w:tr w:rsidR="003D7F65" w14:paraId="49BB537C"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0B0C660" w14:textId="77777777" w:rsidR="003D7F65" w:rsidRDefault="0082041E">
            <w:pPr>
              <w:pStyle w:val="P68B1DB1-Normal8"/>
              <w:spacing w:after="0" w:line="240" w:lineRule="auto"/>
              <w:jc w:val="center"/>
              <w:rPr>
                <w:noProof/>
              </w:rPr>
            </w:pPr>
            <w:r>
              <w:rPr>
                <w:noProof/>
              </w:rPr>
              <w:t>119</w:t>
            </w:r>
          </w:p>
        </w:tc>
        <w:tc>
          <w:tcPr>
            <w:tcW w:w="1804" w:type="dxa"/>
            <w:tcBorders>
              <w:top w:val="single" w:sz="4" w:space="0" w:color="auto"/>
              <w:left w:val="nil"/>
              <w:bottom w:val="single" w:sz="4" w:space="0" w:color="auto"/>
              <w:right w:val="single" w:sz="4" w:space="0" w:color="auto"/>
            </w:tcBorders>
            <w:shd w:val="clear" w:color="auto" w:fill="C6EFCE"/>
            <w:noWrap/>
          </w:tcPr>
          <w:p w14:paraId="08B725B3" w14:textId="4CAEA4F0"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P3C3I7</w:t>
            </w:r>
            <w:r>
              <w:rPr>
                <w:rFonts w:ascii="Times New Roman" w:hAnsi="Times New Roman"/>
                <w:noProof/>
              </w:rPr>
              <w:t xml:space="preserve"> – RDI, infrastructures de recherche et pilotage – Promouvoir l’innovation et les infrastructures de recherche – Financement compétitif des infrastructures d’innovation</w:t>
            </w:r>
          </w:p>
        </w:tc>
        <w:tc>
          <w:tcPr>
            <w:tcW w:w="1314" w:type="dxa"/>
            <w:tcBorders>
              <w:top w:val="nil"/>
              <w:left w:val="nil"/>
              <w:bottom w:val="single" w:sz="4" w:space="0" w:color="auto"/>
              <w:right w:val="single" w:sz="4" w:space="0" w:color="auto"/>
            </w:tcBorders>
            <w:shd w:val="clear" w:color="auto" w:fill="C6EFCE"/>
            <w:noWrap/>
          </w:tcPr>
          <w:p w14:paraId="752DE8D0" w14:textId="77777777" w:rsidR="003D7F65" w:rsidRDefault="0082041E">
            <w:pPr>
              <w:pStyle w:val="P68B1DB1-Normal8"/>
              <w:spacing w:after="0" w:line="240" w:lineRule="auto"/>
              <w:rPr>
                <w:noProof/>
              </w:rPr>
            </w:pPr>
            <w:r>
              <w:rPr>
                <w:noProof/>
              </w:rPr>
              <w:t>Objectif</w:t>
            </w:r>
          </w:p>
        </w:tc>
        <w:tc>
          <w:tcPr>
            <w:tcW w:w="1511" w:type="dxa"/>
            <w:tcBorders>
              <w:top w:val="single" w:sz="4" w:space="0" w:color="auto"/>
              <w:left w:val="nil"/>
              <w:bottom w:val="single" w:sz="4" w:space="0" w:color="auto"/>
              <w:right w:val="single" w:sz="4" w:space="0" w:color="auto"/>
            </w:tcBorders>
            <w:shd w:val="clear" w:color="auto" w:fill="C6EFCE"/>
            <w:noWrap/>
          </w:tcPr>
          <w:p w14:paraId="7D497AE1" w14:textId="3F284CBA" w:rsidR="003D7F65" w:rsidRDefault="0082041E">
            <w:pPr>
              <w:pStyle w:val="P68B1DB1-Normal8"/>
              <w:spacing w:after="0" w:line="240" w:lineRule="auto"/>
              <w:rPr>
                <w:noProof/>
              </w:rPr>
            </w:pPr>
            <w:r>
              <w:rPr>
                <w:noProof/>
              </w:rPr>
              <w:t>Octroi de subventions pour le développement d'infrastructures d'innovation</w:t>
            </w:r>
          </w:p>
        </w:tc>
        <w:tc>
          <w:tcPr>
            <w:tcW w:w="1891" w:type="dxa"/>
            <w:tcBorders>
              <w:top w:val="nil"/>
              <w:left w:val="nil"/>
              <w:bottom w:val="single" w:sz="4" w:space="0" w:color="auto"/>
              <w:right w:val="single" w:sz="4" w:space="0" w:color="auto"/>
            </w:tcBorders>
            <w:shd w:val="clear" w:color="auto" w:fill="C6EFCE"/>
            <w:noWrap/>
          </w:tcPr>
          <w:p w14:paraId="06FC0BBE"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0E5B3132" w14:textId="77777777" w:rsidR="003D7F65" w:rsidRDefault="0082041E">
            <w:pPr>
              <w:pStyle w:val="P68B1DB1-Normal8"/>
              <w:spacing w:after="0" w:line="240" w:lineRule="auto"/>
              <w:jc w:val="center"/>
              <w:rPr>
                <w:noProof/>
              </w:rPr>
            </w:pPr>
            <w:r>
              <w:rPr>
                <w:noProof/>
              </w:rPr>
              <w:t>Numéro</w:t>
            </w:r>
          </w:p>
        </w:tc>
        <w:tc>
          <w:tcPr>
            <w:tcW w:w="1134" w:type="dxa"/>
            <w:tcBorders>
              <w:top w:val="nil"/>
              <w:left w:val="nil"/>
              <w:bottom w:val="single" w:sz="4" w:space="0" w:color="auto"/>
              <w:right w:val="single" w:sz="4" w:space="0" w:color="auto"/>
            </w:tcBorders>
            <w:shd w:val="clear" w:color="auto" w:fill="C6EFCE"/>
            <w:noWrap/>
          </w:tcPr>
          <w:p w14:paraId="5B7B1557" w14:textId="77777777" w:rsidR="003D7F65" w:rsidRDefault="0082041E">
            <w:pPr>
              <w:pStyle w:val="P68B1DB1-Normal8"/>
              <w:spacing w:after="0" w:line="240" w:lineRule="auto"/>
              <w:jc w:val="center"/>
              <w:rPr>
                <w:noProof/>
              </w:rPr>
            </w:pPr>
            <w:r>
              <w:rPr>
                <w:noProof/>
              </w:rPr>
              <w:t>0</w:t>
            </w:r>
          </w:p>
        </w:tc>
        <w:tc>
          <w:tcPr>
            <w:tcW w:w="993" w:type="dxa"/>
            <w:tcBorders>
              <w:top w:val="nil"/>
              <w:left w:val="nil"/>
              <w:bottom w:val="single" w:sz="4" w:space="0" w:color="auto"/>
              <w:right w:val="single" w:sz="4" w:space="0" w:color="auto"/>
            </w:tcBorders>
            <w:shd w:val="clear" w:color="auto" w:fill="C6EFCE"/>
            <w:noWrap/>
          </w:tcPr>
          <w:p w14:paraId="1BEEA411" w14:textId="77777777" w:rsidR="003D7F65" w:rsidRDefault="0082041E">
            <w:pPr>
              <w:pStyle w:val="P68B1DB1-Normal8"/>
              <w:spacing w:after="0" w:line="240" w:lineRule="auto"/>
              <w:jc w:val="center"/>
              <w:rPr>
                <w:noProof/>
              </w:rPr>
            </w:pPr>
            <w:r>
              <w:rPr>
                <w:noProof/>
              </w:rPr>
              <w:t>3</w:t>
            </w:r>
          </w:p>
        </w:tc>
        <w:tc>
          <w:tcPr>
            <w:tcW w:w="1134" w:type="dxa"/>
            <w:tcBorders>
              <w:top w:val="nil"/>
              <w:left w:val="nil"/>
              <w:bottom w:val="single" w:sz="4" w:space="0" w:color="auto"/>
              <w:right w:val="single" w:sz="4" w:space="0" w:color="auto"/>
            </w:tcBorders>
            <w:shd w:val="clear" w:color="auto" w:fill="C6EFCE"/>
            <w:noWrap/>
          </w:tcPr>
          <w:p w14:paraId="2D18E483"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2F03423E" w14:textId="77777777" w:rsidR="003D7F65" w:rsidRDefault="0082041E">
            <w:pPr>
              <w:pStyle w:val="P68B1DB1-Normal8"/>
              <w:spacing w:after="0" w:line="240" w:lineRule="auto"/>
              <w:jc w:val="center"/>
              <w:rPr>
                <w:noProof/>
              </w:rPr>
            </w:pPr>
            <w:r>
              <w:rPr>
                <w:noProof/>
              </w:rPr>
              <w:t>2023</w:t>
            </w:r>
          </w:p>
        </w:tc>
        <w:tc>
          <w:tcPr>
            <w:tcW w:w="3090" w:type="dxa"/>
            <w:tcBorders>
              <w:top w:val="single" w:sz="4" w:space="0" w:color="auto"/>
              <w:left w:val="nil"/>
              <w:bottom w:val="single" w:sz="4" w:space="0" w:color="auto"/>
              <w:right w:val="single" w:sz="4" w:space="0" w:color="auto"/>
            </w:tcBorders>
            <w:shd w:val="clear" w:color="auto" w:fill="C6EFCE"/>
            <w:noWrap/>
          </w:tcPr>
          <w:p w14:paraId="2B111765" w14:textId="77777777" w:rsidR="003D7F65" w:rsidRDefault="0082041E">
            <w:pPr>
              <w:pStyle w:val="P68B1DB1-Normal8"/>
              <w:spacing w:after="0" w:line="240" w:lineRule="auto"/>
              <w:rPr>
                <w:noProof/>
              </w:rPr>
            </w:pPr>
            <w:r>
              <w:rPr>
                <w:noProof/>
              </w:rPr>
              <w:t>Notification par Business Finland de l’octroi d’au moins 3 subventions pour des projets sélectionnés conformément aux critères d’éligibilité/de sélection spécifiés dans le jalon 118.</w:t>
            </w:r>
          </w:p>
        </w:tc>
      </w:tr>
      <w:tr w:rsidR="003D7F65" w14:paraId="45896BF6" w14:textId="77777777" w:rsidTr="006B6182">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27E9510" w14:textId="77777777" w:rsidR="003D7F65" w:rsidRDefault="0082041E">
            <w:pPr>
              <w:pStyle w:val="P68B1DB1-Normal8"/>
              <w:spacing w:after="0" w:line="240" w:lineRule="auto"/>
              <w:jc w:val="center"/>
              <w:rPr>
                <w:noProof/>
              </w:rPr>
            </w:pPr>
            <w:r>
              <w:rPr>
                <w:noProof/>
              </w:rPr>
              <w:t>120</w:t>
            </w:r>
          </w:p>
        </w:tc>
        <w:tc>
          <w:tcPr>
            <w:tcW w:w="1804" w:type="dxa"/>
            <w:tcBorders>
              <w:top w:val="nil"/>
              <w:left w:val="nil"/>
              <w:bottom w:val="single" w:sz="4" w:space="0" w:color="auto"/>
              <w:right w:val="single" w:sz="4" w:space="0" w:color="auto"/>
            </w:tcBorders>
            <w:shd w:val="clear" w:color="auto" w:fill="C6EFCE"/>
            <w:noWrap/>
          </w:tcPr>
          <w:p w14:paraId="3D29588F" w14:textId="39BDBDD4" w:rsidR="003D7F65" w:rsidRDefault="0082041E">
            <w:pPr>
              <w:pStyle w:val="P68B1DB1-Normal11"/>
              <w:spacing w:after="0" w:line="240" w:lineRule="auto"/>
              <w:rPr>
                <w:rFonts w:ascii="Times New Roman" w:hAnsi="Times New Roman"/>
                <w:noProof/>
              </w:rPr>
            </w:pPr>
            <w:r>
              <w:rPr>
                <w:rFonts w:ascii="Times New Roman" w:eastAsia="Times New Roman" w:hAnsi="Times New Roman"/>
                <w:noProof/>
                <w:color w:val="000000"/>
              </w:rPr>
              <w:t>P3C3I7</w:t>
            </w:r>
            <w:r>
              <w:rPr>
                <w:rFonts w:ascii="Times New Roman" w:hAnsi="Times New Roman"/>
                <w:noProof/>
              </w:rPr>
              <w:t xml:space="preserve"> – RDI, infrastructures de recherche et pilotage – Promouvoir l’innovation et les infrastructures de recherche – Financement compétitif des infrastructures d’innovation</w:t>
            </w:r>
          </w:p>
        </w:tc>
        <w:tc>
          <w:tcPr>
            <w:tcW w:w="1314" w:type="dxa"/>
            <w:tcBorders>
              <w:top w:val="nil"/>
              <w:left w:val="nil"/>
              <w:bottom w:val="single" w:sz="4" w:space="0" w:color="auto"/>
              <w:right w:val="single" w:sz="4" w:space="0" w:color="auto"/>
            </w:tcBorders>
            <w:shd w:val="clear" w:color="auto" w:fill="C6EFCE"/>
            <w:noWrap/>
          </w:tcPr>
          <w:p w14:paraId="7637464E" w14:textId="77777777" w:rsidR="003D7F65" w:rsidRDefault="0082041E">
            <w:pPr>
              <w:pStyle w:val="P68B1DB1-Normal8"/>
              <w:spacing w:after="0" w:line="240" w:lineRule="auto"/>
              <w:rPr>
                <w:noProof/>
              </w:rPr>
            </w:pPr>
            <w:r>
              <w:rPr>
                <w:noProof/>
              </w:rPr>
              <w:t xml:space="preserve"> Étape</w:t>
            </w:r>
          </w:p>
        </w:tc>
        <w:tc>
          <w:tcPr>
            <w:tcW w:w="1511" w:type="dxa"/>
            <w:tcBorders>
              <w:top w:val="nil"/>
              <w:left w:val="nil"/>
              <w:bottom w:val="single" w:sz="4" w:space="0" w:color="auto"/>
              <w:right w:val="single" w:sz="4" w:space="0" w:color="auto"/>
            </w:tcBorders>
            <w:shd w:val="clear" w:color="auto" w:fill="C6EFCE"/>
            <w:noWrap/>
          </w:tcPr>
          <w:p w14:paraId="41910ECE" w14:textId="77777777" w:rsidR="003D7F65" w:rsidRDefault="0082041E">
            <w:pPr>
              <w:pStyle w:val="P68B1DB1-Normal8"/>
              <w:spacing w:after="0" w:line="240" w:lineRule="auto"/>
              <w:rPr>
                <w:noProof/>
              </w:rPr>
            </w:pPr>
            <w:r>
              <w:rPr>
                <w:noProof/>
              </w:rPr>
              <w:t>Rapports de projet présentés</w:t>
            </w:r>
          </w:p>
        </w:tc>
        <w:tc>
          <w:tcPr>
            <w:tcW w:w="1891" w:type="dxa"/>
            <w:tcBorders>
              <w:top w:val="nil"/>
              <w:left w:val="nil"/>
              <w:bottom w:val="single" w:sz="4" w:space="0" w:color="auto"/>
              <w:right w:val="single" w:sz="4" w:space="0" w:color="auto"/>
            </w:tcBorders>
            <w:shd w:val="clear" w:color="auto" w:fill="C6EFCE"/>
            <w:noWrap/>
          </w:tcPr>
          <w:p w14:paraId="74F1C109" w14:textId="66AD1F34" w:rsidR="003D7F65" w:rsidRDefault="0082041E">
            <w:pPr>
              <w:pStyle w:val="P68B1DB1-Normal8"/>
              <w:spacing w:after="0" w:line="240" w:lineRule="auto"/>
              <w:rPr>
                <w:noProof/>
              </w:rPr>
            </w:pPr>
            <w:r>
              <w:rPr>
                <w:noProof/>
              </w:rPr>
              <w:t>Rapports de projet présentés</w:t>
            </w:r>
          </w:p>
        </w:tc>
        <w:tc>
          <w:tcPr>
            <w:tcW w:w="992" w:type="dxa"/>
            <w:tcBorders>
              <w:top w:val="nil"/>
              <w:left w:val="nil"/>
              <w:bottom w:val="single" w:sz="4" w:space="0" w:color="auto"/>
              <w:right w:val="single" w:sz="4" w:space="0" w:color="auto"/>
            </w:tcBorders>
            <w:shd w:val="clear" w:color="auto" w:fill="C6EFCE"/>
            <w:noWrap/>
          </w:tcPr>
          <w:p w14:paraId="79876C0E"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5B49439B"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4B36827" w14:textId="77777777" w:rsidR="003D7F65" w:rsidRDefault="003D7F65">
            <w:pPr>
              <w:spacing w:after="0" w:line="240" w:lineRule="auto"/>
              <w:jc w:val="center"/>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11AF67A7" w14:textId="77777777" w:rsidR="003D7F65" w:rsidRDefault="0082041E">
            <w:pPr>
              <w:pStyle w:val="P68B1DB1-Normal8"/>
              <w:spacing w:after="0" w:line="240" w:lineRule="auto"/>
              <w:jc w:val="center"/>
              <w:rPr>
                <w:noProof/>
              </w:rPr>
            </w:pPr>
            <w:r>
              <w:rPr>
                <w:noProof/>
              </w:rPr>
              <w:t>T4</w:t>
            </w:r>
          </w:p>
        </w:tc>
        <w:tc>
          <w:tcPr>
            <w:tcW w:w="850" w:type="dxa"/>
            <w:tcBorders>
              <w:top w:val="nil"/>
              <w:left w:val="nil"/>
              <w:bottom w:val="single" w:sz="4" w:space="0" w:color="auto"/>
              <w:right w:val="single" w:sz="4" w:space="0" w:color="auto"/>
            </w:tcBorders>
            <w:shd w:val="clear" w:color="auto" w:fill="C6EFCE"/>
            <w:noWrap/>
          </w:tcPr>
          <w:p w14:paraId="11283016" w14:textId="77777777" w:rsidR="003D7F65" w:rsidRDefault="0082041E">
            <w:pPr>
              <w:pStyle w:val="P68B1DB1-Normal8"/>
              <w:spacing w:after="0" w:line="240" w:lineRule="auto"/>
              <w:jc w:val="center"/>
              <w:rPr>
                <w:noProof/>
              </w:rPr>
            </w:pPr>
            <w:r>
              <w:rPr>
                <w:noProof/>
              </w:rPr>
              <w:t>2025</w:t>
            </w:r>
          </w:p>
        </w:tc>
        <w:tc>
          <w:tcPr>
            <w:tcW w:w="3090" w:type="dxa"/>
            <w:tcBorders>
              <w:top w:val="nil"/>
              <w:left w:val="nil"/>
              <w:bottom w:val="single" w:sz="4" w:space="0" w:color="auto"/>
              <w:right w:val="single" w:sz="4" w:space="0" w:color="auto"/>
            </w:tcBorders>
            <w:shd w:val="clear" w:color="auto" w:fill="C6EFCE"/>
            <w:noWrap/>
          </w:tcPr>
          <w:p w14:paraId="4DC97B3B" w14:textId="566F4617" w:rsidR="003D7F65" w:rsidRDefault="0082041E">
            <w:pPr>
              <w:pStyle w:val="P68B1DB1-Normal8"/>
              <w:spacing w:after="0" w:line="240" w:lineRule="auto"/>
              <w:rPr>
                <w:noProof/>
              </w:rPr>
            </w:pPr>
            <w:r>
              <w:rPr>
                <w:noProof/>
              </w:rPr>
              <w:t xml:space="preserve">Les entités bénéficiaires soumettent des rapports sur les projets ayant fait l’objet d’une attribution cumulée d’au moins 18 675 000 EUR.  </w:t>
            </w:r>
          </w:p>
        </w:tc>
      </w:tr>
    </w:tbl>
    <w:p w14:paraId="43FF9AED" w14:textId="77777777" w:rsidR="003D7F65" w:rsidRDefault="003D7F65">
      <w:pPr>
        <w:pStyle w:val="Heading4"/>
        <w:numPr>
          <w:ilvl w:val="0"/>
          <w:numId w:val="0"/>
        </w:numPr>
        <w:rPr>
          <w:b/>
          <w:noProof/>
        </w:rPr>
        <w:sectPr w:rsidR="003D7F65" w:rsidSect="00A7081A">
          <w:headerReference w:type="even" r:id="rId140"/>
          <w:headerReference w:type="default" r:id="rId141"/>
          <w:footerReference w:type="even" r:id="rId142"/>
          <w:footerReference w:type="default" r:id="rId143"/>
          <w:headerReference w:type="first" r:id="rId144"/>
          <w:footerReference w:type="first" r:id="rId145"/>
          <w:pgSz w:w="16839" w:h="11907" w:orient="landscape"/>
          <w:pgMar w:top="1134" w:right="1134" w:bottom="1134" w:left="1134" w:header="567" w:footer="567" w:gutter="0"/>
          <w:cols w:space="720"/>
          <w:docGrid w:linePitch="360"/>
        </w:sectPr>
      </w:pPr>
    </w:p>
    <w:p w14:paraId="3FE758C7" w14:textId="77777777" w:rsidR="003D7F65" w:rsidRDefault="0082041E">
      <w:pPr>
        <w:pStyle w:val="P68B1DB1-Heading42"/>
        <w:numPr>
          <w:ilvl w:val="0"/>
          <w:numId w:val="0"/>
        </w:numPr>
        <w:rPr>
          <w:noProof/>
        </w:rPr>
      </w:pPr>
      <w:r>
        <w:rPr>
          <w:noProof/>
        </w:rPr>
        <w:t>L. Élément P3C4: RENFORCEMENT DE LA COMPÉTITIVITÉ ET AMÉLIORATION DE LA CROISSANCE DANS LES SECTEURS IMPACTÉS PAR LA CRISE</w:t>
      </w:r>
    </w:p>
    <w:p w14:paraId="70FB4F68" w14:textId="083F8005" w:rsidR="003D7F65" w:rsidRDefault="0082041E">
      <w:pPr>
        <w:pStyle w:val="P68B1DB1-Normal4"/>
        <w:spacing w:before="120" w:after="120" w:line="240" w:lineRule="auto"/>
        <w:jc w:val="both"/>
        <w:rPr>
          <w:noProof/>
        </w:rPr>
      </w:pPr>
      <w:r>
        <w:rPr>
          <w:noProof/>
        </w:rPr>
        <w:t>L’objectif de ce volet du plan finlandais pour la reprise et la résilience est de renforcer les capacités d’exportation en réalisant des investissements sectoriels fondés sur les atouts de la Finlande et son potentiel sur le marché international. Le deuxième objectif est de soutenir la reprise et le renouvellement durable des industries culturelles et créatives. Les secteurs de la culture et de la création possèdent une expertise créative et créent et commercialisent tous deux de la propriété intellectuelle. Cela favorise l'innovation et crée également de la valeur ajoutée dans d'autres secteurs. En outre, les actions relevant de ce volet soutiendront le renouvellement de l’industrie touristique finlandaise, dans le but d’accroître les exportations de services. Les PME finlandaises ne représentent que 16 % des exportations, ce qui est inférieur à celui des pays comparables. Le développement commercial international des PME et la commercialisation des innovations nécessitent souvent des efforts financiers supplémentaires qui font défaut dans de nombreuses PME. Il existe un potentiel supplémentaire dans les industries créatives et culturelles et le tourisme pour soutenir la croissance des exportations, en particulier dans les services.</w:t>
      </w:r>
    </w:p>
    <w:p w14:paraId="74224336" w14:textId="77777777" w:rsidR="003D7F65" w:rsidRDefault="0082041E">
      <w:pPr>
        <w:pStyle w:val="P68B1DB1-Normal4"/>
        <w:spacing w:before="120" w:after="120" w:line="240" w:lineRule="auto"/>
        <w:jc w:val="both"/>
        <w:rPr>
          <w:noProof/>
        </w:rPr>
      </w:pPr>
      <w:r>
        <w:rPr>
          <w:noProof/>
        </w:rPr>
        <w:t>Ce volet contribue à donner suite à la recommandation spécifique par pays no 3 2020 concernant l’adoption de mesures visant à fournir des liquidités à l’économie réelle, en particulier aux petites et moyennes entreprises, la concentration en début de période des projets d’investissement public parvenus à maturité et la promotion de l’investissement privé afin de favoriser la reprise économique et la concentration des investissements sur la transition écologique et numérique, en particulier sur la production et l’utilisation propres et efficaces de l’énergie, les infrastructures durables et efficaces ainsi que la recherche et l’innovation.</w:t>
      </w:r>
    </w:p>
    <w:p w14:paraId="61796753"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97DCCF9" w14:textId="77777777" w:rsidR="003D7F65" w:rsidRDefault="0082041E">
      <w:pPr>
        <w:pStyle w:val="P68B1DB1-Normal18"/>
        <w:spacing w:before="120" w:after="120" w:line="240" w:lineRule="auto"/>
        <w:jc w:val="both"/>
        <w:rPr>
          <w:i/>
          <w:noProof/>
          <w:color w:val="4F81BD"/>
        </w:rPr>
      </w:pPr>
      <w:r>
        <w:rPr>
          <w:noProof/>
        </w:rPr>
        <w:t xml:space="preserve">L.1. </w:t>
      </w:r>
      <w:r>
        <w:rPr>
          <w:noProof/>
        </w:rPr>
        <w:tab/>
        <w:t>Description des réformes et des investissements pour le soutien financier non remboursable</w:t>
      </w:r>
    </w:p>
    <w:p w14:paraId="3A2D1C90" w14:textId="4A540B50" w:rsidR="003D7F65" w:rsidRDefault="0082041E">
      <w:pPr>
        <w:pStyle w:val="P68B1DB1-Normal19"/>
        <w:spacing w:before="120" w:after="120" w:line="240" w:lineRule="auto"/>
        <w:jc w:val="both"/>
        <w:rPr>
          <w:noProof/>
        </w:rPr>
      </w:pPr>
      <w:r>
        <w:rPr>
          <w:noProof/>
        </w:rPr>
        <w:t>Investissement 1 (P3C4I1): Programme d'accélération de la croissance pour les petites entreprises</w:t>
      </w:r>
    </w:p>
    <w:p w14:paraId="6FAD8B50" w14:textId="071EF971" w:rsidR="003D7F65" w:rsidRDefault="0082041E">
      <w:pPr>
        <w:pStyle w:val="P68B1DB1-Normal4"/>
        <w:spacing w:before="120" w:after="120" w:line="240" w:lineRule="auto"/>
        <w:jc w:val="both"/>
        <w:rPr>
          <w:noProof/>
        </w:rPr>
      </w:pPr>
      <w:r>
        <w:rPr>
          <w:noProof/>
        </w:rPr>
        <w:t>L'objectif de cet investissement est d'accélérer la croissance des micro et/ou petites entreprises finlandaises et de renforcer leurs capacités d'internationalisation. L’investissement consiste en l’octroi de subventions aux microentreprises ou aux petites entreprises, y compris pour les nouvelles solutions numériques, la transition écologique et les activités de RDI qui y sont liées.</w:t>
      </w:r>
    </w:p>
    <w:p w14:paraId="6FC67572" w14:textId="77777777" w:rsidR="003D7F65" w:rsidRDefault="0082041E">
      <w:pPr>
        <w:pStyle w:val="P68B1DB1-Normal19"/>
        <w:spacing w:before="120" w:after="120" w:line="240" w:lineRule="auto"/>
        <w:jc w:val="both"/>
        <w:rPr>
          <w:noProof/>
        </w:rPr>
      </w:pPr>
      <w:r>
        <w:rPr>
          <w:noProof/>
        </w:rPr>
        <w:t>Investissement 2 (P3C4I2): Programmes clés pour la croissance internationale</w:t>
      </w:r>
    </w:p>
    <w:p w14:paraId="2B947A25" w14:textId="77777777" w:rsidR="003D7F65" w:rsidRDefault="0082041E">
      <w:pPr>
        <w:pStyle w:val="P68B1DB1-Normal20"/>
        <w:spacing w:before="120" w:after="120" w:line="240" w:lineRule="auto"/>
        <w:jc w:val="both"/>
        <w:rPr>
          <w:noProof/>
        </w:rPr>
      </w:pPr>
      <w:r>
        <w:rPr>
          <w:noProof/>
        </w:rPr>
        <w:t>L'objectif de cet investissement est de soutenir la croissance internationale des entreprises. L’investissement consiste en l’octroi de subventions pour i) l’économie circulaire à faible intensité de carbone et le renouvellement numérique dans l’industrie et pour accroître les exportations de services industriels, ii) l’écosystème du transport de véhicules utilitaires lourds électriques, iii) l’expertise et la technologie en matière de santé et de bien-être, et iv) la croissance et les exportations de l’expertise dans le domaine de l’eau.</w:t>
      </w:r>
    </w:p>
    <w:p w14:paraId="7A1EAE49" w14:textId="77777777" w:rsidR="003D7F65" w:rsidRDefault="0082041E">
      <w:pPr>
        <w:pStyle w:val="P68B1DB1-Normal19"/>
        <w:spacing w:before="120" w:after="120" w:line="240" w:lineRule="auto"/>
        <w:rPr>
          <w:noProof/>
        </w:rPr>
      </w:pPr>
      <w:r>
        <w:rPr>
          <w:noProof/>
        </w:rPr>
        <w:t>Investissement 3 (P3C4I3): Soutien au renouvellement des secteurs de la culture et de la création</w:t>
      </w:r>
    </w:p>
    <w:p w14:paraId="0611265A" w14:textId="1542DCCC" w:rsidR="003D7F65" w:rsidRDefault="0082041E">
      <w:pPr>
        <w:pStyle w:val="P68B1DB1-Normal20"/>
        <w:spacing w:before="120" w:after="120" w:line="240" w:lineRule="auto"/>
        <w:jc w:val="both"/>
        <w:rPr>
          <w:noProof/>
        </w:rPr>
      </w:pPr>
      <w:r>
        <w:rPr>
          <w:noProof/>
        </w:rPr>
        <w:t>L'objectif de cet investissement est de soutenir la croissance du secteur de la culture et de la création en tant que puissants moteurs potentiels de la croissance économique future. L'investissement consiste à accorder des subventions à des entités opérant dans les secteurs de la culture et de la création.</w:t>
      </w:r>
    </w:p>
    <w:p w14:paraId="5AF8F9AD" w14:textId="77777777" w:rsidR="003D7F65" w:rsidRDefault="0082041E">
      <w:pPr>
        <w:pStyle w:val="P68B1DB1-Normal19"/>
        <w:spacing w:before="120" w:after="120" w:line="240" w:lineRule="auto"/>
        <w:rPr>
          <w:noProof/>
        </w:rPr>
      </w:pPr>
      <w:r>
        <w:rPr>
          <w:noProof/>
        </w:rPr>
        <w:t>Investissement 4 (P3C4I4): Soutenir une croissance durable et numérique dans le secteur du tourisme</w:t>
      </w:r>
    </w:p>
    <w:p w14:paraId="1C8F376B" w14:textId="77777777" w:rsidR="003D7F65" w:rsidRDefault="0082041E">
      <w:pPr>
        <w:pStyle w:val="P68B1DB1-Normal20"/>
        <w:spacing w:before="120" w:after="120" w:line="240" w:lineRule="auto"/>
        <w:jc w:val="both"/>
        <w:rPr>
          <w:noProof/>
        </w:rPr>
      </w:pPr>
      <w:r>
        <w:rPr>
          <w:noProof/>
        </w:rPr>
        <w:t>L'objectif de l'investissement est de stimuler la croissance durable et l'innovation dans le secteur du tourisme. L’investissement consiste à mettre à disposition des services numériques pour soutenir le secteur du tourisme et le financement de la RD&amp;I pour des projets de recherche, d’expérimentation et de développement qui soutiennent la commercialisation des activités et des innovations touristiques.</w:t>
      </w:r>
    </w:p>
    <w:p w14:paraId="3D4DC7FB" w14:textId="77777777" w:rsidR="003D7F65" w:rsidRDefault="003D7F65">
      <w:pPr>
        <w:spacing w:before="120" w:after="120" w:line="240" w:lineRule="auto"/>
        <w:jc w:val="both"/>
        <w:rPr>
          <w:rFonts w:ascii="Times New Roman" w:hAnsi="Times New Roman"/>
          <w:noProof/>
          <w:sz w:val="24"/>
        </w:rPr>
        <w:sectPr w:rsidR="003D7F65" w:rsidSect="00A7081A">
          <w:headerReference w:type="even" r:id="rId146"/>
          <w:headerReference w:type="default" r:id="rId147"/>
          <w:footerReference w:type="even" r:id="rId148"/>
          <w:footerReference w:type="default" r:id="rId149"/>
          <w:headerReference w:type="first" r:id="rId150"/>
          <w:footerReference w:type="first" r:id="rId151"/>
          <w:pgSz w:w="11907" w:h="16839"/>
          <w:pgMar w:top="1134" w:right="1134" w:bottom="1134" w:left="1134" w:header="567" w:footer="567" w:gutter="0"/>
          <w:cols w:space="720"/>
          <w:docGrid w:linePitch="360"/>
        </w:sectPr>
      </w:pPr>
    </w:p>
    <w:p w14:paraId="6BFDC64B" w14:textId="77777777" w:rsidR="003D7F65" w:rsidRDefault="0082041E">
      <w:pPr>
        <w:pStyle w:val="P68B1DB1-Normal5"/>
        <w:spacing w:before="120" w:after="120" w:line="240" w:lineRule="auto"/>
        <w:jc w:val="both"/>
        <w:rPr>
          <w:bCs/>
          <w:noProof/>
        </w:rPr>
      </w:pPr>
      <w:r>
        <w:rPr>
          <w:noProof/>
        </w:rPr>
        <w:t xml:space="preserve">L.2. </w:t>
      </w:r>
      <w:r>
        <w:rPr>
          <w:noProof/>
        </w:rPr>
        <w:tab/>
        <w:t>Étapes, cibles, indicateurs et calendrier pour le suivi et la mise en œuvre du soutien financier non remboursable</w:t>
      </w:r>
    </w:p>
    <w:tbl>
      <w:tblPr>
        <w:tblW w:w="15593" w:type="dxa"/>
        <w:jc w:val="center"/>
        <w:tblLayout w:type="fixed"/>
        <w:tblCellMar>
          <w:left w:w="28" w:type="dxa"/>
          <w:right w:w="28" w:type="dxa"/>
        </w:tblCellMar>
        <w:tblLook w:val="04A0" w:firstRow="1" w:lastRow="0" w:firstColumn="1" w:lastColumn="0" w:noHBand="0" w:noVBand="1"/>
      </w:tblPr>
      <w:tblGrid>
        <w:gridCol w:w="906"/>
        <w:gridCol w:w="1729"/>
        <w:gridCol w:w="1471"/>
        <w:gridCol w:w="1089"/>
        <w:gridCol w:w="1479"/>
        <w:gridCol w:w="917"/>
        <w:gridCol w:w="887"/>
        <w:gridCol w:w="873"/>
        <w:gridCol w:w="992"/>
        <w:gridCol w:w="1418"/>
        <w:gridCol w:w="3832"/>
      </w:tblGrid>
      <w:tr w:rsidR="003D7F65" w14:paraId="7121B7F0" w14:textId="77777777" w:rsidTr="00282DE1">
        <w:trPr>
          <w:trHeight w:val="632"/>
          <w:tblHeader/>
          <w:jc w:val="center"/>
        </w:trPr>
        <w:tc>
          <w:tcPr>
            <w:tcW w:w="9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77E56D" w14:textId="77777777" w:rsidR="003D7F65" w:rsidRDefault="0082041E">
            <w:pPr>
              <w:pStyle w:val="P68B1DB1-Normal7"/>
              <w:spacing w:after="0" w:line="240" w:lineRule="auto"/>
              <w:jc w:val="center"/>
              <w:rPr>
                <w:bCs/>
                <w:noProof/>
              </w:rPr>
            </w:pPr>
            <w:r>
              <w:rPr>
                <w:noProof/>
              </w:rPr>
              <w:t>Numéro</w:t>
            </w:r>
          </w:p>
        </w:tc>
        <w:tc>
          <w:tcPr>
            <w:tcW w:w="1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A97126" w14:textId="77777777" w:rsidR="003D7F65" w:rsidRDefault="0082041E">
            <w:pPr>
              <w:pStyle w:val="P68B1DB1-Normal7"/>
              <w:spacing w:after="0" w:line="240" w:lineRule="auto"/>
              <w:jc w:val="center"/>
              <w:rPr>
                <w:bCs/>
                <w:noProof/>
              </w:rPr>
            </w:pPr>
            <w:r>
              <w:rPr>
                <w:noProof/>
              </w:rPr>
              <w:t>Mesure</w:t>
            </w:r>
          </w:p>
        </w:tc>
        <w:tc>
          <w:tcPr>
            <w:tcW w:w="14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F669486" w14:textId="07053FB6" w:rsidR="003D7F65" w:rsidRDefault="0082041E">
            <w:pPr>
              <w:pStyle w:val="P68B1DB1-Normal7"/>
              <w:spacing w:after="0" w:line="240" w:lineRule="auto"/>
              <w:jc w:val="center"/>
              <w:rPr>
                <w:bCs/>
                <w:noProof/>
              </w:rPr>
            </w:pPr>
            <w:r>
              <w:rPr>
                <w:noProof/>
              </w:rPr>
              <w:t>Étape/objectif</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5CAABA" w14:textId="77777777" w:rsidR="003D7F65" w:rsidRDefault="0082041E">
            <w:pPr>
              <w:pStyle w:val="P68B1DB1-Normal7"/>
              <w:spacing w:after="0" w:line="240" w:lineRule="auto"/>
              <w:jc w:val="center"/>
              <w:rPr>
                <w:bCs/>
                <w:noProof/>
              </w:rPr>
            </w:pPr>
            <w:r>
              <w:rPr>
                <w:noProof/>
              </w:rPr>
              <w:t>Nom</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70E7771" w14:textId="77777777" w:rsidR="003D7F65" w:rsidRDefault="0082041E">
            <w:pPr>
              <w:pStyle w:val="P68B1DB1-Normal7"/>
              <w:spacing w:after="0" w:line="240" w:lineRule="auto"/>
              <w:jc w:val="center"/>
              <w:rPr>
                <w:bCs/>
                <w:noProof/>
              </w:rPr>
            </w:pPr>
            <w:r>
              <w:rPr>
                <w:noProof/>
              </w:rPr>
              <w:t>Indicateurs qualitatifs (pour les jalons)</w:t>
            </w:r>
          </w:p>
        </w:tc>
        <w:tc>
          <w:tcPr>
            <w:tcW w:w="26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08E3AB" w14:textId="77777777" w:rsidR="003D7F65" w:rsidRDefault="0082041E">
            <w:pPr>
              <w:pStyle w:val="P68B1DB1-Normal7"/>
              <w:spacing w:after="0" w:line="240" w:lineRule="auto"/>
              <w:jc w:val="center"/>
              <w:rPr>
                <w:bCs/>
                <w:noProof/>
              </w:rPr>
            </w:pPr>
            <w:r>
              <w:rPr>
                <w:noProof/>
              </w:rPr>
              <w:t>Indicateurs quantitatifs (pour les objectifs)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D130B1B" w14:textId="77777777" w:rsidR="003D7F65" w:rsidRDefault="0082041E">
            <w:pPr>
              <w:pStyle w:val="P68B1DB1-Normal7"/>
              <w:spacing w:after="0" w:line="240" w:lineRule="auto"/>
              <w:jc w:val="center"/>
              <w:rPr>
                <w:bCs/>
                <w:noProof/>
              </w:rPr>
            </w:pPr>
            <w:r>
              <w:rPr>
                <w:noProof/>
              </w:rPr>
              <w:t>Calendrier indicatif d'achèvement</w:t>
            </w:r>
          </w:p>
        </w:tc>
        <w:tc>
          <w:tcPr>
            <w:tcW w:w="38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9E11E7" w14:textId="77777777" w:rsidR="003D7F65" w:rsidRDefault="0082041E">
            <w:pPr>
              <w:pStyle w:val="P68B1DB1-Normal7"/>
              <w:spacing w:after="0" w:line="240" w:lineRule="auto"/>
              <w:jc w:val="center"/>
              <w:rPr>
                <w:bCs/>
                <w:noProof/>
              </w:rPr>
            </w:pPr>
            <w:r>
              <w:rPr>
                <w:noProof/>
              </w:rPr>
              <w:t>Description de chaque jalon et cible</w:t>
            </w:r>
          </w:p>
        </w:tc>
      </w:tr>
      <w:tr w:rsidR="003D7F65" w14:paraId="4F4B1784" w14:textId="77777777" w:rsidTr="00282DE1">
        <w:trPr>
          <w:trHeight w:val="651"/>
          <w:tblHeader/>
          <w:jc w:val="center"/>
        </w:trPr>
        <w:tc>
          <w:tcPr>
            <w:tcW w:w="906" w:type="dxa"/>
            <w:vMerge/>
            <w:tcBorders>
              <w:top w:val="single" w:sz="4" w:space="0" w:color="auto"/>
              <w:left w:val="single" w:sz="4" w:space="0" w:color="auto"/>
              <w:bottom w:val="single" w:sz="4" w:space="0" w:color="auto"/>
              <w:right w:val="single" w:sz="4" w:space="0" w:color="auto"/>
            </w:tcBorders>
            <w:vAlign w:val="center"/>
            <w:hideMark/>
          </w:tcPr>
          <w:p w14:paraId="359A570B" w14:textId="77777777" w:rsidR="003D7F65" w:rsidRDefault="003D7F65">
            <w:pPr>
              <w:spacing w:after="0" w:line="240" w:lineRule="auto"/>
              <w:rPr>
                <w:rFonts w:ascii="Times New Roman" w:eastAsia="Times New Roman" w:hAnsi="Times New Roman"/>
                <w:b/>
                <w:bCs/>
                <w:noProof/>
                <w:sz w:val="20"/>
                <w:szCs w:val="20"/>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D0A075A" w14:textId="77777777" w:rsidR="003D7F65" w:rsidRDefault="003D7F65">
            <w:pPr>
              <w:spacing w:after="0" w:line="240" w:lineRule="auto"/>
              <w:rPr>
                <w:rFonts w:ascii="Times New Roman" w:eastAsia="Times New Roman" w:hAnsi="Times New Roman"/>
                <w:b/>
                <w:bCs/>
                <w:noProof/>
                <w:sz w:val="20"/>
                <w:szCs w:val="20"/>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04C8F70B" w14:textId="77777777" w:rsidR="003D7F65" w:rsidRDefault="003D7F65">
            <w:pPr>
              <w:spacing w:after="0" w:line="240" w:lineRule="auto"/>
              <w:rPr>
                <w:rFonts w:ascii="Times New Roman" w:eastAsia="Times New Roman" w:hAnsi="Times New Roman"/>
                <w:b/>
                <w:bCs/>
                <w:noProof/>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2CBA117A" w14:textId="77777777" w:rsidR="003D7F65" w:rsidRDefault="003D7F65">
            <w:pPr>
              <w:spacing w:after="0" w:line="240" w:lineRule="auto"/>
              <w:rPr>
                <w:rFonts w:ascii="Times New Roman" w:eastAsia="Times New Roman" w:hAnsi="Times New Roman"/>
                <w:b/>
                <w:bCs/>
                <w:noProof/>
                <w:sz w:val="20"/>
                <w:szCs w:val="20"/>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793D3CCC" w14:textId="77777777" w:rsidR="003D7F65" w:rsidRDefault="003D7F65">
            <w:pPr>
              <w:spacing w:after="0" w:line="240" w:lineRule="auto"/>
              <w:rPr>
                <w:rFonts w:ascii="Times New Roman" w:eastAsia="Times New Roman" w:hAnsi="Times New Roman"/>
                <w:b/>
                <w:bCs/>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26940" w14:textId="77777777" w:rsidR="003D7F65" w:rsidRDefault="0082041E">
            <w:pPr>
              <w:pStyle w:val="P68B1DB1-Normal7"/>
              <w:spacing w:after="0" w:line="240" w:lineRule="auto"/>
              <w:jc w:val="center"/>
              <w:rPr>
                <w:bCs/>
                <w:noProof/>
              </w:rPr>
            </w:pPr>
            <w:r>
              <w:rPr>
                <w:noProof/>
              </w:rPr>
              <w:t xml:space="preserve">Unité </w:t>
            </w:r>
          </w:p>
        </w:tc>
        <w:tc>
          <w:tcPr>
            <w:tcW w:w="8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9CA1EE" w14:textId="77777777" w:rsidR="003D7F65" w:rsidRDefault="0082041E">
            <w:pPr>
              <w:pStyle w:val="P68B1DB1-Normal7"/>
              <w:spacing w:after="0" w:line="240" w:lineRule="auto"/>
              <w:jc w:val="center"/>
              <w:rPr>
                <w:bCs/>
                <w:noProof/>
              </w:rPr>
            </w:pPr>
            <w:r>
              <w:rPr>
                <w:noProof/>
              </w:rPr>
              <w:t xml:space="preserve">Données de référence </w:t>
            </w:r>
          </w:p>
        </w:tc>
        <w:tc>
          <w:tcPr>
            <w:tcW w:w="8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FCED99" w14:textId="77777777" w:rsidR="003D7F65" w:rsidRDefault="0082041E">
            <w:pPr>
              <w:pStyle w:val="P68B1DB1-Normal7"/>
              <w:spacing w:after="0" w:line="240" w:lineRule="auto"/>
              <w:jc w:val="center"/>
              <w:rPr>
                <w:bCs/>
                <w:noProof/>
              </w:rPr>
            </w:pPr>
            <w:r>
              <w:rPr>
                <w:noProof/>
              </w:rPr>
              <w:t xml:space="preserve">Objectif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33BAA9" w14:textId="77777777" w:rsidR="003D7F65" w:rsidRDefault="0082041E">
            <w:pPr>
              <w:pStyle w:val="P68B1DB1-Normal7"/>
              <w:spacing w:after="0" w:line="240" w:lineRule="auto"/>
              <w:jc w:val="center"/>
              <w:rPr>
                <w:bCs/>
                <w:noProof/>
              </w:rPr>
            </w:pPr>
            <w:r>
              <w:rPr>
                <w:noProof/>
              </w:rPr>
              <w:t>Trimestre</w:t>
            </w:r>
          </w:p>
        </w:tc>
        <w:tc>
          <w:tcPr>
            <w:tcW w:w="14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8CA217" w14:textId="77777777" w:rsidR="003D7F65" w:rsidRDefault="0082041E">
            <w:pPr>
              <w:pStyle w:val="P68B1DB1-Normal7"/>
              <w:spacing w:after="0" w:line="240" w:lineRule="auto"/>
              <w:jc w:val="center"/>
              <w:rPr>
                <w:bCs/>
                <w:noProof/>
              </w:rPr>
            </w:pPr>
            <w:r>
              <w:rPr>
                <w:noProof/>
              </w:rPr>
              <w:t>Année</w:t>
            </w:r>
          </w:p>
        </w:tc>
        <w:tc>
          <w:tcPr>
            <w:tcW w:w="3832" w:type="dxa"/>
            <w:vMerge/>
            <w:tcBorders>
              <w:top w:val="single" w:sz="4" w:space="0" w:color="auto"/>
              <w:bottom w:val="single" w:sz="4" w:space="0" w:color="auto"/>
              <w:right w:val="single" w:sz="4" w:space="0" w:color="auto"/>
            </w:tcBorders>
            <w:vAlign w:val="center"/>
            <w:hideMark/>
          </w:tcPr>
          <w:p w14:paraId="5B3304C6" w14:textId="77777777" w:rsidR="003D7F65" w:rsidRDefault="003D7F65">
            <w:pPr>
              <w:spacing w:after="0" w:line="240" w:lineRule="auto"/>
              <w:rPr>
                <w:rFonts w:ascii="Times New Roman" w:eastAsia="Times New Roman" w:hAnsi="Times New Roman"/>
                <w:b/>
                <w:bCs/>
                <w:noProof/>
                <w:sz w:val="20"/>
                <w:szCs w:val="20"/>
              </w:rPr>
            </w:pPr>
          </w:p>
        </w:tc>
      </w:tr>
      <w:tr w:rsidR="003D7F65" w14:paraId="5D651B50" w14:textId="77777777" w:rsidTr="00282DE1">
        <w:trPr>
          <w:trHeight w:val="1929"/>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ED1F8E6" w14:textId="77777777" w:rsidR="003D7F65" w:rsidRDefault="0082041E">
            <w:pPr>
              <w:pStyle w:val="P68B1DB1-Normal8"/>
              <w:spacing w:after="0" w:line="240" w:lineRule="auto"/>
              <w:jc w:val="center"/>
              <w:rPr>
                <w:noProof/>
              </w:rPr>
            </w:pPr>
            <w:r>
              <w:rPr>
                <w:noProof/>
              </w:rPr>
              <w:t>121</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28465025" w14:textId="77777777" w:rsidR="003D7F65" w:rsidRDefault="0082041E">
            <w:pPr>
              <w:pStyle w:val="P68B1DB1-Normal8"/>
              <w:spacing w:after="0" w:line="240" w:lineRule="auto"/>
              <w:rPr>
                <w:rFonts w:eastAsia="Times New Roman"/>
                <w:noProof/>
              </w:rPr>
            </w:pPr>
            <w:r>
              <w:rPr>
                <w:noProof/>
              </w:rPr>
              <w:t>P3C4I1 – Renforcer la compétitivité et stimuler la croissance dans les secteurs touchés par la crise – Programme d’accélération de la croissance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2C7D64F3" w14:textId="77777777" w:rsidR="003D7F65" w:rsidRDefault="0082041E">
            <w:pPr>
              <w:pStyle w:val="P68B1DB1-Normal8"/>
              <w:spacing w:after="0" w:line="240" w:lineRule="auto"/>
              <w:rPr>
                <w:rFonts w:eastAsia="Times New Roman"/>
                <w:noProof/>
              </w:rPr>
            </w:pPr>
            <w:r>
              <w:rPr>
                <w:noProof/>
              </w:rPr>
              <w:t>Étape</w:t>
            </w:r>
          </w:p>
          <w:p w14:paraId="61967905" w14:textId="77777777" w:rsidR="003D7F65" w:rsidRDefault="003D7F65">
            <w:pPr>
              <w:spacing w:after="0" w:line="240" w:lineRule="auto"/>
              <w:rPr>
                <w:rFonts w:ascii="Times New Roman" w:eastAsia="Times New Roman" w:hAnsi="Times New Roman"/>
                <w:noProof/>
                <w:sz w:val="20"/>
                <w:szCs w:val="20"/>
              </w:rPr>
            </w:pP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64AD9E3D" w14:textId="77777777" w:rsidR="003D7F65" w:rsidRDefault="0082041E">
            <w:pPr>
              <w:pStyle w:val="P68B1DB1-Normal8"/>
              <w:spacing w:after="0" w:line="240" w:lineRule="auto"/>
              <w:rPr>
                <w:rFonts w:eastAsia="Times New Roman"/>
                <w:noProof/>
              </w:rPr>
            </w:pPr>
            <w:r>
              <w:rPr>
                <w:noProof/>
              </w:rPr>
              <w:t>Publication de l’appel à candidatures pour le soutien aux capacités d’internationalisation des entreprises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739C79CD" w14:textId="77777777" w:rsidR="003D7F65" w:rsidRDefault="0082041E">
            <w:pPr>
              <w:pStyle w:val="P68B1DB1-Normal8"/>
              <w:spacing w:after="0" w:line="240" w:lineRule="auto"/>
              <w:rPr>
                <w:rFonts w:eastAsia="Times New Roman"/>
                <w:noProof/>
              </w:rPr>
            </w:pPr>
            <w:r>
              <w:rPr>
                <w:noProof/>
              </w:rPr>
              <w:t xml:space="preserve">Publication du premier appel à candidatures </w:t>
            </w:r>
          </w:p>
          <w:p w14:paraId="54F9A009" w14:textId="77777777" w:rsidR="003D7F65" w:rsidRDefault="003D7F65">
            <w:pPr>
              <w:spacing w:after="0" w:line="240" w:lineRule="auto"/>
              <w:rPr>
                <w:rFonts w:ascii="Times New Roman" w:eastAsia="Times New Roman" w:hAnsi="Times New Roman"/>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077D6F23" w14:textId="77777777" w:rsidR="003D7F65" w:rsidRDefault="0082041E">
            <w:pPr>
              <w:pStyle w:val="P68B1DB1-Normal8"/>
              <w:spacing w:after="0" w:line="240" w:lineRule="auto"/>
              <w:rPr>
                <w:rFonts w:eastAsia="Times New Roman"/>
                <w:noProof/>
              </w:rPr>
            </w:pPr>
            <w:r>
              <w:rPr>
                <w:noProof/>
              </w:rPr>
              <w:t> </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721D3A79" w14:textId="77777777" w:rsidR="003D7F65" w:rsidRDefault="0082041E">
            <w:pPr>
              <w:pStyle w:val="P68B1DB1-Normal8"/>
              <w:spacing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66592CF7" w14:textId="77777777" w:rsidR="003D7F65" w:rsidRDefault="0082041E">
            <w:pPr>
              <w:pStyle w:val="P68B1DB1-Normal8"/>
              <w:spacing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6A92F06E" w14:textId="460BB524" w:rsidR="003D7F65" w:rsidRDefault="0082041E">
            <w:pPr>
              <w:pStyle w:val="P68B1DB1-Normal8"/>
              <w:spacing w:after="0" w:line="240" w:lineRule="auto"/>
              <w:rPr>
                <w:noProof/>
              </w:rPr>
            </w:pPr>
            <w:r>
              <w:rPr>
                <w:noProof/>
              </w:rPr>
              <w:t>T2</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221E9ED4" w14:textId="77777777" w:rsidR="003D7F65" w:rsidRDefault="0082041E">
            <w:pPr>
              <w:pStyle w:val="P68B1DB1-Normal8"/>
              <w:spacing w:after="0" w:line="240" w:lineRule="auto"/>
              <w:rPr>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0BBFEFF4" w14:textId="77777777" w:rsidR="003D7F65" w:rsidRDefault="0082041E">
            <w:pPr>
              <w:pStyle w:val="P68B1DB1-Normal8"/>
              <w:spacing w:after="0" w:line="240" w:lineRule="auto"/>
              <w:rPr>
                <w:noProof/>
              </w:rPr>
            </w:pPr>
            <w:r>
              <w:rPr>
                <w:noProof/>
              </w:rPr>
              <w:t xml:space="preserve">Lancement du premier appel à candidatures pour le soutien aux capacités d’internationalisation des entreprises. Les critères d’éligibilité/de sélection garantissent que les projets sélectionnés ont un effet significatif sur la numérisation, y compris en particulier l’utilisation de la technologie numérique et des méthodes d’exploitation dans les opérations commerciales et les activités d’internationalisation des petites entreprises. </w:t>
            </w:r>
          </w:p>
        </w:tc>
      </w:tr>
      <w:tr w:rsidR="003D7F65" w14:paraId="4951512B" w14:textId="77777777" w:rsidTr="00282DE1">
        <w:trPr>
          <w:trHeight w:val="1632"/>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AD5A455" w14:textId="77777777" w:rsidR="003D7F65" w:rsidRDefault="0082041E">
            <w:pPr>
              <w:pStyle w:val="P68B1DB1-Normal8"/>
              <w:spacing w:after="0" w:line="240" w:lineRule="auto"/>
              <w:jc w:val="center"/>
              <w:rPr>
                <w:rFonts w:eastAsia="Times New Roman"/>
                <w:noProof/>
              </w:rPr>
            </w:pPr>
            <w:r>
              <w:rPr>
                <w:noProof/>
              </w:rPr>
              <w:t>123</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10E034E" w14:textId="77777777" w:rsidR="003D7F65" w:rsidRDefault="0082041E">
            <w:pPr>
              <w:pStyle w:val="P68B1DB1-Normal8"/>
              <w:spacing w:after="0" w:line="240" w:lineRule="auto"/>
              <w:rPr>
                <w:rFonts w:eastAsia="Times New Roman"/>
                <w:noProof/>
              </w:rPr>
            </w:pPr>
            <w:r>
              <w:rPr>
                <w:noProof/>
              </w:rPr>
              <w:t>P3C4I1 – Renforcer la compétitivité et stimuler la croissance dans les secteurs touchés par la crise – Programme d’accélération de la croissance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51A1AA8A" w14:textId="77777777" w:rsidR="003D7F65" w:rsidRDefault="0082041E">
            <w:pPr>
              <w:pStyle w:val="P68B1DB1-Normal8"/>
              <w:spacing w:after="0" w:line="240" w:lineRule="auto"/>
              <w:rPr>
                <w:rFonts w:eastAsia="Times New Roman"/>
                <w:noProof/>
              </w:rPr>
            </w:pPr>
            <w:r>
              <w:rPr>
                <w:noProof/>
              </w:rPr>
              <w:t>Objectif</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42185CDB" w14:textId="77777777" w:rsidR="003D7F65" w:rsidRDefault="0082041E">
            <w:pPr>
              <w:pStyle w:val="P68B1DB1-Normal8"/>
              <w:spacing w:after="0" w:line="240" w:lineRule="auto"/>
              <w:rPr>
                <w:noProof/>
              </w:rPr>
            </w:pPr>
            <w:r>
              <w:rPr>
                <w:noProof/>
              </w:rPr>
              <w:t>Rapports de projet présentés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3BAF068A" w14:textId="77777777" w:rsidR="003D7F65" w:rsidRDefault="0082041E">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49AB2D3" w14:textId="77777777" w:rsidR="003D7F65" w:rsidRDefault="0082041E">
            <w:pPr>
              <w:pStyle w:val="P68B1DB1-Normal8"/>
              <w:spacing w:after="0" w:line="240" w:lineRule="auto"/>
              <w:rPr>
                <w:rFonts w:eastAsia="Times New Roman"/>
                <w:noProof/>
              </w:rPr>
            </w:pPr>
            <w:r>
              <w:rPr>
                <w:noProof/>
              </w:rPr>
              <w:t>Numéro</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7DCB288F" w14:textId="77777777" w:rsidR="003D7F65" w:rsidRDefault="0082041E">
            <w:pPr>
              <w:pStyle w:val="P68B1DB1-Normal8"/>
              <w:spacing w:after="0" w:line="240" w:lineRule="auto"/>
              <w:rPr>
                <w:rFonts w:eastAsia="Times New Roman"/>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75DFE2F8" w14:textId="77777777" w:rsidR="003D7F65" w:rsidRDefault="0082041E">
            <w:pPr>
              <w:pStyle w:val="P68B1DB1-Normal8"/>
              <w:spacing w:after="0" w:line="240" w:lineRule="auto"/>
              <w:rPr>
                <w:rFonts w:eastAsia="Times New Roman"/>
                <w:noProof/>
              </w:rPr>
            </w:pPr>
            <w:r>
              <w:rPr>
                <w:noProof/>
              </w:rPr>
              <w:t>110</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29132906" w14:textId="77777777" w:rsidR="003D7F65" w:rsidRDefault="0082041E">
            <w:pPr>
              <w:pStyle w:val="P68B1DB1-Normal8"/>
              <w:spacing w:after="0" w:line="240" w:lineRule="auto"/>
              <w:rPr>
                <w:rFonts w:eastAsia="Times New Roman"/>
                <w:noProof/>
              </w:rPr>
            </w:pPr>
            <w:r>
              <w:rPr>
                <w:noProof/>
              </w:rPr>
              <w:t>T2</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5F19986E" w14:textId="77777777" w:rsidR="003D7F65" w:rsidRDefault="0082041E">
            <w:pPr>
              <w:pStyle w:val="P68B1DB1-Normal8"/>
              <w:spacing w:after="0" w:line="240" w:lineRule="auto"/>
              <w:rPr>
                <w:rFonts w:eastAsia="Times New Roman"/>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73F99836" w14:textId="77777777" w:rsidR="003D7F65" w:rsidRDefault="0082041E">
            <w:pPr>
              <w:pStyle w:val="P68B1DB1-Normal8"/>
              <w:spacing w:after="0" w:line="240" w:lineRule="auto"/>
              <w:rPr>
                <w:noProof/>
              </w:rPr>
            </w:pPr>
            <w:r>
              <w:rPr>
                <w:noProof/>
              </w:rPr>
              <w:t>Au moins 110 rapports de projet sont soumis par les entités bénéficiaires pour les projets soutenus dans le cadre de l’appel à candidatures visé dans la présente mesure.</w:t>
            </w:r>
          </w:p>
        </w:tc>
      </w:tr>
      <w:tr w:rsidR="003D7F65" w14:paraId="4A4F07E5" w14:textId="77777777" w:rsidTr="00282DE1">
        <w:trPr>
          <w:trHeight w:val="704"/>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4FA3BAB5" w14:textId="77777777" w:rsidR="003D7F65" w:rsidRDefault="0082041E">
            <w:pPr>
              <w:pStyle w:val="P68B1DB1-Normal8"/>
              <w:spacing w:after="0" w:line="240" w:lineRule="auto"/>
              <w:jc w:val="center"/>
              <w:rPr>
                <w:rFonts w:eastAsia="Times New Roman"/>
                <w:noProof/>
              </w:rPr>
            </w:pPr>
            <w:r>
              <w:rPr>
                <w:noProof/>
              </w:rPr>
              <w:t>124</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573E94A8" w14:textId="77777777" w:rsidR="003D7F65" w:rsidRDefault="0082041E">
            <w:pPr>
              <w:pStyle w:val="P68B1DB1-Normal8"/>
              <w:spacing w:after="0" w:line="240" w:lineRule="auto"/>
              <w:rPr>
                <w:rFonts w:eastAsia="Times New Roman"/>
                <w:noProof/>
              </w:rPr>
            </w:pPr>
            <w:r>
              <w:rPr>
                <w:noProof/>
              </w:rPr>
              <w:t>P3C4I2 – Renforcer la compétitivité et stimuler la croissance dans les secteurs touchés par la crise – Programmes clés pour la croissance internationale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16D9E83F" w14:textId="77777777" w:rsidR="003D7F65" w:rsidRDefault="0082041E">
            <w:pPr>
              <w:pStyle w:val="P68B1DB1-Normal8"/>
              <w:spacing w:after="0" w:line="240" w:lineRule="auto"/>
              <w:rPr>
                <w:rFonts w:eastAsia="Times New Roman"/>
                <w:noProof/>
              </w:rPr>
            </w:pPr>
            <w:r>
              <w:rPr>
                <w:noProof/>
              </w:rPr>
              <w:t>Étape</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24CE9E1B" w14:textId="4A3109BC" w:rsidR="003D7F65" w:rsidRDefault="0082041E">
            <w:pPr>
              <w:pStyle w:val="P68B1DB1-Normal8"/>
              <w:spacing w:after="0" w:line="240" w:lineRule="auto"/>
              <w:rPr>
                <w:noProof/>
              </w:rPr>
            </w:pPr>
            <w:r>
              <w:rPr>
                <w:noProof/>
              </w:rPr>
              <w:t>Publication des trois premiers appels à candidatures dans le cadre de programmes clés pour la croissance internationale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25943971" w14:textId="77777777" w:rsidR="003D7F65" w:rsidRDefault="0082041E">
            <w:pPr>
              <w:pStyle w:val="P68B1DB1-Normal8"/>
              <w:spacing w:after="0" w:line="240" w:lineRule="auto"/>
              <w:rPr>
                <w:rFonts w:eastAsia="Times New Roman"/>
                <w:noProof/>
              </w:rPr>
            </w:pPr>
            <w:r>
              <w:rPr>
                <w:noProof/>
              </w:rPr>
              <w:t xml:space="preserve">Publication des trois premiers appels à candidatures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26C7067" w14:textId="77777777" w:rsidR="003D7F65" w:rsidRDefault="0082041E">
            <w:pPr>
              <w:pStyle w:val="P68B1DB1-Normal8"/>
              <w:spacing w:after="0" w:line="240" w:lineRule="auto"/>
              <w:rPr>
                <w:rFonts w:eastAsia="Times New Roman"/>
                <w:noProof/>
              </w:rPr>
            </w:pPr>
            <w:r>
              <w:rPr>
                <w:noProof/>
              </w:rPr>
              <w:t> </w:t>
            </w: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5520FCC7" w14:textId="77777777" w:rsidR="003D7F65" w:rsidRDefault="003D7F65">
            <w:pPr>
              <w:spacing w:after="0" w:line="240" w:lineRule="auto"/>
              <w:rPr>
                <w:rFonts w:ascii="Times New Roman" w:eastAsia="Times New Roman" w:hAnsi="Times New Roman"/>
                <w:noProof/>
                <w:sz w:val="20"/>
                <w:szCs w:val="20"/>
              </w:rPr>
            </w:pPr>
          </w:p>
        </w:tc>
        <w:tc>
          <w:tcPr>
            <w:tcW w:w="873" w:type="dxa"/>
            <w:tcBorders>
              <w:top w:val="single" w:sz="4" w:space="0" w:color="auto"/>
              <w:left w:val="single" w:sz="4" w:space="0" w:color="auto"/>
              <w:bottom w:val="single" w:sz="4" w:space="0" w:color="auto"/>
              <w:right w:val="single" w:sz="4" w:space="0" w:color="auto"/>
            </w:tcBorders>
            <w:shd w:val="clear" w:color="auto" w:fill="C6EFCE"/>
          </w:tcPr>
          <w:p w14:paraId="6D8E4491" w14:textId="77777777" w:rsidR="003D7F65" w:rsidRDefault="003D7F65">
            <w:pPr>
              <w:spacing w:after="0" w:line="240" w:lineRule="auto"/>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05E96C8F" w14:textId="77777777" w:rsidR="003D7F65" w:rsidRDefault="0082041E">
            <w:pPr>
              <w:pStyle w:val="P68B1DB1-Normal8"/>
              <w:spacing w:after="0" w:line="240" w:lineRule="auto"/>
              <w:rPr>
                <w:rFonts w:eastAsia="Times New Roman"/>
                <w:noProof/>
              </w:rPr>
            </w:pPr>
            <w:r>
              <w:rPr>
                <w:noProof/>
              </w:rPr>
              <w:t>T2</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66F6636B" w14:textId="77777777" w:rsidR="003D7F65" w:rsidRDefault="0082041E">
            <w:pPr>
              <w:pStyle w:val="P68B1DB1-Normal8"/>
              <w:spacing w:after="0" w:line="240" w:lineRule="auto"/>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1550E5ED" w14:textId="77777777" w:rsidR="003D7F65" w:rsidRDefault="0082041E">
            <w:pPr>
              <w:pStyle w:val="P68B1DB1-Normal8"/>
              <w:spacing w:after="0" w:line="240" w:lineRule="auto"/>
              <w:rPr>
                <w:noProof/>
              </w:rPr>
            </w:pPr>
            <w:r>
              <w:rPr>
                <w:noProof/>
              </w:rPr>
              <w:t>Au moins trois appels à candidatures sont lancés pour des programmes clés pour la croissance internationale, notamment:</w:t>
            </w:r>
          </w:p>
          <w:p w14:paraId="5B9177B5" w14:textId="77777777" w:rsidR="003D7F65" w:rsidRDefault="0082041E">
            <w:pPr>
              <w:pStyle w:val="P68B1DB1-Normal8"/>
              <w:numPr>
                <w:ilvl w:val="0"/>
                <w:numId w:val="27"/>
              </w:numPr>
              <w:spacing w:after="0" w:line="240" w:lineRule="auto"/>
              <w:rPr>
                <w:noProof/>
              </w:rPr>
            </w:pPr>
            <w:r>
              <w:rPr>
                <w:noProof/>
              </w:rPr>
              <w:t xml:space="preserve">la promotion d’une économie circulaire à faible intensité de carbone et du renouvellement numérique dans l’industrie et l’augmentation des exportations de services industriels; </w:t>
            </w:r>
          </w:p>
          <w:p w14:paraId="76AA46F3" w14:textId="77777777" w:rsidR="003D7F65" w:rsidRDefault="0082041E">
            <w:pPr>
              <w:pStyle w:val="P68B1DB1-Normal8"/>
              <w:numPr>
                <w:ilvl w:val="0"/>
                <w:numId w:val="27"/>
              </w:numPr>
              <w:spacing w:after="0" w:line="240" w:lineRule="auto"/>
              <w:rPr>
                <w:noProof/>
              </w:rPr>
            </w:pPr>
            <w:r>
              <w:rPr>
                <w:noProof/>
              </w:rPr>
              <w:t xml:space="preserve">Écosystème de transport de véhicules utilitaires lourds électriques; </w:t>
            </w:r>
          </w:p>
          <w:p w14:paraId="7D70BD34" w14:textId="77777777" w:rsidR="003D7F65" w:rsidRDefault="0082041E">
            <w:pPr>
              <w:pStyle w:val="P68B1DB1-Normal8"/>
              <w:numPr>
                <w:ilvl w:val="0"/>
                <w:numId w:val="27"/>
              </w:numPr>
              <w:spacing w:after="0" w:line="240" w:lineRule="auto"/>
              <w:rPr>
                <w:noProof/>
              </w:rPr>
            </w:pPr>
            <w:r>
              <w:rPr>
                <w:noProof/>
              </w:rPr>
              <w:t>expertise et technologie en matière de santé et de bien-être, à l’appui de la feuille de route de la stratégie de croissance du secteur de la santé;</w:t>
            </w:r>
          </w:p>
          <w:p w14:paraId="69176781" w14:textId="77777777" w:rsidR="003D7F65" w:rsidRDefault="0082041E">
            <w:pPr>
              <w:pStyle w:val="P68B1DB1-Normal8"/>
              <w:numPr>
                <w:ilvl w:val="0"/>
                <w:numId w:val="27"/>
              </w:numPr>
              <w:spacing w:after="0" w:line="240" w:lineRule="auto"/>
              <w:rPr>
                <w:noProof/>
              </w:rPr>
            </w:pPr>
            <w:r>
              <w:rPr>
                <w:noProof/>
              </w:rPr>
              <w:t>Programme pour la croissance et les exportations d'expertise en gestion de l'eau.</w:t>
            </w:r>
          </w:p>
          <w:p w14:paraId="41EAA431" w14:textId="77777777" w:rsidR="003D7F65" w:rsidRDefault="003D7F65">
            <w:pPr>
              <w:spacing w:after="0" w:line="240" w:lineRule="auto"/>
              <w:rPr>
                <w:rFonts w:ascii="Times New Roman" w:hAnsi="Times New Roman"/>
                <w:noProof/>
                <w:sz w:val="20"/>
                <w:szCs w:val="20"/>
              </w:rPr>
            </w:pPr>
          </w:p>
          <w:p w14:paraId="61A9CDF5" w14:textId="77777777" w:rsidR="003D7F65" w:rsidRDefault="0082041E">
            <w:pPr>
              <w:pStyle w:val="P68B1DB1-Normal8"/>
              <w:spacing w:after="0" w:line="240" w:lineRule="auto"/>
              <w:rPr>
                <w:noProof/>
              </w:rPr>
            </w:pPr>
            <w:r>
              <w:rPr>
                <w:noProof/>
              </w:rPr>
              <w:t>Les critères d’éligibilité garantissent que les projets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05930CCB" w14:textId="77777777" w:rsidTr="00282DE1">
        <w:trPr>
          <w:trHeight w:val="835"/>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54EEB881" w14:textId="77777777" w:rsidR="003D7F65" w:rsidRDefault="0082041E">
            <w:pPr>
              <w:pStyle w:val="P68B1DB1-Normal8"/>
              <w:spacing w:after="0" w:line="240" w:lineRule="auto"/>
              <w:jc w:val="center"/>
              <w:rPr>
                <w:rFonts w:eastAsia="Times New Roman"/>
                <w:noProof/>
              </w:rPr>
            </w:pPr>
            <w:r>
              <w:rPr>
                <w:noProof/>
              </w:rPr>
              <w:t>125</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6528FE4F" w14:textId="77777777" w:rsidR="003D7F65" w:rsidRDefault="0082041E">
            <w:pPr>
              <w:pStyle w:val="P68B1DB1-Normal8"/>
              <w:spacing w:after="0" w:line="240" w:lineRule="auto"/>
              <w:rPr>
                <w:rFonts w:eastAsia="Times New Roman"/>
                <w:noProof/>
              </w:rPr>
            </w:pPr>
            <w:r>
              <w:rPr>
                <w:noProof/>
              </w:rPr>
              <w:t>P3C4I2 – Renforcer la compétitivité et stimuler la croissance dans les secteurs touchés par la crise – Programmes clés pour la croissance internationale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70B1078B" w14:textId="77777777" w:rsidR="003D7F65" w:rsidRDefault="0082041E">
            <w:pPr>
              <w:pStyle w:val="P68B1DB1-Normal8"/>
              <w:spacing w:after="0" w:line="240" w:lineRule="auto"/>
              <w:rPr>
                <w:rFonts w:eastAsia="Times New Roman"/>
                <w:noProof/>
              </w:rPr>
            </w:pPr>
            <w:r>
              <w:rPr>
                <w:noProof/>
              </w:rPr>
              <w:t>Étape</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527B6072" w14:textId="77777777" w:rsidR="003D7F65" w:rsidRDefault="0082041E">
            <w:pPr>
              <w:pStyle w:val="P68B1DB1-Normal8"/>
              <w:spacing w:after="0" w:line="240" w:lineRule="auto"/>
              <w:rPr>
                <w:rFonts w:eastAsia="Times New Roman"/>
                <w:noProof/>
              </w:rPr>
            </w:pPr>
            <w:r>
              <w:rPr>
                <w:noProof/>
              </w:rPr>
              <w:t>Octroi de subventions pour tous les projets relevant de programmes clés pour la croissance internationale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622FE67B" w14:textId="1A92F73E" w:rsidR="003D7F65" w:rsidRDefault="0082041E">
            <w:pPr>
              <w:pStyle w:val="P68B1DB1-Normal8"/>
              <w:spacing w:after="0" w:line="240" w:lineRule="auto"/>
              <w:rPr>
                <w:rFonts w:eastAsia="Times New Roman"/>
                <w:noProof/>
              </w:rPr>
            </w:pPr>
            <w:r>
              <w:rPr>
                <w:noProof/>
              </w:rPr>
              <w:t xml:space="preserve">Notification de l'octroi de toutes les subventions </w:t>
            </w:r>
          </w:p>
        </w:tc>
        <w:tc>
          <w:tcPr>
            <w:tcW w:w="917" w:type="dxa"/>
            <w:tcBorders>
              <w:top w:val="single" w:sz="4" w:space="0" w:color="auto"/>
              <w:left w:val="single" w:sz="4" w:space="0" w:color="auto"/>
              <w:bottom w:val="single" w:sz="4" w:space="0" w:color="auto"/>
              <w:right w:val="single" w:sz="4" w:space="0" w:color="auto"/>
            </w:tcBorders>
            <w:shd w:val="clear" w:color="auto" w:fill="C6EFCE"/>
          </w:tcPr>
          <w:p w14:paraId="62A9DA31" w14:textId="77777777" w:rsidR="003D7F65" w:rsidRDefault="003D7F65">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29247E04" w14:textId="77777777" w:rsidR="003D7F65" w:rsidRDefault="003D7F65">
            <w:pPr>
              <w:spacing w:after="0" w:line="240" w:lineRule="auto"/>
              <w:rPr>
                <w:rFonts w:ascii="Times New Roman" w:eastAsia="Times New Roman" w:hAnsi="Times New Roman"/>
                <w:noProof/>
                <w:sz w:val="20"/>
                <w:szCs w:val="20"/>
              </w:rPr>
            </w:pPr>
          </w:p>
        </w:tc>
        <w:tc>
          <w:tcPr>
            <w:tcW w:w="873" w:type="dxa"/>
            <w:tcBorders>
              <w:top w:val="single" w:sz="4" w:space="0" w:color="auto"/>
              <w:left w:val="single" w:sz="4" w:space="0" w:color="auto"/>
              <w:bottom w:val="single" w:sz="4" w:space="0" w:color="auto"/>
              <w:right w:val="single" w:sz="4" w:space="0" w:color="auto"/>
            </w:tcBorders>
            <w:shd w:val="clear" w:color="auto" w:fill="C6EFCE"/>
          </w:tcPr>
          <w:p w14:paraId="78032EB9" w14:textId="77777777" w:rsidR="003D7F65" w:rsidRDefault="003D7F65">
            <w:pPr>
              <w:spacing w:after="0" w:line="240" w:lineRule="auto"/>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2D247628" w14:textId="77777777" w:rsidR="003D7F65" w:rsidRDefault="0082041E">
            <w:pPr>
              <w:pStyle w:val="P68B1DB1-Normal8"/>
              <w:spacing w:after="0" w:line="240" w:lineRule="auto"/>
              <w:rPr>
                <w:rFonts w:eastAsia="Times New Roman"/>
                <w:noProof/>
              </w:rPr>
            </w:pPr>
            <w:r>
              <w:rPr>
                <w:noProof/>
              </w:rPr>
              <w:t>T4</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6AD59540" w14:textId="77777777" w:rsidR="003D7F65" w:rsidRDefault="0082041E">
            <w:pPr>
              <w:pStyle w:val="P68B1DB1-Normal8"/>
              <w:spacing w:after="0" w:line="240" w:lineRule="auto"/>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1ECBA559" w14:textId="77777777" w:rsidR="003D7F65" w:rsidRDefault="0082041E">
            <w:pPr>
              <w:pStyle w:val="P68B1DB1-Normal8"/>
              <w:spacing w:after="0" w:line="240" w:lineRule="auto"/>
              <w:rPr>
                <w:rFonts w:eastAsia="Times New Roman"/>
                <w:noProof/>
              </w:rPr>
            </w:pPr>
            <w:r>
              <w:rPr>
                <w:noProof/>
              </w:rPr>
              <w:t>Notification de l’octroi de toutes les subventions pour les projets sélectionnés dans le cadre des appels à candidatures. Tous les appels sont fondés sur les critères d’éligibilité/de sélection indiqués au jalon 124.</w:t>
            </w:r>
          </w:p>
        </w:tc>
      </w:tr>
      <w:tr w:rsidR="003D7F65" w14:paraId="55D7CAEE" w14:textId="77777777" w:rsidTr="00282DE1">
        <w:trPr>
          <w:trHeight w:val="1280"/>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755E89D4" w14:textId="77777777" w:rsidR="003D7F65" w:rsidRDefault="0082041E">
            <w:pPr>
              <w:pStyle w:val="P68B1DB1-Normal8"/>
              <w:spacing w:after="0" w:line="240" w:lineRule="auto"/>
              <w:jc w:val="center"/>
              <w:rPr>
                <w:rFonts w:eastAsia="Times New Roman"/>
                <w:noProof/>
              </w:rPr>
            </w:pPr>
            <w:r>
              <w:rPr>
                <w:noProof/>
              </w:rPr>
              <w:t>126</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6DA9229" w14:textId="77777777" w:rsidR="003D7F65" w:rsidRDefault="0082041E">
            <w:pPr>
              <w:pStyle w:val="P68B1DB1-Normal8"/>
              <w:spacing w:after="0" w:line="240" w:lineRule="auto"/>
              <w:rPr>
                <w:rFonts w:eastAsia="Times New Roman"/>
                <w:noProof/>
              </w:rPr>
            </w:pPr>
            <w:r>
              <w:rPr>
                <w:noProof/>
              </w:rPr>
              <w:t>P3C4I2 – Renforcer la compétitivité et stimuler la croissance dans les secteurs touchés par la crise – Programmes clés pour la croissance internationale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4A260A62" w14:textId="77777777" w:rsidR="003D7F65" w:rsidRDefault="0082041E">
            <w:pPr>
              <w:pStyle w:val="P68B1DB1-Normal8"/>
              <w:spacing w:after="0" w:line="240" w:lineRule="auto"/>
              <w:rPr>
                <w:rFonts w:eastAsia="Times New Roman"/>
                <w:noProof/>
              </w:rPr>
            </w:pPr>
            <w:r>
              <w:rPr>
                <w:noProof/>
              </w:rPr>
              <w:t>Objectif</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30692320" w14:textId="77777777" w:rsidR="003D7F65" w:rsidRDefault="0082041E">
            <w:pPr>
              <w:pStyle w:val="P68B1DB1-Normal8"/>
              <w:spacing w:after="0" w:line="240" w:lineRule="auto"/>
              <w:rPr>
                <w:rFonts w:eastAsia="Times New Roman"/>
                <w:noProof/>
              </w:rPr>
            </w:pPr>
            <w:r>
              <w:rPr>
                <w:noProof/>
              </w:rPr>
              <w:t xml:space="preserve">Rapports de projet présentés </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4C754E14" w14:textId="77777777" w:rsidR="003D7F65" w:rsidRDefault="0082041E">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B412BBC" w14:textId="77777777" w:rsidR="003D7F65" w:rsidRDefault="0082041E">
            <w:pPr>
              <w:pStyle w:val="P68B1DB1-Normal8"/>
              <w:spacing w:after="0" w:line="240" w:lineRule="auto"/>
              <w:rPr>
                <w:rFonts w:eastAsia="Times New Roman"/>
                <w:noProof/>
              </w:rPr>
            </w:pPr>
            <w:r>
              <w:rPr>
                <w:noProof/>
              </w:rPr>
              <w:t>Numéro</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1E37964D" w14:textId="77777777" w:rsidR="003D7F65" w:rsidRDefault="0082041E">
            <w:pPr>
              <w:pStyle w:val="P68B1DB1-Normal8"/>
              <w:spacing w:after="0" w:line="240" w:lineRule="auto"/>
              <w:rPr>
                <w:rFonts w:eastAsia="Times New Roman"/>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558DDAFE" w14:textId="77777777" w:rsidR="003D7F65" w:rsidRDefault="0082041E">
            <w:pPr>
              <w:pStyle w:val="P68B1DB1-Normal8"/>
              <w:spacing w:after="0" w:line="240" w:lineRule="auto"/>
              <w:rPr>
                <w:rFonts w:eastAsia="Times New Roman"/>
                <w:noProof/>
              </w:rPr>
            </w:pPr>
            <w:r>
              <w:rPr>
                <w:noProof/>
              </w:rPr>
              <w:t>40</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3E172601" w14:textId="77777777" w:rsidR="003D7F65" w:rsidRDefault="0082041E">
            <w:pPr>
              <w:pStyle w:val="P68B1DB1-Normal8"/>
              <w:spacing w:after="0" w:line="240" w:lineRule="auto"/>
              <w:rPr>
                <w:rFonts w:eastAsia="Times New Roman"/>
                <w:noProof/>
              </w:rPr>
            </w:pPr>
            <w:r>
              <w:rPr>
                <w:noProof/>
              </w:rPr>
              <w:t>T4</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1919C524" w14:textId="77777777" w:rsidR="003D7F65" w:rsidRDefault="0082041E">
            <w:pPr>
              <w:pStyle w:val="P68B1DB1-Normal8"/>
              <w:spacing w:after="0" w:line="240" w:lineRule="auto"/>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0CACA237" w14:textId="77777777" w:rsidR="003D7F65" w:rsidRDefault="0082041E">
            <w:pPr>
              <w:pStyle w:val="P68B1DB1-Normal8"/>
              <w:spacing w:after="0" w:line="240" w:lineRule="auto"/>
              <w:rPr>
                <w:noProof/>
              </w:rPr>
            </w:pPr>
            <w:r>
              <w:rPr>
                <w:noProof/>
              </w:rPr>
              <w:t>Au moins 40 rapports de projet sont soumis par les entités bénéficiaires pour les projets soutenus dans le cadre des appels à candidatures visés dans la présente mesure.</w:t>
            </w:r>
          </w:p>
        </w:tc>
      </w:tr>
      <w:tr w:rsidR="003D7F65" w14:paraId="3D7D4E22" w14:textId="77777777" w:rsidTr="00282DE1">
        <w:trPr>
          <w:trHeight w:val="551"/>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5290FA15" w14:textId="77777777" w:rsidR="003D7F65" w:rsidRDefault="0082041E">
            <w:pPr>
              <w:pStyle w:val="P68B1DB1-Normal8"/>
              <w:spacing w:after="0" w:line="240" w:lineRule="auto"/>
              <w:jc w:val="center"/>
              <w:rPr>
                <w:rFonts w:eastAsia="Times New Roman"/>
                <w:noProof/>
              </w:rPr>
            </w:pPr>
            <w:r>
              <w:rPr>
                <w:noProof/>
              </w:rPr>
              <w:t>127</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1ED6C781" w14:textId="77777777" w:rsidR="003D7F65" w:rsidRDefault="0082041E">
            <w:pPr>
              <w:pStyle w:val="P68B1DB1-Normal8"/>
              <w:spacing w:after="0" w:line="240" w:lineRule="auto"/>
              <w:rPr>
                <w:rFonts w:eastAsia="Times New Roman"/>
                <w:noProof/>
              </w:rPr>
            </w:pPr>
            <w:r>
              <w:rPr>
                <w:noProof/>
              </w:rPr>
              <w:t>P3C4I3 – Renforcer la compétitivité et stimuler la croissance dans les secteurs touchés par la crise – Soutien au renouvellement des secteurs de la culture et de la création</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30B06B78" w14:textId="77777777" w:rsidR="003D7F65" w:rsidRDefault="0082041E">
            <w:pPr>
              <w:pStyle w:val="P68B1DB1-Normal8"/>
              <w:spacing w:after="0" w:line="240" w:lineRule="auto"/>
              <w:rPr>
                <w:rFonts w:eastAsia="Times New Roman"/>
                <w:noProof/>
              </w:rPr>
            </w:pPr>
            <w:r>
              <w:rPr>
                <w:noProof/>
              </w:rPr>
              <w:t>Étape</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7B1798A2" w14:textId="77777777" w:rsidR="003D7F65" w:rsidRDefault="0082041E">
            <w:pPr>
              <w:pStyle w:val="P68B1DB1-Normal8"/>
              <w:spacing w:after="0" w:line="240" w:lineRule="auto"/>
              <w:rPr>
                <w:noProof/>
              </w:rPr>
            </w:pPr>
            <w:r>
              <w:rPr>
                <w:noProof/>
              </w:rPr>
              <w:t>Publication de deux appels à candidatures pour des projets soutenant le renouvellement des secteurs de la culture et de la création, respectivement pour l'aide au développement et l'aide pilote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534767FA" w14:textId="77777777" w:rsidR="003D7F65" w:rsidRDefault="0082041E">
            <w:pPr>
              <w:pStyle w:val="P68B1DB1-Normal8"/>
              <w:spacing w:after="0" w:line="240" w:lineRule="auto"/>
              <w:rPr>
                <w:rFonts w:eastAsia="Times New Roman"/>
                <w:noProof/>
              </w:rPr>
            </w:pPr>
            <w:r>
              <w:rPr>
                <w:noProof/>
              </w:rPr>
              <w:t>Publication d'un premier appel à candidatures pour l'aide au développement et d'un premier appel à candidatures pour l'aide pilote</w:t>
            </w:r>
          </w:p>
        </w:tc>
        <w:tc>
          <w:tcPr>
            <w:tcW w:w="917" w:type="dxa"/>
            <w:tcBorders>
              <w:top w:val="single" w:sz="4" w:space="0" w:color="auto"/>
              <w:left w:val="single" w:sz="4" w:space="0" w:color="auto"/>
              <w:bottom w:val="single" w:sz="4" w:space="0" w:color="auto"/>
              <w:right w:val="single" w:sz="4" w:space="0" w:color="auto"/>
            </w:tcBorders>
            <w:shd w:val="clear" w:color="auto" w:fill="C6EFCE"/>
          </w:tcPr>
          <w:p w14:paraId="756CB5AA" w14:textId="77777777" w:rsidR="003D7F65" w:rsidRDefault="003D7F65">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66821E69" w14:textId="77777777" w:rsidR="003D7F65" w:rsidRDefault="003D7F65">
            <w:pPr>
              <w:spacing w:after="0" w:line="240" w:lineRule="auto"/>
              <w:rPr>
                <w:rFonts w:ascii="Times New Roman" w:eastAsia="Times New Roman" w:hAnsi="Times New Roman"/>
                <w:noProof/>
                <w:sz w:val="20"/>
                <w:szCs w:val="20"/>
              </w:rPr>
            </w:pPr>
          </w:p>
        </w:tc>
        <w:tc>
          <w:tcPr>
            <w:tcW w:w="873" w:type="dxa"/>
            <w:tcBorders>
              <w:top w:val="single" w:sz="4" w:space="0" w:color="auto"/>
              <w:left w:val="single" w:sz="4" w:space="0" w:color="auto"/>
              <w:bottom w:val="single" w:sz="4" w:space="0" w:color="auto"/>
              <w:right w:val="single" w:sz="4" w:space="0" w:color="auto"/>
            </w:tcBorders>
            <w:shd w:val="clear" w:color="auto" w:fill="C6EFCE"/>
          </w:tcPr>
          <w:p w14:paraId="28D59277" w14:textId="77777777" w:rsidR="003D7F65" w:rsidRDefault="003D7F65">
            <w:pPr>
              <w:spacing w:after="0" w:line="240" w:lineRule="auto"/>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24609D6C" w14:textId="77777777" w:rsidR="003D7F65" w:rsidRDefault="0082041E">
            <w:pPr>
              <w:pStyle w:val="P68B1DB1-Normal8"/>
              <w:spacing w:after="0" w:line="240" w:lineRule="auto"/>
              <w:rPr>
                <w:rFonts w:eastAsia="Times New Roman"/>
                <w:noProof/>
              </w:rPr>
            </w:pPr>
            <w:r>
              <w:rPr>
                <w:noProof/>
              </w:rPr>
              <w:t>T4</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298408EF" w14:textId="77777777" w:rsidR="003D7F65" w:rsidRDefault="0082041E">
            <w:pPr>
              <w:pStyle w:val="P68B1DB1-Normal8"/>
              <w:spacing w:after="0" w:line="240" w:lineRule="auto"/>
              <w:rPr>
                <w:rFonts w:eastAsia="Times New Roman"/>
                <w:noProof/>
              </w:rPr>
            </w:pPr>
            <w:r>
              <w:rPr>
                <w:noProof/>
              </w:rPr>
              <w:t>2021</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4957845A" w14:textId="77777777" w:rsidR="003D7F65" w:rsidRDefault="0082041E">
            <w:pPr>
              <w:pStyle w:val="P68B1DB1-Normal8"/>
              <w:spacing w:after="0" w:line="240" w:lineRule="auto"/>
              <w:rPr>
                <w:noProof/>
              </w:rPr>
            </w:pPr>
            <w:r>
              <w:rPr>
                <w:noProof/>
              </w:rPr>
              <w:t>Les deux premiers appels à candidatures (un par Business Finland et un par le ministère de l’éducation et de la culture) seront lancés dans le but de revitaliser, de développer et d’internationaliser les industries créatives, en mettant l’accent sur la transformation numérique et l’innovation. Les critères d’éligibilité/de sélection garantissent que l’intervention se concentre sur la promotion d’éléments directement liés à la numérisation des entreprises (conformément au domaine d’intervention 015 de l’annexe VII du règlement FRR). Les critères d’éligibilité garantissent également que les projets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0FB1180A" w14:textId="77777777" w:rsidTr="00282DE1">
        <w:trPr>
          <w:trHeight w:val="1733"/>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B2B353D" w14:textId="77777777" w:rsidR="003D7F65" w:rsidRDefault="0082041E">
            <w:pPr>
              <w:pStyle w:val="P68B1DB1-Normal8"/>
              <w:spacing w:after="0" w:line="240" w:lineRule="auto"/>
              <w:jc w:val="center"/>
              <w:rPr>
                <w:rFonts w:eastAsia="Times New Roman"/>
                <w:noProof/>
              </w:rPr>
            </w:pPr>
            <w:r>
              <w:rPr>
                <w:noProof/>
              </w:rPr>
              <w:t>128</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13A61232" w14:textId="77777777" w:rsidR="003D7F65" w:rsidRDefault="0082041E">
            <w:pPr>
              <w:pStyle w:val="P68B1DB1-Normal8"/>
              <w:spacing w:after="0" w:line="240" w:lineRule="auto"/>
              <w:rPr>
                <w:rFonts w:eastAsia="Times New Roman"/>
                <w:noProof/>
              </w:rPr>
            </w:pPr>
            <w:r>
              <w:rPr>
                <w:noProof/>
              </w:rPr>
              <w:t>P3C4I3 – Renforcer la compétitivité et stimuler la croissance dans les secteurs touchés par la crise – Soutien au renouvellement des secteurs de la culture et de la création</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6514C202" w14:textId="77777777" w:rsidR="003D7F65" w:rsidRDefault="0082041E">
            <w:pPr>
              <w:pStyle w:val="P68B1DB1-Normal8"/>
              <w:spacing w:after="0" w:line="240" w:lineRule="auto"/>
              <w:rPr>
                <w:rFonts w:eastAsia="Times New Roman"/>
                <w:noProof/>
              </w:rPr>
            </w:pPr>
            <w:r>
              <w:rPr>
                <w:noProof/>
              </w:rPr>
              <w:t>Étape</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6863A941" w14:textId="77777777" w:rsidR="003D7F65" w:rsidRDefault="0082041E">
            <w:pPr>
              <w:pStyle w:val="P68B1DB1-Normal8"/>
              <w:spacing w:after="0" w:line="240" w:lineRule="auto"/>
              <w:rPr>
                <w:rFonts w:eastAsia="Times New Roman"/>
                <w:noProof/>
              </w:rPr>
            </w:pPr>
            <w:r>
              <w:rPr>
                <w:noProof/>
              </w:rPr>
              <w:t>Publication d'appels à candidatures supplémentaires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52611D58" w14:textId="77777777" w:rsidR="003D7F65" w:rsidRDefault="0082041E">
            <w:pPr>
              <w:pStyle w:val="P68B1DB1-Normal21"/>
              <w:spacing w:after="0" w:line="240" w:lineRule="auto"/>
              <w:rPr>
                <w:noProof/>
              </w:rPr>
            </w:pPr>
            <w:r>
              <w:rPr>
                <w:noProof/>
              </w:rPr>
              <w:t>Publication d'appels à candidatures supplémentaires</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72AFA709" w14:textId="77777777" w:rsidR="003D7F65" w:rsidRDefault="003D7F65">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57A7FDF4" w14:textId="77777777" w:rsidR="003D7F65" w:rsidRDefault="003D7F65">
            <w:pPr>
              <w:spacing w:after="0" w:line="240" w:lineRule="auto"/>
              <w:rPr>
                <w:rFonts w:ascii="Times New Roman" w:eastAsia="Times New Roman" w:hAnsi="Times New Roman"/>
                <w:noProof/>
                <w:sz w:val="20"/>
                <w:szCs w:val="20"/>
              </w:rPr>
            </w:pP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62C652E1" w14:textId="77777777" w:rsidR="003D7F65" w:rsidRDefault="003D7F65">
            <w:pPr>
              <w:spacing w:after="0" w:line="240" w:lineRule="auto"/>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6D666863" w14:textId="77777777" w:rsidR="003D7F65" w:rsidRDefault="0082041E">
            <w:pPr>
              <w:pStyle w:val="P68B1DB1-Normal8"/>
              <w:spacing w:after="0" w:line="240" w:lineRule="auto"/>
              <w:rPr>
                <w:rFonts w:eastAsia="Times New Roman"/>
                <w:noProof/>
              </w:rPr>
            </w:pPr>
            <w:r>
              <w:rPr>
                <w:noProof/>
              </w:rPr>
              <w:t>T4</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0CBF9854" w14:textId="77777777" w:rsidR="003D7F65" w:rsidRDefault="0082041E">
            <w:pPr>
              <w:pStyle w:val="P68B1DB1-Normal8"/>
              <w:spacing w:after="0" w:line="240" w:lineRule="auto"/>
              <w:rPr>
                <w:rFonts w:eastAsia="Times New Roman"/>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2D437375" w14:textId="77777777" w:rsidR="003D7F65" w:rsidRDefault="0082041E">
            <w:pPr>
              <w:pStyle w:val="P68B1DB1-Normal8"/>
              <w:spacing w:after="0" w:line="240" w:lineRule="auto"/>
              <w:rPr>
                <w:rFonts w:eastAsia="Times New Roman"/>
                <w:noProof/>
              </w:rPr>
            </w:pPr>
            <w:r>
              <w:rPr>
                <w:noProof/>
              </w:rPr>
              <w:t xml:space="preserve">Publication d’appels à candidatures supplémentaires conformément aux critères d’éligibilité/de sélection visés au jalon 127. </w:t>
            </w:r>
          </w:p>
        </w:tc>
      </w:tr>
      <w:tr w:rsidR="003D7F65" w14:paraId="0A979957" w14:textId="77777777" w:rsidTr="00282DE1">
        <w:trPr>
          <w:trHeight w:val="1805"/>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7F3E485" w14:textId="77777777" w:rsidR="003D7F65" w:rsidRDefault="0082041E">
            <w:pPr>
              <w:pStyle w:val="P68B1DB1-Normal8"/>
              <w:spacing w:after="0" w:line="240" w:lineRule="auto"/>
              <w:jc w:val="center"/>
              <w:rPr>
                <w:rFonts w:eastAsia="Times New Roman"/>
                <w:noProof/>
              </w:rPr>
            </w:pPr>
            <w:r>
              <w:rPr>
                <w:noProof/>
              </w:rPr>
              <w:t>129</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02926E3A" w14:textId="77777777" w:rsidR="003D7F65" w:rsidRDefault="0082041E">
            <w:pPr>
              <w:pStyle w:val="P68B1DB1-Normal8"/>
              <w:spacing w:after="0" w:line="240" w:lineRule="auto"/>
              <w:rPr>
                <w:rFonts w:eastAsia="Times New Roman"/>
                <w:noProof/>
              </w:rPr>
            </w:pPr>
            <w:r>
              <w:rPr>
                <w:noProof/>
              </w:rPr>
              <w:t>P3C4I3 – Renforcer la compétitivité et stimuler la croissance dans les secteurs touchés par la crise – Soutien au renouvellement des secteurs de la culture et de la création</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469B6B7B" w14:textId="77777777" w:rsidR="003D7F65" w:rsidRDefault="0082041E">
            <w:pPr>
              <w:pStyle w:val="P68B1DB1-Normal8"/>
              <w:spacing w:after="0" w:line="240" w:lineRule="auto"/>
              <w:rPr>
                <w:rFonts w:eastAsia="Times New Roman"/>
                <w:noProof/>
              </w:rPr>
            </w:pPr>
            <w:r>
              <w:rPr>
                <w:noProof/>
              </w:rPr>
              <w:t>Objectif</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5377214E" w14:textId="77777777" w:rsidR="003D7F65" w:rsidRDefault="0082041E">
            <w:pPr>
              <w:pStyle w:val="P68B1DB1-Normal8"/>
              <w:spacing w:after="0" w:line="240" w:lineRule="auto"/>
              <w:rPr>
                <w:rFonts w:eastAsia="Times New Roman"/>
                <w:noProof/>
              </w:rPr>
            </w:pPr>
            <w:r>
              <w:rPr>
                <w:noProof/>
              </w:rPr>
              <w:t>Rapports de projet présentés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1C459317" w14:textId="77777777" w:rsidR="003D7F65" w:rsidRDefault="0082041E">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3428A675" w14:textId="77777777" w:rsidR="003D7F65" w:rsidRDefault="0082041E">
            <w:pPr>
              <w:pStyle w:val="P68B1DB1-Normal8"/>
              <w:spacing w:after="0" w:line="240" w:lineRule="auto"/>
              <w:rPr>
                <w:rFonts w:eastAsia="Times New Roman"/>
                <w:noProof/>
              </w:rPr>
            </w:pPr>
            <w:r>
              <w:rPr>
                <w:noProof/>
              </w:rPr>
              <w:t>Numéro</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1686ACD3" w14:textId="77777777" w:rsidR="003D7F65" w:rsidRDefault="0082041E">
            <w:pPr>
              <w:pStyle w:val="P68B1DB1-Normal8"/>
              <w:spacing w:after="0" w:line="240" w:lineRule="auto"/>
              <w:rPr>
                <w:rFonts w:eastAsia="Times New Roman"/>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47A0D7B8" w14:textId="77777777" w:rsidR="003D7F65" w:rsidRDefault="0082041E">
            <w:pPr>
              <w:pStyle w:val="P68B1DB1-Normal8"/>
              <w:spacing w:after="0" w:line="240" w:lineRule="auto"/>
              <w:rPr>
                <w:rFonts w:eastAsia="Times New Roman"/>
                <w:noProof/>
              </w:rPr>
            </w:pPr>
            <w:r>
              <w:rPr>
                <w:noProof/>
              </w:rPr>
              <w:t>131</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0080891C" w14:textId="77777777" w:rsidR="003D7F65" w:rsidRDefault="0082041E">
            <w:pPr>
              <w:pStyle w:val="P68B1DB1-Normal8"/>
              <w:spacing w:after="0" w:line="240" w:lineRule="auto"/>
              <w:rPr>
                <w:rFonts w:eastAsia="Times New Roman"/>
                <w:noProof/>
              </w:rPr>
            </w:pPr>
            <w:r>
              <w:rPr>
                <w:noProof/>
              </w:rPr>
              <w:t>T4</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5E18B3CA" w14:textId="77777777" w:rsidR="003D7F65" w:rsidRDefault="0082041E">
            <w:pPr>
              <w:pStyle w:val="P68B1DB1-Normal8"/>
              <w:spacing w:after="0" w:line="240" w:lineRule="auto"/>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74B62432" w14:textId="77777777" w:rsidR="003D7F65" w:rsidRDefault="0082041E">
            <w:pPr>
              <w:pStyle w:val="P68B1DB1-Normal9"/>
              <w:spacing w:after="0" w:line="240" w:lineRule="auto"/>
              <w:rPr>
                <w:noProof/>
              </w:rPr>
            </w:pPr>
            <w:r>
              <w:rPr>
                <w:noProof/>
              </w:rPr>
              <w:t>Au moins 131 rapports de projet sont soumis par les entités bénéficiaires pour les projets soutenus dans le cadre des appels à candidatures visés dans la présente mesure.</w:t>
            </w:r>
          </w:p>
        </w:tc>
      </w:tr>
      <w:tr w:rsidR="003D7F65" w14:paraId="3E10A6CE" w14:textId="77777777" w:rsidTr="00282DE1">
        <w:trPr>
          <w:trHeight w:val="424"/>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74E245CA" w14:textId="77777777" w:rsidR="003D7F65" w:rsidRDefault="0082041E">
            <w:pPr>
              <w:pStyle w:val="P68B1DB1-Normal8"/>
              <w:spacing w:after="0" w:line="240" w:lineRule="auto"/>
              <w:jc w:val="center"/>
              <w:rPr>
                <w:rFonts w:eastAsia="Times New Roman"/>
                <w:noProof/>
              </w:rPr>
            </w:pPr>
            <w:r>
              <w:rPr>
                <w:noProof/>
              </w:rPr>
              <w:t>130</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279C5683" w14:textId="77777777" w:rsidR="003D7F65" w:rsidRDefault="0082041E">
            <w:pPr>
              <w:pStyle w:val="P68B1DB1-Normal8"/>
              <w:spacing w:after="0" w:line="240" w:lineRule="auto"/>
              <w:rPr>
                <w:rFonts w:eastAsia="Times New Roman"/>
                <w:noProof/>
              </w:rPr>
            </w:pPr>
            <w:r>
              <w:rPr>
                <w:noProof/>
              </w:rPr>
              <w:t>P3C4I4 – Renforcer la compétitivité et stimuler la croissance dans les secteurs touchés par la crise – Soutenir une croissance durable et numérique dans le secteur du tourisme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33AFAA72" w14:textId="77777777" w:rsidR="003D7F65" w:rsidRDefault="0082041E">
            <w:pPr>
              <w:pStyle w:val="P68B1DB1-Normal8"/>
              <w:spacing w:after="0" w:line="240" w:lineRule="auto"/>
              <w:rPr>
                <w:rFonts w:eastAsia="Times New Roman"/>
                <w:noProof/>
              </w:rPr>
            </w:pPr>
            <w:r>
              <w:rPr>
                <w:noProof/>
              </w:rPr>
              <w:t>Étape</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752A9C7F" w14:textId="77777777" w:rsidR="003D7F65" w:rsidRDefault="0082041E">
            <w:pPr>
              <w:pStyle w:val="P68B1DB1-Normal8"/>
              <w:spacing w:after="0" w:line="240" w:lineRule="auto"/>
              <w:rPr>
                <w:rFonts w:eastAsia="Times New Roman"/>
                <w:noProof/>
              </w:rPr>
            </w:pPr>
            <w:r>
              <w:rPr>
                <w:noProof/>
              </w:rPr>
              <w:t xml:space="preserve">Publication de l'appel à candidatures pour des projets de RDI dans le secteur du tourisme </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7EC2A01B" w14:textId="77777777" w:rsidR="003D7F65" w:rsidRDefault="0082041E">
            <w:pPr>
              <w:pStyle w:val="P68B1DB1-Normal8"/>
              <w:spacing w:after="0" w:line="240" w:lineRule="auto"/>
              <w:rPr>
                <w:rFonts w:eastAsia="Times New Roman"/>
                <w:noProof/>
              </w:rPr>
            </w:pPr>
            <w:r>
              <w:rPr>
                <w:noProof/>
              </w:rPr>
              <w:t>Publication de l'appel à candidatures par Business Finland</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0B852246" w14:textId="77777777" w:rsidR="003D7F65" w:rsidRDefault="0082041E">
            <w:pPr>
              <w:pStyle w:val="P68B1DB1-Normal8"/>
              <w:spacing w:after="0" w:line="240" w:lineRule="auto"/>
              <w:rPr>
                <w:rFonts w:eastAsia="Times New Roman"/>
                <w:noProof/>
              </w:rPr>
            </w:pPr>
            <w:r>
              <w:rPr>
                <w:noProof/>
              </w:rPr>
              <w:t> </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0D8091A7" w14:textId="77777777" w:rsidR="003D7F65" w:rsidRDefault="0082041E">
            <w:pPr>
              <w:pStyle w:val="P68B1DB1-Normal8"/>
              <w:spacing w:after="0" w:line="240" w:lineRule="auto"/>
              <w:rPr>
                <w:rFonts w:eastAsia="Times New Roman"/>
                <w:noProof/>
              </w:rPr>
            </w:pPr>
            <w:r>
              <w:rPr>
                <w:noProof/>
              </w:rPr>
              <w:t> </w:t>
            </w: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18606C51" w14:textId="77777777" w:rsidR="003D7F65" w:rsidRDefault="0082041E">
            <w:pPr>
              <w:pStyle w:val="P68B1DB1-Normal8"/>
              <w:spacing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46281F31" w14:textId="77777777" w:rsidR="003D7F65" w:rsidRDefault="0082041E">
            <w:pPr>
              <w:pStyle w:val="P68B1DB1-Normal8"/>
              <w:spacing w:after="0" w:line="240" w:lineRule="auto"/>
              <w:rPr>
                <w:rFonts w:eastAsia="Times New Roman"/>
                <w:noProof/>
              </w:rPr>
            </w:pPr>
            <w:r>
              <w:rPr>
                <w:noProof/>
              </w:rPr>
              <w:t>T2</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0C416462" w14:textId="77777777" w:rsidR="003D7F65" w:rsidRDefault="0082041E">
            <w:pPr>
              <w:pStyle w:val="P68B1DB1-Normal8"/>
              <w:spacing w:after="0" w:line="240" w:lineRule="auto"/>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0902735F" w14:textId="564F3B1A" w:rsidR="003D7F65" w:rsidRDefault="0082041E">
            <w:pPr>
              <w:pStyle w:val="P68B1DB1-Normal8"/>
              <w:spacing w:after="0" w:line="240" w:lineRule="auto"/>
              <w:rPr>
                <w:noProof/>
              </w:rPr>
            </w:pPr>
            <w:r>
              <w:rPr>
                <w:noProof/>
              </w:rPr>
              <w:t>Business Finland lancera l'appel à candidatures pour le financement de la recherche, du développement et de l'innovation dans le secteur du tourisme. Les critères de sélection sont axés sur la stimulation de la croissance durable et de l'innovation dans le secteur du tourisme. Le financement est destiné à des projets de recherche, d’expérimentation et de développement qui soutiennent la commercialisation des activités et des innovations touristiques, par exemple sur les thèmes de la transition numérique et écologique, de l’anticipation et de la prévision, du tourisme durable, du tourisme virtuel et de la compréhension des consommateurs. Les critères d’éligibilité/de sélection garantissent que l’intervention se concentre sur la promotion d’éléments directement liés à la numérisation des entreprises (conformément au domaine d’intervention 015 de l’annexe VII du règlement FRR). Les critères d’éligibilité garantissent également que les projets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17C5BAF5" w14:textId="77777777" w:rsidTr="00282DE1">
        <w:trPr>
          <w:trHeight w:val="640"/>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FDBF585" w14:textId="77777777" w:rsidR="003D7F65" w:rsidRDefault="0082041E">
            <w:pPr>
              <w:pStyle w:val="P68B1DB1-Normal8"/>
              <w:spacing w:after="0" w:line="240" w:lineRule="auto"/>
              <w:jc w:val="center"/>
              <w:rPr>
                <w:rFonts w:eastAsia="Times New Roman"/>
                <w:noProof/>
              </w:rPr>
            </w:pPr>
            <w:r>
              <w:rPr>
                <w:noProof/>
              </w:rPr>
              <w:t>131</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5466AA22" w14:textId="77777777" w:rsidR="003D7F65" w:rsidRDefault="0082041E">
            <w:pPr>
              <w:pStyle w:val="P68B1DB1-Normal8"/>
              <w:spacing w:after="0" w:line="240" w:lineRule="auto"/>
              <w:rPr>
                <w:rFonts w:eastAsia="Times New Roman"/>
                <w:noProof/>
              </w:rPr>
            </w:pPr>
            <w:r>
              <w:rPr>
                <w:noProof/>
              </w:rPr>
              <w:t>P3C4I4 – Renforcer la compétitivité et stimuler la croissance dans les secteurs touchés par la crise – Soutenir une croissance durable et numérique dans le secteur du tourisme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0199CAC0" w14:textId="77777777" w:rsidR="003D7F65" w:rsidRDefault="0082041E">
            <w:pPr>
              <w:pStyle w:val="P68B1DB1-Normal8"/>
              <w:spacing w:after="0" w:line="240" w:lineRule="auto"/>
              <w:rPr>
                <w:rFonts w:eastAsia="Times New Roman"/>
                <w:noProof/>
              </w:rPr>
            </w:pPr>
            <w:r>
              <w:rPr>
                <w:noProof/>
              </w:rPr>
              <w:t>Objectif</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0403C68D" w14:textId="77777777" w:rsidR="003D7F65" w:rsidRDefault="0082041E">
            <w:pPr>
              <w:pStyle w:val="P68B1DB1-Normal8"/>
              <w:spacing w:after="0" w:line="240" w:lineRule="auto"/>
              <w:rPr>
                <w:rFonts w:eastAsia="Times New Roman"/>
                <w:noProof/>
              </w:rPr>
            </w:pPr>
            <w:r>
              <w:rPr>
                <w:noProof/>
              </w:rPr>
              <w:t>Rapports de projet présentés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1FE4B571" w14:textId="77777777" w:rsidR="003D7F65" w:rsidRDefault="0082041E">
            <w:pPr>
              <w:pStyle w:val="P68B1DB1-Normal8"/>
              <w:spacing w:after="0" w:line="240" w:lineRule="auto"/>
              <w:rPr>
                <w:rFonts w:eastAsia="Times New Roman"/>
                <w:noProof/>
              </w:rPr>
            </w:pPr>
            <w:r>
              <w:rPr>
                <w:noProof/>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24116117" w14:textId="77777777" w:rsidR="003D7F65" w:rsidRDefault="0082041E">
            <w:pPr>
              <w:pStyle w:val="P68B1DB1-Normal8"/>
              <w:spacing w:after="0" w:line="240" w:lineRule="auto"/>
              <w:rPr>
                <w:rFonts w:eastAsia="Times New Roman"/>
                <w:noProof/>
              </w:rPr>
            </w:pPr>
            <w:r>
              <w:rPr>
                <w:noProof/>
              </w:rPr>
              <w:t>Numéro</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49C669E9" w14:textId="77777777" w:rsidR="003D7F65" w:rsidRDefault="0082041E">
            <w:pPr>
              <w:pStyle w:val="P68B1DB1-Normal8"/>
              <w:spacing w:after="0" w:line="240" w:lineRule="auto"/>
              <w:rPr>
                <w:rFonts w:eastAsia="Times New Roman"/>
                <w:noProof/>
              </w:rPr>
            </w:pPr>
            <w:r>
              <w:rPr>
                <w:noProof/>
              </w:rPr>
              <w:t>0</w:t>
            </w: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5BD9FAD4" w14:textId="77777777" w:rsidR="003D7F65" w:rsidRDefault="0082041E">
            <w:pPr>
              <w:pStyle w:val="P68B1DB1-Normal8"/>
              <w:spacing w:after="0" w:line="240" w:lineRule="auto"/>
              <w:rPr>
                <w:rFonts w:eastAsia="Times New Roman"/>
                <w:noProof/>
              </w:rPr>
            </w:pPr>
            <w:r>
              <w:rPr>
                <w:noProof/>
              </w:rPr>
              <w:t>14</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54787DD1" w14:textId="77777777" w:rsidR="003D7F65" w:rsidRDefault="0082041E">
            <w:pPr>
              <w:pStyle w:val="P68B1DB1-Normal8"/>
              <w:spacing w:after="0" w:line="240" w:lineRule="auto"/>
              <w:rPr>
                <w:rFonts w:eastAsia="Times New Roman"/>
                <w:noProof/>
              </w:rPr>
            </w:pPr>
            <w:r>
              <w:rPr>
                <w:noProof/>
              </w:rPr>
              <w:t>T2</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2D7F9CDC" w14:textId="77777777" w:rsidR="003D7F65" w:rsidRDefault="0082041E">
            <w:pPr>
              <w:pStyle w:val="P68B1DB1-Normal8"/>
              <w:spacing w:after="0" w:line="240" w:lineRule="auto"/>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13B166E9" w14:textId="77777777" w:rsidR="003D7F65" w:rsidRDefault="0082041E">
            <w:pPr>
              <w:pStyle w:val="P68B1DB1-Normal8"/>
              <w:spacing w:after="0" w:line="240" w:lineRule="auto"/>
              <w:rPr>
                <w:noProof/>
              </w:rPr>
            </w:pPr>
            <w:r>
              <w:rPr>
                <w:noProof/>
              </w:rPr>
              <w:t>Au moins 14 rapports de projet sont soumis par les entités bénéficiaires pour les projets soutenus dans le cadre de l’appel à candidatures visé dans la présente mesure.</w:t>
            </w:r>
          </w:p>
        </w:tc>
      </w:tr>
      <w:tr w:rsidR="003D7F65" w14:paraId="5718763D" w14:textId="77777777" w:rsidTr="00282DE1">
        <w:trPr>
          <w:trHeight w:val="1852"/>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7A21954" w14:textId="77777777" w:rsidR="003D7F65" w:rsidRDefault="0082041E">
            <w:pPr>
              <w:pStyle w:val="P68B1DB1-Normal8"/>
              <w:spacing w:after="0" w:line="240" w:lineRule="auto"/>
              <w:jc w:val="center"/>
              <w:rPr>
                <w:rFonts w:eastAsia="Times New Roman"/>
                <w:noProof/>
              </w:rPr>
            </w:pPr>
            <w:r>
              <w:rPr>
                <w:noProof/>
              </w:rPr>
              <w:t>132</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0B27A91" w14:textId="77777777" w:rsidR="003D7F65" w:rsidRDefault="0082041E">
            <w:pPr>
              <w:pStyle w:val="P68B1DB1-Normal8"/>
              <w:spacing w:after="0" w:line="240" w:lineRule="auto"/>
              <w:rPr>
                <w:rFonts w:eastAsia="Times New Roman"/>
                <w:noProof/>
              </w:rPr>
            </w:pPr>
            <w:r>
              <w:rPr>
                <w:noProof/>
              </w:rPr>
              <w:t>P3C4I4 – Renforcer la compétitivité et stimuler la croissance dans les secteurs touchés par la crise – Soutenir une croissance durable et numérique dans le secteur du tourisme</w:t>
            </w:r>
          </w:p>
        </w:tc>
        <w:tc>
          <w:tcPr>
            <w:tcW w:w="1471" w:type="dxa"/>
            <w:tcBorders>
              <w:top w:val="single" w:sz="4" w:space="0" w:color="auto"/>
              <w:left w:val="single" w:sz="4" w:space="0" w:color="auto"/>
              <w:bottom w:val="single" w:sz="4" w:space="0" w:color="auto"/>
              <w:right w:val="single" w:sz="4" w:space="0" w:color="auto"/>
            </w:tcBorders>
            <w:shd w:val="clear" w:color="auto" w:fill="C6EFCE"/>
            <w:hideMark/>
          </w:tcPr>
          <w:p w14:paraId="1A14D85B" w14:textId="77777777" w:rsidR="003D7F65" w:rsidRDefault="0082041E">
            <w:pPr>
              <w:pStyle w:val="P68B1DB1-Normal8"/>
              <w:spacing w:after="0" w:line="240" w:lineRule="auto"/>
              <w:rPr>
                <w:rFonts w:eastAsia="Times New Roman"/>
                <w:noProof/>
              </w:rPr>
            </w:pPr>
            <w:r>
              <w:rPr>
                <w:noProof/>
              </w:rPr>
              <w:t>Étape</w:t>
            </w:r>
          </w:p>
        </w:tc>
        <w:tc>
          <w:tcPr>
            <w:tcW w:w="1089" w:type="dxa"/>
            <w:tcBorders>
              <w:top w:val="single" w:sz="4" w:space="0" w:color="auto"/>
              <w:left w:val="single" w:sz="4" w:space="0" w:color="auto"/>
              <w:bottom w:val="single" w:sz="4" w:space="0" w:color="auto"/>
              <w:right w:val="single" w:sz="4" w:space="0" w:color="auto"/>
            </w:tcBorders>
            <w:shd w:val="clear" w:color="auto" w:fill="C6EFCE"/>
            <w:hideMark/>
          </w:tcPr>
          <w:p w14:paraId="2CBCE012" w14:textId="2EC36799" w:rsidR="003D7F65" w:rsidRDefault="0082041E">
            <w:pPr>
              <w:pStyle w:val="P68B1DB1-Normal8"/>
              <w:spacing w:after="0" w:line="240" w:lineRule="auto"/>
              <w:rPr>
                <w:rFonts w:eastAsia="Times New Roman"/>
                <w:noProof/>
              </w:rPr>
            </w:pPr>
            <w:r>
              <w:rPr>
                <w:noProof/>
              </w:rPr>
              <w:t>Mesures visant à promouvoir une croissance durable dans le secteur du tourisme</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64ECD12D" w14:textId="77777777" w:rsidR="003D7F65" w:rsidRDefault="0082041E">
            <w:pPr>
              <w:pStyle w:val="P68B1DB1-Normal8"/>
              <w:spacing w:after="0" w:line="240" w:lineRule="auto"/>
              <w:rPr>
                <w:rFonts w:eastAsia="Times New Roman"/>
                <w:noProof/>
              </w:rPr>
            </w:pPr>
            <w:r>
              <w:rPr>
                <w:noProof/>
              </w:rPr>
              <w:t>l’accessibilité en ligne d’un calculateur numérique de l’empreinte carbone pour le secteur du tourisme; la mise à disposition de matériel de formation pour les utilisateurs de calculateurs d’empreinte carbone; la mise à disposition d'un manuel et de parcours de formation sur la gestion basée sur la connaissance dans le tourisme; la mise à disposition de certains itinéraires de voyage; mise à disposition de la plateforme de données Visit Finland</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6C21A5DA" w14:textId="77777777" w:rsidR="003D7F65" w:rsidRDefault="003D7F65">
            <w:pPr>
              <w:spacing w:after="0" w:line="240" w:lineRule="auto"/>
              <w:rPr>
                <w:rFonts w:ascii="Times New Roman" w:eastAsia="Times New Roman" w:hAnsi="Times New Roman"/>
                <w:noProof/>
                <w:sz w:val="20"/>
                <w:szCs w:val="20"/>
              </w:rPr>
            </w:pP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61E49BB9" w14:textId="77777777" w:rsidR="003D7F65" w:rsidRDefault="003D7F65">
            <w:pPr>
              <w:spacing w:after="0" w:line="240" w:lineRule="auto"/>
              <w:rPr>
                <w:rFonts w:ascii="Times New Roman" w:eastAsia="Times New Roman" w:hAnsi="Times New Roman"/>
                <w:noProof/>
                <w:sz w:val="20"/>
                <w:szCs w:val="20"/>
              </w:rPr>
            </w:pPr>
          </w:p>
        </w:tc>
        <w:tc>
          <w:tcPr>
            <w:tcW w:w="873" w:type="dxa"/>
            <w:tcBorders>
              <w:top w:val="single" w:sz="4" w:space="0" w:color="auto"/>
              <w:left w:val="single" w:sz="4" w:space="0" w:color="auto"/>
              <w:bottom w:val="single" w:sz="4" w:space="0" w:color="auto"/>
              <w:right w:val="single" w:sz="4" w:space="0" w:color="auto"/>
            </w:tcBorders>
            <w:shd w:val="clear" w:color="auto" w:fill="C6EFCE"/>
            <w:hideMark/>
          </w:tcPr>
          <w:p w14:paraId="1A36E80B" w14:textId="77777777" w:rsidR="003D7F65" w:rsidRDefault="003D7F65">
            <w:pPr>
              <w:spacing w:after="0" w:line="240" w:lineRule="auto"/>
              <w:rPr>
                <w:rFonts w:ascii="Times New Roman" w:eastAsia="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4770ADAF" w14:textId="77777777" w:rsidR="003D7F65" w:rsidRDefault="0082041E">
            <w:pPr>
              <w:pStyle w:val="P68B1DB1-Normal8"/>
              <w:spacing w:after="0" w:line="240" w:lineRule="auto"/>
              <w:rPr>
                <w:rFonts w:eastAsia="Times New Roman"/>
                <w:noProof/>
              </w:rPr>
            </w:pPr>
            <w:r>
              <w:rPr>
                <w:noProof/>
              </w:rPr>
              <w:t>T4</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48C3FB8C" w14:textId="77777777" w:rsidR="003D7F65" w:rsidRDefault="0082041E">
            <w:pPr>
              <w:pStyle w:val="P68B1DB1-Normal8"/>
              <w:spacing w:after="0" w:line="240" w:lineRule="auto"/>
              <w:rPr>
                <w:rFonts w:eastAsia="Times New Roman"/>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6EFCE"/>
            <w:hideMark/>
          </w:tcPr>
          <w:p w14:paraId="2196160F" w14:textId="77777777" w:rsidR="003D7F65" w:rsidRDefault="0082041E">
            <w:pPr>
              <w:pStyle w:val="P68B1DB1-Normal8"/>
              <w:spacing w:after="0" w:line="240" w:lineRule="auto"/>
              <w:rPr>
                <w:noProof/>
              </w:rPr>
            </w:pPr>
            <w:r>
              <w:rPr>
                <w:noProof/>
              </w:rPr>
              <w:t xml:space="preserve">Le jalon comprend les éléments suivants: </w:t>
            </w:r>
          </w:p>
          <w:p w14:paraId="15D8FC04" w14:textId="77777777" w:rsidR="003D7F65" w:rsidRDefault="0082041E">
            <w:pPr>
              <w:pStyle w:val="P68B1DB1-ListParagraph22"/>
              <w:numPr>
                <w:ilvl w:val="0"/>
                <w:numId w:val="28"/>
              </w:numPr>
              <w:spacing w:after="0" w:line="240" w:lineRule="auto"/>
              <w:ind w:left="852"/>
              <w:rPr>
                <w:noProof/>
              </w:rPr>
            </w:pPr>
            <w:r>
              <w:rPr>
                <w:noProof/>
              </w:rPr>
              <w:t xml:space="preserve">Un calculateur numérique de l’empreinte carbone pour les services touristiques est accessible en ligne. Le matériel de formation sur l’utilisation de la calculatrice d’empreinte numérique pour les utilisateurs est publié. </w:t>
            </w:r>
          </w:p>
          <w:p w14:paraId="4048F2A1" w14:textId="77777777" w:rsidR="003D7F65" w:rsidRDefault="0082041E">
            <w:pPr>
              <w:pStyle w:val="P68B1DB1-ListParagraph22"/>
              <w:numPr>
                <w:ilvl w:val="0"/>
                <w:numId w:val="28"/>
              </w:numPr>
              <w:spacing w:after="0" w:line="240" w:lineRule="auto"/>
              <w:ind w:left="852"/>
              <w:rPr>
                <w:noProof/>
              </w:rPr>
            </w:pPr>
            <w:r>
              <w:rPr>
                <w:noProof/>
              </w:rPr>
              <w:t xml:space="preserve">Sur la base d’un modèle opérationnel national de gestion fondée sur la connaissance, un manuel et des programmes d’accompagnement à l’intention des entreprises et des régions touristiques sont mis à disposition. </w:t>
            </w:r>
          </w:p>
          <w:p w14:paraId="4990E7C6" w14:textId="77777777" w:rsidR="003D7F65" w:rsidRDefault="0082041E">
            <w:pPr>
              <w:pStyle w:val="P68B1DB1-ListParagraph22"/>
              <w:numPr>
                <w:ilvl w:val="0"/>
                <w:numId w:val="28"/>
              </w:numPr>
              <w:spacing w:after="0" w:line="240" w:lineRule="auto"/>
              <w:ind w:left="852"/>
              <w:rPr>
                <w:noProof/>
              </w:rPr>
            </w:pPr>
            <w:r>
              <w:rPr>
                <w:noProof/>
              </w:rPr>
              <w:t>Une plateforme d’automatisation de contenu – Visit Finland Data Hub – et au moins 10 itinéraires de voyage sélectionnés pour explorer la Finlande seront mis à disposition.</w:t>
            </w:r>
          </w:p>
        </w:tc>
      </w:tr>
    </w:tbl>
    <w:p w14:paraId="607CDDCC" w14:textId="77777777" w:rsidR="003D7F65" w:rsidRDefault="0082041E">
      <w:pPr>
        <w:pStyle w:val="NormalLeft"/>
        <w:jc w:val="both"/>
        <w:rPr>
          <w:noProof/>
        </w:rPr>
      </w:pPr>
      <w:r>
        <w:rPr>
          <w:noProof/>
        </w:rPr>
        <w:br/>
      </w:r>
    </w:p>
    <w:p w14:paraId="3155BA92" w14:textId="77777777" w:rsidR="003D7F65" w:rsidRDefault="003D7F65">
      <w:pPr>
        <w:spacing w:before="120" w:after="120" w:line="240" w:lineRule="auto"/>
        <w:jc w:val="both"/>
        <w:rPr>
          <w:rFonts w:ascii="Times New Roman" w:hAnsi="Times New Roman"/>
          <w:noProof/>
          <w:sz w:val="24"/>
        </w:rPr>
        <w:sectPr w:rsidR="003D7F65" w:rsidSect="00A7081A">
          <w:headerReference w:type="even" r:id="rId152"/>
          <w:headerReference w:type="default" r:id="rId153"/>
          <w:footerReference w:type="even" r:id="rId154"/>
          <w:footerReference w:type="default" r:id="rId155"/>
          <w:headerReference w:type="first" r:id="rId156"/>
          <w:footerReference w:type="first" r:id="rId157"/>
          <w:pgSz w:w="16839" w:h="11907" w:orient="landscape"/>
          <w:pgMar w:top="1134" w:right="1134" w:bottom="1134" w:left="1134" w:header="567" w:footer="567" w:gutter="0"/>
          <w:cols w:space="720"/>
          <w:docGrid w:linePitch="360"/>
        </w:sectPr>
      </w:pPr>
    </w:p>
    <w:p w14:paraId="40E33640" w14:textId="77777777" w:rsidR="003D7F65" w:rsidRDefault="0082041E">
      <w:pPr>
        <w:pStyle w:val="P68B1DB1-Heading31"/>
        <w:numPr>
          <w:ilvl w:val="0"/>
          <w:numId w:val="0"/>
        </w:numPr>
        <w:spacing w:after="240"/>
        <w:rPr>
          <w:noProof/>
        </w:rPr>
      </w:pPr>
      <w:r>
        <w:rPr>
          <w:noProof/>
        </w:rPr>
        <w:t>Pilier 4: Améliorer la disponibilité des services de protection sociale et de soins de santé et accroître le rapport coût-efficacité</w:t>
      </w:r>
    </w:p>
    <w:p w14:paraId="67A50C77" w14:textId="77777777" w:rsidR="003D7F65" w:rsidRDefault="0082041E">
      <w:pPr>
        <w:pStyle w:val="P68B1DB1-Heading42"/>
        <w:numPr>
          <w:ilvl w:val="0"/>
          <w:numId w:val="0"/>
        </w:numPr>
        <w:spacing w:after="240"/>
        <w:rPr>
          <w:noProof/>
        </w:rPr>
      </w:pPr>
      <w:r>
        <w:rPr>
          <w:noProof/>
        </w:rPr>
        <w:t>M. Élément P4C1: AMÉLIORATION DE LA DISPONIBILITÉ DES SERVICES DE BIEN-ÊTRE SOCIAUX ET DE SOINS DE SANTÉ ET AMÉLIORATION DE L'EFFICACITÉ DES COÛTS</w:t>
      </w:r>
    </w:p>
    <w:p w14:paraId="41DC1B8E" w14:textId="77777777" w:rsidR="003D7F65" w:rsidRDefault="0082041E">
      <w:pPr>
        <w:pStyle w:val="P68B1DB1-Normal3"/>
        <w:spacing w:before="120" w:after="120" w:line="240" w:lineRule="auto"/>
        <w:jc w:val="both"/>
        <w:rPr>
          <w:rFonts w:eastAsia="Times New Roman"/>
          <w:noProof/>
        </w:rPr>
      </w:pPr>
      <w:r>
        <w:rPr>
          <w:noProof/>
        </w:rPr>
        <w:t xml:space="preserve">Ce volet du plan finlandais pour la reprise et la résilience répond à plusieurs défis liés à la disponibilité et au rapport coût-efficacité des services de protection sociale et de soins de santé. L'accès aux services sociaux et de santé en Finlande est fragmenté. La fragmentation du système de services et de ses solutions numériques pose un défi à l’élaboration des réponses nécessaires pour répondre aux besoins sociaux et en matière de santé de la population. Par conséquent, l’objectif de ce volet est d’améliorer l’accès aux services de santé et aux services sociaux dans l’ensemble du pays et de supprimer l’arriéré dans la fourniture de services liés à la pandémie de COVID-19. La composante contribue à la mise en œuvre de la réforme de la garantie des soins de sept jours, qui consiste à réduire les délais pour les soins non urgents dans les soins de santé primaires à sept jours à partir du délai actuel de trois mois. Elle contribue également à améliorer la garantie de soins de base, à réduire les inégalités, à mettre l’accent sur l’identification précoce et la prévention efficace, et à renforcer la qualité et le rapport coût-efficacité des services sociaux et de santé. Un autre objectif est d'améliorer les conditions de travail et le bien-être des travailleurs de la santé et des travailleurs sociaux. Le volet comprend une réforme et des investissements qui se renforcent mutuellement. La réforme contribue à la préparation de la réforme sociale et des soins de santé. Les investissements contribuent à: i) mettre en œuvre la garantie de soins (y compris les soins de santé mentale) et réduire l’arriéré de prestations de services résultant de la pandémie de COVID-19; ii) renforcer la prévention et l’identification précoce des besoins sociaux et sanitaires dans le cadre de la mise en œuvre de la garantie de soins; iii) le renforcement de la base de connaissances et l'amélioration de l'orientation pour soutenir le rapport coût-efficacité des services sociaux et de soins de santé; iv) introduire des innovations numériques sous la forme d’un service de garantie de soins; et v) l’introduction d’un système d’information numérique centré sur la personne dans les îles Åland. </w:t>
      </w:r>
    </w:p>
    <w:p w14:paraId="3419E6C3" w14:textId="77777777" w:rsidR="003D7F65" w:rsidRDefault="0082041E">
      <w:pPr>
        <w:pStyle w:val="P68B1DB1-Normal4"/>
        <w:spacing w:before="120" w:after="120" w:line="240" w:lineRule="auto"/>
        <w:jc w:val="both"/>
        <w:rPr>
          <w:noProof/>
        </w:rPr>
      </w:pPr>
      <w:r>
        <w:rPr>
          <w:noProof/>
        </w:rPr>
        <w:t>Ce volet contribue à donner suite aux recommandations par pays visant à améliorer le rapport coût-efficacité des services sociaux et de soins de santé et l’égalité d’accès à ces services (recommandation par pays no 1 de 2019) et à remédier aux pénuries de professionnels de la santé afin de renforcer la résilience du système de santé et d’améliorer l’accès aux services sociaux et de santé (recommandation</w:t>
      </w:r>
      <w:r>
        <w:rPr>
          <w:noProof/>
          <w:color w:val="000000"/>
        </w:rPr>
        <w:t xml:space="preserve"> par pays no 1 de 2020).</w:t>
      </w:r>
    </w:p>
    <w:p w14:paraId="60B687F3" w14:textId="77777777" w:rsidR="003D7F65" w:rsidRDefault="0082041E">
      <w:pPr>
        <w:pStyle w:val="P68B1DB1-Normal4"/>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58A6F8F" w14:textId="77777777" w:rsidR="003D7F65" w:rsidRDefault="0082041E">
      <w:pPr>
        <w:pStyle w:val="P68B1DB1-Normal5"/>
        <w:spacing w:before="120" w:after="120" w:line="240" w:lineRule="auto"/>
        <w:jc w:val="both"/>
        <w:rPr>
          <w:bCs/>
          <w:noProof/>
        </w:rPr>
      </w:pPr>
      <w:r>
        <w:rPr>
          <w:noProof/>
        </w:rPr>
        <w:t xml:space="preserve">M.1. </w:t>
      </w:r>
      <w:r>
        <w:rPr>
          <w:noProof/>
        </w:rPr>
        <w:tab/>
        <w:t>Description des réformes et des investissements pour le soutien financier non remboursable</w:t>
      </w:r>
    </w:p>
    <w:p w14:paraId="3AE6AB93" w14:textId="77777777" w:rsidR="003D7F65" w:rsidRDefault="0082041E">
      <w:pPr>
        <w:pStyle w:val="P68B1DB1-Normal6"/>
        <w:spacing w:before="120" w:after="120" w:line="240" w:lineRule="auto"/>
        <w:jc w:val="both"/>
        <w:rPr>
          <w:noProof/>
        </w:rPr>
      </w:pPr>
      <w:r>
        <w:rPr>
          <w:noProof/>
        </w:rPr>
        <w:t>Réforme 1 (P4C1R1): Préparation de la réforme de la protection sociale et des soins de santé à l'appui de la mise en œuvre de la garantie de soins</w:t>
      </w:r>
    </w:p>
    <w:p w14:paraId="3E50EC16" w14:textId="77777777" w:rsidR="003D7F65" w:rsidRDefault="0082041E">
      <w:pPr>
        <w:pStyle w:val="P68B1DB1-Normal4"/>
        <w:spacing w:before="120" w:after="120" w:line="240" w:lineRule="auto"/>
        <w:jc w:val="both"/>
        <w:rPr>
          <w:noProof/>
        </w:rPr>
      </w:pPr>
      <w:r>
        <w:rPr>
          <w:noProof/>
        </w:rPr>
        <w:t xml:space="preserve">Dans le cadre de la préparation de la réforme sociale et des soins de santé, l’objectif de cette mesure est d’améliorer l’accessibilité des services de santé et des services sociaux en favorisant la mise en œuvre de la garantie de soins. Cette réforme apporte un soutien aux activités suivantes: i) mettre en œuvre la garantie de soins et renforcer la prestation de services; ii) renforcer la prévention et l’identification précoce des besoins sociaux et de soins de santé et iii) renforcer la base de connaissances et améliorer les orientations afin de soutenir le rapport coût-efficacité des solutions numériques en matière sociale et de soins de santé. </w:t>
      </w:r>
    </w:p>
    <w:p w14:paraId="417DDEFC" w14:textId="77777777" w:rsidR="003D7F65" w:rsidRDefault="0082041E">
      <w:pPr>
        <w:pStyle w:val="P68B1DB1-Normal4"/>
        <w:spacing w:before="120" w:after="120" w:line="240" w:lineRule="auto"/>
        <w:jc w:val="both"/>
        <w:rPr>
          <w:noProof/>
        </w:rPr>
      </w:pPr>
      <w:r>
        <w:rPr>
          <w:noProof/>
        </w:rPr>
        <w:t>La loi sur la mise en œuvre de la réforme des services de santé, sociaux et de secours et sur l’entrée en vigueur de la législation connexe devrait être entrée en vigueur le 1er juillet 2021. La réforme consiste à adopter un certain nombre d'actes législatifs visant à réformer le système de protection sociale et de soins de santé en Finlande, sur la base desquels 22 zones de protection sociale régionales seront établies. Les zones de protection sociale sont responsables de la fourniture de services sociaux, de soins de santé et de secours. Ils sont opérationnels au plus tard le 1er janvier 2023.</w:t>
      </w:r>
    </w:p>
    <w:p w14:paraId="14E03EF8" w14:textId="77777777" w:rsidR="003D7F65" w:rsidRDefault="0082041E">
      <w:pPr>
        <w:pStyle w:val="P68B1DB1-Normal4"/>
        <w:spacing w:before="120" w:after="120" w:line="240" w:lineRule="auto"/>
        <w:jc w:val="both"/>
        <w:rPr>
          <w:noProof/>
        </w:rPr>
      </w:pPr>
      <w:r>
        <w:rPr>
          <w:noProof/>
        </w:rPr>
        <w:t>La mise en œuvre de la réforme est achevée au plus tard le 30 juin 2023.</w:t>
      </w:r>
    </w:p>
    <w:p w14:paraId="79DC6644" w14:textId="77777777" w:rsidR="003D7F65" w:rsidRDefault="0082041E">
      <w:pPr>
        <w:pStyle w:val="P68B1DB1-Normal23"/>
        <w:spacing w:before="120" w:after="120" w:line="240" w:lineRule="auto"/>
        <w:jc w:val="both"/>
        <w:rPr>
          <w:noProof/>
        </w:rPr>
      </w:pPr>
      <w:r>
        <w:rPr>
          <w:noProof/>
        </w:rPr>
        <w:t xml:space="preserve">Investissement 1 (P4C1I1): Promouvoir la garantie de soins et réduire l’arriéré de services en raison de la pandémie de COVID-19 </w:t>
      </w:r>
    </w:p>
    <w:p w14:paraId="174C250F" w14:textId="77777777" w:rsidR="003D7F65" w:rsidRDefault="0082041E">
      <w:pPr>
        <w:pStyle w:val="P68B1DB1-Normal4"/>
        <w:spacing w:before="120" w:after="120" w:line="240" w:lineRule="auto"/>
        <w:jc w:val="both"/>
        <w:rPr>
          <w:noProof/>
        </w:rPr>
      </w:pPr>
      <w:r>
        <w:rPr>
          <w:noProof/>
        </w:rPr>
        <w:t xml:space="preserve">L'investissement vise à réduire les temps d'attente pour les soins non urgents. La mesure consiste à raccourcir le temps d'attente pour l'accès aux soins primaires non urgents. </w:t>
      </w:r>
    </w:p>
    <w:p w14:paraId="5F3668B8" w14:textId="77777777" w:rsidR="003D7F65" w:rsidRDefault="0082041E">
      <w:pPr>
        <w:pStyle w:val="P68B1DB1-Normal23"/>
        <w:spacing w:before="120" w:after="120" w:line="240" w:lineRule="auto"/>
        <w:jc w:val="both"/>
        <w:rPr>
          <w:noProof/>
        </w:rPr>
      </w:pPr>
      <w:r>
        <w:rPr>
          <w:noProof/>
        </w:rPr>
        <w:t>Investissement 2 (P4C1I2): Prévention et identification précoce des problèmes de santé</w:t>
      </w:r>
    </w:p>
    <w:p w14:paraId="455C447E" w14:textId="77777777" w:rsidR="003D7F65" w:rsidRDefault="0082041E">
      <w:pPr>
        <w:pStyle w:val="P68B1DB1-Normal4"/>
        <w:spacing w:before="120" w:after="120" w:line="240" w:lineRule="auto"/>
        <w:jc w:val="both"/>
        <w:rPr>
          <w:noProof/>
        </w:rPr>
      </w:pPr>
      <w:r>
        <w:rPr>
          <w:noProof/>
        </w:rPr>
        <w:t xml:space="preserve">L’objectif de cet investissement est de </w:t>
      </w:r>
      <w:r>
        <w:rPr>
          <w:noProof/>
          <w:shd w:val="clear" w:color="auto" w:fill="FFFFFF" w:themeFill="background1"/>
        </w:rPr>
        <w:t>promouvoir la santé et le bien-être.</w:t>
      </w:r>
      <w:r>
        <w:rPr>
          <w:noProof/>
        </w:rPr>
        <w:t xml:space="preserve"> La mesure consiste à fournir des modèles de gestion des services multisectoriels au niveau des zones de bien-être.</w:t>
      </w:r>
    </w:p>
    <w:p w14:paraId="7FBC73F4" w14:textId="50E59126" w:rsidR="003D7F65" w:rsidRDefault="0082041E">
      <w:pPr>
        <w:pStyle w:val="P68B1DB1-Normal23"/>
        <w:spacing w:before="120" w:after="120" w:line="240" w:lineRule="auto"/>
        <w:jc w:val="both"/>
        <w:rPr>
          <w:noProof/>
        </w:rPr>
      </w:pPr>
      <w:r>
        <w:rPr>
          <w:noProof/>
        </w:rPr>
        <w:t>Investissement 3 (P4C1I3): Base de connaissances pour accroître le rapport coût-efficacité des services de protection sociale et de soins de santé</w:t>
      </w:r>
    </w:p>
    <w:p w14:paraId="7BB96434" w14:textId="047D8850" w:rsidR="003D7F65" w:rsidRDefault="0082041E">
      <w:pPr>
        <w:pStyle w:val="P68B1DB1-Normal4"/>
        <w:spacing w:before="120" w:after="120" w:line="240" w:lineRule="auto"/>
        <w:jc w:val="both"/>
        <w:rPr>
          <w:noProof/>
        </w:rPr>
      </w:pPr>
      <w:r>
        <w:rPr>
          <w:noProof/>
        </w:rPr>
        <w:t xml:space="preserve">Cet investissement vise à améliorer la qualité et le rapport coût-efficacité des services sociaux et de santé. La mesure consiste en l'utilisation accrue d'un système national de suivi de la garantie de soins par le biais du registre des soins primaires et la production d'études, de méthodes et d'indicateurs sur un ou plusieurs des éléments suivants: coûts, efficacité ou rapport coût-efficacité dans le secteur social ou des soins de santé. </w:t>
      </w:r>
    </w:p>
    <w:p w14:paraId="124615CE" w14:textId="77777777" w:rsidR="003D7F65" w:rsidRDefault="0082041E">
      <w:pPr>
        <w:pStyle w:val="P68B1DB1-Normal23"/>
        <w:spacing w:before="120" w:after="120" w:line="240" w:lineRule="auto"/>
        <w:jc w:val="both"/>
        <w:rPr>
          <w:noProof/>
        </w:rPr>
      </w:pPr>
      <w:r>
        <w:rPr>
          <w:noProof/>
        </w:rPr>
        <w:t>Investissement 4 (P4C1I4): Introduction d’innovations numériques pour les services de protection sociale et de soins de santé</w:t>
      </w:r>
    </w:p>
    <w:p w14:paraId="25BF3D81" w14:textId="77777777" w:rsidR="003D7F65" w:rsidRDefault="0082041E">
      <w:pPr>
        <w:pStyle w:val="P68B1DB1-Normal4"/>
        <w:spacing w:before="120" w:after="120" w:line="240" w:lineRule="auto"/>
        <w:jc w:val="both"/>
        <w:rPr>
          <w:noProof/>
        </w:rPr>
      </w:pPr>
      <w:r>
        <w:rPr>
          <w:noProof/>
        </w:rPr>
        <w:t xml:space="preserve">Cet investissement vise à accroître l’utilisation des services en ligne dans le domaine des soins de santé et de la protection sociale. La mesure consiste à exploiter des solutions numériques dans le secteur social et des soins de santé. </w:t>
      </w:r>
    </w:p>
    <w:p w14:paraId="34A74426" w14:textId="77777777" w:rsidR="003D7F65" w:rsidRDefault="0082041E">
      <w:pPr>
        <w:pStyle w:val="P68B1DB1-Normal23"/>
        <w:spacing w:before="120" w:after="120" w:line="240" w:lineRule="auto"/>
        <w:jc w:val="both"/>
        <w:rPr>
          <w:noProof/>
        </w:rPr>
      </w:pPr>
      <w:r>
        <w:rPr>
          <w:noProof/>
        </w:rPr>
        <w:t>Investissement 5 (P4C1I5): Introduction d'un nouveau système numérique d'information sur les soins de santé en Åland</w:t>
      </w:r>
    </w:p>
    <w:p w14:paraId="0FEE27D2" w14:textId="77777777" w:rsidR="003D7F65" w:rsidRDefault="0082041E">
      <w:pPr>
        <w:pStyle w:val="P68B1DB1-Normal4"/>
        <w:spacing w:before="120" w:after="120" w:line="240" w:lineRule="auto"/>
        <w:jc w:val="both"/>
        <w:rPr>
          <w:noProof/>
        </w:rPr>
      </w:pPr>
      <w:r>
        <w:rPr>
          <w:noProof/>
        </w:rPr>
        <w:t>L'objectif de cet investissement est de créer un système moderne d'information sur les soins de santé et les soins médicaux dans les îles Åland. La mesure consiste en un système d’information sur les soins de santé.</w:t>
      </w:r>
    </w:p>
    <w:p w14:paraId="3E7A57BD" w14:textId="77777777" w:rsidR="003D7F65" w:rsidRDefault="003D7F65">
      <w:pPr>
        <w:spacing w:before="120" w:after="120" w:line="240" w:lineRule="auto"/>
        <w:jc w:val="both"/>
        <w:rPr>
          <w:rFonts w:ascii="Times New Roman" w:eastAsia="Times New Roman" w:hAnsi="Times New Roman"/>
          <w:noProof/>
          <w:sz w:val="24"/>
          <w:szCs w:val="24"/>
        </w:rPr>
        <w:sectPr w:rsidR="003D7F65" w:rsidSect="00A7081A">
          <w:headerReference w:type="even" r:id="rId158"/>
          <w:headerReference w:type="default" r:id="rId159"/>
          <w:footerReference w:type="even" r:id="rId160"/>
          <w:footerReference w:type="default" r:id="rId161"/>
          <w:headerReference w:type="first" r:id="rId162"/>
          <w:footerReference w:type="first" r:id="rId163"/>
          <w:pgSz w:w="11907" w:h="16839"/>
          <w:pgMar w:top="1134" w:right="1134" w:bottom="1134" w:left="1134" w:header="567" w:footer="567" w:gutter="0"/>
          <w:cols w:space="720"/>
          <w:docGrid w:linePitch="360"/>
        </w:sectPr>
      </w:pPr>
    </w:p>
    <w:p w14:paraId="7684CD31" w14:textId="77777777" w:rsidR="003D7F65" w:rsidRDefault="0082041E">
      <w:pPr>
        <w:pStyle w:val="P68B1DB1-Normal5"/>
        <w:spacing w:before="120" w:after="120" w:line="240" w:lineRule="auto"/>
        <w:jc w:val="both"/>
        <w:rPr>
          <w:noProof/>
        </w:rPr>
      </w:pPr>
      <w:r>
        <w:rPr>
          <w:noProof/>
        </w:rPr>
        <w:t xml:space="preserve">M.2. </w:t>
      </w:r>
      <w:r>
        <w:rPr>
          <w:noProof/>
        </w:rPr>
        <w:tab/>
        <w:t>Étapes, cibles, indicateurs et calendrier pour le suivi et la mise en œuvre du soutien financier non remboursable</w:t>
      </w:r>
    </w:p>
    <w:tbl>
      <w:tblPr>
        <w:tblW w:w="15304" w:type="dxa"/>
        <w:jc w:val="center"/>
        <w:tblLayout w:type="fixed"/>
        <w:tblCellMar>
          <w:left w:w="28" w:type="dxa"/>
          <w:right w:w="28" w:type="dxa"/>
        </w:tblCellMar>
        <w:tblLook w:val="04A0" w:firstRow="1" w:lastRow="0" w:firstColumn="1" w:lastColumn="0" w:noHBand="0" w:noVBand="1"/>
      </w:tblPr>
      <w:tblGrid>
        <w:gridCol w:w="867"/>
        <w:gridCol w:w="1528"/>
        <w:gridCol w:w="1080"/>
        <w:gridCol w:w="1502"/>
        <w:gridCol w:w="1417"/>
        <w:gridCol w:w="1114"/>
        <w:gridCol w:w="1134"/>
        <w:gridCol w:w="992"/>
        <w:gridCol w:w="993"/>
        <w:gridCol w:w="992"/>
        <w:gridCol w:w="3685"/>
      </w:tblGrid>
      <w:tr w:rsidR="003D7F65" w14:paraId="0F8DD316" w14:textId="77777777" w:rsidTr="007274DB">
        <w:trPr>
          <w:trHeight w:val="674"/>
          <w:tblHeader/>
          <w:jc w:val="center"/>
        </w:trPr>
        <w:tc>
          <w:tcPr>
            <w:tcW w:w="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C62038" w14:textId="77777777" w:rsidR="003D7F65" w:rsidRDefault="0082041E">
            <w:pPr>
              <w:pStyle w:val="P68B1DB1-Normal24"/>
              <w:spacing w:after="0" w:line="240" w:lineRule="auto"/>
              <w:jc w:val="center"/>
              <w:rPr>
                <w:noProof/>
              </w:rPr>
            </w:pPr>
            <w:r>
              <w:rPr>
                <w:noProof/>
              </w:rPr>
              <w:t>Numéro</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CEB040" w14:textId="77777777" w:rsidR="003D7F65" w:rsidRDefault="0082041E">
            <w:pPr>
              <w:pStyle w:val="P68B1DB1-Normal24"/>
              <w:spacing w:after="0" w:line="240" w:lineRule="auto"/>
              <w:jc w:val="center"/>
              <w:rPr>
                <w:bCs/>
                <w:noProof/>
              </w:rPr>
            </w:pPr>
            <w:r>
              <w:rPr>
                <w:noProof/>
              </w:rPr>
              <w:t>Mesure</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4C7206" w14:textId="77777777" w:rsidR="003D7F65" w:rsidRDefault="0082041E">
            <w:pPr>
              <w:pStyle w:val="P68B1DB1-Normal24"/>
              <w:spacing w:after="0" w:line="240" w:lineRule="auto"/>
              <w:jc w:val="center"/>
              <w:rPr>
                <w:noProof/>
              </w:rPr>
            </w:pPr>
            <w:r>
              <w:rPr>
                <w:noProof/>
              </w:rPr>
              <w:t>Étape/cible</w:t>
            </w:r>
          </w:p>
        </w:tc>
        <w:tc>
          <w:tcPr>
            <w:tcW w:w="15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BF2F44" w14:textId="77777777" w:rsidR="003D7F65" w:rsidRDefault="0082041E">
            <w:pPr>
              <w:pStyle w:val="P68B1DB1-Normal24"/>
              <w:spacing w:after="0" w:line="240" w:lineRule="auto"/>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850A6F" w14:textId="77777777" w:rsidR="003D7F65" w:rsidRDefault="0082041E">
            <w:pPr>
              <w:pStyle w:val="P68B1DB1-Normal24"/>
              <w:spacing w:after="0" w:line="240" w:lineRule="auto"/>
              <w:jc w:val="center"/>
              <w:rPr>
                <w:bCs/>
                <w:noProof/>
              </w:rPr>
            </w:pPr>
            <w:r>
              <w:rPr>
                <w:noProof/>
              </w:rPr>
              <w:t>Indicateurs qualitatifs (pour les jalons)</w:t>
            </w:r>
          </w:p>
        </w:tc>
        <w:tc>
          <w:tcPr>
            <w:tcW w:w="32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DEE3026" w14:textId="77777777" w:rsidR="003D7F65" w:rsidRDefault="0082041E">
            <w:pPr>
              <w:pStyle w:val="P68B1DB1-Normal24"/>
              <w:spacing w:after="0" w:line="240" w:lineRule="auto"/>
              <w:jc w:val="center"/>
              <w:rPr>
                <w:bCs/>
                <w:noProof/>
              </w:rPr>
            </w:pPr>
            <w:r>
              <w:rPr>
                <w:noProof/>
              </w:rPr>
              <w:t>Indicateurs quantitatifs (pour les objectifs)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05B9E3E5" w14:textId="77777777" w:rsidR="003D7F65" w:rsidRDefault="0082041E">
            <w:pPr>
              <w:pStyle w:val="P68B1DB1-Normal24"/>
              <w:spacing w:after="0" w:line="240" w:lineRule="auto"/>
              <w:jc w:val="center"/>
              <w:rPr>
                <w:bCs/>
                <w:noProof/>
              </w:rPr>
            </w:pPr>
            <w:r>
              <w:rPr>
                <w:noProof/>
              </w:rPr>
              <w:t>Calendrier indicatif d'achèvement</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68839C" w14:textId="77777777" w:rsidR="003D7F65" w:rsidRDefault="0082041E">
            <w:pPr>
              <w:pStyle w:val="P68B1DB1-Normal24"/>
              <w:spacing w:after="0" w:line="240" w:lineRule="auto"/>
              <w:jc w:val="center"/>
              <w:rPr>
                <w:noProof/>
              </w:rPr>
            </w:pPr>
            <w:r>
              <w:rPr>
                <w:noProof/>
              </w:rPr>
              <w:t>Description de chaque jalon et cible</w:t>
            </w:r>
          </w:p>
        </w:tc>
      </w:tr>
      <w:tr w:rsidR="003D7F65" w14:paraId="67EC2069" w14:textId="77777777" w:rsidTr="007274DB">
        <w:trPr>
          <w:trHeight w:val="500"/>
          <w:tblHeader/>
          <w:jc w:val="center"/>
        </w:trPr>
        <w:tc>
          <w:tcPr>
            <w:tcW w:w="867" w:type="dxa"/>
            <w:vMerge/>
            <w:tcBorders>
              <w:top w:val="single" w:sz="4" w:space="0" w:color="auto"/>
              <w:left w:val="single" w:sz="4" w:space="0" w:color="auto"/>
              <w:bottom w:val="single" w:sz="4" w:space="0" w:color="auto"/>
              <w:right w:val="single" w:sz="4" w:space="0" w:color="auto"/>
            </w:tcBorders>
            <w:vAlign w:val="center"/>
            <w:hideMark/>
          </w:tcPr>
          <w:p w14:paraId="4EE7BD8C" w14:textId="77777777" w:rsidR="003D7F65" w:rsidRDefault="003D7F65">
            <w:pPr>
              <w:spacing w:after="0" w:line="240" w:lineRule="auto"/>
              <w:jc w:val="both"/>
              <w:rPr>
                <w:rFonts w:ascii="Times New Roman" w:hAnsi="Times New Roman"/>
                <w:b/>
                <w:noProof/>
                <w:sz w:val="20"/>
                <w:szCs w:val="20"/>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2B5F736F" w14:textId="77777777" w:rsidR="003D7F65" w:rsidRDefault="003D7F65">
            <w:pPr>
              <w:spacing w:after="0" w:line="240" w:lineRule="auto"/>
              <w:jc w:val="both"/>
              <w:rPr>
                <w:rFonts w:ascii="Times New Roman" w:hAnsi="Times New Roman"/>
                <w:b/>
                <w:noProof/>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7DC3F6C" w14:textId="77777777" w:rsidR="003D7F65" w:rsidRDefault="003D7F65">
            <w:pPr>
              <w:spacing w:after="0" w:line="240" w:lineRule="auto"/>
              <w:jc w:val="both"/>
              <w:rPr>
                <w:rFonts w:ascii="Times New Roman" w:hAnsi="Times New Roman"/>
                <w:b/>
                <w:noProof/>
                <w:sz w:val="20"/>
                <w:szCs w:val="20"/>
              </w:rPr>
            </w:pPr>
          </w:p>
        </w:tc>
        <w:tc>
          <w:tcPr>
            <w:tcW w:w="1502" w:type="dxa"/>
            <w:vMerge/>
            <w:tcBorders>
              <w:top w:val="single" w:sz="4" w:space="0" w:color="auto"/>
              <w:left w:val="single" w:sz="4" w:space="0" w:color="auto"/>
              <w:bottom w:val="single" w:sz="4" w:space="0" w:color="auto"/>
              <w:right w:val="single" w:sz="4" w:space="0" w:color="auto"/>
            </w:tcBorders>
            <w:vAlign w:val="center"/>
            <w:hideMark/>
          </w:tcPr>
          <w:p w14:paraId="2779BA66" w14:textId="77777777" w:rsidR="003D7F65" w:rsidRDefault="003D7F65">
            <w:pPr>
              <w:spacing w:after="0" w:line="240" w:lineRule="auto"/>
              <w:jc w:val="both"/>
              <w:rPr>
                <w:rFonts w:ascii="Times New Roman" w:hAnsi="Times New Roman"/>
                <w:b/>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3F09C52" w14:textId="77777777" w:rsidR="003D7F65" w:rsidRDefault="003D7F65">
            <w:pPr>
              <w:spacing w:after="0" w:line="240" w:lineRule="auto"/>
              <w:jc w:val="both"/>
              <w:rPr>
                <w:rFonts w:ascii="Times New Roman" w:hAnsi="Times New Roman"/>
                <w:b/>
                <w:noProof/>
                <w:sz w:val="20"/>
                <w:szCs w:val="20"/>
              </w:rPr>
            </w:pPr>
          </w:p>
        </w:tc>
        <w:tc>
          <w:tcPr>
            <w:tcW w:w="111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0A9B148" w14:textId="77777777" w:rsidR="003D7F65" w:rsidRDefault="0082041E">
            <w:pPr>
              <w:pStyle w:val="P68B1DB1-Normal24"/>
              <w:spacing w:after="0" w:line="240" w:lineRule="auto"/>
              <w:jc w:val="center"/>
              <w:rPr>
                <w:noProof/>
              </w:rPr>
            </w:pPr>
            <w:r>
              <w:rPr>
                <w:noProof/>
              </w:rPr>
              <w:t>Unité</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02F989" w14:textId="77777777" w:rsidR="003D7F65" w:rsidRDefault="0082041E">
            <w:pPr>
              <w:pStyle w:val="P68B1DB1-Normal24"/>
              <w:spacing w:after="0" w:line="240" w:lineRule="auto"/>
              <w:jc w:val="center"/>
              <w:rPr>
                <w:bCs/>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2BE992" w14:textId="77777777" w:rsidR="003D7F65" w:rsidRDefault="0082041E">
            <w:pPr>
              <w:pStyle w:val="P68B1DB1-Normal24"/>
              <w:spacing w:after="0" w:line="240" w:lineRule="auto"/>
              <w:jc w:val="center"/>
              <w:rPr>
                <w:noProof/>
              </w:rPr>
            </w:pPr>
            <w:r>
              <w:rPr>
                <w:noProof/>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AC2FA0" w14:textId="77777777" w:rsidR="003D7F65" w:rsidRDefault="0082041E">
            <w:pPr>
              <w:pStyle w:val="P68B1DB1-Normal24"/>
              <w:spacing w:after="0" w:line="240" w:lineRule="auto"/>
              <w:jc w:val="center"/>
              <w:rPr>
                <w:noProof/>
              </w:rPr>
            </w:pPr>
            <w:r>
              <w:rPr>
                <w:noProof/>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ABDFB3" w14:textId="77777777" w:rsidR="003D7F65" w:rsidRDefault="0082041E">
            <w:pPr>
              <w:pStyle w:val="P68B1DB1-Normal24"/>
              <w:spacing w:after="0" w:line="240" w:lineRule="auto"/>
              <w:jc w:val="center"/>
              <w:rPr>
                <w:noProof/>
              </w:rPr>
            </w:pPr>
            <w:r>
              <w:rPr>
                <w:noProof/>
              </w:rPr>
              <w:t>Année</w:t>
            </w:r>
          </w:p>
        </w:tc>
        <w:tc>
          <w:tcPr>
            <w:tcW w:w="3685" w:type="dxa"/>
            <w:vMerge/>
            <w:tcBorders>
              <w:top w:val="single" w:sz="4" w:space="0" w:color="auto"/>
              <w:bottom w:val="single" w:sz="4" w:space="0" w:color="auto"/>
              <w:right w:val="single" w:sz="4" w:space="0" w:color="auto"/>
            </w:tcBorders>
            <w:vAlign w:val="center"/>
            <w:hideMark/>
          </w:tcPr>
          <w:p w14:paraId="65B18FF2" w14:textId="77777777" w:rsidR="003D7F65" w:rsidRDefault="003D7F65">
            <w:pPr>
              <w:spacing w:after="0" w:line="240" w:lineRule="auto"/>
              <w:jc w:val="both"/>
              <w:rPr>
                <w:rFonts w:ascii="Times New Roman" w:hAnsi="Times New Roman"/>
                <w:noProof/>
                <w:sz w:val="20"/>
                <w:szCs w:val="20"/>
              </w:rPr>
            </w:pPr>
          </w:p>
        </w:tc>
      </w:tr>
      <w:tr w:rsidR="003D7F65" w14:paraId="3333D161" w14:textId="77777777" w:rsidTr="007274DB">
        <w:trPr>
          <w:trHeight w:val="309"/>
          <w:jc w:val="center"/>
        </w:trPr>
        <w:tc>
          <w:tcPr>
            <w:tcW w:w="867" w:type="dxa"/>
            <w:tcBorders>
              <w:top w:val="single" w:sz="4" w:space="0" w:color="auto"/>
              <w:left w:val="single" w:sz="4" w:space="0" w:color="auto"/>
              <w:bottom w:val="single" w:sz="4" w:space="0" w:color="auto"/>
              <w:right w:val="single" w:sz="4" w:space="0" w:color="auto"/>
            </w:tcBorders>
            <w:shd w:val="clear" w:color="auto" w:fill="C6EFCE"/>
            <w:noWrap/>
          </w:tcPr>
          <w:p w14:paraId="68A452C1" w14:textId="77777777" w:rsidR="003D7F65" w:rsidRDefault="0082041E">
            <w:pPr>
              <w:pStyle w:val="P68B1DB1-Normal25"/>
              <w:spacing w:after="0" w:line="240" w:lineRule="auto"/>
              <w:jc w:val="both"/>
              <w:rPr>
                <w:noProof/>
              </w:rPr>
            </w:pPr>
            <w:r>
              <w:rPr>
                <w:noProof/>
              </w:rPr>
              <w:t>133</w:t>
            </w:r>
          </w:p>
        </w:tc>
        <w:tc>
          <w:tcPr>
            <w:tcW w:w="1528" w:type="dxa"/>
            <w:tcBorders>
              <w:top w:val="single" w:sz="4" w:space="0" w:color="auto"/>
              <w:left w:val="nil"/>
              <w:bottom w:val="single" w:sz="4" w:space="0" w:color="auto"/>
              <w:right w:val="single" w:sz="4" w:space="0" w:color="auto"/>
            </w:tcBorders>
            <w:shd w:val="clear" w:color="auto" w:fill="C6EFCE"/>
            <w:noWrap/>
          </w:tcPr>
          <w:p w14:paraId="0307A490" w14:textId="77777777" w:rsidR="003D7F65" w:rsidRDefault="0082041E">
            <w:pPr>
              <w:pStyle w:val="P68B1DB1-Normal25"/>
              <w:spacing w:after="0" w:line="240" w:lineRule="auto"/>
              <w:rPr>
                <w:noProof/>
              </w:rPr>
            </w:pPr>
            <w:r>
              <w:rPr>
                <w:noProof/>
              </w:rPr>
              <w:t>P4C1R1 - Préparation de la réforme de la protection sociale et des soins de santé à l'appui de la mise en œuvre de la garantie de soins</w:t>
            </w:r>
          </w:p>
          <w:p w14:paraId="5740D1BF" w14:textId="77777777" w:rsidR="003D7F65" w:rsidRDefault="003D7F65">
            <w:pPr>
              <w:spacing w:after="0" w:line="240" w:lineRule="auto"/>
              <w:rPr>
                <w:rFonts w:ascii="Times New Roman" w:eastAsia="Times New Roman" w:hAnsi="Times New Roman"/>
                <w:noProof/>
                <w:color w:val="000000" w:themeColor="text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6CBB7762" w14:textId="77777777" w:rsidR="003D7F65" w:rsidRDefault="0082041E">
            <w:pPr>
              <w:pStyle w:val="P68B1DB1-Normal8"/>
              <w:spacing w:after="0" w:line="240" w:lineRule="auto"/>
              <w:rPr>
                <w:noProof/>
              </w:rPr>
            </w:pPr>
            <w:r>
              <w:rPr>
                <w:noProof/>
              </w:rPr>
              <w:t>Étape</w:t>
            </w:r>
          </w:p>
        </w:tc>
        <w:tc>
          <w:tcPr>
            <w:tcW w:w="1502" w:type="dxa"/>
            <w:tcBorders>
              <w:top w:val="single" w:sz="4" w:space="0" w:color="auto"/>
              <w:left w:val="nil"/>
              <w:bottom w:val="single" w:sz="4" w:space="0" w:color="auto"/>
              <w:right w:val="single" w:sz="4" w:space="0" w:color="auto"/>
            </w:tcBorders>
            <w:shd w:val="clear" w:color="auto" w:fill="C6EFCE"/>
            <w:noWrap/>
          </w:tcPr>
          <w:p w14:paraId="6EDFEA21" w14:textId="77777777" w:rsidR="003D7F65" w:rsidRDefault="0082041E">
            <w:pPr>
              <w:pStyle w:val="P68B1DB1-Normal8"/>
              <w:spacing w:after="0" w:line="240" w:lineRule="auto"/>
              <w:rPr>
                <w:rFonts w:eastAsia="Times New Roman"/>
                <w:noProof/>
              </w:rPr>
            </w:pPr>
            <w:r>
              <w:rPr>
                <w:noProof/>
              </w:rPr>
              <w:t xml:space="preserve">Entrée en vigueur du cadre juridique initial établissant des zones de protection sociale et réformant les services sociaux, de soins de santé et de secours </w:t>
            </w:r>
          </w:p>
        </w:tc>
        <w:tc>
          <w:tcPr>
            <w:tcW w:w="1417" w:type="dxa"/>
            <w:tcBorders>
              <w:top w:val="single" w:sz="4" w:space="0" w:color="auto"/>
              <w:left w:val="nil"/>
              <w:bottom w:val="single" w:sz="4" w:space="0" w:color="auto"/>
              <w:right w:val="single" w:sz="4" w:space="0" w:color="auto"/>
            </w:tcBorders>
            <w:shd w:val="clear" w:color="auto" w:fill="C6EFCE"/>
            <w:noWrap/>
          </w:tcPr>
          <w:p w14:paraId="1F25D3D3" w14:textId="77777777" w:rsidR="003D7F65" w:rsidRDefault="0082041E">
            <w:pPr>
              <w:pStyle w:val="P68B1DB1-Normal8"/>
              <w:spacing w:after="0" w:line="240" w:lineRule="auto"/>
              <w:rPr>
                <w:noProof/>
              </w:rPr>
            </w:pPr>
            <w:r>
              <w:rPr>
                <w:noProof/>
              </w:rPr>
              <w:t>Dispositions des actes législatifs indiquant leur entrée en vigueur</w:t>
            </w:r>
          </w:p>
          <w:p w14:paraId="093C056C" w14:textId="77777777" w:rsidR="003D7F65" w:rsidRDefault="003D7F65">
            <w:pPr>
              <w:spacing w:after="0" w:line="240" w:lineRule="auto"/>
              <w:rPr>
                <w:rFonts w:ascii="Times New Roman" w:eastAsia="Times New Roman" w:hAnsi="Times New Roman"/>
                <w:noProof/>
                <w:sz w:val="20"/>
                <w:szCs w:val="20"/>
              </w:rPr>
            </w:pPr>
          </w:p>
        </w:tc>
        <w:tc>
          <w:tcPr>
            <w:tcW w:w="1114" w:type="dxa"/>
            <w:tcBorders>
              <w:top w:val="single" w:sz="4" w:space="0" w:color="auto"/>
              <w:left w:val="nil"/>
              <w:bottom w:val="single" w:sz="4" w:space="0" w:color="auto"/>
              <w:right w:val="single" w:sz="4" w:space="0" w:color="auto"/>
            </w:tcBorders>
            <w:shd w:val="clear" w:color="auto" w:fill="C6EFCE"/>
            <w:noWrap/>
          </w:tcPr>
          <w:p w14:paraId="5EA8A373" w14:textId="77777777" w:rsidR="003D7F65" w:rsidRDefault="0082041E">
            <w:pPr>
              <w:pStyle w:val="P68B1DB1-Normal8"/>
              <w:spacing w:after="0" w:line="240" w:lineRule="auto"/>
              <w:rPr>
                <w:noProof/>
              </w:rPr>
            </w:pPr>
            <w:r>
              <w:rPr>
                <w:noProof/>
              </w:rPr>
              <w:t> </w:t>
            </w:r>
          </w:p>
        </w:tc>
        <w:tc>
          <w:tcPr>
            <w:tcW w:w="1134" w:type="dxa"/>
            <w:tcBorders>
              <w:top w:val="single" w:sz="4" w:space="0" w:color="auto"/>
              <w:left w:val="nil"/>
              <w:bottom w:val="single" w:sz="4" w:space="0" w:color="auto"/>
              <w:right w:val="single" w:sz="4" w:space="0" w:color="auto"/>
            </w:tcBorders>
            <w:shd w:val="clear" w:color="auto" w:fill="C6EFCE"/>
            <w:noWrap/>
          </w:tcPr>
          <w:p w14:paraId="06935ADB" w14:textId="77777777" w:rsidR="003D7F65" w:rsidRDefault="0082041E">
            <w:pPr>
              <w:pStyle w:val="P68B1DB1-Normal8"/>
              <w:spacing w:after="0" w:line="240" w:lineRule="auto"/>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Pr>
          <w:p w14:paraId="5E11427F" w14:textId="77777777" w:rsidR="003D7F65" w:rsidRDefault="0082041E">
            <w:pPr>
              <w:pStyle w:val="P68B1DB1-Normal8"/>
              <w:spacing w:after="0" w:line="240" w:lineRule="auto"/>
              <w:rPr>
                <w:noProof/>
              </w:rPr>
            </w:pPr>
            <w:r>
              <w:rPr>
                <w:noProof/>
              </w:rPr>
              <w:t> </w:t>
            </w:r>
          </w:p>
        </w:tc>
        <w:tc>
          <w:tcPr>
            <w:tcW w:w="993" w:type="dxa"/>
            <w:tcBorders>
              <w:top w:val="single" w:sz="4" w:space="0" w:color="auto"/>
              <w:left w:val="nil"/>
              <w:bottom w:val="single" w:sz="4" w:space="0" w:color="auto"/>
              <w:right w:val="single" w:sz="4" w:space="0" w:color="auto"/>
            </w:tcBorders>
            <w:shd w:val="clear" w:color="auto" w:fill="C6EFCE"/>
            <w:noWrap/>
          </w:tcPr>
          <w:p w14:paraId="5730F227" w14:textId="77777777" w:rsidR="003D7F65" w:rsidRDefault="0082041E">
            <w:pPr>
              <w:pStyle w:val="P68B1DB1-Normal8"/>
              <w:spacing w:after="0" w:line="240" w:lineRule="auto"/>
              <w:rPr>
                <w:noProof/>
              </w:rPr>
            </w:pPr>
            <w:r>
              <w:rPr>
                <w:noProof/>
              </w:rPr>
              <w:t>T3</w:t>
            </w:r>
          </w:p>
        </w:tc>
        <w:tc>
          <w:tcPr>
            <w:tcW w:w="992" w:type="dxa"/>
            <w:tcBorders>
              <w:top w:val="single" w:sz="4" w:space="0" w:color="auto"/>
              <w:left w:val="nil"/>
              <w:bottom w:val="single" w:sz="4" w:space="0" w:color="auto"/>
              <w:right w:val="single" w:sz="4" w:space="0" w:color="auto"/>
            </w:tcBorders>
            <w:shd w:val="clear" w:color="auto" w:fill="C6EFCE"/>
            <w:noWrap/>
          </w:tcPr>
          <w:p w14:paraId="0BC6B137" w14:textId="77777777" w:rsidR="003D7F65" w:rsidRDefault="0082041E">
            <w:pPr>
              <w:pStyle w:val="P68B1DB1-Normal25"/>
              <w:spacing w:after="0" w:line="240" w:lineRule="auto"/>
              <w:rPr>
                <w:noProof/>
              </w:rPr>
            </w:pPr>
            <w:r>
              <w:rPr>
                <w:noProof/>
              </w:rPr>
              <w:t>2021</w:t>
            </w:r>
          </w:p>
        </w:tc>
        <w:tc>
          <w:tcPr>
            <w:tcW w:w="3685" w:type="dxa"/>
            <w:tcBorders>
              <w:top w:val="single" w:sz="4" w:space="0" w:color="auto"/>
              <w:left w:val="nil"/>
              <w:bottom w:val="single" w:sz="4" w:space="0" w:color="auto"/>
              <w:right w:val="single" w:sz="4" w:space="0" w:color="auto"/>
            </w:tcBorders>
            <w:shd w:val="clear" w:color="auto" w:fill="C6EFCE"/>
            <w:noWrap/>
          </w:tcPr>
          <w:p w14:paraId="608945CC" w14:textId="77777777" w:rsidR="003D7F65" w:rsidRDefault="0082041E">
            <w:pPr>
              <w:pStyle w:val="P68B1DB1-Normal25"/>
              <w:spacing w:after="0" w:line="240" w:lineRule="auto"/>
              <w:rPr>
                <w:noProof/>
              </w:rPr>
            </w:pPr>
            <w:r>
              <w:rPr>
                <w:noProof/>
              </w:rPr>
              <w:t>Entrée en vigueur de la première série d’actes législatifs établissant des zones de protection sociale et la réforme des services sociaux, de soins de santé et de secours:</w:t>
            </w:r>
          </w:p>
          <w:p w14:paraId="0D479381" w14:textId="77777777" w:rsidR="003D7F65" w:rsidRDefault="0082041E">
            <w:pPr>
              <w:pStyle w:val="P68B1DB1-ListParagraph26"/>
              <w:numPr>
                <w:ilvl w:val="0"/>
                <w:numId w:val="29"/>
              </w:numPr>
              <w:spacing w:after="0" w:line="240" w:lineRule="auto"/>
              <w:rPr>
                <w:noProof/>
              </w:rPr>
            </w:pPr>
            <w:r>
              <w:rPr>
                <w:noProof/>
              </w:rPr>
              <w:t>La création de 22 zones de protection sociale, chargées des tâches de santé, de services sociaux et de secours qui relevaient de la responsabilité des municipalités et des autorités municipales communes;</w:t>
            </w:r>
          </w:p>
          <w:p w14:paraId="0DF28107" w14:textId="77777777" w:rsidR="003D7F65" w:rsidRDefault="0082041E">
            <w:pPr>
              <w:pStyle w:val="P68B1DB1-ListParagraph26"/>
              <w:numPr>
                <w:ilvl w:val="0"/>
                <w:numId w:val="29"/>
              </w:numPr>
              <w:spacing w:after="0" w:line="252" w:lineRule="auto"/>
              <w:rPr>
                <w:noProof/>
              </w:rPr>
            </w:pPr>
            <w:r>
              <w:rPr>
                <w:noProof/>
              </w:rPr>
              <w:t>transférer la responsabilité juridique de l'organisation des soins de santé, de la protection sociale et des services de secours, ainsi que d'autres services et tâches relevant de la compétence des zones de protection sociale;</w:t>
            </w:r>
          </w:p>
          <w:p w14:paraId="2B4C8FC2" w14:textId="77777777" w:rsidR="003D7F65" w:rsidRDefault="0082041E">
            <w:pPr>
              <w:pStyle w:val="P68B1DB1-ListParagraph26"/>
              <w:numPr>
                <w:ilvl w:val="0"/>
                <w:numId w:val="29"/>
              </w:numPr>
              <w:spacing w:after="0" w:line="252" w:lineRule="auto"/>
              <w:rPr>
                <w:noProof/>
              </w:rPr>
            </w:pPr>
            <w:r>
              <w:rPr>
                <w:noProof/>
              </w:rPr>
              <w:t>Organiser les services de secours dans les zones de protection sociale en tant que secteur distinct travaillant en parallèle avec le secteur des soins de santé et de la protection sociale.</w:t>
            </w:r>
          </w:p>
        </w:tc>
      </w:tr>
      <w:tr w:rsidR="003D7F65" w14:paraId="7ACC7531" w14:textId="77777777" w:rsidTr="007274DB">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68B3C0CE" w14:textId="60FEDE4A" w:rsidR="003D7F65" w:rsidRDefault="0082041E">
            <w:pPr>
              <w:pStyle w:val="P68B1DB1-Normal8"/>
              <w:spacing w:after="0" w:line="240" w:lineRule="auto"/>
              <w:jc w:val="both"/>
              <w:rPr>
                <w:noProof/>
              </w:rPr>
            </w:pPr>
            <w:r>
              <w:rPr>
                <w:noProof/>
              </w:rPr>
              <w:t>134</w:t>
            </w:r>
          </w:p>
        </w:tc>
        <w:tc>
          <w:tcPr>
            <w:tcW w:w="1528" w:type="dxa"/>
            <w:tcBorders>
              <w:top w:val="nil"/>
              <w:left w:val="nil"/>
              <w:bottom w:val="single" w:sz="4" w:space="0" w:color="auto"/>
              <w:right w:val="single" w:sz="4" w:space="0" w:color="auto"/>
            </w:tcBorders>
            <w:shd w:val="clear" w:color="auto" w:fill="C6EFCE"/>
            <w:noWrap/>
          </w:tcPr>
          <w:p w14:paraId="52F89A77" w14:textId="77777777" w:rsidR="003D7F65" w:rsidRDefault="0082041E">
            <w:pPr>
              <w:pStyle w:val="P68B1DB1-Normal8"/>
              <w:spacing w:after="0" w:line="240" w:lineRule="auto"/>
              <w:rPr>
                <w:noProof/>
              </w:rPr>
            </w:pPr>
            <w:r>
              <w:rPr>
                <w:noProof/>
              </w:rPr>
              <w:t xml:space="preserve">P4C1R1 - Préparation de la réforme de la protection sociale et des soins de santé à l'appui de la mise en œuvre de la garantie de soins </w:t>
            </w:r>
          </w:p>
        </w:tc>
        <w:tc>
          <w:tcPr>
            <w:tcW w:w="1080" w:type="dxa"/>
            <w:tcBorders>
              <w:top w:val="nil"/>
              <w:left w:val="nil"/>
              <w:bottom w:val="single" w:sz="4" w:space="0" w:color="auto"/>
              <w:right w:val="single" w:sz="4" w:space="0" w:color="auto"/>
            </w:tcBorders>
            <w:shd w:val="clear" w:color="auto" w:fill="C6EFCE"/>
            <w:noWrap/>
          </w:tcPr>
          <w:p w14:paraId="264ABC32" w14:textId="77777777" w:rsidR="003D7F65" w:rsidRDefault="0082041E">
            <w:pPr>
              <w:pStyle w:val="P68B1DB1-Normal8"/>
              <w:spacing w:line="240" w:lineRule="auto"/>
              <w:rPr>
                <w:noProof/>
              </w:rPr>
            </w:pPr>
            <w:r>
              <w:rPr>
                <w:noProof/>
              </w:rPr>
              <w:t>Étape</w:t>
            </w:r>
          </w:p>
        </w:tc>
        <w:tc>
          <w:tcPr>
            <w:tcW w:w="1502" w:type="dxa"/>
            <w:tcBorders>
              <w:top w:val="nil"/>
              <w:left w:val="nil"/>
              <w:bottom w:val="single" w:sz="4" w:space="0" w:color="auto"/>
              <w:right w:val="single" w:sz="4" w:space="0" w:color="auto"/>
            </w:tcBorders>
            <w:shd w:val="clear" w:color="auto" w:fill="C6EFCE"/>
            <w:noWrap/>
          </w:tcPr>
          <w:p w14:paraId="1C229266" w14:textId="77777777" w:rsidR="003D7F65" w:rsidRDefault="0082041E">
            <w:pPr>
              <w:pStyle w:val="P68B1DB1-Normal8"/>
              <w:spacing w:after="0" w:line="240" w:lineRule="auto"/>
              <w:rPr>
                <w:noProof/>
              </w:rPr>
            </w:pPr>
            <w:r>
              <w:rPr>
                <w:noProof/>
              </w:rPr>
              <w:t>Entrée en vigueur du cadre juridique supplémentaire complétant la mise en place de zones de protection sociale et la réforme des services sociaux, de soins de santé et de secours</w:t>
            </w:r>
          </w:p>
        </w:tc>
        <w:tc>
          <w:tcPr>
            <w:tcW w:w="1417" w:type="dxa"/>
            <w:tcBorders>
              <w:top w:val="single" w:sz="4" w:space="0" w:color="auto"/>
              <w:left w:val="nil"/>
              <w:bottom w:val="single" w:sz="4" w:space="0" w:color="auto"/>
              <w:right w:val="single" w:sz="4" w:space="0" w:color="auto"/>
            </w:tcBorders>
            <w:shd w:val="clear" w:color="auto" w:fill="C6EFCE"/>
            <w:noWrap/>
          </w:tcPr>
          <w:p w14:paraId="75570A6C" w14:textId="77777777" w:rsidR="003D7F65" w:rsidRDefault="0082041E">
            <w:pPr>
              <w:pStyle w:val="P68B1DB1-Normal8"/>
              <w:spacing w:after="0" w:line="240" w:lineRule="auto"/>
              <w:rPr>
                <w:noProof/>
              </w:rPr>
            </w:pPr>
            <w:r>
              <w:rPr>
                <w:noProof/>
              </w:rPr>
              <w:t>Dispositions des actes législatifs supplémentaires indiquant leur entrée en vigueur</w:t>
            </w:r>
          </w:p>
        </w:tc>
        <w:tc>
          <w:tcPr>
            <w:tcW w:w="1114" w:type="dxa"/>
            <w:tcBorders>
              <w:top w:val="nil"/>
              <w:left w:val="nil"/>
              <w:bottom w:val="single" w:sz="4" w:space="0" w:color="auto"/>
              <w:right w:val="single" w:sz="4" w:space="0" w:color="auto"/>
            </w:tcBorders>
            <w:shd w:val="clear" w:color="auto" w:fill="C6EFCE"/>
            <w:noWrap/>
          </w:tcPr>
          <w:p w14:paraId="2737DA5B" w14:textId="77777777" w:rsidR="003D7F65" w:rsidRDefault="003D7F65">
            <w:pPr>
              <w:spacing w:line="240" w:lineRule="auto"/>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24C0981F" w14:textId="77777777" w:rsidR="003D7F65" w:rsidRDefault="003D7F65">
            <w:pPr>
              <w:spacing w:line="240" w:lineRule="auto"/>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0B98A68C" w14:textId="77777777" w:rsidR="003D7F65" w:rsidRDefault="003D7F65">
            <w:pPr>
              <w:spacing w:line="240" w:lineRule="auto"/>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A39EEB2" w14:textId="77777777" w:rsidR="003D7F65" w:rsidRDefault="0082041E">
            <w:pPr>
              <w:pStyle w:val="P68B1DB1-Normal8"/>
              <w:spacing w:line="240" w:lineRule="auto"/>
              <w:rPr>
                <w:noProof/>
              </w:rPr>
            </w:pPr>
            <w:r>
              <w:rPr>
                <w:noProof/>
              </w:rPr>
              <w:t>T1</w:t>
            </w:r>
          </w:p>
        </w:tc>
        <w:tc>
          <w:tcPr>
            <w:tcW w:w="992" w:type="dxa"/>
            <w:tcBorders>
              <w:top w:val="nil"/>
              <w:left w:val="nil"/>
              <w:bottom w:val="single" w:sz="4" w:space="0" w:color="auto"/>
              <w:right w:val="single" w:sz="4" w:space="0" w:color="auto"/>
            </w:tcBorders>
            <w:shd w:val="clear" w:color="auto" w:fill="C6EFCE"/>
            <w:noWrap/>
          </w:tcPr>
          <w:p w14:paraId="28C1E24C" w14:textId="2CA2B19F" w:rsidR="003D7F65" w:rsidRDefault="0082041E">
            <w:pPr>
              <w:pStyle w:val="P68B1DB1-Normal8"/>
              <w:spacing w:after="0" w:line="240" w:lineRule="auto"/>
              <w:rPr>
                <w:noProof/>
              </w:rPr>
            </w:pPr>
            <w:r>
              <w:rPr>
                <w:noProof/>
              </w:rPr>
              <w:t>2023</w:t>
            </w:r>
          </w:p>
        </w:tc>
        <w:tc>
          <w:tcPr>
            <w:tcW w:w="3685" w:type="dxa"/>
            <w:tcBorders>
              <w:top w:val="single" w:sz="4" w:space="0" w:color="auto"/>
              <w:left w:val="nil"/>
              <w:bottom w:val="single" w:sz="4" w:space="0" w:color="auto"/>
              <w:right w:val="single" w:sz="4" w:space="0" w:color="auto"/>
            </w:tcBorders>
            <w:shd w:val="clear" w:color="auto" w:fill="C6EFCE"/>
            <w:noWrap/>
          </w:tcPr>
          <w:p w14:paraId="31135461" w14:textId="77777777" w:rsidR="003D7F65" w:rsidRDefault="0082041E">
            <w:pPr>
              <w:pStyle w:val="P68B1DB1-Normal8"/>
              <w:spacing w:after="0" w:line="240" w:lineRule="auto"/>
              <w:rPr>
                <w:noProof/>
              </w:rPr>
            </w:pPr>
            <w:r>
              <w:rPr>
                <w:noProof/>
              </w:rPr>
              <w:t>Entrée en vigueur de la deuxième série d'actes législatifs complétant la mise en place de zones de protection sociale et la réforme des services sociaux, de soins de santé et de secours:</w:t>
            </w:r>
          </w:p>
          <w:p w14:paraId="4D98CDC0" w14:textId="77777777" w:rsidR="003D7F65" w:rsidRDefault="0082041E">
            <w:pPr>
              <w:pStyle w:val="P68B1DB1-ListParagraph16"/>
              <w:numPr>
                <w:ilvl w:val="0"/>
                <w:numId w:val="30"/>
              </w:numPr>
              <w:spacing w:after="0" w:line="240" w:lineRule="auto"/>
              <w:rPr>
                <w:noProof/>
              </w:rPr>
            </w:pPr>
            <w:r>
              <w:rPr>
                <w:noProof/>
              </w:rPr>
              <w:t xml:space="preserve">la mise en place des règles de gouvernance, des procédures administratives et des structures organisationnelles des zones de bien-être; </w:t>
            </w:r>
          </w:p>
          <w:p w14:paraId="7A1A27A5" w14:textId="77777777" w:rsidR="003D7F65" w:rsidRDefault="0082041E">
            <w:pPr>
              <w:pStyle w:val="P68B1DB1-ListParagraph16"/>
              <w:numPr>
                <w:ilvl w:val="0"/>
                <w:numId w:val="30"/>
              </w:numPr>
              <w:spacing w:after="0" w:line="240" w:lineRule="auto"/>
              <w:rPr>
                <w:noProof/>
              </w:rPr>
            </w:pPr>
            <w:r>
              <w:rPr>
                <w:noProof/>
              </w:rPr>
              <w:t xml:space="preserve">Transférer le fonctionnement des districts hospitaliers, des districts de soins spéciaux, des services de travailleurs sociaux et de psychologues dans le domaine du bien-être des étudiants vers les zones de bien-être (les zones de bien-être et les municipalités sont toutes deux responsables de la promotion de la santé et du bien-être); </w:t>
            </w:r>
          </w:p>
          <w:p w14:paraId="586FF088" w14:textId="77777777" w:rsidR="003D7F65" w:rsidRDefault="0082041E">
            <w:pPr>
              <w:pStyle w:val="P68B1DB1-ListParagraph16"/>
              <w:numPr>
                <w:ilvl w:val="0"/>
                <w:numId w:val="30"/>
              </w:numPr>
              <w:spacing w:after="0" w:line="240" w:lineRule="auto"/>
              <w:rPr>
                <w:noProof/>
              </w:rPr>
            </w:pPr>
            <w:r>
              <w:rPr>
                <w:noProof/>
              </w:rPr>
              <w:t xml:space="preserve">Transfert du personnel de santé et de protection sociale et de ses tâches des municipalités et des autorités municipales communes à l'emploi des zones de protection sociale; </w:t>
            </w:r>
          </w:p>
          <w:p w14:paraId="596B7A88" w14:textId="77777777" w:rsidR="003D7F65" w:rsidRDefault="0082041E">
            <w:pPr>
              <w:pStyle w:val="P68B1DB1-ListParagraph16"/>
              <w:numPr>
                <w:ilvl w:val="0"/>
                <w:numId w:val="30"/>
              </w:numPr>
              <w:spacing w:after="0" w:line="240" w:lineRule="auto"/>
              <w:rPr>
                <w:noProof/>
              </w:rPr>
            </w:pPr>
            <w:r>
              <w:rPr>
                <w:noProof/>
              </w:rPr>
              <w:t xml:space="preserve">Établir le mécanisme de financement des activités des zones de protection sociale par le gouvernement central et à partir des redevances perçues auprès des utilisateurs des services. </w:t>
            </w:r>
          </w:p>
          <w:p w14:paraId="0B48872E" w14:textId="77777777" w:rsidR="003D7F65" w:rsidRDefault="0082041E">
            <w:pPr>
              <w:pStyle w:val="P68B1DB1-ListParagraph16"/>
              <w:numPr>
                <w:ilvl w:val="0"/>
                <w:numId w:val="30"/>
              </w:numPr>
              <w:spacing w:after="0" w:line="240" w:lineRule="auto"/>
              <w:rPr>
                <w:noProof/>
              </w:rPr>
            </w:pPr>
            <w:r>
              <w:rPr>
                <w:noProof/>
              </w:rPr>
              <w:t>Création d'un conseil consultatif pour les soins de santé et la protection sociale relevant du ministère des affaires sociales et de la santé, chargé de surveiller et d'évaluer l'accomplissement des obligations en matière de santé et de services sociaux et de soutenir l'orientation et la direction nationales des soins de santé et de la protection sociale.</w:t>
            </w:r>
          </w:p>
          <w:p w14:paraId="7876A608" w14:textId="77777777" w:rsidR="003D7F65" w:rsidRDefault="003D7F65">
            <w:pPr>
              <w:spacing w:after="0" w:line="240" w:lineRule="auto"/>
              <w:rPr>
                <w:rFonts w:ascii="Times New Roman" w:hAnsi="Times New Roman"/>
                <w:noProof/>
                <w:sz w:val="20"/>
                <w:szCs w:val="20"/>
              </w:rPr>
            </w:pPr>
          </w:p>
        </w:tc>
      </w:tr>
      <w:tr w:rsidR="003D7F65" w14:paraId="67FC46C0" w14:textId="77777777" w:rsidTr="007274DB">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10B8D569" w14:textId="77777777" w:rsidR="003D7F65" w:rsidRDefault="0082041E">
            <w:pPr>
              <w:pStyle w:val="P68B1DB1-Normal8"/>
              <w:spacing w:after="0" w:line="240" w:lineRule="auto"/>
              <w:jc w:val="both"/>
              <w:rPr>
                <w:noProof/>
              </w:rPr>
            </w:pPr>
            <w:r>
              <w:rPr>
                <w:noProof/>
              </w:rPr>
              <w:t>135</w:t>
            </w:r>
          </w:p>
        </w:tc>
        <w:tc>
          <w:tcPr>
            <w:tcW w:w="1528" w:type="dxa"/>
            <w:tcBorders>
              <w:top w:val="single" w:sz="4" w:space="0" w:color="auto"/>
              <w:left w:val="nil"/>
              <w:bottom w:val="single" w:sz="4" w:space="0" w:color="auto"/>
              <w:right w:val="single" w:sz="4" w:space="0" w:color="auto"/>
            </w:tcBorders>
            <w:shd w:val="clear" w:color="auto" w:fill="C6EFCE"/>
            <w:noWrap/>
          </w:tcPr>
          <w:p w14:paraId="1DDFD352" w14:textId="77777777" w:rsidR="003D7F65" w:rsidRDefault="0082041E">
            <w:pPr>
              <w:pStyle w:val="P68B1DB1-Normal8"/>
              <w:spacing w:after="0" w:line="240" w:lineRule="auto"/>
              <w:rPr>
                <w:noProof/>
              </w:rPr>
            </w:pPr>
            <w:r>
              <w:rPr>
                <w:noProof/>
              </w:rPr>
              <w:t xml:space="preserve">P4C1R1 - Préparation de la réforme de la protection sociale et des soins de santé à l'appui de la mise en œuvre de la garantie de soins </w:t>
            </w:r>
          </w:p>
        </w:tc>
        <w:tc>
          <w:tcPr>
            <w:tcW w:w="1080" w:type="dxa"/>
            <w:tcBorders>
              <w:top w:val="nil"/>
              <w:left w:val="nil"/>
              <w:bottom w:val="single" w:sz="4" w:space="0" w:color="auto"/>
              <w:right w:val="single" w:sz="4" w:space="0" w:color="auto"/>
            </w:tcBorders>
            <w:shd w:val="clear" w:color="auto" w:fill="C6EFCE"/>
            <w:noWrap/>
          </w:tcPr>
          <w:p w14:paraId="2EBAB0C7" w14:textId="77777777" w:rsidR="003D7F65" w:rsidRDefault="0082041E">
            <w:pPr>
              <w:pStyle w:val="P68B1DB1-Normal8"/>
              <w:spacing w:after="0" w:line="240" w:lineRule="auto"/>
              <w:rPr>
                <w:noProof/>
              </w:rPr>
            </w:pPr>
            <w:r>
              <w:rPr>
                <w:noProof/>
              </w:rPr>
              <w:t>Étape</w:t>
            </w:r>
          </w:p>
        </w:tc>
        <w:tc>
          <w:tcPr>
            <w:tcW w:w="1502" w:type="dxa"/>
            <w:tcBorders>
              <w:top w:val="single" w:sz="4" w:space="0" w:color="auto"/>
              <w:left w:val="nil"/>
              <w:bottom w:val="single" w:sz="4" w:space="0" w:color="auto"/>
              <w:right w:val="single" w:sz="4" w:space="0" w:color="auto"/>
            </w:tcBorders>
            <w:shd w:val="clear" w:color="auto" w:fill="C6EFCE"/>
            <w:noWrap/>
          </w:tcPr>
          <w:p w14:paraId="4B1CA0C7" w14:textId="77777777" w:rsidR="003D7F65" w:rsidRDefault="0082041E">
            <w:pPr>
              <w:pStyle w:val="P68B1DB1-Normal8"/>
              <w:spacing w:after="0" w:line="240" w:lineRule="auto"/>
              <w:rPr>
                <w:noProof/>
              </w:rPr>
            </w:pPr>
            <w:r>
              <w:rPr>
                <w:noProof/>
              </w:rPr>
              <w:t>Mise en œuvre des zones de bien-être régional ayant la capacité d'assumer la responsabilité de l'organisation des services sociaux, de santé et de secours</w:t>
            </w:r>
          </w:p>
        </w:tc>
        <w:tc>
          <w:tcPr>
            <w:tcW w:w="1417" w:type="dxa"/>
            <w:tcBorders>
              <w:top w:val="nil"/>
              <w:left w:val="nil"/>
              <w:bottom w:val="single" w:sz="4" w:space="0" w:color="auto"/>
              <w:right w:val="single" w:sz="4" w:space="0" w:color="auto"/>
            </w:tcBorders>
            <w:shd w:val="clear" w:color="auto" w:fill="C6EFCE"/>
            <w:noWrap/>
          </w:tcPr>
          <w:p w14:paraId="2450CE02" w14:textId="77777777" w:rsidR="003D7F65" w:rsidRDefault="0082041E">
            <w:pPr>
              <w:pStyle w:val="P68B1DB1-Normal8"/>
              <w:spacing w:after="0" w:line="240" w:lineRule="auto"/>
              <w:rPr>
                <w:noProof/>
              </w:rPr>
            </w:pPr>
            <w:r>
              <w:rPr>
                <w:noProof/>
              </w:rPr>
              <w:t>Rapport du Ministère des affaires sociales et de la santé confirmant que les zones de protection sociale régionales sont opérationnelles et prêtes à mettre en œuvre la réforme de la protection sociale et des soins de santé</w:t>
            </w:r>
          </w:p>
        </w:tc>
        <w:tc>
          <w:tcPr>
            <w:tcW w:w="1114" w:type="dxa"/>
            <w:tcBorders>
              <w:top w:val="nil"/>
              <w:left w:val="nil"/>
              <w:bottom w:val="single" w:sz="4" w:space="0" w:color="auto"/>
              <w:right w:val="single" w:sz="4" w:space="0" w:color="auto"/>
            </w:tcBorders>
            <w:shd w:val="clear" w:color="auto" w:fill="C6EFCE"/>
            <w:noWrap/>
          </w:tcPr>
          <w:p w14:paraId="4AFBE2CA" w14:textId="77777777" w:rsidR="003D7F65" w:rsidRDefault="0082041E">
            <w:pPr>
              <w:pStyle w:val="P68B1DB1-Normal8"/>
              <w:spacing w:after="0" w:line="240" w:lineRule="auto"/>
              <w:rPr>
                <w:noProof/>
              </w:rPr>
            </w:pPr>
            <w:r>
              <w:rPr>
                <w:noProof/>
              </w:rPr>
              <w:t> </w:t>
            </w:r>
          </w:p>
        </w:tc>
        <w:tc>
          <w:tcPr>
            <w:tcW w:w="1134" w:type="dxa"/>
            <w:tcBorders>
              <w:top w:val="nil"/>
              <w:left w:val="nil"/>
              <w:bottom w:val="single" w:sz="4" w:space="0" w:color="auto"/>
              <w:right w:val="single" w:sz="4" w:space="0" w:color="auto"/>
            </w:tcBorders>
            <w:shd w:val="clear" w:color="auto" w:fill="C6EFCE"/>
            <w:noWrap/>
          </w:tcPr>
          <w:p w14:paraId="3C3844D6" w14:textId="77777777" w:rsidR="003D7F65" w:rsidRDefault="0082041E">
            <w:pPr>
              <w:pStyle w:val="P68B1DB1-Normal8"/>
              <w:spacing w:after="0" w:line="240" w:lineRule="auto"/>
              <w:rPr>
                <w:noProof/>
              </w:rPr>
            </w:pPr>
            <w:r>
              <w:rPr>
                <w:noProof/>
              </w:rPr>
              <w:t> </w:t>
            </w:r>
          </w:p>
        </w:tc>
        <w:tc>
          <w:tcPr>
            <w:tcW w:w="992" w:type="dxa"/>
            <w:tcBorders>
              <w:top w:val="nil"/>
              <w:left w:val="nil"/>
              <w:bottom w:val="single" w:sz="4" w:space="0" w:color="auto"/>
              <w:right w:val="single" w:sz="4" w:space="0" w:color="auto"/>
            </w:tcBorders>
            <w:shd w:val="clear" w:color="auto" w:fill="C6EFCE"/>
            <w:noWrap/>
          </w:tcPr>
          <w:p w14:paraId="55B59D55" w14:textId="77777777" w:rsidR="003D7F65" w:rsidRDefault="0082041E">
            <w:pPr>
              <w:pStyle w:val="P68B1DB1-Normal8"/>
              <w:spacing w:after="0" w:line="240" w:lineRule="auto"/>
              <w:rPr>
                <w:noProof/>
              </w:rPr>
            </w:pPr>
            <w:r>
              <w:rPr>
                <w:noProof/>
              </w:rPr>
              <w:t> </w:t>
            </w:r>
          </w:p>
        </w:tc>
        <w:tc>
          <w:tcPr>
            <w:tcW w:w="993" w:type="dxa"/>
            <w:tcBorders>
              <w:top w:val="nil"/>
              <w:left w:val="nil"/>
              <w:bottom w:val="single" w:sz="4" w:space="0" w:color="auto"/>
              <w:right w:val="single" w:sz="4" w:space="0" w:color="auto"/>
            </w:tcBorders>
            <w:shd w:val="clear" w:color="auto" w:fill="C6EFCE"/>
            <w:noWrap/>
          </w:tcPr>
          <w:p w14:paraId="3361ACAE" w14:textId="77777777" w:rsidR="003D7F65" w:rsidRDefault="0082041E">
            <w:pPr>
              <w:pStyle w:val="P68B1DB1-Normal8"/>
              <w:spacing w:after="0" w:line="240" w:lineRule="auto"/>
              <w:rPr>
                <w:noProof/>
              </w:rPr>
            </w:pPr>
            <w:r>
              <w:rPr>
                <w:noProof/>
              </w:rPr>
              <w:t>T2</w:t>
            </w:r>
          </w:p>
        </w:tc>
        <w:tc>
          <w:tcPr>
            <w:tcW w:w="992" w:type="dxa"/>
            <w:tcBorders>
              <w:top w:val="nil"/>
              <w:left w:val="nil"/>
              <w:bottom w:val="single" w:sz="4" w:space="0" w:color="auto"/>
              <w:right w:val="single" w:sz="4" w:space="0" w:color="auto"/>
            </w:tcBorders>
            <w:shd w:val="clear" w:color="auto" w:fill="C6EFCE"/>
            <w:noWrap/>
          </w:tcPr>
          <w:p w14:paraId="452A7124" w14:textId="77777777" w:rsidR="003D7F65" w:rsidRDefault="0082041E">
            <w:pPr>
              <w:pStyle w:val="P68B1DB1-Normal8"/>
              <w:spacing w:after="0" w:line="240" w:lineRule="auto"/>
              <w:rPr>
                <w:noProof/>
              </w:rPr>
            </w:pPr>
            <w:r>
              <w:rPr>
                <w:noProof/>
              </w:rPr>
              <w:t>2023</w:t>
            </w:r>
          </w:p>
        </w:tc>
        <w:tc>
          <w:tcPr>
            <w:tcW w:w="3685" w:type="dxa"/>
            <w:tcBorders>
              <w:top w:val="nil"/>
              <w:left w:val="nil"/>
              <w:bottom w:val="single" w:sz="4" w:space="0" w:color="auto"/>
              <w:right w:val="single" w:sz="4" w:space="0" w:color="auto"/>
            </w:tcBorders>
            <w:shd w:val="clear" w:color="auto" w:fill="C6EFCE"/>
            <w:noWrap/>
          </w:tcPr>
          <w:p w14:paraId="08435B6E" w14:textId="77777777" w:rsidR="003D7F65" w:rsidRDefault="0082041E">
            <w:pPr>
              <w:pStyle w:val="P68B1DB1-Normal8"/>
              <w:spacing w:after="0" w:line="240" w:lineRule="auto"/>
              <w:rPr>
                <w:noProof/>
              </w:rPr>
            </w:pPr>
            <w:r>
              <w:rPr>
                <w:noProof/>
              </w:rPr>
              <w:t>Des zones de protection sociale régionales chargées d’organiser les services sociaux, de soins de santé et de secours sont établies et opérationnelles, conformément à la feuille de route pour la planification et la préparation de la mise en œuvre de la réforme des services sociaux et de santé. Le ministère des affaires sociales et de la santé examine et confirme dans un rapport la mise en œuvre des mesures nécessaires pour soutenir la mise en place des zones de protection sociale. Cela couvre les domaines suivants: 1) gestion, 2) administration, 3) finances et 4) services.</w:t>
            </w:r>
          </w:p>
          <w:p w14:paraId="1B174D46" w14:textId="77777777" w:rsidR="003D7F65" w:rsidRDefault="003D7F65">
            <w:pPr>
              <w:spacing w:after="0" w:line="240" w:lineRule="auto"/>
              <w:rPr>
                <w:rFonts w:ascii="Times New Roman" w:hAnsi="Times New Roman"/>
                <w:noProof/>
                <w:sz w:val="20"/>
                <w:szCs w:val="20"/>
              </w:rPr>
            </w:pPr>
          </w:p>
        </w:tc>
      </w:tr>
      <w:tr w:rsidR="003D7F65" w14:paraId="66272B3E" w14:textId="77777777" w:rsidTr="007274DB">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54332929" w14:textId="77777777" w:rsidR="003D7F65" w:rsidRDefault="0082041E">
            <w:pPr>
              <w:pStyle w:val="P68B1DB1-Normal8"/>
              <w:spacing w:after="0" w:line="240" w:lineRule="auto"/>
              <w:jc w:val="both"/>
              <w:rPr>
                <w:noProof/>
              </w:rPr>
            </w:pPr>
            <w:r>
              <w:rPr>
                <w:noProof/>
              </w:rPr>
              <w:t>136</w:t>
            </w:r>
          </w:p>
        </w:tc>
        <w:tc>
          <w:tcPr>
            <w:tcW w:w="1528" w:type="dxa"/>
            <w:tcBorders>
              <w:top w:val="nil"/>
              <w:left w:val="nil"/>
              <w:bottom w:val="single" w:sz="4" w:space="0" w:color="auto"/>
              <w:right w:val="single" w:sz="4" w:space="0" w:color="auto"/>
            </w:tcBorders>
            <w:shd w:val="clear" w:color="auto" w:fill="C6EFCE"/>
            <w:noWrap/>
            <w:hideMark/>
          </w:tcPr>
          <w:p w14:paraId="49BEFBEF" w14:textId="77777777" w:rsidR="003D7F65" w:rsidRDefault="0082041E">
            <w:pPr>
              <w:pStyle w:val="P68B1DB1-Normal8"/>
              <w:spacing w:after="0" w:line="240" w:lineRule="auto"/>
              <w:rPr>
                <w:noProof/>
              </w:rPr>
            </w:pPr>
            <w:r>
              <w:rPr>
                <w:noProof/>
              </w:rPr>
              <w:t xml:space="preserve">P4C1I1- Promouvoir la mise en œuvre de la garantie de soins et réduire l’arriéré de services en raison de la pandémie de COVID-19 </w:t>
            </w:r>
          </w:p>
        </w:tc>
        <w:tc>
          <w:tcPr>
            <w:tcW w:w="1080" w:type="dxa"/>
            <w:tcBorders>
              <w:top w:val="nil"/>
              <w:left w:val="nil"/>
              <w:bottom w:val="single" w:sz="4" w:space="0" w:color="auto"/>
              <w:right w:val="single" w:sz="4" w:space="0" w:color="auto"/>
            </w:tcBorders>
            <w:shd w:val="clear" w:color="auto" w:fill="C6EFCE"/>
            <w:noWrap/>
            <w:hideMark/>
          </w:tcPr>
          <w:p w14:paraId="3ED3EB32" w14:textId="77777777" w:rsidR="003D7F65" w:rsidRDefault="0082041E">
            <w:pPr>
              <w:pStyle w:val="P68B1DB1-Normal8"/>
              <w:spacing w:after="0" w:line="240" w:lineRule="auto"/>
              <w:rPr>
                <w:noProof/>
              </w:rPr>
            </w:pPr>
            <w:r>
              <w:rPr>
                <w:noProof/>
              </w:rPr>
              <w:t>Objectif</w:t>
            </w:r>
          </w:p>
        </w:tc>
        <w:tc>
          <w:tcPr>
            <w:tcW w:w="1502" w:type="dxa"/>
            <w:tcBorders>
              <w:top w:val="nil"/>
              <w:left w:val="nil"/>
              <w:bottom w:val="single" w:sz="4" w:space="0" w:color="auto"/>
              <w:right w:val="single" w:sz="4" w:space="0" w:color="auto"/>
            </w:tcBorders>
            <w:shd w:val="clear" w:color="auto" w:fill="C6EFCE"/>
            <w:noWrap/>
            <w:hideMark/>
          </w:tcPr>
          <w:p w14:paraId="62F2C22A" w14:textId="77777777" w:rsidR="003D7F65" w:rsidRDefault="0082041E">
            <w:pPr>
              <w:pStyle w:val="P68B1DB1-Normal8"/>
              <w:spacing w:after="0" w:line="240" w:lineRule="auto"/>
              <w:rPr>
                <w:noProof/>
              </w:rPr>
            </w:pPr>
            <w:r>
              <w:rPr>
                <w:noProof/>
              </w:rPr>
              <w:t>Part des visites de soins de santé primaires non urgentes qui atteignent le délai de 7 jours pour l’accès aux soins</w:t>
            </w:r>
          </w:p>
        </w:tc>
        <w:tc>
          <w:tcPr>
            <w:tcW w:w="1417" w:type="dxa"/>
            <w:tcBorders>
              <w:top w:val="nil"/>
              <w:left w:val="nil"/>
              <w:bottom w:val="single" w:sz="4" w:space="0" w:color="auto"/>
              <w:right w:val="single" w:sz="4" w:space="0" w:color="auto"/>
            </w:tcBorders>
            <w:shd w:val="clear" w:color="auto" w:fill="C6EFCE"/>
            <w:noWrap/>
            <w:hideMark/>
          </w:tcPr>
          <w:p w14:paraId="160FBFC5" w14:textId="77777777" w:rsidR="003D7F65" w:rsidRDefault="003D7F65">
            <w:pPr>
              <w:spacing w:after="0" w:line="240" w:lineRule="auto"/>
              <w:rPr>
                <w:rFonts w:ascii="Times New Roman" w:hAnsi="Times New Roman"/>
                <w:noProof/>
                <w:sz w:val="20"/>
                <w:szCs w:val="20"/>
              </w:rPr>
            </w:pPr>
          </w:p>
        </w:tc>
        <w:tc>
          <w:tcPr>
            <w:tcW w:w="1114" w:type="dxa"/>
            <w:tcBorders>
              <w:top w:val="nil"/>
              <w:left w:val="nil"/>
              <w:bottom w:val="single" w:sz="4" w:space="0" w:color="auto"/>
              <w:right w:val="single" w:sz="4" w:space="0" w:color="auto"/>
            </w:tcBorders>
            <w:shd w:val="clear" w:color="auto" w:fill="C6EFCE"/>
            <w:noWrap/>
            <w:hideMark/>
          </w:tcPr>
          <w:p w14:paraId="753C9B5D" w14:textId="77777777" w:rsidR="003D7F65" w:rsidRDefault="0082041E">
            <w:pPr>
              <w:pStyle w:val="P68B1DB1-Normal8"/>
              <w:spacing w:after="0" w:line="240" w:lineRule="auto"/>
              <w:rPr>
                <w:noProof/>
              </w:rPr>
            </w:pPr>
            <w:r>
              <w:rPr>
                <w:noProof/>
              </w:rPr>
              <w:t>% (pourcentage)</w:t>
            </w:r>
          </w:p>
        </w:tc>
        <w:tc>
          <w:tcPr>
            <w:tcW w:w="1134" w:type="dxa"/>
            <w:tcBorders>
              <w:top w:val="nil"/>
              <w:left w:val="nil"/>
              <w:bottom w:val="single" w:sz="4" w:space="0" w:color="auto"/>
              <w:right w:val="single" w:sz="4" w:space="0" w:color="auto"/>
            </w:tcBorders>
            <w:shd w:val="clear" w:color="auto" w:fill="C6EFCE"/>
            <w:noWrap/>
            <w:hideMark/>
          </w:tcPr>
          <w:p w14:paraId="312144D5" w14:textId="77777777" w:rsidR="003D7F65" w:rsidRDefault="0082041E">
            <w:pPr>
              <w:pStyle w:val="P68B1DB1-Normal8"/>
              <w:spacing w:after="0" w:line="240" w:lineRule="auto"/>
              <w:rPr>
                <w:noProof/>
              </w:rPr>
            </w:pPr>
            <w:r>
              <w:rPr>
                <w:noProof/>
              </w:rPr>
              <w:t>66</w:t>
            </w:r>
          </w:p>
        </w:tc>
        <w:tc>
          <w:tcPr>
            <w:tcW w:w="992" w:type="dxa"/>
            <w:tcBorders>
              <w:top w:val="nil"/>
              <w:left w:val="nil"/>
              <w:bottom w:val="single" w:sz="4" w:space="0" w:color="auto"/>
              <w:right w:val="single" w:sz="4" w:space="0" w:color="auto"/>
            </w:tcBorders>
            <w:shd w:val="clear" w:color="auto" w:fill="C6EFCE"/>
            <w:noWrap/>
            <w:hideMark/>
          </w:tcPr>
          <w:p w14:paraId="645A7791" w14:textId="77777777" w:rsidR="003D7F65" w:rsidRDefault="0082041E">
            <w:pPr>
              <w:pStyle w:val="P68B1DB1-Normal8"/>
              <w:spacing w:after="0" w:line="240" w:lineRule="auto"/>
              <w:rPr>
                <w:noProof/>
              </w:rPr>
            </w:pPr>
            <w:r>
              <w:rPr>
                <w:noProof/>
              </w:rPr>
              <w:t>77</w:t>
            </w:r>
          </w:p>
        </w:tc>
        <w:tc>
          <w:tcPr>
            <w:tcW w:w="993" w:type="dxa"/>
            <w:tcBorders>
              <w:top w:val="nil"/>
              <w:left w:val="nil"/>
              <w:bottom w:val="single" w:sz="4" w:space="0" w:color="auto"/>
              <w:right w:val="single" w:sz="4" w:space="0" w:color="auto"/>
            </w:tcBorders>
            <w:shd w:val="clear" w:color="auto" w:fill="C6EFCE"/>
            <w:noWrap/>
            <w:hideMark/>
          </w:tcPr>
          <w:p w14:paraId="7DA9EDDB" w14:textId="77777777" w:rsidR="003D7F65" w:rsidRDefault="0082041E">
            <w:pPr>
              <w:pStyle w:val="P68B1DB1-Normal8"/>
              <w:spacing w:after="0" w:line="240" w:lineRule="auto"/>
              <w:rPr>
                <w:noProof/>
              </w:rPr>
            </w:pPr>
            <w:r>
              <w:rPr>
                <w:noProof/>
              </w:rPr>
              <w:t>T4</w:t>
            </w:r>
          </w:p>
        </w:tc>
        <w:tc>
          <w:tcPr>
            <w:tcW w:w="992" w:type="dxa"/>
            <w:tcBorders>
              <w:top w:val="nil"/>
              <w:left w:val="nil"/>
              <w:bottom w:val="single" w:sz="4" w:space="0" w:color="auto"/>
              <w:right w:val="single" w:sz="4" w:space="0" w:color="auto"/>
            </w:tcBorders>
            <w:shd w:val="clear" w:color="auto" w:fill="C6EFCE"/>
            <w:noWrap/>
            <w:hideMark/>
          </w:tcPr>
          <w:p w14:paraId="7B16F83F" w14:textId="77777777" w:rsidR="003D7F65" w:rsidRDefault="0082041E">
            <w:pPr>
              <w:pStyle w:val="P68B1DB1-Normal8"/>
              <w:spacing w:after="0" w:line="240" w:lineRule="auto"/>
              <w:rPr>
                <w:noProof/>
              </w:rPr>
            </w:pPr>
            <w:r>
              <w:rPr>
                <w:noProof/>
              </w:rPr>
              <w:t>2025</w:t>
            </w:r>
          </w:p>
        </w:tc>
        <w:tc>
          <w:tcPr>
            <w:tcW w:w="3685" w:type="dxa"/>
            <w:tcBorders>
              <w:top w:val="nil"/>
              <w:left w:val="nil"/>
              <w:bottom w:val="single" w:sz="4" w:space="0" w:color="auto"/>
              <w:right w:val="single" w:sz="4" w:space="0" w:color="auto"/>
            </w:tcBorders>
            <w:shd w:val="clear" w:color="auto" w:fill="C6EFCE"/>
            <w:noWrap/>
            <w:hideMark/>
          </w:tcPr>
          <w:p w14:paraId="3B3E754F" w14:textId="1998F0DC" w:rsidR="003D7F65" w:rsidRDefault="0082041E">
            <w:pPr>
              <w:pStyle w:val="P68B1DB1-Normal8"/>
              <w:spacing w:after="0" w:line="240" w:lineRule="auto"/>
              <w:rPr>
                <w:noProof/>
              </w:rPr>
            </w:pPr>
            <w:r>
              <w:rPr>
                <w:noProof/>
              </w:rPr>
              <w:t xml:space="preserve">La part des visites de soins de santé primaires non urgentes qui atteignent le délai de sept jours pour l’accès aux soins passe à 77 %. </w:t>
            </w:r>
          </w:p>
        </w:tc>
      </w:tr>
      <w:tr w:rsidR="003D7F65" w14:paraId="7DB4A4CE" w14:textId="77777777" w:rsidTr="007274DB">
        <w:trPr>
          <w:trHeight w:val="1691"/>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07B2D7AC" w14:textId="77777777" w:rsidR="003D7F65" w:rsidRDefault="0082041E">
            <w:pPr>
              <w:pStyle w:val="P68B1DB1-Normal8"/>
              <w:spacing w:after="0" w:line="240" w:lineRule="auto"/>
              <w:jc w:val="both"/>
              <w:rPr>
                <w:noProof/>
              </w:rPr>
            </w:pPr>
            <w:r>
              <w:rPr>
                <w:noProof/>
              </w:rPr>
              <w:t>137</w:t>
            </w:r>
          </w:p>
        </w:tc>
        <w:tc>
          <w:tcPr>
            <w:tcW w:w="1528" w:type="dxa"/>
            <w:tcBorders>
              <w:top w:val="nil"/>
              <w:left w:val="nil"/>
              <w:bottom w:val="single" w:sz="4" w:space="0" w:color="auto"/>
              <w:right w:val="single" w:sz="4" w:space="0" w:color="auto"/>
            </w:tcBorders>
            <w:shd w:val="clear" w:color="auto" w:fill="C6EFCE"/>
            <w:noWrap/>
            <w:hideMark/>
          </w:tcPr>
          <w:p w14:paraId="73089568" w14:textId="77777777" w:rsidR="003D7F65" w:rsidRDefault="0082041E">
            <w:pPr>
              <w:pStyle w:val="P68B1DB1-Normal8"/>
              <w:spacing w:after="0" w:line="240" w:lineRule="auto"/>
              <w:rPr>
                <w:noProof/>
              </w:rPr>
            </w:pPr>
            <w:r>
              <w:rPr>
                <w:noProof/>
              </w:rPr>
              <w:t xml:space="preserve">P4C1I2 - Prévention et identification précoce des problèmes de santé </w:t>
            </w:r>
          </w:p>
        </w:tc>
        <w:tc>
          <w:tcPr>
            <w:tcW w:w="1080" w:type="dxa"/>
            <w:tcBorders>
              <w:top w:val="nil"/>
              <w:left w:val="nil"/>
              <w:bottom w:val="single" w:sz="4" w:space="0" w:color="auto"/>
              <w:right w:val="single" w:sz="4" w:space="0" w:color="auto"/>
            </w:tcBorders>
            <w:shd w:val="clear" w:color="auto" w:fill="C6EFCE"/>
            <w:noWrap/>
            <w:hideMark/>
          </w:tcPr>
          <w:p w14:paraId="2B58B244" w14:textId="77777777" w:rsidR="003D7F65" w:rsidRDefault="0082041E">
            <w:pPr>
              <w:pStyle w:val="P68B1DB1-Normal8"/>
              <w:spacing w:after="0" w:line="240" w:lineRule="auto"/>
              <w:rPr>
                <w:noProof/>
              </w:rPr>
            </w:pPr>
            <w:r>
              <w:rPr>
                <w:noProof/>
              </w:rPr>
              <w:t>Étape</w:t>
            </w:r>
          </w:p>
        </w:tc>
        <w:tc>
          <w:tcPr>
            <w:tcW w:w="1502" w:type="dxa"/>
            <w:tcBorders>
              <w:top w:val="nil"/>
              <w:left w:val="nil"/>
              <w:bottom w:val="single" w:sz="4" w:space="0" w:color="auto"/>
              <w:right w:val="single" w:sz="4" w:space="0" w:color="auto"/>
            </w:tcBorders>
            <w:shd w:val="clear" w:color="auto" w:fill="C6EFCE"/>
            <w:noWrap/>
            <w:hideMark/>
          </w:tcPr>
          <w:p w14:paraId="04BB9B5F" w14:textId="77777777" w:rsidR="003D7F65" w:rsidRDefault="0082041E">
            <w:pPr>
              <w:pStyle w:val="P68B1DB1-Normal9"/>
              <w:spacing w:after="0" w:line="240" w:lineRule="auto"/>
              <w:rPr>
                <w:noProof/>
              </w:rPr>
            </w:pPr>
            <w:r>
              <w:rPr>
                <w:noProof/>
              </w:rPr>
              <w:t>Modèles régionaux multisectoriels de gestion des services fournis dans tous les domaines du bien-être</w:t>
            </w:r>
          </w:p>
        </w:tc>
        <w:tc>
          <w:tcPr>
            <w:tcW w:w="1417" w:type="dxa"/>
            <w:tcBorders>
              <w:top w:val="nil"/>
              <w:left w:val="nil"/>
              <w:bottom w:val="single" w:sz="4" w:space="0" w:color="auto"/>
              <w:right w:val="single" w:sz="4" w:space="0" w:color="auto"/>
            </w:tcBorders>
            <w:shd w:val="clear" w:color="auto" w:fill="C6EFCE"/>
            <w:noWrap/>
            <w:hideMark/>
          </w:tcPr>
          <w:p w14:paraId="2C44359F" w14:textId="77777777" w:rsidR="003D7F65" w:rsidRDefault="0082041E">
            <w:pPr>
              <w:pStyle w:val="P68B1DB1-Normal9"/>
              <w:spacing w:after="0" w:line="240" w:lineRule="auto"/>
              <w:rPr>
                <w:noProof/>
              </w:rPr>
            </w:pPr>
            <w:r>
              <w:rPr>
                <w:noProof/>
              </w:rPr>
              <w:t xml:space="preserve">Modèles régionaux de gestion multisectorielle des services fournis dans tous les domaines du bien-être </w:t>
            </w:r>
          </w:p>
        </w:tc>
        <w:tc>
          <w:tcPr>
            <w:tcW w:w="1114" w:type="dxa"/>
            <w:tcBorders>
              <w:top w:val="nil"/>
              <w:left w:val="nil"/>
              <w:bottom w:val="single" w:sz="4" w:space="0" w:color="auto"/>
              <w:right w:val="single" w:sz="4" w:space="0" w:color="auto"/>
            </w:tcBorders>
            <w:shd w:val="clear" w:color="auto" w:fill="C6EFCE"/>
            <w:noWrap/>
            <w:hideMark/>
          </w:tcPr>
          <w:p w14:paraId="4FC9F1BF" w14:textId="77777777" w:rsidR="003D7F65" w:rsidRDefault="003D7F65">
            <w:pPr>
              <w:spacing w:after="0" w:line="240" w:lineRule="auto"/>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hideMark/>
          </w:tcPr>
          <w:p w14:paraId="114C1630" w14:textId="77777777" w:rsidR="003D7F65" w:rsidRDefault="003D7F65">
            <w:pPr>
              <w:spacing w:after="0" w:line="240" w:lineRule="auto"/>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hideMark/>
          </w:tcPr>
          <w:p w14:paraId="2EFBF532" w14:textId="77777777" w:rsidR="003D7F65" w:rsidRDefault="003D7F65">
            <w:pPr>
              <w:spacing w:after="0" w:line="240" w:lineRule="auto"/>
              <w:rPr>
                <w:rFonts w:ascii="Times New Roman" w:eastAsia="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hideMark/>
          </w:tcPr>
          <w:p w14:paraId="12FA5D21" w14:textId="77777777" w:rsidR="003D7F65" w:rsidRDefault="0082041E">
            <w:pPr>
              <w:pStyle w:val="P68B1DB1-Normal8"/>
              <w:spacing w:after="0" w:line="240" w:lineRule="auto"/>
              <w:rPr>
                <w:noProof/>
              </w:rPr>
            </w:pPr>
            <w:r>
              <w:rPr>
                <w:noProof/>
              </w:rPr>
              <w:t>T4</w:t>
            </w:r>
          </w:p>
        </w:tc>
        <w:tc>
          <w:tcPr>
            <w:tcW w:w="992" w:type="dxa"/>
            <w:tcBorders>
              <w:top w:val="nil"/>
              <w:left w:val="nil"/>
              <w:bottom w:val="single" w:sz="4" w:space="0" w:color="auto"/>
              <w:right w:val="single" w:sz="4" w:space="0" w:color="auto"/>
            </w:tcBorders>
            <w:shd w:val="clear" w:color="auto" w:fill="C6EFCE"/>
            <w:noWrap/>
            <w:hideMark/>
          </w:tcPr>
          <w:p w14:paraId="29D365ED" w14:textId="77777777" w:rsidR="003D7F65" w:rsidRDefault="0082041E">
            <w:pPr>
              <w:pStyle w:val="P68B1DB1-Normal8"/>
              <w:spacing w:after="0" w:line="240" w:lineRule="auto"/>
              <w:rPr>
                <w:noProof/>
              </w:rPr>
            </w:pPr>
            <w:r>
              <w:rPr>
                <w:noProof/>
              </w:rPr>
              <w:t>2024</w:t>
            </w:r>
          </w:p>
        </w:tc>
        <w:tc>
          <w:tcPr>
            <w:tcW w:w="3685" w:type="dxa"/>
            <w:tcBorders>
              <w:top w:val="nil"/>
              <w:left w:val="nil"/>
              <w:bottom w:val="single" w:sz="4" w:space="0" w:color="auto"/>
              <w:right w:val="single" w:sz="4" w:space="0" w:color="auto"/>
            </w:tcBorders>
            <w:shd w:val="clear" w:color="auto" w:fill="C6EFCE"/>
            <w:noWrap/>
            <w:hideMark/>
          </w:tcPr>
          <w:p w14:paraId="2DF9EBA6" w14:textId="77777777" w:rsidR="003D7F65" w:rsidRDefault="0082041E">
            <w:pPr>
              <w:pStyle w:val="P68B1DB1-Normal8"/>
              <w:spacing w:after="0" w:line="240" w:lineRule="auto"/>
              <w:rPr>
                <w:noProof/>
              </w:rPr>
            </w:pPr>
            <w:r>
              <w:rPr>
                <w:noProof/>
              </w:rPr>
              <w:t>Des modèles régionaux de gestion des services multisectoriels (y compris les services de protection sociale et de soins de santé et les services culturels, sportifs et liés à la nature) sont fournis dans tous les domaines de la protection sociale.</w:t>
            </w:r>
          </w:p>
          <w:p w14:paraId="67D1FBC5" w14:textId="77777777" w:rsidR="003D7F65" w:rsidRDefault="003D7F65">
            <w:pPr>
              <w:spacing w:after="0" w:line="240" w:lineRule="auto"/>
              <w:rPr>
                <w:rFonts w:ascii="Times New Roman" w:hAnsi="Times New Roman"/>
                <w:noProof/>
                <w:sz w:val="20"/>
                <w:szCs w:val="20"/>
              </w:rPr>
            </w:pPr>
          </w:p>
        </w:tc>
      </w:tr>
      <w:tr w:rsidR="003D7F65" w14:paraId="2823E402" w14:textId="77777777" w:rsidTr="007274DB">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162376CA" w14:textId="77777777" w:rsidR="003D7F65" w:rsidRDefault="0082041E">
            <w:pPr>
              <w:pStyle w:val="P68B1DB1-Normal8"/>
              <w:spacing w:after="0" w:line="240" w:lineRule="auto"/>
              <w:jc w:val="both"/>
              <w:rPr>
                <w:noProof/>
              </w:rPr>
            </w:pPr>
            <w:r>
              <w:rPr>
                <w:noProof/>
              </w:rPr>
              <w:t>138</w:t>
            </w:r>
          </w:p>
        </w:tc>
        <w:tc>
          <w:tcPr>
            <w:tcW w:w="1528" w:type="dxa"/>
            <w:tcBorders>
              <w:top w:val="single" w:sz="4" w:space="0" w:color="auto"/>
              <w:left w:val="nil"/>
              <w:bottom w:val="single" w:sz="4" w:space="0" w:color="auto"/>
              <w:right w:val="single" w:sz="4" w:space="0" w:color="auto"/>
            </w:tcBorders>
            <w:shd w:val="clear" w:color="auto" w:fill="C6EFCE"/>
            <w:noWrap/>
            <w:hideMark/>
          </w:tcPr>
          <w:p w14:paraId="6990D1E9" w14:textId="77777777" w:rsidR="003D7F65" w:rsidRDefault="0082041E">
            <w:pPr>
              <w:pStyle w:val="P68B1DB1-Normal8"/>
              <w:spacing w:after="0" w:line="240" w:lineRule="auto"/>
              <w:rPr>
                <w:noProof/>
              </w:rPr>
            </w:pPr>
            <w:r>
              <w:rPr>
                <w:noProof/>
              </w:rPr>
              <w:t>P4C1I3 - Base de connaissances pour accroître le rapport coût-efficacité des services de protection sociale et de soins de santé</w:t>
            </w:r>
          </w:p>
        </w:tc>
        <w:tc>
          <w:tcPr>
            <w:tcW w:w="1080" w:type="dxa"/>
            <w:tcBorders>
              <w:top w:val="nil"/>
              <w:left w:val="nil"/>
              <w:bottom w:val="single" w:sz="4" w:space="0" w:color="auto"/>
              <w:right w:val="single" w:sz="4" w:space="0" w:color="auto"/>
            </w:tcBorders>
            <w:shd w:val="clear" w:color="auto" w:fill="C6EFCE"/>
            <w:noWrap/>
            <w:hideMark/>
          </w:tcPr>
          <w:p w14:paraId="73D1D020" w14:textId="6B1E1CD2" w:rsidR="003D7F65" w:rsidRDefault="0082041E">
            <w:pPr>
              <w:pStyle w:val="P68B1DB1-Normal8"/>
              <w:spacing w:after="0" w:line="240" w:lineRule="auto"/>
              <w:rPr>
                <w:noProof/>
              </w:rPr>
            </w:pPr>
            <w:r>
              <w:rPr>
                <w:noProof/>
              </w:rPr>
              <w:t>Étape</w:t>
            </w:r>
          </w:p>
        </w:tc>
        <w:tc>
          <w:tcPr>
            <w:tcW w:w="1502" w:type="dxa"/>
            <w:tcBorders>
              <w:top w:val="single" w:sz="4" w:space="0" w:color="auto"/>
              <w:left w:val="nil"/>
              <w:bottom w:val="single" w:sz="4" w:space="0" w:color="auto"/>
              <w:right w:val="single" w:sz="4" w:space="0" w:color="auto"/>
            </w:tcBorders>
            <w:shd w:val="clear" w:color="auto" w:fill="C6EFCE"/>
            <w:noWrap/>
            <w:hideMark/>
          </w:tcPr>
          <w:p w14:paraId="532A5ED3" w14:textId="1652AA51" w:rsidR="003D7F65" w:rsidRDefault="0082041E">
            <w:pPr>
              <w:pStyle w:val="P68B1DB1-Normal8"/>
              <w:spacing w:after="0" w:line="240" w:lineRule="auto"/>
              <w:rPr>
                <w:noProof/>
              </w:rPr>
            </w:pPr>
            <w:r>
              <w:rPr>
                <w:noProof/>
              </w:rPr>
              <w:t>Mise à jour quotidienne du système national de suivi de la garantie de soins utilisée dans tous les domaines de la protection sociale</w:t>
            </w:r>
          </w:p>
        </w:tc>
        <w:tc>
          <w:tcPr>
            <w:tcW w:w="1417" w:type="dxa"/>
            <w:tcBorders>
              <w:top w:val="nil"/>
              <w:left w:val="nil"/>
              <w:bottom w:val="single" w:sz="4" w:space="0" w:color="auto"/>
              <w:right w:val="single" w:sz="4" w:space="0" w:color="auto"/>
            </w:tcBorders>
            <w:shd w:val="clear" w:color="auto" w:fill="C6EFCE"/>
            <w:noWrap/>
            <w:hideMark/>
          </w:tcPr>
          <w:p w14:paraId="1B84A098" w14:textId="090C47C6" w:rsidR="003D7F65" w:rsidRDefault="0082041E">
            <w:pPr>
              <w:pStyle w:val="P68B1DB1-Normal8"/>
              <w:spacing w:after="0" w:line="240" w:lineRule="auto"/>
              <w:rPr>
                <w:noProof/>
              </w:rPr>
            </w:pPr>
            <w:r>
              <w:rPr>
                <w:noProof/>
              </w:rPr>
              <w:t>Mise à jour quotidienne du système national de suivi de la garantie de soins utilisée dans tous les domaines de la protection sociale.</w:t>
            </w:r>
          </w:p>
        </w:tc>
        <w:tc>
          <w:tcPr>
            <w:tcW w:w="1114" w:type="dxa"/>
            <w:tcBorders>
              <w:top w:val="nil"/>
              <w:left w:val="nil"/>
              <w:bottom w:val="single" w:sz="4" w:space="0" w:color="auto"/>
              <w:right w:val="single" w:sz="4" w:space="0" w:color="auto"/>
            </w:tcBorders>
            <w:shd w:val="clear" w:color="auto" w:fill="C6EFCE"/>
            <w:noWrap/>
          </w:tcPr>
          <w:p w14:paraId="4A1195D3" w14:textId="2C99B5C1" w:rsidR="003D7F65" w:rsidRDefault="003D7F65">
            <w:pPr>
              <w:spacing w:after="0" w:line="240" w:lineRule="auto"/>
              <w:rPr>
                <w:rFonts w:ascii="Times New Roman" w:hAnsi="Times New Roman"/>
                <w:noProof/>
                <w:sz w:val="20"/>
                <w:szCs w:val="20"/>
              </w:rPr>
            </w:pPr>
          </w:p>
        </w:tc>
        <w:tc>
          <w:tcPr>
            <w:tcW w:w="1134" w:type="dxa"/>
            <w:tcBorders>
              <w:top w:val="nil"/>
              <w:left w:val="nil"/>
              <w:bottom w:val="single" w:sz="4" w:space="0" w:color="auto"/>
              <w:right w:val="single" w:sz="4" w:space="0" w:color="auto"/>
            </w:tcBorders>
            <w:shd w:val="clear" w:color="auto" w:fill="C6EFCE"/>
            <w:noWrap/>
          </w:tcPr>
          <w:p w14:paraId="1FAD98BF" w14:textId="13749209" w:rsidR="003D7F65" w:rsidRDefault="003D7F65">
            <w:pPr>
              <w:spacing w:after="0" w:line="240" w:lineRule="auto"/>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61C989BD" w14:textId="00665201" w:rsidR="003D7F65" w:rsidRDefault="003D7F65">
            <w:pPr>
              <w:spacing w:after="0" w:line="240" w:lineRule="auto"/>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hideMark/>
          </w:tcPr>
          <w:p w14:paraId="0BB5F3E7" w14:textId="77777777" w:rsidR="003D7F65" w:rsidRDefault="0082041E">
            <w:pPr>
              <w:pStyle w:val="P68B1DB1-Normal8"/>
              <w:spacing w:after="0" w:line="240" w:lineRule="auto"/>
              <w:rPr>
                <w:noProof/>
              </w:rPr>
            </w:pPr>
            <w:r>
              <w:rPr>
                <w:noProof/>
              </w:rPr>
              <w:t>T4</w:t>
            </w:r>
          </w:p>
        </w:tc>
        <w:tc>
          <w:tcPr>
            <w:tcW w:w="992" w:type="dxa"/>
            <w:tcBorders>
              <w:top w:val="nil"/>
              <w:left w:val="nil"/>
              <w:bottom w:val="single" w:sz="4" w:space="0" w:color="auto"/>
              <w:right w:val="single" w:sz="4" w:space="0" w:color="auto"/>
            </w:tcBorders>
            <w:shd w:val="clear" w:color="auto" w:fill="C6EFCE"/>
            <w:noWrap/>
            <w:hideMark/>
          </w:tcPr>
          <w:p w14:paraId="5E5A8908" w14:textId="77777777" w:rsidR="003D7F65" w:rsidRDefault="0082041E">
            <w:pPr>
              <w:pStyle w:val="P68B1DB1-Normal8"/>
              <w:spacing w:after="0" w:line="240" w:lineRule="auto"/>
              <w:rPr>
                <w:noProof/>
              </w:rPr>
            </w:pPr>
            <w:r>
              <w:rPr>
                <w:noProof/>
              </w:rPr>
              <w:t>2025</w:t>
            </w:r>
          </w:p>
        </w:tc>
        <w:tc>
          <w:tcPr>
            <w:tcW w:w="3685" w:type="dxa"/>
            <w:tcBorders>
              <w:top w:val="nil"/>
              <w:left w:val="nil"/>
              <w:bottom w:val="single" w:sz="4" w:space="0" w:color="auto"/>
              <w:right w:val="single" w:sz="4" w:space="0" w:color="auto"/>
            </w:tcBorders>
            <w:shd w:val="clear" w:color="auto" w:fill="C6EFCE"/>
            <w:noWrap/>
            <w:hideMark/>
          </w:tcPr>
          <w:p w14:paraId="5247E6E0" w14:textId="10BBED4C" w:rsidR="003D7F65" w:rsidRDefault="0082041E">
            <w:pPr>
              <w:pStyle w:val="P68B1DB1-Normal8"/>
              <w:spacing w:after="0" w:line="240" w:lineRule="auto"/>
              <w:rPr>
                <w:noProof/>
              </w:rPr>
            </w:pPr>
            <w:bookmarkStart w:id="12" w:name="_Hlk231569483"/>
            <w:r>
              <w:rPr>
                <w:noProof/>
              </w:rPr>
              <w:t xml:space="preserve">Un système national de suivi de la garantie de soins mis à jour quotidiennement par l’intermédiaire du registre des soins primaires est utilisé dans tous les domaines de la protection sociale. </w:t>
            </w:r>
          </w:p>
          <w:p w14:paraId="2B70F997" w14:textId="6528F7F4" w:rsidR="003D7F65" w:rsidRDefault="0082041E">
            <w:pPr>
              <w:pStyle w:val="P68B1DB1-Normal8"/>
              <w:rPr>
                <w:noProof/>
              </w:rPr>
            </w:pPr>
            <w:r>
              <w:rPr>
                <w:noProof/>
              </w:rPr>
              <w:t xml:space="preserve">En outre, les actions au titre de la présente mesure peuvent inclure la production d’études, de méthodes et d’indicateurs sur un ou plusieurs des éléments suivants: coûts, efficacité ou rapport coût-efficacité dans le secteur social ou des soins de santé. </w:t>
            </w:r>
            <w:bookmarkEnd w:id="12"/>
          </w:p>
        </w:tc>
      </w:tr>
      <w:tr w:rsidR="003D7F65" w14:paraId="6D951B06" w14:textId="77777777" w:rsidTr="007274DB">
        <w:trPr>
          <w:trHeight w:val="1290"/>
          <w:jc w:val="center"/>
        </w:trPr>
        <w:tc>
          <w:tcPr>
            <w:tcW w:w="867" w:type="dxa"/>
            <w:tcBorders>
              <w:top w:val="nil"/>
              <w:left w:val="single" w:sz="4" w:space="0" w:color="auto"/>
              <w:bottom w:val="single" w:sz="4" w:space="0" w:color="auto"/>
              <w:right w:val="single" w:sz="4" w:space="0" w:color="auto"/>
            </w:tcBorders>
            <w:shd w:val="clear" w:color="auto" w:fill="C6EFCE"/>
            <w:noWrap/>
          </w:tcPr>
          <w:p w14:paraId="03EEE584" w14:textId="77777777" w:rsidR="003D7F65" w:rsidRDefault="0082041E">
            <w:pPr>
              <w:pStyle w:val="P68B1DB1-Normal8"/>
              <w:spacing w:after="0" w:line="240" w:lineRule="auto"/>
              <w:jc w:val="both"/>
              <w:rPr>
                <w:noProof/>
              </w:rPr>
            </w:pPr>
            <w:r>
              <w:rPr>
                <w:noProof/>
              </w:rPr>
              <w:t>139</w:t>
            </w:r>
          </w:p>
        </w:tc>
        <w:tc>
          <w:tcPr>
            <w:tcW w:w="1528" w:type="dxa"/>
            <w:tcBorders>
              <w:top w:val="single" w:sz="4" w:space="0" w:color="auto"/>
              <w:left w:val="nil"/>
              <w:bottom w:val="single" w:sz="4" w:space="0" w:color="auto"/>
              <w:right w:val="single" w:sz="4" w:space="0" w:color="auto"/>
            </w:tcBorders>
            <w:shd w:val="clear" w:color="auto" w:fill="C6EFCE"/>
            <w:noWrap/>
          </w:tcPr>
          <w:p w14:paraId="7EE7A2AF" w14:textId="77777777" w:rsidR="003D7F65" w:rsidRDefault="0082041E">
            <w:pPr>
              <w:pStyle w:val="P68B1DB1-Normal8"/>
              <w:spacing w:after="0" w:line="240" w:lineRule="auto"/>
              <w:rPr>
                <w:noProof/>
              </w:rPr>
            </w:pPr>
            <w:r>
              <w:rPr>
                <w:noProof/>
              </w:rPr>
              <w:t>P4C1I4 - Introduction d'innovations numériques pour les services de protection sociale et de soins de santé</w:t>
            </w:r>
          </w:p>
        </w:tc>
        <w:tc>
          <w:tcPr>
            <w:tcW w:w="1080" w:type="dxa"/>
            <w:tcBorders>
              <w:top w:val="nil"/>
              <w:left w:val="nil"/>
              <w:bottom w:val="single" w:sz="4" w:space="0" w:color="auto"/>
              <w:right w:val="single" w:sz="4" w:space="0" w:color="auto"/>
            </w:tcBorders>
            <w:shd w:val="clear" w:color="auto" w:fill="C6EFCE"/>
            <w:noWrap/>
          </w:tcPr>
          <w:p w14:paraId="17591A73" w14:textId="77777777" w:rsidR="003D7F65" w:rsidRDefault="0082041E">
            <w:pPr>
              <w:pStyle w:val="P68B1DB1-Normal8"/>
              <w:spacing w:after="0" w:line="240" w:lineRule="auto"/>
              <w:rPr>
                <w:noProof/>
              </w:rPr>
            </w:pPr>
            <w:r>
              <w:rPr>
                <w:noProof/>
              </w:rPr>
              <w:t>Objectif</w:t>
            </w:r>
          </w:p>
        </w:tc>
        <w:tc>
          <w:tcPr>
            <w:tcW w:w="1502" w:type="dxa"/>
            <w:tcBorders>
              <w:top w:val="single" w:sz="4" w:space="0" w:color="auto"/>
              <w:left w:val="nil"/>
              <w:bottom w:val="single" w:sz="4" w:space="0" w:color="auto"/>
              <w:right w:val="single" w:sz="4" w:space="0" w:color="auto"/>
            </w:tcBorders>
            <w:shd w:val="clear" w:color="auto" w:fill="C6EFCE"/>
            <w:noWrap/>
          </w:tcPr>
          <w:p w14:paraId="50585F74" w14:textId="3B0E558B" w:rsidR="003D7F65" w:rsidRDefault="0082041E">
            <w:pPr>
              <w:pStyle w:val="P68B1DB1-Normal8"/>
              <w:spacing w:after="0" w:line="240" w:lineRule="auto"/>
              <w:rPr>
                <w:noProof/>
              </w:rPr>
            </w:pPr>
            <w:r>
              <w:rPr>
                <w:noProof/>
              </w:rPr>
              <w:t xml:space="preserve">Augmentation de la part de la population utilisant les services en ligne de protection sociale et de soins de santé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6952CF63" w14:textId="77777777" w:rsidR="003D7F65" w:rsidRDefault="003D7F65">
            <w:pPr>
              <w:spacing w:after="0" w:line="240" w:lineRule="auto"/>
              <w:rPr>
                <w:rFonts w:ascii="Times New Roman" w:hAnsi="Times New Roman"/>
                <w:noProof/>
                <w:sz w:val="20"/>
                <w:szCs w:val="20"/>
              </w:rPr>
            </w:pPr>
          </w:p>
        </w:tc>
        <w:tc>
          <w:tcPr>
            <w:tcW w:w="1114" w:type="dxa"/>
            <w:tcBorders>
              <w:top w:val="nil"/>
              <w:left w:val="single" w:sz="4" w:space="0" w:color="auto"/>
              <w:bottom w:val="single" w:sz="4" w:space="0" w:color="auto"/>
              <w:right w:val="single" w:sz="4" w:space="0" w:color="auto"/>
            </w:tcBorders>
            <w:shd w:val="clear" w:color="auto" w:fill="C6EFCE"/>
            <w:noWrap/>
          </w:tcPr>
          <w:p w14:paraId="28EAF889" w14:textId="77777777" w:rsidR="003D7F65" w:rsidRDefault="0082041E">
            <w:pPr>
              <w:pStyle w:val="P68B1DB1-Normal8"/>
              <w:spacing w:after="0" w:line="240" w:lineRule="auto"/>
              <w:rPr>
                <w:noProof/>
              </w:rPr>
            </w:pPr>
            <w:r>
              <w:rPr>
                <w:noProof/>
              </w:rPr>
              <w:t>% (pourcentage)</w:t>
            </w:r>
          </w:p>
        </w:tc>
        <w:tc>
          <w:tcPr>
            <w:tcW w:w="1134" w:type="dxa"/>
            <w:tcBorders>
              <w:top w:val="nil"/>
              <w:left w:val="nil"/>
              <w:bottom w:val="single" w:sz="4" w:space="0" w:color="auto"/>
              <w:right w:val="single" w:sz="4" w:space="0" w:color="auto"/>
            </w:tcBorders>
            <w:shd w:val="clear" w:color="auto" w:fill="C6EFCE"/>
            <w:noWrap/>
          </w:tcPr>
          <w:p w14:paraId="594D6501" w14:textId="77777777" w:rsidR="003D7F65" w:rsidRDefault="0082041E">
            <w:pPr>
              <w:pStyle w:val="P68B1DB1-Normal8"/>
              <w:spacing w:after="0" w:line="240" w:lineRule="auto"/>
              <w:rPr>
                <w:rFonts w:eastAsia="Times New Roman"/>
                <w:noProof/>
              </w:rPr>
            </w:pPr>
            <w:r>
              <w:rPr>
                <w:noProof/>
              </w:rPr>
              <w:t>26</w:t>
            </w:r>
          </w:p>
        </w:tc>
        <w:tc>
          <w:tcPr>
            <w:tcW w:w="992" w:type="dxa"/>
            <w:tcBorders>
              <w:top w:val="nil"/>
              <w:left w:val="nil"/>
              <w:bottom w:val="single" w:sz="4" w:space="0" w:color="auto"/>
              <w:right w:val="single" w:sz="4" w:space="0" w:color="auto"/>
            </w:tcBorders>
            <w:shd w:val="clear" w:color="auto" w:fill="C6EFCE"/>
            <w:noWrap/>
          </w:tcPr>
          <w:p w14:paraId="0928AAE9" w14:textId="77777777" w:rsidR="003D7F65" w:rsidRDefault="0082041E">
            <w:pPr>
              <w:pStyle w:val="P68B1DB1-Normal8"/>
              <w:spacing w:after="0" w:line="240" w:lineRule="auto"/>
              <w:rPr>
                <w:noProof/>
              </w:rPr>
            </w:pPr>
            <w:r>
              <w:rPr>
                <w:noProof/>
              </w:rPr>
              <w:t>35</w:t>
            </w:r>
          </w:p>
        </w:tc>
        <w:tc>
          <w:tcPr>
            <w:tcW w:w="993" w:type="dxa"/>
            <w:tcBorders>
              <w:top w:val="nil"/>
              <w:left w:val="nil"/>
              <w:bottom w:val="single" w:sz="4" w:space="0" w:color="auto"/>
              <w:right w:val="single" w:sz="4" w:space="0" w:color="auto"/>
            </w:tcBorders>
            <w:shd w:val="clear" w:color="auto" w:fill="C6EFCE"/>
            <w:noWrap/>
          </w:tcPr>
          <w:p w14:paraId="7831746C" w14:textId="77777777" w:rsidR="003D7F65" w:rsidRDefault="0082041E">
            <w:pPr>
              <w:pStyle w:val="P68B1DB1-Normal8"/>
              <w:spacing w:after="0" w:line="240" w:lineRule="auto"/>
              <w:rPr>
                <w:noProof/>
              </w:rPr>
            </w:pPr>
            <w:r>
              <w:rPr>
                <w:noProof/>
              </w:rPr>
              <w:t>T4</w:t>
            </w:r>
          </w:p>
        </w:tc>
        <w:tc>
          <w:tcPr>
            <w:tcW w:w="992" w:type="dxa"/>
            <w:tcBorders>
              <w:top w:val="nil"/>
              <w:left w:val="nil"/>
              <w:bottom w:val="single" w:sz="4" w:space="0" w:color="auto"/>
              <w:right w:val="single" w:sz="4" w:space="0" w:color="auto"/>
            </w:tcBorders>
            <w:shd w:val="clear" w:color="auto" w:fill="C6EFCE"/>
            <w:noWrap/>
          </w:tcPr>
          <w:p w14:paraId="1C4C53E4" w14:textId="77777777" w:rsidR="003D7F65" w:rsidRDefault="0082041E">
            <w:pPr>
              <w:pStyle w:val="P68B1DB1-Normal8"/>
              <w:spacing w:after="0" w:line="240" w:lineRule="auto"/>
              <w:rPr>
                <w:noProof/>
              </w:rPr>
            </w:pPr>
            <w:r>
              <w:rPr>
                <w:noProof/>
              </w:rPr>
              <w:t>2025</w:t>
            </w:r>
          </w:p>
        </w:tc>
        <w:tc>
          <w:tcPr>
            <w:tcW w:w="3685" w:type="dxa"/>
            <w:tcBorders>
              <w:top w:val="nil"/>
              <w:left w:val="nil"/>
              <w:bottom w:val="single" w:sz="4" w:space="0" w:color="auto"/>
              <w:right w:val="single" w:sz="4" w:space="0" w:color="auto"/>
            </w:tcBorders>
            <w:shd w:val="clear" w:color="auto" w:fill="C6EFCE"/>
            <w:noWrap/>
          </w:tcPr>
          <w:p w14:paraId="373B00A9" w14:textId="51B3445D" w:rsidR="003D7F65" w:rsidRDefault="0082041E">
            <w:pPr>
              <w:pStyle w:val="P68B1DB1-Normal9"/>
              <w:spacing w:after="0" w:line="240" w:lineRule="auto"/>
              <w:rPr>
                <w:noProof/>
              </w:rPr>
            </w:pPr>
            <w:r>
              <w:rPr>
                <w:noProof/>
              </w:rPr>
              <w:t xml:space="preserve">La part de la population (âgée de 20 ans et plus) utilisant les services en ligne de soins de santé et de protection sociale passe à 35 %. En outre, des rapports finaux des bénéficiaires sont fournis pour les nouvelles solutions numériques professionnelles et de gestion dans le secteur social et des soins de santé. </w:t>
            </w:r>
          </w:p>
        </w:tc>
      </w:tr>
      <w:tr w:rsidR="003D7F65" w14:paraId="5815F5B2" w14:textId="77777777" w:rsidTr="007274DB">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0C3AA7E6" w14:textId="77777777" w:rsidR="003D7F65" w:rsidRDefault="0082041E">
            <w:pPr>
              <w:pStyle w:val="P68B1DB1-Normal8"/>
              <w:spacing w:after="0" w:line="240" w:lineRule="auto"/>
              <w:jc w:val="both"/>
              <w:rPr>
                <w:noProof/>
              </w:rPr>
            </w:pPr>
            <w:r>
              <w:rPr>
                <w:noProof/>
              </w:rPr>
              <w:t>140</w:t>
            </w:r>
          </w:p>
        </w:tc>
        <w:tc>
          <w:tcPr>
            <w:tcW w:w="1528" w:type="dxa"/>
            <w:tcBorders>
              <w:top w:val="nil"/>
              <w:left w:val="nil"/>
              <w:bottom w:val="single" w:sz="4" w:space="0" w:color="auto"/>
              <w:right w:val="single" w:sz="4" w:space="0" w:color="auto"/>
            </w:tcBorders>
            <w:shd w:val="clear" w:color="auto" w:fill="C6EFCE"/>
            <w:noWrap/>
          </w:tcPr>
          <w:p w14:paraId="4147D9A1" w14:textId="77777777" w:rsidR="003D7F65" w:rsidRDefault="0082041E">
            <w:pPr>
              <w:pStyle w:val="P68B1DB1-Normal8"/>
              <w:spacing w:after="0" w:line="240" w:lineRule="auto"/>
              <w:rPr>
                <w:noProof/>
              </w:rPr>
            </w:pPr>
            <w:r>
              <w:rPr>
                <w:noProof/>
              </w:rPr>
              <w:t xml:space="preserve">P4C1I5 - Introduction d'un nouveau système numérique d'information sur les soins de santé en Åland </w:t>
            </w:r>
          </w:p>
        </w:tc>
        <w:tc>
          <w:tcPr>
            <w:tcW w:w="1080" w:type="dxa"/>
            <w:tcBorders>
              <w:top w:val="nil"/>
              <w:left w:val="nil"/>
              <w:bottom w:val="single" w:sz="4" w:space="0" w:color="auto"/>
              <w:right w:val="single" w:sz="4" w:space="0" w:color="auto"/>
            </w:tcBorders>
            <w:shd w:val="clear" w:color="auto" w:fill="C6EFCE"/>
            <w:noWrap/>
          </w:tcPr>
          <w:p w14:paraId="7C74BC5E" w14:textId="77777777" w:rsidR="003D7F65" w:rsidRDefault="0082041E">
            <w:pPr>
              <w:pStyle w:val="P68B1DB1-Normal8"/>
              <w:spacing w:after="0" w:line="240" w:lineRule="auto"/>
              <w:rPr>
                <w:noProof/>
              </w:rPr>
            </w:pPr>
            <w:r>
              <w:rPr>
                <w:noProof/>
              </w:rPr>
              <w:t>Objectif</w:t>
            </w:r>
          </w:p>
        </w:tc>
        <w:tc>
          <w:tcPr>
            <w:tcW w:w="1502" w:type="dxa"/>
            <w:tcBorders>
              <w:top w:val="nil"/>
              <w:left w:val="nil"/>
              <w:bottom w:val="single" w:sz="4" w:space="0" w:color="auto"/>
              <w:right w:val="single" w:sz="4" w:space="0" w:color="auto"/>
            </w:tcBorders>
            <w:shd w:val="clear" w:color="auto" w:fill="C6EFCE"/>
            <w:noWrap/>
          </w:tcPr>
          <w:p w14:paraId="256B5BE9" w14:textId="06BE243B" w:rsidR="003D7F65" w:rsidRDefault="0082041E">
            <w:pPr>
              <w:pStyle w:val="P68B1DB1-Normal8"/>
              <w:spacing w:after="0" w:line="240" w:lineRule="auto"/>
              <w:rPr>
                <w:noProof/>
              </w:rPr>
            </w:pPr>
            <w:r>
              <w:rPr>
                <w:noProof/>
              </w:rPr>
              <w:t>Nombre d’autorités ayant enregistré des utilisateurs dans le nouveau système d’information sur les soins de santé</w:t>
            </w:r>
          </w:p>
        </w:tc>
        <w:tc>
          <w:tcPr>
            <w:tcW w:w="1417" w:type="dxa"/>
            <w:tcBorders>
              <w:top w:val="single" w:sz="4" w:space="0" w:color="auto"/>
              <w:left w:val="nil"/>
              <w:bottom w:val="single" w:sz="4" w:space="0" w:color="auto"/>
              <w:right w:val="single" w:sz="4" w:space="0" w:color="auto"/>
            </w:tcBorders>
            <w:shd w:val="clear" w:color="auto" w:fill="C6EFCE"/>
            <w:noWrap/>
          </w:tcPr>
          <w:p w14:paraId="22B1B391" w14:textId="77777777" w:rsidR="003D7F65" w:rsidRDefault="0082041E">
            <w:pPr>
              <w:pStyle w:val="P68B1DB1-Normal8"/>
              <w:spacing w:after="0" w:line="240" w:lineRule="auto"/>
              <w:rPr>
                <w:noProof/>
              </w:rPr>
            </w:pPr>
            <w:r>
              <w:rPr>
                <w:noProof/>
              </w:rPr>
              <w:t> </w:t>
            </w:r>
          </w:p>
        </w:tc>
        <w:tc>
          <w:tcPr>
            <w:tcW w:w="1114" w:type="dxa"/>
            <w:tcBorders>
              <w:top w:val="nil"/>
              <w:left w:val="nil"/>
              <w:bottom w:val="single" w:sz="4" w:space="0" w:color="auto"/>
              <w:right w:val="single" w:sz="4" w:space="0" w:color="auto"/>
            </w:tcBorders>
            <w:shd w:val="clear" w:color="auto" w:fill="C6EFCE"/>
            <w:noWrap/>
          </w:tcPr>
          <w:p w14:paraId="164284D0" w14:textId="0AB0C57F" w:rsidR="003D7F65" w:rsidRDefault="0082041E">
            <w:pPr>
              <w:pStyle w:val="P68B1DB1-Normal8"/>
              <w:spacing w:after="0" w:line="240" w:lineRule="auto"/>
              <w:rPr>
                <w:noProof/>
              </w:rPr>
            </w:pPr>
            <w:r>
              <w:rPr>
                <w:noProof/>
              </w:rPr>
              <w:t>Nombre d'autorités</w:t>
            </w:r>
          </w:p>
        </w:tc>
        <w:tc>
          <w:tcPr>
            <w:tcW w:w="1134" w:type="dxa"/>
            <w:tcBorders>
              <w:top w:val="nil"/>
              <w:left w:val="nil"/>
              <w:bottom w:val="single" w:sz="4" w:space="0" w:color="auto"/>
              <w:right w:val="single" w:sz="4" w:space="0" w:color="auto"/>
            </w:tcBorders>
            <w:shd w:val="clear" w:color="auto" w:fill="C6EFCE"/>
            <w:noWrap/>
          </w:tcPr>
          <w:p w14:paraId="10EDEFD0" w14:textId="77777777" w:rsidR="003D7F65" w:rsidRDefault="0082041E">
            <w:pPr>
              <w:pStyle w:val="P68B1DB1-Normal8"/>
              <w:spacing w:after="0" w:line="240" w:lineRule="auto"/>
              <w:rPr>
                <w:noProof/>
              </w:rPr>
            </w:pPr>
            <w:r>
              <w:rPr>
                <w:noProof/>
              </w:rPr>
              <w:t>0</w:t>
            </w:r>
          </w:p>
        </w:tc>
        <w:tc>
          <w:tcPr>
            <w:tcW w:w="992" w:type="dxa"/>
            <w:tcBorders>
              <w:top w:val="nil"/>
              <w:left w:val="nil"/>
              <w:bottom w:val="single" w:sz="4" w:space="0" w:color="auto"/>
              <w:right w:val="single" w:sz="4" w:space="0" w:color="auto"/>
            </w:tcBorders>
            <w:shd w:val="clear" w:color="auto" w:fill="C6EFCE"/>
            <w:noWrap/>
          </w:tcPr>
          <w:p w14:paraId="1315C6A6" w14:textId="17DE1760" w:rsidR="003D7F65" w:rsidRDefault="0082041E">
            <w:pPr>
              <w:pStyle w:val="P68B1DB1-Normal8"/>
              <w:spacing w:after="0" w:line="240" w:lineRule="auto"/>
              <w:rPr>
                <w:noProof/>
              </w:rPr>
            </w:pPr>
            <w:r>
              <w:rPr>
                <w:noProof/>
              </w:rPr>
              <w:t>19</w:t>
            </w:r>
          </w:p>
        </w:tc>
        <w:tc>
          <w:tcPr>
            <w:tcW w:w="993" w:type="dxa"/>
            <w:tcBorders>
              <w:top w:val="nil"/>
              <w:left w:val="nil"/>
              <w:bottom w:val="single" w:sz="4" w:space="0" w:color="auto"/>
              <w:right w:val="single" w:sz="4" w:space="0" w:color="auto"/>
            </w:tcBorders>
            <w:shd w:val="clear" w:color="auto" w:fill="C6EFCE"/>
            <w:noWrap/>
          </w:tcPr>
          <w:p w14:paraId="457277BD" w14:textId="77777777" w:rsidR="003D7F65" w:rsidRDefault="0082041E">
            <w:pPr>
              <w:pStyle w:val="P68B1DB1-Normal8"/>
              <w:spacing w:after="0" w:line="240" w:lineRule="auto"/>
              <w:rPr>
                <w:noProof/>
              </w:rPr>
            </w:pPr>
            <w:r>
              <w:rPr>
                <w:noProof/>
              </w:rPr>
              <w:t>T2</w:t>
            </w:r>
          </w:p>
        </w:tc>
        <w:tc>
          <w:tcPr>
            <w:tcW w:w="992" w:type="dxa"/>
            <w:tcBorders>
              <w:top w:val="nil"/>
              <w:left w:val="nil"/>
              <w:bottom w:val="single" w:sz="4" w:space="0" w:color="auto"/>
              <w:right w:val="single" w:sz="4" w:space="0" w:color="auto"/>
            </w:tcBorders>
            <w:shd w:val="clear" w:color="auto" w:fill="C6EFCE"/>
            <w:noWrap/>
          </w:tcPr>
          <w:p w14:paraId="536878A8" w14:textId="77777777" w:rsidR="003D7F65" w:rsidRDefault="0082041E">
            <w:pPr>
              <w:pStyle w:val="P68B1DB1-Normal8"/>
              <w:spacing w:after="0" w:line="240" w:lineRule="auto"/>
              <w:rPr>
                <w:noProof/>
              </w:rPr>
            </w:pPr>
            <w:r>
              <w:rPr>
                <w:noProof/>
              </w:rPr>
              <w:t>2026</w:t>
            </w:r>
          </w:p>
        </w:tc>
        <w:tc>
          <w:tcPr>
            <w:tcW w:w="3685" w:type="dxa"/>
            <w:tcBorders>
              <w:top w:val="nil"/>
              <w:left w:val="nil"/>
              <w:bottom w:val="single" w:sz="4" w:space="0" w:color="auto"/>
              <w:right w:val="single" w:sz="4" w:space="0" w:color="auto"/>
            </w:tcBorders>
            <w:shd w:val="clear" w:color="auto" w:fill="C6EFCE"/>
            <w:noWrap/>
          </w:tcPr>
          <w:p w14:paraId="28DB974C" w14:textId="13D77A60" w:rsidR="003D7F65" w:rsidRDefault="0082041E">
            <w:pPr>
              <w:pStyle w:val="P68B1DB1-Normal8"/>
              <w:spacing w:after="0" w:line="240" w:lineRule="auto"/>
              <w:rPr>
                <w:noProof/>
              </w:rPr>
            </w:pPr>
            <w:r>
              <w:rPr>
                <w:noProof/>
              </w:rPr>
              <w:t>Au moins les autorités suivantes disposent d’un ou de plusieurs utilisateurs enregistrés dans le nouveau système d’information sur les soins de santé en Åland:</w:t>
            </w:r>
          </w:p>
          <w:p w14:paraId="6621397E" w14:textId="77777777" w:rsidR="003D7F65" w:rsidRDefault="003D7F65">
            <w:pPr>
              <w:spacing w:after="0" w:line="240" w:lineRule="auto"/>
              <w:rPr>
                <w:rFonts w:ascii="Times New Roman" w:hAnsi="Times New Roman"/>
                <w:noProof/>
                <w:sz w:val="20"/>
                <w:szCs w:val="20"/>
              </w:rPr>
            </w:pPr>
          </w:p>
          <w:p w14:paraId="55B6123F" w14:textId="77777777" w:rsidR="003D7F65" w:rsidRDefault="0082041E">
            <w:pPr>
              <w:pStyle w:val="P68B1DB1-ListParagraph22"/>
              <w:numPr>
                <w:ilvl w:val="0"/>
                <w:numId w:val="37"/>
              </w:numPr>
              <w:spacing w:after="0" w:line="240" w:lineRule="auto"/>
              <w:rPr>
                <w:noProof/>
              </w:rPr>
            </w:pPr>
            <w:r>
              <w:rPr>
                <w:noProof/>
              </w:rPr>
              <w:t xml:space="preserve">Åland Services de soins de santé: il peut s’agir, sans s’y limiter, de soins de santé primaires, de soins de santé spécialisés, de soins de santé mentale, de soins dentaires, de services de laboratoire, de réadaptation et d’ampli, de physiothérapie et de soins à domicile. </w:t>
            </w:r>
          </w:p>
          <w:p w14:paraId="30C0B84D" w14:textId="77777777" w:rsidR="003D7F65" w:rsidRDefault="0082041E">
            <w:pPr>
              <w:pStyle w:val="P68B1DB1-ListParagraph22"/>
              <w:numPr>
                <w:ilvl w:val="0"/>
                <w:numId w:val="37"/>
              </w:numPr>
              <w:spacing w:after="0" w:line="240" w:lineRule="auto"/>
              <w:rPr>
                <w:noProof/>
              </w:rPr>
            </w:pPr>
            <w:r>
              <w:rPr>
                <w:noProof/>
              </w:rPr>
              <w:t>16 municipalités et</w:t>
            </w:r>
          </w:p>
          <w:p w14:paraId="756AFA22" w14:textId="22E3BF1C" w:rsidR="003D7F65" w:rsidRDefault="0082041E">
            <w:pPr>
              <w:pStyle w:val="P68B1DB1-ListParagraph22"/>
              <w:numPr>
                <w:ilvl w:val="0"/>
                <w:numId w:val="37"/>
              </w:numPr>
              <w:spacing w:after="0" w:line="240" w:lineRule="auto"/>
              <w:rPr>
                <w:noProof/>
              </w:rPr>
            </w:pPr>
            <w:r>
              <w:rPr>
                <w:noProof/>
              </w:rPr>
              <w:t xml:space="preserve">2 autorités municipales communes </w:t>
            </w:r>
          </w:p>
          <w:p w14:paraId="7FB286BB" w14:textId="77777777" w:rsidR="003D7F65" w:rsidRDefault="003D7F65">
            <w:pPr>
              <w:spacing w:after="0" w:line="240" w:lineRule="auto"/>
              <w:rPr>
                <w:rFonts w:ascii="Times New Roman" w:hAnsi="Times New Roman"/>
                <w:noProof/>
                <w:sz w:val="20"/>
                <w:szCs w:val="20"/>
              </w:rPr>
            </w:pPr>
          </w:p>
          <w:p w14:paraId="49D6FF89" w14:textId="4DF9721D" w:rsidR="003D7F65" w:rsidRDefault="0082041E">
            <w:pPr>
              <w:pStyle w:val="P68B1DB1-Normal8"/>
              <w:spacing w:after="0" w:line="240" w:lineRule="auto"/>
              <w:rPr>
                <w:noProof/>
              </w:rPr>
            </w:pPr>
            <w:r>
              <w:rPr>
                <w:noProof/>
              </w:rPr>
              <w:t>Le système couvre la documentation des processus de soins, les prescriptions médicales, l’aide à la prise de décisions médicales, les dossiers cliniques des clients, l’orientation vers des services spécialisés, l’attribution de temps et de ressources, ainsi que la qualité informatique de base et le suivi de la production des clients.</w:t>
            </w:r>
          </w:p>
        </w:tc>
      </w:tr>
    </w:tbl>
    <w:p w14:paraId="5D7FA014" w14:textId="77777777" w:rsidR="003D7F65" w:rsidRDefault="003D7F65">
      <w:pPr>
        <w:spacing w:before="120" w:after="120" w:line="240" w:lineRule="auto"/>
        <w:jc w:val="both"/>
        <w:rPr>
          <w:rFonts w:ascii="Times New Roman" w:hAnsi="Times New Roman"/>
          <w:i/>
          <w:noProof/>
          <w:color w:val="4F81BD"/>
          <w:sz w:val="24"/>
        </w:rPr>
      </w:pPr>
    </w:p>
    <w:p w14:paraId="042D071F" w14:textId="39F47E00" w:rsidR="003D7F65" w:rsidRDefault="003D7F65">
      <w:pPr>
        <w:tabs>
          <w:tab w:val="left" w:pos="2685"/>
        </w:tabs>
        <w:rPr>
          <w:noProof/>
        </w:rPr>
        <w:sectPr w:rsidR="003D7F65" w:rsidSect="00A7081A">
          <w:headerReference w:type="even" r:id="rId164"/>
          <w:headerReference w:type="default" r:id="rId165"/>
          <w:footerReference w:type="even" r:id="rId166"/>
          <w:footerReference w:type="default" r:id="rId167"/>
          <w:headerReference w:type="first" r:id="rId168"/>
          <w:footerReference w:type="first" r:id="rId169"/>
          <w:pgSz w:w="16839" w:h="11907" w:orient="landscape"/>
          <w:pgMar w:top="1134" w:right="1134" w:bottom="1134" w:left="1134" w:header="567" w:footer="567" w:gutter="0"/>
          <w:cols w:space="720"/>
          <w:docGrid w:linePitch="360"/>
        </w:sectPr>
      </w:pPr>
    </w:p>
    <w:p w14:paraId="4E76DA4C" w14:textId="77777777" w:rsidR="003D7F65" w:rsidRDefault="0082041E">
      <w:pPr>
        <w:pStyle w:val="P68B1DB1-Heading42"/>
        <w:numPr>
          <w:ilvl w:val="3"/>
          <w:numId w:val="0"/>
        </w:numPr>
        <w:spacing w:after="240"/>
        <w:rPr>
          <w:noProof/>
        </w:rPr>
      </w:pPr>
      <w:r>
        <w:rPr>
          <w:noProof/>
        </w:rPr>
        <w:t>PILLAR 5. REPowerEU</w:t>
      </w:r>
    </w:p>
    <w:p w14:paraId="40A16BA1" w14:textId="77777777" w:rsidR="003D7F65" w:rsidRDefault="0082041E">
      <w:pPr>
        <w:pStyle w:val="P68B1DB1-Heading42"/>
        <w:numPr>
          <w:ilvl w:val="3"/>
          <w:numId w:val="0"/>
        </w:numPr>
        <w:spacing w:after="240"/>
        <w:rPr>
          <w:noProof/>
        </w:rPr>
      </w:pPr>
      <w:r>
        <w:rPr>
          <w:noProof/>
        </w:rPr>
        <w:t>N. Élément P5C1. REPowerEU</w:t>
      </w:r>
    </w:p>
    <w:p w14:paraId="0BAAC70C" w14:textId="77777777" w:rsidR="003D7F65" w:rsidRDefault="0082041E">
      <w:pPr>
        <w:pStyle w:val="paragraph"/>
        <w:spacing w:before="0" w:beforeAutospacing="0" w:after="0" w:afterAutospacing="0"/>
        <w:jc w:val="both"/>
        <w:rPr>
          <w:rFonts w:ascii="Segoe UI" w:hAnsi="Segoe UI" w:cs="Segoe UI"/>
          <w:noProof/>
          <w:sz w:val="18"/>
          <w:szCs w:val="18"/>
        </w:rPr>
      </w:pPr>
      <w:r>
        <w:rPr>
          <w:rStyle w:val="normaltextrun"/>
          <w:noProof/>
        </w:rPr>
        <w:t>Le chapitre REPowerEU contribue à relever le défi consistant à réduire la dépendance à l’égard des combustibles fossiles. Les objectifs du volet sont de promouvoir le déploiement des énergies renouvelables et d’accroître la recherche et le développement en faveur de la transition écologique. Tous ces objectifs devraient contribuer à la réalisation des objectifs climatiques de l’Union à l’horizon 2030, de l’objectif de la Finlande de parvenir à la neutralité carbone d’ici à 2035 ainsi que de l’objectif d’accroître la part des sources d’énergie renouvelables dans le bouquet énergétique de la Finlande. Les trois investissements du chapitre REPowerEU ont tous une dimension ou un effet transfrontière ou plurinational. En particulier, la mesure relative aux «investissements en faveur de la transition propre» et la mesure relative à l’«énergie éolienne en mer dans les Åland» contribuent à garantir l’approvisionnement énergétique dans l’ensemble de l’Union, tandis que la mesure relative à la «R&amp;D pour la transition écologique» contribue au développement des compétences vertes de la main-d’œuvre dans l’Union.</w:t>
      </w:r>
    </w:p>
    <w:p w14:paraId="31A2DCBF" w14:textId="77777777" w:rsidR="003D7F65" w:rsidRDefault="0082041E">
      <w:pPr>
        <w:pStyle w:val="paragraph"/>
        <w:jc w:val="both"/>
        <w:textAlignment w:val="baseline"/>
        <w:rPr>
          <w:rFonts w:ascii="Segoe UI" w:hAnsi="Segoe UI" w:cs="Segoe UI"/>
          <w:noProof/>
          <w:sz w:val="18"/>
          <w:szCs w:val="18"/>
        </w:rPr>
      </w:pPr>
      <w:r>
        <w:rPr>
          <w:rStyle w:val="normaltextrun"/>
          <w:noProof/>
        </w:rPr>
        <w:t>Le chapitre REPowerEU contribue à donner suite aux recommandations par pays visant à axer la politique économique liée aux investissements sur la recherche et l’innovation, la transition vers une économie à faible intensité de carbone et la transition énergétique (recommandation par pays no 3 en 2019), à concentrer les investissements sur la transition écologique et numérique, en particulier sur la production et l’utilisation propres et efficaces de l’énergie (recommandation par pays no 3 en 2020), à réduire la dépendance globale à l’égard des combustibles fossiles en accélérant le déploiement des énergies renouvelables, y compris en accélérant encore les procédures d’autorisation, à stimuler les investissements publics et privés dans la décarbonation de l’industrie (recommandation par pays no 3 en 2022 et recommandation par pays no 4 en 2023) et à intensifier les efforts stratégiques visant à fournir et à acquérir les compétences nécessaires à la transition écologique (recommandation par pays no 4 en 2023). </w:t>
      </w:r>
    </w:p>
    <w:p w14:paraId="4FFB4681" w14:textId="77777777" w:rsidR="003D7F65" w:rsidRDefault="0082041E">
      <w:pPr>
        <w:pStyle w:val="paragraph"/>
        <w:spacing w:before="0" w:beforeAutospacing="0" w:after="0" w:afterAutospacing="0"/>
        <w:jc w:val="both"/>
        <w:textAlignment w:val="baseline"/>
        <w:rPr>
          <w:rStyle w:val="eop"/>
          <w:noProof/>
        </w:rPr>
      </w:pPr>
      <w:r>
        <w:rPr>
          <w:rStyle w:val="normaltextrun"/>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 </w:t>
      </w:r>
    </w:p>
    <w:p w14:paraId="75CCA8C3" w14:textId="77777777" w:rsidR="003D7F65" w:rsidRDefault="003D7F65">
      <w:pPr>
        <w:pStyle w:val="paragraph"/>
        <w:spacing w:before="0" w:beforeAutospacing="0" w:after="0" w:afterAutospacing="0"/>
        <w:jc w:val="both"/>
        <w:textAlignment w:val="baseline"/>
        <w:rPr>
          <w:rFonts w:ascii="Segoe UI" w:hAnsi="Segoe UI" w:cs="Segoe UI"/>
          <w:noProof/>
          <w:sz w:val="18"/>
          <w:szCs w:val="18"/>
        </w:rPr>
      </w:pPr>
    </w:p>
    <w:p w14:paraId="4773423E" w14:textId="77777777" w:rsidR="003D7F65" w:rsidRDefault="0082041E">
      <w:pPr>
        <w:pStyle w:val="paragraph"/>
        <w:spacing w:before="0" w:beforeAutospacing="0" w:after="0" w:afterAutospacing="0"/>
        <w:jc w:val="both"/>
        <w:textAlignment w:val="baseline"/>
        <w:rPr>
          <w:b/>
          <w:noProof/>
          <w:u w:val="single"/>
          <w:shd w:val="clear" w:color="auto" w:fill="E6E6E6"/>
        </w:rPr>
      </w:pPr>
      <w:r>
        <w:rPr>
          <w:b/>
          <w:noProof/>
          <w:u w:val="single"/>
        </w:rPr>
        <w:t>N.1.</w:t>
      </w:r>
      <w:r>
        <w:rPr>
          <w:noProof/>
        </w:rPr>
        <w:tab/>
      </w:r>
      <w:r>
        <w:rPr>
          <w:b/>
          <w:noProof/>
          <w:u w:val="single"/>
        </w:rPr>
        <w:t>Description des réformes et des investissements pour le soutien financier non remboursable</w:t>
      </w:r>
    </w:p>
    <w:p w14:paraId="2BC112AD" w14:textId="77777777" w:rsidR="003D7F65" w:rsidRDefault="003D7F65">
      <w:pPr>
        <w:pStyle w:val="paragraph"/>
        <w:spacing w:before="0" w:beforeAutospacing="0" w:after="0" w:afterAutospacing="0"/>
        <w:jc w:val="both"/>
        <w:textAlignment w:val="baseline"/>
        <w:rPr>
          <w:rFonts w:ascii="Segoe UI" w:hAnsi="Segoe UI" w:cs="Segoe UI"/>
          <w:noProof/>
          <w:sz w:val="18"/>
          <w:szCs w:val="18"/>
        </w:rPr>
      </w:pPr>
    </w:p>
    <w:p w14:paraId="28F63BA2" w14:textId="77777777" w:rsidR="003D7F65" w:rsidRDefault="0082041E">
      <w:pPr>
        <w:pStyle w:val="paragraph"/>
        <w:spacing w:before="0" w:beforeAutospacing="0" w:after="0" w:afterAutospacing="0"/>
        <w:jc w:val="both"/>
        <w:textAlignment w:val="baseline"/>
        <w:rPr>
          <w:rStyle w:val="normaltextrun"/>
          <w:noProof/>
          <w:u w:val="single"/>
        </w:rPr>
      </w:pPr>
      <w:r>
        <w:rPr>
          <w:rStyle w:val="normaltextrun"/>
          <w:noProof/>
          <w:u w:val="single"/>
        </w:rPr>
        <w:t>Réforme 1 (P5C1R1): Autorisation de la transition écologique</w:t>
      </w:r>
    </w:p>
    <w:p w14:paraId="095A85F4" w14:textId="77777777" w:rsidR="003D7F65" w:rsidRDefault="0082041E">
      <w:pPr>
        <w:pStyle w:val="P68B1DB1-Normal3"/>
        <w:spacing w:before="120" w:after="120" w:line="240" w:lineRule="auto"/>
        <w:jc w:val="both"/>
        <w:rPr>
          <w:noProof/>
          <w:u w:val="single"/>
        </w:rPr>
      </w:pPr>
      <w:r>
        <w:rPr>
          <w:noProof/>
        </w:rPr>
        <w:t xml:space="preserve">L’objectif de la réforme est de réduire les délais de traitement des procédures d’autorisation environnementale pour les investissements dans les énergies renouvelables en Finlande. Cette mesure consiste en l’entrée en vigueur d’actes juridiques sur les procédures d’autorisation environnementale, le soutien financier à la mise en place de processus numériques et le traitement des demandes d’évaluation des incidences sur l’environnement. </w:t>
      </w:r>
    </w:p>
    <w:p w14:paraId="70D19BC8" w14:textId="77777777" w:rsidR="003D7F65" w:rsidRDefault="0082041E">
      <w:pPr>
        <w:pStyle w:val="P68B1DB1-Normal6"/>
        <w:spacing w:before="120" w:after="120" w:line="240" w:lineRule="auto"/>
        <w:jc w:val="both"/>
        <w:rPr>
          <w:noProof/>
        </w:rPr>
      </w:pPr>
      <w:r>
        <w:rPr>
          <w:noProof/>
        </w:rPr>
        <w:t>Investissement 1 (P5C1I1): Investissements en faveur d’une transition propre</w:t>
      </w:r>
    </w:p>
    <w:p w14:paraId="34524610" w14:textId="7CEA0090" w:rsidR="003D7F65" w:rsidRDefault="0082041E">
      <w:pPr>
        <w:pStyle w:val="P68B1DB1-Normal3"/>
        <w:spacing w:before="120" w:after="120" w:line="240" w:lineRule="auto"/>
        <w:jc w:val="both"/>
        <w:rPr>
          <w:noProof/>
        </w:rPr>
      </w:pPr>
      <w:r>
        <w:rPr>
          <w:noProof/>
        </w:rPr>
        <w:t>L’objectif de l’investissement est de stimuler l’introduction de nouvelles technologies propres pour la production et l’utilisation d’énergie ou la production et le stockage d’hydrogène renouvelable à l’échelle commerciale. La mesure consiste à accorder des subventions à des projets à grande échelle dans le domaine des énergies renouvelables ou à des projets tout au long de la chaîne de valeur de l’hydrogène pour la production d’hydrogène renouvelable.</w:t>
      </w:r>
    </w:p>
    <w:p w14:paraId="535697C6" w14:textId="77777777" w:rsidR="003D7F65" w:rsidRDefault="0082041E">
      <w:pPr>
        <w:pStyle w:val="P68B1DB1-Normal6"/>
        <w:spacing w:before="120" w:after="120" w:line="240" w:lineRule="auto"/>
        <w:jc w:val="both"/>
        <w:rPr>
          <w:noProof/>
        </w:rPr>
      </w:pPr>
      <w:r>
        <w:rPr>
          <w:noProof/>
        </w:rPr>
        <w:t>Investissement 2 (P5C1I2): R&amp;D pour la transition écologique</w:t>
      </w:r>
    </w:p>
    <w:p w14:paraId="3C09571B" w14:textId="77777777" w:rsidR="003D7F65" w:rsidRDefault="0082041E">
      <w:pPr>
        <w:pStyle w:val="paragraph"/>
        <w:spacing w:before="0" w:beforeAutospacing="0" w:after="0" w:afterAutospacing="0"/>
        <w:jc w:val="both"/>
        <w:textAlignment w:val="baseline"/>
        <w:rPr>
          <w:rStyle w:val="normaltextrun"/>
          <w:noProof/>
          <w:u w:val="single"/>
        </w:rPr>
      </w:pPr>
      <w:r>
        <w:rPr>
          <w:noProof/>
        </w:rPr>
        <w:t>L’objectif de l’investissement est de soutenir les activités de R&amp;D axées sur la promotion de solutions d’énergie renouvelable en Finlande. La mesure consiste à fournir un soutien financier pour les ouvertures de recherche, l’affectation de chercheurs et l’attribution de postes de doctorants dans des thèmes liés à REPowerEU, des infrastructures de recherche et des feuilles de route pour l’énergie propre.</w:t>
      </w:r>
    </w:p>
    <w:p w14:paraId="4D5F67EC" w14:textId="77777777" w:rsidR="003D7F65" w:rsidRDefault="003D7F65">
      <w:pPr>
        <w:pStyle w:val="paragraph"/>
        <w:spacing w:before="0" w:beforeAutospacing="0" w:after="0" w:afterAutospacing="0"/>
        <w:jc w:val="both"/>
        <w:textAlignment w:val="baseline"/>
        <w:rPr>
          <w:rStyle w:val="normaltextrun"/>
          <w:noProof/>
          <w:u w:val="single"/>
        </w:rPr>
      </w:pPr>
    </w:p>
    <w:p w14:paraId="60229CA7" w14:textId="77777777" w:rsidR="003D7F65" w:rsidRDefault="0082041E">
      <w:pPr>
        <w:pStyle w:val="P68B1DB1-paragraph27"/>
        <w:spacing w:before="0" w:beforeAutospacing="0" w:after="0" w:afterAutospacing="0"/>
        <w:jc w:val="both"/>
        <w:textAlignment w:val="baseline"/>
        <w:rPr>
          <w:rStyle w:val="normaltextrun"/>
          <w:noProof/>
        </w:rPr>
      </w:pPr>
      <w:r>
        <w:rPr>
          <w:noProof/>
        </w:rPr>
        <w:t>Investissement 3 (P5C1I3): Catégorie: Éolien en mer en Åland</w:t>
      </w:r>
    </w:p>
    <w:p w14:paraId="2AE09D4B" w14:textId="77777777" w:rsidR="003D7F65" w:rsidRDefault="0082041E">
      <w:pPr>
        <w:pStyle w:val="P68B1DB1-Normal3"/>
        <w:spacing w:before="120" w:after="120" w:line="240" w:lineRule="auto"/>
        <w:jc w:val="both"/>
        <w:rPr>
          <w:noProof/>
        </w:rPr>
      </w:pPr>
      <w:r>
        <w:rPr>
          <w:noProof/>
        </w:rPr>
        <w:t>L’objectif de l’investissement est de soutenir la production d’énergie éolienne dans la région autonome d’Åland. La mesure consiste à fournir des rapports sur l’énergie éolienne en mer.</w:t>
      </w:r>
    </w:p>
    <w:p w14:paraId="05FF0BEF" w14:textId="77777777" w:rsidR="003D7F65" w:rsidRDefault="003D7F65">
      <w:pPr>
        <w:spacing w:before="120" w:after="120" w:line="240" w:lineRule="auto"/>
        <w:jc w:val="both"/>
        <w:rPr>
          <w:rFonts w:ascii="Times New Roman" w:hAnsi="Times New Roman"/>
          <w:b/>
          <w:bCs/>
          <w:noProof/>
          <w:sz w:val="24"/>
          <w:u w:val="single"/>
        </w:rPr>
        <w:sectPr w:rsidR="003D7F65" w:rsidSect="00A7081A">
          <w:headerReference w:type="even" r:id="rId170"/>
          <w:headerReference w:type="default" r:id="rId171"/>
          <w:footerReference w:type="even" r:id="rId172"/>
          <w:footerReference w:type="default" r:id="rId173"/>
          <w:headerReference w:type="first" r:id="rId174"/>
          <w:footerReference w:type="first" r:id="rId175"/>
          <w:pgSz w:w="11907" w:h="16839"/>
          <w:pgMar w:top="1134" w:right="1134" w:bottom="1134" w:left="1134" w:header="567" w:footer="567" w:gutter="0"/>
          <w:cols w:space="720"/>
          <w:docGrid w:linePitch="360"/>
        </w:sectPr>
      </w:pPr>
    </w:p>
    <w:p w14:paraId="24798074" w14:textId="77777777" w:rsidR="003D7F65" w:rsidRDefault="0082041E">
      <w:pPr>
        <w:spacing w:before="120" w:after="120" w:line="240" w:lineRule="auto"/>
        <w:jc w:val="both"/>
        <w:rPr>
          <w:rFonts w:ascii="Times New Roman" w:hAnsi="Times New Roman"/>
          <w:b/>
          <w:noProof/>
          <w:sz w:val="24"/>
          <w:szCs w:val="24"/>
          <w:u w:val="single"/>
        </w:rPr>
      </w:pPr>
      <w:r>
        <w:rPr>
          <w:rFonts w:ascii="Times New Roman" w:hAnsi="Times New Roman"/>
          <w:b/>
          <w:noProof/>
          <w:sz w:val="24"/>
          <w:szCs w:val="24"/>
          <w:u w:val="single"/>
        </w:rPr>
        <w:t>N.2.</w:t>
      </w:r>
      <w:r>
        <w:rPr>
          <w:noProof/>
        </w:rPr>
        <w:tab/>
      </w:r>
      <w:r>
        <w:rPr>
          <w:rFonts w:ascii="Times New Roman" w:hAnsi="Times New Roman"/>
          <w:b/>
          <w:noProof/>
          <w:sz w:val="24"/>
          <w:szCs w:val="24"/>
          <w:u w:val="single"/>
        </w:rPr>
        <w:t>Étapes, cibles, indicateurs et calendrier pour le suivi et la mise en œuvre du soutien financier non remboursable</w:t>
      </w:r>
    </w:p>
    <w:tbl>
      <w:tblPr>
        <w:tblW w:w="15304" w:type="dxa"/>
        <w:jc w:val="center"/>
        <w:tblLayout w:type="fixed"/>
        <w:tblCellMar>
          <w:left w:w="28" w:type="dxa"/>
          <w:right w:w="28" w:type="dxa"/>
        </w:tblCellMar>
        <w:tblLook w:val="04A0" w:firstRow="1" w:lastRow="0" w:firstColumn="1" w:lastColumn="0" w:noHBand="0" w:noVBand="1"/>
      </w:tblPr>
      <w:tblGrid>
        <w:gridCol w:w="846"/>
        <w:gridCol w:w="1669"/>
        <w:gridCol w:w="1166"/>
        <w:gridCol w:w="1289"/>
        <w:gridCol w:w="1424"/>
        <w:gridCol w:w="972"/>
        <w:gridCol w:w="993"/>
        <w:gridCol w:w="850"/>
        <w:gridCol w:w="992"/>
        <w:gridCol w:w="993"/>
        <w:gridCol w:w="4110"/>
      </w:tblGrid>
      <w:tr w:rsidR="003D7F65" w14:paraId="5935062F" w14:textId="77777777" w:rsidTr="00DF4EDA">
        <w:trPr>
          <w:trHeight w:val="674"/>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2BC57C" w14:textId="77777777" w:rsidR="003D7F65" w:rsidRDefault="0082041E">
            <w:pPr>
              <w:pStyle w:val="P68B1DB1-Normal24"/>
              <w:spacing w:after="0" w:line="240" w:lineRule="auto"/>
              <w:jc w:val="center"/>
              <w:rPr>
                <w:noProof/>
              </w:rPr>
            </w:pPr>
            <w:r>
              <w:rPr>
                <w:noProof/>
              </w:rPr>
              <w:t>Numéro</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440C66" w14:textId="77777777" w:rsidR="003D7F65" w:rsidRDefault="0082041E">
            <w:pPr>
              <w:pStyle w:val="P68B1DB1-Normal24"/>
              <w:spacing w:after="0" w:line="240" w:lineRule="auto"/>
              <w:jc w:val="center"/>
              <w:rPr>
                <w:bCs/>
                <w:noProof/>
              </w:rPr>
            </w:pPr>
            <w:r>
              <w:rPr>
                <w:noProof/>
              </w:rPr>
              <w:t>Mesure</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9C838B" w14:textId="77777777" w:rsidR="003D7F65" w:rsidRDefault="0082041E">
            <w:pPr>
              <w:pStyle w:val="P68B1DB1-Normal24"/>
              <w:spacing w:after="0" w:line="240" w:lineRule="auto"/>
              <w:jc w:val="center"/>
              <w:rPr>
                <w:noProof/>
              </w:rPr>
            </w:pPr>
            <w:r>
              <w:rPr>
                <w:noProof/>
              </w:rPr>
              <w:t>Étape/cible</w:t>
            </w:r>
          </w:p>
        </w:tc>
        <w:tc>
          <w:tcPr>
            <w:tcW w:w="12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F20D8" w14:textId="77777777" w:rsidR="003D7F65" w:rsidRDefault="0082041E">
            <w:pPr>
              <w:pStyle w:val="P68B1DB1-Normal24"/>
              <w:spacing w:after="0" w:line="240" w:lineRule="auto"/>
              <w:jc w:val="center"/>
              <w:rPr>
                <w:noProof/>
              </w:rPr>
            </w:pPr>
            <w:r>
              <w:rPr>
                <w:noProof/>
              </w:rPr>
              <w:t>Nom</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4BE4E5" w14:textId="77777777" w:rsidR="003D7F65" w:rsidRDefault="0082041E">
            <w:pPr>
              <w:pStyle w:val="P68B1DB1-Normal24"/>
              <w:spacing w:after="0" w:line="240" w:lineRule="auto"/>
              <w:jc w:val="center"/>
              <w:rPr>
                <w:bCs/>
                <w:noProof/>
              </w:rPr>
            </w:pPr>
            <w:r>
              <w:rPr>
                <w:noProof/>
              </w:rPr>
              <w:t>Indicateurs qualitatifs (pour les jalons)</w:t>
            </w:r>
          </w:p>
        </w:tc>
        <w:tc>
          <w:tcPr>
            <w:tcW w:w="281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990AA5" w14:textId="77777777" w:rsidR="003D7F65" w:rsidRDefault="0082041E">
            <w:pPr>
              <w:pStyle w:val="P68B1DB1-Normal24"/>
              <w:spacing w:after="0" w:line="240" w:lineRule="auto"/>
              <w:jc w:val="center"/>
              <w:rPr>
                <w:bCs/>
                <w:noProof/>
              </w:rPr>
            </w:pPr>
            <w:r>
              <w:rPr>
                <w:noProof/>
              </w:rPr>
              <w:t>Indicateurs quantitatifs (pour les objectifs)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403A3388" w14:textId="77777777" w:rsidR="003D7F65" w:rsidRDefault="0082041E">
            <w:pPr>
              <w:pStyle w:val="P68B1DB1-Normal24"/>
              <w:spacing w:after="0" w:line="240" w:lineRule="auto"/>
              <w:jc w:val="center"/>
              <w:rPr>
                <w:bCs/>
                <w:noProof/>
              </w:rPr>
            </w:pPr>
            <w:r>
              <w:rPr>
                <w:noProof/>
              </w:rPr>
              <w:t>Calendrier indicatif d'achèvement</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D7CF36" w14:textId="77777777" w:rsidR="003D7F65" w:rsidRDefault="0082041E">
            <w:pPr>
              <w:pStyle w:val="P68B1DB1-Normal24"/>
              <w:spacing w:after="0" w:line="240" w:lineRule="auto"/>
              <w:jc w:val="center"/>
              <w:rPr>
                <w:noProof/>
              </w:rPr>
            </w:pPr>
            <w:r>
              <w:rPr>
                <w:noProof/>
              </w:rPr>
              <w:t>Description de chaque jalon et cible</w:t>
            </w:r>
          </w:p>
        </w:tc>
      </w:tr>
      <w:tr w:rsidR="003D7F65" w14:paraId="6D3B4E92" w14:textId="77777777" w:rsidTr="00DF4EDA">
        <w:trPr>
          <w:trHeight w:val="428"/>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23B226C" w14:textId="77777777" w:rsidR="003D7F65" w:rsidRDefault="003D7F65">
            <w:pPr>
              <w:spacing w:after="0" w:line="240" w:lineRule="auto"/>
              <w:jc w:val="center"/>
              <w:rPr>
                <w:rFonts w:ascii="Times New Roman" w:hAnsi="Times New Roman"/>
                <w:b/>
                <w:noProof/>
                <w:sz w:val="20"/>
                <w:szCs w:val="20"/>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14:paraId="11A471EA" w14:textId="77777777" w:rsidR="003D7F65" w:rsidRDefault="003D7F65">
            <w:pPr>
              <w:spacing w:after="0" w:line="240" w:lineRule="auto"/>
              <w:jc w:val="center"/>
              <w:rPr>
                <w:rFonts w:ascii="Times New Roman" w:hAnsi="Times New Roman"/>
                <w:b/>
                <w:noProof/>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hideMark/>
          </w:tcPr>
          <w:p w14:paraId="6CB2C7F7" w14:textId="77777777" w:rsidR="003D7F65" w:rsidRDefault="003D7F65">
            <w:pPr>
              <w:spacing w:after="0" w:line="240" w:lineRule="auto"/>
              <w:jc w:val="center"/>
              <w:rPr>
                <w:rFonts w:ascii="Times New Roman" w:hAnsi="Times New Roman"/>
                <w:b/>
                <w:noProof/>
                <w:sz w:val="20"/>
                <w:szCs w:val="20"/>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14:paraId="21AE4425" w14:textId="77777777" w:rsidR="003D7F65" w:rsidRDefault="003D7F65">
            <w:pPr>
              <w:spacing w:after="0" w:line="240" w:lineRule="auto"/>
              <w:jc w:val="center"/>
              <w:rPr>
                <w:rFonts w:ascii="Times New Roman" w:hAnsi="Times New Roman"/>
                <w:b/>
                <w:noProof/>
                <w:sz w:val="20"/>
                <w:szCs w:val="20"/>
              </w:rPr>
            </w:pPr>
          </w:p>
        </w:tc>
        <w:tc>
          <w:tcPr>
            <w:tcW w:w="1424" w:type="dxa"/>
            <w:vMerge/>
            <w:tcBorders>
              <w:left w:val="single" w:sz="4" w:space="0" w:color="auto"/>
            </w:tcBorders>
            <w:vAlign w:val="center"/>
            <w:hideMark/>
          </w:tcPr>
          <w:p w14:paraId="35790B32" w14:textId="77777777" w:rsidR="003D7F65" w:rsidRDefault="003D7F65">
            <w:pPr>
              <w:spacing w:after="0" w:line="240" w:lineRule="auto"/>
              <w:jc w:val="center"/>
              <w:rPr>
                <w:rFonts w:ascii="Times New Roman" w:hAnsi="Times New Roman"/>
                <w:b/>
                <w:noProof/>
                <w:sz w:val="20"/>
                <w:szCs w:val="20"/>
              </w:rPr>
            </w:pPr>
          </w:p>
        </w:tc>
        <w:tc>
          <w:tcPr>
            <w:tcW w:w="9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FAF4923" w14:textId="77777777" w:rsidR="003D7F65" w:rsidRDefault="0082041E">
            <w:pPr>
              <w:pStyle w:val="P68B1DB1-Normal24"/>
              <w:spacing w:after="0" w:line="240" w:lineRule="auto"/>
              <w:jc w:val="center"/>
              <w:rPr>
                <w:noProof/>
              </w:rPr>
            </w:pPr>
            <w:r>
              <w:rPr>
                <w:noProof/>
              </w:rPr>
              <w:t>Unité</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95CAF7" w14:textId="77777777" w:rsidR="003D7F65" w:rsidRDefault="0082041E">
            <w:pPr>
              <w:pStyle w:val="P68B1DB1-Normal24"/>
              <w:spacing w:after="0" w:line="240" w:lineRule="auto"/>
              <w:jc w:val="center"/>
              <w:rPr>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9813F6" w14:textId="77777777" w:rsidR="003D7F65" w:rsidRDefault="0082041E">
            <w:pPr>
              <w:pStyle w:val="P68B1DB1-Normal24"/>
              <w:spacing w:after="0" w:line="240" w:lineRule="auto"/>
              <w:jc w:val="center"/>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42A0FB" w14:textId="77777777" w:rsidR="003D7F65" w:rsidRDefault="0082041E">
            <w:pPr>
              <w:pStyle w:val="P68B1DB1-Normal24"/>
              <w:spacing w:after="0" w:line="240" w:lineRule="auto"/>
              <w:jc w:val="center"/>
              <w:rPr>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269B26" w14:textId="77777777" w:rsidR="003D7F65" w:rsidRDefault="0082041E">
            <w:pPr>
              <w:pStyle w:val="P68B1DB1-Normal24"/>
              <w:spacing w:after="0" w:line="240" w:lineRule="auto"/>
              <w:jc w:val="center"/>
              <w:rPr>
                <w:noProof/>
              </w:rPr>
            </w:pPr>
            <w:r>
              <w:rPr>
                <w:noProof/>
              </w:rPr>
              <w:t>Année</w:t>
            </w:r>
          </w:p>
        </w:tc>
        <w:tc>
          <w:tcPr>
            <w:tcW w:w="4110" w:type="dxa"/>
            <w:vMerge/>
            <w:tcBorders>
              <w:top w:val="single" w:sz="4" w:space="0" w:color="auto"/>
              <w:bottom w:val="single" w:sz="4" w:space="0" w:color="auto"/>
              <w:right w:val="single" w:sz="4" w:space="0" w:color="auto"/>
            </w:tcBorders>
            <w:vAlign w:val="center"/>
            <w:hideMark/>
          </w:tcPr>
          <w:p w14:paraId="6F1AABBC" w14:textId="77777777" w:rsidR="003D7F65" w:rsidRDefault="003D7F65">
            <w:pPr>
              <w:spacing w:after="0" w:line="240" w:lineRule="auto"/>
              <w:jc w:val="center"/>
              <w:rPr>
                <w:rFonts w:ascii="Times New Roman" w:hAnsi="Times New Roman"/>
                <w:noProof/>
                <w:sz w:val="20"/>
                <w:szCs w:val="20"/>
              </w:rPr>
            </w:pPr>
          </w:p>
        </w:tc>
      </w:tr>
      <w:tr w:rsidR="003D7F65" w14:paraId="02C2783A" w14:textId="77777777" w:rsidTr="00DF4EDA">
        <w:trPr>
          <w:trHeight w:val="133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4219DF" w14:textId="77777777" w:rsidR="003D7F65" w:rsidRDefault="0082041E">
            <w:pPr>
              <w:pStyle w:val="P68B1DB1-Normal8"/>
              <w:spacing w:after="0" w:line="240" w:lineRule="auto"/>
              <w:jc w:val="center"/>
              <w:rPr>
                <w:noProof/>
              </w:rPr>
            </w:pPr>
            <w:r>
              <w:rPr>
                <w:noProof/>
              </w:rPr>
              <w:t>141</w:t>
            </w:r>
          </w:p>
        </w:tc>
        <w:tc>
          <w:tcPr>
            <w:tcW w:w="1669" w:type="dxa"/>
            <w:tcBorders>
              <w:top w:val="single" w:sz="4" w:space="0" w:color="auto"/>
              <w:left w:val="nil"/>
              <w:bottom w:val="single" w:sz="4" w:space="0" w:color="auto"/>
              <w:right w:val="single" w:sz="4" w:space="0" w:color="auto"/>
            </w:tcBorders>
            <w:shd w:val="clear" w:color="auto" w:fill="C6EFCE"/>
            <w:noWrap/>
          </w:tcPr>
          <w:p w14:paraId="5DE749F7" w14:textId="77777777" w:rsidR="003D7F65" w:rsidRDefault="0082041E">
            <w:pPr>
              <w:pStyle w:val="P68B1DB1-Normal8"/>
              <w:spacing w:after="0" w:line="240" w:lineRule="auto"/>
              <w:rPr>
                <w:noProof/>
              </w:rPr>
            </w:pPr>
            <w:r>
              <w:rPr>
                <w:noProof/>
              </w:rPr>
              <w:t>P5C1R1: Autorisation de la transition écologique</w:t>
            </w:r>
          </w:p>
        </w:tc>
        <w:tc>
          <w:tcPr>
            <w:tcW w:w="1166" w:type="dxa"/>
            <w:tcBorders>
              <w:top w:val="single" w:sz="4" w:space="0" w:color="auto"/>
              <w:left w:val="nil"/>
              <w:bottom w:val="single" w:sz="4" w:space="0" w:color="auto"/>
              <w:right w:val="single" w:sz="4" w:space="0" w:color="auto"/>
            </w:tcBorders>
            <w:shd w:val="clear" w:color="auto" w:fill="C6EFCE"/>
            <w:noWrap/>
          </w:tcPr>
          <w:p w14:paraId="0D0D6D4A" w14:textId="77777777" w:rsidR="003D7F65" w:rsidRDefault="0082041E">
            <w:pPr>
              <w:pStyle w:val="P68B1DB1-Normal8"/>
              <w:spacing w:after="0" w:line="240" w:lineRule="auto"/>
              <w:rPr>
                <w:noProof/>
              </w:rPr>
            </w:pPr>
            <w:r>
              <w:rPr>
                <w:noProof/>
              </w:rPr>
              <w:t>Objectif</w:t>
            </w:r>
          </w:p>
        </w:tc>
        <w:tc>
          <w:tcPr>
            <w:tcW w:w="1289" w:type="dxa"/>
            <w:tcBorders>
              <w:top w:val="single" w:sz="4" w:space="0" w:color="auto"/>
              <w:left w:val="nil"/>
              <w:bottom w:val="single" w:sz="4" w:space="0" w:color="auto"/>
              <w:right w:val="single" w:sz="4" w:space="0" w:color="auto"/>
            </w:tcBorders>
            <w:shd w:val="clear" w:color="auto" w:fill="C6EFCE"/>
            <w:noWrap/>
          </w:tcPr>
          <w:p w14:paraId="57265A37" w14:textId="77777777" w:rsidR="003D7F65" w:rsidRDefault="0082041E">
            <w:pPr>
              <w:pStyle w:val="P68B1DB1-Normal8"/>
              <w:spacing w:after="0" w:line="240" w:lineRule="auto"/>
              <w:rPr>
                <w:noProof/>
              </w:rPr>
            </w:pPr>
            <w:r>
              <w:rPr>
                <w:noProof/>
              </w:rPr>
              <w:t>Conclusion des évaluations des incidences sur l'environnement</w:t>
            </w:r>
          </w:p>
        </w:tc>
        <w:tc>
          <w:tcPr>
            <w:tcW w:w="1424" w:type="dxa"/>
            <w:tcBorders>
              <w:top w:val="single" w:sz="4" w:space="0" w:color="auto"/>
              <w:left w:val="nil"/>
              <w:bottom w:val="single" w:sz="4" w:space="0" w:color="auto"/>
              <w:right w:val="single" w:sz="4" w:space="0" w:color="auto"/>
            </w:tcBorders>
            <w:shd w:val="clear" w:color="auto" w:fill="C6EFCE"/>
            <w:noWrap/>
          </w:tcPr>
          <w:p w14:paraId="755FE1DE" w14:textId="77777777" w:rsidR="003D7F65" w:rsidRDefault="003D7F65">
            <w:pPr>
              <w:spacing w:after="0" w:line="240" w:lineRule="auto"/>
              <w:rPr>
                <w:rFonts w:ascii="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7A690572" w14:textId="77777777" w:rsidR="003D7F65" w:rsidRDefault="0082041E">
            <w:pPr>
              <w:pStyle w:val="P68B1DB1-Normal8"/>
              <w:spacing w:after="0" w:line="240" w:lineRule="auto"/>
              <w:jc w:val="center"/>
              <w:rPr>
                <w:noProof/>
              </w:rPr>
            </w:pPr>
            <w:r>
              <w:rPr>
                <w:noProof/>
              </w:rPr>
              <w:t>Numéro</w:t>
            </w:r>
          </w:p>
        </w:tc>
        <w:tc>
          <w:tcPr>
            <w:tcW w:w="993" w:type="dxa"/>
            <w:tcBorders>
              <w:top w:val="nil"/>
              <w:left w:val="nil"/>
              <w:bottom w:val="single" w:sz="4" w:space="0" w:color="auto"/>
              <w:right w:val="single" w:sz="4" w:space="0" w:color="auto"/>
            </w:tcBorders>
            <w:shd w:val="clear" w:color="auto" w:fill="C6EFCE"/>
            <w:noWrap/>
          </w:tcPr>
          <w:p w14:paraId="2A02D3BC" w14:textId="77777777" w:rsidR="003D7F65" w:rsidRDefault="0082041E">
            <w:pPr>
              <w:pStyle w:val="P68B1DB1-Normal8"/>
              <w:spacing w:after="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4981ADBC" w14:textId="77777777" w:rsidR="003D7F65" w:rsidRDefault="0082041E">
            <w:pPr>
              <w:pStyle w:val="P68B1DB1-Normal8"/>
              <w:spacing w:after="0" w:line="240" w:lineRule="auto"/>
              <w:jc w:val="center"/>
              <w:rPr>
                <w:noProof/>
              </w:rPr>
            </w:pPr>
            <w:r>
              <w:rPr>
                <w:noProof/>
              </w:rPr>
              <w:t>228</w:t>
            </w:r>
          </w:p>
        </w:tc>
        <w:tc>
          <w:tcPr>
            <w:tcW w:w="992" w:type="dxa"/>
            <w:tcBorders>
              <w:top w:val="nil"/>
              <w:left w:val="nil"/>
              <w:bottom w:val="single" w:sz="4" w:space="0" w:color="auto"/>
              <w:right w:val="single" w:sz="4" w:space="0" w:color="auto"/>
            </w:tcBorders>
            <w:shd w:val="clear" w:color="auto" w:fill="C6EFCE"/>
            <w:noWrap/>
          </w:tcPr>
          <w:p w14:paraId="0EF2E85B" w14:textId="77777777" w:rsidR="003D7F65" w:rsidRDefault="0082041E">
            <w:pPr>
              <w:pStyle w:val="P68B1DB1-Normal8"/>
              <w:spacing w:after="0" w:line="240" w:lineRule="auto"/>
              <w:jc w:val="center"/>
              <w:rPr>
                <w:noProof/>
              </w:rPr>
            </w:pPr>
            <w:r>
              <w:rPr>
                <w:noProof/>
              </w:rPr>
              <w:t>T4</w:t>
            </w:r>
          </w:p>
        </w:tc>
        <w:tc>
          <w:tcPr>
            <w:tcW w:w="993" w:type="dxa"/>
            <w:tcBorders>
              <w:top w:val="nil"/>
              <w:left w:val="nil"/>
              <w:bottom w:val="single" w:sz="4" w:space="0" w:color="auto"/>
              <w:right w:val="single" w:sz="4" w:space="0" w:color="auto"/>
            </w:tcBorders>
            <w:shd w:val="clear" w:color="auto" w:fill="C6EFCE"/>
            <w:noWrap/>
          </w:tcPr>
          <w:p w14:paraId="17C8A37B" w14:textId="77777777" w:rsidR="003D7F65" w:rsidRDefault="0082041E">
            <w:pPr>
              <w:pStyle w:val="P68B1DB1-Normal8"/>
              <w:spacing w:after="0" w:line="240" w:lineRule="auto"/>
              <w:jc w:val="center"/>
              <w:rPr>
                <w:rFonts w:eastAsia="Times New Roman"/>
                <w:noProof/>
              </w:rPr>
            </w:pPr>
            <w:r>
              <w:rPr>
                <w:noProof/>
              </w:rPr>
              <w:t>2025</w:t>
            </w:r>
          </w:p>
        </w:tc>
        <w:tc>
          <w:tcPr>
            <w:tcW w:w="4110" w:type="dxa"/>
            <w:tcBorders>
              <w:top w:val="single" w:sz="4" w:space="0" w:color="auto"/>
              <w:left w:val="nil"/>
              <w:bottom w:val="single" w:sz="4" w:space="0" w:color="auto"/>
              <w:right w:val="single" w:sz="4" w:space="0" w:color="auto"/>
            </w:tcBorders>
            <w:shd w:val="clear" w:color="auto" w:fill="C6EFCE"/>
            <w:noWrap/>
          </w:tcPr>
          <w:p w14:paraId="073476E9" w14:textId="77777777" w:rsidR="003D7F65" w:rsidRDefault="0082041E">
            <w:pPr>
              <w:pStyle w:val="P68B1DB1-Normal9"/>
              <w:spacing w:after="0" w:line="240" w:lineRule="auto"/>
              <w:rPr>
                <w:noProof/>
              </w:rPr>
            </w:pPr>
            <w:r>
              <w:rPr>
                <w:noProof/>
              </w:rPr>
              <w:t>Des conclusions ou des déclarations motivées sur le rapport d’évaluation sont formulées sur au moins 228 évaluations des incidences sur l’environnement après le 1er janvier 2023.</w:t>
            </w:r>
          </w:p>
        </w:tc>
      </w:tr>
      <w:tr w:rsidR="003D7F65" w14:paraId="250ADDE8"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98B09A8" w14:textId="77777777" w:rsidR="003D7F65" w:rsidRDefault="0082041E">
            <w:pPr>
              <w:pStyle w:val="P68B1DB1-Normal8"/>
              <w:spacing w:after="0" w:line="240" w:lineRule="auto"/>
              <w:jc w:val="center"/>
              <w:rPr>
                <w:noProof/>
              </w:rPr>
            </w:pPr>
            <w:r>
              <w:rPr>
                <w:noProof/>
              </w:rPr>
              <w:t>143</w:t>
            </w:r>
          </w:p>
        </w:tc>
        <w:tc>
          <w:tcPr>
            <w:tcW w:w="1669" w:type="dxa"/>
            <w:tcBorders>
              <w:top w:val="nil"/>
              <w:left w:val="nil"/>
              <w:bottom w:val="single" w:sz="4" w:space="0" w:color="auto"/>
              <w:right w:val="single" w:sz="4" w:space="0" w:color="auto"/>
            </w:tcBorders>
            <w:shd w:val="clear" w:color="auto" w:fill="C6EFCE"/>
            <w:noWrap/>
          </w:tcPr>
          <w:p w14:paraId="65FE61E6" w14:textId="77777777" w:rsidR="003D7F65" w:rsidRDefault="0082041E">
            <w:pPr>
              <w:pStyle w:val="P68B1DB1-Normal8"/>
              <w:spacing w:after="0" w:line="240" w:lineRule="auto"/>
              <w:rPr>
                <w:noProof/>
              </w:rPr>
            </w:pPr>
            <w:r>
              <w:rPr>
                <w:noProof/>
              </w:rPr>
              <w:t>P5C1R1: Autorisation de la transition écologique</w:t>
            </w:r>
          </w:p>
        </w:tc>
        <w:tc>
          <w:tcPr>
            <w:tcW w:w="1166" w:type="dxa"/>
            <w:tcBorders>
              <w:top w:val="nil"/>
              <w:left w:val="nil"/>
              <w:bottom w:val="single" w:sz="4" w:space="0" w:color="auto"/>
              <w:right w:val="single" w:sz="4" w:space="0" w:color="auto"/>
            </w:tcBorders>
            <w:shd w:val="clear" w:color="auto" w:fill="C6EFCE"/>
            <w:noWrap/>
          </w:tcPr>
          <w:p w14:paraId="6AFEACAA" w14:textId="77777777" w:rsidR="003D7F65" w:rsidRDefault="0082041E">
            <w:pPr>
              <w:pStyle w:val="P68B1DB1-Normal8"/>
              <w:spacing w:after="0" w:line="240" w:lineRule="auto"/>
              <w:rPr>
                <w:noProof/>
              </w:rPr>
            </w:pPr>
            <w:r>
              <w:rPr>
                <w:noProof/>
              </w:rPr>
              <w:t>Étape</w:t>
            </w:r>
          </w:p>
        </w:tc>
        <w:tc>
          <w:tcPr>
            <w:tcW w:w="1289" w:type="dxa"/>
            <w:tcBorders>
              <w:top w:val="nil"/>
              <w:left w:val="nil"/>
              <w:bottom w:val="single" w:sz="4" w:space="0" w:color="auto"/>
              <w:right w:val="single" w:sz="4" w:space="0" w:color="auto"/>
            </w:tcBorders>
            <w:shd w:val="clear" w:color="auto" w:fill="C6EFCE"/>
            <w:noWrap/>
          </w:tcPr>
          <w:p w14:paraId="4732D61E" w14:textId="77777777" w:rsidR="003D7F65" w:rsidRDefault="0082041E">
            <w:pPr>
              <w:pStyle w:val="P68B1DB1-Normal8"/>
              <w:spacing w:after="0" w:line="240" w:lineRule="auto"/>
              <w:rPr>
                <w:noProof/>
              </w:rPr>
            </w:pPr>
            <w:r>
              <w:rPr>
                <w:noProof/>
              </w:rPr>
              <w:t>Entrée en vigueur des actes juridiques établissant la nouvelle procédure d'autorisation environnementale</w:t>
            </w:r>
          </w:p>
        </w:tc>
        <w:tc>
          <w:tcPr>
            <w:tcW w:w="1424" w:type="dxa"/>
            <w:tcBorders>
              <w:top w:val="single" w:sz="4" w:space="0" w:color="auto"/>
              <w:left w:val="nil"/>
              <w:bottom w:val="single" w:sz="4" w:space="0" w:color="auto"/>
              <w:right w:val="single" w:sz="4" w:space="0" w:color="auto"/>
            </w:tcBorders>
            <w:shd w:val="clear" w:color="auto" w:fill="C6EFCE"/>
            <w:noWrap/>
          </w:tcPr>
          <w:p w14:paraId="044D0728" w14:textId="77777777" w:rsidR="003D7F65" w:rsidRDefault="0082041E">
            <w:pPr>
              <w:pStyle w:val="P68B1DB1-Normal8"/>
              <w:spacing w:after="0" w:line="240" w:lineRule="auto"/>
              <w:rPr>
                <w:noProof/>
              </w:rPr>
            </w:pPr>
            <w:r>
              <w:rPr>
                <w:noProof/>
              </w:rPr>
              <w:t>Disposition des actes juridiques indiquant l’entrée en vigueur des actes juridiques</w:t>
            </w:r>
          </w:p>
        </w:tc>
        <w:tc>
          <w:tcPr>
            <w:tcW w:w="972" w:type="dxa"/>
            <w:tcBorders>
              <w:top w:val="nil"/>
              <w:left w:val="nil"/>
              <w:bottom w:val="single" w:sz="4" w:space="0" w:color="auto"/>
              <w:right w:val="single" w:sz="4" w:space="0" w:color="auto"/>
            </w:tcBorders>
            <w:shd w:val="clear" w:color="auto" w:fill="C6EFCE"/>
            <w:noWrap/>
          </w:tcPr>
          <w:p w14:paraId="1A183D3C"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EF1E703" w14:textId="77777777" w:rsidR="003D7F65" w:rsidRDefault="003D7F65">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11382B1F" w14:textId="77777777"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32DAED40" w14:textId="77777777" w:rsidR="003D7F65" w:rsidRDefault="0082041E">
            <w:pPr>
              <w:pStyle w:val="P68B1DB1-Normal8"/>
              <w:spacing w:after="0" w:line="240" w:lineRule="auto"/>
              <w:jc w:val="center"/>
              <w:rPr>
                <w:noProof/>
              </w:rPr>
            </w:pPr>
            <w:r>
              <w:rPr>
                <w:noProof/>
              </w:rPr>
              <w:t>T4</w:t>
            </w:r>
          </w:p>
        </w:tc>
        <w:tc>
          <w:tcPr>
            <w:tcW w:w="993" w:type="dxa"/>
            <w:tcBorders>
              <w:top w:val="nil"/>
              <w:left w:val="nil"/>
              <w:bottom w:val="single" w:sz="4" w:space="0" w:color="auto"/>
              <w:right w:val="single" w:sz="4" w:space="0" w:color="auto"/>
            </w:tcBorders>
            <w:shd w:val="clear" w:color="auto" w:fill="C6EFCE"/>
            <w:noWrap/>
          </w:tcPr>
          <w:p w14:paraId="13CC7171" w14:textId="77777777" w:rsidR="003D7F65" w:rsidRDefault="0082041E">
            <w:pPr>
              <w:pStyle w:val="P68B1DB1-Normal8"/>
              <w:spacing w:after="0" w:line="240" w:lineRule="auto"/>
              <w:jc w:val="center"/>
              <w:rPr>
                <w:noProof/>
              </w:rPr>
            </w:pPr>
            <w:r>
              <w:rPr>
                <w:noProof/>
              </w:rPr>
              <w:t>2025</w:t>
            </w:r>
          </w:p>
        </w:tc>
        <w:tc>
          <w:tcPr>
            <w:tcW w:w="4110" w:type="dxa"/>
            <w:tcBorders>
              <w:top w:val="single" w:sz="4" w:space="0" w:color="auto"/>
              <w:left w:val="nil"/>
              <w:bottom w:val="single" w:sz="4" w:space="0" w:color="auto"/>
              <w:right w:val="single" w:sz="4" w:space="0" w:color="auto"/>
            </w:tcBorders>
            <w:shd w:val="clear" w:color="auto" w:fill="C6EFCE"/>
            <w:noWrap/>
          </w:tcPr>
          <w:p w14:paraId="2528B094" w14:textId="77777777" w:rsidR="003D7F65" w:rsidRDefault="0082041E">
            <w:pPr>
              <w:pStyle w:val="P68B1DB1-Normal8"/>
              <w:spacing w:after="0" w:line="240" w:lineRule="auto"/>
              <w:rPr>
                <w:noProof/>
              </w:rPr>
            </w:pPr>
            <w:r>
              <w:rPr>
                <w:noProof/>
              </w:rPr>
              <w:t>Les actes juridiques nécessaires pour établir la nouvelle procédure d'autorisation environnementale et le transfert de la responsabilité de l'autorisation environnementale des autorités régionales à une seule autorité nationale entrent en vigueur.</w:t>
            </w:r>
          </w:p>
        </w:tc>
      </w:tr>
      <w:tr w:rsidR="003D7F65" w14:paraId="4737D14F" w14:textId="77777777" w:rsidTr="00DF4ED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CEFD357" w14:textId="77777777" w:rsidR="003D7F65" w:rsidRDefault="0082041E">
            <w:pPr>
              <w:pStyle w:val="P68B1DB1-Normal8"/>
              <w:spacing w:after="0" w:line="240" w:lineRule="auto"/>
              <w:jc w:val="center"/>
              <w:rPr>
                <w:noProof/>
              </w:rPr>
            </w:pPr>
            <w:r>
              <w:rPr>
                <w:noProof/>
              </w:rPr>
              <w:t>144</w:t>
            </w:r>
          </w:p>
        </w:tc>
        <w:tc>
          <w:tcPr>
            <w:tcW w:w="1669" w:type="dxa"/>
            <w:tcBorders>
              <w:top w:val="single" w:sz="4" w:space="0" w:color="auto"/>
              <w:left w:val="nil"/>
              <w:bottom w:val="single" w:sz="4" w:space="0" w:color="auto"/>
              <w:right w:val="single" w:sz="4" w:space="0" w:color="auto"/>
            </w:tcBorders>
            <w:shd w:val="clear" w:color="auto" w:fill="C6EFCE"/>
            <w:noWrap/>
          </w:tcPr>
          <w:p w14:paraId="078B8414" w14:textId="77777777" w:rsidR="003D7F65" w:rsidRDefault="0082041E">
            <w:pPr>
              <w:pStyle w:val="P68B1DB1-Normal8"/>
              <w:spacing w:after="0" w:line="240" w:lineRule="auto"/>
              <w:rPr>
                <w:rFonts w:eastAsia="Times New Roman"/>
                <w:noProof/>
              </w:rPr>
            </w:pPr>
            <w:r>
              <w:rPr>
                <w:noProof/>
              </w:rPr>
              <w:t>P5C1R1: Autorisation de la transition écologique</w:t>
            </w:r>
          </w:p>
        </w:tc>
        <w:tc>
          <w:tcPr>
            <w:tcW w:w="1166" w:type="dxa"/>
            <w:tcBorders>
              <w:top w:val="single" w:sz="4" w:space="0" w:color="auto"/>
              <w:left w:val="nil"/>
              <w:bottom w:val="single" w:sz="4" w:space="0" w:color="auto"/>
              <w:right w:val="single" w:sz="4" w:space="0" w:color="auto"/>
            </w:tcBorders>
            <w:shd w:val="clear" w:color="auto" w:fill="C6EFCE"/>
            <w:noWrap/>
          </w:tcPr>
          <w:p w14:paraId="0E56B415" w14:textId="77777777" w:rsidR="003D7F65" w:rsidRDefault="0082041E">
            <w:pPr>
              <w:pStyle w:val="P68B1DB1-Normal8"/>
              <w:spacing w:after="0" w:line="240" w:lineRule="auto"/>
              <w:rPr>
                <w:noProof/>
              </w:rPr>
            </w:pPr>
            <w:r>
              <w:rPr>
                <w:noProof/>
              </w:rPr>
              <w:t>Étape</w:t>
            </w:r>
          </w:p>
        </w:tc>
        <w:tc>
          <w:tcPr>
            <w:tcW w:w="1289" w:type="dxa"/>
            <w:tcBorders>
              <w:top w:val="single" w:sz="4" w:space="0" w:color="auto"/>
              <w:left w:val="nil"/>
              <w:bottom w:val="single" w:sz="4" w:space="0" w:color="auto"/>
              <w:right w:val="single" w:sz="4" w:space="0" w:color="auto"/>
            </w:tcBorders>
            <w:shd w:val="clear" w:color="auto" w:fill="C6EFCE"/>
            <w:noWrap/>
          </w:tcPr>
          <w:p w14:paraId="5BAF5E97" w14:textId="389B2B10" w:rsidR="003D7F65" w:rsidRDefault="0082041E">
            <w:pPr>
              <w:pStyle w:val="P68B1DB1-Normal8"/>
              <w:spacing w:after="0" w:line="240" w:lineRule="auto"/>
              <w:rPr>
                <w:noProof/>
              </w:rPr>
            </w:pPr>
            <w:r>
              <w:rPr>
                <w:noProof/>
              </w:rPr>
              <w:t>Services numériques pour l’octroi de permis environnementaux</w:t>
            </w:r>
          </w:p>
        </w:tc>
        <w:tc>
          <w:tcPr>
            <w:tcW w:w="1424" w:type="dxa"/>
            <w:tcBorders>
              <w:top w:val="single" w:sz="4" w:space="0" w:color="auto"/>
              <w:left w:val="nil"/>
              <w:bottom w:val="single" w:sz="4" w:space="0" w:color="auto"/>
              <w:right w:val="single" w:sz="4" w:space="0" w:color="auto"/>
            </w:tcBorders>
            <w:shd w:val="clear" w:color="auto" w:fill="C6EFCE"/>
            <w:noWrap/>
          </w:tcPr>
          <w:p w14:paraId="54BEA17F" w14:textId="21231432" w:rsidR="003D7F65" w:rsidRDefault="0082041E">
            <w:pPr>
              <w:pStyle w:val="P68B1DB1-Normal8"/>
              <w:spacing w:after="0" w:line="240" w:lineRule="auto"/>
              <w:rPr>
                <w:noProof/>
              </w:rPr>
            </w:pPr>
            <w:r>
              <w:rPr>
                <w:noProof/>
              </w:rPr>
              <w:t>Services numériques pour l’octroi de permis environnementaux</w:t>
            </w:r>
          </w:p>
        </w:tc>
        <w:tc>
          <w:tcPr>
            <w:tcW w:w="972" w:type="dxa"/>
            <w:tcBorders>
              <w:top w:val="single" w:sz="4" w:space="0" w:color="auto"/>
              <w:left w:val="nil"/>
              <w:bottom w:val="single" w:sz="4" w:space="0" w:color="auto"/>
              <w:right w:val="single" w:sz="4" w:space="0" w:color="auto"/>
            </w:tcBorders>
            <w:shd w:val="clear" w:color="auto" w:fill="C6EFCE"/>
            <w:noWrap/>
          </w:tcPr>
          <w:p w14:paraId="30466053" w14:textId="77777777" w:rsidR="003D7F65" w:rsidRDefault="003D7F65">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16EA2C2B" w14:textId="77777777" w:rsidR="003D7F65" w:rsidRDefault="003D7F65">
            <w:pPr>
              <w:spacing w:after="0" w:line="240" w:lineRule="auto"/>
              <w:jc w:val="center"/>
              <w:rPr>
                <w:rFonts w:ascii="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30AD2332" w14:textId="77777777" w:rsidR="003D7F65" w:rsidRDefault="003D7F65">
            <w:pPr>
              <w:spacing w:after="0" w:line="240" w:lineRule="auto"/>
              <w:jc w:val="center"/>
              <w:rPr>
                <w:rFonts w:ascii="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7D2C0A21" w14:textId="77777777" w:rsidR="003D7F65" w:rsidRDefault="0082041E">
            <w:pPr>
              <w:pStyle w:val="P68B1DB1-Normal8"/>
              <w:spacing w:after="0" w:line="240" w:lineRule="auto"/>
              <w:jc w:val="center"/>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tcPr>
          <w:p w14:paraId="1D8D9372" w14:textId="77777777" w:rsidR="003D7F65" w:rsidRDefault="0082041E">
            <w:pPr>
              <w:pStyle w:val="P68B1DB1-Normal8"/>
              <w:spacing w:after="0" w:line="240" w:lineRule="auto"/>
              <w:jc w:val="center"/>
              <w:rPr>
                <w:noProof/>
              </w:rPr>
            </w:pPr>
            <w:r>
              <w:rPr>
                <w:noProof/>
              </w:rPr>
              <w:t>2026</w:t>
            </w:r>
          </w:p>
        </w:tc>
        <w:tc>
          <w:tcPr>
            <w:tcW w:w="4110" w:type="dxa"/>
            <w:tcBorders>
              <w:top w:val="single" w:sz="4" w:space="0" w:color="auto"/>
              <w:left w:val="nil"/>
              <w:bottom w:val="single" w:sz="4" w:space="0" w:color="auto"/>
              <w:right w:val="single" w:sz="4" w:space="0" w:color="auto"/>
            </w:tcBorders>
            <w:shd w:val="clear" w:color="auto" w:fill="C6EFCE"/>
            <w:noWrap/>
          </w:tcPr>
          <w:p w14:paraId="5B5E2ED7" w14:textId="77777777" w:rsidR="003D7F65" w:rsidRDefault="0082041E">
            <w:pPr>
              <w:pStyle w:val="P68B1DB1-Normal9"/>
              <w:spacing w:after="0" w:line="240" w:lineRule="auto"/>
              <w:rPr>
                <w:noProof/>
              </w:rPr>
            </w:pPr>
            <w:r>
              <w:rPr>
                <w:noProof/>
              </w:rPr>
              <w:t>Des services numériques relatifs aux permis environnementaux sont disponibles: (i) Les clients ont accès en ligne à un point d’entrée unique et (ii) les autorités ont accès à des services numériques pour le transfert de données et la prise de décision.</w:t>
            </w:r>
          </w:p>
        </w:tc>
      </w:tr>
      <w:tr w:rsidR="003D7F65" w14:paraId="76FA2438"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365B06C" w14:textId="77777777" w:rsidR="003D7F65" w:rsidRDefault="0082041E">
            <w:pPr>
              <w:pStyle w:val="P68B1DB1-Normal8"/>
              <w:spacing w:after="0" w:line="240" w:lineRule="auto"/>
              <w:jc w:val="center"/>
              <w:rPr>
                <w:noProof/>
              </w:rPr>
            </w:pPr>
            <w:r>
              <w:rPr>
                <w:noProof/>
              </w:rPr>
              <w:t>145</w:t>
            </w:r>
          </w:p>
        </w:tc>
        <w:tc>
          <w:tcPr>
            <w:tcW w:w="1669" w:type="dxa"/>
            <w:tcBorders>
              <w:top w:val="nil"/>
              <w:left w:val="nil"/>
              <w:bottom w:val="single" w:sz="4" w:space="0" w:color="auto"/>
              <w:right w:val="single" w:sz="4" w:space="0" w:color="auto"/>
            </w:tcBorders>
            <w:shd w:val="clear" w:color="auto" w:fill="C6EFCE"/>
            <w:noWrap/>
          </w:tcPr>
          <w:p w14:paraId="2F2DE837" w14:textId="77777777" w:rsidR="003D7F65" w:rsidRDefault="0082041E">
            <w:pPr>
              <w:pStyle w:val="P68B1DB1-Normal8"/>
              <w:spacing w:after="0" w:line="240" w:lineRule="auto"/>
              <w:rPr>
                <w:noProof/>
              </w:rPr>
            </w:pPr>
            <w:r>
              <w:rPr>
                <w:noProof/>
              </w:rPr>
              <w:t>P5C1I1: Investissements en faveur d’une transition propre</w:t>
            </w:r>
          </w:p>
        </w:tc>
        <w:tc>
          <w:tcPr>
            <w:tcW w:w="1166" w:type="dxa"/>
            <w:tcBorders>
              <w:top w:val="nil"/>
              <w:left w:val="nil"/>
              <w:bottom w:val="single" w:sz="4" w:space="0" w:color="auto"/>
              <w:right w:val="single" w:sz="4" w:space="0" w:color="auto"/>
            </w:tcBorders>
            <w:shd w:val="clear" w:color="auto" w:fill="C6EFCE"/>
            <w:noWrap/>
          </w:tcPr>
          <w:p w14:paraId="0F325CAD" w14:textId="77777777" w:rsidR="003D7F65" w:rsidRDefault="0082041E">
            <w:pPr>
              <w:pStyle w:val="P68B1DB1-Normal8"/>
              <w:spacing w:after="0" w:line="240" w:lineRule="auto"/>
              <w:rPr>
                <w:noProof/>
              </w:rPr>
            </w:pPr>
            <w:r>
              <w:rPr>
                <w:noProof/>
              </w:rPr>
              <w:t>Étape</w:t>
            </w:r>
          </w:p>
        </w:tc>
        <w:tc>
          <w:tcPr>
            <w:tcW w:w="1289" w:type="dxa"/>
            <w:tcBorders>
              <w:top w:val="nil"/>
              <w:left w:val="nil"/>
              <w:bottom w:val="single" w:sz="4" w:space="0" w:color="auto"/>
              <w:right w:val="single" w:sz="4" w:space="0" w:color="auto"/>
            </w:tcBorders>
            <w:shd w:val="clear" w:color="auto" w:fill="C6EFCE"/>
            <w:noWrap/>
          </w:tcPr>
          <w:p w14:paraId="1A1A1265" w14:textId="03018A45" w:rsidR="003D7F65" w:rsidRDefault="0082041E">
            <w:pPr>
              <w:pStyle w:val="P68B1DB1-Normal8"/>
              <w:spacing w:after="0" w:line="240" w:lineRule="auto"/>
              <w:rPr>
                <w:noProof/>
              </w:rPr>
            </w:pPr>
            <w:r>
              <w:rPr>
                <w:noProof/>
              </w:rPr>
              <w:t>Lancement d’un appel à candidatures pour des projets de transition propre</w:t>
            </w:r>
          </w:p>
        </w:tc>
        <w:tc>
          <w:tcPr>
            <w:tcW w:w="1424" w:type="dxa"/>
            <w:tcBorders>
              <w:top w:val="single" w:sz="4" w:space="0" w:color="auto"/>
              <w:left w:val="nil"/>
              <w:bottom w:val="single" w:sz="4" w:space="0" w:color="auto"/>
              <w:right w:val="single" w:sz="4" w:space="0" w:color="auto"/>
            </w:tcBorders>
            <w:shd w:val="clear" w:color="auto" w:fill="C6EFCE"/>
            <w:noWrap/>
          </w:tcPr>
          <w:p w14:paraId="44960230" w14:textId="4782E114" w:rsidR="003D7F65" w:rsidRDefault="0082041E">
            <w:pPr>
              <w:pStyle w:val="P68B1DB1-Normal8"/>
              <w:spacing w:after="0" w:line="240" w:lineRule="auto"/>
              <w:rPr>
                <w:noProof/>
              </w:rPr>
            </w:pPr>
            <w:r>
              <w:rPr>
                <w:noProof/>
              </w:rPr>
              <w:t>Publication de l'appel à candidatures</w:t>
            </w:r>
          </w:p>
        </w:tc>
        <w:tc>
          <w:tcPr>
            <w:tcW w:w="972" w:type="dxa"/>
            <w:tcBorders>
              <w:top w:val="nil"/>
              <w:left w:val="nil"/>
              <w:bottom w:val="single" w:sz="4" w:space="0" w:color="auto"/>
              <w:right w:val="single" w:sz="4" w:space="0" w:color="auto"/>
            </w:tcBorders>
            <w:shd w:val="clear" w:color="auto" w:fill="C6EFCE"/>
            <w:noWrap/>
          </w:tcPr>
          <w:p w14:paraId="49DEB1CB"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F57A816" w14:textId="77777777" w:rsidR="003D7F65" w:rsidRDefault="003D7F65">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60D8510C" w14:textId="77777777"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65AA1957" w14:textId="77777777" w:rsidR="003D7F65" w:rsidRDefault="0082041E">
            <w:pPr>
              <w:pStyle w:val="P68B1DB1-Normal8"/>
              <w:spacing w:after="0" w:line="240" w:lineRule="auto"/>
              <w:jc w:val="center"/>
              <w:rPr>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499B1298" w14:textId="77777777" w:rsidR="003D7F65" w:rsidRDefault="0082041E">
            <w:pPr>
              <w:pStyle w:val="P68B1DB1-Normal8"/>
              <w:spacing w:after="0" w:line="240" w:lineRule="auto"/>
              <w:jc w:val="center"/>
              <w:rPr>
                <w:noProof/>
              </w:rPr>
            </w:pPr>
            <w:r>
              <w:rPr>
                <w:noProof/>
              </w:rPr>
              <w:t>2024</w:t>
            </w:r>
          </w:p>
        </w:tc>
        <w:tc>
          <w:tcPr>
            <w:tcW w:w="4110" w:type="dxa"/>
            <w:tcBorders>
              <w:top w:val="single" w:sz="4" w:space="0" w:color="auto"/>
              <w:left w:val="nil"/>
              <w:bottom w:val="single" w:sz="4" w:space="0" w:color="auto"/>
              <w:right w:val="single" w:sz="4" w:space="0" w:color="auto"/>
            </w:tcBorders>
            <w:shd w:val="clear" w:color="auto" w:fill="C6EFCE"/>
            <w:noWrap/>
          </w:tcPr>
          <w:p w14:paraId="5D2531F3" w14:textId="77777777" w:rsidR="003D7F65" w:rsidRDefault="0082041E">
            <w:pPr>
              <w:pStyle w:val="P68B1DB1-Normal8"/>
              <w:spacing w:after="0" w:line="240" w:lineRule="auto"/>
              <w:rPr>
                <w:noProof/>
              </w:rPr>
            </w:pPr>
            <w:r>
              <w:rPr>
                <w:noProof/>
              </w:rPr>
              <w:t>Lancement d’un appel à candidatures pour des projets liés aux nouvelles technologies propres pour la production et l’utilisation d’énergie et/ou pour la promotion du développement de la production et du stockage d’hydrogène renouvelable à l’échelle commerciale. Le mandat comprend des critères d’éligibilité qui garantissent que les projets sélectionnés sont conformes aux orientations techniques «Ne pas causer de préjudice important» (2021/C58/01) grâce à l’utilisation d’une liste d’exclusion et à l’exigence de conformité avec la législation environnementale pertinente de l’UE et nationale.</w:t>
            </w:r>
          </w:p>
        </w:tc>
      </w:tr>
      <w:tr w:rsidR="003D7F65" w14:paraId="64E23603"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54C7C97" w14:textId="77777777" w:rsidR="003D7F65" w:rsidRDefault="0082041E">
            <w:pPr>
              <w:pStyle w:val="P68B1DB1-Normal8"/>
              <w:spacing w:after="0" w:line="240" w:lineRule="auto"/>
              <w:jc w:val="center"/>
              <w:rPr>
                <w:noProof/>
              </w:rPr>
            </w:pPr>
            <w:r>
              <w:rPr>
                <w:noProof/>
              </w:rPr>
              <w:t>146</w:t>
            </w:r>
          </w:p>
        </w:tc>
        <w:tc>
          <w:tcPr>
            <w:tcW w:w="1669" w:type="dxa"/>
            <w:tcBorders>
              <w:top w:val="nil"/>
              <w:left w:val="nil"/>
              <w:bottom w:val="single" w:sz="4" w:space="0" w:color="auto"/>
              <w:right w:val="single" w:sz="4" w:space="0" w:color="auto"/>
            </w:tcBorders>
            <w:shd w:val="clear" w:color="auto" w:fill="C6EFCE"/>
            <w:noWrap/>
          </w:tcPr>
          <w:p w14:paraId="12549DA0" w14:textId="77777777" w:rsidR="003D7F65" w:rsidRDefault="0082041E">
            <w:pPr>
              <w:pStyle w:val="P68B1DB1-Normal8"/>
              <w:spacing w:after="0" w:line="240" w:lineRule="auto"/>
              <w:ind w:right="-494"/>
              <w:rPr>
                <w:noProof/>
              </w:rPr>
            </w:pPr>
            <w:r>
              <w:rPr>
                <w:noProof/>
              </w:rPr>
              <w:t>P5C1I1: Investissements en faveur d’une transition propre</w:t>
            </w:r>
          </w:p>
        </w:tc>
        <w:tc>
          <w:tcPr>
            <w:tcW w:w="1166" w:type="dxa"/>
            <w:tcBorders>
              <w:top w:val="single" w:sz="4" w:space="0" w:color="auto"/>
              <w:left w:val="nil"/>
              <w:bottom w:val="single" w:sz="4" w:space="0" w:color="auto"/>
              <w:right w:val="single" w:sz="4" w:space="0" w:color="auto"/>
            </w:tcBorders>
            <w:shd w:val="clear" w:color="auto" w:fill="C6EFCE"/>
            <w:noWrap/>
          </w:tcPr>
          <w:p w14:paraId="532FC4D6" w14:textId="77777777" w:rsidR="003D7F65" w:rsidRDefault="0082041E">
            <w:pPr>
              <w:pStyle w:val="P68B1DB1-Normal8"/>
              <w:spacing w:after="0" w:line="240" w:lineRule="auto"/>
              <w:rPr>
                <w:noProof/>
              </w:rPr>
            </w:pPr>
            <w:r>
              <w:rPr>
                <w:noProof/>
              </w:rPr>
              <w:t>Étape</w:t>
            </w:r>
          </w:p>
        </w:tc>
        <w:tc>
          <w:tcPr>
            <w:tcW w:w="1289" w:type="dxa"/>
            <w:tcBorders>
              <w:top w:val="single" w:sz="4" w:space="0" w:color="auto"/>
              <w:left w:val="nil"/>
              <w:bottom w:val="single" w:sz="4" w:space="0" w:color="auto"/>
              <w:right w:val="single" w:sz="4" w:space="0" w:color="auto"/>
            </w:tcBorders>
            <w:shd w:val="clear" w:color="auto" w:fill="C6EFCE"/>
            <w:noWrap/>
          </w:tcPr>
          <w:p w14:paraId="6A9F2B0B" w14:textId="6D222FE9" w:rsidR="003D7F65" w:rsidRDefault="0082041E">
            <w:pPr>
              <w:pStyle w:val="P68B1DB1-Normal8"/>
              <w:spacing w:after="0" w:line="240" w:lineRule="auto"/>
              <w:rPr>
                <w:noProof/>
              </w:rPr>
            </w:pPr>
            <w:r>
              <w:rPr>
                <w:noProof/>
              </w:rPr>
              <w:t>Attribution de toutes les subventions pour des projets de transition propre</w:t>
            </w:r>
          </w:p>
        </w:tc>
        <w:tc>
          <w:tcPr>
            <w:tcW w:w="1424" w:type="dxa"/>
            <w:tcBorders>
              <w:top w:val="single" w:sz="4" w:space="0" w:color="auto"/>
              <w:left w:val="nil"/>
              <w:bottom w:val="single" w:sz="4" w:space="0" w:color="auto"/>
              <w:right w:val="single" w:sz="4" w:space="0" w:color="auto"/>
            </w:tcBorders>
            <w:shd w:val="clear" w:color="auto" w:fill="C6EFCE"/>
            <w:noWrap/>
          </w:tcPr>
          <w:p w14:paraId="77433503" w14:textId="77777777" w:rsidR="003D7F65" w:rsidRDefault="0082041E">
            <w:pPr>
              <w:pStyle w:val="P68B1DB1-Normal8"/>
              <w:spacing w:after="0" w:line="240" w:lineRule="auto"/>
              <w:rPr>
                <w:noProof/>
              </w:rPr>
            </w:pPr>
            <w:r>
              <w:rPr>
                <w:noProof/>
              </w:rPr>
              <w:t>Notification de l'octroi de toutes les subventions</w:t>
            </w:r>
          </w:p>
        </w:tc>
        <w:tc>
          <w:tcPr>
            <w:tcW w:w="972" w:type="dxa"/>
            <w:tcBorders>
              <w:top w:val="nil"/>
              <w:left w:val="nil"/>
              <w:bottom w:val="single" w:sz="4" w:space="0" w:color="auto"/>
              <w:right w:val="single" w:sz="4" w:space="0" w:color="auto"/>
            </w:tcBorders>
            <w:shd w:val="clear" w:color="auto" w:fill="C6EFCE"/>
            <w:noWrap/>
          </w:tcPr>
          <w:p w14:paraId="6855A322"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386030AF" w14:textId="77777777" w:rsidR="003D7F65" w:rsidRDefault="003D7F65">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5D38818A" w14:textId="77777777"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BCE6E69" w14:textId="77777777" w:rsidR="003D7F65" w:rsidRDefault="0082041E">
            <w:pPr>
              <w:pStyle w:val="P68B1DB1-Normal8"/>
              <w:spacing w:after="0" w:line="240" w:lineRule="auto"/>
              <w:jc w:val="center"/>
              <w:rPr>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196EA5D6" w14:textId="77777777" w:rsidR="003D7F65" w:rsidRDefault="0082041E">
            <w:pPr>
              <w:pStyle w:val="P68B1DB1-Normal8"/>
              <w:spacing w:after="0" w:line="240" w:lineRule="auto"/>
              <w:jc w:val="center"/>
              <w:rPr>
                <w:noProof/>
              </w:rPr>
            </w:pPr>
            <w:r>
              <w:rPr>
                <w:noProof/>
              </w:rPr>
              <w:t>2025</w:t>
            </w:r>
          </w:p>
        </w:tc>
        <w:tc>
          <w:tcPr>
            <w:tcW w:w="4110" w:type="dxa"/>
            <w:tcBorders>
              <w:top w:val="single" w:sz="4" w:space="0" w:color="auto"/>
              <w:left w:val="nil"/>
              <w:bottom w:val="single" w:sz="4" w:space="0" w:color="auto"/>
              <w:right w:val="single" w:sz="4" w:space="0" w:color="auto"/>
            </w:tcBorders>
            <w:shd w:val="clear" w:color="auto" w:fill="C6EFCE"/>
            <w:noWrap/>
          </w:tcPr>
          <w:p w14:paraId="44DCC79A" w14:textId="77777777" w:rsidR="003D7F65" w:rsidRDefault="0082041E">
            <w:pPr>
              <w:pStyle w:val="P68B1DB1-Normal8"/>
              <w:spacing w:after="0" w:line="240" w:lineRule="auto"/>
              <w:rPr>
                <w:noProof/>
              </w:rPr>
            </w:pPr>
            <w:r>
              <w:rPr>
                <w:noProof/>
              </w:rPr>
              <w:t>La sélection de tous les projets liés aux nouvelles technologies propres pour la production et l’utilisation d’énergie et/ou pour promouvoir le développement de la production et du stockage d’hydrogène renouvelable à l’échelle commerciale est effectuée conformément aux critères de l’appel à candidatures lancé au titre du jalon 145. Toutes les décisions d’octroi de financement sont attribuées aux demandeurs de projets sélectionnés dans le cadre de l’appel à candidatures.</w:t>
            </w:r>
          </w:p>
        </w:tc>
      </w:tr>
      <w:tr w:rsidR="003D7F65" w14:paraId="113CDE8A"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553EED7A" w14:textId="77777777" w:rsidR="003D7F65" w:rsidRDefault="0082041E">
            <w:pPr>
              <w:pStyle w:val="P68B1DB1-Normal8"/>
              <w:spacing w:after="0" w:line="240" w:lineRule="auto"/>
              <w:jc w:val="center"/>
              <w:rPr>
                <w:noProof/>
              </w:rPr>
            </w:pPr>
            <w:r>
              <w:rPr>
                <w:noProof/>
              </w:rPr>
              <w:t>147</w:t>
            </w:r>
          </w:p>
        </w:tc>
        <w:tc>
          <w:tcPr>
            <w:tcW w:w="1669" w:type="dxa"/>
            <w:tcBorders>
              <w:top w:val="nil"/>
              <w:left w:val="nil"/>
              <w:bottom w:val="single" w:sz="4" w:space="0" w:color="auto"/>
              <w:right w:val="single" w:sz="4" w:space="0" w:color="auto"/>
            </w:tcBorders>
            <w:shd w:val="clear" w:color="auto" w:fill="C6EFCE"/>
            <w:noWrap/>
          </w:tcPr>
          <w:p w14:paraId="6A2939BC" w14:textId="77777777" w:rsidR="003D7F65" w:rsidRDefault="0082041E">
            <w:pPr>
              <w:pStyle w:val="P68B1DB1-Normal8"/>
              <w:spacing w:after="0" w:line="240" w:lineRule="auto"/>
              <w:rPr>
                <w:noProof/>
              </w:rPr>
            </w:pPr>
            <w:r>
              <w:rPr>
                <w:noProof/>
              </w:rPr>
              <w:t>P5C1I1: Investissements en faveur d’une transition propre</w:t>
            </w:r>
          </w:p>
        </w:tc>
        <w:tc>
          <w:tcPr>
            <w:tcW w:w="1166" w:type="dxa"/>
            <w:tcBorders>
              <w:top w:val="nil"/>
              <w:left w:val="nil"/>
              <w:bottom w:val="single" w:sz="4" w:space="0" w:color="auto"/>
              <w:right w:val="single" w:sz="4" w:space="0" w:color="auto"/>
            </w:tcBorders>
            <w:shd w:val="clear" w:color="auto" w:fill="C6EFCE"/>
            <w:noWrap/>
          </w:tcPr>
          <w:p w14:paraId="4A98C806" w14:textId="77777777" w:rsidR="003D7F65" w:rsidRDefault="0082041E">
            <w:pPr>
              <w:pStyle w:val="P68B1DB1-Normal8"/>
              <w:spacing w:after="0" w:line="240" w:lineRule="auto"/>
              <w:rPr>
                <w:noProof/>
              </w:rPr>
            </w:pPr>
            <w:r>
              <w:rPr>
                <w:noProof/>
              </w:rPr>
              <w:t>Étape</w:t>
            </w:r>
          </w:p>
        </w:tc>
        <w:tc>
          <w:tcPr>
            <w:tcW w:w="1289" w:type="dxa"/>
            <w:tcBorders>
              <w:top w:val="nil"/>
              <w:left w:val="nil"/>
              <w:bottom w:val="single" w:sz="4" w:space="0" w:color="auto"/>
              <w:right w:val="single" w:sz="4" w:space="0" w:color="auto"/>
            </w:tcBorders>
            <w:shd w:val="clear" w:color="auto" w:fill="C6EFCE"/>
            <w:noWrap/>
          </w:tcPr>
          <w:p w14:paraId="623E6924" w14:textId="77777777" w:rsidR="003D7F65" w:rsidRDefault="0082041E">
            <w:pPr>
              <w:pStyle w:val="P68B1DB1-Normal8"/>
              <w:spacing w:after="0" w:line="240" w:lineRule="auto"/>
              <w:rPr>
                <w:noProof/>
              </w:rPr>
            </w:pPr>
            <w:r>
              <w:rPr>
                <w:noProof/>
              </w:rPr>
              <w:t>Avis d'achèvement de projet ou rapports de projet soumis</w:t>
            </w:r>
          </w:p>
        </w:tc>
        <w:tc>
          <w:tcPr>
            <w:tcW w:w="1424" w:type="dxa"/>
            <w:tcBorders>
              <w:top w:val="single" w:sz="4" w:space="0" w:color="auto"/>
              <w:left w:val="nil"/>
              <w:bottom w:val="single" w:sz="4" w:space="0" w:color="auto"/>
              <w:right w:val="single" w:sz="4" w:space="0" w:color="auto"/>
            </w:tcBorders>
            <w:shd w:val="clear" w:color="auto" w:fill="C6EFCE"/>
            <w:noWrap/>
          </w:tcPr>
          <w:p w14:paraId="0F54778D" w14:textId="77777777" w:rsidR="003D7F65" w:rsidRDefault="0082041E">
            <w:pPr>
              <w:pStyle w:val="P68B1DB1-Normal8"/>
              <w:spacing w:after="0" w:line="240" w:lineRule="auto"/>
              <w:rPr>
                <w:noProof/>
              </w:rPr>
            </w:pPr>
            <w:r>
              <w:rPr>
                <w:noProof/>
              </w:rPr>
              <w:t>Avis d'achèvement de projet ou rapports de projet soumis</w:t>
            </w:r>
          </w:p>
        </w:tc>
        <w:tc>
          <w:tcPr>
            <w:tcW w:w="972" w:type="dxa"/>
            <w:tcBorders>
              <w:top w:val="nil"/>
              <w:left w:val="nil"/>
              <w:bottom w:val="single" w:sz="4" w:space="0" w:color="auto"/>
              <w:right w:val="single" w:sz="4" w:space="0" w:color="auto"/>
            </w:tcBorders>
            <w:shd w:val="clear" w:color="auto" w:fill="C6EFCE"/>
            <w:noWrap/>
          </w:tcPr>
          <w:p w14:paraId="367B1E29"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C40DEBE" w14:textId="77777777" w:rsidR="003D7F65" w:rsidRDefault="003D7F65">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4FADDC50" w14:textId="77777777"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BE9D93B" w14:textId="77777777" w:rsidR="003D7F65" w:rsidRDefault="0082041E">
            <w:pPr>
              <w:pStyle w:val="P68B1DB1-Normal8"/>
              <w:spacing w:after="0" w:line="240" w:lineRule="auto"/>
              <w:jc w:val="center"/>
              <w:rPr>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353F830D" w14:textId="77777777" w:rsidR="003D7F65" w:rsidRDefault="0082041E">
            <w:pPr>
              <w:pStyle w:val="P68B1DB1-Normal8"/>
              <w:spacing w:after="0" w:line="240" w:lineRule="auto"/>
              <w:jc w:val="center"/>
              <w:rPr>
                <w:noProof/>
              </w:rPr>
            </w:pPr>
            <w:r>
              <w:rPr>
                <w:noProof/>
              </w:rPr>
              <w:t>2026</w:t>
            </w:r>
          </w:p>
        </w:tc>
        <w:tc>
          <w:tcPr>
            <w:tcW w:w="4110" w:type="dxa"/>
            <w:tcBorders>
              <w:top w:val="single" w:sz="4" w:space="0" w:color="auto"/>
              <w:left w:val="nil"/>
              <w:bottom w:val="single" w:sz="4" w:space="0" w:color="auto"/>
              <w:right w:val="single" w:sz="4" w:space="0" w:color="auto"/>
            </w:tcBorders>
            <w:shd w:val="clear" w:color="auto" w:fill="C6EFCE"/>
            <w:noWrap/>
          </w:tcPr>
          <w:p w14:paraId="609362A9" w14:textId="53EF440B" w:rsidR="003D7F65" w:rsidRDefault="0082041E">
            <w:pPr>
              <w:pStyle w:val="P68B1DB1-Normal8"/>
              <w:spacing w:after="0" w:line="240" w:lineRule="auto"/>
              <w:rPr>
                <w:noProof/>
              </w:rPr>
            </w:pPr>
            <w:r>
              <w:rPr>
                <w:noProof/>
              </w:rPr>
              <w:t>Les avis d'achèvement de projet ou les rapports de projet sont soumis par les entités bénéficiaires. Les projets correspondent à une augmentation de la nouvelle capacité d’énergie renouvelable ou de la capacité de stockage d’au moins 39 MW/MWp.</w:t>
            </w:r>
          </w:p>
        </w:tc>
      </w:tr>
      <w:tr w:rsidR="003D7F65" w14:paraId="7BC3FC6D"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732123F" w14:textId="77777777" w:rsidR="003D7F65" w:rsidRDefault="0082041E">
            <w:pPr>
              <w:pStyle w:val="P68B1DB1-Normal8"/>
              <w:spacing w:after="0" w:line="240" w:lineRule="auto"/>
              <w:jc w:val="center"/>
              <w:rPr>
                <w:noProof/>
              </w:rPr>
            </w:pPr>
            <w:r>
              <w:rPr>
                <w:noProof/>
              </w:rPr>
              <w:t>148</w:t>
            </w:r>
          </w:p>
        </w:tc>
        <w:tc>
          <w:tcPr>
            <w:tcW w:w="1669" w:type="dxa"/>
            <w:tcBorders>
              <w:top w:val="nil"/>
              <w:left w:val="nil"/>
              <w:bottom w:val="single" w:sz="4" w:space="0" w:color="auto"/>
              <w:right w:val="single" w:sz="4" w:space="0" w:color="auto"/>
            </w:tcBorders>
            <w:shd w:val="clear" w:color="auto" w:fill="C6EFCE"/>
            <w:noWrap/>
          </w:tcPr>
          <w:p w14:paraId="06F2EAFC" w14:textId="77777777" w:rsidR="003D7F65" w:rsidRDefault="0082041E">
            <w:pPr>
              <w:pStyle w:val="P68B1DB1-Normal8"/>
              <w:spacing w:after="0" w:line="240" w:lineRule="auto"/>
              <w:rPr>
                <w:noProof/>
              </w:rPr>
            </w:pPr>
            <w:r>
              <w:rPr>
                <w:noProof/>
              </w:rPr>
              <w:t>P5C1I2 : R&amp;D pour la transition écologique</w:t>
            </w:r>
          </w:p>
        </w:tc>
        <w:tc>
          <w:tcPr>
            <w:tcW w:w="1166" w:type="dxa"/>
            <w:tcBorders>
              <w:top w:val="nil"/>
              <w:left w:val="nil"/>
              <w:bottom w:val="single" w:sz="4" w:space="0" w:color="auto"/>
              <w:right w:val="single" w:sz="4" w:space="0" w:color="auto"/>
            </w:tcBorders>
            <w:shd w:val="clear" w:color="auto" w:fill="C6EFCE"/>
            <w:noWrap/>
          </w:tcPr>
          <w:p w14:paraId="302D6ED5" w14:textId="77777777" w:rsidR="003D7F65" w:rsidRDefault="0082041E">
            <w:pPr>
              <w:pStyle w:val="P68B1DB1-Normal8"/>
              <w:spacing w:after="0" w:line="240" w:lineRule="auto"/>
              <w:rPr>
                <w:noProof/>
              </w:rPr>
            </w:pPr>
            <w:r>
              <w:rPr>
                <w:noProof/>
              </w:rPr>
              <w:t>Étape</w:t>
            </w:r>
          </w:p>
        </w:tc>
        <w:tc>
          <w:tcPr>
            <w:tcW w:w="1289" w:type="dxa"/>
            <w:tcBorders>
              <w:top w:val="nil"/>
              <w:left w:val="nil"/>
              <w:bottom w:val="single" w:sz="4" w:space="0" w:color="auto"/>
              <w:right w:val="single" w:sz="4" w:space="0" w:color="auto"/>
            </w:tcBorders>
            <w:shd w:val="clear" w:color="auto" w:fill="C6EFCE"/>
            <w:noWrap/>
          </w:tcPr>
          <w:p w14:paraId="5A01BE70" w14:textId="77777777" w:rsidR="003D7F65" w:rsidRDefault="0082041E">
            <w:pPr>
              <w:pStyle w:val="P68B1DB1-Normal8"/>
              <w:spacing w:after="0" w:line="240" w:lineRule="auto"/>
              <w:rPr>
                <w:noProof/>
              </w:rPr>
            </w:pPr>
            <w:r>
              <w:rPr>
                <w:noProof/>
              </w:rPr>
              <w:t>Publication du rapport d'inspection</w:t>
            </w:r>
          </w:p>
        </w:tc>
        <w:tc>
          <w:tcPr>
            <w:tcW w:w="1424" w:type="dxa"/>
            <w:tcBorders>
              <w:top w:val="single" w:sz="4" w:space="0" w:color="auto"/>
              <w:left w:val="nil"/>
              <w:bottom w:val="single" w:sz="4" w:space="0" w:color="auto"/>
              <w:right w:val="single" w:sz="4" w:space="0" w:color="auto"/>
            </w:tcBorders>
            <w:shd w:val="clear" w:color="auto" w:fill="C6EFCE"/>
            <w:noWrap/>
          </w:tcPr>
          <w:p w14:paraId="0FF3BF75" w14:textId="77777777" w:rsidR="003D7F65" w:rsidRDefault="0082041E">
            <w:pPr>
              <w:pStyle w:val="P68B1DB1-Normal8"/>
              <w:spacing w:after="0" w:line="240" w:lineRule="auto"/>
              <w:rPr>
                <w:noProof/>
              </w:rPr>
            </w:pPr>
            <w:r>
              <w:rPr>
                <w:noProof/>
              </w:rPr>
              <w:t>Publication du rapport d'inspection</w:t>
            </w:r>
          </w:p>
        </w:tc>
        <w:tc>
          <w:tcPr>
            <w:tcW w:w="972" w:type="dxa"/>
            <w:tcBorders>
              <w:top w:val="nil"/>
              <w:left w:val="nil"/>
              <w:bottom w:val="single" w:sz="4" w:space="0" w:color="auto"/>
              <w:right w:val="single" w:sz="4" w:space="0" w:color="auto"/>
            </w:tcBorders>
            <w:shd w:val="clear" w:color="auto" w:fill="C6EFCE"/>
            <w:noWrap/>
          </w:tcPr>
          <w:p w14:paraId="1504AD25"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6F731C69" w14:textId="77777777" w:rsidR="003D7F65" w:rsidRDefault="003D7F65">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2E15DC49" w14:textId="77777777"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17B0A4FA" w14:textId="77777777" w:rsidR="003D7F65" w:rsidRDefault="0082041E">
            <w:pPr>
              <w:pStyle w:val="P68B1DB1-Normal8"/>
              <w:spacing w:after="0" w:line="240" w:lineRule="auto"/>
              <w:jc w:val="center"/>
              <w:rPr>
                <w:rFonts w:eastAsia="Times New Roman"/>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6EB5D718" w14:textId="77777777" w:rsidR="003D7F65" w:rsidRDefault="0082041E">
            <w:pPr>
              <w:pStyle w:val="P68B1DB1-Normal8"/>
              <w:spacing w:after="0" w:line="240" w:lineRule="auto"/>
              <w:jc w:val="center"/>
              <w:rPr>
                <w:rFonts w:eastAsia="Times New Roman"/>
                <w:noProof/>
              </w:rPr>
            </w:pPr>
            <w:r>
              <w:rPr>
                <w:noProof/>
              </w:rPr>
              <w:t>2026</w:t>
            </w:r>
          </w:p>
        </w:tc>
        <w:tc>
          <w:tcPr>
            <w:tcW w:w="4110" w:type="dxa"/>
            <w:tcBorders>
              <w:top w:val="single" w:sz="4" w:space="0" w:color="auto"/>
              <w:left w:val="nil"/>
              <w:bottom w:val="single" w:sz="4" w:space="0" w:color="auto"/>
              <w:right w:val="single" w:sz="4" w:space="0" w:color="auto"/>
            </w:tcBorders>
            <w:shd w:val="clear" w:color="auto" w:fill="C6EFCE"/>
            <w:noWrap/>
          </w:tcPr>
          <w:p w14:paraId="5109B079" w14:textId="77777777" w:rsidR="003D7F65" w:rsidRDefault="0082041E">
            <w:pPr>
              <w:pStyle w:val="P68B1DB1-Normal8"/>
              <w:spacing w:after="0" w:line="240" w:lineRule="auto"/>
              <w:rPr>
                <w:noProof/>
              </w:rPr>
            </w:pPr>
            <w:r>
              <w:rPr>
                <w:noProof/>
              </w:rPr>
              <w:t xml:space="preserve">Rapport d'inspection publié par l'autorité de contrôle des bâtiments de la ville d'Espoo sur la construction d'une nouvelle installation de recherche sur les énergies propres. </w:t>
            </w:r>
          </w:p>
        </w:tc>
      </w:tr>
      <w:tr w:rsidR="003D7F65" w14:paraId="65961802" w14:textId="77777777" w:rsidTr="00DF4EDA">
        <w:trPr>
          <w:trHeight w:val="1605"/>
          <w:jc w:val="center"/>
        </w:trPr>
        <w:tc>
          <w:tcPr>
            <w:tcW w:w="846" w:type="dxa"/>
            <w:tcBorders>
              <w:top w:val="nil"/>
              <w:left w:val="single" w:sz="4" w:space="0" w:color="auto"/>
              <w:bottom w:val="single" w:sz="4" w:space="0" w:color="auto"/>
              <w:right w:val="single" w:sz="4" w:space="0" w:color="auto"/>
            </w:tcBorders>
            <w:shd w:val="clear" w:color="auto" w:fill="C6EFCE"/>
            <w:noWrap/>
          </w:tcPr>
          <w:p w14:paraId="28B7E613" w14:textId="77777777" w:rsidR="003D7F65" w:rsidRDefault="0082041E">
            <w:pPr>
              <w:pStyle w:val="P68B1DB1-Normal8"/>
              <w:spacing w:after="0" w:line="240" w:lineRule="auto"/>
              <w:jc w:val="center"/>
              <w:rPr>
                <w:noProof/>
              </w:rPr>
            </w:pPr>
            <w:r>
              <w:rPr>
                <w:noProof/>
              </w:rPr>
              <w:t>149</w:t>
            </w:r>
          </w:p>
        </w:tc>
        <w:tc>
          <w:tcPr>
            <w:tcW w:w="1669" w:type="dxa"/>
            <w:tcBorders>
              <w:top w:val="nil"/>
              <w:left w:val="nil"/>
              <w:bottom w:val="single" w:sz="4" w:space="0" w:color="auto"/>
              <w:right w:val="single" w:sz="4" w:space="0" w:color="auto"/>
            </w:tcBorders>
            <w:shd w:val="clear" w:color="auto" w:fill="C6EFCE"/>
            <w:noWrap/>
          </w:tcPr>
          <w:p w14:paraId="32021FC6" w14:textId="77777777" w:rsidR="003D7F65" w:rsidRDefault="0082041E">
            <w:pPr>
              <w:pStyle w:val="P68B1DB1-Normal8"/>
              <w:spacing w:after="0" w:line="240" w:lineRule="auto"/>
              <w:rPr>
                <w:noProof/>
              </w:rPr>
            </w:pPr>
            <w:r>
              <w:rPr>
                <w:noProof/>
              </w:rPr>
              <w:t>P5C1I2 : R&amp;D pour la transition écologique</w:t>
            </w:r>
          </w:p>
        </w:tc>
        <w:tc>
          <w:tcPr>
            <w:tcW w:w="1166" w:type="dxa"/>
            <w:tcBorders>
              <w:top w:val="nil"/>
              <w:left w:val="nil"/>
              <w:bottom w:val="single" w:sz="4" w:space="0" w:color="auto"/>
              <w:right w:val="single" w:sz="4" w:space="0" w:color="auto"/>
            </w:tcBorders>
            <w:shd w:val="clear" w:color="auto" w:fill="C6EFCE"/>
            <w:noWrap/>
          </w:tcPr>
          <w:p w14:paraId="1689C39A" w14:textId="77777777" w:rsidR="003D7F65" w:rsidRDefault="0082041E">
            <w:pPr>
              <w:pStyle w:val="P68B1DB1-Normal8"/>
              <w:spacing w:after="0" w:line="240" w:lineRule="auto"/>
              <w:rPr>
                <w:noProof/>
              </w:rPr>
            </w:pPr>
            <w:r>
              <w:rPr>
                <w:noProof/>
              </w:rPr>
              <w:t>Objectif</w:t>
            </w:r>
          </w:p>
        </w:tc>
        <w:tc>
          <w:tcPr>
            <w:tcW w:w="1289" w:type="dxa"/>
            <w:tcBorders>
              <w:top w:val="nil"/>
              <w:left w:val="nil"/>
              <w:bottom w:val="single" w:sz="4" w:space="0" w:color="auto"/>
              <w:right w:val="single" w:sz="4" w:space="0" w:color="auto"/>
            </w:tcBorders>
            <w:shd w:val="clear" w:color="auto" w:fill="C6EFCE"/>
            <w:noWrap/>
          </w:tcPr>
          <w:p w14:paraId="3E21A82A" w14:textId="77777777" w:rsidR="003D7F65" w:rsidRDefault="0082041E">
            <w:pPr>
              <w:pStyle w:val="P68B1DB1-Normal8"/>
              <w:spacing w:after="0" w:line="240" w:lineRule="auto"/>
              <w:rPr>
                <w:noProof/>
              </w:rPr>
            </w:pPr>
            <w:r>
              <w:rPr>
                <w:noProof/>
              </w:rPr>
              <w:t>Affectation de chercheurs à des activités de recherche et de développement liées à REPowerEU</w:t>
            </w:r>
          </w:p>
        </w:tc>
        <w:tc>
          <w:tcPr>
            <w:tcW w:w="1424" w:type="dxa"/>
            <w:tcBorders>
              <w:top w:val="single" w:sz="4" w:space="0" w:color="auto"/>
              <w:left w:val="nil"/>
              <w:bottom w:val="single" w:sz="4" w:space="0" w:color="auto"/>
              <w:right w:val="single" w:sz="4" w:space="0" w:color="auto"/>
            </w:tcBorders>
            <w:shd w:val="clear" w:color="auto" w:fill="C6EFCE"/>
            <w:noWrap/>
          </w:tcPr>
          <w:p w14:paraId="2C3D1618" w14:textId="77777777" w:rsidR="003D7F65" w:rsidRDefault="003D7F65">
            <w:pPr>
              <w:spacing w:after="0" w:line="240" w:lineRule="auto"/>
              <w:rPr>
                <w:rFonts w:ascii="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3E857175" w14:textId="77777777" w:rsidR="003D7F65" w:rsidRDefault="0082041E">
            <w:pPr>
              <w:pStyle w:val="P68B1DB1-Normal8"/>
              <w:spacing w:after="0" w:line="240" w:lineRule="auto"/>
              <w:jc w:val="center"/>
              <w:rPr>
                <w:noProof/>
              </w:rPr>
            </w:pPr>
            <w:r>
              <w:rPr>
                <w:noProof/>
              </w:rPr>
              <w:t>Nombre de chercheurs affectés</w:t>
            </w:r>
          </w:p>
        </w:tc>
        <w:tc>
          <w:tcPr>
            <w:tcW w:w="993" w:type="dxa"/>
            <w:tcBorders>
              <w:top w:val="nil"/>
              <w:left w:val="nil"/>
              <w:bottom w:val="single" w:sz="4" w:space="0" w:color="auto"/>
              <w:right w:val="single" w:sz="4" w:space="0" w:color="auto"/>
            </w:tcBorders>
            <w:shd w:val="clear" w:color="auto" w:fill="C6EFCE"/>
            <w:noWrap/>
          </w:tcPr>
          <w:p w14:paraId="205E6E12" w14:textId="77777777" w:rsidR="003D7F65" w:rsidRDefault="0082041E">
            <w:pPr>
              <w:pStyle w:val="P68B1DB1-Normal8"/>
              <w:spacing w:after="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61B176D6" w14:textId="77777777" w:rsidR="003D7F65" w:rsidRDefault="0082041E">
            <w:pPr>
              <w:pStyle w:val="P68B1DB1-Normal8"/>
              <w:spacing w:after="0" w:line="240" w:lineRule="auto"/>
              <w:jc w:val="center"/>
              <w:rPr>
                <w:noProof/>
              </w:rPr>
            </w:pPr>
            <w:r>
              <w:rPr>
                <w:noProof/>
              </w:rPr>
              <w:t>35</w:t>
            </w:r>
          </w:p>
        </w:tc>
        <w:tc>
          <w:tcPr>
            <w:tcW w:w="992" w:type="dxa"/>
            <w:tcBorders>
              <w:top w:val="nil"/>
              <w:left w:val="nil"/>
              <w:bottom w:val="single" w:sz="4" w:space="0" w:color="auto"/>
              <w:right w:val="single" w:sz="4" w:space="0" w:color="auto"/>
            </w:tcBorders>
            <w:shd w:val="clear" w:color="auto" w:fill="C6EFCE"/>
            <w:noWrap/>
          </w:tcPr>
          <w:p w14:paraId="7028E8D3" w14:textId="77777777" w:rsidR="003D7F65" w:rsidRDefault="0082041E">
            <w:pPr>
              <w:pStyle w:val="P68B1DB1-Normal8"/>
              <w:spacing w:after="0" w:line="240" w:lineRule="auto"/>
              <w:jc w:val="center"/>
              <w:rPr>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6C78D4DF" w14:textId="77777777" w:rsidR="003D7F65" w:rsidRDefault="0082041E">
            <w:pPr>
              <w:pStyle w:val="P68B1DB1-Normal8"/>
              <w:spacing w:after="0" w:line="240" w:lineRule="auto"/>
              <w:jc w:val="center"/>
              <w:rPr>
                <w:noProof/>
              </w:rPr>
            </w:pPr>
            <w:r>
              <w:rPr>
                <w:noProof/>
              </w:rPr>
              <w:t>2025</w:t>
            </w:r>
          </w:p>
        </w:tc>
        <w:tc>
          <w:tcPr>
            <w:tcW w:w="4110" w:type="dxa"/>
            <w:tcBorders>
              <w:top w:val="single" w:sz="4" w:space="0" w:color="auto"/>
              <w:left w:val="nil"/>
              <w:bottom w:val="single" w:sz="4" w:space="0" w:color="auto"/>
              <w:right w:val="single" w:sz="4" w:space="0" w:color="auto"/>
            </w:tcBorders>
            <w:shd w:val="clear" w:color="auto" w:fill="C6EFCE"/>
            <w:noWrap/>
          </w:tcPr>
          <w:p w14:paraId="728B5057" w14:textId="52DC6B57" w:rsidR="003D7F65" w:rsidRDefault="0082041E">
            <w:pPr>
              <w:pStyle w:val="P68B1DB1-Normal8"/>
              <w:spacing w:after="0" w:line="240" w:lineRule="auto"/>
              <w:rPr>
                <w:noProof/>
              </w:rPr>
            </w:pPr>
            <w:r>
              <w:rPr>
                <w:noProof/>
              </w:rPr>
              <w:t>Des ouvertures de recherche sont lancées dans trois domaines thématiques, dont i) le stockage de l’électricité et l’accélération des énergies propres, ii) l’efficacité énergétique et la décarbonation de l’industrie et iii) l’économie de l’hydrogène renouvelable. Au moins 35 chercheurs sont affectés par le VTT Technical Research Centre of Finland Ltd aux trois domaines thématiques.</w:t>
            </w:r>
          </w:p>
        </w:tc>
      </w:tr>
      <w:tr w:rsidR="003D7F65" w14:paraId="20A15E88"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A23EF0D" w14:textId="77777777" w:rsidR="003D7F65" w:rsidRDefault="0082041E">
            <w:pPr>
              <w:pStyle w:val="P68B1DB1-Normal8"/>
              <w:spacing w:after="0" w:line="240" w:lineRule="auto"/>
              <w:jc w:val="center"/>
              <w:rPr>
                <w:noProof/>
              </w:rPr>
            </w:pPr>
            <w:r>
              <w:rPr>
                <w:noProof/>
              </w:rPr>
              <w:t>150</w:t>
            </w:r>
          </w:p>
        </w:tc>
        <w:tc>
          <w:tcPr>
            <w:tcW w:w="1669" w:type="dxa"/>
            <w:tcBorders>
              <w:top w:val="nil"/>
              <w:left w:val="nil"/>
              <w:bottom w:val="single" w:sz="4" w:space="0" w:color="auto"/>
              <w:right w:val="single" w:sz="4" w:space="0" w:color="auto"/>
            </w:tcBorders>
            <w:shd w:val="clear" w:color="auto" w:fill="C6EFCE"/>
            <w:noWrap/>
          </w:tcPr>
          <w:p w14:paraId="5F9695E5" w14:textId="77777777" w:rsidR="003D7F65" w:rsidRDefault="0082041E">
            <w:pPr>
              <w:pStyle w:val="P68B1DB1-Normal8"/>
              <w:spacing w:after="0" w:line="240" w:lineRule="auto"/>
              <w:rPr>
                <w:noProof/>
              </w:rPr>
            </w:pPr>
            <w:r>
              <w:rPr>
                <w:noProof/>
              </w:rPr>
              <w:t>P5C1I2 : R&amp;D pour la transition écologique</w:t>
            </w:r>
          </w:p>
        </w:tc>
        <w:tc>
          <w:tcPr>
            <w:tcW w:w="1166" w:type="dxa"/>
            <w:tcBorders>
              <w:top w:val="nil"/>
              <w:left w:val="nil"/>
              <w:bottom w:val="single" w:sz="4" w:space="0" w:color="auto"/>
              <w:right w:val="single" w:sz="4" w:space="0" w:color="auto"/>
            </w:tcBorders>
            <w:shd w:val="clear" w:color="auto" w:fill="C6EFCE"/>
            <w:noWrap/>
          </w:tcPr>
          <w:p w14:paraId="2F0159AB" w14:textId="77777777" w:rsidR="003D7F65" w:rsidRDefault="0082041E">
            <w:pPr>
              <w:pStyle w:val="P68B1DB1-Normal8"/>
              <w:spacing w:after="0" w:line="240" w:lineRule="auto"/>
              <w:rPr>
                <w:noProof/>
              </w:rPr>
            </w:pPr>
            <w:r>
              <w:rPr>
                <w:noProof/>
              </w:rPr>
              <w:t>Objectif</w:t>
            </w:r>
          </w:p>
        </w:tc>
        <w:tc>
          <w:tcPr>
            <w:tcW w:w="1289" w:type="dxa"/>
            <w:tcBorders>
              <w:top w:val="nil"/>
              <w:left w:val="nil"/>
              <w:bottom w:val="single" w:sz="4" w:space="0" w:color="auto"/>
              <w:right w:val="single" w:sz="4" w:space="0" w:color="auto"/>
            </w:tcBorders>
            <w:shd w:val="clear" w:color="auto" w:fill="C6EFCE"/>
            <w:noWrap/>
          </w:tcPr>
          <w:p w14:paraId="61D9C90A" w14:textId="77777777" w:rsidR="003D7F65" w:rsidRDefault="0082041E">
            <w:pPr>
              <w:pStyle w:val="P68B1DB1-Normal8"/>
              <w:spacing w:after="0" w:line="240" w:lineRule="auto"/>
              <w:rPr>
                <w:noProof/>
              </w:rPr>
            </w:pPr>
            <w:r>
              <w:rPr>
                <w:noProof/>
              </w:rPr>
              <w:t>Sélection de doctorants dans le programme de l'école doctorale LUKE</w:t>
            </w:r>
          </w:p>
        </w:tc>
        <w:tc>
          <w:tcPr>
            <w:tcW w:w="1424" w:type="dxa"/>
            <w:tcBorders>
              <w:top w:val="single" w:sz="4" w:space="0" w:color="auto"/>
              <w:left w:val="nil"/>
              <w:bottom w:val="single" w:sz="4" w:space="0" w:color="auto"/>
              <w:right w:val="single" w:sz="4" w:space="0" w:color="auto"/>
            </w:tcBorders>
            <w:shd w:val="clear" w:color="auto" w:fill="C6EFCE"/>
            <w:noWrap/>
          </w:tcPr>
          <w:p w14:paraId="7B026F41" w14:textId="77777777" w:rsidR="003D7F65" w:rsidRDefault="003D7F65">
            <w:pPr>
              <w:spacing w:after="0" w:line="240" w:lineRule="auto"/>
              <w:rPr>
                <w:rFonts w:ascii="Times New Roman" w:hAnsi="Times New Roman"/>
                <w:noProof/>
                <w:sz w:val="20"/>
                <w:szCs w:val="20"/>
              </w:rPr>
            </w:pPr>
          </w:p>
        </w:tc>
        <w:tc>
          <w:tcPr>
            <w:tcW w:w="972" w:type="dxa"/>
            <w:tcBorders>
              <w:top w:val="nil"/>
              <w:left w:val="nil"/>
              <w:bottom w:val="single" w:sz="4" w:space="0" w:color="auto"/>
              <w:right w:val="single" w:sz="4" w:space="0" w:color="auto"/>
            </w:tcBorders>
            <w:shd w:val="clear" w:color="auto" w:fill="C6EFCE"/>
            <w:noWrap/>
          </w:tcPr>
          <w:p w14:paraId="2772FCA9" w14:textId="77777777" w:rsidR="003D7F65" w:rsidRDefault="0082041E">
            <w:pPr>
              <w:pStyle w:val="P68B1DB1-Normal8"/>
              <w:spacing w:after="0" w:line="240" w:lineRule="auto"/>
              <w:jc w:val="center"/>
              <w:rPr>
                <w:noProof/>
              </w:rPr>
            </w:pPr>
            <w:r>
              <w:rPr>
                <w:noProof/>
              </w:rPr>
              <w:t>Numéro</w:t>
            </w:r>
          </w:p>
        </w:tc>
        <w:tc>
          <w:tcPr>
            <w:tcW w:w="993" w:type="dxa"/>
            <w:tcBorders>
              <w:top w:val="nil"/>
              <w:left w:val="nil"/>
              <w:bottom w:val="single" w:sz="4" w:space="0" w:color="auto"/>
              <w:right w:val="single" w:sz="4" w:space="0" w:color="auto"/>
            </w:tcBorders>
            <w:shd w:val="clear" w:color="auto" w:fill="C6EFCE"/>
            <w:noWrap/>
          </w:tcPr>
          <w:p w14:paraId="0153B68A" w14:textId="77777777" w:rsidR="003D7F65" w:rsidRDefault="0082041E">
            <w:pPr>
              <w:pStyle w:val="P68B1DB1-Normal8"/>
              <w:spacing w:after="0" w:line="240" w:lineRule="auto"/>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tcPr>
          <w:p w14:paraId="038E8921" w14:textId="77777777" w:rsidR="003D7F65" w:rsidRDefault="0082041E">
            <w:pPr>
              <w:pStyle w:val="P68B1DB1-Normal8"/>
              <w:spacing w:after="0" w:line="240" w:lineRule="auto"/>
              <w:jc w:val="center"/>
              <w:rPr>
                <w:noProof/>
              </w:rPr>
            </w:pPr>
            <w:r>
              <w:rPr>
                <w:noProof/>
              </w:rPr>
              <w:t>4</w:t>
            </w:r>
          </w:p>
        </w:tc>
        <w:tc>
          <w:tcPr>
            <w:tcW w:w="992" w:type="dxa"/>
            <w:tcBorders>
              <w:top w:val="nil"/>
              <w:left w:val="nil"/>
              <w:bottom w:val="single" w:sz="4" w:space="0" w:color="auto"/>
              <w:right w:val="single" w:sz="4" w:space="0" w:color="auto"/>
            </w:tcBorders>
            <w:shd w:val="clear" w:color="auto" w:fill="C6EFCE"/>
            <w:noWrap/>
          </w:tcPr>
          <w:p w14:paraId="0E2F64ED" w14:textId="77777777" w:rsidR="003D7F65" w:rsidRDefault="0082041E">
            <w:pPr>
              <w:pStyle w:val="P68B1DB1-Normal8"/>
              <w:spacing w:after="0" w:line="240" w:lineRule="auto"/>
              <w:jc w:val="center"/>
              <w:rPr>
                <w:noProof/>
              </w:rPr>
            </w:pPr>
            <w:r>
              <w:rPr>
                <w:noProof/>
              </w:rPr>
              <w:t>T3</w:t>
            </w:r>
          </w:p>
        </w:tc>
        <w:tc>
          <w:tcPr>
            <w:tcW w:w="993" w:type="dxa"/>
            <w:tcBorders>
              <w:top w:val="nil"/>
              <w:left w:val="nil"/>
              <w:bottom w:val="single" w:sz="4" w:space="0" w:color="auto"/>
              <w:right w:val="single" w:sz="4" w:space="0" w:color="auto"/>
            </w:tcBorders>
            <w:shd w:val="clear" w:color="auto" w:fill="C6EFCE"/>
            <w:noWrap/>
          </w:tcPr>
          <w:p w14:paraId="4B3F7DF8" w14:textId="77777777" w:rsidR="003D7F65" w:rsidRDefault="0082041E">
            <w:pPr>
              <w:pStyle w:val="P68B1DB1-Normal8"/>
              <w:spacing w:after="0" w:line="240" w:lineRule="auto"/>
              <w:jc w:val="center"/>
              <w:rPr>
                <w:noProof/>
              </w:rPr>
            </w:pPr>
            <w:r>
              <w:rPr>
                <w:noProof/>
              </w:rPr>
              <w:t>2024</w:t>
            </w:r>
          </w:p>
        </w:tc>
        <w:tc>
          <w:tcPr>
            <w:tcW w:w="4110" w:type="dxa"/>
            <w:tcBorders>
              <w:top w:val="single" w:sz="4" w:space="0" w:color="auto"/>
              <w:left w:val="nil"/>
              <w:bottom w:val="single" w:sz="4" w:space="0" w:color="auto"/>
              <w:right w:val="single" w:sz="4" w:space="0" w:color="auto"/>
            </w:tcBorders>
            <w:shd w:val="clear" w:color="auto" w:fill="C6EFCE"/>
            <w:noWrap/>
          </w:tcPr>
          <w:p w14:paraId="5DD0718F" w14:textId="77777777" w:rsidR="003D7F65" w:rsidRDefault="0082041E">
            <w:pPr>
              <w:pStyle w:val="P68B1DB1-Normal8"/>
              <w:spacing w:after="0" w:line="240" w:lineRule="auto"/>
              <w:rPr>
                <w:noProof/>
              </w:rPr>
            </w:pPr>
            <w:r>
              <w:rPr>
                <w:noProof/>
              </w:rPr>
              <w:t>Au moins quatre postes de doctorants dans le programme de l’école doctorale de l’Institut finlandais des ressources naturelles (LUKE) sont alloués à des thèmes liés à REPowerEU, notamment i) l’énergie éolienne et solaire, ii) l’optimisation de l’utilisation des sources d’énergie fondée sur les données et iii) l’utilisation efficace des ressources, en vue de favoriser le renforcement des compétences REPowerEU.</w:t>
            </w:r>
          </w:p>
        </w:tc>
      </w:tr>
      <w:tr w:rsidR="003D7F65" w14:paraId="015D2B6B" w14:textId="77777777" w:rsidTr="00DF4EDA">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9B44A3D" w14:textId="77777777" w:rsidR="003D7F65" w:rsidRDefault="0082041E">
            <w:pPr>
              <w:pStyle w:val="P68B1DB1-Normal8"/>
              <w:spacing w:after="0" w:line="240" w:lineRule="auto"/>
              <w:jc w:val="center"/>
              <w:rPr>
                <w:noProof/>
              </w:rPr>
            </w:pPr>
            <w:r>
              <w:rPr>
                <w:noProof/>
              </w:rPr>
              <w:t>151</w:t>
            </w:r>
          </w:p>
        </w:tc>
        <w:tc>
          <w:tcPr>
            <w:tcW w:w="1669" w:type="dxa"/>
            <w:tcBorders>
              <w:top w:val="nil"/>
              <w:left w:val="nil"/>
              <w:bottom w:val="single" w:sz="4" w:space="0" w:color="auto"/>
              <w:right w:val="single" w:sz="4" w:space="0" w:color="auto"/>
            </w:tcBorders>
            <w:shd w:val="clear" w:color="auto" w:fill="C6EFCE"/>
            <w:noWrap/>
          </w:tcPr>
          <w:p w14:paraId="44910743" w14:textId="77777777" w:rsidR="003D7F65" w:rsidRDefault="0082041E">
            <w:pPr>
              <w:pStyle w:val="P68B1DB1-Normal8"/>
              <w:spacing w:after="0" w:line="240" w:lineRule="auto"/>
              <w:rPr>
                <w:noProof/>
              </w:rPr>
            </w:pPr>
            <w:r>
              <w:rPr>
                <w:noProof/>
              </w:rPr>
              <w:t>P5C1I2 : R&amp;D pour la transition écologique</w:t>
            </w:r>
          </w:p>
        </w:tc>
        <w:tc>
          <w:tcPr>
            <w:tcW w:w="1166" w:type="dxa"/>
            <w:tcBorders>
              <w:top w:val="nil"/>
              <w:left w:val="nil"/>
              <w:bottom w:val="single" w:sz="4" w:space="0" w:color="auto"/>
              <w:right w:val="single" w:sz="4" w:space="0" w:color="auto"/>
            </w:tcBorders>
            <w:shd w:val="clear" w:color="auto" w:fill="C6EFCE"/>
            <w:noWrap/>
          </w:tcPr>
          <w:p w14:paraId="0AD06DE9" w14:textId="77777777" w:rsidR="003D7F65" w:rsidRDefault="0082041E">
            <w:pPr>
              <w:pStyle w:val="P68B1DB1-Normal8"/>
              <w:spacing w:after="0" w:line="240" w:lineRule="auto"/>
              <w:rPr>
                <w:noProof/>
              </w:rPr>
            </w:pPr>
            <w:r>
              <w:rPr>
                <w:noProof/>
              </w:rPr>
              <w:t>Étape</w:t>
            </w:r>
          </w:p>
        </w:tc>
        <w:tc>
          <w:tcPr>
            <w:tcW w:w="1289" w:type="dxa"/>
            <w:tcBorders>
              <w:top w:val="nil"/>
              <w:left w:val="nil"/>
              <w:bottom w:val="single" w:sz="4" w:space="0" w:color="auto"/>
              <w:right w:val="single" w:sz="4" w:space="0" w:color="auto"/>
            </w:tcBorders>
            <w:shd w:val="clear" w:color="auto" w:fill="C6EFCE"/>
            <w:noWrap/>
          </w:tcPr>
          <w:p w14:paraId="79152B94" w14:textId="77777777" w:rsidR="003D7F65" w:rsidRDefault="0082041E">
            <w:pPr>
              <w:pStyle w:val="P68B1DB1-Normal8"/>
              <w:spacing w:after="0" w:line="240" w:lineRule="auto"/>
              <w:rPr>
                <w:noProof/>
              </w:rPr>
            </w:pPr>
            <w:r>
              <w:rPr>
                <w:noProof/>
              </w:rPr>
              <w:t xml:space="preserve">Publication de feuilles de route sur les énergies propres </w:t>
            </w:r>
          </w:p>
        </w:tc>
        <w:tc>
          <w:tcPr>
            <w:tcW w:w="1424" w:type="dxa"/>
            <w:tcBorders>
              <w:top w:val="single" w:sz="4" w:space="0" w:color="auto"/>
              <w:left w:val="nil"/>
              <w:bottom w:val="single" w:sz="4" w:space="0" w:color="auto"/>
              <w:right w:val="single" w:sz="4" w:space="0" w:color="auto"/>
            </w:tcBorders>
            <w:shd w:val="clear" w:color="auto" w:fill="C6EFCE"/>
            <w:noWrap/>
          </w:tcPr>
          <w:p w14:paraId="3C35C5DA" w14:textId="77777777" w:rsidR="003D7F65" w:rsidRDefault="0082041E">
            <w:pPr>
              <w:pStyle w:val="P68B1DB1-Normal8"/>
              <w:spacing w:after="0" w:line="240" w:lineRule="auto"/>
              <w:rPr>
                <w:noProof/>
              </w:rPr>
            </w:pPr>
            <w:r>
              <w:rPr>
                <w:noProof/>
              </w:rPr>
              <w:t>Publication des feuilles de route pour le développement des systèmes d’énergie propre et des systèmes d’énergie renouvelable</w:t>
            </w:r>
          </w:p>
        </w:tc>
        <w:tc>
          <w:tcPr>
            <w:tcW w:w="972" w:type="dxa"/>
            <w:tcBorders>
              <w:top w:val="nil"/>
              <w:left w:val="nil"/>
              <w:bottom w:val="single" w:sz="4" w:space="0" w:color="auto"/>
              <w:right w:val="single" w:sz="4" w:space="0" w:color="auto"/>
            </w:tcBorders>
            <w:shd w:val="clear" w:color="auto" w:fill="C6EFCE"/>
            <w:noWrap/>
          </w:tcPr>
          <w:p w14:paraId="75F4040C" w14:textId="77777777" w:rsidR="003D7F65" w:rsidRDefault="003D7F65">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D4C47FB" w14:textId="77777777" w:rsidR="003D7F65" w:rsidRDefault="003D7F65">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tcPr>
          <w:p w14:paraId="62723954" w14:textId="77777777" w:rsidR="003D7F65" w:rsidRDefault="003D7F65">
            <w:pPr>
              <w:spacing w:after="0" w:line="240" w:lineRule="auto"/>
              <w:jc w:val="center"/>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30E40DA" w14:textId="77777777" w:rsidR="003D7F65" w:rsidRDefault="0082041E">
            <w:pPr>
              <w:pStyle w:val="P68B1DB1-Normal8"/>
              <w:spacing w:after="0" w:line="240" w:lineRule="auto"/>
              <w:jc w:val="center"/>
              <w:rPr>
                <w:noProof/>
              </w:rPr>
            </w:pPr>
            <w:r>
              <w:rPr>
                <w:noProof/>
              </w:rPr>
              <w:t>T2</w:t>
            </w:r>
          </w:p>
        </w:tc>
        <w:tc>
          <w:tcPr>
            <w:tcW w:w="993" w:type="dxa"/>
            <w:tcBorders>
              <w:top w:val="nil"/>
              <w:left w:val="nil"/>
              <w:bottom w:val="single" w:sz="4" w:space="0" w:color="auto"/>
              <w:right w:val="single" w:sz="4" w:space="0" w:color="auto"/>
            </w:tcBorders>
            <w:shd w:val="clear" w:color="auto" w:fill="C6EFCE"/>
            <w:noWrap/>
          </w:tcPr>
          <w:p w14:paraId="64DAD644" w14:textId="77777777" w:rsidR="003D7F65" w:rsidRDefault="0082041E">
            <w:pPr>
              <w:pStyle w:val="P68B1DB1-Normal8"/>
              <w:spacing w:after="0" w:line="240" w:lineRule="auto"/>
              <w:jc w:val="center"/>
              <w:rPr>
                <w:noProof/>
              </w:rPr>
            </w:pPr>
            <w:r>
              <w:rPr>
                <w:noProof/>
              </w:rPr>
              <w:t>2026</w:t>
            </w:r>
          </w:p>
        </w:tc>
        <w:tc>
          <w:tcPr>
            <w:tcW w:w="4110" w:type="dxa"/>
            <w:tcBorders>
              <w:top w:val="single" w:sz="4" w:space="0" w:color="auto"/>
              <w:left w:val="nil"/>
              <w:bottom w:val="single" w:sz="4" w:space="0" w:color="auto"/>
              <w:right w:val="single" w:sz="4" w:space="0" w:color="auto"/>
            </w:tcBorders>
            <w:shd w:val="clear" w:color="auto" w:fill="C6EFCE"/>
            <w:noWrap/>
          </w:tcPr>
          <w:p w14:paraId="3A5ADE32" w14:textId="77777777" w:rsidR="003D7F65" w:rsidRDefault="0082041E">
            <w:pPr>
              <w:pStyle w:val="P68B1DB1-Normal8"/>
              <w:spacing w:after="0" w:line="240" w:lineRule="auto"/>
              <w:rPr>
                <w:noProof/>
              </w:rPr>
            </w:pPr>
            <w:r>
              <w:rPr>
                <w:noProof/>
              </w:rPr>
              <w:t>Une feuille de route pour le développement de systèmes d’énergie propre est publiée.</w:t>
            </w:r>
          </w:p>
          <w:p w14:paraId="4B0B08CB" w14:textId="77777777" w:rsidR="003D7F65" w:rsidRDefault="0082041E">
            <w:pPr>
              <w:pStyle w:val="P68B1DB1-Normal8"/>
              <w:spacing w:after="0" w:line="240" w:lineRule="auto"/>
              <w:rPr>
                <w:noProof/>
              </w:rPr>
            </w:pPr>
            <w:r>
              <w:rPr>
                <w:noProof/>
              </w:rPr>
              <w:t>Une feuille de route sur les nouveaux systèmes d’énergie renouvelable, comprenant une évaluation des effets de la croissance de l’énergie solaire et éolienne sur les zones terrestres, côtières et en mer, est publiée.</w:t>
            </w:r>
          </w:p>
        </w:tc>
      </w:tr>
      <w:tr w:rsidR="003D7F65" w14:paraId="475E6F61" w14:textId="77777777" w:rsidTr="00DF4EDA">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E5748E9" w14:textId="77777777" w:rsidR="003D7F65" w:rsidRDefault="0082041E">
            <w:pPr>
              <w:pStyle w:val="P68B1DB1-Normal8"/>
              <w:spacing w:after="0" w:line="240" w:lineRule="auto"/>
              <w:jc w:val="center"/>
              <w:rPr>
                <w:noProof/>
              </w:rPr>
            </w:pPr>
            <w:r>
              <w:rPr>
                <w:noProof/>
              </w:rPr>
              <w:t>152</w:t>
            </w:r>
          </w:p>
        </w:tc>
        <w:tc>
          <w:tcPr>
            <w:tcW w:w="1669" w:type="dxa"/>
            <w:tcBorders>
              <w:top w:val="single" w:sz="4" w:space="0" w:color="auto"/>
              <w:left w:val="nil"/>
              <w:bottom w:val="single" w:sz="4" w:space="0" w:color="auto"/>
              <w:right w:val="single" w:sz="4" w:space="0" w:color="auto"/>
            </w:tcBorders>
            <w:shd w:val="clear" w:color="auto" w:fill="C6EFCE"/>
            <w:noWrap/>
          </w:tcPr>
          <w:p w14:paraId="259516D2" w14:textId="77777777" w:rsidR="003D7F65" w:rsidRDefault="0082041E">
            <w:pPr>
              <w:pStyle w:val="P68B1DB1-Normal8"/>
              <w:spacing w:after="0" w:line="240" w:lineRule="auto"/>
              <w:rPr>
                <w:noProof/>
              </w:rPr>
            </w:pPr>
            <w:r>
              <w:rPr>
                <w:noProof/>
              </w:rPr>
              <w:t>P5C1I3 : Catégorie: Éolien en mer en Åland</w:t>
            </w:r>
          </w:p>
        </w:tc>
        <w:tc>
          <w:tcPr>
            <w:tcW w:w="1166" w:type="dxa"/>
            <w:tcBorders>
              <w:top w:val="single" w:sz="4" w:space="0" w:color="auto"/>
              <w:left w:val="nil"/>
              <w:bottom w:val="single" w:sz="4" w:space="0" w:color="auto"/>
              <w:right w:val="single" w:sz="4" w:space="0" w:color="auto"/>
            </w:tcBorders>
            <w:shd w:val="clear" w:color="auto" w:fill="C6EFCE"/>
            <w:noWrap/>
          </w:tcPr>
          <w:p w14:paraId="63994530" w14:textId="77777777" w:rsidR="003D7F65" w:rsidRDefault="0082041E">
            <w:pPr>
              <w:pStyle w:val="P68B1DB1-Normal8"/>
              <w:spacing w:after="0" w:line="240" w:lineRule="auto"/>
              <w:rPr>
                <w:noProof/>
              </w:rPr>
            </w:pPr>
            <w:r>
              <w:rPr>
                <w:noProof/>
              </w:rPr>
              <w:t>Étape</w:t>
            </w:r>
          </w:p>
        </w:tc>
        <w:tc>
          <w:tcPr>
            <w:tcW w:w="1289" w:type="dxa"/>
            <w:tcBorders>
              <w:top w:val="single" w:sz="4" w:space="0" w:color="auto"/>
              <w:left w:val="nil"/>
              <w:bottom w:val="single" w:sz="4" w:space="0" w:color="auto"/>
              <w:right w:val="single" w:sz="4" w:space="0" w:color="auto"/>
            </w:tcBorders>
            <w:shd w:val="clear" w:color="auto" w:fill="C6EFCE"/>
            <w:noWrap/>
          </w:tcPr>
          <w:p w14:paraId="0A00268C" w14:textId="77777777" w:rsidR="003D7F65" w:rsidRDefault="0082041E">
            <w:pPr>
              <w:pStyle w:val="P68B1DB1-Normal8"/>
              <w:spacing w:after="0" w:line="240" w:lineRule="auto"/>
              <w:rPr>
                <w:noProof/>
              </w:rPr>
            </w:pPr>
            <w:r>
              <w:rPr>
                <w:noProof/>
              </w:rPr>
              <w:t>Remise des rapports</w:t>
            </w:r>
          </w:p>
        </w:tc>
        <w:tc>
          <w:tcPr>
            <w:tcW w:w="1424" w:type="dxa"/>
            <w:tcBorders>
              <w:top w:val="single" w:sz="4" w:space="0" w:color="auto"/>
              <w:left w:val="nil"/>
              <w:bottom w:val="single" w:sz="4" w:space="0" w:color="auto"/>
              <w:right w:val="single" w:sz="4" w:space="0" w:color="auto"/>
            </w:tcBorders>
            <w:shd w:val="clear" w:color="auto" w:fill="C6EFCE"/>
            <w:noWrap/>
          </w:tcPr>
          <w:p w14:paraId="42D36FBF" w14:textId="77777777" w:rsidR="003D7F65" w:rsidRDefault="0082041E">
            <w:pPr>
              <w:pStyle w:val="P68B1DB1-Normal8"/>
              <w:spacing w:after="0" w:line="240" w:lineRule="auto"/>
              <w:rPr>
                <w:noProof/>
              </w:rPr>
            </w:pPr>
            <w:r>
              <w:rPr>
                <w:noProof/>
              </w:rPr>
              <w:t>Remise des rapports</w:t>
            </w:r>
          </w:p>
        </w:tc>
        <w:tc>
          <w:tcPr>
            <w:tcW w:w="972" w:type="dxa"/>
            <w:tcBorders>
              <w:top w:val="single" w:sz="4" w:space="0" w:color="auto"/>
              <w:left w:val="nil"/>
              <w:bottom w:val="single" w:sz="4" w:space="0" w:color="auto"/>
              <w:right w:val="single" w:sz="4" w:space="0" w:color="auto"/>
            </w:tcBorders>
            <w:shd w:val="clear" w:color="auto" w:fill="C6EFCE"/>
            <w:noWrap/>
          </w:tcPr>
          <w:p w14:paraId="4472D6A4" w14:textId="77777777" w:rsidR="003D7F65" w:rsidRDefault="003D7F65">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04A12CC5" w14:textId="77777777" w:rsidR="003D7F65" w:rsidRDefault="003D7F65">
            <w:pPr>
              <w:spacing w:after="0" w:line="240" w:lineRule="auto"/>
              <w:jc w:val="center"/>
              <w:rPr>
                <w:rFonts w:ascii="Times New Roman" w:hAnsi="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363F3737" w14:textId="77777777" w:rsidR="003D7F65" w:rsidRDefault="003D7F65">
            <w:pPr>
              <w:spacing w:after="0" w:line="240" w:lineRule="auto"/>
              <w:jc w:val="center"/>
              <w:rPr>
                <w:rFonts w:ascii="Times New Roman" w:hAnsi="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Pr>
          <w:p w14:paraId="323614EB" w14:textId="77777777" w:rsidR="003D7F65" w:rsidRDefault="0082041E">
            <w:pPr>
              <w:pStyle w:val="P68B1DB1-Normal8"/>
              <w:spacing w:after="0" w:line="240" w:lineRule="auto"/>
              <w:jc w:val="center"/>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noWrap/>
          </w:tcPr>
          <w:p w14:paraId="5FCD5057" w14:textId="77777777" w:rsidR="003D7F65" w:rsidRDefault="0082041E">
            <w:pPr>
              <w:pStyle w:val="P68B1DB1-Normal8"/>
              <w:spacing w:after="0" w:line="240" w:lineRule="auto"/>
              <w:jc w:val="center"/>
              <w:rPr>
                <w:noProof/>
              </w:rPr>
            </w:pPr>
            <w:r>
              <w:rPr>
                <w:noProof/>
              </w:rPr>
              <w:t>2026</w:t>
            </w:r>
          </w:p>
        </w:tc>
        <w:tc>
          <w:tcPr>
            <w:tcW w:w="4110" w:type="dxa"/>
            <w:tcBorders>
              <w:top w:val="single" w:sz="4" w:space="0" w:color="auto"/>
              <w:left w:val="nil"/>
              <w:bottom w:val="single" w:sz="4" w:space="0" w:color="auto"/>
              <w:right w:val="single" w:sz="4" w:space="0" w:color="auto"/>
            </w:tcBorders>
            <w:shd w:val="clear" w:color="auto" w:fill="C6EFCE"/>
            <w:noWrap/>
          </w:tcPr>
          <w:p w14:paraId="628FF2B2" w14:textId="7228C539" w:rsidR="003D7F65" w:rsidRDefault="0082041E">
            <w:pPr>
              <w:pStyle w:val="P68B1DB1-Normal8"/>
              <w:spacing w:after="0" w:line="240" w:lineRule="auto"/>
              <w:rPr>
                <w:noProof/>
                <w:u w:val="single"/>
              </w:rPr>
            </w:pPr>
            <w:r>
              <w:rPr>
                <w:noProof/>
              </w:rPr>
              <w:t>Les rapports sur l’énergie éolienne en mer d’Åland sont fournis, couvrant au moins les domaines suivants: i) le marché émergent de l’hydrogène et l’intégration future au potentiel éolien et ii) les solutions visant à intégrer le potentiel éolien et le transfert transfrontalier d’électricité et d’hydrogène potentiel futur en provenance d’Åland.</w:t>
            </w:r>
          </w:p>
        </w:tc>
      </w:tr>
    </w:tbl>
    <w:p w14:paraId="1728EACD" w14:textId="77777777" w:rsidR="003D7F65" w:rsidRDefault="003D7F65">
      <w:pPr>
        <w:spacing w:before="120" w:after="120" w:line="240" w:lineRule="auto"/>
        <w:jc w:val="both"/>
        <w:rPr>
          <w:rFonts w:ascii="Times New Roman" w:hAnsi="Times New Roman"/>
          <w:b/>
          <w:bCs/>
          <w:noProof/>
          <w:sz w:val="24"/>
          <w:u w:val="single"/>
        </w:rPr>
        <w:sectPr w:rsidR="003D7F65" w:rsidSect="00A7081A">
          <w:headerReference w:type="even" r:id="rId176"/>
          <w:headerReference w:type="default" r:id="rId177"/>
          <w:footerReference w:type="even" r:id="rId178"/>
          <w:footerReference w:type="default" r:id="rId179"/>
          <w:headerReference w:type="first" r:id="rId180"/>
          <w:footerReference w:type="first" r:id="rId181"/>
          <w:pgSz w:w="16839" w:h="11907" w:orient="landscape"/>
          <w:pgMar w:top="1134" w:right="1134" w:bottom="1134" w:left="1134" w:header="567" w:footer="567" w:gutter="0"/>
          <w:cols w:space="720"/>
          <w:docGrid w:linePitch="360"/>
        </w:sectPr>
      </w:pPr>
    </w:p>
    <w:p w14:paraId="17C48315" w14:textId="77777777" w:rsidR="003D7F65" w:rsidRDefault="0082041E">
      <w:pPr>
        <w:pStyle w:val="Heading2"/>
        <w:numPr>
          <w:ilvl w:val="0"/>
          <w:numId w:val="23"/>
        </w:numPr>
        <w:spacing w:after="240"/>
        <w:ind w:left="0" w:firstLine="0"/>
        <w:rPr>
          <w:noProof/>
        </w:rPr>
      </w:pPr>
      <w:r>
        <w:rPr>
          <w:noProof/>
        </w:rPr>
        <w:t>Coût total estimé du plan pour la reprise et la résilience</w:t>
      </w:r>
    </w:p>
    <w:p w14:paraId="68E5707A" w14:textId="1F4659D1" w:rsidR="003D7F65" w:rsidRDefault="0082041E">
      <w:pPr>
        <w:pStyle w:val="P68B1DB1-Normal3"/>
        <w:spacing w:before="120" w:after="120" w:line="240" w:lineRule="auto"/>
        <w:jc w:val="both"/>
        <w:rPr>
          <w:noProof/>
        </w:rPr>
      </w:pPr>
      <w:r>
        <w:rPr>
          <w:noProof/>
        </w:rPr>
        <w:t>Le coût total du plan pour la reprise et la résilience de la Finlande est estimé à 1</w:t>
      </w:r>
      <w:bookmarkStart w:id="13" w:name="_Hlk200531275"/>
      <w:r>
        <w:rPr>
          <w:noProof/>
        </w:rPr>
        <w:t> </w:t>
      </w:r>
      <w:bookmarkEnd w:id="13"/>
      <w:r>
        <w:rPr>
          <w:noProof/>
        </w:rPr>
        <w:t>949 227 000 EUR.</w:t>
      </w:r>
    </w:p>
    <w:p w14:paraId="4518ECD5" w14:textId="411D44B1" w:rsidR="003D7F65" w:rsidRDefault="0082041E">
      <w:pPr>
        <w:pStyle w:val="P68B1DB1-Normal3"/>
        <w:jc w:val="both"/>
        <w:rPr>
          <w:noProof/>
        </w:rPr>
      </w:pPr>
      <w:r>
        <w:rPr>
          <w:noProof/>
        </w:rPr>
        <w:t>Le coût total du chapitre REPowerEU est estimé à 127 090 000 EUR. En particulier, le coût total estimé des mesures visées à l’article 21 quater, paragraphe 3, points b) à e), du règlement (UE) 2023/435 est de 127 090 000 EUR. Aucune mesure relevant du PRR finlandais modifié, y compris le chapitre REPowerEU, ne relève de l’article 21 quater, paragraphe 3, point a), du règlement (UE) 2021/241.</w:t>
      </w:r>
    </w:p>
    <w:p w14:paraId="5CFC1524" w14:textId="63323936" w:rsidR="003D7F65" w:rsidRDefault="0082041E">
      <w:pPr>
        <w:pStyle w:val="Heading1"/>
        <w:numPr>
          <w:ilvl w:val="0"/>
          <w:numId w:val="0"/>
        </w:numPr>
        <w:rPr>
          <w:noProof/>
        </w:rPr>
      </w:pPr>
      <w:r>
        <w:rPr>
          <w:noProof/>
        </w:rPr>
        <w:t>SECTION 2: SOUTIEN FINANCIER</w:t>
      </w:r>
    </w:p>
    <w:p w14:paraId="4DC3E696" w14:textId="1AE11830" w:rsidR="003D7F65" w:rsidRDefault="0082041E">
      <w:pPr>
        <w:pStyle w:val="P68B1DB1-NumPar128"/>
        <w:numPr>
          <w:ilvl w:val="0"/>
          <w:numId w:val="31"/>
        </w:numPr>
        <w:rPr>
          <w:noProof/>
        </w:rPr>
      </w:pPr>
      <w:r>
        <w:rPr>
          <w:noProof/>
        </w:rPr>
        <w:t>Contribution financière</w:t>
      </w:r>
    </w:p>
    <w:p w14:paraId="6F71E088" w14:textId="77777777" w:rsidR="003D7F65" w:rsidRDefault="003D7F65">
      <w:pPr>
        <w:pStyle w:val="Text1"/>
        <w:rPr>
          <w:noProof/>
          <w:sz w:val="20"/>
          <w:szCs w:val="20"/>
        </w:rPr>
      </w:pPr>
    </w:p>
    <w:p w14:paraId="7EBFABA7" w14:textId="77777777" w:rsidR="003D7F65" w:rsidRDefault="0082041E">
      <w:pPr>
        <w:pStyle w:val="P68B1DB1-Normal3"/>
        <w:spacing w:before="120" w:after="120" w:line="240" w:lineRule="auto"/>
        <w:jc w:val="both"/>
        <w:rPr>
          <w:noProof/>
        </w:rPr>
      </w:pPr>
      <w:r>
        <w:rPr>
          <w:noProof/>
        </w:rPr>
        <w:t>Les tranches visées à l'article 2, paragraphe 2, sont organisées de la manière suivante:</w:t>
      </w:r>
    </w:p>
    <w:p w14:paraId="1A291564" w14:textId="77777777" w:rsidR="003D7F65" w:rsidRDefault="003D7F65">
      <w:pPr>
        <w:spacing w:before="120" w:after="120" w:line="240" w:lineRule="auto"/>
        <w:jc w:val="both"/>
        <w:rPr>
          <w:rFonts w:ascii="Times New Roman" w:hAnsi="Times New Roman"/>
          <w:noProof/>
          <w:sz w:val="24"/>
          <w:szCs w:val="24"/>
        </w:rPr>
      </w:pPr>
    </w:p>
    <w:p w14:paraId="35264A36" w14:textId="77777777" w:rsidR="003D7F65" w:rsidRDefault="0082041E">
      <w:pPr>
        <w:pStyle w:val="P68B1DB1-Normal4"/>
        <w:numPr>
          <w:ilvl w:val="1"/>
          <w:numId w:val="32"/>
        </w:numPr>
        <w:spacing w:before="120" w:after="120" w:line="240" w:lineRule="auto"/>
        <w:jc w:val="both"/>
        <w:rPr>
          <w:noProof/>
          <w:u w:val="single"/>
        </w:rPr>
      </w:pPr>
      <w:r>
        <w:rPr>
          <w:noProof/>
        </w:rPr>
        <w:t>Première tranche (soutien non remboursable):</w:t>
      </w:r>
    </w:p>
    <w:tbl>
      <w:tblPr>
        <w:tblW w:w="9063" w:type="dxa"/>
        <w:jc w:val="center"/>
        <w:tblLook w:val="04A0" w:firstRow="1" w:lastRow="0" w:firstColumn="1" w:lastColumn="0" w:noHBand="0" w:noVBand="1"/>
      </w:tblPr>
      <w:tblGrid>
        <w:gridCol w:w="1129"/>
        <w:gridCol w:w="3306"/>
        <w:gridCol w:w="1255"/>
        <w:gridCol w:w="3373"/>
      </w:tblGrid>
      <w:tr w:rsidR="003D7F65" w14:paraId="0C090C07" w14:textId="77777777">
        <w:trPr>
          <w:trHeight w:val="1021"/>
          <w:tblHeader/>
          <w:jc w:val="center"/>
        </w:trPr>
        <w:tc>
          <w:tcPr>
            <w:tcW w:w="1129"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F9CBE4" w14:textId="77777777" w:rsidR="003D7F65" w:rsidRDefault="0082041E">
            <w:pPr>
              <w:pStyle w:val="P68B1DB1-Normal7"/>
              <w:spacing w:after="0" w:line="240" w:lineRule="auto"/>
              <w:jc w:val="center"/>
              <w:rPr>
                <w:bCs/>
                <w:noProof/>
              </w:rPr>
            </w:pPr>
            <w:r>
              <w:rPr>
                <w:noProof/>
              </w:rPr>
              <w:t>Numéro</w:t>
            </w:r>
          </w:p>
        </w:tc>
        <w:tc>
          <w:tcPr>
            <w:tcW w:w="33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20FAE3D" w14:textId="77777777" w:rsidR="003D7F65" w:rsidRDefault="0082041E">
            <w:pPr>
              <w:pStyle w:val="P68B1DB1-Normal7"/>
              <w:spacing w:after="0" w:line="240" w:lineRule="auto"/>
              <w:jc w:val="center"/>
              <w:rPr>
                <w:bCs/>
                <w:noProof/>
              </w:rPr>
            </w:pPr>
            <w:r>
              <w:rPr>
                <w:noProof/>
              </w:rPr>
              <w:t>Mesure connexe (réforme ou investissement)</w:t>
            </w:r>
          </w:p>
        </w:tc>
        <w:tc>
          <w:tcPr>
            <w:tcW w:w="125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E9C2DC7" w14:textId="77777777" w:rsidR="003D7F65" w:rsidRDefault="0082041E">
            <w:pPr>
              <w:pStyle w:val="P68B1DB1-Normal7"/>
              <w:spacing w:after="0" w:line="240" w:lineRule="auto"/>
              <w:jc w:val="center"/>
              <w:rPr>
                <w:bCs/>
                <w:noProof/>
              </w:rPr>
            </w:pPr>
            <w:r>
              <w:rPr>
                <w:noProof/>
              </w:rPr>
              <w:t>Étape/cible</w:t>
            </w:r>
          </w:p>
        </w:tc>
        <w:tc>
          <w:tcPr>
            <w:tcW w:w="3373" w:type="dxa"/>
            <w:tcBorders>
              <w:top w:val="single" w:sz="4" w:space="0" w:color="auto"/>
              <w:left w:val="nil"/>
              <w:bottom w:val="single" w:sz="4" w:space="0" w:color="000000" w:themeColor="text1"/>
              <w:right w:val="single" w:sz="4" w:space="0" w:color="auto"/>
            </w:tcBorders>
            <w:shd w:val="clear" w:color="auto" w:fill="BDD7EE"/>
            <w:vAlign w:val="center"/>
            <w:hideMark/>
          </w:tcPr>
          <w:p w14:paraId="78952067" w14:textId="77777777" w:rsidR="003D7F65" w:rsidRDefault="0082041E">
            <w:pPr>
              <w:pStyle w:val="P68B1DB1-Normal7"/>
              <w:spacing w:after="0" w:line="240" w:lineRule="auto"/>
              <w:jc w:val="center"/>
              <w:rPr>
                <w:bCs/>
                <w:noProof/>
              </w:rPr>
            </w:pPr>
            <w:r>
              <w:rPr>
                <w:noProof/>
              </w:rPr>
              <w:t>Nom</w:t>
            </w:r>
          </w:p>
        </w:tc>
      </w:tr>
      <w:tr w:rsidR="003D7F65" w14:paraId="19BE7B11"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21F1EB7" w14:textId="77777777" w:rsidR="003D7F65" w:rsidRDefault="0082041E">
            <w:pPr>
              <w:pStyle w:val="P68B1DB1-Normal13"/>
              <w:spacing w:after="0" w:line="240" w:lineRule="auto"/>
              <w:rPr>
                <w:noProof/>
              </w:rPr>
            </w:pPr>
            <w:r>
              <w:rPr>
                <w:noProof/>
              </w:rPr>
              <w:t>2</w:t>
            </w:r>
          </w:p>
        </w:tc>
        <w:tc>
          <w:tcPr>
            <w:tcW w:w="3306" w:type="dxa"/>
            <w:tcBorders>
              <w:top w:val="nil"/>
              <w:left w:val="nil"/>
              <w:bottom w:val="single" w:sz="4" w:space="0" w:color="auto"/>
              <w:right w:val="single" w:sz="4" w:space="0" w:color="auto"/>
            </w:tcBorders>
            <w:shd w:val="clear" w:color="auto" w:fill="C6EFCE"/>
            <w:noWrap/>
            <w:vAlign w:val="center"/>
          </w:tcPr>
          <w:p w14:paraId="0EEA38D6" w14:textId="77777777" w:rsidR="003D7F65" w:rsidRDefault="0082041E">
            <w:pPr>
              <w:pStyle w:val="P68B1DB1-Normal13"/>
              <w:rPr>
                <w:noProof/>
              </w:rPr>
            </w:pPr>
            <w:r>
              <w:rPr>
                <w:noProof/>
              </w:rPr>
              <w:t>P1C1R2 - Transformation du système énergétique - Réforme de la taxation de l'énergie pour tenir compte des évolutions technologiques</w:t>
            </w:r>
          </w:p>
        </w:tc>
        <w:tc>
          <w:tcPr>
            <w:tcW w:w="1255" w:type="dxa"/>
            <w:tcBorders>
              <w:top w:val="nil"/>
              <w:left w:val="nil"/>
              <w:bottom w:val="single" w:sz="4" w:space="0" w:color="auto"/>
              <w:right w:val="single" w:sz="4" w:space="0" w:color="auto"/>
            </w:tcBorders>
            <w:shd w:val="clear" w:color="auto" w:fill="C6EFCE"/>
            <w:noWrap/>
            <w:vAlign w:val="center"/>
          </w:tcPr>
          <w:p w14:paraId="4A9321DD"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0986F700" w14:textId="0D2AF7BA" w:rsidR="003D7F65" w:rsidRDefault="0082041E">
            <w:pPr>
              <w:pStyle w:val="P68B1DB1-Normal13"/>
              <w:rPr>
                <w:noProof/>
              </w:rPr>
            </w:pPr>
            <w:r>
              <w:rPr>
                <w:noProof/>
              </w:rPr>
              <w:t>Entrée en vigueur de la loi sur l'accise sur l'électricité et certains combustibles</w:t>
            </w:r>
          </w:p>
        </w:tc>
      </w:tr>
      <w:tr w:rsidR="003D7F65" w14:paraId="1FD1BC3C"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B83FA44" w14:textId="77777777" w:rsidR="003D7F65" w:rsidRDefault="0082041E">
            <w:pPr>
              <w:pStyle w:val="P68B1DB1-Normal13"/>
              <w:spacing w:line="240" w:lineRule="auto"/>
              <w:rPr>
                <w:noProof/>
              </w:rPr>
            </w:pPr>
            <w:r>
              <w:rPr>
                <w:noProof/>
              </w:rPr>
              <w:t>3</w:t>
            </w:r>
          </w:p>
        </w:tc>
        <w:tc>
          <w:tcPr>
            <w:tcW w:w="3306" w:type="dxa"/>
            <w:tcBorders>
              <w:top w:val="nil"/>
              <w:left w:val="nil"/>
              <w:bottom w:val="single" w:sz="4" w:space="0" w:color="auto"/>
              <w:right w:val="single" w:sz="4" w:space="0" w:color="auto"/>
            </w:tcBorders>
            <w:shd w:val="clear" w:color="auto" w:fill="C6EFCE"/>
            <w:noWrap/>
            <w:vAlign w:val="center"/>
          </w:tcPr>
          <w:p w14:paraId="5124DA4B" w14:textId="77777777" w:rsidR="003D7F65" w:rsidRDefault="0082041E">
            <w:pPr>
              <w:pStyle w:val="P68B1DB1-Normal13"/>
              <w:rPr>
                <w:noProof/>
              </w:rPr>
            </w:pPr>
            <w:r>
              <w:rPr>
                <w:noProof/>
              </w:rPr>
              <w:t>P1C1I1 – Transformation du système énergétique – Investissements dans les infrastructures énergétiques</w:t>
            </w:r>
          </w:p>
        </w:tc>
        <w:tc>
          <w:tcPr>
            <w:tcW w:w="1255" w:type="dxa"/>
            <w:tcBorders>
              <w:top w:val="nil"/>
              <w:left w:val="nil"/>
              <w:bottom w:val="single" w:sz="4" w:space="0" w:color="auto"/>
              <w:right w:val="single" w:sz="4" w:space="0" w:color="auto"/>
            </w:tcBorders>
            <w:shd w:val="clear" w:color="auto" w:fill="C6EFCE"/>
            <w:noWrap/>
            <w:vAlign w:val="center"/>
          </w:tcPr>
          <w:p w14:paraId="0DD7560D"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190CEC4B" w14:textId="77777777" w:rsidR="003D7F65" w:rsidRDefault="0082041E">
            <w:pPr>
              <w:pStyle w:val="P68B1DB1-Normal13"/>
              <w:rPr>
                <w:noProof/>
              </w:rPr>
            </w:pPr>
            <w:r>
              <w:rPr>
                <w:noProof/>
              </w:rPr>
              <w:t>Publication du premier appel à candidatures pour des projets d'infrastructures énergétiques</w:t>
            </w:r>
          </w:p>
        </w:tc>
      </w:tr>
      <w:tr w:rsidR="003D7F65" w14:paraId="36BED20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C2F0C1C" w14:textId="77777777" w:rsidR="003D7F65" w:rsidRDefault="0082041E">
            <w:pPr>
              <w:pStyle w:val="P68B1DB1-Normal13"/>
              <w:spacing w:line="240" w:lineRule="auto"/>
              <w:rPr>
                <w:noProof/>
              </w:rPr>
            </w:pPr>
            <w:r>
              <w:rPr>
                <w:noProof/>
              </w:rPr>
              <w:t>6</w:t>
            </w:r>
          </w:p>
        </w:tc>
        <w:tc>
          <w:tcPr>
            <w:tcW w:w="3306" w:type="dxa"/>
            <w:tcBorders>
              <w:top w:val="nil"/>
              <w:left w:val="nil"/>
              <w:bottom w:val="single" w:sz="4" w:space="0" w:color="auto"/>
              <w:right w:val="single" w:sz="4" w:space="0" w:color="auto"/>
            </w:tcBorders>
            <w:shd w:val="clear" w:color="auto" w:fill="C6EFCE"/>
            <w:noWrap/>
            <w:vAlign w:val="center"/>
          </w:tcPr>
          <w:p w14:paraId="43F05E7F" w14:textId="77777777" w:rsidR="003D7F65" w:rsidRDefault="0082041E">
            <w:pPr>
              <w:pStyle w:val="P68B1DB1-Normal13"/>
              <w:rPr>
                <w:noProof/>
              </w:rPr>
            </w:pPr>
            <w:r>
              <w:rPr>
                <w:noProof/>
              </w:rPr>
              <w:t>P1C1I2 – Transformation du système énergétique – Investissements dans les nouvelles technologies énergétiques</w:t>
            </w:r>
          </w:p>
        </w:tc>
        <w:tc>
          <w:tcPr>
            <w:tcW w:w="1255" w:type="dxa"/>
            <w:tcBorders>
              <w:top w:val="nil"/>
              <w:left w:val="nil"/>
              <w:bottom w:val="single" w:sz="4" w:space="0" w:color="auto"/>
              <w:right w:val="single" w:sz="4" w:space="0" w:color="auto"/>
            </w:tcBorders>
            <w:shd w:val="clear" w:color="auto" w:fill="C6EFCE"/>
            <w:noWrap/>
            <w:vAlign w:val="center"/>
          </w:tcPr>
          <w:p w14:paraId="7765FD2F"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1EAEE61E" w14:textId="77777777" w:rsidR="003D7F65" w:rsidRDefault="0082041E">
            <w:pPr>
              <w:pStyle w:val="P68B1DB1-Normal13"/>
              <w:rPr>
                <w:noProof/>
              </w:rPr>
            </w:pPr>
            <w:r>
              <w:rPr>
                <w:noProof/>
              </w:rPr>
              <w:t>Publication du premier appel à candidatures pour des investissements dans les nouvelles technologies énergétiques</w:t>
            </w:r>
          </w:p>
        </w:tc>
      </w:tr>
      <w:tr w:rsidR="003D7F65" w14:paraId="00C03BCE"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18D5606" w14:textId="77777777" w:rsidR="003D7F65" w:rsidRDefault="0082041E">
            <w:pPr>
              <w:pStyle w:val="P68B1DB1-Normal13"/>
              <w:spacing w:line="240" w:lineRule="auto"/>
              <w:rPr>
                <w:noProof/>
              </w:rPr>
            </w:pPr>
            <w:r>
              <w:rPr>
                <w:noProof/>
              </w:rPr>
              <w:t>14</w:t>
            </w:r>
          </w:p>
        </w:tc>
        <w:tc>
          <w:tcPr>
            <w:tcW w:w="3306" w:type="dxa"/>
            <w:tcBorders>
              <w:top w:val="nil"/>
              <w:left w:val="nil"/>
              <w:bottom w:val="single" w:sz="4" w:space="0" w:color="auto"/>
              <w:right w:val="single" w:sz="4" w:space="0" w:color="auto"/>
            </w:tcBorders>
            <w:shd w:val="clear" w:color="auto" w:fill="C6EFCE"/>
            <w:noWrap/>
            <w:vAlign w:val="center"/>
          </w:tcPr>
          <w:p w14:paraId="362A1672" w14:textId="77777777" w:rsidR="003D7F65" w:rsidRDefault="0082041E">
            <w:pPr>
              <w:pStyle w:val="P68B1DB1-Normal13"/>
              <w:rPr>
                <w:noProof/>
              </w:rPr>
            </w:pPr>
            <w:r>
              <w:rPr>
                <w:noProof/>
              </w:rPr>
              <w:t>P1C2R2 – Réformes industrielles et investissements soutenant la transition écologique et numérique – Promotion stratégique de l’économie circulaire et réforme de la législation sur les déchets</w:t>
            </w:r>
          </w:p>
        </w:tc>
        <w:tc>
          <w:tcPr>
            <w:tcW w:w="1255" w:type="dxa"/>
            <w:tcBorders>
              <w:top w:val="nil"/>
              <w:left w:val="nil"/>
              <w:bottom w:val="single" w:sz="4" w:space="0" w:color="auto"/>
              <w:right w:val="single" w:sz="4" w:space="0" w:color="auto"/>
            </w:tcBorders>
            <w:shd w:val="clear" w:color="auto" w:fill="C6EFCE"/>
            <w:noWrap/>
            <w:vAlign w:val="center"/>
          </w:tcPr>
          <w:p w14:paraId="07ABED55"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69BC8827" w14:textId="77777777" w:rsidR="003D7F65" w:rsidRDefault="0082041E">
            <w:pPr>
              <w:pStyle w:val="P68B1DB1-Normal13"/>
              <w:rPr>
                <w:noProof/>
              </w:rPr>
            </w:pPr>
            <w:r>
              <w:rPr>
                <w:noProof/>
              </w:rPr>
              <w:t>Adoption de la résolution du Gouvernement sur la mise en œuvre du Programme stratégique pour une économie circulaire</w:t>
            </w:r>
          </w:p>
        </w:tc>
      </w:tr>
      <w:tr w:rsidR="003D7F65" w14:paraId="45E6A8E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9C2F612" w14:textId="77777777" w:rsidR="003D7F65" w:rsidRDefault="0082041E">
            <w:pPr>
              <w:pStyle w:val="P68B1DB1-Normal13"/>
              <w:spacing w:line="240" w:lineRule="auto"/>
              <w:rPr>
                <w:noProof/>
              </w:rPr>
            </w:pPr>
            <w:r>
              <w:rPr>
                <w:noProof/>
              </w:rPr>
              <w:t>16</w:t>
            </w:r>
          </w:p>
        </w:tc>
        <w:tc>
          <w:tcPr>
            <w:tcW w:w="3306" w:type="dxa"/>
            <w:tcBorders>
              <w:top w:val="nil"/>
              <w:left w:val="nil"/>
              <w:bottom w:val="single" w:sz="4" w:space="0" w:color="auto"/>
              <w:right w:val="single" w:sz="4" w:space="0" w:color="auto"/>
            </w:tcBorders>
            <w:shd w:val="clear" w:color="auto" w:fill="C6EFCE"/>
            <w:noWrap/>
            <w:vAlign w:val="center"/>
          </w:tcPr>
          <w:p w14:paraId="7766FF22" w14:textId="77777777" w:rsidR="003D7F65" w:rsidRDefault="0082041E">
            <w:pPr>
              <w:pStyle w:val="P68B1DB1-Normal13"/>
              <w:rPr>
                <w:noProof/>
              </w:rPr>
            </w:pPr>
            <w:r>
              <w:rPr>
                <w:noProof/>
              </w:rPr>
              <w:t>P1C2I1 – Réformes industrielles et investissements à l’appui de la transition écologique et numérique – Hydrogène bas carbone et captage et utilisation du carbone</w:t>
            </w:r>
          </w:p>
        </w:tc>
        <w:tc>
          <w:tcPr>
            <w:tcW w:w="1255" w:type="dxa"/>
            <w:tcBorders>
              <w:top w:val="nil"/>
              <w:left w:val="nil"/>
              <w:bottom w:val="single" w:sz="4" w:space="0" w:color="auto"/>
              <w:right w:val="single" w:sz="4" w:space="0" w:color="auto"/>
            </w:tcBorders>
            <w:shd w:val="clear" w:color="auto" w:fill="C6EFCE"/>
            <w:noWrap/>
            <w:vAlign w:val="center"/>
          </w:tcPr>
          <w:p w14:paraId="4556A48D"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27F38FF6" w14:textId="77777777" w:rsidR="003D7F65" w:rsidRDefault="0082041E">
            <w:pPr>
              <w:pStyle w:val="P68B1DB1-Normal13"/>
              <w:rPr>
                <w:noProof/>
              </w:rPr>
            </w:pPr>
            <w:r>
              <w:rPr>
                <w:noProof/>
              </w:rPr>
              <w:t>Publication du premier appel à candidatures national pour la production et l’utilisation d’hydrogène à faibles émissions ainsi que pour le captage et l’utilisation du dioxyde de carbone</w:t>
            </w:r>
          </w:p>
        </w:tc>
      </w:tr>
      <w:tr w:rsidR="003D7F65" w14:paraId="4F2202D0"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CEBA720" w14:textId="77777777" w:rsidR="003D7F65" w:rsidRDefault="0082041E">
            <w:pPr>
              <w:pStyle w:val="P68B1DB1-Normal13"/>
              <w:spacing w:line="240" w:lineRule="auto"/>
              <w:rPr>
                <w:noProof/>
              </w:rPr>
            </w:pPr>
            <w:r>
              <w:rPr>
                <w:noProof/>
              </w:rPr>
              <w:t>19</w:t>
            </w:r>
          </w:p>
        </w:tc>
        <w:tc>
          <w:tcPr>
            <w:tcW w:w="3306" w:type="dxa"/>
            <w:tcBorders>
              <w:top w:val="nil"/>
              <w:left w:val="nil"/>
              <w:bottom w:val="single" w:sz="4" w:space="0" w:color="auto"/>
              <w:right w:val="single" w:sz="4" w:space="0" w:color="auto"/>
            </w:tcBorders>
            <w:shd w:val="clear" w:color="auto" w:fill="C6EFCE"/>
            <w:noWrap/>
            <w:vAlign w:val="center"/>
          </w:tcPr>
          <w:p w14:paraId="37774959" w14:textId="77777777" w:rsidR="003D7F65" w:rsidRDefault="0082041E">
            <w:pPr>
              <w:pStyle w:val="P68B1DB1-Normal13"/>
              <w:rPr>
                <w:noProof/>
              </w:rPr>
            </w:pPr>
            <w:r>
              <w:rPr>
                <w:noProof/>
              </w:rPr>
              <w:t>P1C2I2 – Réformes industrielles et investissements soutenant la transition écologique et numérique – Électrification directe et décarbonation des processus industriels</w:t>
            </w:r>
          </w:p>
        </w:tc>
        <w:tc>
          <w:tcPr>
            <w:tcW w:w="1255" w:type="dxa"/>
            <w:tcBorders>
              <w:top w:val="nil"/>
              <w:left w:val="nil"/>
              <w:bottom w:val="single" w:sz="4" w:space="0" w:color="auto"/>
              <w:right w:val="single" w:sz="4" w:space="0" w:color="auto"/>
            </w:tcBorders>
            <w:shd w:val="clear" w:color="auto" w:fill="C6EFCE"/>
            <w:noWrap/>
            <w:vAlign w:val="center"/>
          </w:tcPr>
          <w:p w14:paraId="7645A32F"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689249B1" w14:textId="77777777" w:rsidR="003D7F65" w:rsidRDefault="0082041E">
            <w:pPr>
              <w:pStyle w:val="P68B1DB1-Normal13"/>
              <w:rPr>
                <w:noProof/>
              </w:rPr>
            </w:pPr>
            <w:r>
              <w:rPr>
                <w:noProof/>
              </w:rPr>
              <w:t>Publication du premier appel à propositions pour l’électrification directe et la faible émission de carbone des processus industriels visant à réduire les émissions de CO2 de l’industrie</w:t>
            </w:r>
          </w:p>
        </w:tc>
      </w:tr>
      <w:tr w:rsidR="003D7F65" w14:paraId="64AB0648"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6D2B489" w14:textId="77777777" w:rsidR="003D7F65" w:rsidRDefault="0082041E">
            <w:pPr>
              <w:pStyle w:val="P68B1DB1-Normal13"/>
              <w:rPr>
                <w:noProof/>
              </w:rPr>
            </w:pPr>
            <w:r>
              <w:rPr>
                <w:noProof/>
              </w:rPr>
              <w:t>22</w:t>
            </w:r>
          </w:p>
        </w:tc>
        <w:tc>
          <w:tcPr>
            <w:tcW w:w="3306" w:type="dxa"/>
            <w:tcBorders>
              <w:top w:val="nil"/>
              <w:left w:val="nil"/>
              <w:bottom w:val="single" w:sz="4" w:space="0" w:color="auto"/>
              <w:right w:val="single" w:sz="4" w:space="0" w:color="auto"/>
            </w:tcBorders>
            <w:shd w:val="clear" w:color="auto" w:fill="C6EFCE"/>
            <w:noWrap/>
            <w:vAlign w:val="center"/>
          </w:tcPr>
          <w:p w14:paraId="3C64D6D8" w14:textId="77777777" w:rsidR="003D7F65" w:rsidRDefault="0082041E">
            <w:pPr>
              <w:pStyle w:val="P68B1DB1-Normal13"/>
              <w:rPr>
                <w:noProof/>
              </w:rPr>
            </w:pPr>
            <w:r>
              <w:rPr>
                <w:noProof/>
              </w:rPr>
              <w:t>P1C2I3 – Réformes industrielles et investissements à l’appui de la transition écologique et numérique – Réutilisation et recyclage des matériaux clés et des flux secondaires industriels</w:t>
            </w:r>
          </w:p>
        </w:tc>
        <w:tc>
          <w:tcPr>
            <w:tcW w:w="1255" w:type="dxa"/>
            <w:tcBorders>
              <w:top w:val="nil"/>
              <w:left w:val="nil"/>
              <w:bottom w:val="single" w:sz="4" w:space="0" w:color="auto"/>
              <w:right w:val="single" w:sz="4" w:space="0" w:color="auto"/>
            </w:tcBorders>
            <w:shd w:val="clear" w:color="auto" w:fill="C6EFCE"/>
            <w:noWrap/>
            <w:vAlign w:val="center"/>
          </w:tcPr>
          <w:p w14:paraId="0392E59A"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357F0336" w14:textId="77777777" w:rsidR="003D7F65" w:rsidRDefault="0082041E">
            <w:pPr>
              <w:pStyle w:val="P68B1DB1-Normal13"/>
              <w:rPr>
                <w:noProof/>
              </w:rPr>
            </w:pPr>
            <w:r>
              <w:rPr>
                <w:noProof/>
              </w:rPr>
              <w:t>Publication du premier appel à candidatures pour des projets d’investissement favorisant la réutilisation des déchets et des flux secondaires.</w:t>
            </w:r>
          </w:p>
        </w:tc>
      </w:tr>
      <w:tr w:rsidR="003D7F65" w14:paraId="6AD92108"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01CE5EE" w14:textId="77777777" w:rsidR="003D7F65" w:rsidRDefault="0082041E">
            <w:pPr>
              <w:pStyle w:val="P68B1DB1-Normal13"/>
              <w:spacing w:line="240" w:lineRule="auto"/>
              <w:rPr>
                <w:noProof/>
              </w:rPr>
            </w:pPr>
            <w:r>
              <w:rPr>
                <w:noProof/>
              </w:rPr>
              <w:t>31</w:t>
            </w:r>
          </w:p>
        </w:tc>
        <w:tc>
          <w:tcPr>
            <w:tcW w:w="3306" w:type="dxa"/>
            <w:tcBorders>
              <w:top w:val="nil"/>
              <w:left w:val="nil"/>
              <w:bottom w:val="single" w:sz="4" w:space="0" w:color="auto"/>
              <w:right w:val="single" w:sz="4" w:space="0" w:color="auto"/>
            </w:tcBorders>
            <w:shd w:val="clear" w:color="auto" w:fill="C6EFCE"/>
            <w:noWrap/>
            <w:vAlign w:val="center"/>
          </w:tcPr>
          <w:p w14:paraId="3FAD92E9" w14:textId="77777777" w:rsidR="003D7F65" w:rsidRDefault="0082041E">
            <w:pPr>
              <w:pStyle w:val="P68B1DB1-Normal13"/>
              <w:rPr>
                <w:noProof/>
              </w:rPr>
            </w:pPr>
            <w:r>
              <w:rPr>
                <w:noProof/>
              </w:rPr>
              <w:t>P1C3I2 – Réduction des incidences du parc immobilier sur le climat et l’environnement – Programme pour un environnement bâti à faible intensité de carbone</w:t>
            </w:r>
          </w:p>
        </w:tc>
        <w:tc>
          <w:tcPr>
            <w:tcW w:w="1255" w:type="dxa"/>
            <w:tcBorders>
              <w:top w:val="nil"/>
              <w:left w:val="nil"/>
              <w:bottom w:val="single" w:sz="4" w:space="0" w:color="auto"/>
              <w:right w:val="single" w:sz="4" w:space="0" w:color="auto"/>
            </w:tcBorders>
            <w:shd w:val="clear" w:color="auto" w:fill="C6EFCE"/>
            <w:noWrap/>
            <w:vAlign w:val="center"/>
          </w:tcPr>
          <w:p w14:paraId="00E9B802"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2144E385" w14:textId="77777777" w:rsidR="003D7F65" w:rsidRDefault="0082041E">
            <w:pPr>
              <w:pStyle w:val="P68B1DB1-Normal13"/>
              <w:rPr>
                <w:noProof/>
              </w:rPr>
            </w:pPr>
            <w:r>
              <w:rPr>
                <w:noProof/>
              </w:rPr>
              <w:t>Publication d'un premier appel à candidatures concernant le soutien à un environnement bâti sobre en carbone</w:t>
            </w:r>
          </w:p>
        </w:tc>
      </w:tr>
      <w:tr w:rsidR="003D7F65" w14:paraId="728F07E3"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6D532B2" w14:textId="77777777" w:rsidR="003D7F65" w:rsidRDefault="0082041E">
            <w:pPr>
              <w:pStyle w:val="P68B1DB1-Normal13"/>
              <w:spacing w:line="240" w:lineRule="auto"/>
              <w:rPr>
                <w:noProof/>
              </w:rPr>
            </w:pPr>
            <w:r>
              <w:rPr>
                <w:noProof/>
              </w:rPr>
              <w:t>34</w:t>
            </w:r>
          </w:p>
        </w:tc>
        <w:tc>
          <w:tcPr>
            <w:tcW w:w="3306" w:type="dxa"/>
            <w:tcBorders>
              <w:top w:val="nil"/>
              <w:left w:val="nil"/>
              <w:bottom w:val="single" w:sz="4" w:space="0" w:color="auto"/>
              <w:right w:val="single" w:sz="4" w:space="0" w:color="auto"/>
            </w:tcBorders>
            <w:shd w:val="clear" w:color="auto" w:fill="C6EFCE"/>
            <w:noWrap/>
            <w:vAlign w:val="center"/>
          </w:tcPr>
          <w:p w14:paraId="5C069F6B" w14:textId="77777777" w:rsidR="003D7F65" w:rsidRDefault="0082041E">
            <w:pPr>
              <w:pStyle w:val="P68B1DB1-Normal13"/>
              <w:rPr>
                <w:noProof/>
              </w:rPr>
            </w:pPr>
            <w:r>
              <w:rPr>
                <w:noProof/>
              </w:rPr>
              <w:t>P1C4R1 – Solutions sobres en carbone pour les villes et les transports – Feuille de route pour des transports sans combustibles fossiles</w:t>
            </w:r>
          </w:p>
        </w:tc>
        <w:tc>
          <w:tcPr>
            <w:tcW w:w="1255" w:type="dxa"/>
            <w:tcBorders>
              <w:top w:val="nil"/>
              <w:left w:val="nil"/>
              <w:bottom w:val="single" w:sz="4" w:space="0" w:color="auto"/>
              <w:right w:val="single" w:sz="4" w:space="0" w:color="auto"/>
            </w:tcBorders>
            <w:shd w:val="clear" w:color="auto" w:fill="C6EFCE"/>
            <w:noWrap/>
            <w:vAlign w:val="center"/>
          </w:tcPr>
          <w:p w14:paraId="051EB406"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05ED1017" w14:textId="77777777" w:rsidR="003D7F65" w:rsidRDefault="0082041E">
            <w:pPr>
              <w:pStyle w:val="P68B1DB1-Normal13"/>
              <w:rPr>
                <w:noProof/>
              </w:rPr>
            </w:pPr>
            <w:r>
              <w:rPr>
                <w:noProof/>
              </w:rPr>
              <w:t>Adoption de la résolution gouvernementale LVM/2021/62 visant à réduire les émissions de gaz à effet de serre provenant des transports intérieurs</w:t>
            </w:r>
          </w:p>
        </w:tc>
      </w:tr>
      <w:tr w:rsidR="003D7F65" w14:paraId="2DDBADE5"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42E7EE1" w14:textId="77777777" w:rsidR="003D7F65" w:rsidRDefault="0082041E">
            <w:pPr>
              <w:pStyle w:val="P68B1DB1-Normal13"/>
              <w:spacing w:line="240" w:lineRule="auto"/>
              <w:rPr>
                <w:noProof/>
              </w:rPr>
            </w:pPr>
            <w:r>
              <w:rPr>
                <w:noProof/>
              </w:rPr>
              <w:t>35</w:t>
            </w:r>
          </w:p>
        </w:tc>
        <w:tc>
          <w:tcPr>
            <w:tcW w:w="3306" w:type="dxa"/>
            <w:tcBorders>
              <w:top w:val="nil"/>
              <w:left w:val="nil"/>
              <w:bottom w:val="single" w:sz="4" w:space="0" w:color="auto"/>
              <w:right w:val="single" w:sz="4" w:space="0" w:color="auto"/>
            </w:tcBorders>
            <w:shd w:val="clear" w:color="auto" w:fill="C6EFCE"/>
            <w:noWrap/>
            <w:vAlign w:val="center"/>
          </w:tcPr>
          <w:p w14:paraId="36C681D6" w14:textId="77777777" w:rsidR="003D7F65" w:rsidRDefault="0082041E">
            <w:pPr>
              <w:pStyle w:val="P68B1DB1-Normal13"/>
              <w:rPr>
                <w:noProof/>
              </w:rPr>
            </w:pPr>
            <w:r>
              <w:rPr>
                <w:noProof/>
              </w:rPr>
              <w:t>P1C4R1 – Solutions sobres en carbone pour les villes et les transports – Feuille de route pour des transports sans combustibles fossiles</w:t>
            </w:r>
          </w:p>
        </w:tc>
        <w:tc>
          <w:tcPr>
            <w:tcW w:w="1255" w:type="dxa"/>
            <w:tcBorders>
              <w:top w:val="nil"/>
              <w:left w:val="nil"/>
              <w:bottom w:val="single" w:sz="4" w:space="0" w:color="auto"/>
              <w:right w:val="single" w:sz="4" w:space="0" w:color="auto"/>
            </w:tcBorders>
            <w:shd w:val="clear" w:color="auto" w:fill="C6EFCE"/>
            <w:noWrap/>
            <w:vAlign w:val="center"/>
          </w:tcPr>
          <w:p w14:paraId="786FD192"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74C7BE47" w14:textId="77777777" w:rsidR="003D7F65" w:rsidRDefault="0082041E">
            <w:pPr>
              <w:pStyle w:val="P68B1DB1-Normal13"/>
              <w:rPr>
                <w:noProof/>
              </w:rPr>
            </w:pPr>
            <w:r>
              <w:rPr>
                <w:noProof/>
              </w:rPr>
              <w:t>Publication de la décision du gouvernement concernant des mesures nationales supplémentaires visant à réduire les émissions dues aux transports intérieurs</w:t>
            </w:r>
          </w:p>
        </w:tc>
      </w:tr>
      <w:tr w:rsidR="003D7F65" w14:paraId="28480896"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FAAE6A8" w14:textId="77777777" w:rsidR="003D7F65" w:rsidRDefault="0082041E">
            <w:pPr>
              <w:pStyle w:val="P68B1DB1-Normal13"/>
              <w:spacing w:line="240" w:lineRule="auto"/>
              <w:rPr>
                <w:noProof/>
              </w:rPr>
            </w:pPr>
            <w:r>
              <w:rPr>
                <w:noProof/>
              </w:rPr>
              <w:t>37</w:t>
            </w:r>
          </w:p>
        </w:tc>
        <w:tc>
          <w:tcPr>
            <w:tcW w:w="3306" w:type="dxa"/>
            <w:tcBorders>
              <w:top w:val="nil"/>
              <w:left w:val="nil"/>
              <w:bottom w:val="single" w:sz="4" w:space="0" w:color="auto"/>
              <w:right w:val="single" w:sz="4" w:space="0" w:color="auto"/>
            </w:tcBorders>
            <w:shd w:val="clear" w:color="auto" w:fill="C6EFCE"/>
            <w:noWrap/>
            <w:vAlign w:val="center"/>
          </w:tcPr>
          <w:p w14:paraId="3A5FAB46" w14:textId="77777777" w:rsidR="003D7F65" w:rsidRDefault="0082041E">
            <w:pPr>
              <w:pStyle w:val="P68B1DB1-Normal13"/>
              <w:rPr>
                <w:noProof/>
              </w:rPr>
            </w:pPr>
            <w:r>
              <w:rPr>
                <w:noProof/>
              </w:rPr>
              <w:t>P1C4R2 – Solutions à faible intensité de carbone pour les villes et les transports – Réforme fiscale pour des transports durables</w:t>
            </w:r>
          </w:p>
        </w:tc>
        <w:tc>
          <w:tcPr>
            <w:tcW w:w="1255" w:type="dxa"/>
            <w:tcBorders>
              <w:top w:val="nil"/>
              <w:left w:val="nil"/>
              <w:bottom w:val="single" w:sz="4" w:space="0" w:color="auto"/>
              <w:right w:val="single" w:sz="4" w:space="0" w:color="auto"/>
            </w:tcBorders>
            <w:shd w:val="clear" w:color="auto" w:fill="C6EFCE"/>
            <w:noWrap/>
            <w:vAlign w:val="center"/>
          </w:tcPr>
          <w:p w14:paraId="033A7A05"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7567C045" w14:textId="77777777" w:rsidR="003D7F65" w:rsidRDefault="0082041E">
            <w:pPr>
              <w:pStyle w:val="P68B1DB1-Normal13"/>
              <w:rPr>
                <w:noProof/>
              </w:rPr>
            </w:pPr>
            <w:r>
              <w:rPr>
                <w:noProof/>
              </w:rPr>
              <w:t>Entrée en vigueur des modifications législatives de la loi relative à l’impôt sur le revenu (1205/2020) concernant l’imposition des avantages de la mobilité en matière d’emploi</w:t>
            </w:r>
          </w:p>
        </w:tc>
      </w:tr>
      <w:tr w:rsidR="003D7F65" w14:paraId="73B0185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E7E3416" w14:textId="77777777" w:rsidR="003D7F65" w:rsidRDefault="0082041E">
            <w:pPr>
              <w:pStyle w:val="P68B1DB1-Normal13"/>
              <w:spacing w:line="240" w:lineRule="auto"/>
              <w:rPr>
                <w:noProof/>
              </w:rPr>
            </w:pPr>
            <w:r>
              <w:rPr>
                <w:noProof/>
              </w:rPr>
              <w:t>52</w:t>
            </w:r>
          </w:p>
        </w:tc>
        <w:tc>
          <w:tcPr>
            <w:tcW w:w="3306" w:type="dxa"/>
            <w:tcBorders>
              <w:top w:val="nil"/>
              <w:left w:val="nil"/>
              <w:bottom w:val="single" w:sz="4" w:space="0" w:color="auto"/>
              <w:right w:val="single" w:sz="4" w:space="0" w:color="auto"/>
            </w:tcBorders>
            <w:shd w:val="clear" w:color="auto" w:fill="C6EFCE"/>
            <w:noWrap/>
            <w:vAlign w:val="center"/>
          </w:tcPr>
          <w:p w14:paraId="7AA128C6" w14:textId="77777777" w:rsidR="003D7F65" w:rsidRDefault="0082041E">
            <w:pPr>
              <w:pStyle w:val="P68B1DB1-Normal13"/>
              <w:rPr>
                <w:noProof/>
              </w:rPr>
            </w:pPr>
            <w:r>
              <w:rPr>
                <w:noProof/>
              </w:rPr>
              <w:t>P1C5I2 – Durabilité environnementale et solutions fondées sur la nature – Mesures résilientes au changement climatique dans le secteur de l’utilisation des terres</w:t>
            </w:r>
          </w:p>
        </w:tc>
        <w:tc>
          <w:tcPr>
            <w:tcW w:w="1255" w:type="dxa"/>
            <w:tcBorders>
              <w:top w:val="nil"/>
              <w:left w:val="nil"/>
              <w:bottom w:val="single" w:sz="4" w:space="0" w:color="auto"/>
              <w:right w:val="single" w:sz="4" w:space="0" w:color="auto"/>
            </w:tcBorders>
            <w:shd w:val="clear" w:color="auto" w:fill="C6EFCE"/>
            <w:noWrap/>
            <w:vAlign w:val="center"/>
          </w:tcPr>
          <w:p w14:paraId="13A62CA4"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690B5B07" w14:textId="77777777" w:rsidR="003D7F65" w:rsidRDefault="0082041E">
            <w:pPr>
              <w:pStyle w:val="P68B1DB1-Normal13"/>
              <w:rPr>
                <w:noProof/>
              </w:rPr>
            </w:pPr>
            <w:r>
              <w:rPr>
                <w:noProof/>
              </w:rPr>
              <w:t>Publication du premier appel à propositions pour des projets forestiers de précision</w:t>
            </w:r>
          </w:p>
        </w:tc>
      </w:tr>
      <w:tr w:rsidR="003D7F65" w14:paraId="6FEA7650"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5A3E5E1" w14:textId="77777777" w:rsidR="003D7F65" w:rsidRDefault="0082041E">
            <w:pPr>
              <w:pStyle w:val="P68B1DB1-Normal13"/>
              <w:spacing w:line="240" w:lineRule="auto"/>
              <w:rPr>
                <w:noProof/>
              </w:rPr>
            </w:pPr>
            <w:r>
              <w:rPr>
                <w:noProof/>
              </w:rPr>
              <w:t>71</w:t>
            </w:r>
          </w:p>
        </w:tc>
        <w:tc>
          <w:tcPr>
            <w:tcW w:w="3306" w:type="dxa"/>
            <w:tcBorders>
              <w:top w:val="nil"/>
              <w:left w:val="nil"/>
              <w:bottom w:val="single" w:sz="4" w:space="0" w:color="auto"/>
              <w:right w:val="single" w:sz="4" w:space="0" w:color="auto"/>
            </w:tcBorders>
            <w:shd w:val="clear" w:color="auto" w:fill="C6EFCE"/>
            <w:noWrap/>
            <w:vAlign w:val="center"/>
          </w:tcPr>
          <w:p w14:paraId="3BB6BBD6" w14:textId="77777777" w:rsidR="003D7F65" w:rsidRDefault="0082041E">
            <w:pPr>
              <w:pStyle w:val="P68B1DB1-Normal13"/>
              <w:rPr>
                <w:noProof/>
              </w:rPr>
            </w:pPr>
            <w:r>
              <w:rPr>
                <w:noProof/>
              </w:rPr>
              <w:t>P2C2R2 - Renforcer l’efficacité et la transparence des réformes et des investissements dans le cadre du PRR en développant les systèmes d’information, l’administration et l’audit</w:t>
            </w:r>
          </w:p>
        </w:tc>
        <w:tc>
          <w:tcPr>
            <w:tcW w:w="1255" w:type="dxa"/>
            <w:tcBorders>
              <w:top w:val="nil"/>
              <w:left w:val="nil"/>
              <w:bottom w:val="single" w:sz="4" w:space="0" w:color="auto"/>
              <w:right w:val="single" w:sz="4" w:space="0" w:color="auto"/>
            </w:tcBorders>
            <w:shd w:val="clear" w:color="auto" w:fill="C6EFCE"/>
            <w:noWrap/>
            <w:vAlign w:val="center"/>
          </w:tcPr>
          <w:p w14:paraId="6C50C513"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71A55CEA" w14:textId="77777777" w:rsidR="003D7F65" w:rsidRDefault="0082041E">
            <w:pPr>
              <w:pStyle w:val="P68B1DB1-Normal13"/>
              <w:rPr>
                <w:noProof/>
              </w:rPr>
            </w:pPr>
            <w:r>
              <w:rPr>
                <w:noProof/>
              </w:rPr>
              <w:t>Entrée en vigueur de la loi sur la mise en œuvre du PRR</w:t>
            </w:r>
          </w:p>
        </w:tc>
      </w:tr>
      <w:tr w:rsidR="003D7F65" w14:paraId="0346A42E"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0C9DE44" w14:textId="77777777" w:rsidR="003D7F65" w:rsidRDefault="0082041E">
            <w:pPr>
              <w:pStyle w:val="P68B1DB1-Normal13"/>
              <w:spacing w:line="240" w:lineRule="auto"/>
              <w:rPr>
                <w:noProof/>
              </w:rPr>
            </w:pPr>
            <w:r>
              <w:rPr>
                <w:noProof/>
              </w:rPr>
              <w:t>72</w:t>
            </w:r>
          </w:p>
        </w:tc>
        <w:tc>
          <w:tcPr>
            <w:tcW w:w="3306" w:type="dxa"/>
            <w:tcBorders>
              <w:top w:val="nil"/>
              <w:left w:val="nil"/>
              <w:bottom w:val="single" w:sz="4" w:space="0" w:color="auto"/>
              <w:right w:val="single" w:sz="4" w:space="0" w:color="auto"/>
            </w:tcBorders>
            <w:shd w:val="clear" w:color="auto" w:fill="C6EFCE"/>
            <w:noWrap/>
            <w:vAlign w:val="center"/>
          </w:tcPr>
          <w:p w14:paraId="2B608C47" w14:textId="77777777" w:rsidR="003D7F65" w:rsidRDefault="0082041E">
            <w:pPr>
              <w:pStyle w:val="P68B1DB1-Normal13"/>
              <w:rPr>
                <w:noProof/>
              </w:rPr>
            </w:pPr>
            <w:r>
              <w:rPr>
                <w:noProof/>
              </w:rPr>
              <w:t>P2C2R2 - Renforcer l’efficacité et la transparence des réformes et des investissements dans le cadre du PRR en développant les systèmes d’information, l’administration et l’audit</w:t>
            </w:r>
          </w:p>
        </w:tc>
        <w:tc>
          <w:tcPr>
            <w:tcW w:w="1255" w:type="dxa"/>
            <w:tcBorders>
              <w:top w:val="nil"/>
              <w:left w:val="nil"/>
              <w:bottom w:val="single" w:sz="4" w:space="0" w:color="auto"/>
              <w:right w:val="single" w:sz="4" w:space="0" w:color="auto"/>
            </w:tcBorders>
            <w:shd w:val="clear" w:color="auto" w:fill="C6EFCE"/>
            <w:noWrap/>
            <w:vAlign w:val="center"/>
          </w:tcPr>
          <w:p w14:paraId="31F254C3" w14:textId="77777777" w:rsidR="003D7F65" w:rsidRDefault="0082041E">
            <w:pPr>
              <w:pStyle w:val="P68B1DB1-Normal13"/>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38AA95EE" w14:textId="77777777" w:rsidR="003D7F65" w:rsidRDefault="0082041E">
            <w:pPr>
              <w:pStyle w:val="P68B1DB1-Normal13"/>
              <w:rPr>
                <w:noProof/>
              </w:rPr>
            </w:pPr>
            <w:r>
              <w:rPr>
                <w:noProof/>
              </w:rPr>
              <w:t>Système de répertoire pour l'audit et les contrôles: informations pour le suivi de la mise en œuvre de la FRR</w:t>
            </w:r>
          </w:p>
        </w:tc>
      </w:tr>
      <w:tr w:rsidR="003D7F65" w14:paraId="5F55A8B2"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8152E96" w14:textId="77777777" w:rsidR="003D7F65" w:rsidRDefault="0082041E">
            <w:pPr>
              <w:pStyle w:val="P68B1DB1-Normal29"/>
              <w:spacing w:line="240" w:lineRule="auto"/>
              <w:rPr>
                <w:noProof/>
              </w:rPr>
            </w:pPr>
            <w:r>
              <w:rPr>
                <w:noProof/>
              </w:rPr>
              <w:t>91</w:t>
            </w:r>
          </w:p>
        </w:tc>
        <w:tc>
          <w:tcPr>
            <w:tcW w:w="3306" w:type="dxa"/>
            <w:tcBorders>
              <w:top w:val="nil"/>
              <w:left w:val="nil"/>
              <w:bottom w:val="single" w:sz="4" w:space="0" w:color="auto"/>
              <w:right w:val="single" w:sz="4" w:space="0" w:color="auto"/>
            </w:tcBorders>
            <w:shd w:val="clear" w:color="auto" w:fill="C6EFCE"/>
            <w:noWrap/>
            <w:vAlign w:val="center"/>
          </w:tcPr>
          <w:p w14:paraId="6FA8FAF8" w14:textId="77777777" w:rsidR="003D7F65" w:rsidRDefault="0082041E">
            <w:pPr>
              <w:pStyle w:val="P68B1DB1-Normal29"/>
              <w:rPr>
                <w:noProof/>
              </w:rPr>
            </w:pPr>
            <w:r>
              <w:rPr>
                <w:noProof/>
              </w:rPr>
              <w:t>P3C2R1- Réforme de l'apprentissage continu</w:t>
            </w:r>
          </w:p>
        </w:tc>
        <w:tc>
          <w:tcPr>
            <w:tcW w:w="1255" w:type="dxa"/>
            <w:tcBorders>
              <w:top w:val="nil"/>
              <w:left w:val="nil"/>
              <w:bottom w:val="single" w:sz="4" w:space="0" w:color="auto"/>
              <w:right w:val="single" w:sz="4" w:space="0" w:color="auto"/>
            </w:tcBorders>
            <w:shd w:val="clear" w:color="auto" w:fill="C6EFCE"/>
            <w:noWrap/>
            <w:vAlign w:val="center"/>
          </w:tcPr>
          <w:p w14:paraId="40B10211" w14:textId="77777777" w:rsidR="003D7F65" w:rsidRDefault="0082041E">
            <w:pPr>
              <w:pStyle w:val="P68B1DB1-Normal29"/>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2EF09A21" w14:textId="446E5E88" w:rsidR="003D7F65" w:rsidRDefault="0082041E">
            <w:pPr>
              <w:pStyle w:val="P68B1DB1-Normal29"/>
              <w:spacing w:line="240" w:lineRule="auto"/>
              <w:rPr>
                <w:noProof/>
              </w:rPr>
            </w:pPr>
            <w:r>
              <w:rPr>
                <w:noProof/>
              </w:rPr>
              <w:t>Entrée en vigueur de la loi sur le Centre de services pour l'apprentissage continu et l'emploi</w:t>
            </w:r>
          </w:p>
        </w:tc>
      </w:tr>
      <w:tr w:rsidR="003D7F65" w14:paraId="33765AA2"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435A428" w14:textId="77777777" w:rsidR="003D7F65" w:rsidRDefault="0082041E">
            <w:pPr>
              <w:pStyle w:val="P68B1DB1-Normal29"/>
              <w:spacing w:line="240" w:lineRule="auto"/>
              <w:rPr>
                <w:noProof/>
              </w:rPr>
            </w:pPr>
            <w:r>
              <w:rPr>
                <w:noProof/>
              </w:rPr>
              <w:t>96</w:t>
            </w:r>
          </w:p>
        </w:tc>
        <w:tc>
          <w:tcPr>
            <w:tcW w:w="3306" w:type="dxa"/>
            <w:tcBorders>
              <w:top w:val="nil"/>
              <w:left w:val="nil"/>
              <w:bottom w:val="single" w:sz="4" w:space="0" w:color="auto"/>
              <w:right w:val="single" w:sz="4" w:space="0" w:color="auto"/>
            </w:tcBorders>
            <w:shd w:val="clear" w:color="auto" w:fill="C6EFCE"/>
            <w:noWrap/>
            <w:vAlign w:val="center"/>
          </w:tcPr>
          <w:p w14:paraId="72D337A2" w14:textId="3B85B03E" w:rsidR="003D7F65" w:rsidRDefault="0082041E">
            <w:pPr>
              <w:pStyle w:val="P68B1DB1-Normal29"/>
              <w:spacing w:line="240" w:lineRule="auto"/>
              <w:rPr>
                <w:noProof/>
              </w:rPr>
            </w:pPr>
            <w:r>
              <w:rPr>
                <w:noProof/>
              </w:rPr>
              <w:t>P3C2I1 - Programme de numérisation pour l'apprentissage continu</w:t>
            </w:r>
          </w:p>
        </w:tc>
        <w:tc>
          <w:tcPr>
            <w:tcW w:w="1255" w:type="dxa"/>
            <w:tcBorders>
              <w:top w:val="nil"/>
              <w:left w:val="nil"/>
              <w:bottom w:val="single" w:sz="4" w:space="0" w:color="auto"/>
              <w:right w:val="single" w:sz="4" w:space="0" w:color="auto"/>
            </w:tcBorders>
            <w:shd w:val="clear" w:color="auto" w:fill="C6EFCE"/>
            <w:noWrap/>
            <w:vAlign w:val="center"/>
          </w:tcPr>
          <w:p w14:paraId="2C0A3697" w14:textId="77777777" w:rsidR="003D7F65" w:rsidRDefault="0082041E">
            <w:pPr>
              <w:pStyle w:val="P68B1DB1-Normal29"/>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23093657" w14:textId="592D5794" w:rsidR="003D7F65" w:rsidRDefault="0082041E">
            <w:pPr>
              <w:pStyle w:val="P68B1DB1-Normal29"/>
              <w:spacing w:line="240" w:lineRule="auto"/>
              <w:rPr>
                <w:noProof/>
              </w:rPr>
            </w:pPr>
            <w:r>
              <w:rPr>
                <w:noProof/>
              </w:rPr>
              <w:t>Achèvement de l’architecture informatique pour les services numériques d’apprentissage continu</w:t>
            </w:r>
          </w:p>
        </w:tc>
      </w:tr>
      <w:tr w:rsidR="003D7F65" w14:paraId="77B22201"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E7FC713" w14:textId="77777777" w:rsidR="003D7F65" w:rsidRDefault="0082041E">
            <w:pPr>
              <w:pStyle w:val="P68B1DB1-Normal29"/>
              <w:spacing w:line="240" w:lineRule="auto"/>
              <w:rPr>
                <w:noProof/>
              </w:rPr>
            </w:pPr>
            <w:r>
              <w:rPr>
                <w:noProof/>
              </w:rPr>
              <w:t>103</w:t>
            </w:r>
          </w:p>
        </w:tc>
        <w:tc>
          <w:tcPr>
            <w:tcW w:w="3306" w:type="dxa"/>
            <w:tcBorders>
              <w:top w:val="nil"/>
              <w:left w:val="nil"/>
              <w:bottom w:val="single" w:sz="4" w:space="0" w:color="auto"/>
              <w:right w:val="single" w:sz="4" w:space="0" w:color="auto"/>
            </w:tcBorders>
            <w:shd w:val="clear" w:color="auto" w:fill="C6EFCE"/>
            <w:noWrap/>
            <w:vAlign w:val="center"/>
          </w:tcPr>
          <w:p w14:paraId="67051604" w14:textId="77777777" w:rsidR="003D7F65" w:rsidRDefault="0082041E">
            <w:pPr>
              <w:pStyle w:val="P68B1DB1-Normal30"/>
              <w:rPr>
                <w:rFonts w:ascii="Times New Roman" w:eastAsia="Times New Roman" w:hAnsi="Times New Roman"/>
                <w:noProof/>
                <w:color w:val="000000"/>
              </w:rPr>
            </w:pPr>
            <w:r>
              <w:rPr>
                <w:rFonts w:ascii="Times New Roman" w:eastAsia="Times New Roman" w:hAnsi="Times New Roman"/>
                <w:noProof/>
                <w:color w:val="000000"/>
              </w:rPr>
              <w:t>P3C3I</w:t>
            </w:r>
            <w:r>
              <w:rPr>
                <w:rFonts w:ascii="Times New Roman" w:hAnsi="Times New Roman"/>
                <w:noProof/>
              </w:rPr>
              <w:t xml:space="preserve"> 2 – RDI, infrastructures de recherche et pilotage – Paquet de financement de la RDI soutenant la transition écologique – Accélérer les secteurs clés et renforcer les compétences (Académie de Finlande)</w:t>
            </w:r>
          </w:p>
        </w:tc>
        <w:tc>
          <w:tcPr>
            <w:tcW w:w="1255" w:type="dxa"/>
            <w:tcBorders>
              <w:top w:val="nil"/>
              <w:left w:val="nil"/>
              <w:bottom w:val="single" w:sz="4" w:space="0" w:color="auto"/>
              <w:right w:val="single" w:sz="4" w:space="0" w:color="auto"/>
            </w:tcBorders>
            <w:shd w:val="clear" w:color="auto" w:fill="C6EFCE"/>
            <w:noWrap/>
            <w:vAlign w:val="center"/>
          </w:tcPr>
          <w:p w14:paraId="492A89CB" w14:textId="77777777" w:rsidR="003D7F65" w:rsidRDefault="0082041E">
            <w:pPr>
              <w:pStyle w:val="P68B1DB1-Normal29"/>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7FF511A0" w14:textId="77777777" w:rsidR="003D7F65" w:rsidRDefault="0082041E">
            <w:pPr>
              <w:pStyle w:val="P68B1DB1-Normal29"/>
              <w:spacing w:line="240" w:lineRule="auto"/>
              <w:rPr>
                <w:noProof/>
              </w:rPr>
            </w:pPr>
            <w:r>
              <w:rPr>
                <w:noProof/>
              </w:rPr>
              <w:t>Publication par l'Académie de Finlande d'un premier appel à candidatures pour des projets de recherche visant à accroître les compétences dans des secteurs clés</w:t>
            </w:r>
          </w:p>
        </w:tc>
      </w:tr>
      <w:tr w:rsidR="003D7F65" w14:paraId="5EB0ABDA"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7CF7C60" w14:textId="77777777" w:rsidR="003D7F65" w:rsidRDefault="0082041E">
            <w:pPr>
              <w:pStyle w:val="P68B1DB1-Normal29"/>
              <w:spacing w:line="240" w:lineRule="auto"/>
              <w:rPr>
                <w:noProof/>
              </w:rPr>
            </w:pPr>
            <w:r>
              <w:rPr>
                <w:noProof/>
              </w:rPr>
              <w:t>115</w:t>
            </w:r>
          </w:p>
        </w:tc>
        <w:tc>
          <w:tcPr>
            <w:tcW w:w="3306" w:type="dxa"/>
            <w:tcBorders>
              <w:top w:val="nil"/>
              <w:left w:val="nil"/>
              <w:bottom w:val="single" w:sz="4" w:space="0" w:color="auto"/>
              <w:right w:val="single" w:sz="4" w:space="0" w:color="auto"/>
            </w:tcBorders>
            <w:shd w:val="clear" w:color="auto" w:fill="C6EFCE"/>
            <w:noWrap/>
            <w:vAlign w:val="center"/>
          </w:tcPr>
          <w:p w14:paraId="3DE313AA" w14:textId="77777777" w:rsidR="003D7F65" w:rsidRDefault="0082041E">
            <w:pPr>
              <w:pStyle w:val="P68B1DB1-Normal29"/>
              <w:rPr>
                <w:noProof/>
              </w:rPr>
            </w:pPr>
            <w:r>
              <w:rPr>
                <w:noProof/>
              </w:rPr>
              <w:t>P3C3I6 – RDI, infrastructures de recherche et pilotage – Promouvoir l’innovation et les infrastructures de recherche – Infrastructures nationales de recherche</w:t>
            </w:r>
          </w:p>
        </w:tc>
        <w:tc>
          <w:tcPr>
            <w:tcW w:w="1255" w:type="dxa"/>
            <w:tcBorders>
              <w:top w:val="nil"/>
              <w:left w:val="nil"/>
              <w:bottom w:val="single" w:sz="4" w:space="0" w:color="auto"/>
              <w:right w:val="single" w:sz="4" w:space="0" w:color="auto"/>
            </w:tcBorders>
            <w:shd w:val="clear" w:color="auto" w:fill="C6EFCE"/>
            <w:noWrap/>
            <w:vAlign w:val="center"/>
          </w:tcPr>
          <w:p w14:paraId="4B7641B7" w14:textId="77777777" w:rsidR="003D7F65" w:rsidRDefault="0082041E">
            <w:pPr>
              <w:pStyle w:val="P68B1DB1-Normal29"/>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12C3E4F9" w14:textId="77777777" w:rsidR="003D7F65" w:rsidRDefault="0082041E">
            <w:pPr>
              <w:pStyle w:val="P68B1DB1-Normal29"/>
              <w:spacing w:line="240" w:lineRule="auto"/>
              <w:rPr>
                <w:noProof/>
              </w:rPr>
            </w:pPr>
            <w:r>
              <w:rPr>
                <w:noProof/>
              </w:rPr>
              <w:t>Publication d'un appel à candidatures pour le renouvellement et le développement des infrastructures nationales de recherche</w:t>
            </w:r>
          </w:p>
          <w:p w14:paraId="0033CF9F" w14:textId="77777777" w:rsidR="003D7F65" w:rsidRDefault="003D7F65">
            <w:pPr>
              <w:spacing w:line="240" w:lineRule="auto"/>
              <w:rPr>
                <w:rFonts w:ascii="Times New Roman" w:eastAsia="Times New Roman" w:hAnsi="Times New Roman"/>
                <w:noProof/>
                <w:color w:val="000000"/>
                <w:sz w:val="18"/>
                <w:szCs w:val="18"/>
              </w:rPr>
            </w:pPr>
          </w:p>
        </w:tc>
      </w:tr>
      <w:tr w:rsidR="003D7F65" w14:paraId="0EBD2460"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ABDA0AA" w14:textId="77777777" w:rsidR="003D7F65" w:rsidRDefault="0082041E">
            <w:pPr>
              <w:pStyle w:val="P68B1DB1-Normal13"/>
              <w:spacing w:line="240" w:lineRule="auto"/>
              <w:rPr>
                <w:noProof/>
              </w:rPr>
            </w:pPr>
            <w:r>
              <w:rPr>
                <w:noProof/>
              </w:rPr>
              <w:t>127</w:t>
            </w:r>
          </w:p>
        </w:tc>
        <w:tc>
          <w:tcPr>
            <w:tcW w:w="3306" w:type="dxa"/>
            <w:tcBorders>
              <w:top w:val="nil"/>
              <w:left w:val="nil"/>
              <w:bottom w:val="single" w:sz="4" w:space="0" w:color="auto"/>
              <w:right w:val="single" w:sz="4" w:space="0" w:color="auto"/>
            </w:tcBorders>
            <w:shd w:val="clear" w:color="auto" w:fill="C6EFCE"/>
            <w:noWrap/>
            <w:vAlign w:val="center"/>
          </w:tcPr>
          <w:p w14:paraId="17C97326" w14:textId="77777777" w:rsidR="003D7F65" w:rsidRDefault="0082041E">
            <w:pPr>
              <w:pStyle w:val="P68B1DB1-Normal29"/>
              <w:rPr>
                <w:noProof/>
              </w:rPr>
            </w:pPr>
            <w:r>
              <w:rPr>
                <w:noProof/>
              </w:rPr>
              <w:t>P3C4I3 – Renforcer la compétitivité et stimuler la croissance dans les secteurs touchés par la crise – Soutien au renouvellement des secteurs de la culture et de la création</w:t>
            </w:r>
          </w:p>
        </w:tc>
        <w:tc>
          <w:tcPr>
            <w:tcW w:w="1255" w:type="dxa"/>
            <w:tcBorders>
              <w:top w:val="nil"/>
              <w:left w:val="nil"/>
              <w:bottom w:val="single" w:sz="4" w:space="0" w:color="auto"/>
              <w:right w:val="single" w:sz="4" w:space="0" w:color="auto"/>
            </w:tcBorders>
            <w:shd w:val="clear" w:color="auto" w:fill="C6EFCE"/>
            <w:noWrap/>
            <w:vAlign w:val="center"/>
          </w:tcPr>
          <w:p w14:paraId="26534708" w14:textId="77777777" w:rsidR="003D7F65" w:rsidRDefault="0082041E">
            <w:pPr>
              <w:pStyle w:val="P68B1DB1-Normal29"/>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63D8C9A8" w14:textId="77777777" w:rsidR="003D7F65" w:rsidRDefault="0082041E">
            <w:pPr>
              <w:pStyle w:val="P68B1DB1-Normal13"/>
              <w:spacing w:line="240" w:lineRule="auto"/>
              <w:rPr>
                <w:noProof/>
              </w:rPr>
            </w:pPr>
            <w:r>
              <w:rPr>
                <w:noProof/>
              </w:rPr>
              <w:t>Publication de deux appels à candidatures pour des projets soutenant le renouvellement des secteurs de la culture et de la création, respectivement pour l'aide au développement et l'aide pilote</w:t>
            </w:r>
          </w:p>
        </w:tc>
      </w:tr>
      <w:tr w:rsidR="003D7F65" w14:paraId="02492CDD"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9293166" w14:textId="77777777" w:rsidR="003D7F65" w:rsidRDefault="0082041E">
            <w:pPr>
              <w:pStyle w:val="P68B1DB1-Normal13"/>
              <w:spacing w:line="240" w:lineRule="auto"/>
              <w:rPr>
                <w:noProof/>
              </w:rPr>
            </w:pPr>
            <w:r>
              <w:rPr>
                <w:noProof/>
              </w:rPr>
              <w:t>133</w:t>
            </w:r>
          </w:p>
        </w:tc>
        <w:tc>
          <w:tcPr>
            <w:tcW w:w="3306" w:type="dxa"/>
            <w:tcBorders>
              <w:top w:val="nil"/>
              <w:left w:val="nil"/>
              <w:bottom w:val="single" w:sz="4" w:space="0" w:color="auto"/>
              <w:right w:val="single" w:sz="4" w:space="0" w:color="auto"/>
            </w:tcBorders>
            <w:shd w:val="clear" w:color="auto" w:fill="C6EFCE"/>
            <w:noWrap/>
            <w:vAlign w:val="center"/>
          </w:tcPr>
          <w:p w14:paraId="0C58C437" w14:textId="2C3C4BAC" w:rsidR="003D7F65" w:rsidRDefault="0082041E">
            <w:pPr>
              <w:pStyle w:val="P68B1DB1-Normal29"/>
              <w:rPr>
                <w:noProof/>
              </w:rPr>
            </w:pPr>
            <w:r>
              <w:rPr>
                <w:noProof/>
              </w:rPr>
              <w:t xml:space="preserve">P4C1R1 - Préparation de la réforme de la protection sociale et des soins de santé à l'appui de la mise en œuvre de la garantie de soins </w:t>
            </w:r>
          </w:p>
        </w:tc>
        <w:tc>
          <w:tcPr>
            <w:tcW w:w="1255" w:type="dxa"/>
            <w:tcBorders>
              <w:top w:val="nil"/>
              <w:left w:val="nil"/>
              <w:bottom w:val="single" w:sz="4" w:space="0" w:color="auto"/>
              <w:right w:val="single" w:sz="4" w:space="0" w:color="auto"/>
            </w:tcBorders>
            <w:shd w:val="clear" w:color="auto" w:fill="C6EFCE"/>
            <w:noWrap/>
            <w:vAlign w:val="center"/>
          </w:tcPr>
          <w:p w14:paraId="446C2143" w14:textId="77777777" w:rsidR="003D7F65" w:rsidRDefault="0082041E">
            <w:pPr>
              <w:pStyle w:val="P68B1DB1-Normal29"/>
              <w:rPr>
                <w:noProof/>
              </w:rPr>
            </w:pPr>
            <w:r>
              <w:rPr>
                <w:noProof/>
              </w:rPr>
              <w:t>Étape</w:t>
            </w:r>
          </w:p>
        </w:tc>
        <w:tc>
          <w:tcPr>
            <w:tcW w:w="3373" w:type="dxa"/>
            <w:tcBorders>
              <w:top w:val="nil"/>
              <w:left w:val="nil"/>
              <w:bottom w:val="single" w:sz="4" w:space="0" w:color="auto"/>
              <w:right w:val="single" w:sz="4" w:space="0" w:color="auto"/>
            </w:tcBorders>
            <w:shd w:val="clear" w:color="auto" w:fill="C6EFCE"/>
            <w:noWrap/>
            <w:vAlign w:val="center"/>
          </w:tcPr>
          <w:p w14:paraId="0344D26C" w14:textId="77777777" w:rsidR="003D7F65" w:rsidRDefault="0082041E">
            <w:pPr>
              <w:pStyle w:val="P68B1DB1-Normal13"/>
              <w:spacing w:line="240" w:lineRule="auto"/>
              <w:rPr>
                <w:noProof/>
              </w:rPr>
            </w:pPr>
            <w:r>
              <w:rPr>
                <w:noProof/>
              </w:rPr>
              <w:t>Entrée en vigueur du cadre juridique initial établissant des zones de protection sociale et réformant les services sociaux, de soins de santé et de secours</w:t>
            </w:r>
          </w:p>
        </w:tc>
      </w:tr>
      <w:tr w:rsidR="003D7F65" w14:paraId="789635D9" w14:textId="77777777">
        <w:trPr>
          <w:trHeight w:val="302"/>
          <w:jc w:val="center"/>
        </w:trPr>
        <w:tc>
          <w:tcPr>
            <w:tcW w:w="5690" w:type="dxa"/>
            <w:gridSpan w:val="3"/>
            <w:tcBorders>
              <w:top w:val="nil"/>
              <w:left w:val="single" w:sz="4" w:space="0" w:color="auto"/>
              <w:bottom w:val="single" w:sz="4" w:space="0" w:color="auto"/>
              <w:right w:val="single" w:sz="4" w:space="0" w:color="auto"/>
            </w:tcBorders>
            <w:shd w:val="clear" w:color="auto" w:fill="C6EFCE"/>
            <w:noWrap/>
            <w:vAlign w:val="center"/>
          </w:tcPr>
          <w:p w14:paraId="4C4AD388" w14:textId="77777777" w:rsidR="003D7F65" w:rsidRDefault="0082041E">
            <w:pPr>
              <w:pStyle w:val="P68B1DB1-Normal29"/>
              <w:rPr>
                <w:noProof/>
              </w:rPr>
            </w:pPr>
            <w:r>
              <w:rPr>
                <w:noProof/>
              </w:rPr>
              <w:t>Montant des acomptes provisionnels</w:t>
            </w:r>
          </w:p>
        </w:tc>
        <w:tc>
          <w:tcPr>
            <w:tcW w:w="3373" w:type="dxa"/>
            <w:tcBorders>
              <w:top w:val="nil"/>
              <w:left w:val="nil"/>
              <w:bottom w:val="single" w:sz="4" w:space="0" w:color="auto"/>
              <w:right w:val="single" w:sz="4" w:space="0" w:color="auto"/>
            </w:tcBorders>
            <w:shd w:val="clear" w:color="auto" w:fill="C6EFCE"/>
            <w:noWrap/>
            <w:vAlign w:val="center"/>
          </w:tcPr>
          <w:p w14:paraId="6DA1F08D" w14:textId="77777777" w:rsidR="003D7F65" w:rsidRDefault="0082041E">
            <w:pPr>
              <w:pStyle w:val="P68B1DB1-Normal13"/>
              <w:rPr>
                <w:noProof/>
                <w:color w:val="000000"/>
              </w:rPr>
            </w:pPr>
            <w:r>
              <w:rPr>
                <w:noProof/>
                <w:color w:val="000000" w:themeColor="text1"/>
              </w:rPr>
              <w:t>273 307 672 EUR</w:t>
            </w:r>
          </w:p>
        </w:tc>
      </w:tr>
    </w:tbl>
    <w:p w14:paraId="359CC3F0" w14:textId="77777777" w:rsidR="003D7F65" w:rsidRDefault="003D7F65">
      <w:pPr>
        <w:spacing w:before="120" w:after="120" w:line="240" w:lineRule="auto"/>
        <w:ind w:left="850"/>
        <w:jc w:val="both"/>
        <w:rPr>
          <w:rFonts w:ascii="Times New Roman" w:eastAsia="Times New Roman" w:hAnsi="Times New Roman"/>
          <w:noProof/>
          <w:sz w:val="24"/>
          <w:szCs w:val="24"/>
        </w:rPr>
      </w:pPr>
    </w:p>
    <w:p w14:paraId="5A159CA3" w14:textId="77777777" w:rsidR="003D7F65" w:rsidRDefault="0082041E">
      <w:pPr>
        <w:pStyle w:val="P68B1DB1-Normal4"/>
        <w:numPr>
          <w:ilvl w:val="1"/>
          <w:numId w:val="32"/>
        </w:numPr>
        <w:spacing w:before="120" w:after="120" w:line="240" w:lineRule="auto"/>
        <w:jc w:val="both"/>
        <w:rPr>
          <w:noProof/>
        </w:rPr>
      </w:pPr>
      <w:r>
        <w:rPr>
          <w:noProof/>
        </w:rPr>
        <w:t>Deuxième tranche (soutien non remboursable):</w:t>
      </w:r>
    </w:p>
    <w:tbl>
      <w:tblPr>
        <w:tblW w:w="9247" w:type="dxa"/>
        <w:tblInd w:w="108" w:type="dxa"/>
        <w:tblLook w:val="04A0" w:firstRow="1" w:lastRow="0" w:firstColumn="1" w:lastColumn="0" w:noHBand="0" w:noVBand="1"/>
      </w:tblPr>
      <w:tblGrid>
        <w:gridCol w:w="1065"/>
        <w:gridCol w:w="3343"/>
        <w:gridCol w:w="1172"/>
        <w:gridCol w:w="3678"/>
      </w:tblGrid>
      <w:tr w:rsidR="003D7F65" w14:paraId="29D7EDB5" w14:textId="77777777">
        <w:trPr>
          <w:trHeight w:val="596"/>
          <w:tblHeader/>
        </w:trPr>
        <w:tc>
          <w:tcPr>
            <w:tcW w:w="106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A26F9E0" w14:textId="77777777" w:rsidR="003D7F65" w:rsidRDefault="0082041E">
            <w:pPr>
              <w:pStyle w:val="P68B1DB1-Normal7"/>
              <w:spacing w:after="0" w:line="240" w:lineRule="auto"/>
              <w:jc w:val="center"/>
              <w:rPr>
                <w:bCs/>
                <w:noProof/>
              </w:rPr>
            </w:pPr>
            <w:r>
              <w:rPr>
                <w:noProof/>
              </w:rPr>
              <w:t>Numéro</w:t>
            </w:r>
          </w:p>
        </w:tc>
        <w:tc>
          <w:tcPr>
            <w:tcW w:w="33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44CC5FE" w14:textId="77777777" w:rsidR="003D7F65" w:rsidRDefault="0082041E">
            <w:pPr>
              <w:pStyle w:val="P68B1DB1-Normal7"/>
              <w:spacing w:after="0" w:line="240" w:lineRule="auto"/>
              <w:jc w:val="center"/>
              <w:rPr>
                <w:bCs/>
                <w:noProof/>
              </w:rPr>
            </w:pPr>
            <w:r>
              <w:rPr>
                <w:noProof/>
              </w:rPr>
              <w:t>Mesure connexe (réforme ou investissement)</w:t>
            </w:r>
          </w:p>
        </w:tc>
        <w:tc>
          <w:tcPr>
            <w:tcW w:w="116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0545CEA" w14:textId="77777777" w:rsidR="003D7F65" w:rsidRDefault="0082041E">
            <w:pPr>
              <w:pStyle w:val="P68B1DB1-Normal7"/>
              <w:spacing w:after="0" w:line="240" w:lineRule="auto"/>
              <w:jc w:val="center"/>
              <w:rPr>
                <w:bCs/>
                <w:noProof/>
              </w:rPr>
            </w:pPr>
            <w:r>
              <w:rPr>
                <w:noProof/>
              </w:rPr>
              <w:t>Étape/cible</w:t>
            </w:r>
          </w:p>
        </w:tc>
        <w:tc>
          <w:tcPr>
            <w:tcW w:w="3678" w:type="dxa"/>
            <w:tcBorders>
              <w:top w:val="single" w:sz="4" w:space="0" w:color="auto"/>
              <w:left w:val="nil"/>
              <w:bottom w:val="single" w:sz="4" w:space="0" w:color="000000" w:themeColor="text1"/>
              <w:right w:val="single" w:sz="4" w:space="0" w:color="auto"/>
            </w:tcBorders>
            <w:shd w:val="clear" w:color="auto" w:fill="BDD7EE"/>
            <w:vAlign w:val="center"/>
            <w:hideMark/>
          </w:tcPr>
          <w:p w14:paraId="1F7D6D54" w14:textId="77777777" w:rsidR="003D7F65" w:rsidRDefault="0082041E">
            <w:pPr>
              <w:pStyle w:val="P68B1DB1-Normal7"/>
              <w:spacing w:after="0" w:line="240" w:lineRule="auto"/>
              <w:jc w:val="center"/>
              <w:rPr>
                <w:bCs/>
                <w:noProof/>
              </w:rPr>
            </w:pPr>
            <w:r>
              <w:rPr>
                <w:noProof/>
              </w:rPr>
              <w:t>Nom</w:t>
            </w:r>
          </w:p>
        </w:tc>
      </w:tr>
      <w:tr w:rsidR="003D7F65" w14:paraId="5CB1E1A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70973" w14:textId="77777777" w:rsidR="003D7F65" w:rsidRDefault="0082041E">
            <w:pPr>
              <w:pStyle w:val="P68B1DB1-Normal13"/>
              <w:spacing w:after="0" w:line="240" w:lineRule="auto"/>
              <w:ind w:left="20"/>
              <w:rPr>
                <w:noProof/>
              </w:rPr>
            </w:pPr>
            <w:r>
              <w:rPr>
                <w:noProof/>
              </w:rPr>
              <w:t>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272AA" w14:textId="77777777" w:rsidR="003D7F65" w:rsidRDefault="0082041E">
            <w:pPr>
              <w:pStyle w:val="P68B1DB1-Normal13"/>
              <w:rPr>
                <w:noProof/>
              </w:rPr>
            </w:pPr>
            <w:r>
              <w:rPr>
                <w:noProof/>
              </w:rPr>
              <w:t>P1C1I3 – Transformation du système énergétique – Train de mesures sur les investissements et les réformes en Åland</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5E78F"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11FE9" w14:textId="77777777" w:rsidR="003D7F65" w:rsidRDefault="0082041E">
            <w:pPr>
              <w:pStyle w:val="P68B1DB1-Normal13"/>
              <w:rPr>
                <w:noProof/>
              </w:rPr>
            </w:pPr>
            <w:r>
              <w:rPr>
                <w:noProof/>
              </w:rPr>
              <w:t xml:space="preserve"> Publication du premier appel à candidatures pour des investissements dans les énergies renouvelables en Åland</w:t>
            </w:r>
          </w:p>
        </w:tc>
      </w:tr>
      <w:tr w:rsidR="003D7F65" w14:paraId="2C39F70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A5308" w14:textId="77777777" w:rsidR="003D7F65" w:rsidRDefault="0082041E">
            <w:pPr>
              <w:pStyle w:val="P68B1DB1-Normal13"/>
              <w:spacing w:line="240" w:lineRule="auto"/>
              <w:rPr>
                <w:noProof/>
              </w:rPr>
            </w:pPr>
            <w:r>
              <w:rPr>
                <w:noProof/>
              </w:rPr>
              <w:t>11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C01674" w14:textId="77777777" w:rsidR="003D7F65" w:rsidRDefault="0082041E">
            <w:pPr>
              <w:pStyle w:val="P68B1DB1-Normal13"/>
              <w:rPr>
                <w:noProof/>
              </w:rPr>
            </w:pPr>
            <w:r>
              <w:rPr>
                <w:noProof/>
              </w:rPr>
              <w:t>P1C2R1 – Réformes industrielles et investissements soutenant la transition écologique et numérique – Réforme de la législation sur le climat et industrialisation à faible intensité de carbone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A0AA0"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67597" w14:textId="77777777" w:rsidR="003D7F65" w:rsidRDefault="0082041E">
            <w:pPr>
              <w:pStyle w:val="P68B1DB1-Normal13"/>
              <w:rPr>
                <w:noProof/>
              </w:rPr>
            </w:pPr>
            <w:r>
              <w:rPr>
                <w:noProof/>
              </w:rPr>
              <w:t>Entrée en vigueur de la loi révisée sur le climat</w:t>
            </w:r>
          </w:p>
        </w:tc>
      </w:tr>
      <w:tr w:rsidR="003D7F65" w14:paraId="201E3C6A"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7755B" w14:textId="77777777" w:rsidR="003D7F65" w:rsidRDefault="0082041E">
            <w:pPr>
              <w:pStyle w:val="P68B1DB1-Normal13"/>
              <w:spacing w:line="240" w:lineRule="auto"/>
              <w:rPr>
                <w:noProof/>
              </w:rPr>
            </w:pPr>
            <w:r>
              <w:rPr>
                <w:noProof/>
              </w:rPr>
              <w:t>26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DF068" w14:textId="77777777" w:rsidR="003D7F65" w:rsidRDefault="0082041E">
            <w:pPr>
              <w:pStyle w:val="P68B1DB1-Normal13"/>
              <w:rPr>
                <w:noProof/>
              </w:rPr>
            </w:pPr>
            <w:r>
              <w:rPr>
                <w:noProof/>
              </w:rPr>
              <w:t>P1C3R2 – Réduction des incidences du parc immobilier sur le climat et l’environnement – plan d’action visant à éliminer progressivement le chauffage au fioul fossile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CC980"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B404A" w14:textId="77777777" w:rsidR="003D7F65" w:rsidRDefault="0082041E">
            <w:pPr>
              <w:pStyle w:val="P68B1DB1-Normal13"/>
              <w:rPr>
                <w:noProof/>
              </w:rPr>
            </w:pPr>
            <w:r>
              <w:rPr>
                <w:noProof/>
              </w:rPr>
              <w:t>Publication du plan d'action pour l'élimination progressive du chauffage au fioul fossile</w:t>
            </w:r>
          </w:p>
        </w:tc>
      </w:tr>
      <w:tr w:rsidR="003D7F65" w14:paraId="00C69484"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066C7" w14:textId="77777777" w:rsidR="003D7F65" w:rsidRDefault="0082041E">
            <w:pPr>
              <w:pStyle w:val="P68B1DB1-Normal13"/>
              <w:spacing w:line="240" w:lineRule="auto"/>
              <w:rPr>
                <w:noProof/>
              </w:rPr>
            </w:pPr>
            <w:r>
              <w:rPr>
                <w:noProof/>
              </w:rPr>
              <w:t>38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3C9F2" w14:textId="77777777" w:rsidR="003D7F65" w:rsidRDefault="0082041E">
            <w:pPr>
              <w:pStyle w:val="P68B1DB1-Normal13"/>
              <w:rPr>
                <w:noProof/>
              </w:rPr>
            </w:pPr>
            <w:r>
              <w:rPr>
                <w:noProof/>
              </w:rPr>
              <w:t>P1C4R2 – Solutions sobres en carbone pour les villes et les transports – Réforme fiscale pour des transports durables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700BC"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41280" w14:textId="77777777" w:rsidR="003D7F65" w:rsidRDefault="0082041E">
            <w:pPr>
              <w:pStyle w:val="P68B1DB1-Normal13"/>
              <w:rPr>
                <w:noProof/>
              </w:rPr>
            </w:pPr>
            <w:r>
              <w:rPr>
                <w:noProof/>
              </w:rPr>
              <w:t>Entrée en vigueur des modifications législatives de la loi relative à l’impôt sur le revenu (1205/2020) concernant une exonération de la taxe sur l’avantage de recharge d’une voiture entièrement électrique ou d’une voiture hybride rechargeable</w:t>
            </w:r>
          </w:p>
        </w:tc>
      </w:tr>
      <w:tr w:rsidR="003D7F65" w14:paraId="127BF0DA"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C4187" w14:textId="77777777" w:rsidR="003D7F65" w:rsidRDefault="0082041E">
            <w:pPr>
              <w:pStyle w:val="P68B1DB1-Normal13"/>
              <w:spacing w:line="240" w:lineRule="auto"/>
              <w:rPr>
                <w:noProof/>
              </w:rPr>
            </w:pPr>
            <w:r>
              <w:rPr>
                <w:noProof/>
              </w:rPr>
              <w:t>39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AAD03" w14:textId="77777777" w:rsidR="003D7F65" w:rsidRDefault="0082041E">
            <w:pPr>
              <w:pStyle w:val="P68B1DB1-Normal13"/>
              <w:rPr>
                <w:noProof/>
              </w:rPr>
            </w:pPr>
            <w:r>
              <w:rPr>
                <w:noProof/>
              </w:rPr>
              <w:t>P1C4I1 – Solutions à faible intensité de carbone pour les villes et les transports – Infrastructures publiques de recharge et de ravitaillement pour les transports d’électricité et d’hydrogène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C30A6"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2FACB" w14:textId="77777777" w:rsidR="003D7F65" w:rsidRDefault="0082041E">
            <w:pPr>
              <w:pStyle w:val="P68B1DB1-Normal13"/>
              <w:rPr>
                <w:noProof/>
              </w:rPr>
            </w:pPr>
            <w:r>
              <w:rPr>
                <w:noProof/>
              </w:rPr>
              <w:t>Publication des appels à candidatures pour l’amélioration des infrastructures de distribution des véhicules électriques et à hydrogène</w:t>
            </w:r>
          </w:p>
        </w:tc>
      </w:tr>
      <w:tr w:rsidR="003D7F65" w14:paraId="02FED46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38A07" w14:textId="77777777" w:rsidR="003D7F65" w:rsidRDefault="0082041E">
            <w:pPr>
              <w:pStyle w:val="P68B1DB1-Normal13"/>
              <w:spacing w:line="240" w:lineRule="auto"/>
              <w:rPr>
                <w:noProof/>
              </w:rPr>
            </w:pPr>
            <w:r>
              <w:rPr>
                <w:noProof/>
              </w:rPr>
              <w:t>48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2F62D" w14:textId="77777777" w:rsidR="003D7F65" w:rsidRDefault="0082041E">
            <w:pPr>
              <w:pStyle w:val="P68B1DB1-Normal13"/>
              <w:rPr>
                <w:noProof/>
              </w:rPr>
            </w:pPr>
            <w:r>
              <w:rPr>
                <w:noProof/>
              </w:rPr>
              <w:t>P1C5I1 – Durabilité environnementale et solutions fondées sur la nature – Traitement du gypse et recyclage des nutriments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8AE8B2"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DF864" w14:textId="77777777" w:rsidR="003D7F65" w:rsidRDefault="0082041E">
            <w:pPr>
              <w:pStyle w:val="P68B1DB1-Normal13"/>
              <w:rPr>
                <w:noProof/>
              </w:rPr>
            </w:pPr>
            <w:r>
              <w:rPr>
                <w:noProof/>
              </w:rPr>
              <w:t>Attribution de projets pour la fourniture, le transport et la distribution de gypse</w:t>
            </w:r>
          </w:p>
        </w:tc>
      </w:tr>
      <w:tr w:rsidR="003D7F65" w14:paraId="0DBD3A66"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6E5C9" w14:textId="77777777" w:rsidR="003D7F65" w:rsidRDefault="0082041E">
            <w:pPr>
              <w:pStyle w:val="P68B1DB1-Normal13"/>
              <w:spacing w:line="240" w:lineRule="auto"/>
              <w:rPr>
                <w:noProof/>
              </w:rPr>
            </w:pPr>
            <w:r>
              <w:rPr>
                <w:noProof/>
              </w:rPr>
              <w:t>55</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A0140" w14:textId="77777777" w:rsidR="003D7F65" w:rsidRDefault="0082041E">
            <w:pPr>
              <w:pStyle w:val="P68B1DB1-Normal13"/>
              <w:rPr>
                <w:noProof/>
              </w:rPr>
            </w:pPr>
            <w:r>
              <w:rPr>
                <w:noProof/>
              </w:rPr>
              <w:t>P2C1I1- Connectivité numérique – Développer la qualité et la disponibilité des réseaux de communication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ECBAE"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78C228" w14:textId="77777777" w:rsidR="003D7F65" w:rsidRDefault="0082041E">
            <w:pPr>
              <w:pStyle w:val="P68B1DB1-Normal13"/>
              <w:rPr>
                <w:noProof/>
              </w:rPr>
            </w:pPr>
            <w:r>
              <w:rPr>
                <w:noProof/>
              </w:rPr>
              <w:t>Entrée en vigueur des modifications législatives apportées à la législation sur les aides en faveur du haut débit</w:t>
            </w:r>
          </w:p>
        </w:tc>
      </w:tr>
      <w:tr w:rsidR="003D7F65" w14:paraId="39DD58E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60192" w14:textId="77777777" w:rsidR="003D7F65" w:rsidRDefault="0082041E">
            <w:pPr>
              <w:pStyle w:val="P68B1DB1-Normal13"/>
              <w:spacing w:line="240" w:lineRule="auto"/>
              <w:rPr>
                <w:noProof/>
              </w:rPr>
            </w:pPr>
            <w:r>
              <w:rPr>
                <w:noProof/>
              </w:rPr>
              <w:t>58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6FF73" w14:textId="77777777" w:rsidR="003D7F65" w:rsidRDefault="0082041E">
            <w:pPr>
              <w:pStyle w:val="P68B1DB1-Normal13"/>
              <w:rPr>
                <w:noProof/>
              </w:rPr>
            </w:pPr>
            <w:r>
              <w:rPr>
                <w:noProof/>
              </w:rPr>
              <w:t>P2C1I2 – Transport et aménagement du territoire – Projet Digirail</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2CE92"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5B912E" w14:textId="77777777" w:rsidR="003D7F65" w:rsidRDefault="0082041E">
            <w:pPr>
              <w:pStyle w:val="P68B1DB1-Normal13"/>
              <w:rPr>
                <w:noProof/>
              </w:rPr>
            </w:pPr>
            <w:r>
              <w:rPr>
                <w:noProof/>
              </w:rPr>
              <w:t>Le laboratoire d'essais sur les équipements de modélisation pour le système européen commun de protection automatique des trains (ERTMS) est opérationnel</w:t>
            </w:r>
          </w:p>
        </w:tc>
      </w:tr>
      <w:tr w:rsidR="003D7F65" w14:paraId="05B5DEC9"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81218" w14:textId="77777777" w:rsidR="003D7F65" w:rsidRDefault="0082041E">
            <w:pPr>
              <w:pStyle w:val="P68B1DB1-Normal13"/>
              <w:spacing w:line="240" w:lineRule="auto"/>
              <w:rPr>
                <w:noProof/>
              </w:rPr>
            </w:pPr>
            <w:r>
              <w:rPr>
                <w:noProof/>
              </w:rPr>
              <w:t>61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B18CD" w14:textId="77777777" w:rsidR="003D7F65" w:rsidRDefault="0082041E">
            <w:pPr>
              <w:pStyle w:val="P68B1DB1-Normal13"/>
              <w:rPr>
                <w:noProof/>
              </w:rPr>
            </w:pPr>
            <w:r>
              <w:rPr>
                <w:noProof/>
              </w:rPr>
              <w:t>P2C2I1 – Économie numérique – Programme «Économie en temps réel» (RTE)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837ADD"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D5D01" w14:textId="77777777" w:rsidR="003D7F65" w:rsidRDefault="0082041E">
            <w:pPr>
              <w:pStyle w:val="P68B1DB1-Normal13"/>
              <w:rPr>
                <w:noProof/>
              </w:rPr>
            </w:pPr>
            <w:r>
              <w:rPr>
                <w:noProof/>
              </w:rPr>
              <w:t>Un écosystème minimum viable est créé et opérationnel</w:t>
            </w:r>
          </w:p>
        </w:tc>
      </w:tr>
      <w:tr w:rsidR="003D7F65" w14:paraId="156D8692"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07C65" w14:textId="77777777" w:rsidR="003D7F65" w:rsidRDefault="0082041E">
            <w:pPr>
              <w:pStyle w:val="P68B1DB1-Normal13"/>
              <w:spacing w:line="240" w:lineRule="auto"/>
              <w:rPr>
                <w:noProof/>
              </w:rPr>
            </w:pPr>
            <w:r>
              <w:rPr>
                <w:noProof/>
              </w:rPr>
              <w:t>64</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0EB16" w14:textId="77777777" w:rsidR="003D7F65" w:rsidRDefault="0082041E">
            <w:pPr>
              <w:pStyle w:val="P68B1DB1-Normal13"/>
              <w:rPr>
                <w:noProof/>
              </w:rPr>
            </w:pPr>
            <w:r>
              <w:rPr>
                <w:noProof/>
              </w:rPr>
              <w:t>P2C2I3 - Accélérer les technologies clés (microélectronique, 6G, intelligence artificielle et informatique quantique)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76DE7" w14:textId="77777777" w:rsidR="003D7F65" w:rsidRDefault="0082041E">
            <w:pPr>
              <w:pStyle w:val="P68B1DB1-Normal13"/>
              <w:rPr>
                <w:noProof/>
              </w:rPr>
            </w:pPr>
            <w:r>
              <w:rPr>
                <w:noProof/>
              </w:rPr>
              <w:t>Objectif</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7018A1" w14:textId="77777777" w:rsidR="003D7F65" w:rsidRDefault="0082041E">
            <w:pPr>
              <w:pStyle w:val="P68B1DB1-Normal13"/>
              <w:rPr>
                <w:noProof/>
              </w:rPr>
            </w:pPr>
            <w:r>
              <w:rPr>
                <w:noProof/>
              </w:rPr>
              <w:t>Les projets de micro-électronique sont récompensés</w:t>
            </w:r>
          </w:p>
        </w:tc>
      </w:tr>
      <w:tr w:rsidR="003D7F65" w14:paraId="22AF1B69"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05DB7" w14:textId="77777777" w:rsidR="003D7F65" w:rsidRDefault="0082041E">
            <w:pPr>
              <w:pStyle w:val="P68B1DB1-Normal13"/>
              <w:spacing w:line="240" w:lineRule="auto"/>
              <w:rPr>
                <w:noProof/>
              </w:rPr>
            </w:pPr>
            <w:r>
              <w:rPr>
                <w:noProof/>
              </w:rPr>
              <w:t>66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804AE" w14:textId="77777777" w:rsidR="003D7F65" w:rsidRDefault="0082041E">
            <w:pPr>
              <w:pStyle w:val="P68B1DB1-Normal13"/>
              <w:rPr>
                <w:noProof/>
              </w:rPr>
            </w:pPr>
            <w:r>
              <w:rPr>
                <w:noProof/>
              </w:rPr>
              <w:t>P2C2I3 - Accélérer les technologies clés (microélectronique, 6G, intelligence artificielle et informatique quantique)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860D3"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761C8" w14:textId="77777777" w:rsidR="003D7F65" w:rsidRDefault="0082041E">
            <w:pPr>
              <w:pStyle w:val="P68B1DB1-Normal13"/>
              <w:rPr>
                <w:noProof/>
              </w:rPr>
            </w:pPr>
            <w:r>
              <w:rPr>
                <w:noProof/>
              </w:rPr>
              <w:t>Les projets développant la 6G, l'IA et l'informatique quantique sont récompensés</w:t>
            </w:r>
          </w:p>
        </w:tc>
      </w:tr>
      <w:tr w:rsidR="003D7F65" w14:paraId="54E5CE71"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B5866" w14:textId="77777777" w:rsidR="003D7F65" w:rsidRDefault="0082041E">
            <w:pPr>
              <w:pStyle w:val="P68B1DB1-Normal13"/>
              <w:spacing w:line="240" w:lineRule="auto"/>
              <w:rPr>
                <w:noProof/>
              </w:rPr>
            </w:pPr>
            <w:r>
              <w:rPr>
                <w:noProof/>
              </w:rPr>
              <w:t>72bis</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AFEF2" w14:textId="77777777" w:rsidR="003D7F65" w:rsidRDefault="0082041E">
            <w:pPr>
              <w:pStyle w:val="P68B1DB1-Normal10"/>
              <w:spacing w:after="0" w:line="240" w:lineRule="auto"/>
              <w:rPr>
                <w:noProof/>
              </w:rPr>
            </w:pPr>
            <w:r>
              <w:rPr>
                <w:noProof/>
              </w:rPr>
              <w:t>P2C2R2 - Renforcer l’efficacité et la transparence des réformes et des investissements dans le cadre du PRR en développant les systèmes d’information, l’administration et l’audit</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536519"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A7276" w14:textId="77777777" w:rsidR="003D7F65" w:rsidRDefault="0082041E">
            <w:pPr>
              <w:pStyle w:val="P68B1DB1-Normal10"/>
              <w:rPr>
                <w:rFonts w:eastAsia="Times New Roman"/>
                <w:noProof/>
              </w:rPr>
            </w:pPr>
            <w:r>
              <w:rPr>
                <w:noProof/>
              </w:rPr>
              <w:t>Entrée en vigueur du décret du ministère des finances sur la gestion des risques et les contrôles visant à garantir la protection des intérêts financiers de l’Union et le respect de la législation de l’Union et de la législation nationale applicables, et publication des lignes directrices de l’organisme de coordination des organes de mise en œuvre de la FRR.</w:t>
            </w:r>
          </w:p>
        </w:tc>
      </w:tr>
      <w:tr w:rsidR="003D7F65" w14:paraId="5F2A13E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D9A06" w14:textId="77777777" w:rsidR="003D7F65" w:rsidRDefault="0082041E">
            <w:pPr>
              <w:pStyle w:val="P68B1DB1-Normal13"/>
              <w:rPr>
                <w:noProof/>
              </w:rPr>
            </w:pPr>
            <w:r>
              <w:rPr>
                <w:noProof/>
              </w:rPr>
              <w:t>77</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A8AE8" w14:textId="77777777" w:rsidR="003D7F65" w:rsidRDefault="0082041E">
            <w:pPr>
              <w:pStyle w:val="P68B1DB1-Normal13"/>
              <w:rPr>
                <w:noProof/>
              </w:rPr>
            </w:pPr>
            <w:r>
              <w:rPr>
                <w:noProof/>
              </w:rPr>
              <w:t>P3C1R1 – Emploi et marché du travail – Modèle nordique de services de l’emploi</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2FBEFE"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F18E0" w14:textId="77777777" w:rsidR="003D7F65" w:rsidRDefault="0082041E">
            <w:pPr>
              <w:pStyle w:val="P68B1DB1-Normal13"/>
              <w:rPr>
                <w:noProof/>
              </w:rPr>
            </w:pPr>
            <w:r>
              <w:rPr>
                <w:noProof/>
              </w:rPr>
              <w:t>Entrée en vigueur de la loi sur l’emploi public et les services aux entreprises réglementant le modèle de service nordique de l’emploi pour le processus de service aux demandeurs d’emploi</w:t>
            </w:r>
          </w:p>
        </w:tc>
      </w:tr>
      <w:tr w:rsidR="003D7F65" w14:paraId="0C660BE7"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B6108" w14:textId="77777777" w:rsidR="003D7F65" w:rsidRDefault="0082041E">
            <w:pPr>
              <w:pStyle w:val="P68B1DB1-Normal13"/>
              <w:rPr>
                <w:noProof/>
              </w:rPr>
            </w:pPr>
            <w:r>
              <w:rPr>
                <w:noProof/>
              </w:rPr>
              <w:t>81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66C5D" w14:textId="77777777" w:rsidR="003D7F65" w:rsidRDefault="0082041E">
            <w:pPr>
              <w:pStyle w:val="P68B1DB1-Normal13"/>
              <w:rPr>
                <w:noProof/>
              </w:rPr>
            </w:pPr>
            <w:r>
              <w:rPr>
                <w:noProof/>
              </w:rPr>
              <w:t>P3C1R3 – Emploi et marché du travail – Rationalisation du processus d’immigration fondé sur le travail et l’éducation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7FA63"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D7033" w14:textId="77777777" w:rsidR="003D7F65" w:rsidRDefault="0082041E">
            <w:pPr>
              <w:pStyle w:val="P68B1DB1-Normal13"/>
              <w:rPr>
                <w:noProof/>
              </w:rPr>
            </w:pPr>
            <w:r>
              <w:rPr>
                <w:noProof/>
              </w:rPr>
              <w:t>Entrée en vigueur des modifications législatives apportées à la loi concernant les étudiants, les chercheurs et les stagiaires (719/2018)</w:t>
            </w:r>
          </w:p>
        </w:tc>
      </w:tr>
      <w:tr w:rsidR="003D7F65" w14:paraId="2C25B111"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E3594F" w14:textId="77777777" w:rsidR="003D7F65" w:rsidRDefault="0082041E">
            <w:pPr>
              <w:pStyle w:val="P68B1DB1-Normal13"/>
              <w:rPr>
                <w:noProof/>
              </w:rPr>
            </w:pPr>
            <w:r>
              <w:rPr>
                <w:noProof/>
              </w:rPr>
              <w:t>83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614F9" w14:textId="77777777" w:rsidR="003D7F65" w:rsidRDefault="0082041E">
            <w:pPr>
              <w:pStyle w:val="P68B1DB1-Normal13"/>
              <w:rPr>
                <w:noProof/>
              </w:rPr>
            </w:pPr>
            <w:r>
              <w:rPr>
                <w:noProof/>
              </w:rPr>
              <w:t>P3C1R3 - Emploi et marché du travail - Rationalisation du processus d'immigration fondé sur le travail et l'éducation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BF762B"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4FDB4" w14:textId="77777777" w:rsidR="003D7F65" w:rsidRDefault="0082041E">
            <w:pPr>
              <w:pStyle w:val="P68B1DB1-Normal13"/>
              <w:rPr>
                <w:noProof/>
              </w:rPr>
            </w:pPr>
            <w:r>
              <w:rPr>
                <w:noProof/>
              </w:rPr>
              <w:t xml:space="preserve"> Mettre en place un processus accéléré pour les spécialistes, les entrepreneurs de croissance et les membres de leur famille qui les accompagnent</w:t>
            </w:r>
          </w:p>
        </w:tc>
      </w:tr>
      <w:tr w:rsidR="003D7F65" w14:paraId="3A1B9A91"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6A860" w14:textId="77777777" w:rsidR="003D7F65" w:rsidRDefault="0082041E">
            <w:pPr>
              <w:pStyle w:val="P68B1DB1-Normal13"/>
              <w:rPr>
                <w:noProof/>
              </w:rPr>
            </w:pPr>
            <w:r>
              <w:rPr>
                <w:noProof/>
              </w:rPr>
              <w:t>93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6447D" w14:textId="77777777" w:rsidR="003D7F65" w:rsidRDefault="0082041E">
            <w:pPr>
              <w:pStyle w:val="P68B1DB1-Normal13"/>
              <w:rPr>
                <w:noProof/>
              </w:rPr>
            </w:pPr>
            <w:r>
              <w:rPr>
                <w:noProof/>
              </w:rPr>
              <w:t>P3C2R1- Réforme de l'apprentissage continu</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E528B" w14:textId="77777777" w:rsidR="003D7F65" w:rsidRDefault="0082041E">
            <w:pPr>
              <w:pStyle w:val="P68B1DB1-Normal13"/>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15DE3" w14:textId="77777777" w:rsidR="003D7F65" w:rsidRDefault="0082041E">
            <w:pPr>
              <w:pStyle w:val="P68B1DB1-Normal13"/>
              <w:rPr>
                <w:noProof/>
              </w:rPr>
            </w:pPr>
            <w:r>
              <w:rPr>
                <w:noProof/>
              </w:rPr>
              <w:t>Publication du premier appel à candidatures pour la formation au renforcement des compétences numériques et vertes</w:t>
            </w:r>
          </w:p>
        </w:tc>
      </w:tr>
      <w:tr w:rsidR="003D7F65" w14:paraId="68F471EF"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582FE" w14:textId="77777777" w:rsidR="003D7F65" w:rsidRDefault="0082041E">
            <w:pPr>
              <w:pStyle w:val="P68B1DB1-Normal13"/>
              <w:spacing w:line="240" w:lineRule="auto"/>
              <w:rPr>
                <w:noProof/>
              </w:rPr>
            </w:pPr>
            <w:r>
              <w:rPr>
                <w:noProof/>
              </w:rPr>
              <w:t>98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F2DB3" w14:textId="77777777" w:rsidR="003D7F65" w:rsidRDefault="0082041E">
            <w:pPr>
              <w:pStyle w:val="P68B1DB1-Normal29"/>
              <w:spacing w:line="240" w:lineRule="auto"/>
              <w:rPr>
                <w:noProof/>
              </w:rPr>
            </w:pPr>
            <w:r>
              <w:rPr>
                <w:noProof/>
              </w:rPr>
              <w:t>P3C2I2 - Améliorer le niveau d'éducation en augmentant la place des étudiants dans l'enseignement supérieur</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92DA7" w14:textId="77777777" w:rsidR="003D7F65" w:rsidRDefault="0082041E">
            <w:pPr>
              <w:pStyle w:val="P68B1DB1-Normal13"/>
              <w:rPr>
                <w:noProof/>
              </w:rPr>
            </w:pPr>
            <w:r>
              <w:rPr>
                <w:noProof/>
              </w:rPr>
              <w:t>Objectif</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942CD" w14:textId="77777777" w:rsidR="003D7F65" w:rsidRDefault="0082041E">
            <w:pPr>
              <w:pStyle w:val="P68B1DB1-Normal29"/>
              <w:spacing w:line="240" w:lineRule="auto"/>
              <w:rPr>
                <w:noProof/>
              </w:rPr>
            </w:pPr>
            <w:r>
              <w:rPr>
                <w:noProof/>
              </w:rPr>
              <w:t>Augmentation du nombre d’admissions d’étudiants dans les établissements d’enseignement supérieur</w:t>
            </w:r>
          </w:p>
        </w:tc>
      </w:tr>
      <w:tr w:rsidR="003D7F65" w14:paraId="40909C00"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3D843" w14:textId="77777777" w:rsidR="003D7F65" w:rsidRDefault="0082041E">
            <w:pPr>
              <w:pStyle w:val="P68B1DB1-Normal29"/>
              <w:spacing w:line="240" w:lineRule="auto"/>
              <w:rPr>
                <w:noProof/>
              </w:rPr>
            </w:pPr>
            <w:r>
              <w:rPr>
                <w:noProof/>
              </w:rPr>
              <w:t>100</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C2E2C" w14:textId="77777777" w:rsidR="003D7F65" w:rsidRDefault="0082041E">
            <w:pPr>
              <w:pStyle w:val="P68B1DB1-Normal13"/>
              <w:rPr>
                <w:noProof/>
              </w:rPr>
            </w:pPr>
            <w:r>
              <w:rPr>
                <w:noProof/>
              </w:rPr>
              <w:t>P3C3I1 – RDI, infrastructures de recherche et pilotage – Paquet de financement de la RDI promouvant la transition écologique – Entreprises de premier plan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9431CA"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6EA20" w14:textId="77777777" w:rsidR="003D7F65" w:rsidRDefault="0082041E">
            <w:pPr>
              <w:pStyle w:val="P68B1DB1-Normal29"/>
              <w:rPr>
                <w:noProof/>
              </w:rPr>
            </w:pPr>
            <w:r>
              <w:rPr>
                <w:noProof/>
              </w:rPr>
              <w:t>Publication d’un appel à candidatures pour des projets d’entreprises de premier plan</w:t>
            </w:r>
          </w:p>
        </w:tc>
      </w:tr>
      <w:tr w:rsidR="003D7F65" w14:paraId="2306657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BD85B1" w14:textId="77777777" w:rsidR="003D7F65" w:rsidRDefault="0082041E">
            <w:pPr>
              <w:pStyle w:val="P68B1DB1-Normal29"/>
              <w:spacing w:line="240" w:lineRule="auto"/>
              <w:rPr>
                <w:noProof/>
              </w:rPr>
            </w:pPr>
            <w:r>
              <w:rPr>
                <w:noProof/>
              </w:rPr>
              <w:t>106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E9B0A" w14:textId="77777777" w:rsidR="003D7F65" w:rsidRDefault="0082041E">
            <w:pPr>
              <w:pStyle w:val="P68B1DB1-Normal30"/>
              <w:rPr>
                <w:rFonts w:ascii="Times New Roman" w:eastAsia="Times New Roman" w:hAnsi="Times New Roman"/>
                <w:noProof/>
                <w:color w:val="000000"/>
              </w:rPr>
            </w:pPr>
            <w:r>
              <w:rPr>
                <w:rFonts w:ascii="Times New Roman" w:eastAsia="Times New Roman" w:hAnsi="Times New Roman"/>
                <w:noProof/>
                <w:color w:val="000000"/>
              </w:rPr>
              <w:t>P3C3I3</w:t>
            </w:r>
            <w:r>
              <w:rPr>
                <w:rFonts w:ascii="Times New Roman" w:hAnsi="Times New Roman"/>
                <w:noProof/>
              </w:rPr>
              <w:t xml:space="preserve"> - RDI, infrastructures de recherche et pilotage – Paquet de financement RDI soutenant la transition écologique – Accélérer les secteurs clés et renforcer les compétences (Business Finland)</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E89E7"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D3064" w14:textId="77777777" w:rsidR="003D7F65" w:rsidRDefault="0082041E">
            <w:pPr>
              <w:pStyle w:val="P68B1DB1-Normal10"/>
              <w:rPr>
                <w:rFonts w:eastAsia="Times New Roman"/>
                <w:noProof/>
                <w:color w:val="000000"/>
              </w:rPr>
            </w:pPr>
            <w:r>
              <w:rPr>
                <w:noProof/>
              </w:rPr>
              <w:t xml:space="preserve">Publication par Business Finland d'un appel à candidatures pour des projets de RDI visant à accroître les compétences dans des secteurs clés </w:t>
            </w:r>
          </w:p>
        </w:tc>
      </w:tr>
      <w:tr w:rsidR="003D7F65" w14:paraId="38E5BDB5"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703B3C" w14:textId="77777777" w:rsidR="003D7F65" w:rsidRDefault="0082041E">
            <w:pPr>
              <w:pStyle w:val="P68B1DB1-Normal13"/>
              <w:spacing w:line="240" w:lineRule="auto"/>
              <w:rPr>
                <w:noProof/>
                <w:color w:val="000000"/>
              </w:rPr>
            </w:pPr>
            <w:r>
              <w:rPr>
                <w:noProof/>
              </w:rPr>
              <w:t>109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D49EF" w14:textId="77777777" w:rsidR="003D7F65" w:rsidRDefault="0082041E">
            <w:pPr>
              <w:pStyle w:val="P68B1DB1-Normal30"/>
              <w:rPr>
                <w:rFonts w:ascii="Times New Roman" w:eastAsia="Times New Roman" w:hAnsi="Times New Roman"/>
                <w:noProof/>
                <w:color w:val="000000"/>
              </w:rPr>
            </w:pPr>
            <w:r>
              <w:rPr>
                <w:rFonts w:ascii="Times New Roman" w:eastAsia="Times New Roman" w:hAnsi="Times New Roman"/>
                <w:noProof/>
                <w:color w:val="000000"/>
              </w:rPr>
              <w:t>P3C3I4</w:t>
            </w:r>
            <w:r>
              <w:rPr>
                <w:rFonts w:ascii="Times New Roman" w:hAnsi="Times New Roman"/>
                <w:noProof/>
              </w:rPr>
              <w:t xml:space="preserve"> – RDI, infrastructures de recherche et pilotage – Paquet de financement de la RDI soutenant la transition écologique – Soutien aux entreprises innovantes en croissance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A2733"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E8D0A" w14:textId="77777777" w:rsidR="003D7F65" w:rsidRDefault="0082041E">
            <w:pPr>
              <w:pStyle w:val="P68B1DB1-Normal10"/>
              <w:rPr>
                <w:rFonts w:eastAsia="Times New Roman"/>
                <w:noProof/>
                <w:color w:val="000000"/>
              </w:rPr>
            </w:pPr>
            <w:r>
              <w:rPr>
                <w:noProof/>
              </w:rPr>
              <w:t>Publication par Business Finland d'un appel à candidatures pour des projets de RDI en faveur d'entreprises innovantes en croissance</w:t>
            </w:r>
          </w:p>
        </w:tc>
      </w:tr>
      <w:tr w:rsidR="003D7F65" w14:paraId="1730380B"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B9302" w14:textId="77777777" w:rsidR="003D7F65" w:rsidRDefault="0082041E">
            <w:pPr>
              <w:pStyle w:val="P68B1DB1-Normal29"/>
              <w:spacing w:line="240" w:lineRule="auto"/>
              <w:rPr>
                <w:noProof/>
              </w:rPr>
            </w:pPr>
            <w:r>
              <w:rPr>
                <w:noProof/>
              </w:rPr>
              <w:t>112</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38DCB" w14:textId="77777777" w:rsidR="003D7F65" w:rsidRDefault="0082041E">
            <w:pPr>
              <w:pStyle w:val="P68B1DB1-Normal29"/>
              <w:rPr>
                <w:noProof/>
              </w:rPr>
            </w:pPr>
            <w:r>
              <w:rPr>
                <w:noProof/>
              </w:rPr>
              <w:t>P3C3I5 – RDI, infrastructures de recherche et pilotage – Promouvoir l’innovation et les infrastructures de recherche – Infrastructures de recherche locales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364F6"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4FE65" w14:textId="77777777" w:rsidR="003D7F65" w:rsidRDefault="0082041E">
            <w:pPr>
              <w:pStyle w:val="P68B1DB1-Normal29"/>
              <w:rPr>
                <w:noProof/>
              </w:rPr>
            </w:pPr>
            <w:r>
              <w:rPr>
                <w:noProof/>
              </w:rPr>
              <w:t>Publication d'un appel à candidatures pour le renouvellement et le développement des infrastructures de recherche locales</w:t>
            </w:r>
          </w:p>
        </w:tc>
      </w:tr>
      <w:tr w:rsidR="003D7F65" w14:paraId="6E68D602"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E2BF2F" w14:textId="77777777" w:rsidR="003D7F65" w:rsidRDefault="0082041E">
            <w:pPr>
              <w:pStyle w:val="P68B1DB1-Normal29"/>
              <w:spacing w:line="240" w:lineRule="auto"/>
              <w:rPr>
                <w:noProof/>
              </w:rPr>
            </w:pPr>
            <w:r>
              <w:rPr>
                <w:noProof/>
              </w:rPr>
              <w:t>113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48F7" w14:textId="77777777" w:rsidR="003D7F65" w:rsidRDefault="0082041E">
            <w:pPr>
              <w:pStyle w:val="P68B1DB1-Normal29"/>
              <w:rPr>
                <w:noProof/>
              </w:rPr>
            </w:pPr>
            <w:r>
              <w:rPr>
                <w:noProof/>
              </w:rPr>
              <w:t>P3C3I5 – RDI, infrastructures de recherche et pilotage – Promouvoir l’innovation et les infrastructures de recherche – Infrastructures de recherche locales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4EBDE" w14:textId="77777777" w:rsidR="003D7F65" w:rsidRDefault="0082041E">
            <w:pPr>
              <w:pStyle w:val="P68B1DB1-Normal29"/>
              <w:rPr>
                <w:noProof/>
              </w:rPr>
            </w:pPr>
            <w:r>
              <w:rPr>
                <w:noProof/>
              </w:rPr>
              <w:t>Objectif</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99012" w14:textId="77777777" w:rsidR="003D7F65" w:rsidRDefault="0082041E">
            <w:pPr>
              <w:pStyle w:val="P68B1DB1-Normal29"/>
              <w:rPr>
                <w:noProof/>
              </w:rPr>
            </w:pPr>
            <w:r>
              <w:rPr>
                <w:noProof/>
              </w:rPr>
              <w:t>Octroi de subventions pour le renouvellement et le développement d'infrastructures de recherche locales</w:t>
            </w:r>
          </w:p>
        </w:tc>
      </w:tr>
      <w:tr w:rsidR="003D7F65" w14:paraId="7A8D4FF6"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6F1E7" w14:textId="77777777" w:rsidR="003D7F65" w:rsidRDefault="0082041E">
            <w:pPr>
              <w:pStyle w:val="P68B1DB1-Normal29"/>
              <w:spacing w:line="240" w:lineRule="auto"/>
              <w:rPr>
                <w:noProof/>
              </w:rPr>
            </w:pPr>
            <w:r>
              <w:rPr>
                <w:noProof/>
              </w:rPr>
              <w:t>116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B0968" w14:textId="77777777" w:rsidR="003D7F65" w:rsidRDefault="0082041E">
            <w:pPr>
              <w:pStyle w:val="P68B1DB1-Normal29"/>
              <w:rPr>
                <w:noProof/>
              </w:rPr>
            </w:pPr>
            <w:r>
              <w:rPr>
                <w:noProof/>
              </w:rPr>
              <w:t>P3C3I6 – RDI, infrastructures de recherche et pilotage – Promouvoir l’innovation et les infrastructures de recherche – Infrastructures nationales de recherche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049022" w14:textId="77777777" w:rsidR="003D7F65" w:rsidRDefault="0082041E">
            <w:pPr>
              <w:pStyle w:val="P68B1DB1-Normal29"/>
              <w:rPr>
                <w:noProof/>
              </w:rPr>
            </w:pPr>
            <w:r>
              <w:rPr>
                <w:noProof/>
              </w:rPr>
              <w:t>Objectif</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A286B" w14:textId="77777777" w:rsidR="003D7F65" w:rsidRDefault="0082041E">
            <w:pPr>
              <w:pStyle w:val="P68B1DB1-Normal29"/>
              <w:rPr>
                <w:noProof/>
              </w:rPr>
            </w:pPr>
            <w:r>
              <w:rPr>
                <w:noProof/>
              </w:rPr>
              <w:t>Octroi de subventions pour le renouvellement et le développement des infrastructures nationales de recherche</w:t>
            </w:r>
          </w:p>
        </w:tc>
      </w:tr>
      <w:tr w:rsidR="003D7F65" w14:paraId="1B284797"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17EF4" w14:textId="77777777" w:rsidR="003D7F65" w:rsidRDefault="0082041E">
            <w:pPr>
              <w:pStyle w:val="P68B1DB1-Normal29"/>
              <w:spacing w:line="240" w:lineRule="auto"/>
              <w:rPr>
                <w:noProof/>
              </w:rPr>
            </w:pPr>
            <w:r>
              <w:rPr>
                <w:noProof/>
              </w:rPr>
              <w:t>118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0253D" w14:textId="77777777" w:rsidR="003D7F65" w:rsidRDefault="0082041E">
            <w:pPr>
              <w:pStyle w:val="P68B1DB1-Normal29"/>
              <w:rPr>
                <w:noProof/>
              </w:rPr>
            </w:pPr>
            <w:r>
              <w:rPr>
                <w:noProof/>
              </w:rPr>
              <w:t>P3C3I7 – RDI, infrastructures de recherche et pilotage – Promouvoir l’innovation et les infrastructures de recherche – Financement compétitif des infrastructures d’innovation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183C1"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7860D9" w14:textId="77777777" w:rsidR="003D7F65" w:rsidRDefault="0082041E">
            <w:pPr>
              <w:pStyle w:val="P68B1DB1-Normal29"/>
              <w:rPr>
                <w:noProof/>
              </w:rPr>
            </w:pPr>
            <w:r>
              <w:rPr>
                <w:noProof/>
              </w:rPr>
              <w:t>Publication d'un appel à candidatures pour le développement d'infrastructures d'innovation</w:t>
            </w:r>
          </w:p>
        </w:tc>
      </w:tr>
      <w:tr w:rsidR="003D7F65" w14:paraId="65E3E6C6"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F2EEA" w14:textId="77777777" w:rsidR="003D7F65" w:rsidRDefault="0082041E">
            <w:pPr>
              <w:pStyle w:val="P68B1DB1-Normal29"/>
              <w:spacing w:line="240" w:lineRule="auto"/>
              <w:rPr>
                <w:noProof/>
              </w:rPr>
            </w:pPr>
            <w:r>
              <w:rPr>
                <w:noProof/>
              </w:rPr>
              <w:t>121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7B6A7" w14:textId="77777777" w:rsidR="003D7F65" w:rsidRDefault="0082041E">
            <w:pPr>
              <w:pStyle w:val="P68B1DB1-Normal29"/>
              <w:rPr>
                <w:noProof/>
              </w:rPr>
            </w:pPr>
            <w:r>
              <w:rPr>
                <w:noProof/>
              </w:rPr>
              <w:t>P3C4I1 – Renforcer la compétitivité et stimuler la croissance dans les secteurs touchés par la crise – Programme d’accélération de la croissance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6F104"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92A2D" w14:textId="77777777" w:rsidR="003D7F65" w:rsidRDefault="0082041E">
            <w:pPr>
              <w:pStyle w:val="P68B1DB1-Normal29"/>
              <w:rPr>
                <w:noProof/>
              </w:rPr>
            </w:pPr>
            <w:r>
              <w:rPr>
                <w:noProof/>
              </w:rPr>
              <w:t>Publication de l’appel à candidatures pour le soutien aux capacités d’internationalisation des entreprises</w:t>
            </w:r>
          </w:p>
        </w:tc>
      </w:tr>
      <w:tr w:rsidR="003D7F65" w14:paraId="738A859D"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91F61" w14:textId="77777777" w:rsidR="003D7F65" w:rsidRDefault="0082041E">
            <w:pPr>
              <w:pStyle w:val="P68B1DB1-Normal29"/>
              <w:spacing w:line="240" w:lineRule="auto"/>
              <w:rPr>
                <w:noProof/>
              </w:rPr>
            </w:pPr>
            <w:r>
              <w:rPr>
                <w:noProof/>
              </w:rPr>
              <w:t>124</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5CA32" w14:textId="77777777" w:rsidR="003D7F65" w:rsidRDefault="0082041E">
            <w:pPr>
              <w:pStyle w:val="P68B1DB1-Normal29"/>
              <w:rPr>
                <w:noProof/>
              </w:rPr>
            </w:pPr>
            <w:r>
              <w:rPr>
                <w:noProof/>
              </w:rPr>
              <w:t>P3C4I2 – Renforcer la compétitivité et stimuler la croissance dans les secteurs touchés par la crise – Programmes clés pour la croissance internationale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AA0AE"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2F5C0" w14:textId="77777777" w:rsidR="003D7F65" w:rsidRDefault="0082041E">
            <w:pPr>
              <w:pStyle w:val="P68B1DB1-Normal29"/>
              <w:rPr>
                <w:noProof/>
              </w:rPr>
            </w:pPr>
            <w:r>
              <w:rPr>
                <w:noProof/>
              </w:rPr>
              <w:t>Publication des trois premiers appels à candidatures dans le cadre de programmes clés pour la croissance internationale</w:t>
            </w:r>
          </w:p>
        </w:tc>
      </w:tr>
      <w:tr w:rsidR="003D7F65" w14:paraId="570E0EE2" w14:textId="77777777">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34C116" w14:textId="77777777" w:rsidR="003D7F65" w:rsidRDefault="0082041E">
            <w:pPr>
              <w:pStyle w:val="P68B1DB1-Normal29"/>
              <w:spacing w:line="240" w:lineRule="auto"/>
              <w:rPr>
                <w:noProof/>
              </w:rPr>
            </w:pPr>
            <w:r>
              <w:rPr>
                <w:noProof/>
              </w:rPr>
              <w:t>130</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035F2" w14:textId="77777777" w:rsidR="003D7F65" w:rsidRDefault="0082041E">
            <w:pPr>
              <w:pStyle w:val="P68B1DB1-Normal29"/>
              <w:rPr>
                <w:noProof/>
              </w:rPr>
            </w:pPr>
            <w:r>
              <w:rPr>
                <w:noProof/>
              </w:rPr>
              <w:t>P3C4I4 – Renforcer la compétitivité et stimuler la croissance dans les secteurs touchés par la crise – Soutenir une croissance durable et numérique dans le secteur du tourisme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24D4C" w14:textId="77777777" w:rsidR="003D7F65" w:rsidRDefault="0082041E">
            <w:pPr>
              <w:pStyle w:val="P68B1DB1-Normal29"/>
              <w:rPr>
                <w:noProof/>
              </w:rPr>
            </w:pPr>
            <w:r>
              <w:rPr>
                <w:noProof/>
              </w:rPr>
              <w:t>Étape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C21EB" w14:textId="77777777" w:rsidR="003D7F65" w:rsidRDefault="0082041E">
            <w:pPr>
              <w:pStyle w:val="P68B1DB1-Normal29"/>
              <w:rPr>
                <w:noProof/>
              </w:rPr>
            </w:pPr>
            <w:r>
              <w:rPr>
                <w:noProof/>
              </w:rPr>
              <w:t>Publication de l'appel à candidatures pour des projets de RDI dans le secteur du tourisme</w:t>
            </w:r>
          </w:p>
        </w:tc>
      </w:tr>
      <w:tr w:rsidR="003D7F65" w14:paraId="60BE847A" w14:textId="77777777">
        <w:trPr>
          <w:trHeight w:val="144"/>
        </w:trPr>
        <w:tc>
          <w:tcPr>
            <w:tcW w:w="5569"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515DDE20" w14:textId="77777777" w:rsidR="003D7F65" w:rsidRDefault="0082041E">
            <w:pPr>
              <w:pStyle w:val="P68B1DB1-Normal29"/>
              <w:rPr>
                <w:noProof/>
              </w:rPr>
            </w:pPr>
            <w:r>
              <w:rPr>
                <w:noProof/>
              </w:rPr>
              <w:t>Montant des acomptes provisionnels</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F4C4A" w14:textId="77777777" w:rsidR="003D7F65" w:rsidRDefault="0082041E">
            <w:pPr>
              <w:pStyle w:val="P68B1DB1-Normal29"/>
              <w:rPr>
                <w:noProof/>
              </w:rPr>
            </w:pPr>
            <w:r>
              <w:rPr>
                <w:noProof/>
              </w:rPr>
              <w:t>436 940 643 EUR</w:t>
            </w:r>
          </w:p>
        </w:tc>
      </w:tr>
    </w:tbl>
    <w:p w14:paraId="07ED351C" w14:textId="77777777" w:rsidR="003D7F65" w:rsidRDefault="003D7F65">
      <w:pPr>
        <w:spacing w:before="120" w:after="120" w:line="240" w:lineRule="auto"/>
        <w:ind w:left="850"/>
        <w:jc w:val="both"/>
        <w:rPr>
          <w:rFonts w:ascii="Times New Roman" w:eastAsia="Times New Roman" w:hAnsi="Times New Roman"/>
          <w:noProof/>
          <w:sz w:val="24"/>
          <w:szCs w:val="24"/>
        </w:rPr>
      </w:pPr>
    </w:p>
    <w:p w14:paraId="321B1F28" w14:textId="77777777" w:rsidR="003D7F65" w:rsidRDefault="0082041E">
      <w:pPr>
        <w:pStyle w:val="P68B1DB1-Normal4"/>
        <w:numPr>
          <w:ilvl w:val="1"/>
          <w:numId w:val="32"/>
        </w:numPr>
        <w:spacing w:before="120" w:after="120" w:line="240" w:lineRule="auto"/>
        <w:jc w:val="both"/>
        <w:rPr>
          <w:noProof/>
        </w:rPr>
      </w:pPr>
      <w:r>
        <w:rPr>
          <w:noProof/>
        </w:rPr>
        <w:t>Troisième tranche (soutien non remboursable):</w:t>
      </w:r>
    </w:p>
    <w:tbl>
      <w:tblPr>
        <w:tblW w:w="9171" w:type="dxa"/>
        <w:jc w:val="center"/>
        <w:tblLook w:val="04A0" w:firstRow="1" w:lastRow="0" w:firstColumn="1" w:lastColumn="0" w:noHBand="0" w:noVBand="1"/>
      </w:tblPr>
      <w:tblGrid>
        <w:gridCol w:w="1273"/>
        <w:gridCol w:w="3282"/>
        <w:gridCol w:w="1246"/>
        <w:gridCol w:w="3370"/>
      </w:tblGrid>
      <w:tr w:rsidR="003D7F65" w14:paraId="53C2820A" w14:textId="77777777">
        <w:trPr>
          <w:trHeight w:val="831"/>
          <w:tblHeader/>
          <w:jc w:val="center"/>
        </w:trPr>
        <w:tc>
          <w:tcPr>
            <w:tcW w:w="127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5870CE8" w14:textId="77777777" w:rsidR="003D7F65" w:rsidRDefault="0082041E">
            <w:pPr>
              <w:pStyle w:val="P68B1DB1-Normal7"/>
              <w:spacing w:after="0" w:line="240" w:lineRule="auto"/>
              <w:ind w:left="-527" w:firstLine="527"/>
              <w:jc w:val="center"/>
              <w:rPr>
                <w:bCs/>
                <w:noProof/>
              </w:rPr>
            </w:pPr>
            <w:r>
              <w:rPr>
                <w:noProof/>
              </w:rPr>
              <w:t>Numéro</w:t>
            </w:r>
          </w:p>
        </w:tc>
        <w:tc>
          <w:tcPr>
            <w:tcW w:w="328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9071625" w14:textId="77777777" w:rsidR="003D7F65" w:rsidRDefault="0082041E">
            <w:pPr>
              <w:pStyle w:val="P68B1DB1-Normal7"/>
              <w:spacing w:after="0" w:line="240" w:lineRule="auto"/>
              <w:jc w:val="center"/>
              <w:rPr>
                <w:bCs/>
                <w:noProof/>
              </w:rPr>
            </w:pPr>
            <w:r>
              <w:rPr>
                <w:noProof/>
              </w:rPr>
              <w:t>Mesure connexe (réforme ou investissement)</w:t>
            </w:r>
          </w:p>
        </w:tc>
        <w:tc>
          <w:tcPr>
            <w:tcW w:w="124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FE95890" w14:textId="77777777" w:rsidR="003D7F65" w:rsidRDefault="0082041E">
            <w:pPr>
              <w:pStyle w:val="P68B1DB1-Normal7"/>
              <w:spacing w:after="0" w:line="240" w:lineRule="auto"/>
              <w:jc w:val="center"/>
              <w:rPr>
                <w:bCs/>
                <w:noProof/>
              </w:rPr>
            </w:pPr>
            <w:r>
              <w:rPr>
                <w:noProof/>
              </w:rPr>
              <w:t>Étape/cible</w:t>
            </w:r>
          </w:p>
        </w:tc>
        <w:tc>
          <w:tcPr>
            <w:tcW w:w="3370" w:type="dxa"/>
            <w:tcBorders>
              <w:top w:val="single" w:sz="4" w:space="0" w:color="auto"/>
              <w:left w:val="nil"/>
              <w:bottom w:val="single" w:sz="4" w:space="0" w:color="000000" w:themeColor="text1"/>
              <w:right w:val="single" w:sz="4" w:space="0" w:color="auto"/>
            </w:tcBorders>
            <w:shd w:val="clear" w:color="auto" w:fill="BDD7EE"/>
            <w:vAlign w:val="center"/>
            <w:hideMark/>
          </w:tcPr>
          <w:p w14:paraId="15F78553" w14:textId="77777777" w:rsidR="003D7F65" w:rsidRDefault="0082041E">
            <w:pPr>
              <w:pStyle w:val="P68B1DB1-Normal7"/>
              <w:spacing w:after="0" w:line="240" w:lineRule="auto"/>
              <w:jc w:val="center"/>
              <w:rPr>
                <w:bCs/>
                <w:noProof/>
              </w:rPr>
            </w:pPr>
            <w:r>
              <w:rPr>
                <w:noProof/>
              </w:rPr>
              <w:t>Nom</w:t>
            </w:r>
          </w:p>
        </w:tc>
      </w:tr>
      <w:tr w:rsidR="003D7F65" w14:paraId="7BF9D22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39F02" w14:textId="77777777" w:rsidR="003D7F65" w:rsidRDefault="0082041E">
            <w:pPr>
              <w:pStyle w:val="P68B1DB1-Normal13"/>
              <w:spacing w:line="240" w:lineRule="auto"/>
              <w:rPr>
                <w:noProof/>
              </w:rPr>
            </w:pPr>
            <w:r>
              <w:rPr>
                <w:noProof/>
              </w:rPr>
              <w:t>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806B6" w14:textId="77777777" w:rsidR="003D7F65" w:rsidRDefault="0082041E">
            <w:pPr>
              <w:pStyle w:val="P68B1DB1-Normal13"/>
              <w:rPr>
                <w:noProof/>
              </w:rPr>
            </w:pPr>
            <w:r>
              <w:rPr>
                <w:noProof/>
              </w:rPr>
              <w:t>P1C1I2 – Transformation du système énergétique – Investissements dans les nouvelles technologies énergétiques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65F0A"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8E443" w14:textId="77777777" w:rsidR="003D7F65" w:rsidRDefault="0082041E">
            <w:pPr>
              <w:pStyle w:val="P68B1DB1-Normal13"/>
              <w:rPr>
                <w:noProof/>
              </w:rPr>
            </w:pPr>
            <w:r>
              <w:rPr>
                <w:noProof/>
              </w:rPr>
              <w:t>Attribution de toutes les subventions pour les investissements dans les technologies énergétiques</w:t>
            </w:r>
          </w:p>
        </w:tc>
      </w:tr>
      <w:tr w:rsidR="003D7F65" w14:paraId="09FA405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10182" w14:textId="77777777" w:rsidR="003D7F65" w:rsidRDefault="0082041E">
            <w:pPr>
              <w:pStyle w:val="P68B1DB1-Normal13"/>
              <w:spacing w:line="240" w:lineRule="auto"/>
              <w:rPr>
                <w:noProof/>
              </w:rPr>
            </w:pPr>
            <w:r>
              <w:rPr>
                <w:noProof/>
              </w:rPr>
              <w:t>20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3A720" w14:textId="77777777" w:rsidR="003D7F65" w:rsidRDefault="0082041E">
            <w:pPr>
              <w:pStyle w:val="P68B1DB1-Normal13"/>
              <w:rPr>
                <w:noProof/>
              </w:rPr>
            </w:pPr>
            <w:r>
              <w:rPr>
                <w:noProof/>
              </w:rPr>
              <w:t>P1C2I2 – Réformes industrielles et investissements soutenant la transition écologique et numérique – Électrification directe et décarbonation des processus industriels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F5ABB"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88530" w14:textId="77777777" w:rsidR="003D7F65" w:rsidRDefault="0082041E">
            <w:pPr>
              <w:pStyle w:val="P68B1DB1-Normal13"/>
              <w:rPr>
                <w:noProof/>
              </w:rPr>
            </w:pPr>
            <w:r>
              <w:rPr>
                <w:noProof/>
              </w:rPr>
              <w:t>Attribution de toutes les subventions pour des projets d'électrification directe et de procédés industriels à faible émission de carbone</w:t>
            </w:r>
          </w:p>
        </w:tc>
      </w:tr>
      <w:tr w:rsidR="003D7F65" w14:paraId="382A0AA2"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2B1B4" w14:textId="77777777" w:rsidR="003D7F65" w:rsidRDefault="0082041E">
            <w:pPr>
              <w:pStyle w:val="P68B1DB1-Normal13"/>
              <w:spacing w:line="240" w:lineRule="auto"/>
              <w:rPr>
                <w:noProof/>
              </w:rPr>
            </w:pPr>
            <w:r>
              <w:rPr>
                <w:noProof/>
              </w:rPr>
              <w:t>23</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82268" w14:textId="77777777" w:rsidR="003D7F65" w:rsidRDefault="0082041E">
            <w:pPr>
              <w:pStyle w:val="P68B1DB1-Normal13"/>
              <w:rPr>
                <w:noProof/>
              </w:rPr>
            </w:pPr>
            <w:r>
              <w:rPr>
                <w:noProof/>
              </w:rPr>
              <w:t>P1C2I3 – Réformes industrielles et investissements à l’appui de la transition écologique et numérique – Réutilisation et recyclage des matériaux clés et des flux secondaires industriels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CA55B"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06907" w14:textId="77777777" w:rsidR="003D7F65" w:rsidRDefault="0082041E">
            <w:pPr>
              <w:pStyle w:val="P68B1DB1-Normal13"/>
              <w:rPr>
                <w:noProof/>
              </w:rPr>
            </w:pPr>
            <w:r>
              <w:rPr>
                <w:noProof/>
              </w:rPr>
              <w:t>Attribution de toutes les subventions aux projets de réutilisation et de recyclage</w:t>
            </w:r>
          </w:p>
        </w:tc>
      </w:tr>
      <w:tr w:rsidR="003D7F65" w14:paraId="0741D9AC"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6C191" w14:textId="77777777" w:rsidR="003D7F65" w:rsidRDefault="0082041E">
            <w:pPr>
              <w:pStyle w:val="P68B1DB1-Normal13"/>
              <w:spacing w:line="240" w:lineRule="auto"/>
              <w:rPr>
                <w:noProof/>
              </w:rPr>
            </w:pPr>
            <w:r>
              <w:rPr>
                <w:noProof/>
              </w:rPr>
              <w:t>47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9CB3EA" w14:textId="77777777" w:rsidR="003D7F65" w:rsidRDefault="0082041E">
            <w:pPr>
              <w:pStyle w:val="P68B1DB1-Normal13"/>
              <w:rPr>
                <w:noProof/>
              </w:rPr>
            </w:pPr>
            <w:r>
              <w:rPr>
                <w:noProof/>
              </w:rPr>
              <w:t>P1C5R1 – Durabilité environnementale et solutions fondées sur la nature – Modernisation de la législation sur la nature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AEE27D"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39E03" w14:textId="77777777" w:rsidR="003D7F65" w:rsidRDefault="0082041E">
            <w:pPr>
              <w:pStyle w:val="P68B1DB1-Normal13"/>
              <w:rPr>
                <w:noProof/>
              </w:rPr>
            </w:pPr>
            <w:r>
              <w:rPr>
                <w:noProof/>
              </w:rPr>
              <w:t>Entrée en vigueur de la loi modifiée sur la conservation de la nature</w:t>
            </w:r>
          </w:p>
        </w:tc>
      </w:tr>
      <w:tr w:rsidR="003D7F65" w14:paraId="16DE81F9"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84346" w14:textId="77777777" w:rsidR="003D7F65" w:rsidRDefault="0082041E">
            <w:pPr>
              <w:pStyle w:val="P68B1DB1-Normal13"/>
              <w:spacing w:line="240" w:lineRule="auto"/>
              <w:rPr>
                <w:noProof/>
              </w:rPr>
            </w:pPr>
            <w:r>
              <w:rPr>
                <w:noProof/>
              </w:rPr>
              <w:t>50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99936" w14:textId="77777777" w:rsidR="003D7F65" w:rsidRDefault="0082041E">
            <w:pPr>
              <w:pStyle w:val="P68B1DB1-Normal13"/>
              <w:rPr>
                <w:noProof/>
              </w:rPr>
            </w:pPr>
            <w:r>
              <w:rPr>
                <w:noProof/>
              </w:rPr>
              <w:t>P1C5I1 – Durabilité environnementale et solutions fondées sur la nature – Traitement du gypse et recyclage des nutriments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7A315"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816C7" w14:textId="77777777" w:rsidR="003D7F65" w:rsidRDefault="0082041E">
            <w:pPr>
              <w:pStyle w:val="P68B1DB1-Normal13"/>
              <w:rPr>
                <w:noProof/>
              </w:rPr>
            </w:pPr>
            <w:r>
              <w:rPr>
                <w:noProof/>
              </w:rPr>
              <w:t>Les projets de recyclage et de valorisation des nutriments sont récompensés</w:t>
            </w:r>
          </w:p>
        </w:tc>
      </w:tr>
      <w:tr w:rsidR="003D7F65" w14:paraId="2BB6C28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2CF157" w14:textId="77777777" w:rsidR="003D7F65" w:rsidRDefault="0082041E">
            <w:pPr>
              <w:pStyle w:val="P68B1DB1-Normal13"/>
              <w:spacing w:line="240" w:lineRule="auto"/>
              <w:rPr>
                <w:noProof/>
              </w:rPr>
            </w:pPr>
            <w:r>
              <w:rPr>
                <w:noProof/>
              </w:rPr>
              <w:t>53</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3862C" w14:textId="77777777" w:rsidR="003D7F65" w:rsidRDefault="0082041E">
            <w:pPr>
              <w:pStyle w:val="P68B1DB1-Normal13"/>
              <w:rPr>
                <w:noProof/>
              </w:rPr>
            </w:pPr>
            <w:r>
              <w:rPr>
                <w:noProof/>
              </w:rPr>
              <w:t>P1C5I2 – Durabilité environnementale et solutions fondées sur la nature – Mesures résilientes au changement climatique dans le secteur de l’utilisation des terres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F31A8"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10D48C" w14:textId="77777777" w:rsidR="003D7F65" w:rsidRDefault="0082041E">
            <w:pPr>
              <w:pStyle w:val="P68B1DB1-Normal13"/>
              <w:rPr>
                <w:noProof/>
              </w:rPr>
            </w:pPr>
            <w:r>
              <w:rPr>
                <w:noProof/>
              </w:rPr>
              <w:t>Attribution de toutes les subventions pour les projets forestiers de précision sélectionnés pour un financement</w:t>
            </w:r>
          </w:p>
        </w:tc>
      </w:tr>
      <w:tr w:rsidR="003D7F65" w14:paraId="2332AA6A"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142FB" w14:textId="77777777" w:rsidR="003D7F65" w:rsidRDefault="0082041E">
            <w:pPr>
              <w:pStyle w:val="P68B1DB1-Normal13"/>
              <w:spacing w:line="240" w:lineRule="auto"/>
              <w:rPr>
                <w:noProof/>
              </w:rPr>
            </w:pPr>
            <w:r>
              <w:rPr>
                <w:noProof/>
              </w:rPr>
              <w:t>68</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8368C8" w14:textId="77777777" w:rsidR="003D7F65" w:rsidRDefault="0082041E">
            <w:pPr>
              <w:pStyle w:val="P68B1DB1-Normal13"/>
              <w:rPr>
                <w:noProof/>
              </w:rPr>
            </w:pPr>
            <w:r>
              <w:rPr>
                <w:noProof/>
              </w:rPr>
              <w:t>P2C2R1 - Développement du système d'information sur la propriété résidentielle et commerciale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579314"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2389C" w14:textId="77777777" w:rsidR="003D7F65" w:rsidRDefault="0082041E">
            <w:pPr>
              <w:pStyle w:val="P68B1DB1-Normal13"/>
              <w:rPr>
                <w:noProof/>
              </w:rPr>
            </w:pPr>
            <w:r>
              <w:rPr>
                <w:noProof/>
              </w:rPr>
              <w:t>Adoption d'une législation sur l'extension du champ d'application du système d'information sur les biens immobiliers résidentiels et commerciaux</w:t>
            </w:r>
          </w:p>
        </w:tc>
      </w:tr>
      <w:tr w:rsidR="003D7F65" w14:paraId="337EDA2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07428" w14:textId="77777777" w:rsidR="003D7F65" w:rsidRDefault="0082041E">
            <w:pPr>
              <w:pStyle w:val="P68B1DB1-Normal13"/>
              <w:spacing w:line="240" w:lineRule="auto"/>
              <w:rPr>
                <w:noProof/>
              </w:rPr>
            </w:pPr>
            <w:r>
              <w:rPr>
                <w:noProof/>
              </w:rPr>
              <w:t>79</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34FF98" w14:textId="77777777" w:rsidR="003D7F65" w:rsidRDefault="0082041E">
            <w:pPr>
              <w:pStyle w:val="P68B1DB1-Normal13"/>
              <w:rPr>
                <w:noProof/>
              </w:rPr>
            </w:pPr>
            <w:r>
              <w:rPr>
                <w:noProof/>
              </w:rPr>
              <w:t>P3C1R1 – Emploi et marché du travail – Modèle nordique de services de l’emploi</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E349F"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759FC3" w14:textId="77777777" w:rsidR="003D7F65" w:rsidRDefault="0082041E">
            <w:pPr>
              <w:pStyle w:val="P68B1DB1-Normal13"/>
              <w:rPr>
                <w:noProof/>
              </w:rPr>
            </w:pPr>
            <w:r>
              <w:rPr>
                <w:noProof/>
              </w:rPr>
              <w:t>Les cinq fonctionnalités numériques requises par le modèle des services nordiques de l’emploi sont intégrées dans le système d’information des services publics de l’emploi (TE-PSE) et sont opérationnelles.</w:t>
            </w:r>
          </w:p>
        </w:tc>
      </w:tr>
      <w:tr w:rsidR="003D7F65" w14:paraId="10EF3D8E"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4BE20" w14:textId="77777777" w:rsidR="003D7F65" w:rsidRDefault="0082041E">
            <w:pPr>
              <w:pStyle w:val="P68B1DB1-Normal13"/>
              <w:spacing w:line="240" w:lineRule="auto"/>
              <w:rPr>
                <w:noProof/>
              </w:rPr>
            </w:pPr>
            <w:r>
              <w:rPr>
                <w:noProof/>
              </w:rPr>
              <w:t>80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E99EF" w14:textId="77777777" w:rsidR="003D7F65" w:rsidRDefault="0082041E">
            <w:pPr>
              <w:pStyle w:val="P68B1DB1-Normal13"/>
              <w:rPr>
                <w:noProof/>
              </w:rPr>
            </w:pPr>
            <w:r>
              <w:rPr>
                <w:noProof/>
              </w:rPr>
              <w:t>P3C1R2 – Emploi et marché du travail – Suppression des jours supplémentaires d’allocation de chômage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42429"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C3DE5" w14:textId="77777777" w:rsidR="003D7F65" w:rsidRDefault="0082041E">
            <w:pPr>
              <w:pStyle w:val="P68B1DB1-Normal13"/>
              <w:rPr>
                <w:noProof/>
              </w:rPr>
            </w:pPr>
            <w:r>
              <w:rPr>
                <w:noProof/>
              </w:rPr>
              <w:t>Entrée en vigueur des modifications législatives apportées à la loi sur la sécurité du chômage concernant la suppression progressive des jours supplémentaires de sécurité du chômage</w:t>
            </w:r>
          </w:p>
        </w:tc>
      </w:tr>
      <w:tr w:rsidR="003D7F65" w14:paraId="1A3C387B"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92F60" w14:textId="77777777" w:rsidR="003D7F65" w:rsidRDefault="0082041E">
            <w:pPr>
              <w:pStyle w:val="P68B1DB1-Normal13"/>
              <w:spacing w:line="240" w:lineRule="auto"/>
              <w:rPr>
                <w:noProof/>
              </w:rPr>
            </w:pPr>
            <w:r>
              <w:rPr>
                <w:noProof/>
              </w:rPr>
              <w:t>82</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B57F4" w14:textId="77777777" w:rsidR="003D7F65" w:rsidRDefault="0082041E">
            <w:pPr>
              <w:pStyle w:val="P68B1DB1-Normal13"/>
              <w:rPr>
                <w:noProof/>
              </w:rPr>
            </w:pPr>
            <w:r>
              <w:rPr>
                <w:noProof/>
              </w:rPr>
              <w:t>P3C1R3 – Emploi et marché du travail – Rationalisation du processus d’immigration fondé sur le travail et l’éducation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A22ED"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ABE88" w14:textId="77777777" w:rsidR="003D7F65" w:rsidRDefault="0082041E">
            <w:pPr>
              <w:pStyle w:val="P68B1DB1-Normal13"/>
              <w:rPr>
                <w:noProof/>
              </w:rPr>
            </w:pPr>
            <w:r>
              <w:rPr>
                <w:noProof/>
              </w:rPr>
              <w:t>Entrée en vigueur des modifications législatives apportées à la loi sur les étrangers (301/2004)</w:t>
            </w:r>
          </w:p>
        </w:tc>
      </w:tr>
      <w:tr w:rsidR="003D7F65" w14:paraId="2826EC26"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F8EB1" w14:textId="77777777" w:rsidR="003D7F65" w:rsidRDefault="0082041E">
            <w:pPr>
              <w:pStyle w:val="P68B1DB1-Normal13"/>
              <w:rPr>
                <w:noProof/>
              </w:rPr>
            </w:pPr>
            <w:r>
              <w:rPr>
                <w:noProof/>
              </w:rPr>
              <w:t>92</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1E521" w14:textId="77777777" w:rsidR="003D7F65" w:rsidRDefault="0082041E">
            <w:pPr>
              <w:pStyle w:val="P68B1DB1-Normal13"/>
              <w:rPr>
                <w:noProof/>
              </w:rPr>
            </w:pPr>
            <w:r>
              <w:rPr>
                <w:noProof/>
              </w:rPr>
              <w:t>P3C2R1- Réforme de l'apprentissage continu</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0121C" w14:textId="77777777" w:rsidR="003D7F65" w:rsidRDefault="0082041E">
            <w:pPr>
              <w:pStyle w:val="P68B1DB1-Normal13"/>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37E08" w14:textId="77777777" w:rsidR="003D7F65" w:rsidRDefault="0082041E">
            <w:pPr>
              <w:pStyle w:val="P68B1DB1-Normal13"/>
              <w:rPr>
                <w:noProof/>
              </w:rPr>
            </w:pPr>
            <w:r>
              <w:rPr>
                <w:noProof/>
              </w:rPr>
              <w:t>Achèvement d'un modèle de prospective à moyen terme pour les besoins en main-d'œuvre et en compétences</w:t>
            </w:r>
          </w:p>
        </w:tc>
      </w:tr>
      <w:tr w:rsidR="003D7F65" w14:paraId="121C6FA2" w14:textId="77777777">
        <w:trPr>
          <w:trHeight w:val="708"/>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3E2F5D" w14:textId="77777777" w:rsidR="003D7F65" w:rsidRDefault="0082041E">
            <w:pPr>
              <w:pStyle w:val="P68B1DB1-Normal29"/>
              <w:spacing w:line="240" w:lineRule="auto"/>
              <w:rPr>
                <w:noProof/>
              </w:rPr>
            </w:pPr>
            <w:r>
              <w:rPr>
                <w:noProof/>
              </w:rPr>
              <w:t>101</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AC0085" w14:textId="77777777" w:rsidR="003D7F65" w:rsidRDefault="0082041E">
            <w:pPr>
              <w:pStyle w:val="P68B1DB1-Normal29"/>
              <w:rPr>
                <w:noProof/>
              </w:rPr>
            </w:pPr>
            <w:r>
              <w:rPr>
                <w:noProof/>
              </w:rPr>
              <w:t>P3C3I1 – RDI, infrastructures de recherche et pilotage – Paquet de financement de la RDI promouvant la transition écologique – Entreprises de premier plan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C9A00" w14:textId="77777777" w:rsidR="003D7F65" w:rsidRDefault="0082041E">
            <w:pPr>
              <w:pStyle w:val="P68B1DB1-Normal29"/>
              <w:rPr>
                <w:noProof/>
              </w:rPr>
            </w:pPr>
            <w:r>
              <w:rPr>
                <w:noProof/>
              </w:rPr>
              <w:t>Objectif</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CC7DD" w14:textId="77777777" w:rsidR="003D7F65" w:rsidRDefault="0082041E">
            <w:pPr>
              <w:pStyle w:val="P68B1DB1-Normal13"/>
              <w:rPr>
                <w:noProof/>
              </w:rPr>
            </w:pPr>
            <w:r>
              <w:rPr>
                <w:noProof/>
              </w:rPr>
              <w:t>Octroi de subventions à des projets d’entreprises de premier plan</w:t>
            </w:r>
          </w:p>
        </w:tc>
      </w:tr>
      <w:tr w:rsidR="003D7F65" w14:paraId="267C8F4C"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3678D" w14:textId="77777777" w:rsidR="003D7F65" w:rsidRDefault="0082041E">
            <w:pPr>
              <w:pStyle w:val="P68B1DB1-Normal29"/>
              <w:spacing w:line="240" w:lineRule="auto"/>
              <w:rPr>
                <w:noProof/>
              </w:rPr>
            </w:pPr>
            <w:r>
              <w:rPr>
                <w:noProof/>
              </w:rPr>
              <w:t>104</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873EB" w14:textId="77777777" w:rsidR="003D7F65" w:rsidRDefault="0082041E">
            <w:pPr>
              <w:pStyle w:val="P68B1DB1-Normal29"/>
              <w:rPr>
                <w:noProof/>
              </w:rPr>
            </w:pPr>
            <w:r>
              <w:rPr>
                <w:noProof/>
              </w:rPr>
              <w:t>P3C3I2 – RDI, infrastructures de recherche et pilotage – Paquet de financement de la RDI soutenant la transition écologique – Accélérer les secteurs clés et renforcer les compétences (Académie de Finlande)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40D8F" w14:textId="77777777" w:rsidR="003D7F65" w:rsidRDefault="0082041E">
            <w:pPr>
              <w:pStyle w:val="P68B1DB1-Normal29"/>
              <w:rPr>
                <w:noProof/>
              </w:rPr>
            </w:pPr>
            <w:r>
              <w:rPr>
                <w:noProof/>
              </w:rPr>
              <w:t>Objectif</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90549" w14:textId="77777777" w:rsidR="003D7F65" w:rsidRDefault="0082041E">
            <w:pPr>
              <w:pStyle w:val="P68B1DB1-Normal10"/>
              <w:rPr>
                <w:rFonts w:eastAsia="Times New Roman"/>
                <w:noProof/>
                <w:color w:val="000000"/>
              </w:rPr>
            </w:pPr>
            <w:r>
              <w:rPr>
                <w:noProof/>
              </w:rPr>
              <w:t>Attribution par l'Académie de Finlande de subventions pour des projets de recherche visant à accroître les compétences dans des secteurs clés</w:t>
            </w:r>
          </w:p>
        </w:tc>
      </w:tr>
      <w:tr w:rsidR="003D7F65" w14:paraId="6D07453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921EEB" w14:textId="77777777" w:rsidR="003D7F65" w:rsidRDefault="0082041E">
            <w:pPr>
              <w:pStyle w:val="P68B1DB1-Normal13"/>
              <w:spacing w:line="240" w:lineRule="auto"/>
              <w:rPr>
                <w:noProof/>
                <w:color w:val="000000"/>
              </w:rPr>
            </w:pPr>
            <w:r>
              <w:rPr>
                <w:noProof/>
              </w:rPr>
              <w:t>107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8DBB6" w14:textId="77777777" w:rsidR="003D7F65" w:rsidRDefault="0082041E">
            <w:pPr>
              <w:pStyle w:val="P68B1DB1-Normal30"/>
              <w:rPr>
                <w:rFonts w:ascii="Times New Roman" w:eastAsia="Times New Roman" w:hAnsi="Times New Roman"/>
                <w:noProof/>
                <w:color w:val="000000"/>
              </w:rPr>
            </w:pPr>
            <w:r>
              <w:rPr>
                <w:rFonts w:ascii="Times New Roman" w:eastAsia="Times New Roman" w:hAnsi="Times New Roman"/>
                <w:noProof/>
                <w:color w:val="000000"/>
              </w:rPr>
              <w:t>P3C3I3</w:t>
            </w:r>
            <w:r>
              <w:rPr>
                <w:rFonts w:ascii="Times New Roman" w:hAnsi="Times New Roman"/>
                <w:noProof/>
              </w:rPr>
              <w:t xml:space="preserve"> - RDI, infrastructures de recherche et pilotage – Paquet de financement RDI soutenant la transition écologique – Accélérer les secteurs clés et renforcer les compétences (Business Finland)</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1B3C1" w14:textId="77777777" w:rsidR="003D7F65" w:rsidRDefault="0082041E">
            <w:pPr>
              <w:pStyle w:val="P68B1DB1-Normal29"/>
              <w:rPr>
                <w:noProof/>
              </w:rPr>
            </w:pPr>
            <w:r>
              <w:rPr>
                <w:noProof/>
              </w:rPr>
              <w:t>Objectif</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9B666" w14:textId="0D53CED3" w:rsidR="003D7F65" w:rsidRDefault="0082041E">
            <w:pPr>
              <w:pStyle w:val="P68B1DB1-Normal10"/>
              <w:rPr>
                <w:rFonts w:eastAsia="Times New Roman"/>
                <w:noProof/>
                <w:color w:val="000000"/>
              </w:rPr>
            </w:pPr>
            <w:r>
              <w:rPr>
                <w:noProof/>
              </w:rPr>
              <w:t>Attribution par Business Finland de subventions pour des projets de RDI visant à accroître les compétences dans des secteurs clés</w:t>
            </w:r>
          </w:p>
        </w:tc>
      </w:tr>
      <w:tr w:rsidR="003D7F65" w14:paraId="488C5D9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81B5D" w14:textId="77777777" w:rsidR="003D7F65" w:rsidRDefault="0082041E">
            <w:pPr>
              <w:pStyle w:val="P68B1DB1-Normal13"/>
              <w:spacing w:line="240" w:lineRule="auto"/>
              <w:rPr>
                <w:noProof/>
                <w:color w:val="000000"/>
              </w:rPr>
            </w:pPr>
            <w:r>
              <w:rPr>
                <w:noProof/>
              </w:rPr>
              <w:t>110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E8F56" w14:textId="77777777" w:rsidR="003D7F65" w:rsidRDefault="0082041E">
            <w:pPr>
              <w:pStyle w:val="P68B1DB1-Normal30"/>
              <w:rPr>
                <w:rFonts w:ascii="Times New Roman" w:eastAsia="Times New Roman" w:hAnsi="Times New Roman"/>
                <w:noProof/>
                <w:color w:val="000000"/>
              </w:rPr>
            </w:pPr>
            <w:r>
              <w:rPr>
                <w:rFonts w:ascii="Times New Roman" w:eastAsia="Times New Roman" w:hAnsi="Times New Roman"/>
                <w:noProof/>
                <w:color w:val="000000"/>
              </w:rPr>
              <w:t>P3C3I4</w:t>
            </w:r>
            <w:r>
              <w:rPr>
                <w:rFonts w:ascii="Times New Roman" w:hAnsi="Times New Roman"/>
                <w:noProof/>
              </w:rPr>
              <w:t xml:space="preserve"> – RDI, infrastructures de recherche et pilotage – Paquet de financement de la RDI soutenant la transition écologique – Soutien aux entreprises innovantes en croissance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D93D6" w14:textId="77777777" w:rsidR="003D7F65" w:rsidRDefault="0082041E">
            <w:pPr>
              <w:pStyle w:val="P68B1DB1-Normal29"/>
              <w:rPr>
                <w:noProof/>
              </w:rPr>
            </w:pPr>
            <w:r>
              <w:rPr>
                <w:noProof/>
              </w:rPr>
              <w:t>Objectif</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D380F" w14:textId="669A5034" w:rsidR="003D7F65" w:rsidRDefault="0082041E">
            <w:pPr>
              <w:pStyle w:val="P68B1DB1-Normal10"/>
              <w:rPr>
                <w:rFonts w:eastAsia="Times New Roman"/>
                <w:noProof/>
                <w:color w:val="000000"/>
              </w:rPr>
            </w:pPr>
            <w:r>
              <w:rPr>
                <w:noProof/>
              </w:rPr>
              <w:t xml:space="preserve">Octroi de subventions pour soutenir les entreprises innovantes en croissance </w:t>
            </w:r>
          </w:p>
        </w:tc>
      </w:tr>
      <w:tr w:rsidR="003D7F65" w14:paraId="13D0721F"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EEF791" w14:textId="77777777" w:rsidR="003D7F65" w:rsidRDefault="0082041E">
            <w:pPr>
              <w:pStyle w:val="P68B1DB1-Normal29"/>
              <w:spacing w:line="240" w:lineRule="auto"/>
              <w:rPr>
                <w:noProof/>
              </w:rPr>
            </w:pPr>
            <w:r>
              <w:rPr>
                <w:noProof/>
              </w:rPr>
              <w:t>119</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C58BC" w14:textId="77777777" w:rsidR="003D7F65" w:rsidRDefault="0082041E">
            <w:pPr>
              <w:pStyle w:val="P68B1DB1-Normal29"/>
              <w:rPr>
                <w:noProof/>
              </w:rPr>
            </w:pPr>
            <w:r>
              <w:rPr>
                <w:noProof/>
              </w:rPr>
              <w:t>P3C3I7 – RDI, infrastructures de recherche et pilotage – Promouvoir l’innovation et les infrastructures de recherche – Financement compétitif des infrastructures d’innovation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4DCB7" w14:textId="77777777" w:rsidR="003D7F65" w:rsidRDefault="0082041E">
            <w:pPr>
              <w:pStyle w:val="P68B1DB1-Normal29"/>
              <w:rPr>
                <w:noProof/>
              </w:rPr>
            </w:pPr>
            <w:r>
              <w:rPr>
                <w:noProof/>
              </w:rPr>
              <w:t>Objectif</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45011" w14:textId="77777777" w:rsidR="003D7F65" w:rsidRDefault="0082041E">
            <w:pPr>
              <w:pStyle w:val="P68B1DB1-Normal29"/>
              <w:rPr>
                <w:noProof/>
              </w:rPr>
            </w:pPr>
            <w:r>
              <w:rPr>
                <w:noProof/>
              </w:rPr>
              <w:t>Octroi de subventions pour le développement d'infrastructures d'innovation</w:t>
            </w:r>
          </w:p>
        </w:tc>
      </w:tr>
      <w:tr w:rsidR="003D7F65" w14:paraId="51F68F92"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6CFDA" w14:textId="77777777" w:rsidR="003D7F65" w:rsidRDefault="0082041E">
            <w:pPr>
              <w:pStyle w:val="P68B1DB1-Normal29"/>
              <w:spacing w:line="240" w:lineRule="auto"/>
              <w:rPr>
                <w:noProof/>
              </w:rPr>
            </w:pPr>
            <w:r>
              <w:rPr>
                <w:noProof/>
              </w:rPr>
              <w:t>125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0A7B4" w14:textId="77777777" w:rsidR="003D7F65" w:rsidRDefault="0082041E">
            <w:pPr>
              <w:pStyle w:val="P68B1DB1-Normal29"/>
              <w:rPr>
                <w:noProof/>
              </w:rPr>
            </w:pPr>
            <w:r>
              <w:rPr>
                <w:noProof/>
              </w:rPr>
              <w:t>P3C4I2 – Renforcer la compétitivité et stimuler la croissance dans les secteurs touchés par la crise – Programmes clés pour la croissance internationale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3E5F22" w14:textId="77777777" w:rsidR="003D7F65" w:rsidRDefault="0082041E">
            <w:pPr>
              <w:pStyle w:val="P68B1DB1-Normal29"/>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D484C6" w14:textId="77777777" w:rsidR="003D7F65" w:rsidRDefault="0082041E">
            <w:pPr>
              <w:pStyle w:val="P68B1DB1-Normal29"/>
              <w:rPr>
                <w:noProof/>
              </w:rPr>
            </w:pPr>
            <w:r>
              <w:rPr>
                <w:noProof/>
              </w:rPr>
              <w:t>Octroi de subventions pour tous les projets relevant de programmes clés pour la croissance internationale</w:t>
            </w:r>
          </w:p>
        </w:tc>
      </w:tr>
      <w:tr w:rsidR="003D7F65" w14:paraId="3EE9ECA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EC6C0" w14:textId="77777777" w:rsidR="003D7F65" w:rsidRDefault="0082041E">
            <w:pPr>
              <w:pStyle w:val="P68B1DB1-Normal29"/>
              <w:spacing w:line="240" w:lineRule="auto"/>
              <w:rPr>
                <w:noProof/>
              </w:rPr>
            </w:pPr>
            <w:r>
              <w:rPr>
                <w:noProof/>
              </w:rPr>
              <w:t>134</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BB77A" w14:textId="77777777" w:rsidR="003D7F65" w:rsidRDefault="0082041E">
            <w:pPr>
              <w:pStyle w:val="P68B1DB1-Normal29"/>
              <w:rPr>
                <w:noProof/>
              </w:rPr>
            </w:pPr>
            <w:r>
              <w:rPr>
                <w:noProof/>
              </w:rPr>
              <w:t>P4C1R1 - Préparation de la réforme de la protection sociale et des soins de santé à l'appui de la mise en œuvre de la garantie de soins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A8363" w14:textId="77777777" w:rsidR="003D7F65" w:rsidRDefault="0082041E">
            <w:pPr>
              <w:pStyle w:val="P68B1DB1-Normal29"/>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1F2C0E" w14:textId="77777777" w:rsidR="003D7F65" w:rsidRDefault="0082041E">
            <w:pPr>
              <w:pStyle w:val="P68B1DB1-Normal29"/>
              <w:rPr>
                <w:noProof/>
              </w:rPr>
            </w:pPr>
            <w:r>
              <w:rPr>
                <w:noProof/>
              </w:rPr>
              <w:t>Entrée en vigueur du cadre juridique supplémentaire complétant la mise en place de zones de protection sociale et la réforme des services sociaux, de soins de santé et de secours</w:t>
            </w:r>
          </w:p>
        </w:tc>
      </w:tr>
      <w:tr w:rsidR="003D7F65" w14:paraId="7D7E5B4B"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98FA7" w14:textId="77777777" w:rsidR="003D7F65" w:rsidRDefault="0082041E">
            <w:pPr>
              <w:pStyle w:val="P68B1DB1-Normal29"/>
              <w:spacing w:line="240" w:lineRule="auto"/>
              <w:rPr>
                <w:noProof/>
              </w:rPr>
            </w:pPr>
            <w:r>
              <w:rPr>
                <w:noProof/>
              </w:rPr>
              <w:t>135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78B53C" w14:textId="77777777" w:rsidR="003D7F65" w:rsidRDefault="0082041E">
            <w:pPr>
              <w:pStyle w:val="P68B1DB1-Normal29"/>
              <w:rPr>
                <w:noProof/>
              </w:rPr>
            </w:pPr>
            <w:r>
              <w:rPr>
                <w:noProof/>
              </w:rPr>
              <w:t>P4C1R1 - Préparation de la réforme de la protection sociale et des soins de santé à l'appui de la mise en œuvre de la garantie de soins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DA825" w14:textId="77777777" w:rsidR="003D7F65" w:rsidRDefault="0082041E">
            <w:pPr>
              <w:pStyle w:val="P68B1DB1-Normal29"/>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87C1D" w14:textId="77777777" w:rsidR="003D7F65" w:rsidRDefault="0082041E">
            <w:pPr>
              <w:pStyle w:val="P68B1DB1-Normal29"/>
              <w:rPr>
                <w:noProof/>
              </w:rPr>
            </w:pPr>
            <w:r>
              <w:rPr>
                <w:noProof/>
              </w:rPr>
              <w:t>Mise en œuvre des zones de bien-être régional ayant la capacité d'assumer la responsabilité de l'organisation des services sociaux, de santé et de secours</w:t>
            </w:r>
          </w:p>
        </w:tc>
      </w:tr>
      <w:tr w:rsidR="003D7F65" w14:paraId="1EC17FA9"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8148A0" w14:textId="77777777" w:rsidR="003D7F65" w:rsidRDefault="0082041E">
            <w:pPr>
              <w:pStyle w:val="P68B1DB1-Normal29"/>
              <w:spacing w:line="240" w:lineRule="auto"/>
              <w:rPr>
                <w:noProof/>
              </w:rPr>
            </w:pPr>
            <w:r>
              <w:rPr>
                <w:noProof/>
              </w:rPr>
              <w:t>145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CC100C" w14:textId="77777777" w:rsidR="003D7F65" w:rsidRDefault="0082041E">
            <w:pPr>
              <w:pStyle w:val="P68B1DB1-Normal29"/>
              <w:rPr>
                <w:noProof/>
              </w:rPr>
            </w:pPr>
            <w:r>
              <w:rPr>
                <w:noProof/>
              </w:rPr>
              <w:t>P5C1I1 – REPowerEU – Investissements en faveur d’une transition propre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061D1" w14:textId="77777777" w:rsidR="003D7F65" w:rsidRDefault="0082041E">
            <w:pPr>
              <w:pStyle w:val="P68B1DB1-Normal29"/>
              <w:rPr>
                <w:noProof/>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57760" w14:textId="77777777" w:rsidR="003D7F65" w:rsidRDefault="0082041E">
            <w:pPr>
              <w:pStyle w:val="P68B1DB1-Normal29"/>
              <w:rPr>
                <w:noProof/>
              </w:rPr>
            </w:pPr>
            <w:r>
              <w:rPr>
                <w:noProof/>
              </w:rPr>
              <w:t>Lancement d’un appel à candidatures pour des projets de transition propre</w:t>
            </w:r>
          </w:p>
        </w:tc>
      </w:tr>
      <w:tr w:rsidR="003D7F65" w14:paraId="3C43C8AD"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B2B73" w14:textId="77777777" w:rsidR="003D7F65" w:rsidRDefault="0082041E">
            <w:pPr>
              <w:pStyle w:val="P68B1DB1-Normal13"/>
              <w:spacing w:line="240" w:lineRule="auto"/>
              <w:rPr>
                <w:noProof/>
                <w:color w:val="000000" w:themeColor="text1"/>
              </w:rPr>
            </w:pPr>
            <w:r>
              <w:rPr>
                <w:noProof/>
              </w:rPr>
              <w:t>146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E7EF7" w14:textId="77777777" w:rsidR="003D7F65" w:rsidRDefault="0082041E">
            <w:pPr>
              <w:pStyle w:val="P68B1DB1-Normal13"/>
              <w:rPr>
                <w:noProof/>
                <w:color w:val="000000" w:themeColor="text1"/>
              </w:rPr>
            </w:pPr>
            <w:r>
              <w:rPr>
                <w:noProof/>
              </w:rPr>
              <w:t>P5C1I1 – Investissements en faveur d’une transition propre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9BFAC" w14:textId="77777777" w:rsidR="003D7F65" w:rsidRDefault="0082041E">
            <w:pPr>
              <w:pStyle w:val="P68B1DB1-Normal13"/>
              <w:rPr>
                <w:noProof/>
                <w:color w:val="000000" w:themeColor="text1"/>
              </w:rPr>
            </w:pPr>
            <w:r>
              <w:rPr>
                <w:noProof/>
              </w:rPr>
              <w:t>Étape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AE799" w14:textId="77777777" w:rsidR="003D7F65" w:rsidRDefault="0082041E">
            <w:pPr>
              <w:pStyle w:val="P68B1DB1-Normal13"/>
              <w:rPr>
                <w:noProof/>
                <w:color w:val="000000" w:themeColor="text1"/>
              </w:rPr>
            </w:pPr>
            <w:r>
              <w:rPr>
                <w:noProof/>
              </w:rPr>
              <w:t>Attribution de toutes les subventions pour des projets de transition propre</w:t>
            </w:r>
          </w:p>
        </w:tc>
      </w:tr>
      <w:tr w:rsidR="003D7F65" w14:paraId="0F1B1235" w14:textId="77777777">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766480" w14:textId="77777777" w:rsidR="003D7F65" w:rsidRDefault="0082041E">
            <w:pPr>
              <w:pStyle w:val="P68B1DB1-Normal29"/>
              <w:spacing w:line="240" w:lineRule="auto"/>
              <w:rPr>
                <w:noProof/>
              </w:rPr>
            </w:pPr>
            <w:r>
              <w:rPr>
                <w:noProof/>
              </w:rPr>
              <w:t>150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A3932" w14:textId="77777777" w:rsidR="003D7F65" w:rsidRDefault="0082041E">
            <w:pPr>
              <w:pStyle w:val="P68B1DB1-Normal29"/>
              <w:rPr>
                <w:noProof/>
              </w:rPr>
            </w:pPr>
            <w:r>
              <w:rPr>
                <w:noProof/>
              </w:rPr>
              <w:t>P5C1I2 – REPowerEU – R&amp;D pour la transition écologique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123EE" w14:textId="77777777" w:rsidR="003D7F65" w:rsidRDefault="0082041E">
            <w:pPr>
              <w:pStyle w:val="P68B1DB1-Normal29"/>
              <w:rPr>
                <w:noProof/>
              </w:rPr>
            </w:pPr>
            <w:r>
              <w:rPr>
                <w:noProof/>
              </w:rPr>
              <w:t>Objectif</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C4976" w14:textId="77777777" w:rsidR="003D7F65" w:rsidRDefault="0082041E">
            <w:pPr>
              <w:pStyle w:val="P68B1DB1-Normal29"/>
              <w:rPr>
                <w:noProof/>
              </w:rPr>
            </w:pPr>
            <w:r>
              <w:rPr>
                <w:noProof/>
              </w:rPr>
              <w:t>Sélection de doctorants dans le programme de l'école doctorale LUKE</w:t>
            </w:r>
          </w:p>
        </w:tc>
      </w:tr>
      <w:tr w:rsidR="003D7F65" w14:paraId="527BB44D" w14:textId="77777777">
        <w:trPr>
          <w:trHeight w:val="245"/>
          <w:jc w:val="center"/>
        </w:trPr>
        <w:tc>
          <w:tcPr>
            <w:tcW w:w="5801"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1C9622AB" w14:textId="77777777" w:rsidR="003D7F65" w:rsidRDefault="0082041E">
            <w:pPr>
              <w:pStyle w:val="P68B1DB1-Normal29"/>
              <w:rPr>
                <w:noProof/>
                <w:color w:val="000000" w:themeColor="text1"/>
              </w:rPr>
            </w:pPr>
            <w:r>
              <w:rPr>
                <w:noProof/>
              </w:rPr>
              <w:t>Montant des acomptes provisionnels</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CC26D" w14:textId="77777777" w:rsidR="003D7F65" w:rsidRDefault="0082041E">
            <w:pPr>
              <w:pStyle w:val="P68B1DB1-Normal29"/>
              <w:rPr>
                <w:noProof/>
                <w:color w:val="000000" w:themeColor="text1"/>
              </w:rPr>
            </w:pPr>
            <w:r>
              <w:rPr>
                <w:noProof/>
              </w:rPr>
              <w:t>282 978 419 EUR</w:t>
            </w:r>
          </w:p>
        </w:tc>
      </w:tr>
    </w:tbl>
    <w:p w14:paraId="5BF8A23A" w14:textId="77777777" w:rsidR="003D7F65" w:rsidRDefault="003D7F65">
      <w:pPr>
        <w:spacing w:before="120" w:after="120" w:line="240" w:lineRule="auto"/>
        <w:ind w:left="850"/>
        <w:jc w:val="both"/>
        <w:rPr>
          <w:rFonts w:ascii="Times New Roman" w:eastAsia="Times New Roman" w:hAnsi="Times New Roman"/>
          <w:noProof/>
          <w:sz w:val="24"/>
          <w:szCs w:val="24"/>
        </w:rPr>
      </w:pPr>
    </w:p>
    <w:p w14:paraId="75763FF4" w14:textId="77777777" w:rsidR="003D7F65" w:rsidRDefault="0082041E">
      <w:pPr>
        <w:pStyle w:val="P68B1DB1-Normal4"/>
        <w:numPr>
          <w:ilvl w:val="1"/>
          <w:numId w:val="32"/>
        </w:numPr>
        <w:spacing w:before="120" w:after="120" w:line="240" w:lineRule="auto"/>
        <w:jc w:val="both"/>
        <w:rPr>
          <w:noProof/>
        </w:rPr>
      </w:pPr>
      <w:r>
        <w:rPr>
          <w:noProof/>
        </w:rPr>
        <w:t>Quatrième tranche (soutien non remboursable):</w:t>
      </w:r>
    </w:p>
    <w:tbl>
      <w:tblPr>
        <w:tblW w:w="9235" w:type="dxa"/>
        <w:jc w:val="center"/>
        <w:tblLook w:val="04A0" w:firstRow="1" w:lastRow="0" w:firstColumn="1" w:lastColumn="0" w:noHBand="0" w:noVBand="1"/>
      </w:tblPr>
      <w:tblGrid>
        <w:gridCol w:w="1227"/>
        <w:gridCol w:w="3402"/>
        <w:gridCol w:w="1406"/>
        <w:gridCol w:w="3200"/>
      </w:tblGrid>
      <w:tr w:rsidR="003D7F65" w14:paraId="03CD9464" w14:textId="77777777">
        <w:trPr>
          <w:trHeight w:val="1021"/>
          <w:tblHeader/>
          <w:jc w:val="center"/>
        </w:trPr>
        <w:tc>
          <w:tcPr>
            <w:tcW w:w="12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4807856" w14:textId="77777777" w:rsidR="003D7F65" w:rsidRDefault="0082041E">
            <w:pPr>
              <w:pStyle w:val="P68B1DB1-Normal7"/>
              <w:spacing w:after="0" w:line="240" w:lineRule="auto"/>
              <w:jc w:val="center"/>
              <w:rPr>
                <w:bCs/>
                <w:noProof/>
              </w:rPr>
            </w:pPr>
            <w:r>
              <w:rPr>
                <w:noProof/>
              </w:rPr>
              <w:t>Numéro</w:t>
            </w:r>
          </w:p>
        </w:tc>
        <w:tc>
          <w:tcPr>
            <w:tcW w:w="340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F956F74" w14:textId="77777777" w:rsidR="003D7F65" w:rsidRDefault="0082041E">
            <w:pPr>
              <w:pStyle w:val="P68B1DB1-Normal7"/>
              <w:spacing w:after="0" w:line="240" w:lineRule="auto"/>
              <w:jc w:val="center"/>
              <w:rPr>
                <w:bCs/>
                <w:noProof/>
              </w:rPr>
            </w:pPr>
            <w:r>
              <w:rPr>
                <w:noProof/>
              </w:rPr>
              <w:t>Mesure connexe (réforme ou investissement)</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2E1AAC8" w14:textId="77777777" w:rsidR="003D7F65" w:rsidRDefault="0082041E">
            <w:pPr>
              <w:pStyle w:val="P68B1DB1-Normal7"/>
              <w:spacing w:after="0" w:line="240" w:lineRule="auto"/>
              <w:jc w:val="center"/>
              <w:rPr>
                <w:bCs/>
                <w:noProof/>
              </w:rPr>
            </w:pPr>
            <w:r>
              <w:rPr>
                <w:noProof/>
              </w:rPr>
              <w:t>Étape/cible</w:t>
            </w:r>
          </w:p>
        </w:tc>
        <w:tc>
          <w:tcPr>
            <w:tcW w:w="3200" w:type="dxa"/>
            <w:tcBorders>
              <w:top w:val="single" w:sz="4" w:space="0" w:color="auto"/>
              <w:left w:val="nil"/>
              <w:bottom w:val="single" w:sz="4" w:space="0" w:color="000000" w:themeColor="text1"/>
              <w:right w:val="single" w:sz="4" w:space="0" w:color="auto"/>
            </w:tcBorders>
            <w:shd w:val="clear" w:color="auto" w:fill="BDD7EE"/>
            <w:vAlign w:val="center"/>
            <w:hideMark/>
          </w:tcPr>
          <w:p w14:paraId="266174E1" w14:textId="77777777" w:rsidR="003D7F65" w:rsidRDefault="0082041E">
            <w:pPr>
              <w:pStyle w:val="P68B1DB1-Normal7"/>
              <w:spacing w:after="0" w:line="240" w:lineRule="auto"/>
              <w:jc w:val="center"/>
              <w:rPr>
                <w:bCs/>
                <w:noProof/>
              </w:rPr>
            </w:pPr>
            <w:r>
              <w:rPr>
                <w:noProof/>
              </w:rPr>
              <w:t>Nom</w:t>
            </w:r>
          </w:p>
        </w:tc>
      </w:tr>
      <w:tr w:rsidR="003D7F65" w14:paraId="1E6209F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C270BC" w14:textId="77777777" w:rsidR="003D7F65" w:rsidRDefault="0082041E">
            <w:pPr>
              <w:pStyle w:val="P68B1DB1-Normal13"/>
              <w:spacing w:after="0" w:line="240" w:lineRule="auto"/>
              <w:rPr>
                <w:noProof/>
              </w:rPr>
            </w:pPr>
            <w:r>
              <w:rPr>
                <w:noProof/>
              </w:rPr>
              <w:t>1</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B9CD0" w14:textId="77777777" w:rsidR="003D7F65" w:rsidRDefault="0082041E">
            <w:pPr>
              <w:pStyle w:val="P68B1DB1-Normal13"/>
              <w:rPr>
                <w:noProof/>
              </w:rPr>
            </w:pPr>
            <w:r>
              <w:rPr>
                <w:noProof/>
              </w:rPr>
              <w:t>P1C1R1 – Transformation du système énergétique – Réduction de l’utilisation du charbon à des fins énergétiques d’ici à 2026</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B9A1A"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A1C6" w14:textId="77777777" w:rsidR="003D7F65" w:rsidRDefault="0082041E">
            <w:pPr>
              <w:pStyle w:val="P68B1DB1-Normal13"/>
              <w:rPr>
                <w:noProof/>
              </w:rPr>
            </w:pPr>
            <w:r>
              <w:rPr>
                <w:noProof/>
              </w:rPr>
              <w:t>Réduction du charbon pour l’énergie d’ici à 2026 par rapport à 2019</w:t>
            </w:r>
          </w:p>
        </w:tc>
      </w:tr>
      <w:tr w:rsidR="003D7F65" w14:paraId="05604868"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504D3" w14:textId="77777777" w:rsidR="003D7F65" w:rsidRDefault="0082041E">
            <w:pPr>
              <w:pStyle w:val="P68B1DB1-Normal13"/>
              <w:spacing w:after="0" w:line="240" w:lineRule="auto"/>
              <w:rPr>
                <w:noProof/>
              </w:rPr>
            </w:pPr>
            <w:r>
              <w:rPr>
                <w:noProof/>
              </w:rPr>
              <w:t>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6E00D" w14:textId="77777777" w:rsidR="003D7F65" w:rsidRDefault="0082041E">
            <w:pPr>
              <w:pStyle w:val="P68B1DB1-Normal13"/>
              <w:rPr>
                <w:noProof/>
              </w:rPr>
            </w:pPr>
            <w:r>
              <w:rPr>
                <w:noProof/>
              </w:rPr>
              <w:t>P1C1I1 – Transformation du système énergétique – Investissements dans les infrastructures énergétiques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E44EA"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E697F5" w14:textId="77777777" w:rsidR="003D7F65" w:rsidRDefault="0082041E">
            <w:pPr>
              <w:pStyle w:val="P68B1DB1-Normal10"/>
              <w:rPr>
                <w:noProof/>
              </w:rPr>
            </w:pPr>
            <w:r>
              <w:rPr>
                <w:noProof/>
              </w:rPr>
              <w:t>Publication d'appels à candidatures supplémentaires pour des projets d'infrastructures énergétiques</w:t>
            </w:r>
          </w:p>
        </w:tc>
      </w:tr>
      <w:tr w:rsidR="003D7F65" w14:paraId="06B0CD3B"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66C4F" w14:textId="77777777" w:rsidR="003D7F65" w:rsidRDefault="0082041E">
            <w:pPr>
              <w:pStyle w:val="P68B1DB1-Normal13"/>
              <w:spacing w:after="0" w:line="240" w:lineRule="auto"/>
              <w:rPr>
                <w:noProof/>
              </w:rPr>
            </w:pPr>
            <w:r>
              <w:rPr>
                <w:noProof/>
              </w:rPr>
              <w:t>13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60B2F" w14:textId="77777777" w:rsidR="003D7F65" w:rsidRDefault="0082041E">
            <w:pPr>
              <w:pStyle w:val="P68B1DB1-Normal13"/>
              <w:rPr>
                <w:noProof/>
              </w:rPr>
            </w:pPr>
            <w:r>
              <w:rPr>
                <w:noProof/>
              </w:rPr>
              <w:t>P1C2R2 – Réformes industrielles et investissements soutenant la transition écologique et numérique – Promotion stratégique de l’économie circulaire et réforme de la législation sur les déchets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7E6E9"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425482" w14:textId="77777777" w:rsidR="003D7F65" w:rsidRDefault="0082041E">
            <w:pPr>
              <w:pStyle w:val="P68B1DB1-Normal10"/>
              <w:rPr>
                <w:rFonts w:eastAsia="Times New Roman"/>
                <w:noProof/>
              </w:rPr>
            </w:pPr>
            <w:r>
              <w:rPr>
                <w:noProof/>
              </w:rPr>
              <w:t>Entrée en vigueur du ou des actes juridiques</w:t>
            </w:r>
          </w:p>
        </w:tc>
      </w:tr>
      <w:tr w:rsidR="003D7F65" w14:paraId="19EE1A8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E0748" w14:textId="77777777" w:rsidR="003D7F65" w:rsidRDefault="0082041E">
            <w:pPr>
              <w:pStyle w:val="P68B1DB1-Normal13"/>
              <w:spacing w:after="0" w:line="240" w:lineRule="auto"/>
              <w:rPr>
                <w:noProof/>
              </w:rPr>
            </w:pPr>
            <w:r>
              <w:rPr>
                <w:noProof/>
              </w:rPr>
              <w:t>15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A2D7F" w14:textId="77777777" w:rsidR="003D7F65" w:rsidRDefault="0082041E">
            <w:pPr>
              <w:pStyle w:val="P68B1DB1-Normal13"/>
              <w:rPr>
                <w:noProof/>
              </w:rPr>
            </w:pPr>
            <w:r>
              <w:rPr>
                <w:noProof/>
              </w:rPr>
              <w:t>P1C2R2 – Réformes industrielles et investissements soutenant la transition écologique et numérique – Promotion stratégique de l’économie circulaire et réforme de la législation sur les déchets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040E5"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67046" w14:textId="77777777" w:rsidR="003D7F65" w:rsidRDefault="0082041E">
            <w:pPr>
              <w:pStyle w:val="P68B1DB1-Normal13"/>
              <w:rPr>
                <w:noProof/>
              </w:rPr>
            </w:pPr>
            <w:r>
              <w:rPr>
                <w:noProof/>
              </w:rPr>
              <w:t>Parties prenantes acceptées dans le cadre du pacte vert pour l’économie circulaire</w:t>
            </w:r>
          </w:p>
        </w:tc>
      </w:tr>
      <w:tr w:rsidR="003D7F65" w14:paraId="509E86D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7C7280" w14:textId="77777777" w:rsidR="003D7F65" w:rsidRDefault="0082041E">
            <w:pPr>
              <w:pStyle w:val="P68B1DB1-Normal13"/>
              <w:spacing w:after="0" w:line="240" w:lineRule="auto"/>
              <w:rPr>
                <w:noProof/>
              </w:rPr>
            </w:pPr>
            <w:r>
              <w:rPr>
                <w:noProof/>
              </w:rPr>
              <w:t>17</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180F3" w14:textId="77777777" w:rsidR="003D7F65" w:rsidRDefault="0082041E">
            <w:pPr>
              <w:pStyle w:val="P68B1DB1-Normal13"/>
              <w:rPr>
                <w:noProof/>
              </w:rPr>
            </w:pPr>
            <w:r>
              <w:rPr>
                <w:noProof/>
              </w:rPr>
              <w:t>P1C2I1 – Réformes industrielles et investissements à l’appui de la transition écologique et numérique – Hydrogène bas carbone et captage et utilisation du carbone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CCC0F"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D36DD" w14:textId="77777777" w:rsidR="003D7F65" w:rsidRDefault="0082041E">
            <w:pPr>
              <w:pStyle w:val="P68B1DB1-Normal13"/>
              <w:rPr>
                <w:noProof/>
              </w:rPr>
            </w:pPr>
            <w:r>
              <w:rPr>
                <w:noProof/>
              </w:rPr>
              <w:t>Accord de mise en œuvre</w:t>
            </w:r>
          </w:p>
        </w:tc>
      </w:tr>
      <w:tr w:rsidR="003D7F65" w14:paraId="5CF8697A"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7B5AD" w14:textId="77777777" w:rsidR="003D7F65" w:rsidRDefault="0082041E">
            <w:pPr>
              <w:pStyle w:val="P68B1DB1-Normal13"/>
              <w:spacing w:after="0" w:line="240" w:lineRule="auto"/>
              <w:rPr>
                <w:noProof/>
              </w:rPr>
            </w:pPr>
            <w:r>
              <w:rPr>
                <w:noProof/>
              </w:rPr>
              <w:t>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1AA4D" w14:textId="77777777" w:rsidR="003D7F65" w:rsidRDefault="0082041E">
            <w:pPr>
              <w:pStyle w:val="P68B1DB1-Normal13"/>
              <w:rPr>
                <w:noProof/>
              </w:rPr>
            </w:pPr>
            <w:r>
              <w:rPr>
                <w:noProof/>
              </w:rPr>
              <w:t>P1C2I3 – Réformes industrielles et investissements à l’appui de la transition écologique et numérique – Réutilisation et recyclage des matériaux clés et des flux secondaires industriels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F40EF"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AFF7E" w14:textId="77777777" w:rsidR="003D7F65" w:rsidRDefault="0082041E">
            <w:pPr>
              <w:pStyle w:val="P68B1DB1-Normal13"/>
              <w:rPr>
                <w:noProof/>
              </w:rPr>
            </w:pPr>
            <w:r>
              <w:rPr>
                <w:noProof/>
              </w:rPr>
              <w:t>Rapports de projet présentés</w:t>
            </w:r>
          </w:p>
        </w:tc>
      </w:tr>
      <w:tr w:rsidR="003D7F65" w14:paraId="0268BDCA"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34BF4" w14:textId="77777777" w:rsidR="003D7F65" w:rsidRDefault="0082041E">
            <w:pPr>
              <w:pStyle w:val="P68B1DB1-Normal13"/>
              <w:spacing w:after="0" w:line="240" w:lineRule="auto"/>
              <w:rPr>
                <w:noProof/>
              </w:rPr>
            </w:pPr>
            <w:r>
              <w:rPr>
                <w:noProof/>
              </w:rPr>
              <w:t>32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5B94A" w14:textId="77777777" w:rsidR="003D7F65" w:rsidRDefault="0082041E">
            <w:pPr>
              <w:pStyle w:val="P68B1DB1-Normal13"/>
              <w:rPr>
                <w:noProof/>
              </w:rPr>
            </w:pPr>
            <w:r>
              <w:rPr>
                <w:noProof/>
              </w:rPr>
              <w:t>P1C3I2 – Réduction des incidences du parc immobilier sur le climat et l’environnement – Programme pour un environnement bâti à faible intensité de carbone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22A11"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64B462" w14:textId="77777777" w:rsidR="003D7F65" w:rsidRDefault="0082041E">
            <w:pPr>
              <w:pStyle w:val="P68B1DB1-Normal13"/>
              <w:rPr>
                <w:noProof/>
              </w:rPr>
            </w:pPr>
            <w:r>
              <w:rPr>
                <w:noProof/>
              </w:rPr>
              <w:t>Publication d’appels à candidatures supplémentaires concernant le soutien à un environnement bâti à faible intensité de carbone</w:t>
            </w:r>
          </w:p>
        </w:tc>
      </w:tr>
      <w:tr w:rsidR="003D7F65" w14:paraId="0D47154E"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5ABFA" w14:textId="77777777" w:rsidR="003D7F65" w:rsidRDefault="0082041E">
            <w:pPr>
              <w:pStyle w:val="P68B1DB1-Normal13"/>
              <w:spacing w:after="0" w:line="240" w:lineRule="auto"/>
              <w:rPr>
                <w:noProof/>
              </w:rPr>
            </w:pPr>
            <w:r>
              <w:rPr>
                <w:noProof/>
              </w:rPr>
              <w:t>59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35524" w14:textId="77777777" w:rsidR="003D7F65" w:rsidRDefault="0082041E">
            <w:pPr>
              <w:pStyle w:val="P68B1DB1-Normal13"/>
              <w:rPr>
                <w:noProof/>
              </w:rPr>
            </w:pPr>
            <w:r>
              <w:rPr>
                <w:noProof/>
              </w:rPr>
              <w:t>P2C1I2 – Transport et aménagement du territoire – Projet Digirail</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45FCD8"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1AC97" w14:textId="77777777" w:rsidR="003D7F65" w:rsidRDefault="0082041E">
            <w:pPr>
              <w:pStyle w:val="P68B1DB1-Normal13"/>
              <w:rPr>
                <w:noProof/>
              </w:rPr>
            </w:pPr>
            <w:r>
              <w:rPr>
                <w:noProof/>
              </w:rPr>
              <w:t>Piste d'essai équipée d'ERTMS radio</w:t>
            </w:r>
          </w:p>
        </w:tc>
      </w:tr>
      <w:tr w:rsidR="003D7F65" w14:paraId="1658D149"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91777" w14:textId="77777777" w:rsidR="003D7F65" w:rsidRDefault="0082041E">
            <w:pPr>
              <w:pStyle w:val="P68B1DB1-Normal13"/>
              <w:spacing w:line="240" w:lineRule="auto"/>
              <w:rPr>
                <w:noProof/>
              </w:rPr>
            </w:pPr>
            <w:r>
              <w:rPr>
                <w:noProof/>
              </w:rPr>
              <w:t>62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63109" w14:textId="77777777" w:rsidR="003D7F65" w:rsidRDefault="0082041E">
            <w:pPr>
              <w:pStyle w:val="P68B1DB1-Normal13"/>
              <w:rPr>
                <w:noProof/>
              </w:rPr>
            </w:pPr>
            <w:r>
              <w:rPr>
                <w:noProof/>
              </w:rPr>
              <w:t>P2C2I1 – Économie numérique – Programme «Économie en temps réel» (RTE)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3E30A"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9B606" w14:textId="77777777" w:rsidR="003D7F65" w:rsidRDefault="0082041E">
            <w:pPr>
              <w:pStyle w:val="P68B1DB1-Normal13"/>
              <w:rPr>
                <w:noProof/>
              </w:rPr>
            </w:pPr>
            <w:r>
              <w:rPr>
                <w:noProof/>
              </w:rPr>
              <w:t>Rapport sur l’échange d’informations commerciales numériques</w:t>
            </w:r>
          </w:p>
        </w:tc>
      </w:tr>
      <w:tr w:rsidR="003D7F65" w14:paraId="5C0D03D2"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1A479" w14:textId="77777777" w:rsidR="003D7F65" w:rsidRDefault="0082041E">
            <w:pPr>
              <w:pStyle w:val="P68B1DB1-Normal13"/>
              <w:spacing w:line="240" w:lineRule="auto"/>
              <w:rPr>
                <w:noProof/>
              </w:rPr>
            </w:pPr>
            <w:r>
              <w:rPr>
                <w:noProof/>
              </w:rPr>
              <w:t>75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FB6B0" w14:textId="77777777" w:rsidR="003D7F65" w:rsidRDefault="0082041E">
            <w:pPr>
              <w:pStyle w:val="P68B1DB1-Normal13"/>
              <w:rPr>
                <w:noProof/>
              </w:rPr>
            </w:pPr>
            <w:r>
              <w:rPr>
                <w:noProof/>
              </w:rPr>
              <w:t>P2C3I1 – Compétences civiles en matière de cybersécurité</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4033A8"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ABD4C" w14:textId="77777777" w:rsidR="003D7F65" w:rsidRDefault="0082041E">
            <w:pPr>
              <w:pStyle w:val="P68B1DB1-Normal13"/>
              <w:rPr>
                <w:noProof/>
              </w:rPr>
            </w:pPr>
            <w:r>
              <w:rPr>
                <w:noProof/>
              </w:rPr>
              <w:t>Une plateforme numérique pour la formation à la cybersécurité</w:t>
            </w:r>
          </w:p>
        </w:tc>
      </w:tr>
      <w:tr w:rsidR="003D7F65" w14:paraId="2E909EB0"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868C0" w14:textId="77777777" w:rsidR="003D7F65" w:rsidRDefault="0082041E">
            <w:pPr>
              <w:pStyle w:val="P68B1DB1-Normal13"/>
              <w:spacing w:after="0" w:line="240" w:lineRule="auto"/>
              <w:rPr>
                <w:noProof/>
              </w:rPr>
            </w:pPr>
            <w:r>
              <w:rPr>
                <w:noProof/>
              </w:rPr>
              <w:t>78</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B7894F" w14:textId="77777777" w:rsidR="003D7F65" w:rsidRDefault="0082041E">
            <w:pPr>
              <w:pStyle w:val="P68B1DB1-Normal13"/>
              <w:rPr>
                <w:noProof/>
              </w:rPr>
            </w:pPr>
            <w:r>
              <w:rPr>
                <w:noProof/>
              </w:rPr>
              <w:t>P3C1R1 – Emploi et marché du travail – Modèle nordique de services de l’emploi</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B6369"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C16019" w14:textId="77777777" w:rsidR="003D7F65" w:rsidRDefault="0082041E">
            <w:pPr>
              <w:pStyle w:val="P68B1DB1-Normal13"/>
              <w:rPr>
                <w:noProof/>
              </w:rPr>
            </w:pPr>
            <w:r>
              <w:rPr>
                <w:noProof/>
              </w:rPr>
              <w:t>Nombre d’entretiens de recherche d’emploi menés par les services publics de l’emploi</w:t>
            </w:r>
          </w:p>
        </w:tc>
      </w:tr>
      <w:tr w:rsidR="003D7F65" w14:paraId="1AD57B5C"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4864C" w14:textId="77777777" w:rsidR="003D7F65" w:rsidRDefault="0082041E">
            <w:pPr>
              <w:pStyle w:val="P68B1DB1-Normal13"/>
              <w:spacing w:after="0" w:line="240" w:lineRule="auto"/>
              <w:rPr>
                <w:noProof/>
              </w:rPr>
            </w:pPr>
            <w:r>
              <w:rPr>
                <w:noProof/>
              </w:rPr>
              <w:t>84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112EF" w14:textId="77777777" w:rsidR="003D7F65" w:rsidRDefault="0082041E">
            <w:pPr>
              <w:pStyle w:val="P68B1DB1-Normal13"/>
              <w:rPr>
                <w:noProof/>
              </w:rPr>
            </w:pPr>
            <w:r>
              <w:rPr>
                <w:noProof/>
              </w:rPr>
              <w:t>P3C1R3 – Emploi et marché du travail – Rationalisation du processus d’immigration fondé sur le travail et l’éducation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04872"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80D5E" w14:textId="77777777" w:rsidR="003D7F65" w:rsidRDefault="0082041E">
            <w:pPr>
              <w:pStyle w:val="P68B1DB1-Normal13"/>
              <w:rPr>
                <w:noProof/>
              </w:rPr>
            </w:pPr>
            <w:r>
              <w:rPr>
                <w:noProof/>
              </w:rPr>
              <w:t>Diminution du nombre moyen de jours de traitement des demandes de permis de séjour sur la base du travail et de l'éducation</w:t>
            </w:r>
          </w:p>
        </w:tc>
      </w:tr>
      <w:tr w:rsidR="003D7F65" w14:paraId="7AF40934" w14:textId="77777777">
        <w:trPr>
          <w:trHeight w:val="2010"/>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A3258" w14:textId="77777777" w:rsidR="003D7F65" w:rsidRDefault="0082041E">
            <w:pPr>
              <w:pStyle w:val="P68B1DB1-Normal13"/>
              <w:spacing w:after="0" w:line="240" w:lineRule="auto"/>
              <w:rPr>
                <w:noProof/>
              </w:rPr>
            </w:pPr>
            <w:r>
              <w:rPr>
                <w:noProof/>
              </w:rPr>
              <w:t>89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A1D1A" w14:textId="77777777" w:rsidR="003D7F65" w:rsidRDefault="0082041E">
            <w:pPr>
              <w:pStyle w:val="P68B1DB1-Normal13"/>
              <w:rPr>
                <w:noProof/>
              </w:rPr>
            </w:pPr>
            <w:r>
              <w:rPr>
                <w:noProof/>
              </w:rPr>
              <w:t>P3C1I1 – Emploi et marché du travail – Aptitude au travail, productivité et bien-être au travail</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B650F" w14:textId="77777777" w:rsidR="003D7F65" w:rsidRDefault="0082041E">
            <w:pPr>
              <w:pStyle w:val="P68B1DB1-Normal13"/>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0B889" w14:textId="77777777" w:rsidR="003D7F65" w:rsidRDefault="0082041E">
            <w:pPr>
              <w:pStyle w:val="P68B1DB1-Normal13"/>
              <w:rPr>
                <w:noProof/>
              </w:rPr>
            </w:pPr>
            <w:r>
              <w:rPr>
                <w:noProof/>
              </w:rPr>
              <w:t>Équipes d'aptitude au travail pour la fourniture du programme d'aptitude au travail offert dans les nouvelles municipalités et du service modèle de placement individuel et de soutien offert dans les nouvelles zones de bien-être</w:t>
            </w:r>
          </w:p>
        </w:tc>
      </w:tr>
      <w:tr w:rsidR="003D7F65" w14:paraId="0C084EA2"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1FAE2" w14:textId="77777777" w:rsidR="003D7F65" w:rsidRDefault="0082041E">
            <w:pPr>
              <w:pStyle w:val="P68B1DB1-Normal13"/>
              <w:spacing w:after="0" w:line="240" w:lineRule="auto"/>
              <w:rPr>
                <w:noProof/>
              </w:rPr>
            </w:pPr>
            <w:r>
              <w:rPr>
                <w:noProof/>
              </w:rPr>
              <w:t>90</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2BEFD" w14:textId="77777777" w:rsidR="003D7F65" w:rsidRDefault="0082041E">
            <w:pPr>
              <w:pStyle w:val="P68B1DB1-Normal13"/>
              <w:rPr>
                <w:noProof/>
              </w:rPr>
            </w:pPr>
            <w:r>
              <w:rPr>
                <w:noProof/>
              </w:rPr>
              <w:t>P3C1I1 – Emploi et marché du travail – Capacité, productivité et bien-être au travail</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5D8BD"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882A2" w14:textId="4BF1A914" w:rsidR="003D7F65" w:rsidRDefault="0082041E">
            <w:pPr>
              <w:pStyle w:val="P68B1DB1-Normal13"/>
              <w:spacing w:line="240" w:lineRule="auto"/>
              <w:rPr>
                <w:noProof/>
              </w:rPr>
            </w:pPr>
            <w:r>
              <w:rPr>
                <w:noProof/>
              </w:rPr>
              <w:t xml:space="preserve">Nombre de lieux de travail ou d’unités de soins de santé au travail ayant participé à des mesures de promotion de la capacité de travail   </w:t>
            </w:r>
          </w:p>
        </w:tc>
      </w:tr>
      <w:tr w:rsidR="003D7F65" w14:paraId="2392193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BD55CC" w14:textId="77777777" w:rsidR="003D7F65" w:rsidRDefault="0082041E">
            <w:pPr>
              <w:pStyle w:val="P68B1DB1-Normal13"/>
              <w:spacing w:after="0" w:line="240" w:lineRule="auto"/>
              <w:rPr>
                <w:noProof/>
              </w:rPr>
            </w:pPr>
            <w:r>
              <w:rPr>
                <w:noProof/>
              </w:rPr>
              <w:t>95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14EBF" w14:textId="77777777" w:rsidR="003D7F65" w:rsidRDefault="0082041E">
            <w:pPr>
              <w:pStyle w:val="P68B1DB1-Normal13"/>
              <w:spacing w:line="240" w:lineRule="auto"/>
              <w:rPr>
                <w:noProof/>
              </w:rPr>
            </w:pPr>
            <w:r>
              <w:rPr>
                <w:noProof/>
              </w:rPr>
              <w:t>P3C2R1- Réforme de l'apprentissage continu</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6D4D8" w14:textId="77777777" w:rsidR="003D7F65" w:rsidRDefault="0082041E">
            <w:pPr>
              <w:pStyle w:val="P68B1DB1-Normal13"/>
              <w:spacing w:line="240" w:lineRule="auto"/>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04C0B" w14:textId="77777777" w:rsidR="003D7F65" w:rsidRDefault="0082041E">
            <w:pPr>
              <w:pStyle w:val="P68B1DB1-Normal13"/>
              <w:rPr>
                <w:noProof/>
              </w:rPr>
            </w:pPr>
            <w:r>
              <w:rPr>
                <w:noProof/>
              </w:rPr>
              <w:t>Nombre de participants à une formation continue en orientation professionnelle </w:t>
            </w:r>
          </w:p>
        </w:tc>
      </w:tr>
      <w:tr w:rsidR="003D7F65" w14:paraId="7389C7E5"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E16F1" w14:textId="77777777" w:rsidR="003D7F65" w:rsidRDefault="0082041E">
            <w:pPr>
              <w:pStyle w:val="P68B1DB1-Normal13"/>
              <w:spacing w:after="0" w:line="240" w:lineRule="auto"/>
              <w:rPr>
                <w:noProof/>
              </w:rPr>
            </w:pPr>
            <w:r>
              <w:rPr>
                <w:noProof/>
              </w:rPr>
              <w:t>128</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22EBBA" w14:textId="77777777" w:rsidR="003D7F65" w:rsidRDefault="0082041E">
            <w:pPr>
              <w:pStyle w:val="P68B1DB1-Normal10"/>
              <w:rPr>
                <w:noProof/>
              </w:rPr>
            </w:pPr>
            <w:r>
              <w:rPr>
                <w:noProof/>
              </w:rPr>
              <w:t>P3C4I3 – Renforcer la compétitivité et stimuler la croissance dans les secteurs touchés par la crise – Soutien au renouvellement des secteurs de la culture et de la création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9FFAF" w14:textId="77777777" w:rsidR="003D7F65" w:rsidRDefault="0082041E">
            <w:pPr>
              <w:pStyle w:val="P68B1DB1-Normal10"/>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2B080" w14:textId="77777777" w:rsidR="003D7F65" w:rsidRDefault="0082041E">
            <w:pPr>
              <w:pStyle w:val="P68B1DB1-Normal10"/>
              <w:rPr>
                <w:noProof/>
              </w:rPr>
            </w:pPr>
            <w:r>
              <w:rPr>
                <w:noProof/>
              </w:rPr>
              <w:t>Publication d'appels à candidatures supplémentaires</w:t>
            </w:r>
          </w:p>
        </w:tc>
      </w:tr>
      <w:tr w:rsidR="003D7F65" w14:paraId="6FE731DC"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696E4" w14:textId="77777777" w:rsidR="003D7F65" w:rsidRDefault="0082041E">
            <w:pPr>
              <w:pStyle w:val="P68B1DB1-Normal13"/>
              <w:spacing w:after="0" w:line="240" w:lineRule="auto"/>
              <w:rPr>
                <w:noProof/>
              </w:rPr>
            </w:pPr>
            <w:r>
              <w:rPr>
                <w:noProof/>
              </w:rPr>
              <w:t>129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76571" w14:textId="77777777" w:rsidR="003D7F65" w:rsidRDefault="0082041E">
            <w:pPr>
              <w:pStyle w:val="P68B1DB1-Normal13"/>
              <w:rPr>
                <w:noProof/>
              </w:rPr>
            </w:pPr>
            <w:r>
              <w:rPr>
                <w:noProof/>
              </w:rPr>
              <w:t>P3C4I3 – Renforcer la compétitivité et stimuler la croissance dans les secteurs touchés par la crise – Soutien au renouvellement des secteurs de la culture et de la création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B9E3C" w14:textId="77777777" w:rsidR="003D7F65" w:rsidRDefault="0082041E">
            <w:pPr>
              <w:pStyle w:val="P68B1DB1-Normal13"/>
              <w:rPr>
                <w:noProof/>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12C7" w14:textId="77777777" w:rsidR="003D7F65" w:rsidRDefault="0082041E">
            <w:pPr>
              <w:pStyle w:val="P68B1DB1-Normal10"/>
              <w:rPr>
                <w:rFonts w:eastAsia="Times New Roman"/>
                <w:noProof/>
              </w:rPr>
            </w:pPr>
            <w:r>
              <w:rPr>
                <w:noProof/>
              </w:rPr>
              <w:t>Rapports de projet présentés</w:t>
            </w:r>
          </w:p>
        </w:tc>
      </w:tr>
      <w:tr w:rsidR="003D7F65" w14:paraId="13CD7505"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0AF66" w14:textId="77777777" w:rsidR="003D7F65" w:rsidRDefault="0082041E">
            <w:pPr>
              <w:pStyle w:val="P68B1DB1-Normal13"/>
              <w:spacing w:line="240" w:lineRule="auto"/>
              <w:rPr>
                <w:noProof/>
                <w:color w:val="000000"/>
              </w:rPr>
            </w:pPr>
            <w:r>
              <w:rPr>
                <w:noProof/>
              </w:rPr>
              <w:t>131</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593E0" w14:textId="77777777" w:rsidR="003D7F65" w:rsidRDefault="0082041E">
            <w:pPr>
              <w:pStyle w:val="P68B1DB1-Normal13"/>
              <w:rPr>
                <w:noProof/>
                <w:color w:val="000000"/>
              </w:rPr>
            </w:pPr>
            <w:r>
              <w:rPr>
                <w:noProof/>
              </w:rPr>
              <w:t>P3C4I4 – Renforcer la compétitivité et stimuler la croissance dans les secteurs touchés par la crise – Soutenir une croissance durable et numérique dans le secteur du tourisme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06DE94" w14:textId="77777777" w:rsidR="003D7F65" w:rsidRDefault="0082041E">
            <w:pPr>
              <w:pStyle w:val="P68B1DB1-Normal13"/>
              <w:rPr>
                <w:noProof/>
                <w:color w:val="000000"/>
              </w:rPr>
            </w:pPr>
            <w:r>
              <w:rPr>
                <w:noProof/>
              </w:rPr>
              <w:t>Objectif</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5A44F" w14:textId="77777777" w:rsidR="003D7F65" w:rsidRDefault="0082041E">
            <w:pPr>
              <w:pStyle w:val="P68B1DB1-Normal10"/>
              <w:rPr>
                <w:rFonts w:eastAsia="Times New Roman"/>
                <w:noProof/>
                <w:color w:val="000000"/>
              </w:rPr>
            </w:pPr>
            <w:r>
              <w:rPr>
                <w:noProof/>
              </w:rPr>
              <w:t>Rapports de projet présentés</w:t>
            </w:r>
          </w:p>
        </w:tc>
      </w:tr>
      <w:tr w:rsidR="003D7F65" w14:paraId="183D67D7"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F0048" w14:textId="77777777" w:rsidR="003D7F65" w:rsidRDefault="0082041E">
            <w:pPr>
              <w:pStyle w:val="P68B1DB1-Normal29"/>
              <w:spacing w:line="240" w:lineRule="auto"/>
              <w:rPr>
                <w:noProof/>
              </w:rPr>
            </w:pPr>
            <w:r>
              <w:rPr>
                <w:noProof/>
              </w:rPr>
              <w:t>132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A9E39" w14:textId="77777777" w:rsidR="003D7F65" w:rsidRDefault="0082041E">
            <w:pPr>
              <w:pStyle w:val="P68B1DB1-Normal29"/>
              <w:rPr>
                <w:noProof/>
              </w:rPr>
            </w:pPr>
            <w:r>
              <w:rPr>
                <w:noProof/>
              </w:rPr>
              <w:t>P3C4I4 – Renforcer la compétitivité et stimuler la croissance dans les secteurs touchés par la crise – Soutenir une croissance durable et numérique dans le secteur du tourisme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4E944" w14:textId="77777777" w:rsidR="003D7F65" w:rsidRDefault="0082041E">
            <w:pPr>
              <w:pStyle w:val="P68B1DB1-Normal29"/>
              <w:rPr>
                <w:noProof/>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D5B994" w14:textId="77777777" w:rsidR="003D7F65" w:rsidRDefault="0082041E">
            <w:pPr>
              <w:pStyle w:val="P68B1DB1-Normal10"/>
              <w:rPr>
                <w:rFonts w:eastAsia="Times New Roman"/>
                <w:noProof/>
                <w:color w:val="000000"/>
              </w:rPr>
            </w:pPr>
            <w:r>
              <w:rPr>
                <w:noProof/>
              </w:rPr>
              <w:t>Mesures visant à promouvoir une croissance durable dans le secteur du tourisme</w:t>
            </w:r>
          </w:p>
        </w:tc>
      </w:tr>
      <w:tr w:rsidR="003D7F65" w14:paraId="0165B185" w14:textId="77777777">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56D5D" w14:textId="77777777" w:rsidR="003D7F65" w:rsidRDefault="0082041E">
            <w:pPr>
              <w:pStyle w:val="P68B1DB1-Normal13"/>
              <w:spacing w:line="240" w:lineRule="auto"/>
              <w:rPr>
                <w:noProof/>
                <w:color w:val="000000"/>
              </w:rPr>
            </w:pPr>
            <w:r>
              <w:rPr>
                <w:noProof/>
              </w:rPr>
              <w:t>137</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013C7C" w14:textId="77777777" w:rsidR="003D7F65" w:rsidRDefault="0082041E">
            <w:pPr>
              <w:pStyle w:val="P68B1DB1-Normal13"/>
              <w:rPr>
                <w:noProof/>
                <w:color w:val="000000"/>
              </w:rPr>
            </w:pPr>
            <w:r>
              <w:rPr>
                <w:noProof/>
              </w:rPr>
              <w:t>P4C1I2 - Prévention et identification précoce des problèmes de santé</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A47A0" w14:textId="77777777" w:rsidR="003D7F65" w:rsidRDefault="0082041E">
            <w:pPr>
              <w:pStyle w:val="P68B1DB1-Normal13"/>
              <w:rPr>
                <w:noProof/>
                <w:color w:val="000000"/>
              </w:rPr>
            </w:pPr>
            <w:r>
              <w:rPr>
                <w:noProof/>
              </w:rPr>
              <w:t>Étape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A9226" w14:textId="77777777" w:rsidR="003D7F65" w:rsidRDefault="0082041E">
            <w:pPr>
              <w:pStyle w:val="P68B1DB1-Normal13"/>
              <w:rPr>
                <w:noProof/>
                <w:color w:val="000000"/>
              </w:rPr>
            </w:pPr>
            <w:r>
              <w:rPr>
                <w:noProof/>
              </w:rPr>
              <w:t>Modèles régionaux multisectoriels de gestion des services fournis dans tous les domaines du bien-être</w:t>
            </w:r>
          </w:p>
        </w:tc>
      </w:tr>
      <w:tr w:rsidR="003D7F65" w14:paraId="17F5A6C2" w14:textId="77777777">
        <w:trPr>
          <w:trHeight w:val="302"/>
          <w:jc w:val="center"/>
        </w:trPr>
        <w:tc>
          <w:tcPr>
            <w:tcW w:w="6035"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3557FC81" w14:textId="77777777" w:rsidR="003D7F65" w:rsidRDefault="0082041E">
            <w:pPr>
              <w:pStyle w:val="P68B1DB1-Normal29"/>
              <w:rPr>
                <w:noProof/>
              </w:rPr>
            </w:pPr>
            <w:r>
              <w:rPr>
                <w:noProof/>
              </w:rPr>
              <w:t>Montant des acomptes provisionnels</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EBBC2" w14:textId="77777777" w:rsidR="003D7F65" w:rsidRDefault="0082041E">
            <w:pPr>
              <w:pStyle w:val="P68B1DB1-Normal13"/>
              <w:rPr>
                <w:noProof/>
                <w:color w:val="000000"/>
              </w:rPr>
            </w:pPr>
            <w:r>
              <w:rPr>
                <w:noProof/>
              </w:rPr>
              <w:t xml:space="preserve">308 577 468 </w:t>
            </w:r>
            <w:r>
              <w:rPr>
                <w:noProof/>
                <w:color w:val="000000" w:themeColor="text1"/>
              </w:rPr>
              <w:t>EUR </w:t>
            </w:r>
          </w:p>
        </w:tc>
      </w:tr>
    </w:tbl>
    <w:p w14:paraId="460B0ED2" w14:textId="77777777" w:rsidR="003D7F65" w:rsidRDefault="003D7F65">
      <w:pPr>
        <w:spacing w:before="240" w:after="120" w:line="240" w:lineRule="auto"/>
        <w:ind w:left="851"/>
        <w:jc w:val="both"/>
        <w:rPr>
          <w:rFonts w:ascii="Times New Roman" w:eastAsia="Times New Roman" w:hAnsi="Times New Roman"/>
          <w:noProof/>
          <w:sz w:val="24"/>
          <w:szCs w:val="24"/>
        </w:rPr>
      </w:pPr>
    </w:p>
    <w:p w14:paraId="3144622C" w14:textId="77777777" w:rsidR="003D7F65" w:rsidRDefault="0082041E">
      <w:pPr>
        <w:pStyle w:val="P68B1DB1-Normal4"/>
        <w:numPr>
          <w:ilvl w:val="1"/>
          <w:numId w:val="32"/>
        </w:numPr>
        <w:spacing w:before="240" w:after="120" w:line="240" w:lineRule="auto"/>
        <w:ind w:left="851" w:hanging="851"/>
        <w:jc w:val="both"/>
        <w:rPr>
          <w:noProof/>
        </w:rPr>
      </w:pPr>
      <w:r>
        <w:rPr>
          <w:noProof/>
        </w:rPr>
        <w:t>Cinquième tranche (soutien non remboursable):</w:t>
      </w:r>
    </w:p>
    <w:tbl>
      <w:tblPr>
        <w:tblW w:w="9252" w:type="dxa"/>
        <w:jc w:val="center"/>
        <w:tblLook w:val="04A0" w:firstRow="1" w:lastRow="0" w:firstColumn="1" w:lastColumn="0" w:noHBand="0" w:noVBand="1"/>
      </w:tblPr>
      <w:tblGrid>
        <w:gridCol w:w="1217"/>
        <w:gridCol w:w="3280"/>
        <w:gridCol w:w="1406"/>
        <w:gridCol w:w="3349"/>
      </w:tblGrid>
      <w:tr w:rsidR="003D7F65" w14:paraId="5E8464CF" w14:textId="77777777">
        <w:trPr>
          <w:trHeight w:val="1247"/>
          <w:tblHeader/>
          <w:jc w:val="center"/>
        </w:trPr>
        <w:tc>
          <w:tcPr>
            <w:tcW w:w="121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77705E8" w14:textId="77777777" w:rsidR="003D7F65" w:rsidRDefault="0082041E">
            <w:pPr>
              <w:pStyle w:val="P68B1DB1-Normal7"/>
              <w:spacing w:after="0" w:line="240" w:lineRule="auto"/>
              <w:jc w:val="center"/>
              <w:rPr>
                <w:bCs/>
                <w:noProof/>
              </w:rPr>
            </w:pPr>
            <w:r>
              <w:rPr>
                <w:noProof/>
              </w:rPr>
              <w:t>Numéro</w:t>
            </w:r>
          </w:p>
        </w:tc>
        <w:tc>
          <w:tcPr>
            <w:tcW w:w="328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C2A598B" w14:textId="77777777" w:rsidR="003D7F65" w:rsidRDefault="0082041E">
            <w:pPr>
              <w:pStyle w:val="P68B1DB1-Normal7"/>
              <w:spacing w:after="0" w:line="240" w:lineRule="auto"/>
              <w:jc w:val="center"/>
              <w:rPr>
                <w:bCs/>
                <w:noProof/>
              </w:rPr>
            </w:pPr>
            <w:r>
              <w:rPr>
                <w:noProof/>
              </w:rPr>
              <w:t>Mesure connexe (réforme ou investissement)</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FB9EF2F" w14:textId="77777777" w:rsidR="003D7F65" w:rsidRDefault="0082041E">
            <w:pPr>
              <w:pStyle w:val="P68B1DB1-Normal7"/>
              <w:spacing w:after="0" w:line="240" w:lineRule="auto"/>
              <w:jc w:val="center"/>
              <w:rPr>
                <w:bCs/>
                <w:noProof/>
              </w:rPr>
            </w:pPr>
            <w:r>
              <w:rPr>
                <w:noProof/>
              </w:rPr>
              <w:t>Étape/cible</w:t>
            </w:r>
          </w:p>
        </w:tc>
        <w:tc>
          <w:tcPr>
            <w:tcW w:w="3349" w:type="dxa"/>
            <w:tcBorders>
              <w:top w:val="single" w:sz="4" w:space="0" w:color="auto"/>
              <w:left w:val="nil"/>
              <w:bottom w:val="single" w:sz="4" w:space="0" w:color="000000" w:themeColor="text1"/>
              <w:right w:val="single" w:sz="4" w:space="0" w:color="auto"/>
            </w:tcBorders>
            <w:shd w:val="clear" w:color="auto" w:fill="BDD7EE"/>
            <w:vAlign w:val="center"/>
            <w:hideMark/>
          </w:tcPr>
          <w:p w14:paraId="3B198EB4" w14:textId="77777777" w:rsidR="003D7F65" w:rsidRDefault="0082041E">
            <w:pPr>
              <w:pStyle w:val="P68B1DB1-Normal7"/>
              <w:spacing w:after="0" w:line="240" w:lineRule="auto"/>
              <w:jc w:val="center"/>
              <w:rPr>
                <w:bCs/>
                <w:noProof/>
              </w:rPr>
            </w:pPr>
            <w:r>
              <w:rPr>
                <w:noProof/>
              </w:rPr>
              <w:t>Nom</w:t>
            </w:r>
          </w:p>
        </w:tc>
      </w:tr>
      <w:tr w:rsidR="003D7F65" w14:paraId="6CC1492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C35BD" w14:textId="77777777" w:rsidR="003D7F65" w:rsidRDefault="0082041E">
            <w:pPr>
              <w:pStyle w:val="P68B1DB1-Normal13"/>
              <w:spacing w:after="0" w:line="240" w:lineRule="auto"/>
              <w:rPr>
                <w:noProof/>
              </w:rPr>
            </w:pPr>
            <w:r>
              <w:rPr>
                <w:noProof/>
              </w:rPr>
              <w:t>12</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653A7" w14:textId="77777777" w:rsidR="003D7F65" w:rsidRDefault="0082041E">
            <w:pPr>
              <w:pStyle w:val="P68B1DB1-Normal13"/>
              <w:rPr>
                <w:noProof/>
              </w:rPr>
            </w:pPr>
            <w:r>
              <w:rPr>
                <w:noProof/>
              </w:rPr>
              <w:t>P1C2R1 – Réformes industrielles et investissements soutenant la transition écologique et numérique – Réforme de la législation sur le climat et industrialisation à faible intensité de carbone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3E5CA"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35218" w14:textId="77777777" w:rsidR="003D7F65" w:rsidRDefault="0082041E">
            <w:pPr>
              <w:pStyle w:val="P68B1DB1-Normal13"/>
              <w:rPr>
                <w:noProof/>
              </w:rPr>
            </w:pPr>
            <w:r>
              <w:rPr>
                <w:noProof/>
              </w:rPr>
              <w:t>Publication de la stratégie actualisée en matière de climat et d’énergie, du plan d’action à moyen terme en matière de changement climatique et des feuilles de route sectorielles à faible intensité de carbone</w:t>
            </w:r>
          </w:p>
        </w:tc>
      </w:tr>
      <w:tr w:rsidR="003D7F65" w14:paraId="76A09213"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1FF5E5" w14:textId="77777777" w:rsidR="003D7F65" w:rsidRDefault="0082041E">
            <w:pPr>
              <w:pStyle w:val="P68B1DB1-Normal13"/>
              <w:spacing w:line="240" w:lineRule="auto"/>
              <w:rPr>
                <w:noProof/>
              </w:rPr>
            </w:pPr>
            <w:r>
              <w:rPr>
                <w:noProof/>
              </w:rPr>
              <w:t>40</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929EF" w14:textId="77777777" w:rsidR="003D7F65" w:rsidRDefault="0082041E">
            <w:pPr>
              <w:pStyle w:val="P68B1DB1-Normal13"/>
              <w:rPr>
                <w:noProof/>
              </w:rPr>
            </w:pPr>
            <w:r>
              <w:rPr>
                <w:noProof/>
              </w:rPr>
              <w:t>P1C4I1 – Solutions à faible intensité de carbone pour les villes et les transports – Infrastructures publiques de recharge et de ravitaillement pour les transports d’électricité et d’hydrogène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A8433"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E7238" w14:textId="77777777" w:rsidR="003D7F65" w:rsidRDefault="0082041E">
            <w:pPr>
              <w:pStyle w:val="P68B1DB1-Normal13"/>
              <w:rPr>
                <w:noProof/>
              </w:rPr>
            </w:pPr>
            <w:r>
              <w:rPr>
                <w:noProof/>
              </w:rPr>
              <w:t>Budget engagé pour les chargeurs de véhicules électriques et/ou les points de ravitaillement en hydrogène</w:t>
            </w:r>
          </w:p>
        </w:tc>
      </w:tr>
      <w:tr w:rsidR="003D7F65" w14:paraId="00016353"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10EAE7" w14:textId="77777777" w:rsidR="003D7F65" w:rsidRDefault="0082041E">
            <w:pPr>
              <w:pStyle w:val="P68B1DB1-Normal13"/>
              <w:spacing w:line="240" w:lineRule="auto"/>
              <w:rPr>
                <w:noProof/>
              </w:rPr>
            </w:pPr>
            <w:r>
              <w:rPr>
                <w:noProof/>
              </w:rPr>
              <w:t>49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0471A" w14:textId="77777777" w:rsidR="003D7F65" w:rsidRDefault="0082041E">
            <w:pPr>
              <w:pStyle w:val="P68B1DB1-Normal13"/>
              <w:rPr>
                <w:noProof/>
              </w:rPr>
            </w:pPr>
            <w:r>
              <w:rPr>
                <w:noProof/>
              </w:rPr>
              <w:t>P1C5I1 – Durabilité environnementale et solutions fondées sur la nature – Traitement du gypse et recyclage des nutriments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4B093"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76C21A" w14:textId="77777777" w:rsidR="003D7F65" w:rsidRDefault="0082041E">
            <w:pPr>
              <w:pStyle w:val="P68B1DB1-Normal13"/>
              <w:rPr>
                <w:noProof/>
              </w:rPr>
            </w:pPr>
            <w:r>
              <w:rPr>
                <w:noProof/>
              </w:rPr>
              <w:t xml:space="preserve">Champs traités au gypse </w:t>
            </w:r>
          </w:p>
        </w:tc>
      </w:tr>
      <w:tr w:rsidR="003D7F65" w14:paraId="3408FC8A"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C0EA4" w14:textId="77777777" w:rsidR="003D7F65" w:rsidRDefault="0082041E">
            <w:pPr>
              <w:pStyle w:val="P68B1DB1-Normal13"/>
              <w:spacing w:line="240" w:lineRule="auto"/>
              <w:rPr>
                <w:noProof/>
              </w:rPr>
            </w:pPr>
            <w:r>
              <w:rPr>
                <w:noProof/>
              </w:rPr>
              <w:t>51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A78DB" w14:textId="77777777" w:rsidR="003D7F65" w:rsidRDefault="0082041E">
            <w:pPr>
              <w:pStyle w:val="P68B1DB1-Normal13"/>
              <w:rPr>
                <w:noProof/>
              </w:rPr>
            </w:pPr>
            <w:r>
              <w:rPr>
                <w:noProof/>
              </w:rPr>
              <w:t>P1C5I1 – Durabilité environnementale et solutions fondées sur la nature – Traitement du gypse et recyclage des nutriments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B31A4"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C3060" w14:textId="77777777" w:rsidR="003D7F65" w:rsidRDefault="0082041E">
            <w:pPr>
              <w:pStyle w:val="P68B1DB1-Normal10"/>
              <w:spacing w:after="0" w:line="240" w:lineRule="auto"/>
              <w:rPr>
                <w:rFonts w:eastAsia="Times New Roman"/>
                <w:noProof/>
              </w:rPr>
            </w:pPr>
            <w:r>
              <w:rPr>
                <w:noProof/>
              </w:rPr>
              <w:t>Rapports de projet présentés</w:t>
            </w:r>
          </w:p>
          <w:p w14:paraId="1628BDE0" w14:textId="77777777" w:rsidR="003D7F65" w:rsidRDefault="003D7F65">
            <w:pPr>
              <w:rPr>
                <w:rFonts w:ascii="Times New Roman" w:eastAsia="Times New Roman" w:hAnsi="Times New Roman"/>
                <w:noProof/>
                <w:sz w:val="18"/>
                <w:szCs w:val="18"/>
              </w:rPr>
            </w:pPr>
          </w:p>
        </w:tc>
      </w:tr>
      <w:tr w:rsidR="003D7F65" w14:paraId="081880D0"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CFC85" w14:textId="77777777" w:rsidR="003D7F65" w:rsidRDefault="0082041E">
            <w:pPr>
              <w:pStyle w:val="P68B1DB1-Normal13"/>
              <w:spacing w:line="240" w:lineRule="auto"/>
              <w:rPr>
                <w:noProof/>
              </w:rPr>
            </w:pPr>
            <w:r>
              <w:rPr>
                <w:noProof/>
              </w:rPr>
              <w:t>54</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0519B" w14:textId="77777777" w:rsidR="003D7F65" w:rsidRDefault="0082041E">
            <w:pPr>
              <w:pStyle w:val="P68B1DB1-Normal13"/>
              <w:rPr>
                <w:noProof/>
              </w:rPr>
            </w:pPr>
            <w:r>
              <w:rPr>
                <w:noProof/>
              </w:rPr>
              <w:t>P1C5I2 – Durabilité environnementale et solutions fondées sur la nature – Mesures résilientes au changement climatique dans le secteur de l’utilisation des terres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7989A"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B617FF" w14:textId="77777777" w:rsidR="003D7F65" w:rsidRDefault="0082041E">
            <w:pPr>
              <w:pStyle w:val="P68B1DB1-Normal10"/>
              <w:spacing w:after="0" w:line="240" w:lineRule="auto"/>
              <w:rPr>
                <w:rFonts w:eastAsia="Times New Roman"/>
                <w:noProof/>
              </w:rPr>
            </w:pPr>
            <w:r>
              <w:rPr>
                <w:noProof/>
              </w:rPr>
              <w:t>Rapports de projet présentés</w:t>
            </w:r>
          </w:p>
          <w:p w14:paraId="0AC3797E" w14:textId="77777777" w:rsidR="003D7F65" w:rsidRDefault="003D7F65">
            <w:pPr>
              <w:rPr>
                <w:rFonts w:ascii="Times New Roman" w:eastAsia="Times New Roman" w:hAnsi="Times New Roman"/>
                <w:noProof/>
                <w:sz w:val="18"/>
                <w:szCs w:val="18"/>
              </w:rPr>
            </w:pPr>
          </w:p>
        </w:tc>
      </w:tr>
      <w:tr w:rsidR="003D7F65" w14:paraId="76CBC3DB"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5B38" w14:textId="77777777" w:rsidR="003D7F65" w:rsidRDefault="0082041E">
            <w:pPr>
              <w:pStyle w:val="P68B1DB1-Normal13"/>
              <w:spacing w:line="240" w:lineRule="auto"/>
              <w:rPr>
                <w:noProof/>
              </w:rPr>
            </w:pPr>
            <w:r>
              <w:rPr>
                <w:noProof/>
              </w:rPr>
              <w:t>63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23AE6" w14:textId="77777777" w:rsidR="003D7F65" w:rsidRDefault="0082041E">
            <w:pPr>
              <w:pStyle w:val="P68B1DB1-Normal13"/>
              <w:rPr>
                <w:noProof/>
              </w:rPr>
            </w:pPr>
            <w:r>
              <w:rPr>
                <w:noProof/>
              </w:rPr>
              <w:t>P2C2I2 – Accélération de l’économie fondée sur les données et de la numérisation – Finlande virtuelle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DA754C"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D2EC9B" w14:textId="77777777" w:rsidR="003D7F65" w:rsidRDefault="0082041E">
            <w:pPr>
              <w:pStyle w:val="P68B1DB1-Normal13"/>
              <w:rPr>
                <w:noProof/>
              </w:rPr>
            </w:pPr>
            <w:r>
              <w:rPr>
                <w:noProof/>
              </w:rPr>
              <w:t>Plate-forme virtuelle de Finlande</w:t>
            </w:r>
          </w:p>
        </w:tc>
      </w:tr>
      <w:tr w:rsidR="003D7F65" w14:paraId="4D46AC1A"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5A8B1" w14:textId="77777777" w:rsidR="003D7F65" w:rsidRDefault="0082041E">
            <w:pPr>
              <w:pStyle w:val="P68B1DB1-Normal13"/>
              <w:spacing w:line="240" w:lineRule="auto"/>
              <w:rPr>
                <w:noProof/>
              </w:rPr>
            </w:pPr>
            <w:r>
              <w:rPr>
                <w:noProof/>
              </w:rPr>
              <w:t>67</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532CA" w14:textId="77777777" w:rsidR="003D7F65" w:rsidRDefault="0082041E">
            <w:pPr>
              <w:pStyle w:val="P68B1DB1-Normal13"/>
              <w:rPr>
                <w:noProof/>
              </w:rPr>
            </w:pPr>
            <w:r>
              <w:rPr>
                <w:noProof/>
              </w:rPr>
              <w:t>P2C2I3 - Accélérer les technologies clés (microélectronique, 6G, intelligence artificielle et informatique quantique)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3A5AD6"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BB7A10" w14:textId="77777777" w:rsidR="003D7F65" w:rsidRDefault="0082041E">
            <w:pPr>
              <w:pStyle w:val="P68B1DB1-Normal13"/>
              <w:rPr>
                <w:noProof/>
              </w:rPr>
            </w:pPr>
            <w:r>
              <w:rPr>
                <w:noProof/>
              </w:rPr>
              <w:t>Rapports de projet présentés</w:t>
            </w:r>
          </w:p>
        </w:tc>
      </w:tr>
      <w:tr w:rsidR="003D7F65" w14:paraId="762BB29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537B0" w14:textId="77777777" w:rsidR="003D7F65" w:rsidRDefault="0082041E">
            <w:pPr>
              <w:pStyle w:val="P68B1DB1-Normal13"/>
              <w:spacing w:line="240" w:lineRule="auto"/>
              <w:rPr>
                <w:noProof/>
              </w:rPr>
            </w:pPr>
            <w:r>
              <w:rPr>
                <w:noProof/>
              </w:rPr>
              <w:t>69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63767" w14:textId="77777777" w:rsidR="003D7F65" w:rsidRDefault="0082041E">
            <w:pPr>
              <w:pStyle w:val="P68B1DB1-Normal13"/>
              <w:rPr>
                <w:noProof/>
              </w:rPr>
            </w:pPr>
            <w:r>
              <w:rPr>
                <w:noProof/>
              </w:rPr>
              <w:t>P2C2R1 - Développement du système d'information sur la propriété résidentielle et commerciale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82370"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4624A" w14:textId="77777777" w:rsidR="003D7F65" w:rsidRDefault="0082041E">
            <w:pPr>
              <w:pStyle w:val="P68B1DB1-Normal13"/>
              <w:rPr>
                <w:noProof/>
              </w:rPr>
            </w:pPr>
            <w:r>
              <w:rPr>
                <w:noProof/>
              </w:rPr>
              <w:t>Entrée en vigueur des actes juridiques</w:t>
            </w:r>
          </w:p>
        </w:tc>
      </w:tr>
      <w:tr w:rsidR="003D7F65" w14:paraId="7EB9702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6EE828" w14:textId="77777777" w:rsidR="003D7F65" w:rsidRDefault="0082041E">
            <w:pPr>
              <w:pStyle w:val="P68B1DB1-Normal13"/>
              <w:spacing w:line="240" w:lineRule="auto"/>
              <w:rPr>
                <w:noProof/>
              </w:rPr>
            </w:pPr>
            <w:r>
              <w:rPr>
                <w:noProof/>
              </w:rPr>
              <w:t>73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CFAE9" w14:textId="77777777" w:rsidR="003D7F65" w:rsidRDefault="0082041E">
            <w:pPr>
              <w:pStyle w:val="P68B1DB1-Normal13"/>
              <w:rPr>
                <w:noProof/>
              </w:rPr>
            </w:pPr>
            <w:r>
              <w:rPr>
                <w:noProof/>
              </w:rPr>
              <w:t>P2C3R1 - Assurer une surveillance et une application efficaces de la prévention du blanchiment de capitaux</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26ED8"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234921" w14:textId="77777777" w:rsidR="003D7F65" w:rsidRDefault="0082041E">
            <w:pPr>
              <w:pStyle w:val="P68B1DB1-Normal13"/>
              <w:rPr>
                <w:noProof/>
              </w:rPr>
            </w:pPr>
            <w:r>
              <w:rPr>
                <w:noProof/>
              </w:rPr>
              <w:t>Entrée en vigueur des actes juridiques</w:t>
            </w:r>
          </w:p>
        </w:tc>
      </w:tr>
      <w:tr w:rsidR="003D7F65" w14:paraId="4158B82A"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030A1" w14:textId="77777777" w:rsidR="003D7F65" w:rsidRDefault="0082041E">
            <w:pPr>
              <w:pStyle w:val="P68B1DB1-Normal13"/>
              <w:spacing w:line="240" w:lineRule="auto"/>
              <w:rPr>
                <w:noProof/>
              </w:rPr>
            </w:pPr>
            <w:r>
              <w:rPr>
                <w:noProof/>
              </w:rPr>
              <w:t>76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66DA0" w14:textId="77777777" w:rsidR="003D7F65" w:rsidRDefault="0082041E">
            <w:pPr>
              <w:pStyle w:val="P68B1DB1-Normal13"/>
              <w:rPr>
                <w:noProof/>
              </w:rPr>
            </w:pPr>
            <w:r>
              <w:rPr>
                <w:noProof/>
              </w:rPr>
              <w:t>P2C3I2 – Exercices de cybersécurité</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86480"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444004" w14:textId="77777777" w:rsidR="003D7F65" w:rsidRDefault="0082041E">
            <w:pPr>
              <w:pStyle w:val="P68B1DB1-Normal13"/>
              <w:rPr>
                <w:noProof/>
              </w:rPr>
            </w:pPr>
            <w:r>
              <w:rPr>
                <w:noProof/>
              </w:rPr>
              <w:t>Nombre d’exercices de cybersécurité</w:t>
            </w:r>
          </w:p>
        </w:tc>
      </w:tr>
      <w:tr w:rsidR="003D7F65" w14:paraId="4A16025B"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9DED84" w14:textId="77777777" w:rsidR="003D7F65" w:rsidRDefault="0082041E">
            <w:pPr>
              <w:pStyle w:val="P68B1DB1-Normal13"/>
              <w:spacing w:line="240" w:lineRule="auto"/>
              <w:rPr>
                <w:b/>
                <w:bCs/>
                <w:noProof/>
              </w:rPr>
            </w:pPr>
            <w:r>
              <w:rPr>
                <w:noProof/>
              </w:rPr>
              <w:t>85</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D94A7" w14:textId="77777777" w:rsidR="003D7F65" w:rsidRDefault="0082041E">
            <w:pPr>
              <w:pStyle w:val="P68B1DB1-Normal13"/>
              <w:rPr>
                <w:noProof/>
              </w:rPr>
            </w:pPr>
            <w:r>
              <w:rPr>
                <w:noProof/>
              </w:rPr>
              <w:t>P3C1R4 - Emploi et marché du travail – Services pluridisciplinaires pour les jeunes (services Ohjaamo)</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2CB140"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88AE9" w14:textId="6AE4AAFB" w:rsidR="003D7F65" w:rsidRDefault="0082041E">
            <w:pPr>
              <w:pStyle w:val="P68B1DB1-Normal13"/>
              <w:rPr>
                <w:noProof/>
              </w:rPr>
            </w:pPr>
            <w:r>
              <w:rPr>
                <w:noProof/>
              </w:rPr>
              <w:t>Nombre de personnes affectées à l ' offre de services sanitaires, sociaux et/ou éducatifs dans les centres d ' orientation à guichet unique d ' Ohjaamo</w:t>
            </w:r>
          </w:p>
        </w:tc>
      </w:tr>
      <w:tr w:rsidR="003D7F65" w14:paraId="6867765D"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544AF" w14:textId="77777777" w:rsidR="003D7F65" w:rsidRDefault="0082041E">
            <w:pPr>
              <w:pStyle w:val="P68B1DB1-Normal13"/>
              <w:spacing w:line="240" w:lineRule="auto"/>
              <w:rPr>
                <w:noProof/>
              </w:rPr>
            </w:pPr>
            <w:r>
              <w:rPr>
                <w:noProof/>
              </w:rPr>
              <w:t>97</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8CF6E" w14:textId="77777777" w:rsidR="003D7F65" w:rsidRDefault="0082041E">
            <w:pPr>
              <w:pStyle w:val="P68B1DB1-Normal13"/>
              <w:spacing w:line="240" w:lineRule="auto"/>
              <w:rPr>
                <w:noProof/>
              </w:rPr>
            </w:pPr>
            <w:r>
              <w:rPr>
                <w:noProof/>
              </w:rPr>
              <w:t>P3C2I1 - Programme de numérisation pour l'apprentissage continu</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A9157" w14:textId="77777777" w:rsidR="003D7F65" w:rsidRDefault="0082041E">
            <w:pPr>
              <w:pStyle w:val="P68B1DB1-Normal13"/>
              <w:spacing w:line="240" w:lineRule="auto"/>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6A367" w14:textId="77777777" w:rsidR="003D7F65" w:rsidRDefault="0082041E">
            <w:pPr>
              <w:pStyle w:val="P68B1DB1-Normal13"/>
              <w:spacing w:line="240" w:lineRule="auto"/>
              <w:rPr>
                <w:noProof/>
              </w:rPr>
            </w:pPr>
            <w:r>
              <w:rPr>
                <w:noProof/>
              </w:rPr>
              <w:t>Services numériques pour l'apprentissage continu</w:t>
            </w:r>
          </w:p>
        </w:tc>
      </w:tr>
      <w:tr w:rsidR="003D7F65" w14:paraId="217FAA75"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4C6B8" w14:textId="77777777" w:rsidR="003D7F65" w:rsidRDefault="0082041E">
            <w:pPr>
              <w:pStyle w:val="P68B1DB1-Normal13"/>
              <w:spacing w:line="240" w:lineRule="auto"/>
              <w:rPr>
                <w:noProof/>
              </w:rPr>
            </w:pPr>
            <w:r>
              <w:rPr>
                <w:noProof/>
              </w:rPr>
              <w:t>108</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86120" w14:textId="77777777" w:rsidR="003D7F65" w:rsidRDefault="0082041E">
            <w:pPr>
              <w:pStyle w:val="P68B1DB1-Normal13"/>
              <w:rPr>
                <w:noProof/>
              </w:rPr>
            </w:pPr>
            <w:r>
              <w:rPr>
                <w:noProof/>
              </w:rPr>
              <w:t>P3C3I3 - RDI, infrastructures de recherche et pilotage – Paquet de financement RDI soutenant la transition écologique – Accélérer les secteurs clés et renforcer les compétences (Business Finland)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72F21F"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F85DF" w14:textId="77777777" w:rsidR="003D7F65" w:rsidRDefault="0082041E">
            <w:pPr>
              <w:pStyle w:val="P68B1DB1-Normal10"/>
              <w:rPr>
                <w:rFonts w:eastAsia="Times New Roman"/>
                <w:noProof/>
              </w:rPr>
            </w:pPr>
            <w:r>
              <w:rPr>
                <w:noProof/>
              </w:rPr>
              <w:t>Rapports de projet présentés</w:t>
            </w:r>
          </w:p>
        </w:tc>
      </w:tr>
      <w:tr w:rsidR="003D7F65" w14:paraId="19CD55D6"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B1A74" w14:textId="77777777" w:rsidR="003D7F65" w:rsidRDefault="0082041E">
            <w:pPr>
              <w:pStyle w:val="P68B1DB1-Normal13"/>
              <w:spacing w:line="240" w:lineRule="auto"/>
              <w:rPr>
                <w:noProof/>
              </w:rPr>
            </w:pPr>
            <w:r>
              <w:rPr>
                <w:noProof/>
              </w:rPr>
              <w:t>111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2A6B6" w14:textId="77777777" w:rsidR="003D7F65" w:rsidRDefault="0082041E">
            <w:pPr>
              <w:pStyle w:val="P68B1DB1-Normal30"/>
              <w:rPr>
                <w:rFonts w:ascii="Times New Roman" w:eastAsia="Times New Roman" w:hAnsi="Times New Roman"/>
                <w:noProof/>
              </w:rPr>
            </w:pPr>
            <w:r>
              <w:rPr>
                <w:rFonts w:ascii="Times New Roman" w:eastAsia="Times New Roman" w:hAnsi="Times New Roman"/>
                <w:noProof/>
                <w:color w:val="000000"/>
              </w:rPr>
              <w:t>P3C3I4</w:t>
            </w:r>
            <w:r>
              <w:rPr>
                <w:rFonts w:ascii="Times New Roman" w:hAnsi="Times New Roman"/>
                <w:noProof/>
              </w:rPr>
              <w:t xml:space="preserve"> – RDI, infrastructures de recherche et pilotage – Paquet de financement de la RDI soutenant la transition écologique – Soutien aux entreprises innovantes en croissance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27466"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8568F" w14:textId="77777777" w:rsidR="003D7F65" w:rsidRDefault="0082041E">
            <w:pPr>
              <w:pStyle w:val="P68B1DB1-Normal10"/>
              <w:rPr>
                <w:rFonts w:eastAsia="Times New Roman"/>
                <w:noProof/>
              </w:rPr>
            </w:pPr>
            <w:r>
              <w:rPr>
                <w:noProof/>
              </w:rPr>
              <w:t>Rapports de projet présentés</w:t>
            </w:r>
          </w:p>
        </w:tc>
      </w:tr>
      <w:tr w:rsidR="003D7F65" w14:paraId="56CC4EC8"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2BAD2" w14:textId="77777777" w:rsidR="003D7F65" w:rsidRDefault="0082041E">
            <w:pPr>
              <w:pStyle w:val="P68B1DB1-Normal13"/>
              <w:spacing w:line="240" w:lineRule="auto"/>
              <w:rPr>
                <w:noProof/>
              </w:rPr>
            </w:pPr>
            <w:r>
              <w:rPr>
                <w:noProof/>
              </w:rPr>
              <w:t>120</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60073" w14:textId="77777777" w:rsidR="003D7F65" w:rsidRDefault="0082041E">
            <w:pPr>
              <w:pStyle w:val="P68B1DB1-Normal13"/>
              <w:rPr>
                <w:noProof/>
              </w:rPr>
            </w:pPr>
            <w:r>
              <w:rPr>
                <w:noProof/>
              </w:rPr>
              <w:t>P3C3I7 – RDI, infrastructures de recherche et pilotage – Promouvoir l’innovation et les infrastructures de recherche – Financement compétitif des infrastructures d’innovation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C26D9"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B4253" w14:textId="77777777" w:rsidR="003D7F65" w:rsidRDefault="0082041E">
            <w:pPr>
              <w:pStyle w:val="P68B1DB1-Normal10"/>
              <w:rPr>
                <w:rFonts w:eastAsia="Times New Roman"/>
                <w:noProof/>
              </w:rPr>
            </w:pPr>
            <w:r>
              <w:rPr>
                <w:noProof/>
              </w:rPr>
              <w:t>Rapports de projet présentés</w:t>
            </w:r>
          </w:p>
        </w:tc>
      </w:tr>
      <w:tr w:rsidR="003D7F65" w14:paraId="16D59294"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72652" w14:textId="77777777" w:rsidR="003D7F65" w:rsidRDefault="0082041E">
            <w:pPr>
              <w:pStyle w:val="P68B1DB1-Normal13"/>
              <w:spacing w:line="240" w:lineRule="auto"/>
              <w:rPr>
                <w:noProof/>
              </w:rPr>
            </w:pPr>
            <w:r>
              <w:rPr>
                <w:noProof/>
              </w:rPr>
              <w:t>126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60590" w14:textId="77777777" w:rsidR="003D7F65" w:rsidRDefault="0082041E">
            <w:pPr>
              <w:pStyle w:val="P68B1DB1-Normal13"/>
              <w:rPr>
                <w:noProof/>
              </w:rPr>
            </w:pPr>
            <w:r>
              <w:rPr>
                <w:noProof/>
              </w:rPr>
              <w:t>P3C4I2 – Renforcer la compétitivité et stimuler la croissance dans les secteurs touchés par la crise – Programmes clés pour la croissance internationale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01CD5"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F0813" w14:textId="77777777" w:rsidR="003D7F65" w:rsidRDefault="0082041E">
            <w:pPr>
              <w:pStyle w:val="P68B1DB1-Normal10"/>
              <w:rPr>
                <w:rFonts w:eastAsia="Times New Roman"/>
                <w:noProof/>
              </w:rPr>
            </w:pPr>
            <w:r>
              <w:rPr>
                <w:noProof/>
              </w:rPr>
              <w:t>Rapports de projet présentés</w:t>
            </w:r>
          </w:p>
        </w:tc>
      </w:tr>
      <w:tr w:rsidR="003D7F65" w14:paraId="76594219"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4EACB" w14:textId="77777777" w:rsidR="003D7F65" w:rsidRDefault="0082041E">
            <w:pPr>
              <w:pStyle w:val="P68B1DB1-Normal13"/>
              <w:spacing w:line="240" w:lineRule="auto"/>
              <w:rPr>
                <w:noProof/>
              </w:rPr>
            </w:pPr>
            <w:r>
              <w:rPr>
                <w:noProof/>
              </w:rPr>
              <w:t>136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03BF9" w14:textId="77777777" w:rsidR="003D7F65" w:rsidRDefault="0082041E">
            <w:pPr>
              <w:pStyle w:val="P68B1DB1-Normal13"/>
              <w:rPr>
                <w:noProof/>
              </w:rPr>
            </w:pPr>
            <w:r>
              <w:rPr>
                <w:noProof/>
              </w:rPr>
              <w:t>P4C1I1- Promouvoir la mise en œuvre de la garantie de soins et réduire l’arriéré de services en raison de la pandémie de COVID-19</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598B36"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E6298" w14:textId="77777777" w:rsidR="003D7F65" w:rsidRDefault="0082041E">
            <w:pPr>
              <w:pStyle w:val="P68B1DB1-Normal13"/>
              <w:rPr>
                <w:noProof/>
              </w:rPr>
            </w:pPr>
            <w:r>
              <w:rPr>
                <w:noProof/>
              </w:rPr>
              <w:t>Part des visites de soins de santé primaires non urgentes qui atteignent le délai de 7 jours pour l’accès aux soins</w:t>
            </w:r>
          </w:p>
        </w:tc>
      </w:tr>
      <w:tr w:rsidR="003D7F65" w14:paraId="7E1AF6E9"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9B3F7" w14:textId="77777777" w:rsidR="003D7F65" w:rsidRDefault="0082041E">
            <w:pPr>
              <w:pStyle w:val="P68B1DB1-Normal13"/>
              <w:spacing w:line="240" w:lineRule="auto"/>
              <w:rPr>
                <w:noProof/>
              </w:rPr>
            </w:pPr>
            <w:r>
              <w:rPr>
                <w:noProof/>
              </w:rPr>
              <w:t>138</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9E05F" w14:textId="77777777" w:rsidR="003D7F65" w:rsidRDefault="0082041E">
            <w:pPr>
              <w:pStyle w:val="P68B1DB1-Normal13"/>
              <w:rPr>
                <w:noProof/>
              </w:rPr>
            </w:pPr>
            <w:r>
              <w:rPr>
                <w:noProof/>
              </w:rPr>
              <w:t>P4C1I3 - Base de connaissances pour accroître le rapport coût-efficacité des services de protection sociale et de soins de santé</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18DF3"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FA3C7" w14:textId="77777777" w:rsidR="003D7F65" w:rsidRDefault="0082041E">
            <w:pPr>
              <w:pStyle w:val="P68B1DB1-Normal13"/>
              <w:rPr>
                <w:noProof/>
              </w:rPr>
            </w:pPr>
            <w:r>
              <w:rPr>
                <w:noProof/>
              </w:rPr>
              <w:t>Système national de suivi en temps réel de la garantie de soins utilisée dans tous les domaines de la protection sociale</w:t>
            </w:r>
          </w:p>
        </w:tc>
      </w:tr>
      <w:tr w:rsidR="003D7F65" w14:paraId="7C7D3D14"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F3EE1" w14:textId="77777777" w:rsidR="003D7F65" w:rsidRDefault="0082041E">
            <w:pPr>
              <w:pStyle w:val="P68B1DB1-Normal13"/>
              <w:spacing w:line="240" w:lineRule="auto"/>
              <w:rPr>
                <w:noProof/>
              </w:rPr>
            </w:pPr>
            <w:r>
              <w:rPr>
                <w:noProof/>
              </w:rPr>
              <w:t>139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C2FDC" w14:textId="77777777" w:rsidR="003D7F65" w:rsidRDefault="0082041E">
            <w:pPr>
              <w:pStyle w:val="P68B1DB1-Normal13"/>
              <w:rPr>
                <w:noProof/>
              </w:rPr>
            </w:pPr>
            <w:r>
              <w:rPr>
                <w:noProof/>
              </w:rPr>
              <w:t>P4C1I4 - Introduction d'innovations numériques pour les services de protection sociale et de soins de santé</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E4B09D"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83886" w14:textId="1B364DCF" w:rsidR="003D7F65" w:rsidRDefault="0082041E">
            <w:pPr>
              <w:pStyle w:val="P68B1DB1-Normal13"/>
              <w:rPr>
                <w:noProof/>
              </w:rPr>
            </w:pPr>
            <w:r>
              <w:rPr>
                <w:noProof/>
              </w:rPr>
              <w:t>Augmentation de la part de la population utilisant les services en ligne de protection sociale et de soins de santé</w:t>
            </w:r>
          </w:p>
        </w:tc>
      </w:tr>
      <w:tr w:rsidR="003D7F65" w14:paraId="12A5FC4D"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D1549" w14:textId="77777777" w:rsidR="003D7F65" w:rsidRDefault="0082041E">
            <w:pPr>
              <w:pStyle w:val="P68B1DB1-Normal13"/>
              <w:spacing w:line="240" w:lineRule="auto"/>
              <w:rPr>
                <w:noProof/>
              </w:rPr>
            </w:pPr>
            <w:r>
              <w:rPr>
                <w:noProof/>
              </w:rPr>
              <w:t>141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67674" w14:textId="77777777" w:rsidR="003D7F65" w:rsidRDefault="0082041E">
            <w:pPr>
              <w:pStyle w:val="P68B1DB1-Normal13"/>
              <w:rPr>
                <w:noProof/>
              </w:rPr>
            </w:pPr>
            <w:r>
              <w:rPr>
                <w:noProof/>
              </w:rPr>
              <w:t>P5C1R1 – REPowerEU – Autorisation de la transition écologique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AE708"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BDDBCC" w14:textId="77777777" w:rsidR="003D7F65" w:rsidRDefault="0082041E">
            <w:pPr>
              <w:pStyle w:val="P68B1DB1-Normal13"/>
              <w:rPr>
                <w:noProof/>
              </w:rPr>
            </w:pPr>
            <w:r>
              <w:rPr>
                <w:noProof/>
              </w:rPr>
              <w:t>Conclusion des évaluations des incidences sur l'environnement</w:t>
            </w:r>
          </w:p>
        </w:tc>
      </w:tr>
      <w:tr w:rsidR="003D7F65" w14:paraId="60AA7049"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CCBA0" w14:textId="77777777" w:rsidR="003D7F65" w:rsidRDefault="0082041E">
            <w:pPr>
              <w:pStyle w:val="P68B1DB1-Normal13"/>
              <w:spacing w:line="240" w:lineRule="auto"/>
              <w:rPr>
                <w:noProof/>
              </w:rPr>
            </w:pPr>
            <w:r>
              <w:rPr>
                <w:noProof/>
              </w:rPr>
              <w:t>143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AC6EB3" w14:textId="77777777" w:rsidR="003D7F65" w:rsidRDefault="0082041E">
            <w:pPr>
              <w:pStyle w:val="P68B1DB1-Normal13"/>
              <w:rPr>
                <w:noProof/>
              </w:rPr>
            </w:pPr>
            <w:r>
              <w:rPr>
                <w:noProof/>
              </w:rPr>
              <w:t>P5C1R1 – REPowerEU – Autorisation de la transition écologique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F9DFF" w14:textId="77777777" w:rsidR="003D7F65" w:rsidRDefault="0082041E">
            <w:pPr>
              <w:pStyle w:val="P68B1DB1-Normal13"/>
              <w:rPr>
                <w:noProof/>
              </w:rPr>
            </w:pPr>
            <w:r>
              <w:rPr>
                <w:noProof/>
              </w:rPr>
              <w:t>Étape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D18BA" w14:textId="77777777" w:rsidR="003D7F65" w:rsidRDefault="0082041E">
            <w:pPr>
              <w:pStyle w:val="P68B1DB1-Normal13"/>
              <w:rPr>
                <w:noProof/>
              </w:rPr>
            </w:pPr>
            <w:r>
              <w:rPr>
                <w:noProof/>
              </w:rPr>
              <w:t>Entrée en vigueur des actes juridiques établissant la nouvelle procédure d'autorisation environnementale</w:t>
            </w:r>
          </w:p>
        </w:tc>
      </w:tr>
      <w:tr w:rsidR="003D7F65" w14:paraId="06D0239E" w14:textId="77777777">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27CC3" w14:textId="77777777" w:rsidR="003D7F65" w:rsidRDefault="0082041E">
            <w:pPr>
              <w:pStyle w:val="P68B1DB1-Normal13"/>
              <w:spacing w:line="240" w:lineRule="auto"/>
              <w:rPr>
                <w:noProof/>
              </w:rPr>
            </w:pPr>
            <w:r>
              <w:rPr>
                <w:noProof/>
              </w:rPr>
              <w:t>149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8E8F5" w14:textId="77777777" w:rsidR="003D7F65" w:rsidRDefault="0082041E">
            <w:pPr>
              <w:pStyle w:val="P68B1DB1-Normal13"/>
              <w:rPr>
                <w:noProof/>
              </w:rPr>
            </w:pPr>
            <w:r>
              <w:rPr>
                <w:noProof/>
              </w:rPr>
              <w:t>P5C1I2 – REPowerEU – R&amp;D pour la transition écologique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2DC79D" w14:textId="77777777" w:rsidR="003D7F65" w:rsidRDefault="0082041E">
            <w:pPr>
              <w:pStyle w:val="P68B1DB1-Normal13"/>
              <w:rPr>
                <w:noProof/>
              </w:rPr>
            </w:pPr>
            <w:r>
              <w:rPr>
                <w:noProof/>
              </w:rPr>
              <w:t>Objectif</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F85E2" w14:textId="77777777" w:rsidR="003D7F65" w:rsidRDefault="0082041E">
            <w:pPr>
              <w:pStyle w:val="P68B1DB1-Normal13"/>
              <w:rPr>
                <w:noProof/>
              </w:rPr>
            </w:pPr>
            <w:r>
              <w:rPr>
                <w:noProof/>
              </w:rPr>
              <w:t>Affectation de chercheurs à des activités de recherche et de développement liées à REPowerEU</w:t>
            </w:r>
          </w:p>
        </w:tc>
      </w:tr>
      <w:tr w:rsidR="003D7F65" w14:paraId="2E42A289" w14:textId="77777777">
        <w:trPr>
          <w:trHeight w:val="302"/>
          <w:jc w:val="center"/>
        </w:trPr>
        <w:tc>
          <w:tcPr>
            <w:tcW w:w="5903"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79F32941" w14:textId="77777777" w:rsidR="003D7F65" w:rsidRDefault="0082041E">
            <w:pPr>
              <w:pStyle w:val="P68B1DB1-Normal29"/>
              <w:rPr>
                <w:noProof/>
              </w:rPr>
            </w:pPr>
            <w:r>
              <w:rPr>
                <w:noProof/>
              </w:rPr>
              <w:t>Montant des acomptes provisionnels</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2A00C" w14:textId="77777777" w:rsidR="003D7F65" w:rsidRDefault="0082041E">
            <w:pPr>
              <w:pStyle w:val="P68B1DB1-Normal13"/>
              <w:rPr>
                <w:noProof/>
                <w:color w:val="000000" w:themeColor="text1"/>
              </w:rPr>
            </w:pPr>
            <w:r>
              <w:rPr>
                <w:noProof/>
              </w:rPr>
              <w:t>316 340 688 EUR</w:t>
            </w:r>
          </w:p>
        </w:tc>
      </w:tr>
    </w:tbl>
    <w:p w14:paraId="4D6221C2" w14:textId="77777777" w:rsidR="003D7F65" w:rsidRDefault="003D7F65">
      <w:pPr>
        <w:spacing w:before="120" w:after="120" w:line="240" w:lineRule="auto"/>
        <w:jc w:val="both"/>
        <w:rPr>
          <w:rFonts w:ascii="Times New Roman" w:eastAsia="Times New Roman" w:hAnsi="Times New Roman"/>
          <w:noProof/>
          <w:sz w:val="24"/>
          <w:szCs w:val="24"/>
        </w:rPr>
      </w:pPr>
    </w:p>
    <w:p w14:paraId="48B5F976" w14:textId="77777777" w:rsidR="003D7F65" w:rsidRDefault="0082041E">
      <w:pPr>
        <w:pStyle w:val="NumPar1"/>
        <w:rPr>
          <w:noProof/>
        </w:rPr>
      </w:pPr>
      <w:r>
        <w:rPr>
          <w:noProof/>
        </w:rPr>
        <w:t>Sixième tranche (soutien non remboursable):</w:t>
      </w:r>
    </w:p>
    <w:tbl>
      <w:tblPr>
        <w:tblW w:w="9165" w:type="dxa"/>
        <w:jc w:val="center"/>
        <w:tblLook w:val="04A0" w:firstRow="1" w:lastRow="0" w:firstColumn="1" w:lastColumn="0" w:noHBand="0" w:noVBand="1"/>
      </w:tblPr>
      <w:tblGrid>
        <w:gridCol w:w="1202"/>
        <w:gridCol w:w="3169"/>
        <w:gridCol w:w="1406"/>
        <w:gridCol w:w="3388"/>
      </w:tblGrid>
      <w:tr w:rsidR="003D7F65" w14:paraId="60902F04" w14:textId="77777777">
        <w:trPr>
          <w:trHeight w:val="1021"/>
          <w:tblHeader/>
          <w:jc w:val="center"/>
        </w:trPr>
        <w:tc>
          <w:tcPr>
            <w:tcW w:w="120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8300E45" w14:textId="77777777" w:rsidR="003D7F65" w:rsidRDefault="0082041E">
            <w:pPr>
              <w:pStyle w:val="P68B1DB1-Normal7"/>
              <w:spacing w:after="0" w:line="240" w:lineRule="auto"/>
              <w:jc w:val="center"/>
              <w:rPr>
                <w:bCs/>
                <w:noProof/>
              </w:rPr>
            </w:pPr>
            <w:r>
              <w:rPr>
                <w:noProof/>
              </w:rPr>
              <w:t>Numéro</w:t>
            </w:r>
          </w:p>
        </w:tc>
        <w:tc>
          <w:tcPr>
            <w:tcW w:w="3169"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6A01DD8" w14:textId="77777777" w:rsidR="003D7F65" w:rsidRDefault="0082041E">
            <w:pPr>
              <w:pStyle w:val="P68B1DB1-Normal7"/>
              <w:spacing w:after="0" w:line="240" w:lineRule="auto"/>
              <w:jc w:val="center"/>
              <w:rPr>
                <w:bCs/>
                <w:noProof/>
              </w:rPr>
            </w:pPr>
            <w:r>
              <w:rPr>
                <w:noProof/>
              </w:rPr>
              <w:t>Mesure connexe (réforme ou investissement)</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7A5CAD3" w14:textId="77777777" w:rsidR="003D7F65" w:rsidRDefault="0082041E">
            <w:pPr>
              <w:pStyle w:val="P68B1DB1-Normal7"/>
              <w:spacing w:after="0" w:line="240" w:lineRule="auto"/>
              <w:jc w:val="center"/>
              <w:rPr>
                <w:bCs/>
                <w:noProof/>
              </w:rPr>
            </w:pPr>
            <w:r>
              <w:rPr>
                <w:noProof/>
              </w:rPr>
              <w:t>Étape/cible</w:t>
            </w:r>
          </w:p>
        </w:tc>
        <w:tc>
          <w:tcPr>
            <w:tcW w:w="3388" w:type="dxa"/>
            <w:tcBorders>
              <w:top w:val="single" w:sz="4" w:space="0" w:color="auto"/>
              <w:left w:val="nil"/>
              <w:bottom w:val="single" w:sz="4" w:space="0" w:color="000000" w:themeColor="text1"/>
              <w:right w:val="single" w:sz="4" w:space="0" w:color="auto"/>
            </w:tcBorders>
            <w:shd w:val="clear" w:color="auto" w:fill="BDD7EE"/>
            <w:vAlign w:val="center"/>
            <w:hideMark/>
          </w:tcPr>
          <w:p w14:paraId="6E62D4F2" w14:textId="77777777" w:rsidR="003D7F65" w:rsidRDefault="0082041E">
            <w:pPr>
              <w:pStyle w:val="P68B1DB1-Normal7"/>
              <w:spacing w:after="0" w:line="240" w:lineRule="auto"/>
              <w:jc w:val="center"/>
              <w:rPr>
                <w:bCs/>
                <w:noProof/>
              </w:rPr>
            </w:pPr>
            <w:r>
              <w:rPr>
                <w:noProof/>
              </w:rPr>
              <w:t>Nom</w:t>
            </w:r>
          </w:p>
        </w:tc>
      </w:tr>
      <w:tr w:rsidR="003D7F65" w14:paraId="1C77331F"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883E6" w14:textId="77777777" w:rsidR="003D7F65" w:rsidRDefault="0082041E">
            <w:pPr>
              <w:pStyle w:val="P68B1DB1-Normal13"/>
              <w:spacing w:line="240" w:lineRule="auto"/>
              <w:rPr>
                <w:noProof/>
              </w:rPr>
            </w:pPr>
            <w:r>
              <w:rPr>
                <w:noProof/>
              </w:rPr>
              <w:t>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8C10E" w14:textId="77777777" w:rsidR="003D7F65" w:rsidRDefault="0082041E">
            <w:pPr>
              <w:pStyle w:val="P68B1DB1-Normal13"/>
              <w:rPr>
                <w:noProof/>
              </w:rPr>
            </w:pPr>
            <w:r>
              <w:rPr>
                <w:noProof/>
              </w:rPr>
              <w:t>P1C1I1 – Transformation du système énergétique – Investissements dans les infrastructures énergétiques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332042"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96C94" w14:textId="77777777" w:rsidR="003D7F65" w:rsidRDefault="0082041E">
            <w:pPr>
              <w:pStyle w:val="P68B1DB1-Normal13"/>
              <w:rPr>
                <w:noProof/>
              </w:rPr>
            </w:pPr>
            <w:r>
              <w:rPr>
                <w:noProof/>
              </w:rPr>
              <w:t>Avis d'achèvement de projet ou rapports de projet soumis</w:t>
            </w:r>
          </w:p>
        </w:tc>
      </w:tr>
      <w:tr w:rsidR="003D7F65" w14:paraId="63E3E015"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0FF6F" w14:textId="77777777" w:rsidR="003D7F65" w:rsidRDefault="0082041E">
            <w:pPr>
              <w:pStyle w:val="P68B1DB1-Normal13"/>
              <w:spacing w:line="240" w:lineRule="auto"/>
              <w:rPr>
                <w:noProof/>
              </w:rPr>
            </w:pPr>
            <w:r>
              <w:rPr>
                <w:noProof/>
              </w:rPr>
              <w:t>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410A0" w14:textId="77777777" w:rsidR="003D7F65" w:rsidRDefault="0082041E">
            <w:pPr>
              <w:pStyle w:val="P68B1DB1-Normal13"/>
              <w:rPr>
                <w:noProof/>
              </w:rPr>
            </w:pPr>
            <w:r>
              <w:rPr>
                <w:noProof/>
              </w:rPr>
              <w:t>P1C1I2 – Transformation du système énergétique – Investissements dans les nouvelles technologies énergétiques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EB905"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CC80F" w14:textId="77777777" w:rsidR="003D7F65" w:rsidRDefault="0082041E">
            <w:pPr>
              <w:pStyle w:val="P68B1DB1-Normal13"/>
              <w:rPr>
                <w:noProof/>
              </w:rPr>
            </w:pPr>
            <w:r>
              <w:rPr>
                <w:noProof/>
              </w:rPr>
              <w:t>Avis d'achèvement de projet ou rapports de projet soumis</w:t>
            </w:r>
          </w:p>
        </w:tc>
      </w:tr>
      <w:tr w:rsidR="003D7F65" w14:paraId="0CE357CD"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8708D" w14:textId="77777777" w:rsidR="003D7F65" w:rsidRDefault="0082041E">
            <w:pPr>
              <w:pStyle w:val="P68B1DB1-Normal13"/>
              <w:spacing w:line="240" w:lineRule="auto"/>
              <w:rPr>
                <w:noProof/>
              </w:rPr>
            </w:pPr>
            <w:r>
              <w:rPr>
                <w:noProof/>
              </w:rPr>
              <w:t>10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2B2C8" w14:textId="77777777" w:rsidR="003D7F65" w:rsidRDefault="0082041E">
            <w:pPr>
              <w:pStyle w:val="P68B1DB1-Normal13"/>
              <w:rPr>
                <w:noProof/>
              </w:rPr>
            </w:pPr>
            <w:r>
              <w:rPr>
                <w:noProof/>
              </w:rPr>
              <w:t>P1C1I3 – Transformation du système énergétique – Train de mesures sur les investissements et les réformes en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1692A"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C472D" w14:textId="77777777" w:rsidR="003D7F65" w:rsidRDefault="0082041E">
            <w:pPr>
              <w:pStyle w:val="P68B1DB1-Normal13"/>
              <w:rPr>
                <w:noProof/>
              </w:rPr>
            </w:pPr>
            <w:r>
              <w:rPr>
                <w:noProof/>
              </w:rPr>
              <w:t>Rapports de projet présentés</w:t>
            </w:r>
          </w:p>
        </w:tc>
      </w:tr>
      <w:tr w:rsidR="003D7F65" w14:paraId="669E4EA9"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C0DC5" w14:textId="77777777" w:rsidR="003D7F65" w:rsidRDefault="0082041E">
            <w:pPr>
              <w:pStyle w:val="P68B1DB1-Normal13"/>
              <w:spacing w:line="240" w:lineRule="auto"/>
              <w:rPr>
                <w:noProof/>
              </w:rPr>
            </w:pPr>
            <w:r>
              <w:rPr>
                <w:noProof/>
              </w:rPr>
              <w:t>18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8FE2E" w14:textId="77777777" w:rsidR="003D7F65" w:rsidRDefault="0082041E">
            <w:pPr>
              <w:pStyle w:val="P68B1DB1-Normal13"/>
              <w:rPr>
                <w:noProof/>
              </w:rPr>
            </w:pPr>
            <w:r>
              <w:rPr>
                <w:noProof/>
              </w:rPr>
              <w:t>P1C2I1 – Réformes industrielles et investissements à l’appui de la transition écologique et numérique – Hydrogène bas carbone et captage et utilisation du carbone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C0CB8"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0B8CD" w14:textId="77777777" w:rsidR="003D7F65" w:rsidRDefault="0082041E">
            <w:pPr>
              <w:pStyle w:val="P68B1DB1-Normal13"/>
              <w:rPr>
                <w:noProof/>
              </w:rPr>
            </w:pPr>
            <w:r>
              <w:rPr>
                <w:noProof/>
              </w:rPr>
              <w:t>Accords juridiques signés avec les bénéficiaires finaux</w:t>
            </w:r>
          </w:p>
        </w:tc>
      </w:tr>
      <w:tr w:rsidR="003D7F65" w14:paraId="6B10B097"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3CA074" w14:textId="77777777" w:rsidR="003D7F65" w:rsidRDefault="0082041E">
            <w:pPr>
              <w:pStyle w:val="P68B1DB1-Normal13"/>
              <w:spacing w:line="240" w:lineRule="auto"/>
              <w:rPr>
                <w:noProof/>
              </w:rPr>
            </w:pPr>
            <w:r>
              <w:rPr>
                <w:noProof/>
              </w:rPr>
              <w:t>18 bis</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47408" w14:textId="77777777" w:rsidR="003D7F65" w:rsidRDefault="0082041E">
            <w:pPr>
              <w:pStyle w:val="P68B1DB1-Normal13"/>
              <w:rPr>
                <w:noProof/>
              </w:rPr>
            </w:pPr>
            <w:r>
              <w:rPr>
                <w:noProof/>
              </w:rPr>
              <w:t>P1C2I1 – Réformes industrielles et investissements à l’appui de la transition écologique et numérique – Hydrogène bas carbone et captage et utilisation du carbone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43458"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8DADB" w14:textId="77777777" w:rsidR="003D7F65" w:rsidRDefault="0082041E">
            <w:pPr>
              <w:pStyle w:val="P68B1DB1-Normal13"/>
              <w:rPr>
                <w:noProof/>
              </w:rPr>
            </w:pPr>
            <w:r>
              <w:rPr>
                <w:noProof/>
              </w:rPr>
              <w:t>Le ministère a terminé l'investissement</w:t>
            </w:r>
          </w:p>
        </w:tc>
      </w:tr>
      <w:tr w:rsidR="003D7F65" w14:paraId="0F4CD426"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3710F" w14:textId="77777777" w:rsidR="003D7F65" w:rsidRDefault="0082041E">
            <w:pPr>
              <w:pStyle w:val="P68B1DB1-Normal13"/>
              <w:spacing w:line="240" w:lineRule="auto"/>
              <w:rPr>
                <w:noProof/>
              </w:rPr>
            </w:pPr>
            <w:r>
              <w:rPr>
                <w:noProof/>
              </w:rPr>
              <w:t>21</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55557" w14:textId="77777777" w:rsidR="003D7F65" w:rsidRDefault="0082041E">
            <w:pPr>
              <w:pStyle w:val="P68B1DB1-Normal13"/>
              <w:rPr>
                <w:noProof/>
              </w:rPr>
            </w:pPr>
            <w:r>
              <w:rPr>
                <w:noProof/>
              </w:rPr>
              <w:t>P1C2I2 – Réformes industrielles et investissements soutenant la transition écologique et numérique – Électrification directe et décarbonation des processus industriels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7E56A"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8E242" w14:textId="77777777" w:rsidR="003D7F65" w:rsidRDefault="0082041E">
            <w:pPr>
              <w:pStyle w:val="P68B1DB1-Normal13"/>
              <w:rPr>
                <w:noProof/>
              </w:rPr>
            </w:pPr>
            <w:r>
              <w:rPr>
                <w:noProof/>
              </w:rPr>
              <w:t>Avis d'achèvement de projet ou rapports de projet soumis</w:t>
            </w:r>
          </w:p>
        </w:tc>
      </w:tr>
      <w:tr w:rsidR="003D7F65" w14:paraId="5B786F1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7364F0" w14:textId="77777777" w:rsidR="003D7F65" w:rsidRDefault="0082041E">
            <w:pPr>
              <w:pStyle w:val="P68B1DB1-Normal13"/>
              <w:spacing w:line="240" w:lineRule="auto"/>
              <w:rPr>
                <w:noProof/>
              </w:rPr>
            </w:pPr>
            <w:r>
              <w:rPr>
                <w:noProof/>
              </w:rPr>
              <w:t>25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F40855" w14:textId="77777777" w:rsidR="003D7F65" w:rsidRDefault="0082041E">
            <w:pPr>
              <w:pStyle w:val="P68B1DB1-Normal13"/>
              <w:rPr>
                <w:noProof/>
              </w:rPr>
            </w:pPr>
            <w:r>
              <w:rPr>
                <w:noProof/>
              </w:rPr>
              <w:t>P1C3R1 – Réduction des incidences du parc immobilier sur le climat et l’environnement – Réforme de la loi sur l’utilisation des sols et la construction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F060BF"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C5E3F" w14:textId="77777777" w:rsidR="003D7F65" w:rsidRDefault="0082041E">
            <w:pPr>
              <w:pStyle w:val="P68B1DB1-Normal13"/>
              <w:rPr>
                <w:noProof/>
              </w:rPr>
            </w:pPr>
            <w:r>
              <w:rPr>
                <w:noProof/>
              </w:rPr>
              <w:t>Entrée en vigueur du ou des actes juridiques</w:t>
            </w:r>
          </w:p>
        </w:tc>
      </w:tr>
      <w:tr w:rsidR="003D7F65" w14:paraId="1E47294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A2417" w14:textId="77777777" w:rsidR="003D7F65" w:rsidRDefault="0082041E">
            <w:pPr>
              <w:pStyle w:val="P68B1DB1-Normal13"/>
              <w:spacing w:line="240" w:lineRule="auto"/>
              <w:rPr>
                <w:noProof/>
              </w:rPr>
            </w:pPr>
            <w:r>
              <w:rPr>
                <w:noProof/>
              </w:rPr>
              <w:t>33</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74751" w14:textId="77777777" w:rsidR="003D7F65" w:rsidRDefault="0082041E">
            <w:pPr>
              <w:pStyle w:val="P68B1DB1-Normal13"/>
              <w:rPr>
                <w:noProof/>
              </w:rPr>
            </w:pPr>
            <w:r>
              <w:rPr>
                <w:noProof/>
              </w:rPr>
              <w:t>P1C3I2 – Réduction des incidences du parc immobilier sur le climat et l’environnement – Programme pour un environnement bâti à faible intensité de carbone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7DAC6"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0AA6F" w14:textId="105A5E72" w:rsidR="003D7F65" w:rsidRDefault="0082041E">
            <w:pPr>
              <w:pStyle w:val="P68B1DB1-Normal13"/>
              <w:rPr>
                <w:noProof/>
              </w:rPr>
            </w:pPr>
            <w:r>
              <w:rPr>
                <w:noProof/>
              </w:rPr>
              <w:t xml:space="preserve">Décisions d’octroi de financement publiées, rapports de projet présentés et rapport de programme publié </w:t>
            </w:r>
          </w:p>
        </w:tc>
      </w:tr>
      <w:tr w:rsidR="003D7F65" w14:paraId="3A106EFE"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6A703" w14:textId="77777777" w:rsidR="003D7F65" w:rsidRDefault="0082041E">
            <w:pPr>
              <w:pStyle w:val="P68B1DB1-Normal13"/>
              <w:spacing w:line="240" w:lineRule="auto"/>
              <w:rPr>
                <w:noProof/>
              </w:rPr>
            </w:pPr>
            <w:r>
              <w:rPr>
                <w:noProof/>
              </w:rPr>
              <w:t>36</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1F65B" w14:textId="77777777" w:rsidR="003D7F65" w:rsidRDefault="0082041E">
            <w:pPr>
              <w:pStyle w:val="P68B1DB1-Normal13"/>
              <w:rPr>
                <w:noProof/>
              </w:rPr>
            </w:pPr>
            <w:r>
              <w:rPr>
                <w:noProof/>
              </w:rPr>
              <w:t>P1C4R1 – Solutions sobres en carbone pour les villes et les transports – Feuille de route pour des transports sans combustibles fossiles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4D9DA"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63D0A" w14:textId="77777777" w:rsidR="003D7F65" w:rsidRDefault="0082041E">
            <w:pPr>
              <w:pStyle w:val="P68B1DB1-Normal10"/>
              <w:rPr>
                <w:rFonts w:eastAsia="Times New Roman"/>
                <w:noProof/>
              </w:rPr>
            </w:pPr>
            <w:r>
              <w:rPr>
                <w:noProof/>
              </w:rPr>
              <w:t>Réduction d'au moins 24,5 % des émissions dues aux transports intérieurs d'ici 2025 par rapport à 2005</w:t>
            </w:r>
          </w:p>
        </w:tc>
      </w:tr>
      <w:tr w:rsidR="003D7F65" w14:paraId="1DD7A75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7ECF41" w14:textId="77777777" w:rsidR="003D7F65" w:rsidRDefault="0082041E">
            <w:pPr>
              <w:pStyle w:val="P68B1DB1-Normal13"/>
              <w:spacing w:line="240" w:lineRule="auto"/>
              <w:rPr>
                <w:noProof/>
              </w:rPr>
            </w:pPr>
            <w:r>
              <w:rPr>
                <w:noProof/>
              </w:rPr>
              <w:t>57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1C74E" w14:textId="77777777" w:rsidR="003D7F65" w:rsidRDefault="0082041E">
            <w:pPr>
              <w:pStyle w:val="P68B1DB1-Normal13"/>
              <w:rPr>
                <w:noProof/>
              </w:rPr>
            </w:pPr>
            <w:r>
              <w:rPr>
                <w:noProof/>
              </w:rPr>
              <w:t>P2C1I1- Connectivité numérique – Développer la qualité et la disponibilité des réseaux de communication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7DB3F"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2C68B" w14:textId="77777777" w:rsidR="003D7F65" w:rsidRDefault="0082041E">
            <w:pPr>
              <w:pStyle w:val="P68B1DB1-Normal13"/>
              <w:rPr>
                <w:noProof/>
                <w:color w:val="FF0000"/>
              </w:rPr>
            </w:pPr>
            <w:r>
              <w:rPr>
                <w:noProof/>
              </w:rPr>
              <w:t xml:space="preserve">Projets à haut débit (100/100 Mbit/s) </w:t>
            </w:r>
          </w:p>
        </w:tc>
      </w:tr>
      <w:tr w:rsidR="003D7F65" w14:paraId="7FF343DD"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BEDE6" w14:textId="77777777" w:rsidR="003D7F65" w:rsidRDefault="0082041E">
            <w:pPr>
              <w:pStyle w:val="P68B1DB1-Normal13"/>
              <w:spacing w:line="240" w:lineRule="auto"/>
              <w:rPr>
                <w:noProof/>
              </w:rPr>
            </w:pPr>
            <w:r>
              <w:rPr>
                <w:noProof/>
              </w:rPr>
              <w:t>60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29854" w14:textId="77777777" w:rsidR="003D7F65" w:rsidRDefault="0082041E">
            <w:pPr>
              <w:pStyle w:val="P68B1DB1-Normal13"/>
              <w:rPr>
                <w:noProof/>
              </w:rPr>
            </w:pPr>
            <w:r>
              <w:rPr>
                <w:noProof/>
              </w:rPr>
              <w:t>P2C1I2 – Transport et aménagement du territoire – Projet Digirail</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A8717"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D3626" w14:textId="77777777" w:rsidR="003D7F65" w:rsidRDefault="0082041E">
            <w:pPr>
              <w:pStyle w:val="P68B1DB1-Normal13"/>
              <w:rPr>
                <w:noProof/>
              </w:rPr>
            </w:pPr>
            <w:r>
              <w:rPr>
                <w:noProof/>
              </w:rPr>
              <w:t>Voie pilote commerciale équipée d'ERMTS</w:t>
            </w:r>
          </w:p>
        </w:tc>
      </w:tr>
      <w:tr w:rsidR="003D7F65" w14:paraId="13042804"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F835A" w14:textId="77777777" w:rsidR="003D7F65" w:rsidRDefault="0082041E">
            <w:pPr>
              <w:pStyle w:val="P68B1DB1-Normal13"/>
              <w:spacing w:line="240" w:lineRule="auto"/>
              <w:rPr>
                <w:noProof/>
              </w:rPr>
            </w:pPr>
            <w:r>
              <w:rPr>
                <w:noProof/>
              </w:rPr>
              <w:t>70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ED628" w14:textId="77777777" w:rsidR="003D7F65" w:rsidRDefault="0082041E">
            <w:pPr>
              <w:pStyle w:val="P68B1DB1-Normal13"/>
              <w:rPr>
                <w:noProof/>
              </w:rPr>
            </w:pPr>
            <w:r>
              <w:rPr>
                <w:noProof/>
              </w:rPr>
              <w:t>P2C2R1 - Développement du système d'information sur la propriété résidentielle et commerciale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CA9ACA"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1248D" w14:textId="5975E746" w:rsidR="003D7F65" w:rsidRDefault="0082041E">
            <w:pPr>
              <w:pStyle w:val="P68B1DB1-Normal13"/>
              <w:rPr>
                <w:noProof/>
              </w:rPr>
            </w:pPr>
            <w:r>
              <w:rPr>
                <w:noProof/>
              </w:rPr>
              <w:t>L'extension de la couverture du système d'information sur les propriétés résidentielles et commerciales pour les données sur les sociétés de logement</w:t>
            </w:r>
          </w:p>
        </w:tc>
      </w:tr>
      <w:tr w:rsidR="003D7F65" w14:paraId="6D12AEA9"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7FDF6C" w14:textId="77777777" w:rsidR="003D7F65" w:rsidRDefault="0082041E">
            <w:pPr>
              <w:pStyle w:val="P68B1DB1-Normal13"/>
              <w:spacing w:line="240" w:lineRule="auto"/>
              <w:rPr>
                <w:noProof/>
              </w:rPr>
            </w:pPr>
            <w:r>
              <w:rPr>
                <w:noProof/>
              </w:rPr>
              <w:t>74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AAEE07" w14:textId="77777777" w:rsidR="003D7F65" w:rsidRDefault="0082041E">
            <w:pPr>
              <w:pStyle w:val="P68B1DB1-Normal13"/>
              <w:rPr>
                <w:noProof/>
              </w:rPr>
            </w:pPr>
            <w:r>
              <w:rPr>
                <w:noProof/>
              </w:rPr>
              <w:t>P2C3R1 - Assurer une surveillance et une application efficaces de la prévention du blanchiment de capitaux</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7A5A6F"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C30A3" w14:textId="77777777" w:rsidR="003D7F65" w:rsidRDefault="0082041E">
            <w:pPr>
              <w:pStyle w:val="P68B1DB1-Normal13"/>
              <w:rPr>
                <w:noProof/>
              </w:rPr>
            </w:pPr>
            <w:r>
              <w:rPr>
                <w:noProof/>
              </w:rPr>
              <w:t>Rapport final du groupe de pilotage</w:t>
            </w:r>
          </w:p>
        </w:tc>
      </w:tr>
      <w:tr w:rsidR="003D7F65" w14:paraId="6B34DC10"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C3743F" w14:textId="77777777" w:rsidR="003D7F65" w:rsidRDefault="0082041E">
            <w:pPr>
              <w:pStyle w:val="P68B1DB1-Normal13"/>
              <w:spacing w:line="240" w:lineRule="auto"/>
              <w:rPr>
                <w:noProof/>
              </w:rPr>
            </w:pPr>
            <w:r>
              <w:rPr>
                <w:noProof/>
              </w:rPr>
              <w:t>94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F4942" w14:textId="77777777" w:rsidR="003D7F65" w:rsidRDefault="0082041E">
            <w:pPr>
              <w:pStyle w:val="P68B1DB1-Normal31"/>
              <w:rPr>
                <w:rFonts w:eastAsia="Times New Roman"/>
                <w:noProof/>
              </w:rPr>
            </w:pPr>
            <w:r>
              <w:rPr>
                <w:noProof/>
              </w:rPr>
              <w:t>P3C2R1- Réforme de l'apprentissage continu</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BA67E8"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31090B" w14:textId="77777777" w:rsidR="003D7F65" w:rsidRDefault="0082041E">
            <w:pPr>
              <w:pStyle w:val="P68B1DB1-Normal31"/>
              <w:rPr>
                <w:rFonts w:eastAsia="Times New Roman"/>
                <w:noProof/>
              </w:rPr>
            </w:pPr>
            <w:r>
              <w:rPr>
                <w:noProof/>
              </w:rPr>
              <w:t>Nombre de personnes ayant participé à des formations pour faire face aux changements dans la vie professionnelle, y compris la numérisation et la transition écologique</w:t>
            </w:r>
          </w:p>
        </w:tc>
      </w:tr>
      <w:tr w:rsidR="003D7F65" w14:paraId="290C5C32"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B2F52" w14:textId="77777777" w:rsidR="003D7F65" w:rsidRDefault="0082041E">
            <w:pPr>
              <w:pStyle w:val="P68B1DB1-Normal29"/>
              <w:spacing w:line="240" w:lineRule="auto"/>
              <w:rPr>
                <w:noProof/>
              </w:rPr>
            </w:pPr>
            <w:r>
              <w:rPr>
                <w:noProof/>
              </w:rPr>
              <w:t>99</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35102" w14:textId="77777777" w:rsidR="003D7F65" w:rsidRDefault="0082041E">
            <w:pPr>
              <w:pStyle w:val="P68B1DB1-Normal29"/>
              <w:spacing w:line="240" w:lineRule="auto"/>
              <w:rPr>
                <w:noProof/>
              </w:rPr>
            </w:pPr>
            <w:r>
              <w:rPr>
                <w:noProof/>
              </w:rPr>
              <w:t>P3C2I3 – Numérisation de l’éducation en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762A3" w14:textId="77777777" w:rsidR="003D7F65" w:rsidRDefault="0082041E">
            <w:pPr>
              <w:pStyle w:val="P68B1DB1-Normal29"/>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FE7CB" w14:textId="77777777" w:rsidR="003D7F65" w:rsidRDefault="0082041E">
            <w:pPr>
              <w:pStyle w:val="P68B1DB1-Normal29"/>
              <w:spacing w:line="240" w:lineRule="auto"/>
              <w:rPr>
                <w:noProof/>
              </w:rPr>
            </w:pPr>
            <w:r>
              <w:rPr>
                <w:noProof/>
              </w:rPr>
              <w:t>Numérisation dans l’enseignement supérieur en Åland</w:t>
            </w:r>
          </w:p>
        </w:tc>
      </w:tr>
      <w:tr w:rsidR="003D7F65" w14:paraId="0C66EAA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9B0F8" w14:textId="77777777" w:rsidR="003D7F65" w:rsidRDefault="0082041E">
            <w:pPr>
              <w:pStyle w:val="P68B1DB1-Normal13"/>
              <w:spacing w:line="240" w:lineRule="auto"/>
              <w:rPr>
                <w:noProof/>
                <w:color w:val="000000"/>
              </w:rPr>
            </w:pPr>
            <w:r>
              <w:rPr>
                <w:noProof/>
              </w:rPr>
              <w:t>102</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70CE2" w14:textId="77777777" w:rsidR="003D7F65" w:rsidRDefault="0082041E">
            <w:pPr>
              <w:pStyle w:val="P68B1DB1-Normal13"/>
              <w:spacing w:line="240" w:lineRule="auto"/>
              <w:rPr>
                <w:noProof/>
                <w:color w:val="000000"/>
              </w:rPr>
            </w:pPr>
            <w:r>
              <w:rPr>
                <w:noProof/>
              </w:rPr>
              <w:t>P3C3I1 – RDI, infrastructures de recherche et pilotage – Paquet de financement de la RDI promouvant la transition écologique – Entreprises de premier plan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C61E6F" w14:textId="77777777" w:rsidR="003D7F65" w:rsidRDefault="0082041E">
            <w:pPr>
              <w:pStyle w:val="P68B1DB1-Normal13"/>
              <w:rPr>
                <w:noProof/>
                <w:color w:val="000000"/>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A4432" w14:textId="77777777" w:rsidR="003D7F65" w:rsidRDefault="0082041E">
            <w:pPr>
              <w:pStyle w:val="P68B1DB1-Normal10"/>
              <w:spacing w:line="240" w:lineRule="auto"/>
              <w:rPr>
                <w:rFonts w:eastAsia="Times New Roman"/>
                <w:noProof/>
                <w:color w:val="000000"/>
              </w:rPr>
            </w:pPr>
            <w:r>
              <w:rPr>
                <w:noProof/>
              </w:rPr>
              <w:t>Rapports de projet présentés</w:t>
            </w:r>
          </w:p>
        </w:tc>
      </w:tr>
      <w:tr w:rsidR="003D7F65" w14:paraId="15816070"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52D95" w14:textId="77777777" w:rsidR="003D7F65" w:rsidRDefault="0082041E">
            <w:pPr>
              <w:pStyle w:val="P68B1DB1-Normal13"/>
              <w:spacing w:line="240" w:lineRule="auto"/>
              <w:rPr>
                <w:noProof/>
              </w:rPr>
            </w:pPr>
            <w:r>
              <w:rPr>
                <w:noProof/>
              </w:rPr>
              <w:t>105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F2A550" w14:textId="77777777" w:rsidR="003D7F65" w:rsidRDefault="0082041E">
            <w:pPr>
              <w:pStyle w:val="P68B1DB1-Normal30"/>
              <w:rPr>
                <w:rFonts w:ascii="Times New Roman" w:eastAsia="Times New Roman" w:hAnsi="Times New Roman"/>
                <w:noProof/>
              </w:rPr>
            </w:pPr>
            <w:r>
              <w:rPr>
                <w:rFonts w:ascii="Times New Roman" w:eastAsia="Times New Roman" w:hAnsi="Times New Roman"/>
                <w:noProof/>
                <w:color w:val="000000"/>
              </w:rPr>
              <w:t>P3C3I</w:t>
            </w:r>
            <w:r>
              <w:rPr>
                <w:rFonts w:ascii="Times New Roman" w:hAnsi="Times New Roman"/>
                <w:noProof/>
              </w:rPr>
              <w:t xml:space="preserve"> 2 – RDI, infrastructures de recherche et pilotage – Paquet de financement de la RDI soutenant la transition écologique – Accélérer les secteurs clés et renforcer les compétences (Académie de Finlande)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CD563"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32363" w14:textId="77777777" w:rsidR="003D7F65" w:rsidRDefault="0082041E">
            <w:pPr>
              <w:pStyle w:val="P68B1DB1-Normal10"/>
              <w:rPr>
                <w:rFonts w:eastAsia="Times New Roman"/>
                <w:noProof/>
              </w:rPr>
            </w:pPr>
            <w:r>
              <w:rPr>
                <w:noProof/>
              </w:rPr>
              <w:t>Rapports de projet présentés</w:t>
            </w:r>
          </w:p>
        </w:tc>
      </w:tr>
      <w:tr w:rsidR="003D7F65" w14:paraId="71B732A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5D6981" w14:textId="77777777" w:rsidR="003D7F65" w:rsidRDefault="0082041E">
            <w:pPr>
              <w:pStyle w:val="P68B1DB1-Normal13"/>
              <w:spacing w:line="240" w:lineRule="auto"/>
              <w:rPr>
                <w:noProof/>
              </w:rPr>
            </w:pPr>
            <w:r>
              <w:rPr>
                <w:noProof/>
              </w:rPr>
              <w:t>114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531E8" w14:textId="77777777" w:rsidR="003D7F65" w:rsidRDefault="0082041E">
            <w:pPr>
              <w:pStyle w:val="P68B1DB1-Normal13"/>
              <w:rPr>
                <w:noProof/>
              </w:rPr>
            </w:pPr>
            <w:r>
              <w:rPr>
                <w:noProof/>
              </w:rPr>
              <w:t>P3C3I5 – RDI, infrastructures de recherche et pilotage – Promouvoir l’innovation et les infrastructures de recherche – Infrastructures de recherche locales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88C64"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E9C84" w14:textId="77777777" w:rsidR="003D7F65" w:rsidRDefault="0082041E">
            <w:pPr>
              <w:pStyle w:val="P68B1DB1-Normal10"/>
              <w:rPr>
                <w:rFonts w:eastAsia="Times New Roman"/>
                <w:noProof/>
              </w:rPr>
            </w:pPr>
            <w:r>
              <w:rPr>
                <w:noProof/>
              </w:rPr>
              <w:t>Rapports de projet présentés</w:t>
            </w:r>
          </w:p>
        </w:tc>
      </w:tr>
      <w:tr w:rsidR="003D7F65" w14:paraId="4B8F71CE"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FA53D" w14:textId="77777777" w:rsidR="003D7F65" w:rsidRDefault="0082041E">
            <w:pPr>
              <w:pStyle w:val="P68B1DB1-Normal13"/>
              <w:spacing w:line="240" w:lineRule="auto"/>
              <w:rPr>
                <w:noProof/>
              </w:rPr>
            </w:pPr>
            <w:r>
              <w:rPr>
                <w:noProof/>
              </w:rPr>
              <w:t>117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2C3D8" w14:textId="77777777" w:rsidR="003D7F65" w:rsidRDefault="0082041E">
            <w:pPr>
              <w:pStyle w:val="P68B1DB1-Normal13"/>
              <w:rPr>
                <w:noProof/>
              </w:rPr>
            </w:pPr>
            <w:r>
              <w:rPr>
                <w:noProof/>
              </w:rPr>
              <w:t>P3C3I6 – RDI, infrastructures de recherche et pilotage – Promouvoir l’innovation et les infrastructures de recherche – Infrastructures nationales de recherche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EFEF2A"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6F2D9" w14:textId="77777777" w:rsidR="003D7F65" w:rsidRDefault="0082041E">
            <w:pPr>
              <w:pStyle w:val="P68B1DB1-Normal10"/>
              <w:rPr>
                <w:rFonts w:eastAsia="Times New Roman"/>
                <w:noProof/>
              </w:rPr>
            </w:pPr>
            <w:r>
              <w:rPr>
                <w:noProof/>
              </w:rPr>
              <w:t>Rapports de projet présentés</w:t>
            </w:r>
          </w:p>
        </w:tc>
      </w:tr>
      <w:tr w:rsidR="003D7F65" w14:paraId="5E961EE0"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DD928" w14:textId="77777777" w:rsidR="003D7F65" w:rsidRDefault="0082041E">
            <w:pPr>
              <w:pStyle w:val="P68B1DB1-Normal13"/>
              <w:spacing w:line="240" w:lineRule="auto"/>
              <w:rPr>
                <w:noProof/>
              </w:rPr>
            </w:pPr>
            <w:r>
              <w:rPr>
                <w:noProof/>
              </w:rPr>
              <w:t>123</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50ADE6" w14:textId="77777777" w:rsidR="003D7F65" w:rsidRDefault="0082041E">
            <w:pPr>
              <w:pStyle w:val="P68B1DB1-Normal13"/>
              <w:rPr>
                <w:noProof/>
              </w:rPr>
            </w:pPr>
            <w:r>
              <w:rPr>
                <w:noProof/>
              </w:rPr>
              <w:t>P3C4I1 – Renforcer la compétitivité et stimuler la croissance dans les secteurs touchés par la crise – Programme d’accélération de la croissance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C0647"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9B4B4" w14:textId="77777777" w:rsidR="003D7F65" w:rsidRDefault="0082041E">
            <w:pPr>
              <w:pStyle w:val="P68B1DB1-Normal10"/>
              <w:rPr>
                <w:rFonts w:eastAsia="Times New Roman"/>
                <w:noProof/>
              </w:rPr>
            </w:pPr>
            <w:r>
              <w:rPr>
                <w:noProof/>
              </w:rPr>
              <w:t>Rapports de projet présentés</w:t>
            </w:r>
          </w:p>
        </w:tc>
      </w:tr>
      <w:tr w:rsidR="003D7F65" w14:paraId="5A437A08"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B6E23" w14:textId="77777777" w:rsidR="003D7F65" w:rsidRDefault="0082041E">
            <w:pPr>
              <w:pStyle w:val="P68B1DB1-Normal13"/>
              <w:spacing w:line="240" w:lineRule="auto"/>
              <w:rPr>
                <w:noProof/>
              </w:rPr>
            </w:pPr>
            <w:r>
              <w:rPr>
                <w:noProof/>
              </w:rPr>
              <w:t>140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D0ABB" w14:textId="77777777" w:rsidR="003D7F65" w:rsidRDefault="0082041E">
            <w:pPr>
              <w:pStyle w:val="P68B1DB1-Normal13"/>
              <w:rPr>
                <w:noProof/>
              </w:rPr>
            </w:pPr>
            <w:r>
              <w:rPr>
                <w:noProof/>
              </w:rPr>
              <w:t>P4C1I5 - Introduction d'un nouveau système numérique d'information sur les soins de santé en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195DB" w14:textId="77777777" w:rsidR="003D7F65" w:rsidRDefault="0082041E">
            <w:pPr>
              <w:pStyle w:val="P68B1DB1-Normal13"/>
              <w:rPr>
                <w:noProof/>
              </w:rPr>
            </w:pPr>
            <w:r>
              <w:rPr>
                <w:noProof/>
              </w:rPr>
              <w:t>Objectif</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EB7F1" w14:textId="77777777" w:rsidR="003D7F65" w:rsidRDefault="0082041E">
            <w:pPr>
              <w:pStyle w:val="P68B1DB1-Normal13"/>
              <w:rPr>
                <w:noProof/>
              </w:rPr>
            </w:pPr>
            <w:r>
              <w:rPr>
                <w:noProof/>
              </w:rPr>
              <w:t>Part des services sociaux et de soins de santé publics s’étant inscrits en tant qu’utilisateurs du nouveau système d’information sur les soins de santé</w:t>
            </w:r>
          </w:p>
        </w:tc>
      </w:tr>
      <w:tr w:rsidR="003D7F65" w14:paraId="7925CB68"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D6AE2" w14:textId="77777777" w:rsidR="003D7F65" w:rsidRDefault="0082041E">
            <w:pPr>
              <w:pStyle w:val="P68B1DB1-Normal13"/>
              <w:spacing w:line="240" w:lineRule="auto"/>
              <w:rPr>
                <w:noProof/>
              </w:rPr>
            </w:pPr>
            <w:r>
              <w:rPr>
                <w:noProof/>
              </w:rPr>
              <w:t>144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A421C" w14:textId="77777777" w:rsidR="003D7F65" w:rsidRDefault="0082041E">
            <w:pPr>
              <w:pStyle w:val="P68B1DB1-Normal13"/>
              <w:rPr>
                <w:noProof/>
              </w:rPr>
            </w:pPr>
            <w:r>
              <w:rPr>
                <w:noProof/>
              </w:rPr>
              <w:t>P5C1R1 – REPowerEU – Autorisation de la transition écologique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6F621"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D0E2D" w14:textId="77777777" w:rsidR="003D7F65" w:rsidRDefault="0082041E">
            <w:pPr>
              <w:pStyle w:val="P68B1DB1-Normal10"/>
              <w:rPr>
                <w:noProof/>
              </w:rPr>
            </w:pPr>
            <w:r>
              <w:rPr>
                <w:noProof/>
              </w:rPr>
              <w:t>Services numériques pour l’octroi de permis environnementaux</w:t>
            </w:r>
          </w:p>
        </w:tc>
      </w:tr>
      <w:tr w:rsidR="003D7F65" w14:paraId="07C1FB71"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F95DAD" w14:textId="77777777" w:rsidR="003D7F65" w:rsidRDefault="0082041E">
            <w:pPr>
              <w:pStyle w:val="P68B1DB1-Normal13"/>
              <w:spacing w:line="240" w:lineRule="auto"/>
              <w:rPr>
                <w:noProof/>
              </w:rPr>
            </w:pPr>
            <w:r>
              <w:rPr>
                <w:noProof/>
              </w:rPr>
              <w:t>147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B8A4B" w14:textId="77777777" w:rsidR="003D7F65" w:rsidRDefault="0082041E">
            <w:pPr>
              <w:pStyle w:val="P68B1DB1-Normal13"/>
              <w:rPr>
                <w:noProof/>
              </w:rPr>
            </w:pPr>
            <w:r>
              <w:rPr>
                <w:noProof/>
              </w:rPr>
              <w:t>P5C1I1 – REPowerEU – Investissements en faveur d’une transition propre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52DEC"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F85F0" w14:textId="77777777" w:rsidR="003D7F65" w:rsidRDefault="0082041E">
            <w:pPr>
              <w:pStyle w:val="P68B1DB1-Normal10"/>
              <w:rPr>
                <w:rFonts w:eastAsia="Times New Roman"/>
                <w:noProof/>
              </w:rPr>
            </w:pPr>
            <w:r>
              <w:rPr>
                <w:noProof/>
              </w:rPr>
              <w:t>Avis d'achèvement de projet ou rapports de projet soumis</w:t>
            </w:r>
          </w:p>
        </w:tc>
      </w:tr>
      <w:tr w:rsidR="003D7F65" w14:paraId="5F1EE08A"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7DAD2" w14:textId="77777777" w:rsidR="003D7F65" w:rsidRDefault="0082041E">
            <w:pPr>
              <w:pStyle w:val="P68B1DB1-Normal13"/>
              <w:spacing w:line="240" w:lineRule="auto"/>
              <w:rPr>
                <w:noProof/>
              </w:rPr>
            </w:pPr>
            <w:r>
              <w:rPr>
                <w:noProof/>
              </w:rPr>
              <w:t>148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269AD" w14:textId="77777777" w:rsidR="003D7F65" w:rsidRDefault="0082041E">
            <w:pPr>
              <w:pStyle w:val="P68B1DB1-Normal13"/>
              <w:rPr>
                <w:noProof/>
              </w:rPr>
            </w:pPr>
            <w:r>
              <w:rPr>
                <w:noProof/>
              </w:rPr>
              <w:t>P5C1I2 – REPowerEU – R&amp;D pour la transition écologique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D054F"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1A475" w14:textId="77777777" w:rsidR="003D7F65" w:rsidRDefault="0082041E">
            <w:pPr>
              <w:pStyle w:val="P68B1DB1-Normal10"/>
              <w:rPr>
                <w:noProof/>
              </w:rPr>
            </w:pPr>
            <w:r>
              <w:rPr>
                <w:noProof/>
              </w:rPr>
              <w:t>Publication du rapport d'inspection</w:t>
            </w:r>
          </w:p>
        </w:tc>
      </w:tr>
      <w:tr w:rsidR="003D7F65" w14:paraId="258096B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8E546" w14:textId="77777777" w:rsidR="003D7F65" w:rsidRDefault="0082041E">
            <w:pPr>
              <w:pStyle w:val="P68B1DB1-Normal13"/>
              <w:spacing w:line="240" w:lineRule="auto"/>
              <w:rPr>
                <w:noProof/>
              </w:rPr>
            </w:pPr>
            <w:r>
              <w:rPr>
                <w:noProof/>
              </w:rPr>
              <w:t>151</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091CA" w14:textId="77777777" w:rsidR="003D7F65" w:rsidRDefault="0082041E">
            <w:pPr>
              <w:pStyle w:val="P68B1DB1-Normal13"/>
              <w:rPr>
                <w:noProof/>
              </w:rPr>
            </w:pPr>
            <w:r>
              <w:rPr>
                <w:noProof/>
              </w:rPr>
              <w:t>P5C1I2 – REPowerEU – R&amp;D pour la transition écologique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5A050"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40429" w14:textId="77777777" w:rsidR="003D7F65" w:rsidRDefault="0082041E">
            <w:pPr>
              <w:pStyle w:val="P68B1DB1-Normal13"/>
              <w:rPr>
                <w:noProof/>
              </w:rPr>
            </w:pPr>
            <w:r>
              <w:rPr>
                <w:noProof/>
              </w:rPr>
              <w:t>Publication de feuilles de route sur les énergies propres</w:t>
            </w:r>
          </w:p>
        </w:tc>
      </w:tr>
      <w:tr w:rsidR="003D7F65" w14:paraId="67AE8783" w14:textId="77777777">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29F7" w14:textId="77777777" w:rsidR="003D7F65" w:rsidRDefault="0082041E">
            <w:pPr>
              <w:pStyle w:val="P68B1DB1-Normal13"/>
              <w:spacing w:line="240" w:lineRule="auto"/>
              <w:rPr>
                <w:noProof/>
              </w:rPr>
            </w:pPr>
            <w:r>
              <w:rPr>
                <w:noProof/>
              </w:rPr>
              <w:t>152</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0D9E0" w14:textId="77777777" w:rsidR="003D7F65" w:rsidRDefault="0082041E">
            <w:pPr>
              <w:pStyle w:val="P68B1DB1-Normal10"/>
              <w:rPr>
                <w:rFonts w:eastAsia="Times New Roman"/>
                <w:noProof/>
              </w:rPr>
            </w:pPr>
            <w:r>
              <w:rPr>
                <w:noProof/>
              </w:rPr>
              <w:t>P5C1I3 – REPowerEU – Éolien en mer en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3247D" w14:textId="77777777" w:rsidR="003D7F65" w:rsidRDefault="0082041E">
            <w:pPr>
              <w:pStyle w:val="P68B1DB1-Normal13"/>
              <w:rPr>
                <w:noProof/>
              </w:rPr>
            </w:pPr>
            <w:r>
              <w:rPr>
                <w:noProof/>
              </w:rPr>
              <w:t>Étape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BBF81" w14:textId="77777777" w:rsidR="003D7F65" w:rsidRDefault="0082041E">
            <w:pPr>
              <w:pStyle w:val="P68B1DB1-Normal13"/>
              <w:rPr>
                <w:noProof/>
              </w:rPr>
            </w:pPr>
            <w:r>
              <w:rPr>
                <w:noProof/>
              </w:rPr>
              <w:t>Remise des rapports</w:t>
            </w:r>
          </w:p>
        </w:tc>
      </w:tr>
      <w:tr w:rsidR="003D7F65" w14:paraId="053C188B" w14:textId="77777777">
        <w:trPr>
          <w:trHeight w:val="302"/>
          <w:jc w:val="center"/>
        </w:trPr>
        <w:tc>
          <w:tcPr>
            <w:tcW w:w="5777"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2D9189A7" w14:textId="77777777" w:rsidR="003D7F65" w:rsidRDefault="0082041E">
            <w:pPr>
              <w:pStyle w:val="P68B1DB1-Normal29"/>
              <w:rPr>
                <w:noProof/>
              </w:rPr>
            </w:pPr>
            <w:r>
              <w:rPr>
                <w:noProof/>
              </w:rPr>
              <w:t>Montant des acomptes provisionnels</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A9612" w14:textId="77777777" w:rsidR="003D7F65" w:rsidRDefault="0082041E">
            <w:pPr>
              <w:pStyle w:val="P68B1DB1-Normal13"/>
              <w:rPr>
                <w:noProof/>
                <w:color w:val="000000"/>
              </w:rPr>
            </w:pPr>
            <w:r>
              <w:rPr>
                <w:noProof/>
              </w:rPr>
              <w:t>330 914 964 EUR</w:t>
            </w:r>
          </w:p>
        </w:tc>
      </w:tr>
    </w:tbl>
    <w:p w14:paraId="6D864477" w14:textId="77777777" w:rsidR="003D7F65" w:rsidRDefault="003D7F65">
      <w:pPr>
        <w:rPr>
          <w:noProof/>
        </w:rPr>
      </w:pPr>
    </w:p>
    <w:p w14:paraId="52FD7D5E" w14:textId="77777777" w:rsidR="003D7F65" w:rsidRDefault="0082041E">
      <w:pPr>
        <w:pStyle w:val="Heading1"/>
        <w:numPr>
          <w:ilvl w:val="0"/>
          <w:numId w:val="0"/>
        </w:numPr>
        <w:rPr>
          <w:noProof/>
        </w:rPr>
      </w:pPr>
      <w:r>
        <w:rPr>
          <w:noProof/>
        </w:rPr>
        <w:br w:type="page"/>
        <w:t xml:space="preserve">SECTION 3: DISPOSITIONS SUPPLÉMENTAIRES </w:t>
      </w:r>
    </w:p>
    <w:p w14:paraId="61BF6DF7" w14:textId="77777777" w:rsidR="003D7F65" w:rsidRDefault="0082041E">
      <w:pPr>
        <w:pStyle w:val="P68B1DB1-NumPar132"/>
        <w:numPr>
          <w:ilvl w:val="0"/>
          <w:numId w:val="33"/>
        </w:numPr>
        <w:rPr>
          <w:bCs/>
          <w:noProof/>
        </w:rPr>
      </w:pPr>
      <w:r>
        <w:rPr>
          <w:noProof/>
        </w:rPr>
        <w:t>Modalités de suivi et de mise en œuvre du plan pour la reprise et la résilience</w:t>
      </w:r>
    </w:p>
    <w:p w14:paraId="07EA8F60" w14:textId="485E609A" w:rsidR="003D7F65" w:rsidRDefault="0082041E">
      <w:pPr>
        <w:pStyle w:val="P68B1DB1-Normal3"/>
        <w:spacing w:before="120" w:after="120"/>
        <w:jc w:val="both"/>
        <w:rPr>
          <w:noProof/>
        </w:rPr>
      </w:pPr>
      <w:r>
        <w:rPr>
          <w:noProof/>
        </w:rPr>
        <w:t>Le suivi et la mise en œuvre du plan pour la reprise et la résilience de la Finlande s’effectuent conformément aux dispositions suivantes:</w:t>
      </w:r>
    </w:p>
    <w:p w14:paraId="4C8B05E7" w14:textId="67ACC611" w:rsidR="003D7F65" w:rsidRDefault="0082041E">
      <w:pPr>
        <w:pStyle w:val="P68B1DB1-Normal3"/>
        <w:numPr>
          <w:ilvl w:val="0"/>
          <w:numId w:val="34"/>
        </w:numPr>
        <w:spacing w:before="120" w:after="120" w:line="240" w:lineRule="auto"/>
        <w:jc w:val="both"/>
        <w:rPr>
          <w:noProof/>
        </w:rPr>
      </w:pPr>
      <w:r>
        <w:rPr>
          <w:noProof/>
        </w:rPr>
        <w:t>Le processus de mise en œuvre, de suivi et d’établissement de rapports du plan finlandais pour la reprise et la résilience est assuré au plus haut niveau du gouvernement finlandais par un groupe de travail composé de ministres et présidé par le ministre des finances. Son rôle est d’orienter et de suivre la mise en œuvre du programme finlandais pour une croissance durable financé par le plan pour la reprise et la résilience de la Finlande. Le groupe de travail ministériel suit également, au niveau politique, la mise en œuvre des réformes et des investissements liés au programme et aborde les questions liées à la politique des entreprises et de l'esprit d'entreprise.</w:t>
      </w:r>
    </w:p>
    <w:p w14:paraId="0C6E5952" w14:textId="6A375702" w:rsidR="003D7F65" w:rsidRDefault="0082041E">
      <w:pPr>
        <w:pStyle w:val="P68B1DB1-Normal3"/>
        <w:numPr>
          <w:ilvl w:val="0"/>
          <w:numId w:val="34"/>
        </w:numPr>
        <w:spacing w:before="120" w:after="120" w:line="240" w:lineRule="auto"/>
        <w:jc w:val="both"/>
        <w:rPr>
          <w:noProof/>
        </w:rPr>
      </w:pPr>
      <w:r>
        <w:rPr>
          <w:noProof/>
        </w:rPr>
        <w:t>En outre, la mise en œuvre du programme finlandais pour une croissance durable est coordonnée administrativement par un groupe interministériel de coordination composé de secrétaires permanents de tous les ministères et présidé par le ministère des finances. Les tâches au niveau central liées à la coordination, à la gestion, au contrôle et à l’audit du programme finlandais pour la reprise et la résilience sont consolidées avec le ministère des finances.</w:t>
      </w:r>
    </w:p>
    <w:p w14:paraId="00654F92" w14:textId="6811E9F3" w:rsidR="003D7F65" w:rsidRDefault="0082041E">
      <w:pPr>
        <w:pStyle w:val="P68B1DB1-Normal3"/>
        <w:numPr>
          <w:ilvl w:val="0"/>
          <w:numId w:val="34"/>
        </w:numPr>
        <w:spacing w:before="120" w:after="120" w:line="240" w:lineRule="auto"/>
        <w:jc w:val="both"/>
        <w:rPr>
          <w:noProof/>
        </w:rPr>
      </w:pPr>
      <w:r>
        <w:rPr>
          <w:noProof/>
        </w:rPr>
        <w:t>Le ministère des finances est soutenu dans le processus de mise en œuvre et de suivi du plan par un secrétariat technique, qui fonctionne en liaison avec le Trésor public sous l'administration du ministère des finances. Le Secrétariat fait office d'organe de liaison au niveau national entre les ministères et organismes chargés de la mise en œuvre et du suivi du plan.</w:t>
      </w:r>
    </w:p>
    <w:p w14:paraId="49AA5108" w14:textId="124903A5" w:rsidR="003D7F65" w:rsidRDefault="0082041E">
      <w:pPr>
        <w:pStyle w:val="P68B1DB1-Normal3"/>
        <w:numPr>
          <w:ilvl w:val="0"/>
          <w:numId w:val="34"/>
        </w:numPr>
        <w:spacing w:before="120" w:after="120" w:line="240" w:lineRule="auto"/>
        <w:jc w:val="both"/>
        <w:rPr>
          <w:noProof/>
        </w:rPr>
      </w:pPr>
      <w:r>
        <w:rPr>
          <w:noProof/>
        </w:rPr>
        <w:t>Le ministère des finances contrôle régulièrement la réalisation des objectifs et des jalons liés aux réformes et aux investissements, sur la base des informations recueillies et communiquées par les administrations publiques compétentes concernées [ministère de l’économie et de l’emploi, ministère de l’environnement, ministère des transports et des communications, Business Finland, autorité de l’énergie, centre finlandais de financement et de développement du logement (ARA), centres régionaux pour le développement économique, les transports et l’environnement, etc.].</w:t>
      </w:r>
    </w:p>
    <w:p w14:paraId="25F37434" w14:textId="161D87CB" w:rsidR="003D7F65" w:rsidRDefault="0082041E">
      <w:pPr>
        <w:pStyle w:val="P68B1DB1-Normal3"/>
        <w:numPr>
          <w:ilvl w:val="0"/>
          <w:numId w:val="34"/>
        </w:numPr>
        <w:spacing w:before="120" w:after="120" w:line="240" w:lineRule="auto"/>
        <w:jc w:val="both"/>
        <w:rPr>
          <w:noProof/>
        </w:rPr>
      </w:pPr>
      <w:r>
        <w:rPr>
          <w:noProof/>
        </w:rPr>
        <w:t>Le ministère des finances, en sa qualité de contrôleur financier, est chargé d'effectuer les contrôles et les audits et d'établir un résumé des audits. Elle définit une stratégie d'audit et effectue des audits tant des systèmes de contrôle que des projets et mesures. Différents ministères et agences responsables des réformes et des investissements sont responsables des contrôles, des audits, des corrections et des recouvrements, dans leurs domaines de compétence respectifs.</w:t>
      </w:r>
    </w:p>
    <w:p w14:paraId="07BDBE05" w14:textId="77777777" w:rsidR="003D7F65" w:rsidRDefault="0082041E">
      <w:pPr>
        <w:pStyle w:val="P68B1DB1-NumPar132"/>
        <w:numPr>
          <w:ilvl w:val="0"/>
          <w:numId w:val="33"/>
        </w:numPr>
        <w:rPr>
          <w:bCs/>
          <w:noProof/>
        </w:rPr>
      </w:pPr>
      <w:r>
        <w:rPr>
          <w:noProof/>
        </w:rPr>
        <w:t>Modalités permettant à la Commission d'accéder pleinement aux données sous-jacentes</w:t>
      </w:r>
    </w:p>
    <w:p w14:paraId="152F721A" w14:textId="77777777" w:rsidR="003D7F65" w:rsidRDefault="0082041E">
      <w:pPr>
        <w:pStyle w:val="P68B1DB1-Normal3"/>
        <w:spacing w:before="120" w:after="120"/>
        <w:jc w:val="both"/>
        <w:rPr>
          <w:noProof/>
        </w:rPr>
      </w:pPr>
      <w:r>
        <w:rPr>
          <w:noProof/>
        </w:rPr>
        <w:t>Afin de permettre à la Commission d'accéder pleinement aux données pertinentes sous-jacentes, la Finlande met en place les dispositions suivantes:</w:t>
      </w:r>
    </w:p>
    <w:p w14:paraId="58391055" w14:textId="77777777" w:rsidR="003D7F65" w:rsidRDefault="0082041E">
      <w:pPr>
        <w:pStyle w:val="P68B1DB1-Normal3"/>
        <w:numPr>
          <w:ilvl w:val="0"/>
          <w:numId w:val="35"/>
        </w:numPr>
        <w:spacing w:before="120" w:after="120" w:line="240" w:lineRule="auto"/>
        <w:jc w:val="both"/>
        <w:rPr>
          <w:noProof/>
        </w:rPr>
      </w:pPr>
      <w:r>
        <w:rPr>
          <w:noProof/>
        </w:rPr>
        <w:t>Le ministère des finances, en tant qu’organe central de coordination du plan pour la reprise et la résilience de la Finlande, recueille des informations sur l’état d’avancement des indicateurs choisis comme jalons et cibles pour les réformes et les investissements financés par le plan. Les données pertinentes sont soumises au niveau local et centralisées au niveau national dans un outil informatique spécifique et sont utilisées pour suivre les progrès accomplis dans la réalisation des jalons et cibles. L’outil informatique est également utilisé en tant que répertoire d’informations financières qualitatives et d’autres données obligatoires, par exemple sur les destinataires finaux. Le secrétariat technique extrait les informations relatives aux données de l’outil informatique et les communique au ministère des finances. Le secrétariat UE du ministère des finances prépare les demandes de paiement à soumettre à la Commission européenne.</w:t>
      </w:r>
    </w:p>
    <w:p w14:paraId="20347242" w14:textId="77777777" w:rsidR="003D7F65" w:rsidRDefault="0082041E">
      <w:pPr>
        <w:pStyle w:val="P68B1DB1-Normal3"/>
        <w:numPr>
          <w:ilvl w:val="0"/>
          <w:numId w:val="35"/>
        </w:numPr>
        <w:spacing w:before="120" w:after="120" w:line="240" w:lineRule="auto"/>
        <w:jc w:val="both"/>
        <w:rPr>
          <w:noProof/>
          <w:color w:val="1F497D"/>
        </w:rPr>
      </w:pPr>
      <w:r>
        <w:rPr>
          <w:noProof/>
        </w:rPr>
        <w:t>Conformément à l’article 24, paragraphe 2, du règlement (UE) 2021/241, lorsque les jalons et cibles pertinents convenus à la section 2.1 de la présente annexe sont atteints, la Finlande présente à la Commission une demande dûment justifiée de paiement de la contribution financière. La Finlande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sectPr w:rsidR="003D7F65">
      <w:headerReference w:type="even" r:id="rId182"/>
      <w:headerReference w:type="default" r:id="rId183"/>
      <w:footerReference w:type="even" r:id="rId184"/>
      <w:footerReference w:type="default" r:id="rId185"/>
      <w:headerReference w:type="first" r:id="rId186"/>
      <w:footerReference w:type="first" r:id="rId187"/>
      <w:pgSz w:w="11907" w:h="16839"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71822" w14:textId="77777777" w:rsidR="007A797E" w:rsidRDefault="007A797E">
      <w:r>
        <w:separator/>
      </w:r>
    </w:p>
  </w:endnote>
  <w:endnote w:type="continuationSeparator" w:id="0">
    <w:p w14:paraId="367B4EE9" w14:textId="77777777" w:rsidR="007A797E" w:rsidRDefault="007A7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C1F05" w14:textId="68AC558C" w:rsidR="00391A3A" w:rsidRPr="00391A3A" w:rsidRDefault="00391A3A" w:rsidP="00391A3A">
    <w:pPr>
      <w:pStyle w:val="FooterCoverPage"/>
      <w:rPr>
        <w:rFonts w:ascii="Arial" w:hAnsi="Arial" w:cs="Arial"/>
        <w:b/>
        <w:sz w:val="48"/>
      </w:rPr>
    </w:pPr>
    <w:r w:rsidRPr="00391A3A">
      <w:rPr>
        <w:rFonts w:ascii="Arial" w:hAnsi="Arial" w:cs="Arial"/>
        <w:b/>
        <w:sz w:val="48"/>
      </w:rPr>
      <w:t>FR</w:t>
    </w:r>
    <w:r w:rsidRPr="00391A3A">
      <w:rPr>
        <w:rFonts w:ascii="Arial" w:hAnsi="Arial" w:cs="Arial"/>
        <w:b/>
        <w:sz w:val="48"/>
      </w:rPr>
      <w:tab/>
    </w:r>
    <w:r w:rsidRPr="00391A3A">
      <w:rPr>
        <w:rFonts w:ascii="Arial" w:hAnsi="Arial" w:cs="Arial"/>
        <w:b/>
        <w:sz w:val="48"/>
      </w:rPr>
      <w:tab/>
    </w:r>
    <w:r w:rsidRPr="00391A3A">
      <w:tab/>
    </w:r>
    <w:r w:rsidRPr="00391A3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80FF3" w14:textId="1DF8D0D0" w:rsidR="00391A3A" w:rsidRPr="00391A3A" w:rsidRDefault="00391A3A" w:rsidP="00391A3A">
    <w:pPr>
      <w:pStyle w:val="FooterCoverPage"/>
      <w:rPr>
        <w:rFonts w:ascii="Arial" w:hAnsi="Arial" w:cs="Arial"/>
        <w:b/>
        <w:sz w:val="48"/>
      </w:rPr>
    </w:pPr>
    <w:r w:rsidRPr="00391A3A">
      <w:rPr>
        <w:rFonts w:ascii="Arial" w:hAnsi="Arial" w:cs="Arial"/>
        <w:b/>
        <w:sz w:val="48"/>
      </w:rPr>
      <w:t>FR</w:t>
    </w:r>
    <w:r w:rsidRPr="00391A3A">
      <w:rPr>
        <w:rFonts w:ascii="Arial" w:hAnsi="Arial" w:cs="Arial"/>
        <w:b/>
        <w:sz w:val="48"/>
      </w:rPr>
      <w:tab/>
    </w:r>
    <w:r w:rsidRPr="00391A3A">
      <w:rPr>
        <w:rFonts w:ascii="Arial" w:hAnsi="Arial" w:cs="Arial"/>
        <w:b/>
        <w:sz w:val="48"/>
      </w:rPr>
      <w:tab/>
    </w:r>
    <w:r w:rsidRPr="00391A3A">
      <w:tab/>
    </w:r>
    <w:r w:rsidRPr="00391A3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E577A" w14:textId="77777777" w:rsidR="00391A3A" w:rsidRPr="00391A3A" w:rsidRDefault="00391A3A" w:rsidP="00391A3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77DBA" w14:textId="77777777" w:rsidR="003D7F65" w:rsidRDefault="003D7F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794609"/>
      <w:docPartObj>
        <w:docPartGallery w:val="Page Numbers (Bottom of Page)"/>
        <w:docPartUnique/>
      </w:docPartObj>
    </w:sdtPr>
    <w:sdtEndPr>
      <w:rPr>
        <w:noProof/>
      </w:rPr>
    </w:sdtEndPr>
    <w:sdtContent>
      <w:p w14:paraId="52823A27" w14:textId="1BFF2CA2" w:rsidR="003D7F65" w:rsidRDefault="0082041E">
        <w:pPr>
          <w:pStyle w:val="Footer"/>
          <w:jc w:val="center"/>
        </w:pPr>
        <w:r>
          <w:fldChar w:fldCharType="begin"/>
        </w:r>
        <w:r>
          <w:instrText xml:space="preserve"> PAGE   \* MERGEFORMAT </w:instrText>
        </w:r>
        <w:r>
          <w:fldChar w:fldCharType="separate"/>
        </w:r>
        <w:r w:rsidR="00391A3A">
          <w:rPr>
            <w:noProof/>
          </w:rPr>
          <w:t>2</w:t>
        </w:r>
        <w:r>
          <w:fldChar w:fldCharType="end"/>
        </w:r>
      </w:p>
    </w:sdtContent>
  </w:sdt>
  <w:p w14:paraId="68FDD337" w14:textId="77777777" w:rsidR="003D7F65" w:rsidRDefault="003D7F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ECC15" w14:textId="77777777" w:rsidR="003D7F65" w:rsidRDefault="003D7F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2848B" w14:textId="77777777" w:rsidR="003D7F65" w:rsidRDefault="003D7F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506637"/>
      <w:docPartObj>
        <w:docPartGallery w:val="Page Numbers (Bottom of Page)"/>
        <w:docPartUnique/>
      </w:docPartObj>
    </w:sdtPr>
    <w:sdtEndPr>
      <w:rPr>
        <w:noProof/>
      </w:rPr>
    </w:sdtEndPr>
    <w:sdtContent>
      <w:p w14:paraId="2A36E8E0" w14:textId="34B8896F" w:rsidR="003D7F65" w:rsidRDefault="0082041E">
        <w:pPr>
          <w:pStyle w:val="Footer"/>
          <w:jc w:val="center"/>
        </w:pPr>
        <w:r>
          <w:fldChar w:fldCharType="begin"/>
        </w:r>
        <w:r>
          <w:instrText xml:space="preserve"> PAGE   \* MERGEFORMAT </w:instrText>
        </w:r>
        <w:r>
          <w:fldChar w:fldCharType="separate"/>
        </w:r>
        <w:r w:rsidR="00391A3A">
          <w:rPr>
            <w:noProof/>
          </w:rPr>
          <w:t>5</w:t>
        </w:r>
        <w:r>
          <w:fldChar w:fldCharType="end"/>
        </w:r>
      </w:p>
    </w:sdtContent>
  </w:sdt>
  <w:p w14:paraId="2A630970" w14:textId="77777777" w:rsidR="003D7F65" w:rsidRDefault="003D7F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37FC9" w14:textId="77777777" w:rsidR="003D7F65" w:rsidRDefault="003D7F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EF933" w14:textId="77777777" w:rsidR="003D7F65" w:rsidRDefault="003D7F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523784"/>
      <w:docPartObj>
        <w:docPartGallery w:val="Page Numbers (Bottom of Page)"/>
        <w:docPartUnique/>
      </w:docPartObj>
    </w:sdtPr>
    <w:sdtEndPr>
      <w:rPr>
        <w:noProof/>
      </w:rPr>
    </w:sdtEndPr>
    <w:sdtContent>
      <w:p w14:paraId="20F333B2" w14:textId="7D88C369" w:rsidR="003D7F65" w:rsidRDefault="0082041E">
        <w:pPr>
          <w:pStyle w:val="Footer"/>
          <w:jc w:val="center"/>
        </w:pPr>
        <w:r>
          <w:fldChar w:fldCharType="begin"/>
        </w:r>
        <w:r>
          <w:instrText xml:space="preserve"> PAGE   \* MERGEFORMAT </w:instrText>
        </w:r>
        <w:r>
          <w:fldChar w:fldCharType="separate"/>
        </w:r>
        <w:r w:rsidR="0074069E">
          <w:rPr>
            <w:noProof/>
          </w:rPr>
          <w:t>9</w:t>
        </w:r>
        <w:r>
          <w:fldChar w:fldCharType="end"/>
        </w:r>
      </w:p>
    </w:sdtContent>
  </w:sdt>
  <w:p w14:paraId="367B46E5" w14:textId="77777777" w:rsidR="003D7F65" w:rsidRDefault="003D7F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1772C" w14:textId="77777777" w:rsidR="003D7F65" w:rsidRDefault="003D7F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AF6D3" w14:textId="77777777" w:rsidR="003D7F65" w:rsidRDefault="003D7F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193161"/>
      <w:docPartObj>
        <w:docPartGallery w:val="Page Numbers (Bottom of Page)"/>
        <w:docPartUnique/>
      </w:docPartObj>
    </w:sdtPr>
    <w:sdtEndPr>
      <w:rPr>
        <w:noProof/>
      </w:rPr>
    </w:sdtEndPr>
    <w:sdtContent>
      <w:p w14:paraId="0C983B0A" w14:textId="33B442FA" w:rsidR="003D7F65" w:rsidRDefault="0082041E">
        <w:pPr>
          <w:pStyle w:val="Footer"/>
          <w:jc w:val="center"/>
        </w:pPr>
        <w:r>
          <w:fldChar w:fldCharType="begin"/>
        </w:r>
        <w:r>
          <w:instrText xml:space="preserve"> PAGE   \* MERGEFORMAT </w:instrText>
        </w:r>
        <w:r>
          <w:fldChar w:fldCharType="separate"/>
        </w:r>
        <w:r w:rsidR="0074069E">
          <w:rPr>
            <w:noProof/>
          </w:rPr>
          <w:t>20</w:t>
        </w:r>
        <w:r>
          <w:fldChar w:fldCharType="end"/>
        </w:r>
      </w:p>
    </w:sdtContent>
  </w:sdt>
  <w:p w14:paraId="60B9DE5B" w14:textId="77777777" w:rsidR="003D7F65" w:rsidRDefault="003D7F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FC6AF" w14:textId="77777777" w:rsidR="003D7F65" w:rsidRDefault="003D7F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D8E04" w14:textId="77777777" w:rsidR="003D7F65" w:rsidRDefault="003D7F6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748959"/>
      <w:docPartObj>
        <w:docPartGallery w:val="Page Numbers (Bottom of Page)"/>
        <w:docPartUnique/>
      </w:docPartObj>
    </w:sdtPr>
    <w:sdtEndPr>
      <w:rPr>
        <w:noProof/>
      </w:rPr>
    </w:sdtEndPr>
    <w:sdtContent>
      <w:p w14:paraId="56395538" w14:textId="206CDA1A" w:rsidR="003D7F65" w:rsidRDefault="0082041E">
        <w:pPr>
          <w:pStyle w:val="Footer"/>
          <w:jc w:val="center"/>
        </w:pPr>
        <w:r>
          <w:fldChar w:fldCharType="begin"/>
        </w:r>
        <w:r>
          <w:instrText xml:space="preserve"> PAGE   \* MERGEFORMAT </w:instrText>
        </w:r>
        <w:r>
          <w:fldChar w:fldCharType="separate"/>
        </w:r>
        <w:r w:rsidR="0074069E">
          <w:rPr>
            <w:noProof/>
          </w:rPr>
          <w:t>21</w:t>
        </w:r>
        <w:r>
          <w:fldChar w:fldCharType="end"/>
        </w:r>
      </w:p>
    </w:sdtContent>
  </w:sdt>
  <w:p w14:paraId="23A39DAF" w14:textId="77777777" w:rsidR="003D7F65" w:rsidRDefault="003D7F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CEF76" w14:textId="77777777" w:rsidR="003D7F65" w:rsidRDefault="003D7F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BCE70" w14:textId="77777777" w:rsidR="003D7F65" w:rsidRDefault="003D7F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5349"/>
      <w:docPartObj>
        <w:docPartGallery w:val="Page Numbers (Bottom of Page)"/>
        <w:docPartUnique/>
      </w:docPartObj>
    </w:sdtPr>
    <w:sdtEndPr>
      <w:rPr>
        <w:noProof/>
      </w:rPr>
    </w:sdtEndPr>
    <w:sdtContent>
      <w:p w14:paraId="1F372C40" w14:textId="1D5B289E" w:rsidR="003D7F65" w:rsidRDefault="0082041E">
        <w:pPr>
          <w:pStyle w:val="Footer"/>
          <w:jc w:val="center"/>
        </w:pPr>
        <w:r>
          <w:fldChar w:fldCharType="begin"/>
        </w:r>
        <w:r>
          <w:instrText xml:space="preserve"> PAGE   \* MERGEFORMAT </w:instrText>
        </w:r>
        <w:r>
          <w:fldChar w:fldCharType="separate"/>
        </w:r>
        <w:r w:rsidR="0074069E">
          <w:rPr>
            <w:noProof/>
          </w:rPr>
          <w:t>23</w:t>
        </w:r>
        <w:r>
          <w:fldChar w:fldCharType="end"/>
        </w:r>
      </w:p>
    </w:sdtContent>
  </w:sdt>
  <w:p w14:paraId="12C37B6A" w14:textId="77777777" w:rsidR="003D7F65" w:rsidRDefault="003D7F6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A9585" w14:textId="77777777" w:rsidR="003D7F65" w:rsidRDefault="003D7F6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1FB89" w14:textId="77777777" w:rsidR="003D7F65" w:rsidRDefault="003D7F6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113616"/>
      <w:docPartObj>
        <w:docPartGallery w:val="Page Numbers (Bottom of Page)"/>
        <w:docPartUnique/>
      </w:docPartObj>
    </w:sdtPr>
    <w:sdtEndPr>
      <w:rPr>
        <w:noProof/>
      </w:rPr>
    </w:sdtEndPr>
    <w:sdtContent>
      <w:p w14:paraId="3087ABDD" w14:textId="24C3FCB7" w:rsidR="003D7F65" w:rsidRDefault="0082041E">
        <w:pPr>
          <w:pStyle w:val="Footer"/>
          <w:jc w:val="center"/>
        </w:pPr>
        <w:r>
          <w:fldChar w:fldCharType="begin"/>
        </w:r>
        <w:r>
          <w:instrText xml:space="preserve"> PAGE   \* MERGEFORMAT </w:instrText>
        </w:r>
        <w:r>
          <w:fldChar w:fldCharType="separate"/>
        </w:r>
        <w:r w:rsidR="0074069E">
          <w:rPr>
            <w:noProof/>
          </w:rPr>
          <w:t>24</w:t>
        </w:r>
        <w:r>
          <w:fldChar w:fldCharType="end"/>
        </w:r>
      </w:p>
    </w:sdtContent>
  </w:sdt>
  <w:p w14:paraId="593C450E" w14:textId="77777777" w:rsidR="003D7F65" w:rsidRDefault="003D7F6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6855A" w14:textId="77777777" w:rsidR="003D7F65" w:rsidRDefault="003D7F6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C7AAE" w14:textId="77777777" w:rsidR="003D7F65" w:rsidRDefault="003D7F6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4549"/>
      <w:docPartObj>
        <w:docPartGallery w:val="Page Numbers (Bottom of Page)"/>
        <w:docPartUnique/>
      </w:docPartObj>
    </w:sdtPr>
    <w:sdtEndPr>
      <w:rPr>
        <w:noProof/>
      </w:rPr>
    </w:sdtEndPr>
    <w:sdtContent>
      <w:p w14:paraId="5A4767C8" w14:textId="4DFD105D"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3CC5EA60" w14:textId="77777777" w:rsidR="003D7F65" w:rsidRDefault="003D7F6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1A7D" w14:textId="77777777" w:rsidR="003D7F65" w:rsidRDefault="003D7F6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ED2E" w14:textId="77777777" w:rsidR="003D7F65" w:rsidRDefault="003D7F6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981918"/>
      <w:docPartObj>
        <w:docPartGallery w:val="Page Numbers (Bottom of Page)"/>
        <w:docPartUnique/>
      </w:docPartObj>
    </w:sdtPr>
    <w:sdtEndPr>
      <w:rPr>
        <w:noProof/>
      </w:rPr>
    </w:sdtEndPr>
    <w:sdtContent>
      <w:p w14:paraId="65D500F1" w14:textId="33D05643"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74C71A7D" w14:textId="77777777" w:rsidR="003D7F65" w:rsidRDefault="003D7F6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8E3C4" w14:textId="77777777" w:rsidR="003D7F65" w:rsidRDefault="003D7F6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367CE" w14:textId="77777777" w:rsidR="003D7F65" w:rsidRDefault="003D7F6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334490"/>
      <w:docPartObj>
        <w:docPartGallery w:val="Page Numbers (Bottom of Page)"/>
        <w:docPartUnique/>
      </w:docPartObj>
    </w:sdtPr>
    <w:sdtEndPr>
      <w:rPr>
        <w:noProof/>
      </w:rPr>
    </w:sdtEndPr>
    <w:sdtContent>
      <w:p w14:paraId="74249B84" w14:textId="7F8CF836"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54EB40B9" w14:textId="77777777" w:rsidR="003D7F65" w:rsidRDefault="003D7F6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862D" w14:textId="77777777" w:rsidR="003D7F65" w:rsidRDefault="003D7F6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9BABE" w14:textId="77777777" w:rsidR="003D7F65" w:rsidRDefault="003D7F6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929975"/>
      <w:docPartObj>
        <w:docPartGallery w:val="Page Numbers (Bottom of Page)"/>
        <w:docPartUnique/>
      </w:docPartObj>
    </w:sdtPr>
    <w:sdtEndPr>
      <w:rPr>
        <w:noProof/>
      </w:rPr>
    </w:sdtEndPr>
    <w:sdtContent>
      <w:p w14:paraId="0299BDBC" w14:textId="62FAC2B2"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1A13853F" w14:textId="77777777" w:rsidR="003D7F65" w:rsidRDefault="003D7F6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4CDCA" w14:textId="77777777" w:rsidR="003D7F65" w:rsidRDefault="003D7F6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54FC" w14:textId="77777777" w:rsidR="003D7F65" w:rsidRDefault="003D7F6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450089"/>
      <w:docPartObj>
        <w:docPartGallery w:val="Page Numbers (Bottom of Page)"/>
        <w:docPartUnique/>
      </w:docPartObj>
    </w:sdtPr>
    <w:sdtEndPr>
      <w:rPr>
        <w:noProof/>
      </w:rPr>
    </w:sdtEndPr>
    <w:sdtContent>
      <w:p w14:paraId="7644881F" w14:textId="1689C029"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13674E45" w14:textId="77777777" w:rsidR="003D7F65" w:rsidRDefault="003D7F6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2944E" w14:textId="77777777" w:rsidR="003D7F65" w:rsidRDefault="003D7F6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A606E" w14:textId="77777777" w:rsidR="003D7F65" w:rsidRDefault="003D7F6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233391"/>
      <w:docPartObj>
        <w:docPartGallery w:val="Page Numbers (Bottom of Page)"/>
        <w:docPartUnique/>
      </w:docPartObj>
    </w:sdtPr>
    <w:sdtEndPr>
      <w:rPr>
        <w:noProof/>
      </w:rPr>
    </w:sdtEndPr>
    <w:sdtContent>
      <w:p w14:paraId="30FB6678" w14:textId="00ECA0C4"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66D930EB" w14:textId="77777777" w:rsidR="003D7F65" w:rsidRDefault="003D7F6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9F8F8" w14:textId="77777777" w:rsidR="003D7F65" w:rsidRDefault="003D7F6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40574" w14:textId="77777777" w:rsidR="003D7F65" w:rsidRDefault="003D7F6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427971"/>
      <w:docPartObj>
        <w:docPartGallery w:val="Page Numbers (Bottom of Page)"/>
        <w:docPartUnique/>
      </w:docPartObj>
    </w:sdtPr>
    <w:sdtEndPr>
      <w:rPr>
        <w:noProof/>
      </w:rPr>
    </w:sdtEndPr>
    <w:sdtContent>
      <w:p w14:paraId="1BF872CE" w14:textId="0439108A"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11F9FF0E" w14:textId="77777777" w:rsidR="003D7F65" w:rsidRDefault="003D7F6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6359E" w14:textId="77777777" w:rsidR="003D7F65" w:rsidRDefault="003D7F6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06DA2" w14:textId="77777777" w:rsidR="003D7F65" w:rsidRDefault="003D7F6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131858"/>
      <w:docPartObj>
        <w:docPartGallery w:val="Page Numbers (Bottom of Page)"/>
        <w:docPartUnique/>
      </w:docPartObj>
    </w:sdtPr>
    <w:sdtEndPr>
      <w:rPr>
        <w:noProof/>
      </w:rPr>
    </w:sdtEndPr>
    <w:sdtContent>
      <w:p w14:paraId="555E4BF3" w14:textId="2B48F6CD"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3568911A" w14:textId="77777777" w:rsidR="003D7F65" w:rsidRDefault="003D7F6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53FD4" w14:textId="77777777" w:rsidR="003D7F65" w:rsidRDefault="003D7F6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28E7" w14:textId="77777777" w:rsidR="003D7F65" w:rsidRDefault="003D7F6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827286"/>
      <w:docPartObj>
        <w:docPartGallery w:val="Page Numbers (Bottom of Page)"/>
        <w:docPartUnique/>
      </w:docPartObj>
    </w:sdtPr>
    <w:sdtEndPr>
      <w:rPr>
        <w:noProof/>
      </w:rPr>
    </w:sdtEndPr>
    <w:sdtContent>
      <w:p w14:paraId="6A8BFD4C" w14:textId="5350D282"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6BEBBE53" w14:textId="77777777" w:rsidR="003D7F65" w:rsidRDefault="003D7F6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88853" w14:textId="77777777" w:rsidR="003D7F65" w:rsidRDefault="003D7F6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559440"/>
      <w:docPartObj>
        <w:docPartGallery w:val="Page Numbers (Bottom of Page)"/>
        <w:docPartUnique/>
      </w:docPartObj>
    </w:sdtPr>
    <w:sdtEndPr>
      <w:rPr>
        <w:noProof/>
      </w:rPr>
    </w:sdtEndPr>
    <w:sdtContent>
      <w:p w14:paraId="37850C6E" w14:textId="77777777" w:rsidR="00E878EC" w:rsidRDefault="00E878EC">
        <w:pPr>
          <w:pStyle w:val="Footer"/>
          <w:jc w:val="center"/>
        </w:pPr>
        <w:r>
          <w:fldChar w:fldCharType="begin"/>
        </w:r>
        <w:r>
          <w:instrText xml:space="preserve"> PAGE   \* MERGEFORMAT </w:instrText>
        </w:r>
        <w:r>
          <w:fldChar w:fldCharType="separate"/>
        </w:r>
        <w:r>
          <w:t>2</w:t>
        </w:r>
        <w:r>
          <w:fldChar w:fldCharType="end"/>
        </w:r>
      </w:p>
    </w:sdtContent>
  </w:sdt>
  <w:p w14:paraId="063AA8E3" w14:textId="77777777" w:rsidR="00E878EC" w:rsidRDefault="00E878E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BE2C" w14:textId="77777777" w:rsidR="003D7F65" w:rsidRDefault="003D7F6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383505"/>
      <w:docPartObj>
        <w:docPartGallery w:val="Page Numbers (Bottom of Page)"/>
        <w:docPartUnique/>
      </w:docPartObj>
    </w:sdtPr>
    <w:sdtEndPr>
      <w:rPr>
        <w:noProof/>
      </w:rPr>
    </w:sdtEndPr>
    <w:sdtContent>
      <w:p w14:paraId="5316B552" w14:textId="3410EC42"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37DB58D9" w14:textId="77777777" w:rsidR="003D7F65" w:rsidRDefault="003D7F6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5AF35" w14:textId="77777777" w:rsidR="003D7F65" w:rsidRDefault="003D7F6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FBC9D" w14:textId="77777777" w:rsidR="003D7F65" w:rsidRDefault="003D7F6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59626"/>
      <w:docPartObj>
        <w:docPartGallery w:val="Page Numbers (Bottom of Page)"/>
        <w:docPartUnique/>
      </w:docPartObj>
    </w:sdtPr>
    <w:sdtEndPr>
      <w:rPr>
        <w:noProof/>
      </w:rPr>
    </w:sdtEndPr>
    <w:sdtContent>
      <w:p w14:paraId="122ED607" w14:textId="69FF3947"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420FEEB5" w14:textId="77777777" w:rsidR="003D7F65" w:rsidRDefault="003D7F6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CCF5B" w14:textId="77777777" w:rsidR="003D7F65" w:rsidRDefault="003D7F6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78A7" w14:textId="77777777" w:rsidR="003D7F65" w:rsidRDefault="003D7F6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31593"/>
      <w:docPartObj>
        <w:docPartGallery w:val="Page Numbers (Bottom of Page)"/>
        <w:docPartUnique/>
      </w:docPartObj>
    </w:sdtPr>
    <w:sdtEndPr>
      <w:rPr>
        <w:noProof/>
      </w:rPr>
    </w:sdtEndPr>
    <w:sdtContent>
      <w:p w14:paraId="19BE33A3" w14:textId="3BF93C03"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4931EBD9" w14:textId="77777777" w:rsidR="003D7F65" w:rsidRDefault="003D7F6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9B20B" w14:textId="77777777" w:rsidR="003D7F65" w:rsidRDefault="003D7F6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D362" w14:textId="77777777" w:rsidR="003D7F65" w:rsidRDefault="003D7F6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837261"/>
      <w:docPartObj>
        <w:docPartGallery w:val="Page Numbers (Bottom of Page)"/>
        <w:docPartUnique/>
      </w:docPartObj>
    </w:sdtPr>
    <w:sdtEndPr>
      <w:rPr>
        <w:noProof/>
      </w:rPr>
    </w:sdtEndPr>
    <w:sdtContent>
      <w:p w14:paraId="7D30E644" w14:textId="54B78DFC"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442B5E9B" w14:textId="77777777" w:rsidR="003D7F65" w:rsidRDefault="003D7F6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D2EC9" w14:textId="77777777" w:rsidR="003D7F65" w:rsidRDefault="003D7F6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8A37A" w14:textId="77777777" w:rsidR="003D7F65" w:rsidRDefault="003D7F6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473300"/>
      <w:docPartObj>
        <w:docPartGallery w:val="Page Numbers (Bottom of Page)"/>
        <w:docPartUnique/>
      </w:docPartObj>
    </w:sdtPr>
    <w:sdtEndPr>
      <w:rPr>
        <w:noProof/>
      </w:rPr>
    </w:sdtEndPr>
    <w:sdtContent>
      <w:p w14:paraId="25F7EFCA" w14:textId="18E4C7FF"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6EBDB021" w14:textId="77777777" w:rsidR="003D7F65" w:rsidRDefault="003D7F6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DFDA9" w14:textId="77777777" w:rsidR="003D7F65" w:rsidRDefault="003D7F6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E049E" w14:textId="77777777" w:rsidR="003D7F65" w:rsidRDefault="003D7F6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047450"/>
      <w:docPartObj>
        <w:docPartGallery w:val="Page Numbers (Bottom of Page)"/>
        <w:docPartUnique/>
      </w:docPartObj>
    </w:sdtPr>
    <w:sdtEndPr>
      <w:rPr>
        <w:noProof/>
      </w:rPr>
    </w:sdtEndPr>
    <w:sdtContent>
      <w:p w14:paraId="1396740D" w14:textId="7E747170"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5629A610" w14:textId="77777777" w:rsidR="003D7F65" w:rsidRDefault="003D7F6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07E7F" w14:textId="77777777" w:rsidR="003D7F65" w:rsidRDefault="003D7F6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AAD18" w14:textId="77777777" w:rsidR="003D7F65" w:rsidRDefault="003D7F6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076689"/>
      <w:docPartObj>
        <w:docPartGallery w:val="Page Numbers (Bottom of Page)"/>
        <w:docPartUnique/>
      </w:docPartObj>
    </w:sdtPr>
    <w:sdtEndPr>
      <w:rPr>
        <w:noProof/>
      </w:rPr>
    </w:sdtEndPr>
    <w:sdtContent>
      <w:p w14:paraId="4E977DA0" w14:textId="09FD88AE"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01A05CC0" w14:textId="77777777" w:rsidR="003D7F65" w:rsidRDefault="003D7F6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E1CB" w14:textId="77777777" w:rsidR="003D7F65" w:rsidRDefault="003D7F6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66BCA" w14:textId="77777777" w:rsidR="003D7F65" w:rsidRDefault="003D7F6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57308"/>
      <w:docPartObj>
        <w:docPartGallery w:val="Page Numbers (Bottom of Page)"/>
        <w:docPartUnique/>
      </w:docPartObj>
    </w:sdtPr>
    <w:sdtEndPr>
      <w:rPr>
        <w:noProof/>
      </w:rPr>
    </w:sdtEndPr>
    <w:sdtContent>
      <w:p w14:paraId="0A4707A5" w14:textId="25DBE07C"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0823A911" w14:textId="77777777" w:rsidR="003D7F65" w:rsidRDefault="003D7F65">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40B3C" w14:textId="77777777" w:rsidR="003D7F65" w:rsidRDefault="003D7F65">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98C5" w14:textId="77777777" w:rsidR="003D7F65" w:rsidRDefault="003D7F65">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490185"/>
      <w:docPartObj>
        <w:docPartGallery w:val="Page Numbers (Bottom of Page)"/>
        <w:docPartUnique/>
      </w:docPartObj>
    </w:sdtPr>
    <w:sdtEndPr>
      <w:rPr>
        <w:noProof/>
      </w:rPr>
    </w:sdtEndPr>
    <w:sdtContent>
      <w:p w14:paraId="10DCDDDA" w14:textId="45ECEB1C"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0E2E8A6D" w14:textId="77777777" w:rsidR="003D7F65" w:rsidRDefault="003D7F65">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D868C" w14:textId="77777777" w:rsidR="003D7F65" w:rsidRDefault="003D7F65">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9459D" w14:textId="77777777" w:rsidR="003D7F65" w:rsidRDefault="003D7F65">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591273"/>
      <w:docPartObj>
        <w:docPartGallery w:val="Page Numbers (Bottom of Page)"/>
        <w:docPartUnique/>
      </w:docPartObj>
    </w:sdtPr>
    <w:sdtEndPr>
      <w:rPr>
        <w:noProof/>
      </w:rPr>
    </w:sdtEndPr>
    <w:sdtContent>
      <w:p w14:paraId="475ABFDD" w14:textId="2F11E63A"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3EA461D4" w14:textId="77777777" w:rsidR="003D7F65" w:rsidRDefault="003D7F65">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9A54B" w14:textId="77777777" w:rsidR="003D7F65" w:rsidRDefault="003D7F65">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D0DA2" w14:textId="77777777" w:rsidR="003D7F65" w:rsidRDefault="003D7F65">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933F" w14:textId="0E0E3C20" w:rsidR="003D7F65" w:rsidRDefault="003D7F65">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48919" w14:textId="77777777" w:rsidR="003D7F65" w:rsidRDefault="003D7F65">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B7E7" w14:textId="77777777" w:rsidR="003D7F65" w:rsidRDefault="003D7F65">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720961"/>
      <w:docPartObj>
        <w:docPartGallery w:val="Page Numbers (Bottom of Page)"/>
        <w:docPartUnique/>
      </w:docPartObj>
    </w:sdtPr>
    <w:sdtEndPr>
      <w:rPr>
        <w:noProof/>
      </w:rPr>
    </w:sdtEndPr>
    <w:sdtContent>
      <w:p w14:paraId="7A5CDC6B" w14:textId="63B4CB37" w:rsidR="003D7F65" w:rsidRDefault="0082041E">
        <w:pPr>
          <w:pStyle w:val="Footer"/>
          <w:jc w:val="center"/>
        </w:pPr>
        <w:r>
          <w:fldChar w:fldCharType="begin"/>
        </w:r>
        <w:r>
          <w:instrText xml:space="preserve"> PAGE   \* MERGEFORMAT </w:instrText>
        </w:r>
        <w:r>
          <w:fldChar w:fldCharType="separate"/>
        </w:r>
        <w:r>
          <w:t>2</w:t>
        </w:r>
        <w:r>
          <w:fldChar w:fldCharType="end"/>
        </w:r>
      </w:p>
    </w:sdtContent>
  </w:sdt>
  <w:p w14:paraId="2F51A2D1" w14:textId="77777777" w:rsidR="003D7F65" w:rsidRDefault="003D7F65">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E3ADE" w14:textId="77777777" w:rsidR="003D7F65" w:rsidRDefault="003D7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051C9" w14:textId="77777777" w:rsidR="007A797E" w:rsidRDefault="007A797E">
      <w:pPr>
        <w:spacing w:after="0" w:line="240" w:lineRule="auto"/>
      </w:pPr>
      <w:r>
        <w:separator/>
      </w:r>
    </w:p>
  </w:footnote>
  <w:footnote w:type="continuationSeparator" w:id="0">
    <w:p w14:paraId="285499A2" w14:textId="77777777" w:rsidR="007A797E" w:rsidRDefault="007A797E">
      <w:pPr>
        <w:spacing w:after="0" w:line="240" w:lineRule="auto"/>
      </w:pPr>
      <w:r>
        <w:continuationSeparator/>
      </w:r>
    </w:p>
  </w:footnote>
  <w:footnote w:type="continuationNotice" w:id="1">
    <w:p w14:paraId="3F71E83C" w14:textId="77777777" w:rsidR="007A797E" w:rsidRDefault="007A797E">
      <w:pPr>
        <w:spacing w:after="0" w:line="240" w:lineRule="auto"/>
      </w:pPr>
    </w:p>
  </w:footnote>
  <w:footnote w:id="2">
    <w:p w14:paraId="7B2FDA63" w14:textId="77777777" w:rsidR="003D7F65" w:rsidRDefault="0082041E">
      <w:pPr>
        <w:pStyle w:val="FootnoteText"/>
        <w:ind w:left="0" w:firstLine="0"/>
      </w:pPr>
      <w:r>
        <w:rPr>
          <w:rStyle w:val="FootnoteReference"/>
        </w:rPr>
        <w:footnoteRef/>
      </w:r>
      <w:r>
        <w:t xml:space="preserve"> </w:t>
      </w:r>
      <w:r>
        <w:rPr>
          <w:rFonts w:eastAsia="Times New Roman"/>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3">
    <w:p w14:paraId="75D9FD60" w14:textId="77777777" w:rsidR="003D7F65" w:rsidRDefault="0082041E">
      <w:pPr>
        <w:pStyle w:val="FootnoteText"/>
        <w:ind w:left="0" w:firstLine="0"/>
      </w:pPr>
      <w:r>
        <w:rPr>
          <w:rStyle w:val="FootnoteReference"/>
        </w:rPr>
        <w:footnoteRef/>
      </w:r>
      <w: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4">
    <w:p w14:paraId="46DA3DFE" w14:textId="21C78835" w:rsidR="003D7F65" w:rsidRDefault="0082041E">
      <w:pPr>
        <w:pStyle w:val="FootnoteText"/>
        <w:ind w:left="0" w:firstLine="0"/>
      </w:pPr>
      <w:r>
        <w:rPr>
          <w:rStyle w:val="FootnoteReference"/>
        </w:rPr>
        <w:footnoteRef/>
      </w:r>
      <w: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5">
    <w:p w14:paraId="3D890553" w14:textId="7EC12035" w:rsidR="003D7F65" w:rsidRDefault="0082041E">
      <w:pPr>
        <w:pStyle w:val="FootnoteText"/>
        <w:ind w:left="0" w:firstLine="0"/>
      </w:pPr>
      <w:r>
        <w:rPr>
          <w:rStyle w:val="FootnoteReference"/>
        </w:rPr>
        <w:footnoteRef/>
      </w:r>
      <w: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
    <w:p w14:paraId="4C9E2901" w14:textId="77777777" w:rsidR="003D7F65" w:rsidRDefault="0082041E">
      <w:pPr>
        <w:pStyle w:val="FootnoteText"/>
        <w:ind w:left="0" w:firstLine="0"/>
        <w:rPr>
          <w:rStyle w:val="FootnoteReference"/>
        </w:rPr>
      </w:pPr>
      <w:r>
        <w:rPr>
          <w:rStyle w:val="FootnoteReference"/>
        </w:rPr>
        <w:footnoteRef/>
      </w:r>
      <w:r>
        <w:rPr>
          <w:rStyle w:val="FootnoteReference"/>
        </w:rPr>
        <w:t xml:space="preserve"> </w:t>
      </w:r>
      <w:r>
        <w:rPr>
          <w:rStyle w:val="FootnoteReference"/>
          <w:vertAlign w:val="baseline"/>
        </w:rPr>
        <w:t>À l’exception des projets relevant de la présente mesure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w:t>
      </w:r>
    </w:p>
  </w:footnote>
  <w:footnote w:id="7">
    <w:p w14:paraId="6A97DBC2" w14:textId="77777777" w:rsidR="003D7F65" w:rsidRDefault="0082041E">
      <w:pPr>
        <w:pStyle w:val="FootnoteText"/>
        <w:ind w:left="0" w:firstLine="0"/>
      </w:pPr>
      <w:r>
        <w:rPr>
          <w:rStyle w:val="FootnoteReference"/>
        </w:rPr>
        <w:footnoteRef/>
      </w:r>
      <w:r>
        <w:rPr>
          <w:rStyle w:val="FootnoteReference"/>
        </w:rPr>
        <w:t xml:space="preserve"> </w:t>
      </w:r>
      <w:r>
        <w:t>Lorsque l’activité soutenue atteint des émissions de gaz à effet de serre projetées qui ne sont pas sensiblement inférieures aux référentiels pertinents, une explication des raisons pour lesquelles cela n’est pas possible devrait être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8">
    <w:p w14:paraId="5ED69DDB" w14:textId="77777777" w:rsidR="003D7F65" w:rsidRDefault="0082041E">
      <w:pPr>
        <w:pStyle w:val="FootnoteText"/>
        <w:ind w:left="0" w:firstLine="0"/>
      </w:pPr>
      <w:r>
        <w:rPr>
          <w:rStyle w:val="FootnoteReference"/>
        </w:rPr>
        <w:footnoteRef/>
      </w:r>
      <w:r>
        <w:t xml:space="preserve"> </w:t>
      </w:r>
      <w:r>
        <w:rPr>
          <w:rFonts w:eastAsia="Times New Roman"/>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9">
    <w:p w14:paraId="6A72C87A" w14:textId="77777777" w:rsidR="003D7F65" w:rsidRDefault="0082041E">
      <w:pPr>
        <w:pStyle w:val="FootnoteText"/>
        <w:ind w:left="0" w:firstLine="0"/>
      </w:pPr>
      <w:r>
        <w:rPr>
          <w:rStyle w:val="FootnoteReference"/>
        </w:rPr>
        <w:footnoteRef/>
      </w:r>
      <w:r>
        <w:t xml:space="preserve"> </w:t>
      </w:r>
      <w:r>
        <w:rPr>
          <w:rStyle w:val="FootnoteReference"/>
          <w:vertAlign w:val="baseline"/>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A2534" w14:textId="77777777" w:rsidR="00391A3A" w:rsidRPr="00391A3A" w:rsidRDefault="00391A3A" w:rsidP="00391A3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42399" w14:textId="77777777" w:rsidR="00391A3A" w:rsidRPr="00391A3A" w:rsidRDefault="00391A3A" w:rsidP="00391A3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8907C" w14:textId="77777777" w:rsidR="00391A3A" w:rsidRPr="00391A3A" w:rsidRDefault="00391A3A" w:rsidP="00391A3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385D3" w14:textId="77777777" w:rsidR="003D7F65" w:rsidRDefault="003D7F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AD2A" w14:textId="77777777" w:rsidR="003D7F65" w:rsidRDefault="0082041E">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4DAF2" w14:textId="77777777" w:rsidR="003D7F65" w:rsidRDefault="003D7F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89DAF" w14:textId="77777777" w:rsidR="003D7F65" w:rsidRDefault="003D7F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BC210" w14:textId="77777777" w:rsidR="003D7F65" w:rsidRDefault="0082041E">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486A8" w14:textId="77777777" w:rsidR="003D7F65" w:rsidRDefault="003D7F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5BA" w14:textId="77777777" w:rsidR="003D7F65" w:rsidRDefault="003D7F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E5022" w14:textId="77777777" w:rsidR="003D7F65" w:rsidRDefault="0082041E">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D6F0B" w14:textId="77777777" w:rsidR="003D7F65" w:rsidRDefault="003D7F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188D5" w14:textId="77777777" w:rsidR="003D7F65" w:rsidRDefault="003D7F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3E932" w14:textId="77777777" w:rsidR="003D7F65" w:rsidRDefault="0082041E">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0F0FE" w14:textId="77777777" w:rsidR="003D7F65" w:rsidRDefault="003D7F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805BE" w14:textId="77777777" w:rsidR="003D7F65" w:rsidRDefault="003D7F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426E" w14:textId="77777777" w:rsidR="003D7F65" w:rsidRDefault="0082041E">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3CF84" w14:textId="77777777" w:rsidR="003D7F65" w:rsidRDefault="003D7F6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D7361" w14:textId="77777777" w:rsidR="003D7F65" w:rsidRDefault="003D7F6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FE40" w14:textId="77777777" w:rsidR="003D7F65" w:rsidRDefault="0082041E">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4B403" w14:textId="77777777" w:rsidR="003D7F65" w:rsidRDefault="003D7F6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25F5D" w14:textId="77777777" w:rsidR="003D7F65" w:rsidRDefault="003D7F6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E747" w14:textId="77777777" w:rsidR="003D7F65" w:rsidRDefault="0082041E">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FE511" w14:textId="77777777" w:rsidR="003D7F65" w:rsidRDefault="003D7F6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02FE6" w14:textId="77777777" w:rsidR="003D7F65" w:rsidRDefault="003D7F6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04E3" w14:textId="77777777" w:rsidR="003D7F65" w:rsidRDefault="0082041E">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D247B" w14:textId="77777777" w:rsidR="003D7F65" w:rsidRDefault="003D7F6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211D0" w14:textId="77777777" w:rsidR="003D7F65" w:rsidRDefault="003D7F6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ECA4" w14:textId="77777777" w:rsidR="003D7F65" w:rsidRDefault="0082041E">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3A94" w14:textId="77777777" w:rsidR="003D7F65" w:rsidRDefault="003D7F6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28D16" w14:textId="77777777" w:rsidR="003D7F65" w:rsidRDefault="003D7F6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22FAB" w14:textId="77777777" w:rsidR="003D7F65" w:rsidRDefault="0082041E">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12802" w14:textId="77777777" w:rsidR="003D7F65" w:rsidRDefault="003D7F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A2444" w14:textId="77777777" w:rsidR="003D7F65" w:rsidRDefault="003D7F6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22087" w14:textId="77777777" w:rsidR="003D7F65" w:rsidRDefault="0082041E">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2AE48" w14:textId="77777777" w:rsidR="003D7F65" w:rsidRDefault="003D7F6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0DA8" w14:textId="77777777" w:rsidR="003D7F65" w:rsidRDefault="003D7F6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B0741" w14:textId="77777777" w:rsidR="003D7F65" w:rsidRDefault="0082041E">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6323A" w14:textId="77777777" w:rsidR="003D7F65" w:rsidRDefault="003D7F6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0DAA4" w14:textId="77777777" w:rsidR="003D7F65" w:rsidRDefault="003D7F6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7C52" w14:textId="77777777" w:rsidR="003D7F65" w:rsidRDefault="0082041E">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2576C" w14:textId="77777777" w:rsidR="003D7F65" w:rsidRDefault="003D7F6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4A63" w14:textId="77777777" w:rsidR="003D7F65" w:rsidRDefault="003D7F6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FF2C6" w14:textId="77777777" w:rsidR="003D7F65" w:rsidRDefault="0082041E">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95CCB" w14:textId="77777777" w:rsidR="003D7F65" w:rsidRDefault="003D7F6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F6EB" w14:textId="77777777" w:rsidR="003D7F65" w:rsidRDefault="003D7F6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20574" w14:textId="77777777" w:rsidR="003D7F65" w:rsidRDefault="0082041E">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D4C0" w14:textId="77777777" w:rsidR="003D7F65" w:rsidRDefault="003D7F6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CB56" w14:textId="77777777" w:rsidR="003D7F65" w:rsidRDefault="003D7F6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6D43" w14:textId="77777777" w:rsidR="003D7F65" w:rsidRDefault="0082041E">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FEC7" w14:textId="77777777" w:rsidR="003D7F65" w:rsidRDefault="003D7F6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D4BB" w14:textId="77777777" w:rsidR="00E878EC" w:rsidRDefault="00E878EC">
    <w:r>
      <w:t>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E364D" w14:textId="77777777" w:rsidR="003D7F65" w:rsidRDefault="003D7F65">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45E5F" w14:textId="77777777" w:rsidR="003D7F65" w:rsidRDefault="0082041E">
    <w:r>
      <w:t>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1342" w14:textId="77777777" w:rsidR="003D7F65" w:rsidRDefault="003D7F6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2047F" w14:textId="77777777" w:rsidR="003D7F65" w:rsidRDefault="003D7F65">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A4BA" w14:textId="77777777" w:rsidR="003D7F65" w:rsidRDefault="0082041E">
    <w:r>
      <w:t>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6FC72" w14:textId="77777777" w:rsidR="003D7F65" w:rsidRDefault="003D7F6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111A" w14:textId="77777777" w:rsidR="003D7F65" w:rsidRDefault="003D7F65">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84C9B" w14:textId="77777777" w:rsidR="003D7F65" w:rsidRDefault="0082041E">
    <w:r>
      <w:t>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4136" w14:textId="77777777" w:rsidR="003D7F65" w:rsidRDefault="003D7F6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6B22" w14:textId="77777777" w:rsidR="003D7F65" w:rsidRDefault="003D7F65">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CA886" w14:textId="77777777" w:rsidR="003D7F65" w:rsidRDefault="0082041E">
    <w:r>
      <w:t>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480CA" w14:textId="77777777" w:rsidR="003D7F65" w:rsidRDefault="003D7F6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06A62" w14:textId="77777777" w:rsidR="003D7F65" w:rsidRDefault="003D7F65">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1A6E4" w14:textId="77777777" w:rsidR="003D7F65" w:rsidRDefault="0082041E">
    <w:r>
      <w:t> </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998D" w14:textId="77777777" w:rsidR="003D7F65" w:rsidRDefault="003D7F6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5B53" w14:textId="77777777" w:rsidR="003D7F65" w:rsidRDefault="003D7F65">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8F0B4" w14:textId="77777777" w:rsidR="003D7F65" w:rsidRDefault="0082041E">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6455" w14:textId="77777777" w:rsidR="003D7F65" w:rsidRDefault="003D7F6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519F2" w14:textId="77777777" w:rsidR="003D7F65" w:rsidRDefault="003D7F65">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91D95" w14:textId="77777777" w:rsidR="003D7F65" w:rsidRDefault="0082041E">
    <w:r>
      <w:t> </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8FC55" w14:textId="77777777" w:rsidR="003D7F65" w:rsidRDefault="003D7F6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B401A" w14:textId="77777777" w:rsidR="003D7F65" w:rsidRDefault="003D7F65">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31DB0" w14:textId="77777777" w:rsidR="003D7F65" w:rsidRDefault="0082041E">
    <w:r>
      <w:t>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E0085" w14:textId="77777777" w:rsidR="003D7F65" w:rsidRDefault="003D7F65">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6AAB" w14:textId="77777777" w:rsidR="003D7F65" w:rsidRDefault="003D7F65">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DDD01" w14:textId="77777777" w:rsidR="003D7F65" w:rsidRDefault="0082041E">
    <w:r>
      <w:t> </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7FD" w14:textId="77777777" w:rsidR="003D7F65" w:rsidRDefault="003D7F65">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054DF" w14:textId="77777777" w:rsidR="003D7F65" w:rsidRDefault="003D7F65">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77082" w14:textId="77777777" w:rsidR="003D7F65" w:rsidRDefault="0082041E">
    <w:r>
      <w:t>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3D6F7" w14:textId="77777777" w:rsidR="003D7F65" w:rsidRDefault="003D7F65">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1007E" w14:textId="77777777" w:rsidR="003D7F65" w:rsidRDefault="003D7F65">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1C24" w14:textId="77777777" w:rsidR="003D7F65" w:rsidRDefault="0082041E">
    <w:r>
      <w:t> </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FB24" w14:textId="77777777" w:rsidR="003D7F65" w:rsidRDefault="003D7F65">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45BF5" w14:textId="77777777" w:rsidR="003D7F65" w:rsidRDefault="003D7F65">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5DD1" w14:textId="77777777" w:rsidR="003D7F65" w:rsidRDefault="0082041E">
    <w:r>
      <w:t> </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8052" w14:textId="77777777" w:rsidR="003D7F65" w:rsidRDefault="003D7F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287975"/>
    <w:multiLevelType w:val="hybridMultilevel"/>
    <w:tmpl w:val="6B725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567FF5"/>
    <w:multiLevelType w:val="hybridMultilevel"/>
    <w:tmpl w:val="52F01A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1D216E"/>
    <w:multiLevelType w:val="hybridMultilevel"/>
    <w:tmpl w:val="5BCE5284"/>
    <w:lvl w:ilvl="0" w:tplc="1692442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12" w15:restartNumberingAfterBreak="0">
    <w:nsid w:val="22E44180"/>
    <w:multiLevelType w:val="multilevel"/>
    <w:tmpl w:val="2C7CE802"/>
    <w:lvl w:ilvl="0">
      <w:start w:val="1"/>
      <w:numFmt w:val="decimal"/>
      <w:lvlRestart w:val="0"/>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2E58B6"/>
    <w:multiLevelType w:val="hybridMultilevel"/>
    <w:tmpl w:val="24A09642"/>
    <w:lvl w:ilvl="0" w:tplc="E92866A4">
      <w:start w:val="1"/>
      <w:numFmt w:val="bullet"/>
      <w:lvlText w:val=""/>
      <w:lvlJc w:val="left"/>
      <w:pPr>
        <w:ind w:left="360" w:hanging="360"/>
      </w:pPr>
      <w:rPr>
        <w:rFonts w:ascii="Symbol" w:hAnsi="Symbol" w:hint="default"/>
      </w:rPr>
    </w:lvl>
    <w:lvl w:ilvl="1" w:tplc="0C56AA34">
      <w:start w:val="1"/>
      <w:numFmt w:val="bullet"/>
      <w:lvlText w:val="o"/>
      <w:lvlJc w:val="left"/>
      <w:pPr>
        <w:ind w:left="1080" w:hanging="360"/>
      </w:pPr>
      <w:rPr>
        <w:rFonts w:ascii="Courier New" w:hAnsi="Courier New" w:hint="default"/>
      </w:rPr>
    </w:lvl>
    <w:lvl w:ilvl="2" w:tplc="33664946">
      <w:start w:val="1"/>
      <w:numFmt w:val="bullet"/>
      <w:lvlText w:val=""/>
      <w:lvlJc w:val="left"/>
      <w:pPr>
        <w:ind w:left="1800" w:hanging="360"/>
      </w:pPr>
      <w:rPr>
        <w:rFonts w:ascii="Wingdings" w:hAnsi="Wingdings" w:hint="default"/>
      </w:rPr>
    </w:lvl>
    <w:lvl w:ilvl="3" w:tplc="5D8ACA58">
      <w:start w:val="1"/>
      <w:numFmt w:val="bullet"/>
      <w:lvlText w:val=""/>
      <w:lvlJc w:val="left"/>
      <w:pPr>
        <w:ind w:left="2520" w:hanging="360"/>
      </w:pPr>
      <w:rPr>
        <w:rFonts w:ascii="Symbol" w:hAnsi="Symbol" w:hint="default"/>
      </w:rPr>
    </w:lvl>
    <w:lvl w:ilvl="4" w:tplc="480A2E54">
      <w:start w:val="1"/>
      <w:numFmt w:val="bullet"/>
      <w:lvlText w:val="o"/>
      <w:lvlJc w:val="left"/>
      <w:pPr>
        <w:ind w:left="3240" w:hanging="360"/>
      </w:pPr>
      <w:rPr>
        <w:rFonts w:ascii="Courier New" w:hAnsi="Courier New" w:hint="default"/>
      </w:rPr>
    </w:lvl>
    <w:lvl w:ilvl="5" w:tplc="A8B4AB96">
      <w:start w:val="1"/>
      <w:numFmt w:val="bullet"/>
      <w:lvlText w:val=""/>
      <w:lvlJc w:val="left"/>
      <w:pPr>
        <w:ind w:left="3960" w:hanging="360"/>
      </w:pPr>
      <w:rPr>
        <w:rFonts w:ascii="Wingdings" w:hAnsi="Wingdings" w:hint="default"/>
      </w:rPr>
    </w:lvl>
    <w:lvl w:ilvl="6" w:tplc="1E283BA2">
      <w:start w:val="1"/>
      <w:numFmt w:val="bullet"/>
      <w:lvlText w:val=""/>
      <w:lvlJc w:val="left"/>
      <w:pPr>
        <w:ind w:left="4680" w:hanging="360"/>
      </w:pPr>
      <w:rPr>
        <w:rFonts w:ascii="Symbol" w:hAnsi="Symbol" w:hint="default"/>
      </w:rPr>
    </w:lvl>
    <w:lvl w:ilvl="7" w:tplc="00062A40">
      <w:start w:val="1"/>
      <w:numFmt w:val="bullet"/>
      <w:lvlText w:val="o"/>
      <w:lvlJc w:val="left"/>
      <w:pPr>
        <w:ind w:left="5400" w:hanging="360"/>
      </w:pPr>
      <w:rPr>
        <w:rFonts w:ascii="Courier New" w:hAnsi="Courier New" w:hint="default"/>
      </w:rPr>
    </w:lvl>
    <w:lvl w:ilvl="8" w:tplc="598018BE">
      <w:start w:val="1"/>
      <w:numFmt w:val="bullet"/>
      <w:lvlText w:val=""/>
      <w:lvlJc w:val="left"/>
      <w:pPr>
        <w:ind w:left="6120" w:hanging="360"/>
      </w:pPr>
      <w:rPr>
        <w:rFonts w:ascii="Wingdings" w:hAnsi="Wingdings" w:hint="default"/>
      </w:rPr>
    </w:lvl>
  </w:abstractNum>
  <w:abstractNum w:abstractNumId="14" w15:restartNumberingAfterBreak="0">
    <w:nsid w:val="2C1B52AC"/>
    <w:multiLevelType w:val="hybridMultilevel"/>
    <w:tmpl w:val="CD3C34D6"/>
    <w:lvl w:ilvl="0" w:tplc="5240F1E6">
      <w:start w:val="1"/>
      <w:numFmt w:val="bullet"/>
      <w:lvlText w:val="-"/>
      <w:lvlJc w:val="left"/>
      <w:pPr>
        <w:ind w:left="360" w:hanging="360"/>
      </w:pPr>
      <w:rPr>
        <w:rFonts w:ascii="Calibri" w:hAnsi="Calibri" w:hint="default"/>
      </w:rPr>
    </w:lvl>
    <w:lvl w:ilvl="1" w:tplc="8424E93E">
      <w:start w:val="1"/>
      <w:numFmt w:val="bullet"/>
      <w:lvlText w:val="o"/>
      <w:lvlJc w:val="left"/>
      <w:pPr>
        <w:ind w:left="1080" w:hanging="360"/>
      </w:pPr>
      <w:rPr>
        <w:rFonts w:ascii="Courier New" w:hAnsi="Courier New" w:hint="default"/>
      </w:rPr>
    </w:lvl>
    <w:lvl w:ilvl="2" w:tplc="726031F2">
      <w:start w:val="1"/>
      <w:numFmt w:val="bullet"/>
      <w:lvlText w:val=""/>
      <w:lvlJc w:val="left"/>
      <w:pPr>
        <w:ind w:left="1800" w:hanging="360"/>
      </w:pPr>
      <w:rPr>
        <w:rFonts w:ascii="Wingdings" w:hAnsi="Wingdings" w:hint="default"/>
      </w:rPr>
    </w:lvl>
    <w:lvl w:ilvl="3" w:tplc="940615BA">
      <w:start w:val="1"/>
      <w:numFmt w:val="bullet"/>
      <w:lvlText w:val=""/>
      <w:lvlJc w:val="left"/>
      <w:pPr>
        <w:ind w:left="2520" w:hanging="360"/>
      </w:pPr>
      <w:rPr>
        <w:rFonts w:ascii="Symbol" w:hAnsi="Symbol" w:hint="default"/>
      </w:rPr>
    </w:lvl>
    <w:lvl w:ilvl="4" w:tplc="D554AB5E">
      <w:start w:val="1"/>
      <w:numFmt w:val="bullet"/>
      <w:lvlText w:val="o"/>
      <w:lvlJc w:val="left"/>
      <w:pPr>
        <w:ind w:left="3240" w:hanging="360"/>
      </w:pPr>
      <w:rPr>
        <w:rFonts w:ascii="Courier New" w:hAnsi="Courier New" w:hint="default"/>
      </w:rPr>
    </w:lvl>
    <w:lvl w:ilvl="5" w:tplc="ACB66CCC">
      <w:start w:val="1"/>
      <w:numFmt w:val="bullet"/>
      <w:lvlText w:val=""/>
      <w:lvlJc w:val="left"/>
      <w:pPr>
        <w:ind w:left="3960" w:hanging="360"/>
      </w:pPr>
      <w:rPr>
        <w:rFonts w:ascii="Wingdings" w:hAnsi="Wingdings" w:hint="default"/>
      </w:rPr>
    </w:lvl>
    <w:lvl w:ilvl="6" w:tplc="2A9E3498">
      <w:start w:val="1"/>
      <w:numFmt w:val="bullet"/>
      <w:lvlText w:val=""/>
      <w:lvlJc w:val="left"/>
      <w:pPr>
        <w:ind w:left="4680" w:hanging="360"/>
      </w:pPr>
      <w:rPr>
        <w:rFonts w:ascii="Symbol" w:hAnsi="Symbol" w:hint="default"/>
      </w:rPr>
    </w:lvl>
    <w:lvl w:ilvl="7" w:tplc="1398FFDA">
      <w:start w:val="1"/>
      <w:numFmt w:val="bullet"/>
      <w:lvlText w:val="o"/>
      <w:lvlJc w:val="left"/>
      <w:pPr>
        <w:ind w:left="5400" w:hanging="360"/>
      </w:pPr>
      <w:rPr>
        <w:rFonts w:ascii="Courier New" w:hAnsi="Courier New" w:hint="default"/>
      </w:rPr>
    </w:lvl>
    <w:lvl w:ilvl="8" w:tplc="EAFC5382">
      <w:start w:val="1"/>
      <w:numFmt w:val="bullet"/>
      <w:lvlText w:val=""/>
      <w:lvlJc w:val="left"/>
      <w:pPr>
        <w:ind w:left="6120" w:hanging="360"/>
      </w:pPr>
      <w:rPr>
        <w:rFonts w:ascii="Wingdings" w:hAnsi="Wingdings" w:hint="default"/>
      </w:r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375C042B"/>
    <w:multiLevelType w:val="hybridMultilevel"/>
    <w:tmpl w:val="486A7B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9D124F3"/>
    <w:multiLevelType w:val="hybridMultilevel"/>
    <w:tmpl w:val="87E4A9E0"/>
    <w:lvl w:ilvl="0" w:tplc="18090001">
      <w:start w:val="1"/>
      <w:numFmt w:val="bullet"/>
      <w:lvlText w:val=""/>
      <w:lvlJc w:val="left"/>
      <w:pPr>
        <w:ind w:left="-452" w:hanging="360"/>
      </w:pPr>
      <w:rPr>
        <w:rFonts w:ascii="Symbol" w:hAnsi="Symbol" w:hint="default"/>
      </w:rPr>
    </w:lvl>
    <w:lvl w:ilvl="1" w:tplc="18090003" w:tentative="1">
      <w:start w:val="1"/>
      <w:numFmt w:val="bullet"/>
      <w:lvlText w:val="o"/>
      <w:lvlJc w:val="left"/>
      <w:pPr>
        <w:ind w:left="268" w:hanging="360"/>
      </w:pPr>
      <w:rPr>
        <w:rFonts w:ascii="Courier New" w:hAnsi="Courier New" w:cs="Courier New" w:hint="default"/>
      </w:rPr>
    </w:lvl>
    <w:lvl w:ilvl="2" w:tplc="18090005" w:tentative="1">
      <w:start w:val="1"/>
      <w:numFmt w:val="bullet"/>
      <w:lvlText w:val=""/>
      <w:lvlJc w:val="left"/>
      <w:pPr>
        <w:ind w:left="988" w:hanging="360"/>
      </w:pPr>
      <w:rPr>
        <w:rFonts w:ascii="Wingdings" w:hAnsi="Wingdings" w:hint="default"/>
      </w:rPr>
    </w:lvl>
    <w:lvl w:ilvl="3" w:tplc="18090001" w:tentative="1">
      <w:start w:val="1"/>
      <w:numFmt w:val="bullet"/>
      <w:lvlText w:val=""/>
      <w:lvlJc w:val="left"/>
      <w:pPr>
        <w:ind w:left="1708" w:hanging="360"/>
      </w:pPr>
      <w:rPr>
        <w:rFonts w:ascii="Symbol" w:hAnsi="Symbol" w:hint="default"/>
      </w:rPr>
    </w:lvl>
    <w:lvl w:ilvl="4" w:tplc="18090003" w:tentative="1">
      <w:start w:val="1"/>
      <w:numFmt w:val="bullet"/>
      <w:lvlText w:val="o"/>
      <w:lvlJc w:val="left"/>
      <w:pPr>
        <w:ind w:left="2428" w:hanging="360"/>
      </w:pPr>
      <w:rPr>
        <w:rFonts w:ascii="Courier New" w:hAnsi="Courier New" w:cs="Courier New" w:hint="default"/>
      </w:rPr>
    </w:lvl>
    <w:lvl w:ilvl="5" w:tplc="18090005" w:tentative="1">
      <w:start w:val="1"/>
      <w:numFmt w:val="bullet"/>
      <w:lvlText w:val=""/>
      <w:lvlJc w:val="left"/>
      <w:pPr>
        <w:ind w:left="3148" w:hanging="360"/>
      </w:pPr>
      <w:rPr>
        <w:rFonts w:ascii="Wingdings" w:hAnsi="Wingdings" w:hint="default"/>
      </w:rPr>
    </w:lvl>
    <w:lvl w:ilvl="6" w:tplc="18090001" w:tentative="1">
      <w:start w:val="1"/>
      <w:numFmt w:val="bullet"/>
      <w:lvlText w:val=""/>
      <w:lvlJc w:val="left"/>
      <w:pPr>
        <w:ind w:left="3868" w:hanging="360"/>
      </w:pPr>
      <w:rPr>
        <w:rFonts w:ascii="Symbol" w:hAnsi="Symbol" w:hint="default"/>
      </w:rPr>
    </w:lvl>
    <w:lvl w:ilvl="7" w:tplc="18090003" w:tentative="1">
      <w:start w:val="1"/>
      <w:numFmt w:val="bullet"/>
      <w:lvlText w:val="o"/>
      <w:lvlJc w:val="left"/>
      <w:pPr>
        <w:ind w:left="4588" w:hanging="360"/>
      </w:pPr>
      <w:rPr>
        <w:rFonts w:ascii="Courier New" w:hAnsi="Courier New" w:cs="Courier New" w:hint="default"/>
      </w:rPr>
    </w:lvl>
    <w:lvl w:ilvl="8" w:tplc="18090005" w:tentative="1">
      <w:start w:val="1"/>
      <w:numFmt w:val="bullet"/>
      <w:lvlText w:val=""/>
      <w:lvlJc w:val="left"/>
      <w:pPr>
        <w:ind w:left="5308" w:hanging="360"/>
      </w:pPr>
      <w:rPr>
        <w:rFonts w:ascii="Wingdings" w:hAnsi="Wingdings"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DBE0D6DA"/>
    <w:lvl w:ilvl="0">
      <w:start w:val="1"/>
      <w:numFmt w:val="decimal"/>
      <w:lvlRestart w:val="0"/>
      <w:pStyle w:val="Heading1"/>
      <w:lvlText w:val="%1."/>
      <w:lvlJc w:val="left"/>
      <w:pPr>
        <w:tabs>
          <w:tab w:val="num" w:pos="850"/>
        </w:tabs>
        <w:ind w:left="850" w:hanging="850"/>
      </w:pPr>
      <w:rPr>
        <w:rFonts w:hint="default"/>
      </w:rPr>
    </w:lvl>
    <w:lvl w:ilvl="1">
      <w:start w:val="2"/>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56E0750"/>
    <w:multiLevelType w:val="hybridMultilevel"/>
    <w:tmpl w:val="7C403112"/>
    <w:lvl w:ilvl="0" w:tplc="DC86AAD2">
      <w:start w:val="1"/>
      <w:numFmt w:val="bullet"/>
      <w:lvlText w:val="-"/>
      <w:lvlJc w:val="left"/>
      <w:pPr>
        <w:ind w:left="720" w:hanging="360"/>
      </w:pPr>
      <w:rPr>
        <w:rFonts w:ascii="Calibri" w:hAnsi="Calibri" w:hint="default"/>
      </w:rPr>
    </w:lvl>
    <w:lvl w:ilvl="1" w:tplc="EB084644">
      <w:start w:val="1"/>
      <w:numFmt w:val="bullet"/>
      <w:lvlText w:val="o"/>
      <w:lvlJc w:val="left"/>
      <w:pPr>
        <w:ind w:left="1440" w:hanging="360"/>
      </w:pPr>
      <w:rPr>
        <w:rFonts w:ascii="Courier New" w:hAnsi="Courier New" w:hint="default"/>
      </w:rPr>
    </w:lvl>
    <w:lvl w:ilvl="2" w:tplc="02B094C4">
      <w:start w:val="1"/>
      <w:numFmt w:val="bullet"/>
      <w:lvlText w:val=""/>
      <w:lvlJc w:val="left"/>
      <w:pPr>
        <w:ind w:left="2160" w:hanging="360"/>
      </w:pPr>
      <w:rPr>
        <w:rFonts w:ascii="Wingdings" w:hAnsi="Wingdings" w:hint="default"/>
      </w:rPr>
    </w:lvl>
    <w:lvl w:ilvl="3" w:tplc="BCBE6812">
      <w:start w:val="1"/>
      <w:numFmt w:val="bullet"/>
      <w:lvlText w:val=""/>
      <w:lvlJc w:val="left"/>
      <w:pPr>
        <w:ind w:left="2880" w:hanging="360"/>
      </w:pPr>
      <w:rPr>
        <w:rFonts w:ascii="Symbol" w:hAnsi="Symbol" w:hint="default"/>
      </w:rPr>
    </w:lvl>
    <w:lvl w:ilvl="4" w:tplc="D61C7428">
      <w:start w:val="1"/>
      <w:numFmt w:val="bullet"/>
      <w:lvlText w:val="o"/>
      <w:lvlJc w:val="left"/>
      <w:pPr>
        <w:ind w:left="3600" w:hanging="360"/>
      </w:pPr>
      <w:rPr>
        <w:rFonts w:ascii="Courier New" w:hAnsi="Courier New" w:hint="default"/>
      </w:rPr>
    </w:lvl>
    <w:lvl w:ilvl="5" w:tplc="9AC854C0">
      <w:start w:val="1"/>
      <w:numFmt w:val="bullet"/>
      <w:lvlText w:val=""/>
      <w:lvlJc w:val="left"/>
      <w:pPr>
        <w:ind w:left="4320" w:hanging="360"/>
      </w:pPr>
      <w:rPr>
        <w:rFonts w:ascii="Wingdings" w:hAnsi="Wingdings" w:hint="default"/>
      </w:rPr>
    </w:lvl>
    <w:lvl w:ilvl="6" w:tplc="C8064036">
      <w:start w:val="1"/>
      <w:numFmt w:val="bullet"/>
      <w:lvlText w:val=""/>
      <w:lvlJc w:val="left"/>
      <w:pPr>
        <w:ind w:left="5040" w:hanging="360"/>
      </w:pPr>
      <w:rPr>
        <w:rFonts w:ascii="Symbol" w:hAnsi="Symbol" w:hint="default"/>
      </w:rPr>
    </w:lvl>
    <w:lvl w:ilvl="7" w:tplc="A70C1D08">
      <w:start w:val="1"/>
      <w:numFmt w:val="bullet"/>
      <w:lvlText w:val="o"/>
      <w:lvlJc w:val="left"/>
      <w:pPr>
        <w:ind w:left="5760" w:hanging="360"/>
      </w:pPr>
      <w:rPr>
        <w:rFonts w:ascii="Courier New" w:hAnsi="Courier New" w:hint="default"/>
      </w:rPr>
    </w:lvl>
    <w:lvl w:ilvl="8" w:tplc="12B4E4B2">
      <w:start w:val="1"/>
      <w:numFmt w:val="bullet"/>
      <w:lvlText w:val=""/>
      <w:lvlJc w:val="left"/>
      <w:pPr>
        <w:ind w:left="6480" w:hanging="360"/>
      </w:pPr>
      <w:rPr>
        <w:rFonts w:ascii="Wingdings" w:hAnsi="Wingdings" w:hint="default"/>
      </w:rPr>
    </w:lvl>
  </w:abstractNum>
  <w:abstractNum w:abstractNumId="28" w15:restartNumberingAfterBreak="0">
    <w:nsid w:val="67796C5F"/>
    <w:multiLevelType w:val="hybridMultilevel"/>
    <w:tmpl w:val="854E65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898596F"/>
    <w:multiLevelType w:val="hybridMultilevel"/>
    <w:tmpl w:val="7A267EE4"/>
    <w:lvl w:ilvl="0" w:tplc="8376AB58">
      <w:start w:val="1"/>
      <w:numFmt w:val="bullet"/>
      <w:lvlText w:val="-"/>
      <w:lvlJc w:val="left"/>
      <w:pPr>
        <w:ind w:left="360" w:hanging="360"/>
      </w:pPr>
      <w:rPr>
        <w:rFonts w:ascii="Calibri" w:hAnsi="Calibri" w:hint="default"/>
      </w:rPr>
    </w:lvl>
    <w:lvl w:ilvl="1" w:tplc="00786D40">
      <w:start w:val="1"/>
      <w:numFmt w:val="bullet"/>
      <w:lvlText w:val="o"/>
      <w:lvlJc w:val="left"/>
      <w:pPr>
        <w:ind w:left="1080" w:hanging="360"/>
      </w:pPr>
      <w:rPr>
        <w:rFonts w:ascii="Courier New" w:hAnsi="Courier New" w:hint="default"/>
      </w:rPr>
    </w:lvl>
    <w:lvl w:ilvl="2" w:tplc="9A4AA342">
      <w:start w:val="1"/>
      <w:numFmt w:val="bullet"/>
      <w:lvlText w:val=""/>
      <w:lvlJc w:val="left"/>
      <w:pPr>
        <w:ind w:left="1800" w:hanging="360"/>
      </w:pPr>
      <w:rPr>
        <w:rFonts w:ascii="Wingdings" w:hAnsi="Wingdings" w:hint="default"/>
      </w:rPr>
    </w:lvl>
    <w:lvl w:ilvl="3" w:tplc="B0B22DD2">
      <w:start w:val="1"/>
      <w:numFmt w:val="bullet"/>
      <w:lvlText w:val=""/>
      <w:lvlJc w:val="left"/>
      <w:pPr>
        <w:ind w:left="2520" w:hanging="360"/>
      </w:pPr>
      <w:rPr>
        <w:rFonts w:ascii="Symbol" w:hAnsi="Symbol" w:hint="default"/>
      </w:rPr>
    </w:lvl>
    <w:lvl w:ilvl="4" w:tplc="5C60463C">
      <w:start w:val="1"/>
      <w:numFmt w:val="bullet"/>
      <w:lvlText w:val="o"/>
      <w:lvlJc w:val="left"/>
      <w:pPr>
        <w:ind w:left="3240" w:hanging="360"/>
      </w:pPr>
      <w:rPr>
        <w:rFonts w:ascii="Courier New" w:hAnsi="Courier New" w:hint="default"/>
      </w:rPr>
    </w:lvl>
    <w:lvl w:ilvl="5" w:tplc="C99E2A20">
      <w:start w:val="1"/>
      <w:numFmt w:val="bullet"/>
      <w:lvlText w:val=""/>
      <w:lvlJc w:val="left"/>
      <w:pPr>
        <w:ind w:left="3960" w:hanging="360"/>
      </w:pPr>
      <w:rPr>
        <w:rFonts w:ascii="Wingdings" w:hAnsi="Wingdings" w:hint="default"/>
      </w:rPr>
    </w:lvl>
    <w:lvl w:ilvl="6" w:tplc="779C2E9A">
      <w:start w:val="1"/>
      <w:numFmt w:val="bullet"/>
      <w:lvlText w:val=""/>
      <w:lvlJc w:val="left"/>
      <w:pPr>
        <w:ind w:left="4680" w:hanging="360"/>
      </w:pPr>
      <w:rPr>
        <w:rFonts w:ascii="Symbol" w:hAnsi="Symbol" w:hint="default"/>
      </w:rPr>
    </w:lvl>
    <w:lvl w:ilvl="7" w:tplc="21C84E7A">
      <w:start w:val="1"/>
      <w:numFmt w:val="bullet"/>
      <w:lvlText w:val="o"/>
      <w:lvlJc w:val="left"/>
      <w:pPr>
        <w:ind w:left="5400" w:hanging="360"/>
      </w:pPr>
      <w:rPr>
        <w:rFonts w:ascii="Courier New" w:hAnsi="Courier New" w:hint="default"/>
      </w:rPr>
    </w:lvl>
    <w:lvl w:ilvl="8" w:tplc="1FEA9AB6">
      <w:start w:val="1"/>
      <w:numFmt w:val="bullet"/>
      <w:lvlText w:val=""/>
      <w:lvlJc w:val="left"/>
      <w:pPr>
        <w:ind w:left="6120" w:hanging="360"/>
      </w:pPr>
      <w:rPr>
        <w:rFonts w:ascii="Wingdings" w:hAnsi="Wingdings" w:hint="default"/>
      </w:rPr>
    </w:lvl>
  </w:abstractNum>
  <w:abstractNum w:abstractNumId="31" w15:restartNumberingAfterBreak="0">
    <w:nsid w:val="73DA37E1"/>
    <w:multiLevelType w:val="hybridMultilevel"/>
    <w:tmpl w:val="090A2B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A6EE2A7"/>
    <w:multiLevelType w:val="hybridMultilevel"/>
    <w:tmpl w:val="FFFFFFFF"/>
    <w:lvl w:ilvl="0" w:tplc="8DE642FE">
      <w:start w:val="1"/>
      <w:numFmt w:val="bullet"/>
      <w:lvlText w:val=""/>
      <w:lvlJc w:val="left"/>
      <w:pPr>
        <w:ind w:left="720" w:hanging="360"/>
      </w:pPr>
      <w:rPr>
        <w:rFonts w:ascii="Symbol" w:hAnsi="Symbol" w:hint="default"/>
      </w:rPr>
    </w:lvl>
    <w:lvl w:ilvl="1" w:tplc="76FC354C">
      <w:start w:val="1"/>
      <w:numFmt w:val="bullet"/>
      <w:lvlText w:val="o"/>
      <w:lvlJc w:val="left"/>
      <w:pPr>
        <w:ind w:left="1440" w:hanging="360"/>
      </w:pPr>
      <w:rPr>
        <w:rFonts w:ascii="Courier New" w:hAnsi="Courier New" w:hint="default"/>
      </w:rPr>
    </w:lvl>
    <w:lvl w:ilvl="2" w:tplc="F1A28D9E">
      <w:start w:val="1"/>
      <w:numFmt w:val="bullet"/>
      <w:lvlText w:val=""/>
      <w:lvlJc w:val="left"/>
      <w:pPr>
        <w:ind w:left="2160" w:hanging="360"/>
      </w:pPr>
      <w:rPr>
        <w:rFonts w:ascii="Wingdings" w:hAnsi="Wingdings" w:hint="default"/>
      </w:rPr>
    </w:lvl>
    <w:lvl w:ilvl="3" w:tplc="5C3A94C6">
      <w:start w:val="1"/>
      <w:numFmt w:val="bullet"/>
      <w:lvlText w:val=""/>
      <w:lvlJc w:val="left"/>
      <w:pPr>
        <w:ind w:left="2880" w:hanging="360"/>
      </w:pPr>
      <w:rPr>
        <w:rFonts w:ascii="Symbol" w:hAnsi="Symbol" w:hint="default"/>
      </w:rPr>
    </w:lvl>
    <w:lvl w:ilvl="4" w:tplc="0192C08A">
      <w:start w:val="1"/>
      <w:numFmt w:val="bullet"/>
      <w:lvlText w:val="o"/>
      <w:lvlJc w:val="left"/>
      <w:pPr>
        <w:ind w:left="3600" w:hanging="360"/>
      </w:pPr>
      <w:rPr>
        <w:rFonts w:ascii="Courier New" w:hAnsi="Courier New" w:hint="default"/>
      </w:rPr>
    </w:lvl>
    <w:lvl w:ilvl="5" w:tplc="FCFE4424">
      <w:start w:val="1"/>
      <w:numFmt w:val="bullet"/>
      <w:lvlText w:val=""/>
      <w:lvlJc w:val="left"/>
      <w:pPr>
        <w:ind w:left="4320" w:hanging="360"/>
      </w:pPr>
      <w:rPr>
        <w:rFonts w:ascii="Wingdings" w:hAnsi="Wingdings" w:hint="default"/>
      </w:rPr>
    </w:lvl>
    <w:lvl w:ilvl="6" w:tplc="7A929E52">
      <w:start w:val="1"/>
      <w:numFmt w:val="bullet"/>
      <w:lvlText w:val=""/>
      <w:lvlJc w:val="left"/>
      <w:pPr>
        <w:ind w:left="5040" w:hanging="360"/>
      </w:pPr>
      <w:rPr>
        <w:rFonts w:ascii="Symbol" w:hAnsi="Symbol" w:hint="default"/>
      </w:rPr>
    </w:lvl>
    <w:lvl w:ilvl="7" w:tplc="1E8C4600">
      <w:start w:val="1"/>
      <w:numFmt w:val="bullet"/>
      <w:lvlText w:val="o"/>
      <w:lvlJc w:val="left"/>
      <w:pPr>
        <w:ind w:left="5760" w:hanging="360"/>
      </w:pPr>
      <w:rPr>
        <w:rFonts w:ascii="Courier New" w:hAnsi="Courier New" w:hint="default"/>
      </w:rPr>
    </w:lvl>
    <w:lvl w:ilvl="8" w:tplc="E81C35C4">
      <w:start w:val="1"/>
      <w:numFmt w:val="bullet"/>
      <w:lvlText w:val=""/>
      <w:lvlJc w:val="left"/>
      <w:pPr>
        <w:ind w:left="6480" w:hanging="360"/>
      </w:pPr>
      <w:rPr>
        <w:rFonts w:ascii="Wingdings" w:hAnsi="Wingdings"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6"/>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5"/>
  </w:num>
  <w:num w:numId="11">
    <w:abstractNumId w:val="18"/>
  </w:num>
  <w:num w:numId="12">
    <w:abstractNumId w:val="29"/>
  </w:num>
  <w:num w:numId="13">
    <w:abstractNumId w:val="16"/>
  </w:num>
  <w:num w:numId="14">
    <w:abstractNumId w:val="19"/>
  </w:num>
  <w:num w:numId="15">
    <w:abstractNumId w:val="12"/>
  </w:num>
  <w:num w:numId="16">
    <w:abstractNumId w:val="11"/>
  </w:num>
  <w:num w:numId="17">
    <w:abstractNumId w:val="20"/>
  </w:num>
  <w:num w:numId="18">
    <w:abstractNumId w:val="23"/>
  </w:num>
  <w:num w:numId="19">
    <w:abstractNumId w:val="24"/>
  </w:num>
  <w:num w:numId="20">
    <w:abstractNumId w:val="15"/>
  </w:num>
  <w:num w:numId="21">
    <w:abstractNumId w:val="22"/>
  </w:num>
  <w:num w:numId="22">
    <w:abstractNumId w:val="33"/>
  </w:num>
  <w:num w:numId="23">
    <w:abstractNumId w:val="8"/>
  </w:num>
  <w:num w:numId="24">
    <w:abstractNumId w:val="10"/>
  </w:num>
  <w:num w:numId="25">
    <w:abstractNumId w:val="27"/>
  </w:num>
  <w:num w:numId="26">
    <w:abstractNumId w:val="32"/>
  </w:num>
  <w:num w:numId="27">
    <w:abstractNumId w:val="9"/>
  </w:num>
  <w:num w:numId="28">
    <w:abstractNumId w:val="21"/>
  </w:num>
  <w:num w:numId="29">
    <w:abstractNumId w:val="30"/>
  </w:num>
  <w:num w:numId="30">
    <w:abstractNumId w:val="1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13"/>
  </w:num>
  <w:num w:numId="36">
    <w:abstractNumId w:val="31"/>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3&lt;/text&gt;_x000d__x000a_  &lt;/metadata&gt;_x000d__x000a_  &lt;metadata key=&quot;md_Prefix&quot;&gt;_x000d__x000a_    &lt;text&gt;&lt;/text&gt;_x000d__x000a_  &lt;/metadata&gt;_x000d__x000a_  &lt;metadata key=&quot;md_DocumentNumber&quot;&gt;_x000d__x000a_    &lt;text&gt;16877&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750&lt;/text&gt;_x000d__x000a_      &lt;text&gt;UEM 636&lt;/text&gt;_x000d__x000a_      &lt;text&gt;FIN 156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29 October 2021 on the approval of the assessment of the recovery and resilience plan for Finland.&quot;&gt;&amp;lt;FlowDocument xmlns=&quot;http://schemas.microsoft.com/winfx/2006/xaml/presentation&quot;&amp;gt;&amp;lt;Paragraph&amp;gt;Annex to the COUNCIL IMPLEMENTING DECISION amending the Implementing Decision of 29 October 2021 on the approval of the assessment of the recovery and resilience plan for Finland.&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541778124405410548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3&lt;/text&gt;_x000d__x000a_  &lt;/metadata&gt;_x000d__x000a_  &lt;metadata key=&quot;md_Prefix&quot;&gt;_x000d__x000a_    &lt;text&gt;&lt;/text&gt;_x000d__x000a_  &lt;/metadata&gt;_x000d__x000a_  &lt;metadata key=&quot;md_DocumentNumber&quot;&gt;_x000d__x000a_    &lt;text&gt;15836&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57&lt;/text&gt;_x000d__x000a_      &lt;text&gt;UEM 406&lt;/text&gt;_x000d__x000a_      &lt;text&gt;FIN 121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3(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9 October 2021 on the approval of the assessment of the recovery and resilience plan for Finland&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9 October 2021 on the approval of the assessment of the recovery and resilience plan for Fin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2524/21 INIT and ST 12524/21 ADD 1) of 29 October 2021 on the approval of the assessment of the recovery and resilience plan for Finland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KeepCompatibilityMode"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5C22C3E7-0108-42C8-935B-29C653969D8F"/>
    <w:docVar w:name="LW_COVERPAGE_TYPE" w:val="1"/>
    <w:docVar w:name="LW_CROSSREFERENCE" w:val="&lt;UNUSED&gt;"/>
    <w:docVar w:name="LW_DocType" w:val="NORMAL"/>
    <w:docVar w:name="LW_EMISSION" w:val="18.6.2026"/>
    <w:docVar w:name="LW_EMISSION_ISODATE" w:val="2026-06-18"/>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29 octobre 2021 relative à l\u8217?approbation de l\u8217?évaluation du plan pour la reprise et la résilience pour la Finlande_x000d__x000d__x000d__x000d__x000d__x000d__x000d__x000d__x000b_"/>
    <w:docVar w:name="LW_PART_NBR" w:val="1"/>
    <w:docVar w:name="LW_PART_NBR_TOTAL" w:val="1"/>
    <w:docVar w:name="LW_REF.INST.NEW" w:val="COM"/>
    <w:docVar w:name="LW_REF.INST.NEW_ADOPTED" w:val="final"/>
    <w:docVar w:name="LW_REF.INST.NEW_TEXT" w:val="(2026)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A86151"/>
    <w:rsid w:val="00000529"/>
    <w:rsid w:val="00000637"/>
    <w:rsid w:val="0000089C"/>
    <w:rsid w:val="00000943"/>
    <w:rsid w:val="00000D42"/>
    <w:rsid w:val="000022E1"/>
    <w:rsid w:val="0000273A"/>
    <w:rsid w:val="00002BE4"/>
    <w:rsid w:val="00002C68"/>
    <w:rsid w:val="00003265"/>
    <w:rsid w:val="000033FB"/>
    <w:rsid w:val="000039AF"/>
    <w:rsid w:val="00004820"/>
    <w:rsid w:val="000049F5"/>
    <w:rsid w:val="00004B59"/>
    <w:rsid w:val="00004BD9"/>
    <w:rsid w:val="00004E72"/>
    <w:rsid w:val="000052A0"/>
    <w:rsid w:val="00005929"/>
    <w:rsid w:val="00005CAD"/>
    <w:rsid w:val="00006412"/>
    <w:rsid w:val="0000652E"/>
    <w:rsid w:val="0000669D"/>
    <w:rsid w:val="00006815"/>
    <w:rsid w:val="000073C6"/>
    <w:rsid w:val="000075DD"/>
    <w:rsid w:val="00011046"/>
    <w:rsid w:val="00011400"/>
    <w:rsid w:val="000116AE"/>
    <w:rsid w:val="00011B58"/>
    <w:rsid w:val="00011CBF"/>
    <w:rsid w:val="00011E76"/>
    <w:rsid w:val="000125CB"/>
    <w:rsid w:val="000128E3"/>
    <w:rsid w:val="000135F0"/>
    <w:rsid w:val="00013E3D"/>
    <w:rsid w:val="00013F5C"/>
    <w:rsid w:val="0001473E"/>
    <w:rsid w:val="00014BE1"/>
    <w:rsid w:val="00014D8F"/>
    <w:rsid w:val="00014E3C"/>
    <w:rsid w:val="00015B93"/>
    <w:rsid w:val="00015E1F"/>
    <w:rsid w:val="000167AA"/>
    <w:rsid w:val="00017550"/>
    <w:rsid w:val="0001756A"/>
    <w:rsid w:val="00017A4B"/>
    <w:rsid w:val="00017BCC"/>
    <w:rsid w:val="00017E90"/>
    <w:rsid w:val="00020078"/>
    <w:rsid w:val="0002008D"/>
    <w:rsid w:val="000207A1"/>
    <w:rsid w:val="00020F9A"/>
    <w:rsid w:val="00021036"/>
    <w:rsid w:val="00021B64"/>
    <w:rsid w:val="00021FA4"/>
    <w:rsid w:val="0002339E"/>
    <w:rsid w:val="000234D8"/>
    <w:rsid w:val="000235CC"/>
    <w:rsid w:val="000240BD"/>
    <w:rsid w:val="000241AC"/>
    <w:rsid w:val="00024DAD"/>
    <w:rsid w:val="00025002"/>
    <w:rsid w:val="0002558C"/>
    <w:rsid w:val="000255F6"/>
    <w:rsid w:val="00026705"/>
    <w:rsid w:val="0002695B"/>
    <w:rsid w:val="00026E98"/>
    <w:rsid w:val="00027DE0"/>
    <w:rsid w:val="000301BE"/>
    <w:rsid w:val="00030EBD"/>
    <w:rsid w:val="000318C2"/>
    <w:rsid w:val="000329E1"/>
    <w:rsid w:val="00032AC9"/>
    <w:rsid w:val="00032CAC"/>
    <w:rsid w:val="00033036"/>
    <w:rsid w:val="00033299"/>
    <w:rsid w:val="000334BC"/>
    <w:rsid w:val="000339E8"/>
    <w:rsid w:val="00033C0C"/>
    <w:rsid w:val="00033D3D"/>
    <w:rsid w:val="00033FFB"/>
    <w:rsid w:val="00034435"/>
    <w:rsid w:val="00034A20"/>
    <w:rsid w:val="000357BF"/>
    <w:rsid w:val="00035A41"/>
    <w:rsid w:val="000360C3"/>
    <w:rsid w:val="00036537"/>
    <w:rsid w:val="0003694B"/>
    <w:rsid w:val="00037119"/>
    <w:rsid w:val="00037563"/>
    <w:rsid w:val="0003780D"/>
    <w:rsid w:val="000402CF"/>
    <w:rsid w:val="000405FB"/>
    <w:rsid w:val="000407F2"/>
    <w:rsid w:val="0004080F"/>
    <w:rsid w:val="00040B06"/>
    <w:rsid w:val="000410DF"/>
    <w:rsid w:val="000411C8"/>
    <w:rsid w:val="00041219"/>
    <w:rsid w:val="000425C5"/>
    <w:rsid w:val="00042EB1"/>
    <w:rsid w:val="0004352A"/>
    <w:rsid w:val="00043A77"/>
    <w:rsid w:val="00043B24"/>
    <w:rsid w:val="00044111"/>
    <w:rsid w:val="000441A4"/>
    <w:rsid w:val="00044763"/>
    <w:rsid w:val="00044B01"/>
    <w:rsid w:val="000457F9"/>
    <w:rsid w:val="00045D5C"/>
    <w:rsid w:val="00045FA1"/>
    <w:rsid w:val="0004775B"/>
    <w:rsid w:val="00050683"/>
    <w:rsid w:val="00050B25"/>
    <w:rsid w:val="00050B9B"/>
    <w:rsid w:val="00050FAE"/>
    <w:rsid w:val="00051051"/>
    <w:rsid w:val="00051423"/>
    <w:rsid w:val="000517D8"/>
    <w:rsid w:val="0005181D"/>
    <w:rsid w:val="00052203"/>
    <w:rsid w:val="00052404"/>
    <w:rsid w:val="00052D7C"/>
    <w:rsid w:val="0005328B"/>
    <w:rsid w:val="00054FC6"/>
    <w:rsid w:val="00055687"/>
    <w:rsid w:val="000556FC"/>
    <w:rsid w:val="00055D54"/>
    <w:rsid w:val="00056351"/>
    <w:rsid w:val="000565CD"/>
    <w:rsid w:val="00056C68"/>
    <w:rsid w:val="00057033"/>
    <w:rsid w:val="000570AD"/>
    <w:rsid w:val="00057185"/>
    <w:rsid w:val="00060165"/>
    <w:rsid w:val="000602E1"/>
    <w:rsid w:val="00060A23"/>
    <w:rsid w:val="0006139A"/>
    <w:rsid w:val="000621DD"/>
    <w:rsid w:val="00062383"/>
    <w:rsid w:val="00062B0A"/>
    <w:rsid w:val="000636AF"/>
    <w:rsid w:val="00064B97"/>
    <w:rsid w:val="000650E8"/>
    <w:rsid w:val="00065200"/>
    <w:rsid w:val="0006521A"/>
    <w:rsid w:val="0006606F"/>
    <w:rsid w:val="000660E8"/>
    <w:rsid w:val="0006628C"/>
    <w:rsid w:val="00066587"/>
    <w:rsid w:val="00066B84"/>
    <w:rsid w:val="00067A55"/>
    <w:rsid w:val="000703CB"/>
    <w:rsid w:val="000713EB"/>
    <w:rsid w:val="0007183E"/>
    <w:rsid w:val="000718E3"/>
    <w:rsid w:val="0007191B"/>
    <w:rsid w:val="00071C0D"/>
    <w:rsid w:val="000723A8"/>
    <w:rsid w:val="000729EF"/>
    <w:rsid w:val="00072DFB"/>
    <w:rsid w:val="00073068"/>
    <w:rsid w:val="00073572"/>
    <w:rsid w:val="00073ADB"/>
    <w:rsid w:val="00073D2B"/>
    <w:rsid w:val="000746D5"/>
    <w:rsid w:val="00074D9E"/>
    <w:rsid w:val="00074DE9"/>
    <w:rsid w:val="00074E89"/>
    <w:rsid w:val="00075D72"/>
    <w:rsid w:val="000766D6"/>
    <w:rsid w:val="00076772"/>
    <w:rsid w:val="00076C14"/>
    <w:rsid w:val="00076E05"/>
    <w:rsid w:val="000772A7"/>
    <w:rsid w:val="0007755E"/>
    <w:rsid w:val="00077C96"/>
    <w:rsid w:val="0008003B"/>
    <w:rsid w:val="0008020E"/>
    <w:rsid w:val="00080280"/>
    <w:rsid w:val="00080B09"/>
    <w:rsid w:val="00080CF3"/>
    <w:rsid w:val="0008143E"/>
    <w:rsid w:val="00081B4D"/>
    <w:rsid w:val="00081BC0"/>
    <w:rsid w:val="00081FF9"/>
    <w:rsid w:val="0008465D"/>
    <w:rsid w:val="00084882"/>
    <w:rsid w:val="000848C2"/>
    <w:rsid w:val="000849B5"/>
    <w:rsid w:val="00084A16"/>
    <w:rsid w:val="00084D6A"/>
    <w:rsid w:val="00084E3E"/>
    <w:rsid w:val="000852DD"/>
    <w:rsid w:val="000854EA"/>
    <w:rsid w:val="0008559E"/>
    <w:rsid w:val="000859B7"/>
    <w:rsid w:val="00085A57"/>
    <w:rsid w:val="00085E93"/>
    <w:rsid w:val="00085FA3"/>
    <w:rsid w:val="000864B6"/>
    <w:rsid w:val="00086851"/>
    <w:rsid w:val="000868F1"/>
    <w:rsid w:val="00086D93"/>
    <w:rsid w:val="00086FA9"/>
    <w:rsid w:val="0008758D"/>
    <w:rsid w:val="00087AF4"/>
    <w:rsid w:val="00087BD1"/>
    <w:rsid w:val="0009045F"/>
    <w:rsid w:val="0009107B"/>
    <w:rsid w:val="00091874"/>
    <w:rsid w:val="000920C3"/>
    <w:rsid w:val="0009269C"/>
    <w:rsid w:val="00092BC7"/>
    <w:rsid w:val="000931E7"/>
    <w:rsid w:val="000933A6"/>
    <w:rsid w:val="000936D7"/>
    <w:rsid w:val="00094288"/>
    <w:rsid w:val="00094AFF"/>
    <w:rsid w:val="00095443"/>
    <w:rsid w:val="00095660"/>
    <w:rsid w:val="00095F95"/>
    <w:rsid w:val="000966C7"/>
    <w:rsid w:val="000969DA"/>
    <w:rsid w:val="00097A7D"/>
    <w:rsid w:val="00097D31"/>
    <w:rsid w:val="000A0BC0"/>
    <w:rsid w:val="000A1413"/>
    <w:rsid w:val="000A1841"/>
    <w:rsid w:val="000A1AFF"/>
    <w:rsid w:val="000A203E"/>
    <w:rsid w:val="000A24B1"/>
    <w:rsid w:val="000A2568"/>
    <w:rsid w:val="000A349F"/>
    <w:rsid w:val="000A35F3"/>
    <w:rsid w:val="000A4A4B"/>
    <w:rsid w:val="000A4BFD"/>
    <w:rsid w:val="000A586D"/>
    <w:rsid w:val="000A65A8"/>
    <w:rsid w:val="000A69E2"/>
    <w:rsid w:val="000A6B53"/>
    <w:rsid w:val="000A6B57"/>
    <w:rsid w:val="000A6C09"/>
    <w:rsid w:val="000A6C3B"/>
    <w:rsid w:val="000A6D2E"/>
    <w:rsid w:val="000A72C0"/>
    <w:rsid w:val="000A7943"/>
    <w:rsid w:val="000A7DF9"/>
    <w:rsid w:val="000B02E7"/>
    <w:rsid w:val="000B0575"/>
    <w:rsid w:val="000B1AC4"/>
    <w:rsid w:val="000B1ECE"/>
    <w:rsid w:val="000B2095"/>
    <w:rsid w:val="000B23F2"/>
    <w:rsid w:val="000B2513"/>
    <w:rsid w:val="000B2593"/>
    <w:rsid w:val="000B2950"/>
    <w:rsid w:val="000B302F"/>
    <w:rsid w:val="000B36FA"/>
    <w:rsid w:val="000B3777"/>
    <w:rsid w:val="000B38A2"/>
    <w:rsid w:val="000B3BCE"/>
    <w:rsid w:val="000B4499"/>
    <w:rsid w:val="000B4984"/>
    <w:rsid w:val="000B5F28"/>
    <w:rsid w:val="000B67A2"/>
    <w:rsid w:val="000B6A88"/>
    <w:rsid w:val="000B6CE5"/>
    <w:rsid w:val="000B6F13"/>
    <w:rsid w:val="000B78BE"/>
    <w:rsid w:val="000C0D05"/>
    <w:rsid w:val="000C116F"/>
    <w:rsid w:val="000C13E0"/>
    <w:rsid w:val="000C173F"/>
    <w:rsid w:val="000C1913"/>
    <w:rsid w:val="000C217C"/>
    <w:rsid w:val="000C317A"/>
    <w:rsid w:val="000C32BA"/>
    <w:rsid w:val="000C3367"/>
    <w:rsid w:val="000C478C"/>
    <w:rsid w:val="000C4B4A"/>
    <w:rsid w:val="000C4E7C"/>
    <w:rsid w:val="000C4FE7"/>
    <w:rsid w:val="000C50EA"/>
    <w:rsid w:val="000C5352"/>
    <w:rsid w:val="000C56C5"/>
    <w:rsid w:val="000C5833"/>
    <w:rsid w:val="000C7126"/>
    <w:rsid w:val="000C7F8C"/>
    <w:rsid w:val="000D04EB"/>
    <w:rsid w:val="000D097F"/>
    <w:rsid w:val="000D0CFE"/>
    <w:rsid w:val="000D1870"/>
    <w:rsid w:val="000D2D72"/>
    <w:rsid w:val="000D306C"/>
    <w:rsid w:val="000D31F5"/>
    <w:rsid w:val="000D34C6"/>
    <w:rsid w:val="000D38B4"/>
    <w:rsid w:val="000D3FF3"/>
    <w:rsid w:val="000D40BC"/>
    <w:rsid w:val="000D4285"/>
    <w:rsid w:val="000D49FE"/>
    <w:rsid w:val="000D4FAB"/>
    <w:rsid w:val="000D517D"/>
    <w:rsid w:val="000D58E7"/>
    <w:rsid w:val="000D64DE"/>
    <w:rsid w:val="000D79F1"/>
    <w:rsid w:val="000D7A2A"/>
    <w:rsid w:val="000E0661"/>
    <w:rsid w:val="000E149C"/>
    <w:rsid w:val="000E1607"/>
    <w:rsid w:val="000E1A61"/>
    <w:rsid w:val="000E1D37"/>
    <w:rsid w:val="000E2EFF"/>
    <w:rsid w:val="000E39F2"/>
    <w:rsid w:val="000E56F1"/>
    <w:rsid w:val="000E5820"/>
    <w:rsid w:val="000E5CAA"/>
    <w:rsid w:val="000E5D04"/>
    <w:rsid w:val="000E676E"/>
    <w:rsid w:val="000E6A7B"/>
    <w:rsid w:val="000E6B34"/>
    <w:rsid w:val="000E6D6D"/>
    <w:rsid w:val="000E7537"/>
    <w:rsid w:val="000E7952"/>
    <w:rsid w:val="000E7E29"/>
    <w:rsid w:val="000E7FC2"/>
    <w:rsid w:val="000F03FE"/>
    <w:rsid w:val="000F056C"/>
    <w:rsid w:val="000F098C"/>
    <w:rsid w:val="000F0A68"/>
    <w:rsid w:val="000F1164"/>
    <w:rsid w:val="000F1437"/>
    <w:rsid w:val="000F1815"/>
    <w:rsid w:val="000F1CE8"/>
    <w:rsid w:val="000F281C"/>
    <w:rsid w:val="000F2A12"/>
    <w:rsid w:val="000F2BF6"/>
    <w:rsid w:val="000F2C98"/>
    <w:rsid w:val="000F2E37"/>
    <w:rsid w:val="000F3161"/>
    <w:rsid w:val="000F3E3A"/>
    <w:rsid w:val="000F3F37"/>
    <w:rsid w:val="000F4406"/>
    <w:rsid w:val="000F449A"/>
    <w:rsid w:val="000F475F"/>
    <w:rsid w:val="000F4BBB"/>
    <w:rsid w:val="000F52DF"/>
    <w:rsid w:val="000F5664"/>
    <w:rsid w:val="000F575D"/>
    <w:rsid w:val="000F59FE"/>
    <w:rsid w:val="000F5FDE"/>
    <w:rsid w:val="000F62D6"/>
    <w:rsid w:val="000F6761"/>
    <w:rsid w:val="000F6DAA"/>
    <w:rsid w:val="000F6FF6"/>
    <w:rsid w:val="000F731D"/>
    <w:rsid w:val="000F7520"/>
    <w:rsid w:val="000F7C84"/>
    <w:rsid w:val="00100558"/>
    <w:rsid w:val="001006D3"/>
    <w:rsid w:val="001007B3"/>
    <w:rsid w:val="0010084B"/>
    <w:rsid w:val="00100B85"/>
    <w:rsid w:val="00101F69"/>
    <w:rsid w:val="001026C5"/>
    <w:rsid w:val="00102D77"/>
    <w:rsid w:val="001035B8"/>
    <w:rsid w:val="00103CEA"/>
    <w:rsid w:val="00104620"/>
    <w:rsid w:val="00104EDB"/>
    <w:rsid w:val="001055C7"/>
    <w:rsid w:val="00105B39"/>
    <w:rsid w:val="001061E1"/>
    <w:rsid w:val="00106A25"/>
    <w:rsid w:val="00106CAC"/>
    <w:rsid w:val="00107025"/>
    <w:rsid w:val="001072F2"/>
    <w:rsid w:val="00107BD0"/>
    <w:rsid w:val="00110030"/>
    <w:rsid w:val="00110440"/>
    <w:rsid w:val="0011054A"/>
    <w:rsid w:val="001108EB"/>
    <w:rsid w:val="001108FB"/>
    <w:rsid w:val="00110C91"/>
    <w:rsid w:val="001116D4"/>
    <w:rsid w:val="001118C2"/>
    <w:rsid w:val="00111D75"/>
    <w:rsid w:val="00111F84"/>
    <w:rsid w:val="00112264"/>
    <w:rsid w:val="00112A14"/>
    <w:rsid w:val="00112CAE"/>
    <w:rsid w:val="0011346C"/>
    <w:rsid w:val="001136A2"/>
    <w:rsid w:val="00113862"/>
    <w:rsid w:val="00113BA4"/>
    <w:rsid w:val="00114083"/>
    <w:rsid w:val="00114F54"/>
    <w:rsid w:val="0011551A"/>
    <w:rsid w:val="001157DB"/>
    <w:rsid w:val="0011586A"/>
    <w:rsid w:val="0011594B"/>
    <w:rsid w:val="00116774"/>
    <w:rsid w:val="00117668"/>
    <w:rsid w:val="001177E4"/>
    <w:rsid w:val="00120AC7"/>
    <w:rsid w:val="00120AD4"/>
    <w:rsid w:val="00120AE9"/>
    <w:rsid w:val="00121829"/>
    <w:rsid w:val="00122105"/>
    <w:rsid w:val="00122680"/>
    <w:rsid w:val="0012297B"/>
    <w:rsid w:val="00122C77"/>
    <w:rsid w:val="00122ED5"/>
    <w:rsid w:val="00123900"/>
    <w:rsid w:val="00123C55"/>
    <w:rsid w:val="0012457B"/>
    <w:rsid w:val="00124862"/>
    <w:rsid w:val="00124E26"/>
    <w:rsid w:val="001251D5"/>
    <w:rsid w:val="00125C9F"/>
    <w:rsid w:val="00126AC0"/>
    <w:rsid w:val="001270A8"/>
    <w:rsid w:val="001274E5"/>
    <w:rsid w:val="001275BE"/>
    <w:rsid w:val="00127DCF"/>
    <w:rsid w:val="0013000E"/>
    <w:rsid w:val="001302D3"/>
    <w:rsid w:val="00130305"/>
    <w:rsid w:val="00130645"/>
    <w:rsid w:val="001313DB"/>
    <w:rsid w:val="001314BC"/>
    <w:rsid w:val="00131BFE"/>
    <w:rsid w:val="00132322"/>
    <w:rsid w:val="00132843"/>
    <w:rsid w:val="00132C0C"/>
    <w:rsid w:val="001336EA"/>
    <w:rsid w:val="001339A6"/>
    <w:rsid w:val="001339F5"/>
    <w:rsid w:val="00133FA6"/>
    <w:rsid w:val="00134215"/>
    <w:rsid w:val="001342D8"/>
    <w:rsid w:val="00134484"/>
    <w:rsid w:val="00134692"/>
    <w:rsid w:val="00134C95"/>
    <w:rsid w:val="00135369"/>
    <w:rsid w:val="001367B0"/>
    <w:rsid w:val="00137276"/>
    <w:rsid w:val="001378AD"/>
    <w:rsid w:val="00137FB3"/>
    <w:rsid w:val="001407C0"/>
    <w:rsid w:val="001411EB"/>
    <w:rsid w:val="00141577"/>
    <w:rsid w:val="00141632"/>
    <w:rsid w:val="00141E51"/>
    <w:rsid w:val="00143068"/>
    <w:rsid w:val="0014312A"/>
    <w:rsid w:val="00143473"/>
    <w:rsid w:val="00143B57"/>
    <w:rsid w:val="00144D59"/>
    <w:rsid w:val="00144FF1"/>
    <w:rsid w:val="00145FD6"/>
    <w:rsid w:val="00146169"/>
    <w:rsid w:val="001466F3"/>
    <w:rsid w:val="00146E20"/>
    <w:rsid w:val="00147185"/>
    <w:rsid w:val="001472B7"/>
    <w:rsid w:val="0015042F"/>
    <w:rsid w:val="001514A8"/>
    <w:rsid w:val="001514AC"/>
    <w:rsid w:val="00151B15"/>
    <w:rsid w:val="00151B80"/>
    <w:rsid w:val="00151FBD"/>
    <w:rsid w:val="001522EB"/>
    <w:rsid w:val="0015260E"/>
    <w:rsid w:val="00152CE4"/>
    <w:rsid w:val="00152E03"/>
    <w:rsid w:val="00152EB3"/>
    <w:rsid w:val="00152FB3"/>
    <w:rsid w:val="00153134"/>
    <w:rsid w:val="00153371"/>
    <w:rsid w:val="0015427A"/>
    <w:rsid w:val="0015486B"/>
    <w:rsid w:val="00154CBC"/>
    <w:rsid w:val="00157791"/>
    <w:rsid w:val="0015785A"/>
    <w:rsid w:val="00157933"/>
    <w:rsid w:val="00157AA3"/>
    <w:rsid w:val="0016028E"/>
    <w:rsid w:val="00160B57"/>
    <w:rsid w:val="00160F06"/>
    <w:rsid w:val="00161DEB"/>
    <w:rsid w:val="001624C6"/>
    <w:rsid w:val="001625C5"/>
    <w:rsid w:val="00162690"/>
    <w:rsid w:val="001626D1"/>
    <w:rsid w:val="00162E34"/>
    <w:rsid w:val="00162E84"/>
    <w:rsid w:val="00163297"/>
    <w:rsid w:val="0016349C"/>
    <w:rsid w:val="00163543"/>
    <w:rsid w:val="00163AE0"/>
    <w:rsid w:val="00163FAF"/>
    <w:rsid w:val="00164049"/>
    <w:rsid w:val="00164B40"/>
    <w:rsid w:val="00164D65"/>
    <w:rsid w:val="00164EEB"/>
    <w:rsid w:val="00166571"/>
    <w:rsid w:val="00167B0E"/>
    <w:rsid w:val="00167E1E"/>
    <w:rsid w:val="00167FD5"/>
    <w:rsid w:val="00170215"/>
    <w:rsid w:val="001713B8"/>
    <w:rsid w:val="00171768"/>
    <w:rsid w:val="00171BA5"/>
    <w:rsid w:val="00171C16"/>
    <w:rsid w:val="00172436"/>
    <w:rsid w:val="00172478"/>
    <w:rsid w:val="00172E8E"/>
    <w:rsid w:val="00173399"/>
    <w:rsid w:val="00173588"/>
    <w:rsid w:val="00173A1F"/>
    <w:rsid w:val="00173F16"/>
    <w:rsid w:val="001740B5"/>
    <w:rsid w:val="00174C28"/>
    <w:rsid w:val="00174EE0"/>
    <w:rsid w:val="00175559"/>
    <w:rsid w:val="00175C1A"/>
    <w:rsid w:val="00176335"/>
    <w:rsid w:val="001764CE"/>
    <w:rsid w:val="001767A9"/>
    <w:rsid w:val="00176964"/>
    <w:rsid w:val="00177538"/>
    <w:rsid w:val="001811AC"/>
    <w:rsid w:val="001814D8"/>
    <w:rsid w:val="0018205C"/>
    <w:rsid w:val="0018218A"/>
    <w:rsid w:val="00182641"/>
    <w:rsid w:val="00182956"/>
    <w:rsid w:val="00184EB9"/>
    <w:rsid w:val="00185701"/>
    <w:rsid w:val="00185852"/>
    <w:rsid w:val="00186908"/>
    <w:rsid w:val="0018698D"/>
    <w:rsid w:val="00186B98"/>
    <w:rsid w:val="00190574"/>
    <w:rsid w:val="00191050"/>
    <w:rsid w:val="001920BA"/>
    <w:rsid w:val="00192713"/>
    <w:rsid w:val="00192B8A"/>
    <w:rsid w:val="00192F20"/>
    <w:rsid w:val="00192FB2"/>
    <w:rsid w:val="00193558"/>
    <w:rsid w:val="00193AE1"/>
    <w:rsid w:val="00193D4F"/>
    <w:rsid w:val="00194339"/>
    <w:rsid w:val="0019458F"/>
    <w:rsid w:val="00195C31"/>
    <w:rsid w:val="00196F7D"/>
    <w:rsid w:val="001976AC"/>
    <w:rsid w:val="00197AC5"/>
    <w:rsid w:val="00197C9E"/>
    <w:rsid w:val="001A0044"/>
    <w:rsid w:val="001A07F7"/>
    <w:rsid w:val="001A12E2"/>
    <w:rsid w:val="001A1867"/>
    <w:rsid w:val="001A214D"/>
    <w:rsid w:val="001A2163"/>
    <w:rsid w:val="001A251C"/>
    <w:rsid w:val="001A266C"/>
    <w:rsid w:val="001A3761"/>
    <w:rsid w:val="001A393D"/>
    <w:rsid w:val="001A4297"/>
    <w:rsid w:val="001A498E"/>
    <w:rsid w:val="001A4EE4"/>
    <w:rsid w:val="001A53A5"/>
    <w:rsid w:val="001A555C"/>
    <w:rsid w:val="001A625C"/>
    <w:rsid w:val="001A63C2"/>
    <w:rsid w:val="001A6491"/>
    <w:rsid w:val="001A71E8"/>
    <w:rsid w:val="001A72FF"/>
    <w:rsid w:val="001A7395"/>
    <w:rsid w:val="001A756C"/>
    <w:rsid w:val="001A75B3"/>
    <w:rsid w:val="001A7768"/>
    <w:rsid w:val="001A79C9"/>
    <w:rsid w:val="001B07E5"/>
    <w:rsid w:val="001B0AAD"/>
    <w:rsid w:val="001B265F"/>
    <w:rsid w:val="001B27BB"/>
    <w:rsid w:val="001B2DB7"/>
    <w:rsid w:val="001B2E19"/>
    <w:rsid w:val="001B34AB"/>
    <w:rsid w:val="001B36F7"/>
    <w:rsid w:val="001B3837"/>
    <w:rsid w:val="001B47C1"/>
    <w:rsid w:val="001B4C51"/>
    <w:rsid w:val="001B561F"/>
    <w:rsid w:val="001B5A60"/>
    <w:rsid w:val="001B61BC"/>
    <w:rsid w:val="001B631E"/>
    <w:rsid w:val="001B64B4"/>
    <w:rsid w:val="001B67B7"/>
    <w:rsid w:val="001B6C27"/>
    <w:rsid w:val="001B6DFE"/>
    <w:rsid w:val="001B7313"/>
    <w:rsid w:val="001B738F"/>
    <w:rsid w:val="001B782A"/>
    <w:rsid w:val="001C0930"/>
    <w:rsid w:val="001C0BEA"/>
    <w:rsid w:val="001C0DFB"/>
    <w:rsid w:val="001C1303"/>
    <w:rsid w:val="001C16E9"/>
    <w:rsid w:val="001C175B"/>
    <w:rsid w:val="001C1854"/>
    <w:rsid w:val="001C1D8B"/>
    <w:rsid w:val="001C21D5"/>
    <w:rsid w:val="001C23CC"/>
    <w:rsid w:val="001C273E"/>
    <w:rsid w:val="001C2911"/>
    <w:rsid w:val="001C2959"/>
    <w:rsid w:val="001C2970"/>
    <w:rsid w:val="001C2D87"/>
    <w:rsid w:val="001C2F46"/>
    <w:rsid w:val="001C302F"/>
    <w:rsid w:val="001C3862"/>
    <w:rsid w:val="001C40BB"/>
    <w:rsid w:val="001C4388"/>
    <w:rsid w:val="001C4D3A"/>
    <w:rsid w:val="001C517A"/>
    <w:rsid w:val="001C587B"/>
    <w:rsid w:val="001C5BD5"/>
    <w:rsid w:val="001C6046"/>
    <w:rsid w:val="001C6200"/>
    <w:rsid w:val="001C6CE4"/>
    <w:rsid w:val="001C7771"/>
    <w:rsid w:val="001C796F"/>
    <w:rsid w:val="001C7BB2"/>
    <w:rsid w:val="001C7C97"/>
    <w:rsid w:val="001C7E18"/>
    <w:rsid w:val="001D0C6F"/>
    <w:rsid w:val="001D12FD"/>
    <w:rsid w:val="001D1682"/>
    <w:rsid w:val="001D16BE"/>
    <w:rsid w:val="001D1AF2"/>
    <w:rsid w:val="001D1CF2"/>
    <w:rsid w:val="001D20BE"/>
    <w:rsid w:val="001D262D"/>
    <w:rsid w:val="001D2835"/>
    <w:rsid w:val="001D2AE9"/>
    <w:rsid w:val="001D302E"/>
    <w:rsid w:val="001D3268"/>
    <w:rsid w:val="001D3577"/>
    <w:rsid w:val="001D35F5"/>
    <w:rsid w:val="001D38D2"/>
    <w:rsid w:val="001D433C"/>
    <w:rsid w:val="001D4417"/>
    <w:rsid w:val="001D475F"/>
    <w:rsid w:val="001D4A06"/>
    <w:rsid w:val="001D5326"/>
    <w:rsid w:val="001D5847"/>
    <w:rsid w:val="001D5CF4"/>
    <w:rsid w:val="001D6139"/>
    <w:rsid w:val="001D75A7"/>
    <w:rsid w:val="001D7C24"/>
    <w:rsid w:val="001D7ED8"/>
    <w:rsid w:val="001D7F1D"/>
    <w:rsid w:val="001E0C9E"/>
    <w:rsid w:val="001E0E38"/>
    <w:rsid w:val="001E1079"/>
    <w:rsid w:val="001E2694"/>
    <w:rsid w:val="001E2913"/>
    <w:rsid w:val="001E2A0C"/>
    <w:rsid w:val="001E2DBE"/>
    <w:rsid w:val="001E38F6"/>
    <w:rsid w:val="001E3A07"/>
    <w:rsid w:val="001E3B3E"/>
    <w:rsid w:val="001E3C33"/>
    <w:rsid w:val="001E4065"/>
    <w:rsid w:val="001E56C7"/>
    <w:rsid w:val="001E58E7"/>
    <w:rsid w:val="001E6119"/>
    <w:rsid w:val="001E641D"/>
    <w:rsid w:val="001E6D65"/>
    <w:rsid w:val="001E6E3B"/>
    <w:rsid w:val="001E7045"/>
    <w:rsid w:val="001E7210"/>
    <w:rsid w:val="001E77C5"/>
    <w:rsid w:val="001E7BF5"/>
    <w:rsid w:val="001F066F"/>
    <w:rsid w:val="001F0D09"/>
    <w:rsid w:val="001F0D85"/>
    <w:rsid w:val="001F117A"/>
    <w:rsid w:val="001F157F"/>
    <w:rsid w:val="001F15AF"/>
    <w:rsid w:val="001F1902"/>
    <w:rsid w:val="001F1F3E"/>
    <w:rsid w:val="001F2287"/>
    <w:rsid w:val="001F2AEC"/>
    <w:rsid w:val="001F2CCE"/>
    <w:rsid w:val="001F3123"/>
    <w:rsid w:val="001F34A9"/>
    <w:rsid w:val="001F4350"/>
    <w:rsid w:val="001F558F"/>
    <w:rsid w:val="001F583A"/>
    <w:rsid w:val="001F5A22"/>
    <w:rsid w:val="001F5A94"/>
    <w:rsid w:val="001F5C82"/>
    <w:rsid w:val="001F5E1F"/>
    <w:rsid w:val="001F60E0"/>
    <w:rsid w:val="001F6809"/>
    <w:rsid w:val="001F680C"/>
    <w:rsid w:val="001F6E80"/>
    <w:rsid w:val="001F6FB9"/>
    <w:rsid w:val="001F7249"/>
    <w:rsid w:val="001F73B6"/>
    <w:rsid w:val="001F74AB"/>
    <w:rsid w:val="001F7867"/>
    <w:rsid w:val="001F7BBD"/>
    <w:rsid w:val="001F7CE6"/>
    <w:rsid w:val="0020066F"/>
    <w:rsid w:val="00200A5C"/>
    <w:rsid w:val="00201084"/>
    <w:rsid w:val="00201844"/>
    <w:rsid w:val="00201AF2"/>
    <w:rsid w:val="00201C60"/>
    <w:rsid w:val="00201FB5"/>
    <w:rsid w:val="0020288E"/>
    <w:rsid w:val="00202CFD"/>
    <w:rsid w:val="00202FCB"/>
    <w:rsid w:val="00203B82"/>
    <w:rsid w:val="002041A1"/>
    <w:rsid w:val="00204246"/>
    <w:rsid w:val="00204881"/>
    <w:rsid w:val="0020489D"/>
    <w:rsid w:val="002049C4"/>
    <w:rsid w:val="00204E05"/>
    <w:rsid w:val="00205CA8"/>
    <w:rsid w:val="00206D4E"/>
    <w:rsid w:val="00207607"/>
    <w:rsid w:val="0021039D"/>
    <w:rsid w:val="0021075C"/>
    <w:rsid w:val="00210C21"/>
    <w:rsid w:val="00210E04"/>
    <w:rsid w:val="0021187C"/>
    <w:rsid w:val="00211D8C"/>
    <w:rsid w:val="00212A83"/>
    <w:rsid w:val="00212BD3"/>
    <w:rsid w:val="00213411"/>
    <w:rsid w:val="00213680"/>
    <w:rsid w:val="00213A81"/>
    <w:rsid w:val="00213AB6"/>
    <w:rsid w:val="00213B16"/>
    <w:rsid w:val="00213C93"/>
    <w:rsid w:val="00215225"/>
    <w:rsid w:val="0021535B"/>
    <w:rsid w:val="0021541F"/>
    <w:rsid w:val="00215B31"/>
    <w:rsid w:val="002161FC"/>
    <w:rsid w:val="0021624A"/>
    <w:rsid w:val="00216BD7"/>
    <w:rsid w:val="002171B9"/>
    <w:rsid w:val="0021758F"/>
    <w:rsid w:val="0021794A"/>
    <w:rsid w:val="00217BA0"/>
    <w:rsid w:val="00217C0C"/>
    <w:rsid w:val="00220059"/>
    <w:rsid w:val="002201E9"/>
    <w:rsid w:val="00220862"/>
    <w:rsid w:val="002210AF"/>
    <w:rsid w:val="0022168F"/>
    <w:rsid w:val="00221F75"/>
    <w:rsid w:val="002222E2"/>
    <w:rsid w:val="00222704"/>
    <w:rsid w:val="00222D5D"/>
    <w:rsid w:val="002230C0"/>
    <w:rsid w:val="002236C5"/>
    <w:rsid w:val="002236E2"/>
    <w:rsid w:val="002239CD"/>
    <w:rsid w:val="00223C9E"/>
    <w:rsid w:val="00223DEC"/>
    <w:rsid w:val="00224253"/>
    <w:rsid w:val="00224638"/>
    <w:rsid w:val="00225AE6"/>
    <w:rsid w:val="00226BB9"/>
    <w:rsid w:val="00226C92"/>
    <w:rsid w:val="00226CC2"/>
    <w:rsid w:val="00226DEC"/>
    <w:rsid w:val="0022796C"/>
    <w:rsid w:val="00230A76"/>
    <w:rsid w:val="00230C51"/>
    <w:rsid w:val="00231318"/>
    <w:rsid w:val="0023146B"/>
    <w:rsid w:val="00231BE2"/>
    <w:rsid w:val="00232439"/>
    <w:rsid w:val="00232BFC"/>
    <w:rsid w:val="002336FC"/>
    <w:rsid w:val="002337AA"/>
    <w:rsid w:val="00233A64"/>
    <w:rsid w:val="00233E3E"/>
    <w:rsid w:val="00233FA9"/>
    <w:rsid w:val="002346EA"/>
    <w:rsid w:val="00234800"/>
    <w:rsid w:val="00235231"/>
    <w:rsid w:val="002353A1"/>
    <w:rsid w:val="00235553"/>
    <w:rsid w:val="002355AD"/>
    <w:rsid w:val="00235C5F"/>
    <w:rsid w:val="0023676E"/>
    <w:rsid w:val="00236983"/>
    <w:rsid w:val="00236A14"/>
    <w:rsid w:val="00237214"/>
    <w:rsid w:val="002415A2"/>
    <w:rsid w:val="0024175F"/>
    <w:rsid w:val="002418E0"/>
    <w:rsid w:val="00241CF8"/>
    <w:rsid w:val="0024211A"/>
    <w:rsid w:val="0024212D"/>
    <w:rsid w:val="00242401"/>
    <w:rsid w:val="00242527"/>
    <w:rsid w:val="002429E8"/>
    <w:rsid w:val="00242E8C"/>
    <w:rsid w:val="00243979"/>
    <w:rsid w:val="00244235"/>
    <w:rsid w:val="00244705"/>
    <w:rsid w:val="00245074"/>
    <w:rsid w:val="002454F0"/>
    <w:rsid w:val="00245841"/>
    <w:rsid w:val="00245AC0"/>
    <w:rsid w:val="0024628C"/>
    <w:rsid w:val="00246365"/>
    <w:rsid w:val="00246589"/>
    <w:rsid w:val="002466EE"/>
    <w:rsid w:val="002468F7"/>
    <w:rsid w:val="002471A2"/>
    <w:rsid w:val="00247408"/>
    <w:rsid w:val="00247506"/>
    <w:rsid w:val="002475D0"/>
    <w:rsid w:val="00250218"/>
    <w:rsid w:val="0025046D"/>
    <w:rsid w:val="0025081F"/>
    <w:rsid w:val="00251CA1"/>
    <w:rsid w:val="00251DD7"/>
    <w:rsid w:val="00252392"/>
    <w:rsid w:val="00252E7D"/>
    <w:rsid w:val="00253AFB"/>
    <w:rsid w:val="00253B64"/>
    <w:rsid w:val="00253D50"/>
    <w:rsid w:val="00254972"/>
    <w:rsid w:val="00254ABE"/>
    <w:rsid w:val="00255019"/>
    <w:rsid w:val="002551C1"/>
    <w:rsid w:val="0025539A"/>
    <w:rsid w:val="002558DA"/>
    <w:rsid w:val="002570D9"/>
    <w:rsid w:val="002579A6"/>
    <w:rsid w:val="00257C83"/>
    <w:rsid w:val="002608D1"/>
    <w:rsid w:val="00260EF1"/>
    <w:rsid w:val="0026112A"/>
    <w:rsid w:val="00261909"/>
    <w:rsid w:val="00261F62"/>
    <w:rsid w:val="0026340D"/>
    <w:rsid w:val="00263778"/>
    <w:rsid w:val="00263B53"/>
    <w:rsid w:val="00263F09"/>
    <w:rsid w:val="002643DF"/>
    <w:rsid w:val="00265011"/>
    <w:rsid w:val="00265C44"/>
    <w:rsid w:val="0026613C"/>
    <w:rsid w:val="002661EA"/>
    <w:rsid w:val="002666F4"/>
    <w:rsid w:val="00266787"/>
    <w:rsid w:val="00266C7A"/>
    <w:rsid w:val="00266D5A"/>
    <w:rsid w:val="00267049"/>
    <w:rsid w:val="00270532"/>
    <w:rsid w:val="00270877"/>
    <w:rsid w:val="00270B30"/>
    <w:rsid w:val="00271D42"/>
    <w:rsid w:val="002722F6"/>
    <w:rsid w:val="002725AA"/>
    <w:rsid w:val="0027365E"/>
    <w:rsid w:val="00273F99"/>
    <w:rsid w:val="002752ED"/>
    <w:rsid w:val="00276130"/>
    <w:rsid w:val="002763F2"/>
    <w:rsid w:val="0027655E"/>
    <w:rsid w:val="00276D56"/>
    <w:rsid w:val="00276ED6"/>
    <w:rsid w:val="00276F71"/>
    <w:rsid w:val="0027717C"/>
    <w:rsid w:val="002776C6"/>
    <w:rsid w:val="002802D6"/>
    <w:rsid w:val="00280858"/>
    <w:rsid w:val="002808D2"/>
    <w:rsid w:val="0028102A"/>
    <w:rsid w:val="00281194"/>
    <w:rsid w:val="002812F0"/>
    <w:rsid w:val="00281A5F"/>
    <w:rsid w:val="00281DDA"/>
    <w:rsid w:val="00282DE1"/>
    <w:rsid w:val="00285485"/>
    <w:rsid w:val="002857D8"/>
    <w:rsid w:val="002858C4"/>
    <w:rsid w:val="00285DAA"/>
    <w:rsid w:val="00286607"/>
    <w:rsid w:val="0028675F"/>
    <w:rsid w:val="00286A34"/>
    <w:rsid w:val="00287784"/>
    <w:rsid w:val="00287832"/>
    <w:rsid w:val="002879E1"/>
    <w:rsid w:val="00290538"/>
    <w:rsid w:val="002905C6"/>
    <w:rsid w:val="002905E7"/>
    <w:rsid w:val="00290631"/>
    <w:rsid w:val="00290A59"/>
    <w:rsid w:val="00290ED4"/>
    <w:rsid w:val="00291299"/>
    <w:rsid w:val="00291749"/>
    <w:rsid w:val="00292101"/>
    <w:rsid w:val="00292452"/>
    <w:rsid w:val="00292E93"/>
    <w:rsid w:val="00293083"/>
    <w:rsid w:val="00293458"/>
    <w:rsid w:val="002940CE"/>
    <w:rsid w:val="002940D7"/>
    <w:rsid w:val="0029497D"/>
    <w:rsid w:val="00294AEF"/>
    <w:rsid w:val="00294FD0"/>
    <w:rsid w:val="00295198"/>
    <w:rsid w:val="00296448"/>
    <w:rsid w:val="002965B8"/>
    <w:rsid w:val="00296B46"/>
    <w:rsid w:val="002970FE"/>
    <w:rsid w:val="00297828"/>
    <w:rsid w:val="002A01AA"/>
    <w:rsid w:val="002A0354"/>
    <w:rsid w:val="002A055A"/>
    <w:rsid w:val="002A1508"/>
    <w:rsid w:val="002A159E"/>
    <w:rsid w:val="002A161D"/>
    <w:rsid w:val="002A2AEB"/>
    <w:rsid w:val="002A3358"/>
    <w:rsid w:val="002A33E1"/>
    <w:rsid w:val="002A4206"/>
    <w:rsid w:val="002A4798"/>
    <w:rsid w:val="002A4F0A"/>
    <w:rsid w:val="002A59B8"/>
    <w:rsid w:val="002A5AD8"/>
    <w:rsid w:val="002A60F1"/>
    <w:rsid w:val="002A67AE"/>
    <w:rsid w:val="002B0743"/>
    <w:rsid w:val="002B12A1"/>
    <w:rsid w:val="002B14E0"/>
    <w:rsid w:val="002B19C6"/>
    <w:rsid w:val="002B21CA"/>
    <w:rsid w:val="002B2802"/>
    <w:rsid w:val="002B2AE9"/>
    <w:rsid w:val="002B2C9D"/>
    <w:rsid w:val="002B2D5C"/>
    <w:rsid w:val="002B306B"/>
    <w:rsid w:val="002B31A3"/>
    <w:rsid w:val="002B3211"/>
    <w:rsid w:val="002B41B0"/>
    <w:rsid w:val="002B4377"/>
    <w:rsid w:val="002B48BD"/>
    <w:rsid w:val="002B5263"/>
    <w:rsid w:val="002B5652"/>
    <w:rsid w:val="002B5E97"/>
    <w:rsid w:val="002B6087"/>
    <w:rsid w:val="002B60FB"/>
    <w:rsid w:val="002B6CBF"/>
    <w:rsid w:val="002B7871"/>
    <w:rsid w:val="002B7E21"/>
    <w:rsid w:val="002B7E64"/>
    <w:rsid w:val="002B7EC5"/>
    <w:rsid w:val="002B7EF6"/>
    <w:rsid w:val="002C01D9"/>
    <w:rsid w:val="002C033F"/>
    <w:rsid w:val="002C0872"/>
    <w:rsid w:val="002C1065"/>
    <w:rsid w:val="002C1777"/>
    <w:rsid w:val="002C1A56"/>
    <w:rsid w:val="002C1EDF"/>
    <w:rsid w:val="002C299D"/>
    <w:rsid w:val="002C33BB"/>
    <w:rsid w:val="002C43FC"/>
    <w:rsid w:val="002C4CB1"/>
    <w:rsid w:val="002C5125"/>
    <w:rsid w:val="002C5A6F"/>
    <w:rsid w:val="002C5E99"/>
    <w:rsid w:val="002C5F14"/>
    <w:rsid w:val="002C6C33"/>
    <w:rsid w:val="002C72D4"/>
    <w:rsid w:val="002C772F"/>
    <w:rsid w:val="002C7AF9"/>
    <w:rsid w:val="002C7B0E"/>
    <w:rsid w:val="002D0D5E"/>
    <w:rsid w:val="002D1248"/>
    <w:rsid w:val="002D1391"/>
    <w:rsid w:val="002D1408"/>
    <w:rsid w:val="002D14FD"/>
    <w:rsid w:val="002D153F"/>
    <w:rsid w:val="002D1F8D"/>
    <w:rsid w:val="002D38E3"/>
    <w:rsid w:val="002D4380"/>
    <w:rsid w:val="002D4CD9"/>
    <w:rsid w:val="002D4D98"/>
    <w:rsid w:val="002D5A80"/>
    <w:rsid w:val="002D6081"/>
    <w:rsid w:val="002D6580"/>
    <w:rsid w:val="002D65CD"/>
    <w:rsid w:val="002D678B"/>
    <w:rsid w:val="002D6859"/>
    <w:rsid w:val="002D6C37"/>
    <w:rsid w:val="002D70D7"/>
    <w:rsid w:val="002D7955"/>
    <w:rsid w:val="002D7E89"/>
    <w:rsid w:val="002E01C7"/>
    <w:rsid w:val="002E07F5"/>
    <w:rsid w:val="002E0921"/>
    <w:rsid w:val="002E0A09"/>
    <w:rsid w:val="002E0A12"/>
    <w:rsid w:val="002E0B04"/>
    <w:rsid w:val="002E1DF4"/>
    <w:rsid w:val="002E2170"/>
    <w:rsid w:val="002E337A"/>
    <w:rsid w:val="002E3422"/>
    <w:rsid w:val="002E3B04"/>
    <w:rsid w:val="002E4745"/>
    <w:rsid w:val="002E4B4C"/>
    <w:rsid w:val="002E529D"/>
    <w:rsid w:val="002E5ED9"/>
    <w:rsid w:val="002E6520"/>
    <w:rsid w:val="002E68E2"/>
    <w:rsid w:val="002E73D5"/>
    <w:rsid w:val="002E7403"/>
    <w:rsid w:val="002E7911"/>
    <w:rsid w:val="002E7ADD"/>
    <w:rsid w:val="002E7DBC"/>
    <w:rsid w:val="002E7E63"/>
    <w:rsid w:val="002F00DC"/>
    <w:rsid w:val="002F0216"/>
    <w:rsid w:val="002F0220"/>
    <w:rsid w:val="002F04BE"/>
    <w:rsid w:val="002F08B4"/>
    <w:rsid w:val="002F1291"/>
    <w:rsid w:val="002F137E"/>
    <w:rsid w:val="002F1501"/>
    <w:rsid w:val="002F215A"/>
    <w:rsid w:val="002F2D7D"/>
    <w:rsid w:val="002F32A6"/>
    <w:rsid w:val="002F44D6"/>
    <w:rsid w:val="002F5189"/>
    <w:rsid w:val="002F5562"/>
    <w:rsid w:val="002F5E39"/>
    <w:rsid w:val="002F604A"/>
    <w:rsid w:val="002F6776"/>
    <w:rsid w:val="002F68E4"/>
    <w:rsid w:val="002F69AB"/>
    <w:rsid w:val="002F6BC3"/>
    <w:rsid w:val="002F6F13"/>
    <w:rsid w:val="00300502"/>
    <w:rsid w:val="0030127C"/>
    <w:rsid w:val="0030214F"/>
    <w:rsid w:val="00302378"/>
    <w:rsid w:val="00302B04"/>
    <w:rsid w:val="00302CB6"/>
    <w:rsid w:val="00302D75"/>
    <w:rsid w:val="00303D3E"/>
    <w:rsid w:val="00303F29"/>
    <w:rsid w:val="003041AA"/>
    <w:rsid w:val="003050F9"/>
    <w:rsid w:val="0030523A"/>
    <w:rsid w:val="003054A2"/>
    <w:rsid w:val="00306305"/>
    <w:rsid w:val="00307227"/>
    <w:rsid w:val="00307FF5"/>
    <w:rsid w:val="00310A18"/>
    <w:rsid w:val="003110AE"/>
    <w:rsid w:val="00312882"/>
    <w:rsid w:val="003132DE"/>
    <w:rsid w:val="003136C7"/>
    <w:rsid w:val="003144AC"/>
    <w:rsid w:val="00314525"/>
    <w:rsid w:val="00314558"/>
    <w:rsid w:val="003151C6"/>
    <w:rsid w:val="003157D7"/>
    <w:rsid w:val="00315E7E"/>
    <w:rsid w:val="003163AE"/>
    <w:rsid w:val="00316D6E"/>
    <w:rsid w:val="00317C65"/>
    <w:rsid w:val="003201B1"/>
    <w:rsid w:val="00320322"/>
    <w:rsid w:val="00320448"/>
    <w:rsid w:val="003208F2"/>
    <w:rsid w:val="003209DA"/>
    <w:rsid w:val="00320AB1"/>
    <w:rsid w:val="0032103C"/>
    <w:rsid w:val="00321D82"/>
    <w:rsid w:val="00321DFE"/>
    <w:rsid w:val="0032274C"/>
    <w:rsid w:val="00322BE2"/>
    <w:rsid w:val="003234B7"/>
    <w:rsid w:val="0032371F"/>
    <w:rsid w:val="00323D70"/>
    <w:rsid w:val="00324064"/>
    <w:rsid w:val="0032414C"/>
    <w:rsid w:val="003253F0"/>
    <w:rsid w:val="0032576E"/>
    <w:rsid w:val="003259D7"/>
    <w:rsid w:val="00325BCE"/>
    <w:rsid w:val="00325F5C"/>
    <w:rsid w:val="003263BB"/>
    <w:rsid w:val="00326C9B"/>
    <w:rsid w:val="0032750E"/>
    <w:rsid w:val="00327C9C"/>
    <w:rsid w:val="00327D91"/>
    <w:rsid w:val="00330212"/>
    <w:rsid w:val="00330BAD"/>
    <w:rsid w:val="00330F75"/>
    <w:rsid w:val="00331028"/>
    <w:rsid w:val="003313F3"/>
    <w:rsid w:val="00331A5B"/>
    <w:rsid w:val="003321B9"/>
    <w:rsid w:val="0033248F"/>
    <w:rsid w:val="00332820"/>
    <w:rsid w:val="00332EE0"/>
    <w:rsid w:val="0033303D"/>
    <w:rsid w:val="00333229"/>
    <w:rsid w:val="00333FC9"/>
    <w:rsid w:val="00334540"/>
    <w:rsid w:val="00334DA1"/>
    <w:rsid w:val="00335128"/>
    <w:rsid w:val="00335328"/>
    <w:rsid w:val="003356FB"/>
    <w:rsid w:val="00335ADF"/>
    <w:rsid w:val="00336206"/>
    <w:rsid w:val="00336757"/>
    <w:rsid w:val="003403EE"/>
    <w:rsid w:val="00340650"/>
    <w:rsid w:val="0034096B"/>
    <w:rsid w:val="00342962"/>
    <w:rsid w:val="00343277"/>
    <w:rsid w:val="00343622"/>
    <w:rsid w:val="00343B19"/>
    <w:rsid w:val="00343D14"/>
    <w:rsid w:val="00343DDD"/>
    <w:rsid w:val="003444B6"/>
    <w:rsid w:val="003448E7"/>
    <w:rsid w:val="00345066"/>
    <w:rsid w:val="00345149"/>
    <w:rsid w:val="00345630"/>
    <w:rsid w:val="00345BEE"/>
    <w:rsid w:val="003474EA"/>
    <w:rsid w:val="00347941"/>
    <w:rsid w:val="00347FB0"/>
    <w:rsid w:val="003501B2"/>
    <w:rsid w:val="0035036A"/>
    <w:rsid w:val="00350B06"/>
    <w:rsid w:val="00350FE6"/>
    <w:rsid w:val="00351274"/>
    <w:rsid w:val="00351950"/>
    <w:rsid w:val="00352FC7"/>
    <w:rsid w:val="003531E4"/>
    <w:rsid w:val="0035391A"/>
    <w:rsid w:val="00353A55"/>
    <w:rsid w:val="00353CAA"/>
    <w:rsid w:val="00353DCC"/>
    <w:rsid w:val="00354F88"/>
    <w:rsid w:val="003555A5"/>
    <w:rsid w:val="003558E4"/>
    <w:rsid w:val="00356F3C"/>
    <w:rsid w:val="0035775F"/>
    <w:rsid w:val="00357875"/>
    <w:rsid w:val="00357B86"/>
    <w:rsid w:val="00357D0D"/>
    <w:rsid w:val="003603D0"/>
    <w:rsid w:val="00361325"/>
    <w:rsid w:val="00361648"/>
    <w:rsid w:val="00361817"/>
    <w:rsid w:val="003621FE"/>
    <w:rsid w:val="00362581"/>
    <w:rsid w:val="003629F7"/>
    <w:rsid w:val="00362F96"/>
    <w:rsid w:val="00363051"/>
    <w:rsid w:val="0036358C"/>
    <w:rsid w:val="00363795"/>
    <w:rsid w:val="00363D8F"/>
    <w:rsid w:val="00363FF0"/>
    <w:rsid w:val="00364C60"/>
    <w:rsid w:val="00365BD5"/>
    <w:rsid w:val="003665CB"/>
    <w:rsid w:val="003665D1"/>
    <w:rsid w:val="003671AC"/>
    <w:rsid w:val="00370053"/>
    <w:rsid w:val="00370BC2"/>
    <w:rsid w:val="00370BE5"/>
    <w:rsid w:val="00370D54"/>
    <w:rsid w:val="00371793"/>
    <w:rsid w:val="0037190E"/>
    <w:rsid w:val="00372B9F"/>
    <w:rsid w:val="00372D53"/>
    <w:rsid w:val="0037349F"/>
    <w:rsid w:val="0037357C"/>
    <w:rsid w:val="003736F4"/>
    <w:rsid w:val="003738F6"/>
    <w:rsid w:val="00373C16"/>
    <w:rsid w:val="00374412"/>
    <w:rsid w:val="00374ADB"/>
    <w:rsid w:val="00374B30"/>
    <w:rsid w:val="00375394"/>
    <w:rsid w:val="00376157"/>
    <w:rsid w:val="00376443"/>
    <w:rsid w:val="00376C8A"/>
    <w:rsid w:val="00377996"/>
    <w:rsid w:val="00377B7A"/>
    <w:rsid w:val="00377F11"/>
    <w:rsid w:val="00380864"/>
    <w:rsid w:val="00381075"/>
    <w:rsid w:val="00381A05"/>
    <w:rsid w:val="00381BDA"/>
    <w:rsid w:val="00381C7A"/>
    <w:rsid w:val="00382096"/>
    <w:rsid w:val="00382C35"/>
    <w:rsid w:val="00383B77"/>
    <w:rsid w:val="00383F91"/>
    <w:rsid w:val="003840F7"/>
    <w:rsid w:val="00384EC3"/>
    <w:rsid w:val="00384F3E"/>
    <w:rsid w:val="00386671"/>
    <w:rsid w:val="00386A5E"/>
    <w:rsid w:val="00386F23"/>
    <w:rsid w:val="00387844"/>
    <w:rsid w:val="00387D42"/>
    <w:rsid w:val="003900B0"/>
    <w:rsid w:val="00390805"/>
    <w:rsid w:val="00390900"/>
    <w:rsid w:val="00390CDF"/>
    <w:rsid w:val="0039102B"/>
    <w:rsid w:val="0039118C"/>
    <w:rsid w:val="003916EC"/>
    <w:rsid w:val="003919D2"/>
    <w:rsid w:val="00391A3A"/>
    <w:rsid w:val="003921D5"/>
    <w:rsid w:val="0039247D"/>
    <w:rsid w:val="003925D7"/>
    <w:rsid w:val="00392604"/>
    <w:rsid w:val="003928D0"/>
    <w:rsid w:val="003937A9"/>
    <w:rsid w:val="00393AD4"/>
    <w:rsid w:val="00393CA9"/>
    <w:rsid w:val="00393D80"/>
    <w:rsid w:val="003941C4"/>
    <w:rsid w:val="003945F9"/>
    <w:rsid w:val="00394654"/>
    <w:rsid w:val="00394B53"/>
    <w:rsid w:val="00395493"/>
    <w:rsid w:val="00395888"/>
    <w:rsid w:val="0039631C"/>
    <w:rsid w:val="00396AF1"/>
    <w:rsid w:val="00396BC1"/>
    <w:rsid w:val="003973B1"/>
    <w:rsid w:val="0039796A"/>
    <w:rsid w:val="00397D73"/>
    <w:rsid w:val="003A0159"/>
    <w:rsid w:val="003A046D"/>
    <w:rsid w:val="003A04F5"/>
    <w:rsid w:val="003A0D69"/>
    <w:rsid w:val="003A14EF"/>
    <w:rsid w:val="003A167B"/>
    <w:rsid w:val="003A188B"/>
    <w:rsid w:val="003A19E9"/>
    <w:rsid w:val="003A218E"/>
    <w:rsid w:val="003A34F1"/>
    <w:rsid w:val="003A3B37"/>
    <w:rsid w:val="003A4029"/>
    <w:rsid w:val="003A416A"/>
    <w:rsid w:val="003A4696"/>
    <w:rsid w:val="003A5C5B"/>
    <w:rsid w:val="003A64B3"/>
    <w:rsid w:val="003A6D92"/>
    <w:rsid w:val="003A6F52"/>
    <w:rsid w:val="003A7182"/>
    <w:rsid w:val="003A7DC9"/>
    <w:rsid w:val="003B0368"/>
    <w:rsid w:val="003B0835"/>
    <w:rsid w:val="003B0EFB"/>
    <w:rsid w:val="003B10B5"/>
    <w:rsid w:val="003B175E"/>
    <w:rsid w:val="003B2046"/>
    <w:rsid w:val="003B250C"/>
    <w:rsid w:val="003B270A"/>
    <w:rsid w:val="003B2950"/>
    <w:rsid w:val="003B2A8A"/>
    <w:rsid w:val="003B2B18"/>
    <w:rsid w:val="003B3627"/>
    <w:rsid w:val="003B39B2"/>
    <w:rsid w:val="003B3BEC"/>
    <w:rsid w:val="003B3EB7"/>
    <w:rsid w:val="003B4383"/>
    <w:rsid w:val="003B4876"/>
    <w:rsid w:val="003B4988"/>
    <w:rsid w:val="003B58D9"/>
    <w:rsid w:val="003B593F"/>
    <w:rsid w:val="003B5F88"/>
    <w:rsid w:val="003B606A"/>
    <w:rsid w:val="003B7349"/>
    <w:rsid w:val="003C00CC"/>
    <w:rsid w:val="003C0B6A"/>
    <w:rsid w:val="003C1620"/>
    <w:rsid w:val="003C184A"/>
    <w:rsid w:val="003C18B3"/>
    <w:rsid w:val="003C1950"/>
    <w:rsid w:val="003C195B"/>
    <w:rsid w:val="003C199E"/>
    <w:rsid w:val="003C1B60"/>
    <w:rsid w:val="003C2266"/>
    <w:rsid w:val="003C2B23"/>
    <w:rsid w:val="003C3F2B"/>
    <w:rsid w:val="003C4097"/>
    <w:rsid w:val="003C410F"/>
    <w:rsid w:val="003C4DA3"/>
    <w:rsid w:val="003C4F67"/>
    <w:rsid w:val="003C5772"/>
    <w:rsid w:val="003C5CD9"/>
    <w:rsid w:val="003C686B"/>
    <w:rsid w:val="003C726E"/>
    <w:rsid w:val="003C75B0"/>
    <w:rsid w:val="003C7C97"/>
    <w:rsid w:val="003C7EFD"/>
    <w:rsid w:val="003D0F3E"/>
    <w:rsid w:val="003D0F69"/>
    <w:rsid w:val="003D248B"/>
    <w:rsid w:val="003D2711"/>
    <w:rsid w:val="003D34A5"/>
    <w:rsid w:val="003D416C"/>
    <w:rsid w:val="003D47A8"/>
    <w:rsid w:val="003D4A73"/>
    <w:rsid w:val="003D4C05"/>
    <w:rsid w:val="003D53F9"/>
    <w:rsid w:val="003D54F7"/>
    <w:rsid w:val="003D5D01"/>
    <w:rsid w:val="003D6158"/>
    <w:rsid w:val="003D6602"/>
    <w:rsid w:val="003D69ED"/>
    <w:rsid w:val="003D6EBB"/>
    <w:rsid w:val="003D7E86"/>
    <w:rsid w:val="003D7F65"/>
    <w:rsid w:val="003E03D3"/>
    <w:rsid w:val="003E0676"/>
    <w:rsid w:val="003E0C22"/>
    <w:rsid w:val="003E0D45"/>
    <w:rsid w:val="003E1013"/>
    <w:rsid w:val="003E15E2"/>
    <w:rsid w:val="003E183F"/>
    <w:rsid w:val="003E1C3A"/>
    <w:rsid w:val="003E1CE8"/>
    <w:rsid w:val="003E2094"/>
    <w:rsid w:val="003E2744"/>
    <w:rsid w:val="003E2B7A"/>
    <w:rsid w:val="003E3F11"/>
    <w:rsid w:val="003E41F8"/>
    <w:rsid w:val="003E42D2"/>
    <w:rsid w:val="003E47A3"/>
    <w:rsid w:val="003E4B48"/>
    <w:rsid w:val="003E5652"/>
    <w:rsid w:val="003E59EA"/>
    <w:rsid w:val="003E5F19"/>
    <w:rsid w:val="003E6003"/>
    <w:rsid w:val="003E6A33"/>
    <w:rsid w:val="003E71CB"/>
    <w:rsid w:val="003E7478"/>
    <w:rsid w:val="003E7B14"/>
    <w:rsid w:val="003E7C5A"/>
    <w:rsid w:val="003F039D"/>
    <w:rsid w:val="003F0E99"/>
    <w:rsid w:val="003F0EFC"/>
    <w:rsid w:val="003F1FEF"/>
    <w:rsid w:val="003F2036"/>
    <w:rsid w:val="003F3790"/>
    <w:rsid w:val="003F42B8"/>
    <w:rsid w:val="003F4648"/>
    <w:rsid w:val="003F4988"/>
    <w:rsid w:val="003F4CA2"/>
    <w:rsid w:val="003F505E"/>
    <w:rsid w:val="003F5182"/>
    <w:rsid w:val="003F56A1"/>
    <w:rsid w:val="003F5926"/>
    <w:rsid w:val="003F5973"/>
    <w:rsid w:val="003F5BC7"/>
    <w:rsid w:val="003F666D"/>
    <w:rsid w:val="003F6C27"/>
    <w:rsid w:val="003F7174"/>
    <w:rsid w:val="003F7747"/>
    <w:rsid w:val="003F7953"/>
    <w:rsid w:val="003F7956"/>
    <w:rsid w:val="003F7EB4"/>
    <w:rsid w:val="0040028E"/>
    <w:rsid w:val="004008EA"/>
    <w:rsid w:val="0040109C"/>
    <w:rsid w:val="0040112C"/>
    <w:rsid w:val="00401AEF"/>
    <w:rsid w:val="00401F2E"/>
    <w:rsid w:val="00402C0A"/>
    <w:rsid w:val="004031C6"/>
    <w:rsid w:val="00404271"/>
    <w:rsid w:val="00404574"/>
    <w:rsid w:val="004049D2"/>
    <w:rsid w:val="00405315"/>
    <w:rsid w:val="0040555B"/>
    <w:rsid w:val="00405A92"/>
    <w:rsid w:val="0040606F"/>
    <w:rsid w:val="00406FB7"/>
    <w:rsid w:val="004078B9"/>
    <w:rsid w:val="00407C66"/>
    <w:rsid w:val="00410E9F"/>
    <w:rsid w:val="004117B6"/>
    <w:rsid w:val="00412882"/>
    <w:rsid w:val="00412E47"/>
    <w:rsid w:val="004130DB"/>
    <w:rsid w:val="00413CD6"/>
    <w:rsid w:val="00414427"/>
    <w:rsid w:val="004146B0"/>
    <w:rsid w:val="004156DC"/>
    <w:rsid w:val="00415C9F"/>
    <w:rsid w:val="00415E1A"/>
    <w:rsid w:val="004166D6"/>
    <w:rsid w:val="00417262"/>
    <w:rsid w:val="00417679"/>
    <w:rsid w:val="00417B60"/>
    <w:rsid w:val="00417C09"/>
    <w:rsid w:val="00417F28"/>
    <w:rsid w:val="00417F9A"/>
    <w:rsid w:val="00417FE5"/>
    <w:rsid w:val="00420398"/>
    <w:rsid w:val="00420689"/>
    <w:rsid w:val="00420E9C"/>
    <w:rsid w:val="00421529"/>
    <w:rsid w:val="00422194"/>
    <w:rsid w:val="00422307"/>
    <w:rsid w:val="004225D4"/>
    <w:rsid w:val="0042321B"/>
    <w:rsid w:val="00423FF7"/>
    <w:rsid w:val="00424473"/>
    <w:rsid w:val="004248A3"/>
    <w:rsid w:val="00424B5C"/>
    <w:rsid w:val="00424D04"/>
    <w:rsid w:val="004252A1"/>
    <w:rsid w:val="0042555C"/>
    <w:rsid w:val="00425ACB"/>
    <w:rsid w:val="004264CD"/>
    <w:rsid w:val="0042711F"/>
    <w:rsid w:val="00427246"/>
    <w:rsid w:val="00427659"/>
    <w:rsid w:val="004276DB"/>
    <w:rsid w:val="00427AF4"/>
    <w:rsid w:val="0043012F"/>
    <w:rsid w:val="00430654"/>
    <w:rsid w:val="004326E3"/>
    <w:rsid w:val="0043273B"/>
    <w:rsid w:val="00432B6E"/>
    <w:rsid w:val="00432CC9"/>
    <w:rsid w:val="00432F42"/>
    <w:rsid w:val="004331A4"/>
    <w:rsid w:val="00434188"/>
    <w:rsid w:val="0043442F"/>
    <w:rsid w:val="00435326"/>
    <w:rsid w:val="004355B6"/>
    <w:rsid w:val="0043613F"/>
    <w:rsid w:val="00436794"/>
    <w:rsid w:val="00436E51"/>
    <w:rsid w:val="00440124"/>
    <w:rsid w:val="00440234"/>
    <w:rsid w:val="00440F23"/>
    <w:rsid w:val="00441464"/>
    <w:rsid w:val="00442C2E"/>
    <w:rsid w:val="0044302F"/>
    <w:rsid w:val="0044330C"/>
    <w:rsid w:val="00443360"/>
    <w:rsid w:val="00443369"/>
    <w:rsid w:val="00443A64"/>
    <w:rsid w:val="00444678"/>
    <w:rsid w:val="00444943"/>
    <w:rsid w:val="0044500E"/>
    <w:rsid w:val="00445338"/>
    <w:rsid w:val="00445665"/>
    <w:rsid w:val="0044578B"/>
    <w:rsid w:val="00445985"/>
    <w:rsid w:val="00446832"/>
    <w:rsid w:val="00446FDD"/>
    <w:rsid w:val="00447053"/>
    <w:rsid w:val="00447066"/>
    <w:rsid w:val="00447AD3"/>
    <w:rsid w:val="00450291"/>
    <w:rsid w:val="0045043F"/>
    <w:rsid w:val="004505B9"/>
    <w:rsid w:val="004507BA"/>
    <w:rsid w:val="00451401"/>
    <w:rsid w:val="00451BE0"/>
    <w:rsid w:val="00452381"/>
    <w:rsid w:val="004523C5"/>
    <w:rsid w:val="004529D3"/>
    <w:rsid w:val="00452C95"/>
    <w:rsid w:val="00453277"/>
    <w:rsid w:val="00453960"/>
    <w:rsid w:val="00454B6E"/>
    <w:rsid w:val="00456067"/>
    <w:rsid w:val="00456604"/>
    <w:rsid w:val="00456695"/>
    <w:rsid w:val="00457639"/>
    <w:rsid w:val="004576BB"/>
    <w:rsid w:val="00457706"/>
    <w:rsid w:val="00457AC8"/>
    <w:rsid w:val="00457C57"/>
    <w:rsid w:val="00457C5A"/>
    <w:rsid w:val="004600CA"/>
    <w:rsid w:val="00460AB1"/>
    <w:rsid w:val="004611A5"/>
    <w:rsid w:val="0046132E"/>
    <w:rsid w:val="0046205C"/>
    <w:rsid w:val="0046237D"/>
    <w:rsid w:val="00463549"/>
    <w:rsid w:val="00463675"/>
    <w:rsid w:val="004636D7"/>
    <w:rsid w:val="00463920"/>
    <w:rsid w:val="00464149"/>
    <w:rsid w:val="004649FB"/>
    <w:rsid w:val="00464C03"/>
    <w:rsid w:val="00465388"/>
    <w:rsid w:val="004668B4"/>
    <w:rsid w:val="00466C52"/>
    <w:rsid w:val="00466D97"/>
    <w:rsid w:val="00466DED"/>
    <w:rsid w:val="0046711C"/>
    <w:rsid w:val="00467132"/>
    <w:rsid w:val="00467E3C"/>
    <w:rsid w:val="0047028E"/>
    <w:rsid w:val="0047046B"/>
    <w:rsid w:val="00470921"/>
    <w:rsid w:val="0047104C"/>
    <w:rsid w:val="00471094"/>
    <w:rsid w:val="00471496"/>
    <w:rsid w:val="00471906"/>
    <w:rsid w:val="00471C31"/>
    <w:rsid w:val="00471C93"/>
    <w:rsid w:val="00471E1E"/>
    <w:rsid w:val="00472109"/>
    <w:rsid w:val="0047239A"/>
    <w:rsid w:val="00472653"/>
    <w:rsid w:val="00472826"/>
    <w:rsid w:val="00472AAE"/>
    <w:rsid w:val="00472DB3"/>
    <w:rsid w:val="00473ECA"/>
    <w:rsid w:val="00475074"/>
    <w:rsid w:val="00475BBA"/>
    <w:rsid w:val="00476927"/>
    <w:rsid w:val="0047693B"/>
    <w:rsid w:val="004769E3"/>
    <w:rsid w:val="00476A4E"/>
    <w:rsid w:val="00476B94"/>
    <w:rsid w:val="00477282"/>
    <w:rsid w:val="00477A30"/>
    <w:rsid w:val="00477B10"/>
    <w:rsid w:val="00477CBC"/>
    <w:rsid w:val="0048010C"/>
    <w:rsid w:val="00480DAA"/>
    <w:rsid w:val="004826A8"/>
    <w:rsid w:val="00482CB0"/>
    <w:rsid w:val="00483071"/>
    <w:rsid w:val="00483187"/>
    <w:rsid w:val="004839A6"/>
    <w:rsid w:val="00483AE3"/>
    <w:rsid w:val="00483B11"/>
    <w:rsid w:val="00483D38"/>
    <w:rsid w:val="00484092"/>
    <w:rsid w:val="00484784"/>
    <w:rsid w:val="00484B0B"/>
    <w:rsid w:val="00484B8D"/>
    <w:rsid w:val="00484FBC"/>
    <w:rsid w:val="004854A0"/>
    <w:rsid w:val="00485A5D"/>
    <w:rsid w:val="00485FD9"/>
    <w:rsid w:val="004862EE"/>
    <w:rsid w:val="004867BD"/>
    <w:rsid w:val="004867F1"/>
    <w:rsid w:val="00486A7D"/>
    <w:rsid w:val="00487454"/>
    <w:rsid w:val="00487639"/>
    <w:rsid w:val="00487C9C"/>
    <w:rsid w:val="00490331"/>
    <w:rsid w:val="004908CD"/>
    <w:rsid w:val="004916AE"/>
    <w:rsid w:val="00491CBC"/>
    <w:rsid w:val="0049345A"/>
    <w:rsid w:val="00493BA4"/>
    <w:rsid w:val="00493F76"/>
    <w:rsid w:val="00494151"/>
    <w:rsid w:val="00494326"/>
    <w:rsid w:val="0049441E"/>
    <w:rsid w:val="00494617"/>
    <w:rsid w:val="0049472B"/>
    <w:rsid w:val="004948F8"/>
    <w:rsid w:val="00494939"/>
    <w:rsid w:val="00495084"/>
    <w:rsid w:val="0049582F"/>
    <w:rsid w:val="00495873"/>
    <w:rsid w:val="00495E0E"/>
    <w:rsid w:val="00495E8D"/>
    <w:rsid w:val="00496046"/>
    <w:rsid w:val="00496690"/>
    <w:rsid w:val="00497249"/>
    <w:rsid w:val="004A02AD"/>
    <w:rsid w:val="004A044A"/>
    <w:rsid w:val="004A09D5"/>
    <w:rsid w:val="004A1BD0"/>
    <w:rsid w:val="004A1F21"/>
    <w:rsid w:val="004A23A7"/>
    <w:rsid w:val="004A25B5"/>
    <w:rsid w:val="004A2984"/>
    <w:rsid w:val="004A34D7"/>
    <w:rsid w:val="004A40ED"/>
    <w:rsid w:val="004A5583"/>
    <w:rsid w:val="004A56CD"/>
    <w:rsid w:val="004A5BA5"/>
    <w:rsid w:val="004A7E86"/>
    <w:rsid w:val="004A7FF0"/>
    <w:rsid w:val="004B03D0"/>
    <w:rsid w:val="004B092C"/>
    <w:rsid w:val="004B0B2C"/>
    <w:rsid w:val="004B168A"/>
    <w:rsid w:val="004B1C3D"/>
    <w:rsid w:val="004B1E96"/>
    <w:rsid w:val="004B295C"/>
    <w:rsid w:val="004B296B"/>
    <w:rsid w:val="004B2A0D"/>
    <w:rsid w:val="004B306E"/>
    <w:rsid w:val="004B39E5"/>
    <w:rsid w:val="004B40A4"/>
    <w:rsid w:val="004B4202"/>
    <w:rsid w:val="004B4D95"/>
    <w:rsid w:val="004B61AA"/>
    <w:rsid w:val="004B7717"/>
    <w:rsid w:val="004C0084"/>
    <w:rsid w:val="004C070D"/>
    <w:rsid w:val="004C078E"/>
    <w:rsid w:val="004C1E15"/>
    <w:rsid w:val="004C24E6"/>
    <w:rsid w:val="004C2A69"/>
    <w:rsid w:val="004C2FE9"/>
    <w:rsid w:val="004C336B"/>
    <w:rsid w:val="004C35E0"/>
    <w:rsid w:val="004C380B"/>
    <w:rsid w:val="004C463F"/>
    <w:rsid w:val="004C4B5C"/>
    <w:rsid w:val="004C4E92"/>
    <w:rsid w:val="004C4F38"/>
    <w:rsid w:val="004C5014"/>
    <w:rsid w:val="004C6011"/>
    <w:rsid w:val="004C6442"/>
    <w:rsid w:val="004C692C"/>
    <w:rsid w:val="004C6A61"/>
    <w:rsid w:val="004C6C5A"/>
    <w:rsid w:val="004C7A3F"/>
    <w:rsid w:val="004C7DDF"/>
    <w:rsid w:val="004D0118"/>
    <w:rsid w:val="004D133E"/>
    <w:rsid w:val="004D155F"/>
    <w:rsid w:val="004D1A2D"/>
    <w:rsid w:val="004D1AD2"/>
    <w:rsid w:val="004D1E0A"/>
    <w:rsid w:val="004D2356"/>
    <w:rsid w:val="004D243B"/>
    <w:rsid w:val="004D2657"/>
    <w:rsid w:val="004D27E7"/>
    <w:rsid w:val="004D2EC6"/>
    <w:rsid w:val="004D2FC2"/>
    <w:rsid w:val="004D3F7C"/>
    <w:rsid w:val="004D43E0"/>
    <w:rsid w:val="004D47D2"/>
    <w:rsid w:val="004D4B37"/>
    <w:rsid w:val="004D4DB0"/>
    <w:rsid w:val="004D4F83"/>
    <w:rsid w:val="004D59E5"/>
    <w:rsid w:val="004D5CBC"/>
    <w:rsid w:val="004D5ED3"/>
    <w:rsid w:val="004D6225"/>
    <w:rsid w:val="004D6368"/>
    <w:rsid w:val="004D63BC"/>
    <w:rsid w:val="004D7945"/>
    <w:rsid w:val="004D796D"/>
    <w:rsid w:val="004D7CB4"/>
    <w:rsid w:val="004E0170"/>
    <w:rsid w:val="004E07A9"/>
    <w:rsid w:val="004E0FDE"/>
    <w:rsid w:val="004E1360"/>
    <w:rsid w:val="004E143A"/>
    <w:rsid w:val="004E148A"/>
    <w:rsid w:val="004E296A"/>
    <w:rsid w:val="004E30F9"/>
    <w:rsid w:val="004E3694"/>
    <w:rsid w:val="004E3B89"/>
    <w:rsid w:val="004E3C42"/>
    <w:rsid w:val="004E3C94"/>
    <w:rsid w:val="004E418A"/>
    <w:rsid w:val="004E4256"/>
    <w:rsid w:val="004E4643"/>
    <w:rsid w:val="004E4B32"/>
    <w:rsid w:val="004E4D51"/>
    <w:rsid w:val="004E4F72"/>
    <w:rsid w:val="004E5A7B"/>
    <w:rsid w:val="004E5B94"/>
    <w:rsid w:val="004E62DF"/>
    <w:rsid w:val="004E6410"/>
    <w:rsid w:val="004E6971"/>
    <w:rsid w:val="004E6F2E"/>
    <w:rsid w:val="004E7766"/>
    <w:rsid w:val="004F072E"/>
    <w:rsid w:val="004F1401"/>
    <w:rsid w:val="004F1CC9"/>
    <w:rsid w:val="004F1FC0"/>
    <w:rsid w:val="004F2AEA"/>
    <w:rsid w:val="004F30F7"/>
    <w:rsid w:val="004F3241"/>
    <w:rsid w:val="004F32D4"/>
    <w:rsid w:val="004F347D"/>
    <w:rsid w:val="004F4B9E"/>
    <w:rsid w:val="004F4F5F"/>
    <w:rsid w:val="004F4FAF"/>
    <w:rsid w:val="004F56BF"/>
    <w:rsid w:val="004F5903"/>
    <w:rsid w:val="004F5B7E"/>
    <w:rsid w:val="004F66A4"/>
    <w:rsid w:val="004F6A23"/>
    <w:rsid w:val="004F777C"/>
    <w:rsid w:val="004F7D0C"/>
    <w:rsid w:val="005002A2"/>
    <w:rsid w:val="00500840"/>
    <w:rsid w:val="00500F78"/>
    <w:rsid w:val="0050114C"/>
    <w:rsid w:val="005011F6"/>
    <w:rsid w:val="0050272E"/>
    <w:rsid w:val="00502A89"/>
    <w:rsid w:val="00503FAD"/>
    <w:rsid w:val="005042FD"/>
    <w:rsid w:val="00504E36"/>
    <w:rsid w:val="00504FC5"/>
    <w:rsid w:val="0050649A"/>
    <w:rsid w:val="00506FB3"/>
    <w:rsid w:val="00506FC0"/>
    <w:rsid w:val="0050740B"/>
    <w:rsid w:val="00507482"/>
    <w:rsid w:val="00510B17"/>
    <w:rsid w:val="00510CC7"/>
    <w:rsid w:val="005111F7"/>
    <w:rsid w:val="0051148A"/>
    <w:rsid w:val="00511778"/>
    <w:rsid w:val="005125C8"/>
    <w:rsid w:val="0051282B"/>
    <w:rsid w:val="00512845"/>
    <w:rsid w:val="00513123"/>
    <w:rsid w:val="00513755"/>
    <w:rsid w:val="00513B4B"/>
    <w:rsid w:val="00513BAE"/>
    <w:rsid w:val="00513E1F"/>
    <w:rsid w:val="0051405F"/>
    <w:rsid w:val="00514117"/>
    <w:rsid w:val="00514768"/>
    <w:rsid w:val="00514909"/>
    <w:rsid w:val="00514BF0"/>
    <w:rsid w:val="0051548E"/>
    <w:rsid w:val="00515CDB"/>
    <w:rsid w:val="00515DAD"/>
    <w:rsid w:val="00515F4D"/>
    <w:rsid w:val="00515F87"/>
    <w:rsid w:val="00515FBE"/>
    <w:rsid w:val="005160C9"/>
    <w:rsid w:val="00516307"/>
    <w:rsid w:val="005165C1"/>
    <w:rsid w:val="00516B5A"/>
    <w:rsid w:val="00517598"/>
    <w:rsid w:val="005176F3"/>
    <w:rsid w:val="005201DC"/>
    <w:rsid w:val="0052086A"/>
    <w:rsid w:val="0052139C"/>
    <w:rsid w:val="00522392"/>
    <w:rsid w:val="00522395"/>
    <w:rsid w:val="0052358F"/>
    <w:rsid w:val="00523FAB"/>
    <w:rsid w:val="00524425"/>
    <w:rsid w:val="0052458F"/>
    <w:rsid w:val="00524BAC"/>
    <w:rsid w:val="0052543E"/>
    <w:rsid w:val="00526536"/>
    <w:rsid w:val="005265BF"/>
    <w:rsid w:val="00526941"/>
    <w:rsid w:val="00526F9D"/>
    <w:rsid w:val="00527267"/>
    <w:rsid w:val="0052730C"/>
    <w:rsid w:val="00527AD4"/>
    <w:rsid w:val="00527D6A"/>
    <w:rsid w:val="00527D85"/>
    <w:rsid w:val="00530C2D"/>
    <w:rsid w:val="00532141"/>
    <w:rsid w:val="005325AA"/>
    <w:rsid w:val="005325C2"/>
    <w:rsid w:val="0053269A"/>
    <w:rsid w:val="005330A3"/>
    <w:rsid w:val="00533898"/>
    <w:rsid w:val="00533DC4"/>
    <w:rsid w:val="00534398"/>
    <w:rsid w:val="00535818"/>
    <w:rsid w:val="00535C38"/>
    <w:rsid w:val="00535D06"/>
    <w:rsid w:val="00536332"/>
    <w:rsid w:val="005364E5"/>
    <w:rsid w:val="00536BF1"/>
    <w:rsid w:val="00536EF3"/>
    <w:rsid w:val="00537269"/>
    <w:rsid w:val="005378D7"/>
    <w:rsid w:val="005408B5"/>
    <w:rsid w:val="00540996"/>
    <w:rsid w:val="00540C9D"/>
    <w:rsid w:val="00540EDE"/>
    <w:rsid w:val="005410A5"/>
    <w:rsid w:val="005411B3"/>
    <w:rsid w:val="005411EA"/>
    <w:rsid w:val="00541203"/>
    <w:rsid w:val="00541246"/>
    <w:rsid w:val="0054146C"/>
    <w:rsid w:val="00541C8A"/>
    <w:rsid w:val="00541EBD"/>
    <w:rsid w:val="00542622"/>
    <w:rsid w:val="00542AD7"/>
    <w:rsid w:val="005431C2"/>
    <w:rsid w:val="005434D6"/>
    <w:rsid w:val="005436F2"/>
    <w:rsid w:val="00543A82"/>
    <w:rsid w:val="00543B98"/>
    <w:rsid w:val="00543CA0"/>
    <w:rsid w:val="00544249"/>
    <w:rsid w:val="00545257"/>
    <w:rsid w:val="005455A4"/>
    <w:rsid w:val="00545996"/>
    <w:rsid w:val="00546796"/>
    <w:rsid w:val="005467A7"/>
    <w:rsid w:val="00547585"/>
    <w:rsid w:val="00547781"/>
    <w:rsid w:val="0055010F"/>
    <w:rsid w:val="00550205"/>
    <w:rsid w:val="00550374"/>
    <w:rsid w:val="00551074"/>
    <w:rsid w:val="005510CE"/>
    <w:rsid w:val="005514D2"/>
    <w:rsid w:val="005518A5"/>
    <w:rsid w:val="00551ECA"/>
    <w:rsid w:val="005520C5"/>
    <w:rsid w:val="005525BC"/>
    <w:rsid w:val="00552DE2"/>
    <w:rsid w:val="00552FF3"/>
    <w:rsid w:val="00553231"/>
    <w:rsid w:val="00553326"/>
    <w:rsid w:val="00553FEA"/>
    <w:rsid w:val="005540BB"/>
    <w:rsid w:val="0055470B"/>
    <w:rsid w:val="00554856"/>
    <w:rsid w:val="00555017"/>
    <w:rsid w:val="00555245"/>
    <w:rsid w:val="00555B1B"/>
    <w:rsid w:val="0055602E"/>
    <w:rsid w:val="00556263"/>
    <w:rsid w:val="005568B7"/>
    <w:rsid w:val="005570CA"/>
    <w:rsid w:val="0055778E"/>
    <w:rsid w:val="0055782A"/>
    <w:rsid w:val="00561A50"/>
    <w:rsid w:val="00561E06"/>
    <w:rsid w:val="0056212E"/>
    <w:rsid w:val="00562689"/>
    <w:rsid w:val="005634E6"/>
    <w:rsid w:val="005636A3"/>
    <w:rsid w:val="00563806"/>
    <w:rsid w:val="0056478E"/>
    <w:rsid w:val="00564F47"/>
    <w:rsid w:val="0056515C"/>
    <w:rsid w:val="00565A56"/>
    <w:rsid w:val="00565E1C"/>
    <w:rsid w:val="0056619E"/>
    <w:rsid w:val="00566423"/>
    <w:rsid w:val="005664C0"/>
    <w:rsid w:val="0056712D"/>
    <w:rsid w:val="005674F5"/>
    <w:rsid w:val="0056769C"/>
    <w:rsid w:val="00567D79"/>
    <w:rsid w:val="0057067B"/>
    <w:rsid w:val="005708E2"/>
    <w:rsid w:val="00570BCA"/>
    <w:rsid w:val="00570C91"/>
    <w:rsid w:val="00570E49"/>
    <w:rsid w:val="0057220E"/>
    <w:rsid w:val="00572479"/>
    <w:rsid w:val="0057249E"/>
    <w:rsid w:val="00573330"/>
    <w:rsid w:val="00573894"/>
    <w:rsid w:val="005747A8"/>
    <w:rsid w:val="00575169"/>
    <w:rsid w:val="0057520A"/>
    <w:rsid w:val="00575475"/>
    <w:rsid w:val="005757FC"/>
    <w:rsid w:val="005761F3"/>
    <w:rsid w:val="00576958"/>
    <w:rsid w:val="00576DA9"/>
    <w:rsid w:val="0057728C"/>
    <w:rsid w:val="005772DD"/>
    <w:rsid w:val="00577DC1"/>
    <w:rsid w:val="00577E98"/>
    <w:rsid w:val="005805C0"/>
    <w:rsid w:val="00580CD7"/>
    <w:rsid w:val="00580DBD"/>
    <w:rsid w:val="00581218"/>
    <w:rsid w:val="00581221"/>
    <w:rsid w:val="00581616"/>
    <w:rsid w:val="00581CB3"/>
    <w:rsid w:val="00581F3A"/>
    <w:rsid w:val="0058209F"/>
    <w:rsid w:val="00582419"/>
    <w:rsid w:val="00582579"/>
    <w:rsid w:val="0058301D"/>
    <w:rsid w:val="0058304C"/>
    <w:rsid w:val="00583883"/>
    <w:rsid w:val="00583BCC"/>
    <w:rsid w:val="00583E06"/>
    <w:rsid w:val="005846CA"/>
    <w:rsid w:val="0058513C"/>
    <w:rsid w:val="005858F7"/>
    <w:rsid w:val="00585A04"/>
    <w:rsid w:val="00585B5D"/>
    <w:rsid w:val="00585DA2"/>
    <w:rsid w:val="00586254"/>
    <w:rsid w:val="005862F9"/>
    <w:rsid w:val="0058691F"/>
    <w:rsid w:val="005869C1"/>
    <w:rsid w:val="00590278"/>
    <w:rsid w:val="0059052C"/>
    <w:rsid w:val="0059062B"/>
    <w:rsid w:val="00590D58"/>
    <w:rsid w:val="005924F7"/>
    <w:rsid w:val="005927CD"/>
    <w:rsid w:val="00592FA8"/>
    <w:rsid w:val="005934DC"/>
    <w:rsid w:val="005935D1"/>
    <w:rsid w:val="00593762"/>
    <w:rsid w:val="00593CD1"/>
    <w:rsid w:val="00593FC5"/>
    <w:rsid w:val="005943D8"/>
    <w:rsid w:val="0059440C"/>
    <w:rsid w:val="005949DD"/>
    <w:rsid w:val="005952CE"/>
    <w:rsid w:val="005954B3"/>
    <w:rsid w:val="00595859"/>
    <w:rsid w:val="005961CC"/>
    <w:rsid w:val="00596323"/>
    <w:rsid w:val="005969E5"/>
    <w:rsid w:val="00596A8A"/>
    <w:rsid w:val="00597828"/>
    <w:rsid w:val="00597E83"/>
    <w:rsid w:val="005A04BF"/>
    <w:rsid w:val="005A0B72"/>
    <w:rsid w:val="005A13ED"/>
    <w:rsid w:val="005A15A2"/>
    <w:rsid w:val="005A17FF"/>
    <w:rsid w:val="005A199D"/>
    <w:rsid w:val="005A1AE0"/>
    <w:rsid w:val="005A2BD2"/>
    <w:rsid w:val="005A396B"/>
    <w:rsid w:val="005A3C0B"/>
    <w:rsid w:val="005A3C48"/>
    <w:rsid w:val="005A4629"/>
    <w:rsid w:val="005A52A9"/>
    <w:rsid w:val="005A5541"/>
    <w:rsid w:val="005A5DC0"/>
    <w:rsid w:val="005A60B3"/>
    <w:rsid w:val="005A645B"/>
    <w:rsid w:val="005A6522"/>
    <w:rsid w:val="005A6899"/>
    <w:rsid w:val="005A6CDB"/>
    <w:rsid w:val="005A6ECB"/>
    <w:rsid w:val="005A7310"/>
    <w:rsid w:val="005A7412"/>
    <w:rsid w:val="005A748C"/>
    <w:rsid w:val="005A78A5"/>
    <w:rsid w:val="005B02B6"/>
    <w:rsid w:val="005B0470"/>
    <w:rsid w:val="005B04EB"/>
    <w:rsid w:val="005B0908"/>
    <w:rsid w:val="005B0C24"/>
    <w:rsid w:val="005B14E4"/>
    <w:rsid w:val="005B2548"/>
    <w:rsid w:val="005B26B2"/>
    <w:rsid w:val="005B2C8A"/>
    <w:rsid w:val="005B33DB"/>
    <w:rsid w:val="005B3C39"/>
    <w:rsid w:val="005B3F44"/>
    <w:rsid w:val="005B4850"/>
    <w:rsid w:val="005B4A6C"/>
    <w:rsid w:val="005B4FCB"/>
    <w:rsid w:val="005B53B0"/>
    <w:rsid w:val="005B55F5"/>
    <w:rsid w:val="005B5A04"/>
    <w:rsid w:val="005B6991"/>
    <w:rsid w:val="005B6DED"/>
    <w:rsid w:val="005B72BB"/>
    <w:rsid w:val="005B7B2D"/>
    <w:rsid w:val="005B7BCA"/>
    <w:rsid w:val="005C03E2"/>
    <w:rsid w:val="005C0A0B"/>
    <w:rsid w:val="005C1778"/>
    <w:rsid w:val="005C201B"/>
    <w:rsid w:val="005C233B"/>
    <w:rsid w:val="005C2ACD"/>
    <w:rsid w:val="005C2F7D"/>
    <w:rsid w:val="005C2FCE"/>
    <w:rsid w:val="005C34C5"/>
    <w:rsid w:val="005C34E0"/>
    <w:rsid w:val="005C37F0"/>
    <w:rsid w:val="005C3DB1"/>
    <w:rsid w:val="005C3FD6"/>
    <w:rsid w:val="005C56A5"/>
    <w:rsid w:val="005C649C"/>
    <w:rsid w:val="005C6650"/>
    <w:rsid w:val="005C68CA"/>
    <w:rsid w:val="005C729A"/>
    <w:rsid w:val="005C77EC"/>
    <w:rsid w:val="005C7FC0"/>
    <w:rsid w:val="005D06CD"/>
    <w:rsid w:val="005D09E1"/>
    <w:rsid w:val="005D16E7"/>
    <w:rsid w:val="005D28B3"/>
    <w:rsid w:val="005D29B4"/>
    <w:rsid w:val="005D2AE0"/>
    <w:rsid w:val="005D2D79"/>
    <w:rsid w:val="005D3000"/>
    <w:rsid w:val="005D3C23"/>
    <w:rsid w:val="005D3D9A"/>
    <w:rsid w:val="005D3E2B"/>
    <w:rsid w:val="005D40E9"/>
    <w:rsid w:val="005D4454"/>
    <w:rsid w:val="005D5169"/>
    <w:rsid w:val="005D5FEB"/>
    <w:rsid w:val="005D623C"/>
    <w:rsid w:val="005D62E2"/>
    <w:rsid w:val="005D656D"/>
    <w:rsid w:val="005D7A03"/>
    <w:rsid w:val="005D7D7E"/>
    <w:rsid w:val="005E0352"/>
    <w:rsid w:val="005E0357"/>
    <w:rsid w:val="005E109D"/>
    <w:rsid w:val="005E1220"/>
    <w:rsid w:val="005E1332"/>
    <w:rsid w:val="005E1361"/>
    <w:rsid w:val="005E13F2"/>
    <w:rsid w:val="005E1E23"/>
    <w:rsid w:val="005E1F05"/>
    <w:rsid w:val="005E27E4"/>
    <w:rsid w:val="005E2BE2"/>
    <w:rsid w:val="005E3976"/>
    <w:rsid w:val="005E3978"/>
    <w:rsid w:val="005E3DF2"/>
    <w:rsid w:val="005E4CDC"/>
    <w:rsid w:val="005E4D58"/>
    <w:rsid w:val="005E4E0A"/>
    <w:rsid w:val="005E5260"/>
    <w:rsid w:val="005E5A0A"/>
    <w:rsid w:val="005E6101"/>
    <w:rsid w:val="005E64DB"/>
    <w:rsid w:val="005E68FF"/>
    <w:rsid w:val="005E6CD4"/>
    <w:rsid w:val="005E6D47"/>
    <w:rsid w:val="005E7670"/>
    <w:rsid w:val="005E7F09"/>
    <w:rsid w:val="005F050F"/>
    <w:rsid w:val="005F083B"/>
    <w:rsid w:val="005F1651"/>
    <w:rsid w:val="005F16F9"/>
    <w:rsid w:val="005F1E13"/>
    <w:rsid w:val="005F200C"/>
    <w:rsid w:val="005F2495"/>
    <w:rsid w:val="005F3788"/>
    <w:rsid w:val="005F3F9B"/>
    <w:rsid w:val="005F4444"/>
    <w:rsid w:val="005F4E4F"/>
    <w:rsid w:val="005F5001"/>
    <w:rsid w:val="005F55BD"/>
    <w:rsid w:val="005F5650"/>
    <w:rsid w:val="005F5A05"/>
    <w:rsid w:val="005F6B84"/>
    <w:rsid w:val="005F6F88"/>
    <w:rsid w:val="005F70A6"/>
    <w:rsid w:val="005F7EF6"/>
    <w:rsid w:val="00600608"/>
    <w:rsid w:val="006010AC"/>
    <w:rsid w:val="00601727"/>
    <w:rsid w:val="00601872"/>
    <w:rsid w:val="00602CA3"/>
    <w:rsid w:val="00605C3B"/>
    <w:rsid w:val="00606789"/>
    <w:rsid w:val="00606923"/>
    <w:rsid w:val="00606CA4"/>
    <w:rsid w:val="00607288"/>
    <w:rsid w:val="006077AD"/>
    <w:rsid w:val="00607BD9"/>
    <w:rsid w:val="00607CF4"/>
    <w:rsid w:val="0061081D"/>
    <w:rsid w:val="00610841"/>
    <w:rsid w:val="00611586"/>
    <w:rsid w:val="00611801"/>
    <w:rsid w:val="00611925"/>
    <w:rsid w:val="006122D3"/>
    <w:rsid w:val="0061250E"/>
    <w:rsid w:val="0061260A"/>
    <w:rsid w:val="00612A91"/>
    <w:rsid w:val="00612B41"/>
    <w:rsid w:val="00612E93"/>
    <w:rsid w:val="00614739"/>
    <w:rsid w:val="00615C31"/>
    <w:rsid w:val="00615C4F"/>
    <w:rsid w:val="0061602D"/>
    <w:rsid w:val="00616056"/>
    <w:rsid w:val="00616AD3"/>
    <w:rsid w:val="00616D4E"/>
    <w:rsid w:val="006170E6"/>
    <w:rsid w:val="00617BC6"/>
    <w:rsid w:val="00617DCD"/>
    <w:rsid w:val="0062011F"/>
    <w:rsid w:val="00620763"/>
    <w:rsid w:val="00620BF2"/>
    <w:rsid w:val="0062141F"/>
    <w:rsid w:val="0062217C"/>
    <w:rsid w:val="00622AB7"/>
    <w:rsid w:val="00623A01"/>
    <w:rsid w:val="00623C82"/>
    <w:rsid w:val="00623DC0"/>
    <w:rsid w:val="006252BA"/>
    <w:rsid w:val="00625855"/>
    <w:rsid w:val="00626420"/>
    <w:rsid w:val="006266FA"/>
    <w:rsid w:val="006277CA"/>
    <w:rsid w:val="00627A29"/>
    <w:rsid w:val="0063175F"/>
    <w:rsid w:val="006322EB"/>
    <w:rsid w:val="006324FB"/>
    <w:rsid w:val="00632833"/>
    <w:rsid w:val="006333A3"/>
    <w:rsid w:val="0063384F"/>
    <w:rsid w:val="00634A29"/>
    <w:rsid w:val="00635727"/>
    <w:rsid w:val="006357A5"/>
    <w:rsid w:val="0063606F"/>
    <w:rsid w:val="00636529"/>
    <w:rsid w:val="00636E50"/>
    <w:rsid w:val="006377B0"/>
    <w:rsid w:val="00640406"/>
    <w:rsid w:val="0064117C"/>
    <w:rsid w:val="00642370"/>
    <w:rsid w:val="0064346B"/>
    <w:rsid w:val="00643744"/>
    <w:rsid w:val="00643A6C"/>
    <w:rsid w:val="006442BD"/>
    <w:rsid w:val="00644B33"/>
    <w:rsid w:val="00644C23"/>
    <w:rsid w:val="0064680D"/>
    <w:rsid w:val="00646D82"/>
    <w:rsid w:val="00646DF1"/>
    <w:rsid w:val="00646DF3"/>
    <w:rsid w:val="00646F1E"/>
    <w:rsid w:val="00646FCE"/>
    <w:rsid w:val="0064732D"/>
    <w:rsid w:val="00650580"/>
    <w:rsid w:val="00650DFB"/>
    <w:rsid w:val="00651184"/>
    <w:rsid w:val="0065144D"/>
    <w:rsid w:val="00651F8B"/>
    <w:rsid w:val="00652090"/>
    <w:rsid w:val="00652263"/>
    <w:rsid w:val="00652CC8"/>
    <w:rsid w:val="0065317F"/>
    <w:rsid w:val="00653792"/>
    <w:rsid w:val="00653A71"/>
    <w:rsid w:val="00653AA2"/>
    <w:rsid w:val="006548A2"/>
    <w:rsid w:val="006548D8"/>
    <w:rsid w:val="006551C2"/>
    <w:rsid w:val="00655322"/>
    <w:rsid w:val="006553D0"/>
    <w:rsid w:val="00655A56"/>
    <w:rsid w:val="00655E47"/>
    <w:rsid w:val="00655FA6"/>
    <w:rsid w:val="0065759A"/>
    <w:rsid w:val="006600FD"/>
    <w:rsid w:val="0066049F"/>
    <w:rsid w:val="006609A6"/>
    <w:rsid w:val="00661614"/>
    <w:rsid w:val="00661660"/>
    <w:rsid w:val="00661A81"/>
    <w:rsid w:val="00661BFA"/>
    <w:rsid w:val="006620C2"/>
    <w:rsid w:val="006637A5"/>
    <w:rsid w:val="00663C10"/>
    <w:rsid w:val="00664278"/>
    <w:rsid w:val="006647EE"/>
    <w:rsid w:val="00664F81"/>
    <w:rsid w:val="006654B6"/>
    <w:rsid w:val="006660FD"/>
    <w:rsid w:val="00667290"/>
    <w:rsid w:val="006672F5"/>
    <w:rsid w:val="0066736A"/>
    <w:rsid w:val="00667BA9"/>
    <w:rsid w:val="006705DC"/>
    <w:rsid w:val="006708E9"/>
    <w:rsid w:val="00671012"/>
    <w:rsid w:val="006713C3"/>
    <w:rsid w:val="00671643"/>
    <w:rsid w:val="0067184D"/>
    <w:rsid w:val="00671852"/>
    <w:rsid w:val="006730DD"/>
    <w:rsid w:val="006731AC"/>
    <w:rsid w:val="00673A89"/>
    <w:rsid w:val="006741A7"/>
    <w:rsid w:val="00674CAB"/>
    <w:rsid w:val="00674F43"/>
    <w:rsid w:val="00675381"/>
    <w:rsid w:val="006761BA"/>
    <w:rsid w:val="006767BB"/>
    <w:rsid w:val="00676EEC"/>
    <w:rsid w:val="00676F92"/>
    <w:rsid w:val="00677018"/>
    <w:rsid w:val="00677CBA"/>
    <w:rsid w:val="00677DEA"/>
    <w:rsid w:val="00680915"/>
    <w:rsid w:val="00680EB4"/>
    <w:rsid w:val="0068114D"/>
    <w:rsid w:val="00681BD5"/>
    <w:rsid w:val="00681E14"/>
    <w:rsid w:val="00682489"/>
    <w:rsid w:val="006825E8"/>
    <w:rsid w:val="00682E4F"/>
    <w:rsid w:val="00683475"/>
    <w:rsid w:val="00683B45"/>
    <w:rsid w:val="00684121"/>
    <w:rsid w:val="00684181"/>
    <w:rsid w:val="006848C0"/>
    <w:rsid w:val="006851A0"/>
    <w:rsid w:val="00685C03"/>
    <w:rsid w:val="00685C2F"/>
    <w:rsid w:val="00685FD4"/>
    <w:rsid w:val="0068680B"/>
    <w:rsid w:val="00687EB0"/>
    <w:rsid w:val="00687F09"/>
    <w:rsid w:val="00690141"/>
    <w:rsid w:val="0069054F"/>
    <w:rsid w:val="00691386"/>
    <w:rsid w:val="00691778"/>
    <w:rsid w:val="00691860"/>
    <w:rsid w:val="00691BC9"/>
    <w:rsid w:val="00691EB2"/>
    <w:rsid w:val="0069220D"/>
    <w:rsid w:val="00692367"/>
    <w:rsid w:val="00692592"/>
    <w:rsid w:val="00692939"/>
    <w:rsid w:val="006930CE"/>
    <w:rsid w:val="00693AA0"/>
    <w:rsid w:val="0069410C"/>
    <w:rsid w:val="00694223"/>
    <w:rsid w:val="0069434F"/>
    <w:rsid w:val="00694745"/>
    <w:rsid w:val="006950C4"/>
    <w:rsid w:val="0069516D"/>
    <w:rsid w:val="006951F4"/>
    <w:rsid w:val="00695386"/>
    <w:rsid w:val="006953F4"/>
    <w:rsid w:val="00695975"/>
    <w:rsid w:val="00695FDE"/>
    <w:rsid w:val="006961C6"/>
    <w:rsid w:val="006969C4"/>
    <w:rsid w:val="00696B33"/>
    <w:rsid w:val="006A046F"/>
    <w:rsid w:val="006A0842"/>
    <w:rsid w:val="006A1E49"/>
    <w:rsid w:val="006A2935"/>
    <w:rsid w:val="006A2A65"/>
    <w:rsid w:val="006A300E"/>
    <w:rsid w:val="006A349C"/>
    <w:rsid w:val="006A357F"/>
    <w:rsid w:val="006A3804"/>
    <w:rsid w:val="006A3B56"/>
    <w:rsid w:val="006A496E"/>
    <w:rsid w:val="006A5143"/>
    <w:rsid w:val="006A52DA"/>
    <w:rsid w:val="006A57DD"/>
    <w:rsid w:val="006A59F1"/>
    <w:rsid w:val="006A5CDA"/>
    <w:rsid w:val="006A6491"/>
    <w:rsid w:val="006A6C7C"/>
    <w:rsid w:val="006A78FA"/>
    <w:rsid w:val="006A790C"/>
    <w:rsid w:val="006A791C"/>
    <w:rsid w:val="006A798E"/>
    <w:rsid w:val="006A7A43"/>
    <w:rsid w:val="006A7AF0"/>
    <w:rsid w:val="006A7B21"/>
    <w:rsid w:val="006A7F1F"/>
    <w:rsid w:val="006B0567"/>
    <w:rsid w:val="006B09D0"/>
    <w:rsid w:val="006B0B9C"/>
    <w:rsid w:val="006B0D9B"/>
    <w:rsid w:val="006B1006"/>
    <w:rsid w:val="006B10DE"/>
    <w:rsid w:val="006B220A"/>
    <w:rsid w:val="006B23A8"/>
    <w:rsid w:val="006B32ED"/>
    <w:rsid w:val="006B3D75"/>
    <w:rsid w:val="006B43FA"/>
    <w:rsid w:val="006B46F6"/>
    <w:rsid w:val="006B4707"/>
    <w:rsid w:val="006B51B4"/>
    <w:rsid w:val="006B5EAE"/>
    <w:rsid w:val="006B5F26"/>
    <w:rsid w:val="006B6182"/>
    <w:rsid w:val="006B6DB5"/>
    <w:rsid w:val="006B70E4"/>
    <w:rsid w:val="006B76E5"/>
    <w:rsid w:val="006B775E"/>
    <w:rsid w:val="006B77B5"/>
    <w:rsid w:val="006B7B8A"/>
    <w:rsid w:val="006B7BBE"/>
    <w:rsid w:val="006B7F8A"/>
    <w:rsid w:val="006C04D8"/>
    <w:rsid w:val="006C0527"/>
    <w:rsid w:val="006C09CD"/>
    <w:rsid w:val="006C0BDD"/>
    <w:rsid w:val="006C0F17"/>
    <w:rsid w:val="006C18C4"/>
    <w:rsid w:val="006C1D9D"/>
    <w:rsid w:val="006C2027"/>
    <w:rsid w:val="006C33C5"/>
    <w:rsid w:val="006C39EB"/>
    <w:rsid w:val="006C478E"/>
    <w:rsid w:val="006C4B30"/>
    <w:rsid w:val="006C4D41"/>
    <w:rsid w:val="006C4E6F"/>
    <w:rsid w:val="006C4FC5"/>
    <w:rsid w:val="006C5BFC"/>
    <w:rsid w:val="006C5F62"/>
    <w:rsid w:val="006C7591"/>
    <w:rsid w:val="006C79BE"/>
    <w:rsid w:val="006D00BA"/>
    <w:rsid w:val="006D0BF8"/>
    <w:rsid w:val="006D0D4F"/>
    <w:rsid w:val="006D0EDE"/>
    <w:rsid w:val="006D0F93"/>
    <w:rsid w:val="006D291A"/>
    <w:rsid w:val="006D3321"/>
    <w:rsid w:val="006D3951"/>
    <w:rsid w:val="006D3DBE"/>
    <w:rsid w:val="006D455D"/>
    <w:rsid w:val="006D4E02"/>
    <w:rsid w:val="006D5D4B"/>
    <w:rsid w:val="006D5EF2"/>
    <w:rsid w:val="006D5FFB"/>
    <w:rsid w:val="006D6336"/>
    <w:rsid w:val="006D74C0"/>
    <w:rsid w:val="006D7F76"/>
    <w:rsid w:val="006E03D2"/>
    <w:rsid w:val="006E05C0"/>
    <w:rsid w:val="006E0B78"/>
    <w:rsid w:val="006E12E9"/>
    <w:rsid w:val="006E136D"/>
    <w:rsid w:val="006E1860"/>
    <w:rsid w:val="006E204A"/>
    <w:rsid w:val="006E22EC"/>
    <w:rsid w:val="006E2D54"/>
    <w:rsid w:val="006E3227"/>
    <w:rsid w:val="006E390A"/>
    <w:rsid w:val="006E3B84"/>
    <w:rsid w:val="006E4349"/>
    <w:rsid w:val="006E44B0"/>
    <w:rsid w:val="006E4FC3"/>
    <w:rsid w:val="006E554D"/>
    <w:rsid w:val="006E5721"/>
    <w:rsid w:val="006E5BA2"/>
    <w:rsid w:val="006E668D"/>
    <w:rsid w:val="006E72F6"/>
    <w:rsid w:val="006E7856"/>
    <w:rsid w:val="006E796C"/>
    <w:rsid w:val="006F00EA"/>
    <w:rsid w:val="006F12A9"/>
    <w:rsid w:val="006F1885"/>
    <w:rsid w:val="006F1CAA"/>
    <w:rsid w:val="006F1D83"/>
    <w:rsid w:val="006F2722"/>
    <w:rsid w:val="006F28E4"/>
    <w:rsid w:val="006F31DF"/>
    <w:rsid w:val="006F3A91"/>
    <w:rsid w:val="006F4111"/>
    <w:rsid w:val="006F4136"/>
    <w:rsid w:val="006F497B"/>
    <w:rsid w:val="006F4BFE"/>
    <w:rsid w:val="006F5F94"/>
    <w:rsid w:val="006F645F"/>
    <w:rsid w:val="006F6B67"/>
    <w:rsid w:val="006F7035"/>
    <w:rsid w:val="00700FFB"/>
    <w:rsid w:val="007038BD"/>
    <w:rsid w:val="0070392A"/>
    <w:rsid w:val="00703DBA"/>
    <w:rsid w:val="00703EDC"/>
    <w:rsid w:val="00704284"/>
    <w:rsid w:val="00704B97"/>
    <w:rsid w:val="00705E84"/>
    <w:rsid w:val="007066B2"/>
    <w:rsid w:val="00707888"/>
    <w:rsid w:val="007100AE"/>
    <w:rsid w:val="007105FE"/>
    <w:rsid w:val="00711756"/>
    <w:rsid w:val="0071194E"/>
    <w:rsid w:val="00711B5C"/>
    <w:rsid w:val="00711C0C"/>
    <w:rsid w:val="00711CBF"/>
    <w:rsid w:val="0071278A"/>
    <w:rsid w:val="007130D9"/>
    <w:rsid w:val="00713115"/>
    <w:rsid w:val="007132CA"/>
    <w:rsid w:val="00713704"/>
    <w:rsid w:val="00713A5B"/>
    <w:rsid w:val="007148F4"/>
    <w:rsid w:val="00714977"/>
    <w:rsid w:val="0071551F"/>
    <w:rsid w:val="00715EEA"/>
    <w:rsid w:val="0072051A"/>
    <w:rsid w:val="00720770"/>
    <w:rsid w:val="00720BCE"/>
    <w:rsid w:val="00720C09"/>
    <w:rsid w:val="007213CD"/>
    <w:rsid w:val="00721AF1"/>
    <w:rsid w:val="00721D98"/>
    <w:rsid w:val="007222C9"/>
    <w:rsid w:val="007222EE"/>
    <w:rsid w:val="00722894"/>
    <w:rsid w:val="00722FCC"/>
    <w:rsid w:val="007235E3"/>
    <w:rsid w:val="0072369E"/>
    <w:rsid w:val="0072420D"/>
    <w:rsid w:val="00724602"/>
    <w:rsid w:val="0072467E"/>
    <w:rsid w:val="00724979"/>
    <w:rsid w:val="00724E0D"/>
    <w:rsid w:val="007250C0"/>
    <w:rsid w:val="007256F9"/>
    <w:rsid w:val="0072580B"/>
    <w:rsid w:val="007258E2"/>
    <w:rsid w:val="007270FA"/>
    <w:rsid w:val="00727429"/>
    <w:rsid w:val="007274DB"/>
    <w:rsid w:val="0072774B"/>
    <w:rsid w:val="00727993"/>
    <w:rsid w:val="0073013D"/>
    <w:rsid w:val="00730666"/>
    <w:rsid w:val="00730961"/>
    <w:rsid w:val="007309CE"/>
    <w:rsid w:val="00730DC1"/>
    <w:rsid w:val="00730EC2"/>
    <w:rsid w:val="007310E5"/>
    <w:rsid w:val="007313EF"/>
    <w:rsid w:val="00731468"/>
    <w:rsid w:val="00731B5B"/>
    <w:rsid w:val="00731BA8"/>
    <w:rsid w:val="0073212A"/>
    <w:rsid w:val="007321ED"/>
    <w:rsid w:val="00732263"/>
    <w:rsid w:val="0073280E"/>
    <w:rsid w:val="00732FC8"/>
    <w:rsid w:val="00733867"/>
    <w:rsid w:val="0073392D"/>
    <w:rsid w:val="00734996"/>
    <w:rsid w:val="007359FF"/>
    <w:rsid w:val="00735D61"/>
    <w:rsid w:val="0073666C"/>
    <w:rsid w:val="00736C03"/>
    <w:rsid w:val="00736C41"/>
    <w:rsid w:val="0073728F"/>
    <w:rsid w:val="0074069E"/>
    <w:rsid w:val="007406AD"/>
    <w:rsid w:val="007410C5"/>
    <w:rsid w:val="00741A4E"/>
    <w:rsid w:val="00741A84"/>
    <w:rsid w:val="00741FEC"/>
    <w:rsid w:val="00742535"/>
    <w:rsid w:val="0074268F"/>
    <w:rsid w:val="007426E8"/>
    <w:rsid w:val="00742722"/>
    <w:rsid w:val="00743072"/>
    <w:rsid w:val="00743738"/>
    <w:rsid w:val="007443DC"/>
    <w:rsid w:val="00744F68"/>
    <w:rsid w:val="007454C1"/>
    <w:rsid w:val="007455DA"/>
    <w:rsid w:val="00746116"/>
    <w:rsid w:val="0074632B"/>
    <w:rsid w:val="007469CD"/>
    <w:rsid w:val="00747FED"/>
    <w:rsid w:val="00750300"/>
    <w:rsid w:val="00750D24"/>
    <w:rsid w:val="00750D48"/>
    <w:rsid w:val="00750D57"/>
    <w:rsid w:val="007511C0"/>
    <w:rsid w:val="007516D6"/>
    <w:rsid w:val="00751A6D"/>
    <w:rsid w:val="00751ED0"/>
    <w:rsid w:val="007524FE"/>
    <w:rsid w:val="00752C9E"/>
    <w:rsid w:val="007534DD"/>
    <w:rsid w:val="00753734"/>
    <w:rsid w:val="007537FF"/>
    <w:rsid w:val="007539E7"/>
    <w:rsid w:val="007549B7"/>
    <w:rsid w:val="00754BED"/>
    <w:rsid w:val="00755CF3"/>
    <w:rsid w:val="00756336"/>
    <w:rsid w:val="007563D6"/>
    <w:rsid w:val="007567F2"/>
    <w:rsid w:val="0075683D"/>
    <w:rsid w:val="00757218"/>
    <w:rsid w:val="00757376"/>
    <w:rsid w:val="0076008E"/>
    <w:rsid w:val="007607A2"/>
    <w:rsid w:val="007609C8"/>
    <w:rsid w:val="00760EA4"/>
    <w:rsid w:val="00761A36"/>
    <w:rsid w:val="00762533"/>
    <w:rsid w:val="007625C6"/>
    <w:rsid w:val="007626ED"/>
    <w:rsid w:val="00762BD4"/>
    <w:rsid w:val="007633F6"/>
    <w:rsid w:val="007637AD"/>
    <w:rsid w:val="00763BD3"/>
    <w:rsid w:val="00763E10"/>
    <w:rsid w:val="00763E8E"/>
    <w:rsid w:val="00764217"/>
    <w:rsid w:val="00764572"/>
    <w:rsid w:val="007648B8"/>
    <w:rsid w:val="00764AD6"/>
    <w:rsid w:val="00764FB3"/>
    <w:rsid w:val="007656A3"/>
    <w:rsid w:val="00765C16"/>
    <w:rsid w:val="0076606B"/>
    <w:rsid w:val="00766528"/>
    <w:rsid w:val="00766569"/>
    <w:rsid w:val="00766573"/>
    <w:rsid w:val="00766771"/>
    <w:rsid w:val="0076694E"/>
    <w:rsid w:val="00767126"/>
    <w:rsid w:val="007672FC"/>
    <w:rsid w:val="007678A6"/>
    <w:rsid w:val="00767922"/>
    <w:rsid w:val="00767BE8"/>
    <w:rsid w:val="00767DEA"/>
    <w:rsid w:val="00767F03"/>
    <w:rsid w:val="00770200"/>
    <w:rsid w:val="00770283"/>
    <w:rsid w:val="007702D7"/>
    <w:rsid w:val="007705F3"/>
    <w:rsid w:val="00770E8A"/>
    <w:rsid w:val="00771BC9"/>
    <w:rsid w:val="00771E80"/>
    <w:rsid w:val="00772218"/>
    <w:rsid w:val="0077386F"/>
    <w:rsid w:val="00773C6B"/>
    <w:rsid w:val="00773FEC"/>
    <w:rsid w:val="00775996"/>
    <w:rsid w:val="00775A8D"/>
    <w:rsid w:val="007764B8"/>
    <w:rsid w:val="00776859"/>
    <w:rsid w:val="0077685F"/>
    <w:rsid w:val="007769B2"/>
    <w:rsid w:val="0077767B"/>
    <w:rsid w:val="00777BAF"/>
    <w:rsid w:val="007806D8"/>
    <w:rsid w:val="00781329"/>
    <w:rsid w:val="007817D4"/>
    <w:rsid w:val="00781B1F"/>
    <w:rsid w:val="00781D1C"/>
    <w:rsid w:val="0078266C"/>
    <w:rsid w:val="00782819"/>
    <w:rsid w:val="00782C5D"/>
    <w:rsid w:val="00783244"/>
    <w:rsid w:val="0078350D"/>
    <w:rsid w:val="007837E7"/>
    <w:rsid w:val="00783CF8"/>
    <w:rsid w:val="007846EF"/>
    <w:rsid w:val="007849D9"/>
    <w:rsid w:val="007849F2"/>
    <w:rsid w:val="00784BB5"/>
    <w:rsid w:val="00785B61"/>
    <w:rsid w:val="0078628C"/>
    <w:rsid w:val="007864F1"/>
    <w:rsid w:val="007902B2"/>
    <w:rsid w:val="00790771"/>
    <w:rsid w:val="00790BD7"/>
    <w:rsid w:val="00790C61"/>
    <w:rsid w:val="0079134E"/>
    <w:rsid w:val="00791DA3"/>
    <w:rsid w:val="00791F7B"/>
    <w:rsid w:val="00791FD5"/>
    <w:rsid w:val="007920EE"/>
    <w:rsid w:val="007924B7"/>
    <w:rsid w:val="00792B22"/>
    <w:rsid w:val="00792B28"/>
    <w:rsid w:val="00792CDD"/>
    <w:rsid w:val="00792D8A"/>
    <w:rsid w:val="0079312B"/>
    <w:rsid w:val="00793554"/>
    <w:rsid w:val="00793A8E"/>
    <w:rsid w:val="00793B9C"/>
    <w:rsid w:val="00793C8F"/>
    <w:rsid w:val="00793D18"/>
    <w:rsid w:val="007943AB"/>
    <w:rsid w:val="00794501"/>
    <w:rsid w:val="007946A4"/>
    <w:rsid w:val="00794D54"/>
    <w:rsid w:val="00794DB1"/>
    <w:rsid w:val="007950BE"/>
    <w:rsid w:val="007954BC"/>
    <w:rsid w:val="00796223"/>
    <w:rsid w:val="0079671C"/>
    <w:rsid w:val="0079676D"/>
    <w:rsid w:val="00796797"/>
    <w:rsid w:val="00796964"/>
    <w:rsid w:val="00797452"/>
    <w:rsid w:val="007A0BFD"/>
    <w:rsid w:val="007A0D89"/>
    <w:rsid w:val="007A0FAD"/>
    <w:rsid w:val="007A1372"/>
    <w:rsid w:val="007A138B"/>
    <w:rsid w:val="007A21BA"/>
    <w:rsid w:val="007A239D"/>
    <w:rsid w:val="007A274E"/>
    <w:rsid w:val="007A355B"/>
    <w:rsid w:val="007A3AD3"/>
    <w:rsid w:val="007A3EF0"/>
    <w:rsid w:val="007A43BA"/>
    <w:rsid w:val="007A4E70"/>
    <w:rsid w:val="007A5461"/>
    <w:rsid w:val="007A5591"/>
    <w:rsid w:val="007A5A98"/>
    <w:rsid w:val="007A62D0"/>
    <w:rsid w:val="007A63DA"/>
    <w:rsid w:val="007A68E7"/>
    <w:rsid w:val="007A6B92"/>
    <w:rsid w:val="007A6E41"/>
    <w:rsid w:val="007A703D"/>
    <w:rsid w:val="007A797E"/>
    <w:rsid w:val="007A7B1A"/>
    <w:rsid w:val="007A7BF7"/>
    <w:rsid w:val="007B0105"/>
    <w:rsid w:val="007B0FA9"/>
    <w:rsid w:val="007B1947"/>
    <w:rsid w:val="007B1A82"/>
    <w:rsid w:val="007B22EA"/>
    <w:rsid w:val="007B28B7"/>
    <w:rsid w:val="007B2A0F"/>
    <w:rsid w:val="007B2BD5"/>
    <w:rsid w:val="007B2EBC"/>
    <w:rsid w:val="007B3C15"/>
    <w:rsid w:val="007B4290"/>
    <w:rsid w:val="007B42B0"/>
    <w:rsid w:val="007B4EBE"/>
    <w:rsid w:val="007B561F"/>
    <w:rsid w:val="007B5735"/>
    <w:rsid w:val="007B596E"/>
    <w:rsid w:val="007B5C07"/>
    <w:rsid w:val="007B6038"/>
    <w:rsid w:val="007B60A1"/>
    <w:rsid w:val="007B6CC1"/>
    <w:rsid w:val="007B71EB"/>
    <w:rsid w:val="007B72D1"/>
    <w:rsid w:val="007B786E"/>
    <w:rsid w:val="007B78D8"/>
    <w:rsid w:val="007B7C36"/>
    <w:rsid w:val="007C0320"/>
    <w:rsid w:val="007C032B"/>
    <w:rsid w:val="007C0554"/>
    <w:rsid w:val="007C06B6"/>
    <w:rsid w:val="007C0D03"/>
    <w:rsid w:val="007C1040"/>
    <w:rsid w:val="007C11A5"/>
    <w:rsid w:val="007C12A1"/>
    <w:rsid w:val="007C1452"/>
    <w:rsid w:val="007C1B60"/>
    <w:rsid w:val="007C1C1A"/>
    <w:rsid w:val="007C1C99"/>
    <w:rsid w:val="007C2BBA"/>
    <w:rsid w:val="007C2D65"/>
    <w:rsid w:val="007C2ED4"/>
    <w:rsid w:val="007C348E"/>
    <w:rsid w:val="007C3835"/>
    <w:rsid w:val="007C3D41"/>
    <w:rsid w:val="007C3E98"/>
    <w:rsid w:val="007C4502"/>
    <w:rsid w:val="007C46B0"/>
    <w:rsid w:val="007C4A91"/>
    <w:rsid w:val="007C4D2E"/>
    <w:rsid w:val="007C50CC"/>
    <w:rsid w:val="007C5265"/>
    <w:rsid w:val="007C554C"/>
    <w:rsid w:val="007C575E"/>
    <w:rsid w:val="007C59BD"/>
    <w:rsid w:val="007C5A58"/>
    <w:rsid w:val="007C5C14"/>
    <w:rsid w:val="007C60B8"/>
    <w:rsid w:val="007C6836"/>
    <w:rsid w:val="007C6E48"/>
    <w:rsid w:val="007C708B"/>
    <w:rsid w:val="007C70FE"/>
    <w:rsid w:val="007C7F04"/>
    <w:rsid w:val="007D0383"/>
    <w:rsid w:val="007D1D6F"/>
    <w:rsid w:val="007D1E66"/>
    <w:rsid w:val="007D226C"/>
    <w:rsid w:val="007D226D"/>
    <w:rsid w:val="007D31A8"/>
    <w:rsid w:val="007D343D"/>
    <w:rsid w:val="007D3D93"/>
    <w:rsid w:val="007D418A"/>
    <w:rsid w:val="007D4D93"/>
    <w:rsid w:val="007D586D"/>
    <w:rsid w:val="007D616E"/>
    <w:rsid w:val="007D630D"/>
    <w:rsid w:val="007D651F"/>
    <w:rsid w:val="007D653D"/>
    <w:rsid w:val="007D6D84"/>
    <w:rsid w:val="007D78FE"/>
    <w:rsid w:val="007D7E38"/>
    <w:rsid w:val="007D7E57"/>
    <w:rsid w:val="007E05D8"/>
    <w:rsid w:val="007E1CB2"/>
    <w:rsid w:val="007E1FE4"/>
    <w:rsid w:val="007E31EC"/>
    <w:rsid w:val="007E330E"/>
    <w:rsid w:val="007E3ADD"/>
    <w:rsid w:val="007E3C66"/>
    <w:rsid w:val="007E4ED6"/>
    <w:rsid w:val="007E4F96"/>
    <w:rsid w:val="007E5BC6"/>
    <w:rsid w:val="007E630B"/>
    <w:rsid w:val="007E6A7A"/>
    <w:rsid w:val="007E6ED2"/>
    <w:rsid w:val="007E70D1"/>
    <w:rsid w:val="007E72B7"/>
    <w:rsid w:val="007E74C3"/>
    <w:rsid w:val="007F0467"/>
    <w:rsid w:val="007F06EB"/>
    <w:rsid w:val="007F1437"/>
    <w:rsid w:val="007F190B"/>
    <w:rsid w:val="007F1B16"/>
    <w:rsid w:val="007F1C37"/>
    <w:rsid w:val="007F1DFC"/>
    <w:rsid w:val="007F2660"/>
    <w:rsid w:val="007F30BF"/>
    <w:rsid w:val="007F30CF"/>
    <w:rsid w:val="007F3237"/>
    <w:rsid w:val="007F3640"/>
    <w:rsid w:val="007F37CC"/>
    <w:rsid w:val="007F4027"/>
    <w:rsid w:val="007F43B4"/>
    <w:rsid w:val="007F495F"/>
    <w:rsid w:val="007F499B"/>
    <w:rsid w:val="007F4D7A"/>
    <w:rsid w:val="007F50F0"/>
    <w:rsid w:val="007F5CAA"/>
    <w:rsid w:val="007F716F"/>
    <w:rsid w:val="007F7DD7"/>
    <w:rsid w:val="007F7F5F"/>
    <w:rsid w:val="008001C2"/>
    <w:rsid w:val="008002D7"/>
    <w:rsid w:val="008002E6"/>
    <w:rsid w:val="008005EC"/>
    <w:rsid w:val="00801578"/>
    <w:rsid w:val="0080184C"/>
    <w:rsid w:val="00801995"/>
    <w:rsid w:val="00801A48"/>
    <w:rsid w:val="00801F7D"/>
    <w:rsid w:val="008025A3"/>
    <w:rsid w:val="00802662"/>
    <w:rsid w:val="00802D8E"/>
    <w:rsid w:val="00802DCC"/>
    <w:rsid w:val="00802E6C"/>
    <w:rsid w:val="008031D9"/>
    <w:rsid w:val="0080332B"/>
    <w:rsid w:val="0080336A"/>
    <w:rsid w:val="008038DC"/>
    <w:rsid w:val="00803D62"/>
    <w:rsid w:val="00804DF5"/>
    <w:rsid w:val="00804ED3"/>
    <w:rsid w:val="008055F4"/>
    <w:rsid w:val="0080580B"/>
    <w:rsid w:val="0081031C"/>
    <w:rsid w:val="008113D5"/>
    <w:rsid w:val="00811779"/>
    <w:rsid w:val="008118EC"/>
    <w:rsid w:val="0081289D"/>
    <w:rsid w:val="00812918"/>
    <w:rsid w:val="00812A7D"/>
    <w:rsid w:val="00813398"/>
    <w:rsid w:val="008138D4"/>
    <w:rsid w:val="00813BD2"/>
    <w:rsid w:val="00813CCD"/>
    <w:rsid w:val="008141B2"/>
    <w:rsid w:val="00814317"/>
    <w:rsid w:val="00814632"/>
    <w:rsid w:val="008150CF"/>
    <w:rsid w:val="00815EFA"/>
    <w:rsid w:val="00816851"/>
    <w:rsid w:val="00816BF4"/>
    <w:rsid w:val="008172F3"/>
    <w:rsid w:val="00817587"/>
    <w:rsid w:val="00817599"/>
    <w:rsid w:val="008175AC"/>
    <w:rsid w:val="00817A29"/>
    <w:rsid w:val="0082003C"/>
    <w:rsid w:val="008202AF"/>
    <w:rsid w:val="0082041E"/>
    <w:rsid w:val="00820847"/>
    <w:rsid w:val="00820B0F"/>
    <w:rsid w:val="00820C70"/>
    <w:rsid w:val="00820FDE"/>
    <w:rsid w:val="00821BCD"/>
    <w:rsid w:val="008223A6"/>
    <w:rsid w:val="008224FA"/>
    <w:rsid w:val="0082252C"/>
    <w:rsid w:val="00823A8A"/>
    <w:rsid w:val="008244F7"/>
    <w:rsid w:val="00824826"/>
    <w:rsid w:val="00824877"/>
    <w:rsid w:val="00824E52"/>
    <w:rsid w:val="00825FA9"/>
    <w:rsid w:val="00826553"/>
    <w:rsid w:val="00826636"/>
    <w:rsid w:val="008272AA"/>
    <w:rsid w:val="00827713"/>
    <w:rsid w:val="00830C68"/>
    <w:rsid w:val="00830F71"/>
    <w:rsid w:val="008314B1"/>
    <w:rsid w:val="0083191B"/>
    <w:rsid w:val="00831B91"/>
    <w:rsid w:val="00831CE4"/>
    <w:rsid w:val="00832095"/>
    <w:rsid w:val="00832293"/>
    <w:rsid w:val="008323A3"/>
    <w:rsid w:val="008328C2"/>
    <w:rsid w:val="00832946"/>
    <w:rsid w:val="00833E4E"/>
    <w:rsid w:val="008347AD"/>
    <w:rsid w:val="00834840"/>
    <w:rsid w:val="00834B38"/>
    <w:rsid w:val="008351FC"/>
    <w:rsid w:val="00835336"/>
    <w:rsid w:val="00835759"/>
    <w:rsid w:val="00835852"/>
    <w:rsid w:val="00835F54"/>
    <w:rsid w:val="00836476"/>
    <w:rsid w:val="00836C7F"/>
    <w:rsid w:val="008379E1"/>
    <w:rsid w:val="00837F24"/>
    <w:rsid w:val="00837FE2"/>
    <w:rsid w:val="008405FC"/>
    <w:rsid w:val="0084166A"/>
    <w:rsid w:val="00841804"/>
    <w:rsid w:val="00843379"/>
    <w:rsid w:val="00843565"/>
    <w:rsid w:val="00843877"/>
    <w:rsid w:val="00843B47"/>
    <w:rsid w:val="00843C83"/>
    <w:rsid w:val="00843F5F"/>
    <w:rsid w:val="00844F36"/>
    <w:rsid w:val="00844FB1"/>
    <w:rsid w:val="00845B1B"/>
    <w:rsid w:val="00845F61"/>
    <w:rsid w:val="00846DFF"/>
    <w:rsid w:val="0084731B"/>
    <w:rsid w:val="00847541"/>
    <w:rsid w:val="00847EFF"/>
    <w:rsid w:val="008500ED"/>
    <w:rsid w:val="00850863"/>
    <w:rsid w:val="00850CD7"/>
    <w:rsid w:val="008519C4"/>
    <w:rsid w:val="0085215A"/>
    <w:rsid w:val="0085292D"/>
    <w:rsid w:val="00852F2C"/>
    <w:rsid w:val="00852F38"/>
    <w:rsid w:val="00853236"/>
    <w:rsid w:val="00853417"/>
    <w:rsid w:val="00853732"/>
    <w:rsid w:val="0085383D"/>
    <w:rsid w:val="008540ED"/>
    <w:rsid w:val="008547A2"/>
    <w:rsid w:val="00854E58"/>
    <w:rsid w:val="00855438"/>
    <w:rsid w:val="008557EC"/>
    <w:rsid w:val="00855A6F"/>
    <w:rsid w:val="00855B96"/>
    <w:rsid w:val="008562E5"/>
    <w:rsid w:val="008565D5"/>
    <w:rsid w:val="008568D8"/>
    <w:rsid w:val="008569ED"/>
    <w:rsid w:val="008617B8"/>
    <w:rsid w:val="00862B8A"/>
    <w:rsid w:val="00862C4B"/>
    <w:rsid w:val="0086310C"/>
    <w:rsid w:val="008632DE"/>
    <w:rsid w:val="008637E2"/>
    <w:rsid w:val="008639F6"/>
    <w:rsid w:val="00863C40"/>
    <w:rsid w:val="00863F43"/>
    <w:rsid w:val="00863F56"/>
    <w:rsid w:val="008645E6"/>
    <w:rsid w:val="00864EEE"/>
    <w:rsid w:val="00865798"/>
    <w:rsid w:val="00865BC1"/>
    <w:rsid w:val="00866868"/>
    <w:rsid w:val="00866B9B"/>
    <w:rsid w:val="00866C8D"/>
    <w:rsid w:val="008701CD"/>
    <w:rsid w:val="00870610"/>
    <w:rsid w:val="0087061D"/>
    <w:rsid w:val="0087099B"/>
    <w:rsid w:val="00872262"/>
    <w:rsid w:val="0087232E"/>
    <w:rsid w:val="00873023"/>
    <w:rsid w:val="008735CF"/>
    <w:rsid w:val="00873BBD"/>
    <w:rsid w:val="00873C9F"/>
    <w:rsid w:val="00874014"/>
    <w:rsid w:val="00874081"/>
    <w:rsid w:val="0087409C"/>
    <w:rsid w:val="0087514B"/>
    <w:rsid w:val="00875313"/>
    <w:rsid w:val="00875569"/>
    <w:rsid w:val="008758ED"/>
    <w:rsid w:val="00875989"/>
    <w:rsid w:val="00875C20"/>
    <w:rsid w:val="00875E69"/>
    <w:rsid w:val="00875EA7"/>
    <w:rsid w:val="008762C1"/>
    <w:rsid w:val="008766F1"/>
    <w:rsid w:val="00876AB9"/>
    <w:rsid w:val="00876C85"/>
    <w:rsid w:val="00877BD3"/>
    <w:rsid w:val="008804F9"/>
    <w:rsid w:val="0088083C"/>
    <w:rsid w:val="00880C3C"/>
    <w:rsid w:val="00882DD1"/>
    <w:rsid w:val="00882E73"/>
    <w:rsid w:val="008835B6"/>
    <w:rsid w:val="008839E7"/>
    <w:rsid w:val="00884BF4"/>
    <w:rsid w:val="0088514C"/>
    <w:rsid w:val="008859F8"/>
    <w:rsid w:val="00885EBC"/>
    <w:rsid w:val="00885FB3"/>
    <w:rsid w:val="0088676E"/>
    <w:rsid w:val="008870D1"/>
    <w:rsid w:val="00887872"/>
    <w:rsid w:val="00887896"/>
    <w:rsid w:val="00890520"/>
    <w:rsid w:val="0089056C"/>
    <w:rsid w:val="0089077E"/>
    <w:rsid w:val="008909D5"/>
    <w:rsid w:val="008914B0"/>
    <w:rsid w:val="00891C5F"/>
    <w:rsid w:val="0089258E"/>
    <w:rsid w:val="0089293B"/>
    <w:rsid w:val="00892E8C"/>
    <w:rsid w:val="00892FA2"/>
    <w:rsid w:val="008937BF"/>
    <w:rsid w:val="008938A4"/>
    <w:rsid w:val="00893C51"/>
    <w:rsid w:val="00894139"/>
    <w:rsid w:val="00894260"/>
    <w:rsid w:val="00894D16"/>
    <w:rsid w:val="00894F82"/>
    <w:rsid w:val="00895411"/>
    <w:rsid w:val="008954F0"/>
    <w:rsid w:val="0089558F"/>
    <w:rsid w:val="008964B0"/>
    <w:rsid w:val="008966C1"/>
    <w:rsid w:val="00896870"/>
    <w:rsid w:val="008978FB"/>
    <w:rsid w:val="00897A83"/>
    <w:rsid w:val="008A03AF"/>
    <w:rsid w:val="008A07DA"/>
    <w:rsid w:val="008A0A51"/>
    <w:rsid w:val="008A0FDB"/>
    <w:rsid w:val="008A1018"/>
    <w:rsid w:val="008A1090"/>
    <w:rsid w:val="008A1A00"/>
    <w:rsid w:val="008A1F42"/>
    <w:rsid w:val="008A20A0"/>
    <w:rsid w:val="008A24BA"/>
    <w:rsid w:val="008A25CC"/>
    <w:rsid w:val="008A2CB8"/>
    <w:rsid w:val="008A3670"/>
    <w:rsid w:val="008A41C3"/>
    <w:rsid w:val="008A45A7"/>
    <w:rsid w:val="008A4724"/>
    <w:rsid w:val="008A4AFA"/>
    <w:rsid w:val="008A52A8"/>
    <w:rsid w:val="008A571D"/>
    <w:rsid w:val="008A5813"/>
    <w:rsid w:val="008A6CC8"/>
    <w:rsid w:val="008A7172"/>
    <w:rsid w:val="008A755C"/>
    <w:rsid w:val="008A7719"/>
    <w:rsid w:val="008B0273"/>
    <w:rsid w:val="008B0307"/>
    <w:rsid w:val="008B05B5"/>
    <w:rsid w:val="008B0BE8"/>
    <w:rsid w:val="008B17D8"/>
    <w:rsid w:val="008B1844"/>
    <w:rsid w:val="008B1BAA"/>
    <w:rsid w:val="008B2470"/>
    <w:rsid w:val="008B272D"/>
    <w:rsid w:val="008B2A19"/>
    <w:rsid w:val="008B2C08"/>
    <w:rsid w:val="008B2C2A"/>
    <w:rsid w:val="008B42A6"/>
    <w:rsid w:val="008B437D"/>
    <w:rsid w:val="008B4BAB"/>
    <w:rsid w:val="008B4C89"/>
    <w:rsid w:val="008B55D8"/>
    <w:rsid w:val="008B5C3B"/>
    <w:rsid w:val="008B5E38"/>
    <w:rsid w:val="008B67DE"/>
    <w:rsid w:val="008B6807"/>
    <w:rsid w:val="008B6FE0"/>
    <w:rsid w:val="008B7BE2"/>
    <w:rsid w:val="008B7F2F"/>
    <w:rsid w:val="008C044F"/>
    <w:rsid w:val="008C069B"/>
    <w:rsid w:val="008C1375"/>
    <w:rsid w:val="008C17C9"/>
    <w:rsid w:val="008C1EE4"/>
    <w:rsid w:val="008C259C"/>
    <w:rsid w:val="008C27E2"/>
    <w:rsid w:val="008C28E6"/>
    <w:rsid w:val="008C293A"/>
    <w:rsid w:val="008C2F25"/>
    <w:rsid w:val="008C30B5"/>
    <w:rsid w:val="008C312C"/>
    <w:rsid w:val="008C43BA"/>
    <w:rsid w:val="008C4869"/>
    <w:rsid w:val="008C5C12"/>
    <w:rsid w:val="008C6816"/>
    <w:rsid w:val="008C6FEA"/>
    <w:rsid w:val="008C78D7"/>
    <w:rsid w:val="008D0641"/>
    <w:rsid w:val="008D0E55"/>
    <w:rsid w:val="008D1410"/>
    <w:rsid w:val="008D168F"/>
    <w:rsid w:val="008D1882"/>
    <w:rsid w:val="008D1CD1"/>
    <w:rsid w:val="008D1EC0"/>
    <w:rsid w:val="008D2177"/>
    <w:rsid w:val="008D2997"/>
    <w:rsid w:val="008D2B68"/>
    <w:rsid w:val="008D2C17"/>
    <w:rsid w:val="008D313C"/>
    <w:rsid w:val="008D3CB0"/>
    <w:rsid w:val="008D41A4"/>
    <w:rsid w:val="008D43C5"/>
    <w:rsid w:val="008D4B52"/>
    <w:rsid w:val="008D50AB"/>
    <w:rsid w:val="008D532C"/>
    <w:rsid w:val="008D5378"/>
    <w:rsid w:val="008D5636"/>
    <w:rsid w:val="008D57DC"/>
    <w:rsid w:val="008D584E"/>
    <w:rsid w:val="008D5DDA"/>
    <w:rsid w:val="008D62DE"/>
    <w:rsid w:val="008D633C"/>
    <w:rsid w:val="008D6407"/>
    <w:rsid w:val="008D7081"/>
    <w:rsid w:val="008D70EF"/>
    <w:rsid w:val="008D7322"/>
    <w:rsid w:val="008D76E5"/>
    <w:rsid w:val="008E084B"/>
    <w:rsid w:val="008E0BD1"/>
    <w:rsid w:val="008E1325"/>
    <w:rsid w:val="008E175F"/>
    <w:rsid w:val="008E1AB8"/>
    <w:rsid w:val="008E2148"/>
    <w:rsid w:val="008E22C9"/>
    <w:rsid w:val="008E2A31"/>
    <w:rsid w:val="008E2AA6"/>
    <w:rsid w:val="008E2FFB"/>
    <w:rsid w:val="008E36C8"/>
    <w:rsid w:val="008E3742"/>
    <w:rsid w:val="008E38CA"/>
    <w:rsid w:val="008E39C5"/>
    <w:rsid w:val="008E3AB1"/>
    <w:rsid w:val="008E3C8D"/>
    <w:rsid w:val="008E4273"/>
    <w:rsid w:val="008E4AB9"/>
    <w:rsid w:val="008E4B09"/>
    <w:rsid w:val="008E4B78"/>
    <w:rsid w:val="008E661D"/>
    <w:rsid w:val="008E6FA5"/>
    <w:rsid w:val="008F0222"/>
    <w:rsid w:val="008F0706"/>
    <w:rsid w:val="008F089F"/>
    <w:rsid w:val="008F0C8A"/>
    <w:rsid w:val="008F10DD"/>
    <w:rsid w:val="008F1277"/>
    <w:rsid w:val="008F1523"/>
    <w:rsid w:val="008F1663"/>
    <w:rsid w:val="008F1983"/>
    <w:rsid w:val="008F23DF"/>
    <w:rsid w:val="008F269F"/>
    <w:rsid w:val="008F2AD3"/>
    <w:rsid w:val="008F2B34"/>
    <w:rsid w:val="008F2DC8"/>
    <w:rsid w:val="008F34E1"/>
    <w:rsid w:val="008F3950"/>
    <w:rsid w:val="008F42FC"/>
    <w:rsid w:val="008F4632"/>
    <w:rsid w:val="008F46A5"/>
    <w:rsid w:val="008F4841"/>
    <w:rsid w:val="008F4E8E"/>
    <w:rsid w:val="008F5295"/>
    <w:rsid w:val="008F58D9"/>
    <w:rsid w:val="008F5D05"/>
    <w:rsid w:val="008F68D1"/>
    <w:rsid w:val="008F6E99"/>
    <w:rsid w:val="008F72AB"/>
    <w:rsid w:val="008F7974"/>
    <w:rsid w:val="008F7C72"/>
    <w:rsid w:val="008F7EA6"/>
    <w:rsid w:val="009002DF"/>
    <w:rsid w:val="0090049E"/>
    <w:rsid w:val="00900564"/>
    <w:rsid w:val="009007A5"/>
    <w:rsid w:val="00900920"/>
    <w:rsid w:val="00901216"/>
    <w:rsid w:val="00902059"/>
    <w:rsid w:val="00902233"/>
    <w:rsid w:val="0090267C"/>
    <w:rsid w:val="00902845"/>
    <w:rsid w:val="00902F66"/>
    <w:rsid w:val="00903685"/>
    <w:rsid w:val="0090378B"/>
    <w:rsid w:val="00903988"/>
    <w:rsid w:val="00904500"/>
    <w:rsid w:val="00904869"/>
    <w:rsid w:val="00904B3E"/>
    <w:rsid w:val="0090542E"/>
    <w:rsid w:val="009054E4"/>
    <w:rsid w:val="009056A5"/>
    <w:rsid w:val="0090642C"/>
    <w:rsid w:val="00906C38"/>
    <w:rsid w:val="0090714D"/>
    <w:rsid w:val="0091035D"/>
    <w:rsid w:val="0091074A"/>
    <w:rsid w:val="00910862"/>
    <w:rsid w:val="00910967"/>
    <w:rsid w:val="00910D2C"/>
    <w:rsid w:val="00910E78"/>
    <w:rsid w:val="00911555"/>
    <w:rsid w:val="00911692"/>
    <w:rsid w:val="0091171F"/>
    <w:rsid w:val="00912CFA"/>
    <w:rsid w:val="009138EC"/>
    <w:rsid w:val="00914101"/>
    <w:rsid w:val="00914710"/>
    <w:rsid w:val="009148E5"/>
    <w:rsid w:val="0091534A"/>
    <w:rsid w:val="009159BD"/>
    <w:rsid w:val="00915B20"/>
    <w:rsid w:val="00916122"/>
    <w:rsid w:val="00916413"/>
    <w:rsid w:val="00916446"/>
    <w:rsid w:val="0091687F"/>
    <w:rsid w:val="0091786B"/>
    <w:rsid w:val="00920816"/>
    <w:rsid w:val="0092128D"/>
    <w:rsid w:val="00921C25"/>
    <w:rsid w:val="00921E91"/>
    <w:rsid w:val="009222D2"/>
    <w:rsid w:val="00922776"/>
    <w:rsid w:val="00924201"/>
    <w:rsid w:val="00924707"/>
    <w:rsid w:val="00924D24"/>
    <w:rsid w:val="00924D38"/>
    <w:rsid w:val="00924F42"/>
    <w:rsid w:val="0092576E"/>
    <w:rsid w:val="0092587F"/>
    <w:rsid w:val="00926442"/>
    <w:rsid w:val="0092731B"/>
    <w:rsid w:val="00927883"/>
    <w:rsid w:val="00927AF7"/>
    <w:rsid w:val="009302BC"/>
    <w:rsid w:val="009306D1"/>
    <w:rsid w:val="009306E9"/>
    <w:rsid w:val="00930C37"/>
    <w:rsid w:val="00930C3D"/>
    <w:rsid w:val="00930E05"/>
    <w:rsid w:val="00930E2F"/>
    <w:rsid w:val="00931641"/>
    <w:rsid w:val="00931670"/>
    <w:rsid w:val="00931A14"/>
    <w:rsid w:val="00932D7D"/>
    <w:rsid w:val="00932E23"/>
    <w:rsid w:val="00933A11"/>
    <w:rsid w:val="00933A60"/>
    <w:rsid w:val="00934591"/>
    <w:rsid w:val="00934CF1"/>
    <w:rsid w:val="00934FE8"/>
    <w:rsid w:val="0093536F"/>
    <w:rsid w:val="0093594C"/>
    <w:rsid w:val="00935FC8"/>
    <w:rsid w:val="00936132"/>
    <w:rsid w:val="009369DF"/>
    <w:rsid w:val="0093738B"/>
    <w:rsid w:val="0093757A"/>
    <w:rsid w:val="00937BAC"/>
    <w:rsid w:val="00937C33"/>
    <w:rsid w:val="0094000F"/>
    <w:rsid w:val="009410DF"/>
    <w:rsid w:val="00941A6C"/>
    <w:rsid w:val="00942261"/>
    <w:rsid w:val="00942CA2"/>
    <w:rsid w:val="00942DCB"/>
    <w:rsid w:val="00943241"/>
    <w:rsid w:val="00943342"/>
    <w:rsid w:val="0094362C"/>
    <w:rsid w:val="00943FF8"/>
    <w:rsid w:val="00944214"/>
    <w:rsid w:val="0094437D"/>
    <w:rsid w:val="00944454"/>
    <w:rsid w:val="00944FBB"/>
    <w:rsid w:val="0094514B"/>
    <w:rsid w:val="00945519"/>
    <w:rsid w:val="0094615E"/>
    <w:rsid w:val="0094633A"/>
    <w:rsid w:val="009464A6"/>
    <w:rsid w:val="00947110"/>
    <w:rsid w:val="009473A2"/>
    <w:rsid w:val="0094765A"/>
    <w:rsid w:val="00950CE1"/>
    <w:rsid w:val="00951319"/>
    <w:rsid w:val="009514ED"/>
    <w:rsid w:val="00951EA4"/>
    <w:rsid w:val="0095200B"/>
    <w:rsid w:val="0095226B"/>
    <w:rsid w:val="00952C11"/>
    <w:rsid w:val="009530D0"/>
    <w:rsid w:val="009531BB"/>
    <w:rsid w:val="0095438B"/>
    <w:rsid w:val="00954522"/>
    <w:rsid w:val="00954979"/>
    <w:rsid w:val="00954E79"/>
    <w:rsid w:val="00955DE5"/>
    <w:rsid w:val="00957170"/>
    <w:rsid w:val="00957AC6"/>
    <w:rsid w:val="00957BBA"/>
    <w:rsid w:val="00957D58"/>
    <w:rsid w:val="0096055E"/>
    <w:rsid w:val="0096077E"/>
    <w:rsid w:val="0096091F"/>
    <w:rsid w:val="00960A4F"/>
    <w:rsid w:val="00960B05"/>
    <w:rsid w:val="00961781"/>
    <w:rsid w:val="00961D68"/>
    <w:rsid w:val="00961EF7"/>
    <w:rsid w:val="00961F28"/>
    <w:rsid w:val="00962557"/>
    <w:rsid w:val="00962B75"/>
    <w:rsid w:val="00962C89"/>
    <w:rsid w:val="00963224"/>
    <w:rsid w:val="009632E2"/>
    <w:rsid w:val="00963460"/>
    <w:rsid w:val="0096364B"/>
    <w:rsid w:val="00964F5D"/>
    <w:rsid w:val="00964FFF"/>
    <w:rsid w:val="009656A2"/>
    <w:rsid w:val="00965ED6"/>
    <w:rsid w:val="00966031"/>
    <w:rsid w:val="00966695"/>
    <w:rsid w:val="00966E11"/>
    <w:rsid w:val="00967223"/>
    <w:rsid w:val="00967381"/>
    <w:rsid w:val="009673EC"/>
    <w:rsid w:val="009674BB"/>
    <w:rsid w:val="00967D5B"/>
    <w:rsid w:val="00970195"/>
    <w:rsid w:val="009708D8"/>
    <w:rsid w:val="00971A70"/>
    <w:rsid w:val="00971D5E"/>
    <w:rsid w:val="00972941"/>
    <w:rsid w:val="00973271"/>
    <w:rsid w:val="009733F5"/>
    <w:rsid w:val="00974120"/>
    <w:rsid w:val="009746FE"/>
    <w:rsid w:val="00974784"/>
    <w:rsid w:val="0097490D"/>
    <w:rsid w:val="00974F46"/>
    <w:rsid w:val="00975213"/>
    <w:rsid w:val="00975892"/>
    <w:rsid w:val="00975A4E"/>
    <w:rsid w:val="00975D83"/>
    <w:rsid w:val="009760D1"/>
    <w:rsid w:val="0097617B"/>
    <w:rsid w:val="009761FD"/>
    <w:rsid w:val="0097681B"/>
    <w:rsid w:val="00977562"/>
    <w:rsid w:val="0098095F"/>
    <w:rsid w:val="00980B4E"/>
    <w:rsid w:val="0098118F"/>
    <w:rsid w:val="00982DB9"/>
    <w:rsid w:val="0098315B"/>
    <w:rsid w:val="00983735"/>
    <w:rsid w:val="0098376D"/>
    <w:rsid w:val="009837DB"/>
    <w:rsid w:val="00983ACD"/>
    <w:rsid w:val="00984759"/>
    <w:rsid w:val="0098492C"/>
    <w:rsid w:val="0098527B"/>
    <w:rsid w:val="00985977"/>
    <w:rsid w:val="00985DEF"/>
    <w:rsid w:val="00985F19"/>
    <w:rsid w:val="0098698B"/>
    <w:rsid w:val="00986A7B"/>
    <w:rsid w:val="00986BCD"/>
    <w:rsid w:val="00986FCE"/>
    <w:rsid w:val="009874C4"/>
    <w:rsid w:val="00987BE7"/>
    <w:rsid w:val="00987CA0"/>
    <w:rsid w:val="00987D60"/>
    <w:rsid w:val="00987FD2"/>
    <w:rsid w:val="009904DC"/>
    <w:rsid w:val="0099084C"/>
    <w:rsid w:val="00990941"/>
    <w:rsid w:val="00990D3A"/>
    <w:rsid w:val="0099169A"/>
    <w:rsid w:val="009917D2"/>
    <w:rsid w:val="009933A3"/>
    <w:rsid w:val="00993473"/>
    <w:rsid w:val="00993816"/>
    <w:rsid w:val="009943FE"/>
    <w:rsid w:val="009945F5"/>
    <w:rsid w:val="0099473D"/>
    <w:rsid w:val="00994886"/>
    <w:rsid w:val="00994897"/>
    <w:rsid w:val="009956C2"/>
    <w:rsid w:val="00996A62"/>
    <w:rsid w:val="00996A91"/>
    <w:rsid w:val="00996B3D"/>
    <w:rsid w:val="00996D8E"/>
    <w:rsid w:val="00997358"/>
    <w:rsid w:val="009A0A47"/>
    <w:rsid w:val="009A0CC3"/>
    <w:rsid w:val="009A1C1D"/>
    <w:rsid w:val="009A23A5"/>
    <w:rsid w:val="009A2A23"/>
    <w:rsid w:val="009A2AC9"/>
    <w:rsid w:val="009A2AF3"/>
    <w:rsid w:val="009A2D51"/>
    <w:rsid w:val="009A3CCB"/>
    <w:rsid w:val="009A3DAD"/>
    <w:rsid w:val="009A43B7"/>
    <w:rsid w:val="009A5224"/>
    <w:rsid w:val="009A52E8"/>
    <w:rsid w:val="009A55B7"/>
    <w:rsid w:val="009A63DA"/>
    <w:rsid w:val="009A64AC"/>
    <w:rsid w:val="009A71F1"/>
    <w:rsid w:val="009A741B"/>
    <w:rsid w:val="009A77F1"/>
    <w:rsid w:val="009A7DD4"/>
    <w:rsid w:val="009B00FA"/>
    <w:rsid w:val="009B1A59"/>
    <w:rsid w:val="009B1C97"/>
    <w:rsid w:val="009B242F"/>
    <w:rsid w:val="009B24E8"/>
    <w:rsid w:val="009B2739"/>
    <w:rsid w:val="009B29A0"/>
    <w:rsid w:val="009B3138"/>
    <w:rsid w:val="009B3585"/>
    <w:rsid w:val="009B36A1"/>
    <w:rsid w:val="009B3B5D"/>
    <w:rsid w:val="009B496D"/>
    <w:rsid w:val="009B4C8D"/>
    <w:rsid w:val="009B6562"/>
    <w:rsid w:val="009B6699"/>
    <w:rsid w:val="009B6770"/>
    <w:rsid w:val="009B7872"/>
    <w:rsid w:val="009B7BA8"/>
    <w:rsid w:val="009B7D2F"/>
    <w:rsid w:val="009C070D"/>
    <w:rsid w:val="009C081B"/>
    <w:rsid w:val="009C0859"/>
    <w:rsid w:val="009C0B7A"/>
    <w:rsid w:val="009C1AAA"/>
    <w:rsid w:val="009C1B9F"/>
    <w:rsid w:val="009C20A1"/>
    <w:rsid w:val="009C234C"/>
    <w:rsid w:val="009C2623"/>
    <w:rsid w:val="009C3CD3"/>
    <w:rsid w:val="009C461F"/>
    <w:rsid w:val="009C559F"/>
    <w:rsid w:val="009C5BB0"/>
    <w:rsid w:val="009C649F"/>
    <w:rsid w:val="009C65F3"/>
    <w:rsid w:val="009C6786"/>
    <w:rsid w:val="009C6914"/>
    <w:rsid w:val="009C6CF6"/>
    <w:rsid w:val="009C6E89"/>
    <w:rsid w:val="009C7297"/>
    <w:rsid w:val="009C74EF"/>
    <w:rsid w:val="009C75A7"/>
    <w:rsid w:val="009C7C75"/>
    <w:rsid w:val="009D0152"/>
    <w:rsid w:val="009D17C5"/>
    <w:rsid w:val="009D2BD0"/>
    <w:rsid w:val="009D319B"/>
    <w:rsid w:val="009D3B74"/>
    <w:rsid w:val="009D428C"/>
    <w:rsid w:val="009D6B60"/>
    <w:rsid w:val="009D72A3"/>
    <w:rsid w:val="009D7321"/>
    <w:rsid w:val="009D7649"/>
    <w:rsid w:val="009D766A"/>
    <w:rsid w:val="009D77D0"/>
    <w:rsid w:val="009D795B"/>
    <w:rsid w:val="009D7EE5"/>
    <w:rsid w:val="009D7F9E"/>
    <w:rsid w:val="009E00A0"/>
    <w:rsid w:val="009E0724"/>
    <w:rsid w:val="009E0F8A"/>
    <w:rsid w:val="009E28A1"/>
    <w:rsid w:val="009E3B14"/>
    <w:rsid w:val="009E414C"/>
    <w:rsid w:val="009E4172"/>
    <w:rsid w:val="009E45B7"/>
    <w:rsid w:val="009E460A"/>
    <w:rsid w:val="009E4875"/>
    <w:rsid w:val="009E4930"/>
    <w:rsid w:val="009E517E"/>
    <w:rsid w:val="009E5217"/>
    <w:rsid w:val="009E5249"/>
    <w:rsid w:val="009E5818"/>
    <w:rsid w:val="009E5CB3"/>
    <w:rsid w:val="009E655F"/>
    <w:rsid w:val="009E6C6C"/>
    <w:rsid w:val="009E7709"/>
    <w:rsid w:val="009E7855"/>
    <w:rsid w:val="009F0FF8"/>
    <w:rsid w:val="009F194E"/>
    <w:rsid w:val="009F247A"/>
    <w:rsid w:val="009F2C36"/>
    <w:rsid w:val="009F310A"/>
    <w:rsid w:val="009F32DE"/>
    <w:rsid w:val="009F34F1"/>
    <w:rsid w:val="009F3A1C"/>
    <w:rsid w:val="009F3CA4"/>
    <w:rsid w:val="009F422E"/>
    <w:rsid w:val="009F51C7"/>
    <w:rsid w:val="009F575A"/>
    <w:rsid w:val="009F5C3A"/>
    <w:rsid w:val="009F5DF1"/>
    <w:rsid w:val="009F618D"/>
    <w:rsid w:val="009F6209"/>
    <w:rsid w:val="009F70CE"/>
    <w:rsid w:val="009F7581"/>
    <w:rsid w:val="009F7C07"/>
    <w:rsid w:val="00A00121"/>
    <w:rsid w:val="00A00354"/>
    <w:rsid w:val="00A00B2B"/>
    <w:rsid w:val="00A00ECE"/>
    <w:rsid w:val="00A01261"/>
    <w:rsid w:val="00A013E0"/>
    <w:rsid w:val="00A0160C"/>
    <w:rsid w:val="00A0270F"/>
    <w:rsid w:val="00A02D7A"/>
    <w:rsid w:val="00A02EBA"/>
    <w:rsid w:val="00A03318"/>
    <w:rsid w:val="00A03A08"/>
    <w:rsid w:val="00A0410D"/>
    <w:rsid w:val="00A04247"/>
    <w:rsid w:val="00A04B66"/>
    <w:rsid w:val="00A04C0B"/>
    <w:rsid w:val="00A055C5"/>
    <w:rsid w:val="00A059D4"/>
    <w:rsid w:val="00A060B8"/>
    <w:rsid w:val="00A0707D"/>
    <w:rsid w:val="00A0753A"/>
    <w:rsid w:val="00A1019D"/>
    <w:rsid w:val="00A1050D"/>
    <w:rsid w:val="00A10C77"/>
    <w:rsid w:val="00A10E75"/>
    <w:rsid w:val="00A10EA3"/>
    <w:rsid w:val="00A10EF7"/>
    <w:rsid w:val="00A1168F"/>
    <w:rsid w:val="00A118DB"/>
    <w:rsid w:val="00A11E66"/>
    <w:rsid w:val="00A1252A"/>
    <w:rsid w:val="00A1360F"/>
    <w:rsid w:val="00A13C01"/>
    <w:rsid w:val="00A13E56"/>
    <w:rsid w:val="00A140FE"/>
    <w:rsid w:val="00A14AFE"/>
    <w:rsid w:val="00A154D7"/>
    <w:rsid w:val="00A1554B"/>
    <w:rsid w:val="00A15AF8"/>
    <w:rsid w:val="00A16EDA"/>
    <w:rsid w:val="00A172D2"/>
    <w:rsid w:val="00A17467"/>
    <w:rsid w:val="00A1769E"/>
    <w:rsid w:val="00A17B80"/>
    <w:rsid w:val="00A205FC"/>
    <w:rsid w:val="00A20B3F"/>
    <w:rsid w:val="00A20BE6"/>
    <w:rsid w:val="00A20E1B"/>
    <w:rsid w:val="00A211A9"/>
    <w:rsid w:val="00A21E36"/>
    <w:rsid w:val="00A21E41"/>
    <w:rsid w:val="00A2283A"/>
    <w:rsid w:val="00A22D1C"/>
    <w:rsid w:val="00A231F7"/>
    <w:rsid w:val="00A232B5"/>
    <w:rsid w:val="00A233AD"/>
    <w:rsid w:val="00A23A1A"/>
    <w:rsid w:val="00A23ED3"/>
    <w:rsid w:val="00A245B0"/>
    <w:rsid w:val="00A245B4"/>
    <w:rsid w:val="00A247FF"/>
    <w:rsid w:val="00A249AB"/>
    <w:rsid w:val="00A24D96"/>
    <w:rsid w:val="00A25312"/>
    <w:rsid w:val="00A25475"/>
    <w:rsid w:val="00A2625D"/>
    <w:rsid w:val="00A2667D"/>
    <w:rsid w:val="00A27451"/>
    <w:rsid w:val="00A30202"/>
    <w:rsid w:val="00A30251"/>
    <w:rsid w:val="00A303EC"/>
    <w:rsid w:val="00A3050F"/>
    <w:rsid w:val="00A30E37"/>
    <w:rsid w:val="00A30F9E"/>
    <w:rsid w:val="00A3108F"/>
    <w:rsid w:val="00A310DD"/>
    <w:rsid w:val="00A313E2"/>
    <w:rsid w:val="00A322C6"/>
    <w:rsid w:val="00A32D53"/>
    <w:rsid w:val="00A339D2"/>
    <w:rsid w:val="00A33A05"/>
    <w:rsid w:val="00A3406E"/>
    <w:rsid w:val="00A340C3"/>
    <w:rsid w:val="00A3429B"/>
    <w:rsid w:val="00A34310"/>
    <w:rsid w:val="00A34768"/>
    <w:rsid w:val="00A34C9A"/>
    <w:rsid w:val="00A350B0"/>
    <w:rsid w:val="00A350CE"/>
    <w:rsid w:val="00A35467"/>
    <w:rsid w:val="00A36125"/>
    <w:rsid w:val="00A36A27"/>
    <w:rsid w:val="00A36E12"/>
    <w:rsid w:val="00A3747C"/>
    <w:rsid w:val="00A37A86"/>
    <w:rsid w:val="00A37F6C"/>
    <w:rsid w:val="00A40A41"/>
    <w:rsid w:val="00A40E90"/>
    <w:rsid w:val="00A40FC0"/>
    <w:rsid w:val="00A41B2B"/>
    <w:rsid w:val="00A42681"/>
    <w:rsid w:val="00A426F7"/>
    <w:rsid w:val="00A42B6D"/>
    <w:rsid w:val="00A42E44"/>
    <w:rsid w:val="00A4310C"/>
    <w:rsid w:val="00A43C50"/>
    <w:rsid w:val="00A43DE4"/>
    <w:rsid w:val="00A43FBA"/>
    <w:rsid w:val="00A44AE1"/>
    <w:rsid w:val="00A44D42"/>
    <w:rsid w:val="00A4503A"/>
    <w:rsid w:val="00A4539E"/>
    <w:rsid w:val="00A4557C"/>
    <w:rsid w:val="00A4579B"/>
    <w:rsid w:val="00A4609D"/>
    <w:rsid w:val="00A46471"/>
    <w:rsid w:val="00A46489"/>
    <w:rsid w:val="00A46CC4"/>
    <w:rsid w:val="00A4755F"/>
    <w:rsid w:val="00A47600"/>
    <w:rsid w:val="00A500B1"/>
    <w:rsid w:val="00A508C0"/>
    <w:rsid w:val="00A50A19"/>
    <w:rsid w:val="00A51192"/>
    <w:rsid w:val="00A5255C"/>
    <w:rsid w:val="00A5269F"/>
    <w:rsid w:val="00A52E63"/>
    <w:rsid w:val="00A53353"/>
    <w:rsid w:val="00A5356D"/>
    <w:rsid w:val="00A53672"/>
    <w:rsid w:val="00A53EF9"/>
    <w:rsid w:val="00A54040"/>
    <w:rsid w:val="00A54482"/>
    <w:rsid w:val="00A54649"/>
    <w:rsid w:val="00A549E5"/>
    <w:rsid w:val="00A557E2"/>
    <w:rsid w:val="00A5588D"/>
    <w:rsid w:val="00A564C9"/>
    <w:rsid w:val="00A56CC4"/>
    <w:rsid w:val="00A56D6A"/>
    <w:rsid w:val="00A573B4"/>
    <w:rsid w:val="00A5758F"/>
    <w:rsid w:val="00A57851"/>
    <w:rsid w:val="00A6020C"/>
    <w:rsid w:val="00A605EB"/>
    <w:rsid w:val="00A60B45"/>
    <w:rsid w:val="00A60E5F"/>
    <w:rsid w:val="00A6101D"/>
    <w:rsid w:val="00A610E4"/>
    <w:rsid w:val="00A61D1F"/>
    <w:rsid w:val="00A61EF3"/>
    <w:rsid w:val="00A61F49"/>
    <w:rsid w:val="00A6232C"/>
    <w:rsid w:val="00A6391C"/>
    <w:rsid w:val="00A64107"/>
    <w:rsid w:val="00A644D2"/>
    <w:rsid w:val="00A64A80"/>
    <w:rsid w:val="00A6534D"/>
    <w:rsid w:val="00A6554F"/>
    <w:rsid w:val="00A66468"/>
    <w:rsid w:val="00A66AD7"/>
    <w:rsid w:val="00A67842"/>
    <w:rsid w:val="00A678CC"/>
    <w:rsid w:val="00A67CDD"/>
    <w:rsid w:val="00A7081A"/>
    <w:rsid w:val="00A70B17"/>
    <w:rsid w:val="00A70E7D"/>
    <w:rsid w:val="00A715C3"/>
    <w:rsid w:val="00A72093"/>
    <w:rsid w:val="00A720F8"/>
    <w:rsid w:val="00A72754"/>
    <w:rsid w:val="00A72B02"/>
    <w:rsid w:val="00A72F16"/>
    <w:rsid w:val="00A734EA"/>
    <w:rsid w:val="00A737B3"/>
    <w:rsid w:val="00A73A0F"/>
    <w:rsid w:val="00A74437"/>
    <w:rsid w:val="00A74535"/>
    <w:rsid w:val="00A745AB"/>
    <w:rsid w:val="00A745C4"/>
    <w:rsid w:val="00A74A09"/>
    <w:rsid w:val="00A750DB"/>
    <w:rsid w:val="00A75C42"/>
    <w:rsid w:val="00A75DD8"/>
    <w:rsid w:val="00A763D1"/>
    <w:rsid w:val="00A778A4"/>
    <w:rsid w:val="00A7791C"/>
    <w:rsid w:val="00A77B4B"/>
    <w:rsid w:val="00A77D9A"/>
    <w:rsid w:val="00A77FA8"/>
    <w:rsid w:val="00A80E5A"/>
    <w:rsid w:val="00A80FAB"/>
    <w:rsid w:val="00A814E5"/>
    <w:rsid w:val="00A81BE1"/>
    <w:rsid w:val="00A81CEC"/>
    <w:rsid w:val="00A823D7"/>
    <w:rsid w:val="00A82DB7"/>
    <w:rsid w:val="00A83B2A"/>
    <w:rsid w:val="00A844B8"/>
    <w:rsid w:val="00A848B1"/>
    <w:rsid w:val="00A85734"/>
    <w:rsid w:val="00A85AC7"/>
    <w:rsid w:val="00A85F33"/>
    <w:rsid w:val="00A85F8F"/>
    <w:rsid w:val="00A86151"/>
    <w:rsid w:val="00A862C4"/>
    <w:rsid w:val="00A8681F"/>
    <w:rsid w:val="00A86CE7"/>
    <w:rsid w:val="00A871FC"/>
    <w:rsid w:val="00A87AE3"/>
    <w:rsid w:val="00A87EE1"/>
    <w:rsid w:val="00A902ED"/>
    <w:rsid w:val="00A912A1"/>
    <w:rsid w:val="00A912DF"/>
    <w:rsid w:val="00A91ACA"/>
    <w:rsid w:val="00A92D5B"/>
    <w:rsid w:val="00A931C4"/>
    <w:rsid w:val="00A939DD"/>
    <w:rsid w:val="00A943CA"/>
    <w:rsid w:val="00A9478B"/>
    <w:rsid w:val="00A94E5C"/>
    <w:rsid w:val="00A953CA"/>
    <w:rsid w:val="00A95A2C"/>
    <w:rsid w:val="00A965EE"/>
    <w:rsid w:val="00A97ADD"/>
    <w:rsid w:val="00A97B0E"/>
    <w:rsid w:val="00A97E64"/>
    <w:rsid w:val="00A97E8A"/>
    <w:rsid w:val="00A97F51"/>
    <w:rsid w:val="00AA005F"/>
    <w:rsid w:val="00AA0B46"/>
    <w:rsid w:val="00AA14DA"/>
    <w:rsid w:val="00AA1528"/>
    <w:rsid w:val="00AA16D0"/>
    <w:rsid w:val="00AA1A5D"/>
    <w:rsid w:val="00AA1E22"/>
    <w:rsid w:val="00AA253A"/>
    <w:rsid w:val="00AA3957"/>
    <w:rsid w:val="00AA3A2A"/>
    <w:rsid w:val="00AA4299"/>
    <w:rsid w:val="00AA44E3"/>
    <w:rsid w:val="00AA5087"/>
    <w:rsid w:val="00AA513E"/>
    <w:rsid w:val="00AA5D83"/>
    <w:rsid w:val="00AA677B"/>
    <w:rsid w:val="00AA6FEA"/>
    <w:rsid w:val="00AA7BF7"/>
    <w:rsid w:val="00AB05F7"/>
    <w:rsid w:val="00AB0FFE"/>
    <w:rsid w:val="00AB1663"/>
    <w:rsid w:val="00AB17F8"/>
    <w:rsid w:val="00AB2B23"/>
    <w:rsid w:val="00AB2B2F"/>
    <w:rsid w:val="00AB2F18"/>
    <w:rsid w:val="00AB3842"/>
    <w:rsid w:val="00AB389D"/>
    <w:rsid w:val="00AB472C"/>
    <w:rsid w:val="00AB48B4"/>
    <w:rsid w:val="00AB4B14"/>
    <w:rsid w:val="00AB5090"/>
    <w:rsid w:val="00AB5253"/>
    <w:rsid w:val="00AB5F72"/>
    <w:rsid w:val="00AB60E3"/>
    <w:rsid w:val="00AB622E"/>
    <w:rsid w:val="00AB652C"/>
    <w:rsid w:val="00AB6C96"/>
    <w:rsid w:val="00AB6DFD"/>
    <w:rsid w:val="00AB6E62"/>
    <w:rsid w:val="00AB7F89"/>
    <w:rsid w:val="00AC0133"/>
    <w:rsid w:val="00AC068D"/>
    <w:rsid w:val="00AC0BA7"/>
    <w:rsid w:val="00AC0D32"/>
    <w:rsid w:val="00AC0F9C"/>
    <w:rsid w:val="00AC179D"/>
    <w:rsid w:val="00AC1885"/>
    <w:rsid w:val="00AC193B"/>
    <w:rsid w:val="00AC1E52"/>
    <w:rsid w:val="00AC2A48"/>
    <w:rsid w:val="00AC36FA"/>
    <w:rsid w:val="00AC3953"/>
    <w:rsid w:val="00AC50CE"/>
    <w:rsid w:val="00AC55ED"/>
    <w:rsid w:val="00AC5885"/>
    <w:rsid w:val="00AC5C58"/>
    <w:rsid w:val="00AC5FD7"/>
    <w:rsid w:val="00AC6051"/>
    <w:rsid w:val="00AC624A"/>
    <w:rsid w:val="00AC6975"/>
    <w:rsid w:val="00AC6B07"/>
    <w:rsid w:val="00AC75AF"/>
    <w:rsid w:val="00AC75C0"/>
    <w:rsid w:val="00AC7608"/>
    <w:rsid w:val="00AC7617"/>
    <w:rsid w:val="00AC77A9"/>
    <w:rsid w:val="00AC7A14"/>
    <w:rsid w:val="00AC7EA7"/>
    <w:rsid w:val="00AD0838"/>
    <w:rsid w:val="00AD13E6"/>
    <w:rsid w:val="00AD1B68"/>
    <w:rsid w:val="00AD29FF"/>
    <w:rsid w:val="00AD2DF5"/>
    <w:rsid w:val="00AD2F10"/>
    <w:rsid w:val="00AD354E"/>
    <w:rsid w:val="00AD35A9"/>
    <w:rsid w:val="00AD3AD3"/>
    <w:rsid w:val="00AD591C"/>
    <w:rsid w:val="00AD5D47"/>
    <w:rsid w:val="00AD637F"/>
    <w:rsid w:val="00AD654A"/>
    <w:rsid w:val="00AD6CD1"/>
    <w:rsid w:val="00AD6D2C"/>
    <w:rsid w:val="00AD756B"/>
    <w:rsid w:val="00AD788B"/>
    <w:rsid w:val="00AD7D38"/>
    <w:rsid w:val="00AE04C3"/>
    <w:rsid w:val="00AE083C"/>
    <w:rsid w:val="00AE0E31"/>
    <w:rsid w:val="00AE1489"/>
    <w:rsid w:val="00AE1755"/>
    <w:rsid w:val="00AE1A8B"/>
    <w:rsid w:val="00AE1DB6"/>
    <w:rsid w:val="00AE1E09"/>
    <w:rsid w:val="00AE254D"/>
    <w:rsid w:val="00AE2737"/>
    <w:rsid w:val="00AE27F8"/>
    <w:rsid w:val="00AE2BC8"/>
    <w:rsid w:val="00AE37EF"/>
    <w:rsid w:val="00AE38FE"/>
    <w:rsid w:val="00AE3AFB"/>
    <w:rsid w:val="00AE4751"/>
    <w:rsid w:val="00AE4A15"/>
    <w:rsid w:val="00AE5001"/>
    <w:rsid w:val="00AE5041"/>
    <w:rsid w:val="00AE5188"/>
    <w:rsid w:val="00AE52B8"/>
    <w:rsid w:val="00AE5678"/>
    <w:rsid w:val="00AE57D5"/>
    <w:rsid w:val="00AE6323"/>
    <w:rsid w:val="00AE65D5"/>
    <w:rsid w:val="00AE67EA"/>
    <w:rsid w:val="00AE6B3D"/>
    <w:rsid w:val="00AE6DF4"/>
    <w:rsid w:val="00AE7138"/>
    <w:rsid w:val="00AE771C"/>
    <w:rsid w:val="00AE79A9"/>
    <w:rsid w:val="00AE79AF"/>
    <w:rsid w:val="00AE7A2D"/>
    <w:rsid w:val="00AE7D67"/>
    <w:rsid w:val="00AF0D6A"/>
    <w:rsid w:val="00AF15BE"/>
    <w:rsid w:val="00AF2CB6"/>
    <w:rsid w:val="00AF361A"/>
    <w:rsid w:val="00AF39ED"/>
    <w:rsid w:val="00AF3B16"/>
    <w:rsid w:val="00AF3B44"/>
    <w:rsid w:val="00AF3D37"/>
    <w:rsid w:val="00AF4373"/>
    <w:rsid w:val="00AF4A47"/>
    <w:rsid w:val="00AF4CD6"/>
    <w:rsid w:val="00AF5779"/>
    <w:rsid w:val="00AF5A2A"/>
    <w:rsid w:val="00AF615B"/>
    <w:rsid w:val="00AF6668"/>
    <w:rsid w:val="00AF69FF"/>
    <w:rsid w:val="00AF6CE8"/>
    <w:rsid w:val="00AF7452"/>
    <w:rsid w:val="00B00274"/>
    <w:rsid w:val="00B00A86"/>
    <w:rsid w:val="00B0136D"/>
    <w:rsid w:val="00B019D3"/>
    <w:rsid w:val="00B01E4D"/>
    <w:rsid w:val="00B023F2"/>
    <w:rsid w:val="00B029B6"/>
    <w:rsid w:val="00B035AD"/>
    <w:rsid w:val="00B03C88"/>
    <w:rsid w:val="00B03FDC"/>
    <w:rsid w:val="00B04AF5"/>
    <w:rsid w:val="00B04BE3"/>
    <w:rsid w:val="00B04CC2"/>
    <w:rsid w:val="00B05573"/>
    <w:rsid w:val="00B05591"/>
    <w:rsid w:val="00B058DD"/>
    <w:rsid w:val="00B059B5"/>
    <w:rsid w:val="00B05CCB"/>
    <w:rsid w:val="00B06610"/>
    <w:rsid w:val="00B068BE"/>
    <w:rsid w:val="00B06B86"/>
    <w:rsid w:val="00B06C8E"/>
    <w:rsid w:val="00B071EA"/>
    <w:rsid w:val="00B07473"/>
    <w:rsid w:val="00B07F23"/>
    <w:rsid w:val="00B07F4B"/>
    <w:rsid w:val="00B100D9"/>
    <w:rsid w:val="00B10900"/>
    <w:rsid w:val="00B11019"/>
    <w:rsid w:val="00B11215"/>
    <w:rsid w:val="00B11C1D"/>
    <w:rsid w:val="00B11DA0"/>
    <w:rsid w:val="00B123EF"/>
    <w:rsid w:val="00B13A09"/>
    <w:rsid w:val="00B14A05"/>
    <w:rsid w:val="00B14B49"/>
    <w:rsid w:val="00B15CA6"/>
    <w:rsid w:val="00B15FCD"/>
    <w:rsid w:val="00B17FD5"/>
    <w:rsid w:val="00B20182"/>
    <w:rsid w:val="00B20F05"/>
    <w:rsid w:val="00B21A40"/>
    <w:rsid w:val="00B21B74"/>
    <w:rsid w:val="00B2200C"/>
    <w:rsid w:val="00B223DB"/>
    <w:rsid w:val="00B2248B"/>
    <w:rsid w:val="00B2320E"/>
    <w:rsid w:val="00B235DE"/>
    <w:rsid w:val="00B2367E"/>
    <w:rsid w:val="00B238D7"/>
    <w:rsid w:val="00B24CFB"/>
    <w:rsid w:val="00B24DE6"/>
    <w:rsid w:val="00B251A5"/>
    <w:rsid w:val="00B25379"/>
    <w:rsid w:val="00B25923"/>
    <w:rsid w:val="00B2616B"/>
    <w:rsid w:val="00B266CD"/>
    <w:rsid w:val="00B26D6F"/>
    <w:rsid w:val="00B27080"/>
    <w:rsid w:val="00B275CD"/>
    <w:rsid w:val="00B27A39"/>
    <w:rsid w:val="00B30054"/>
    <w:rsid w:val="00B30399"/>
    <w:rsid w:val="00B3249C"/>
    <w:rsid w:val="00B339EE"/>
    <w:rsid w:val="00B340B4"/>
    <w:rsid w:val="00B34635"/>
    <w:rsid w:val="00B348FB"/>
    <w:rsid w:val="00B34EF3"/>
    <w:rsid w:val="00B3504B"/>
    <w:rsid w:val="00B35561"/>
    <w:rsid w:val="00B35D99"/>
    <w:rsid w:val="00B35FCF"/>
    <w:rsid w:val="00B36007"/>
    <w:rsid w:val="00B369D5"/>
    <w:rsid w:val="00B370E3"/>
    <w:rsid w:val="00B376EE"/>
    <w:rsid w:val="00B37CDC"/>
    <w:rsid w:val="00B402ED"/>
    <w:rsid w:val="00B403E1"/>
    <w:rsid w:val="00B40474"/>
    <w:rsid w:val="00B40E41"/>
    <w:rsid w:val="00B41B14"/>
    <w:rsid w:val="00B41BB8"/>
    <w:rsid w:val="00B41F1E"/>
    <w:rsid w:val="00B42448"/>
    <w:rsid w:val="00B42DE8"/>
    <w:rsid w:val="00B43167"/>
    <w:rsid w:val="00B43298"/>
    <w:rsid w:val="00B4342E"/>
    <w:rsid w:val="00B434C4"/>
    <w:rsid w:val="00B44620"/>
    <w:rsid w:val="00B44851"/>
    <w:rsid w:val="00B4539D"/>
    <w:rsid w:val="00B45426"/>
    <w:rsid w:val="00B460E1"/>
    <w:rsid w:val="00B463A1"/>
    <w:rsid w:val="00B4733F"/>
    <w:rsid w:val="00B47601"/>
    <w:rsid w:val="00B47922"/>
    <w:rsid w:val="00B47D71"/>
    <w:rsid w:val="00B5005D"/>
    <w:rsid w:val="00B50559"/>
    <w:rsid w:val="00B505F2"/>
    <w:rsid w:val="00B507B0"/>
    <w:rsid w:val="00B50E33"/>
    <w:rsid w:val="00B517B5"/>
    <w:rsid w:val="00B51F00"/>
    <w:rsid w:val="00B52987"/>
    <w:rsid w:val="00B52E8F"/>
    <w:rsid w:val="00B531BA"/>
    <w:rsid w:val="00B53206"/>
    <w:rsid w:val="00B53230"/>
    <w:rsid w:val="00B544A4"/>
    <w:rsid w:val="00B5472B"/>
    <w:rsid w:val="00B55BC2"/>
    <w:rsid w:val="00B56500"/>
    <w:rsid w:val="00B56AD7"/>
    <w:rsid w:val="00B56DE2"/>
    <w:rsid w:val="00B570D1"/>
    <w:rsid w:val="00B574A5"/>
    <w:rsid w:val="00B574C2"/>
    <w:rsid w:val="00B57502"/>
    <w:rsid w:val="00B57937"/>
    <w:rsid w:val="00B60931"/>
    <w:rsid w:val="00B60BD6"/>
    <w:rsid w:val="00B60ED1"/>
    <w:rsid w:val="00B60F20"/>
    <w:rsid w:val="00B615F0"/>
    <w:rsid w:val="00B617B7"/>
    <w:rsid w:val="00B619A2"/>
    <w:rsid w:val="00B61E04"/>
    <w:rsid w:val="00B61E45"/>
    <w:rsid w:val="00B62C74"/>
    <w:rsid w:val="00B62F23"/>
    <w:rsid w:val="00B6312C"/>
    <w:rsid w:val="00B631F8"/>
    <w:rsid w:val="00B63416"/>
    <w:rsid w:val="00B63700"/>
    <w:rsid w:val="00B63864"/>
    <w:rsid w:val="00B63A2A"/>
    <w:rsid w:val="00B64877"/>
    <w:rsid w:val="00B64BFE"/>
    <w:rsid w:val="00B6621F"/>
    <w:rsid w:val="00B669FB"/>
    <w:rsid w:val="00B6744C"/>
    <w:rsid w:val="00B674A8"/>
    <w:rsid w:val="00B67766"/>
    <w:rsid w:val="00B67FCA"/>
    <w:rsid w:val="00B70EE2"/>
    <w:rsid w:val="00B713D8"/>
    <w:rsid w:val="00B71C06"/>
    <w:rsid w:val="00B71C30"/>
    <w:rsid w:val="00B71FDB"/>
    <w:rsid w:val="00B7306E"/>
    <w:rsid w:val="00B7316C"/>
    <w:rsid w:val="00B73382"/>
    <w:rsid w:val="00B73BA0"/>
    <w:rsid w:val="00B73FE5"/>
    <w:rsid w:val="00B74295"/>
    <w:rsid w:val="00B74716"/>
    <w:rsid w:val="00B7476B"/>
    <w:rsid w:val="00B75029"/>
    <w:rsid w:val="00B751C1"/>
    <w:rsid w:val="00B753D1"/>
    <w:rsid w:val="00B754C7"/>
    <w:rsid w:val="00B7586A"/>
    <w:rsid w:val="00B75D02"/>
    <w:rsid w:val="00B75D88"/>
    <w:rsid w:val="00B76120"/>
    <w:rsid w:val="00B7662F"/>
    <w:rsid w:val="00B769B8"/>
    <w:rsid w:val="00B76AFC"/>
    <w:rsid w:val="00B76FB2"/>
    <w:rsid w:val="00B770DB"/>
    <w:rsid w:val="00B770E0"/>
    <w:rsid w:val="00B77460"/>
    <w:rsid w:val="00B77E86"/>
    <w:rsid w:val="00B805A2"/>
    <w:rsid w:val="00B8098C"/>
    <w:rsid w:val="00B80E3A"/>
    <w:rsid w:val="00B810F2"/>
    <w:rsid w:val="00B8125A"/>
    <w:rsid w:val="00B818AA"/>
    <w:rsid w:val="00B834EB"/>
    <w:rsid w:val="00B83632"/>
    <w:rsid w:val="00B838E5"/>
    <w:rsid w:val="00B83AAC"/>
    <w:rsid w:val="00B84A7F"/>
    <w:rsid w:val="00B85196"/>
    <w:rsid w:val="00B8583F"/>
    <w:rsid w:val="00B85D04"/>
    <w:rsid w:val="00B85F22"/>
    <w:rsid w:val="00B8644D"/>
    <w:rsid w:val="00B86868"/>
    <w:rsid w:val="00B86CEB"/>
    <w:rsid w:val="00B8705B"/>
    <w:rsid w:val="00B879F6"/>
    <w:rsid w:val="00B90651"/>
    <w:rsid w:val="00B91420"/>
    <w:rsid w:val="00B91462"/>
    <w:rsid w:val="00B91697"/>
    <w:rsid w:val="00B91DBC"/>
    <w:rsid w:val="00B91EA1"/>
    <w:rsid w:val="00B920AD"/>
    <w:rsid w:val="00B9226A"/>
    <w:rsid w:val="00B92517"/>
    <w:rsid w:val="00B92931"/>
    <w:rsid w:val="00B92A42"/>
    <w:rsid w:val="00B9314D"/>
    <w:rsid w:val="00B93CF9"/>
    <w:rsid w:val="00B94387"/>
    <w:rsid w:val="00B946F3"/>
    <w:rsid w:val="00B95FF2"/>
    <w:rsid w:val="00B965DB"/>
    <w:rsid w:val="00B96A18"/>
    <w:rsid w:val="00B96F68"/>
    <w:rsid w:val="00B973EA"/>
    <w:rsid w:val="00B977E0"/>
    <w:rsid w:val="00B97927"/>
    <w:rsid w:val="00BA01D2"/>
    <w:rsid w:val="00BA085D"/>
    <w:rsid w:val="00BA10B9"/>
    <w:rsid w:val="00BA1765"/>
    <w:rsid w:val="00BA2655"/>
    <w:rsid w:val="00BA28EE"/>
    <w:rsid w:val="00BA2B66"/>
    <w:rsid w:val="00BA2F96"/>
    <w:rsid w:val="00BA3284"/>
    <w:rsid w:val="00BA3656"/>
    <w:rsid w:val="00BA3BD0"/>
    <w:rsid w:val="00BA3E2E"/>
    <w:rsid w:val="00BA3F1A"/>
    <w:rsid w:val="00BA4317"/>
    <w:rsid w:val="00BA477C"/>
    <w:rsid w:val="00BA4A86"/>
    <w:rsid w:val="00BA54DA"/>
    <w:rsid w:val="00BA5A2E"/>
    <w:rsid w:val="00BA5BBA"/>
    <w:rsid w:val="00BA60A5"/>
    <w:rsid w:val="00BB012B"/>
    <w:rsid w:val="00BB026E"/>
    <w:rsid w:val="00BB03CA"/>
    <w:rsid w:val="00BB03F2"/>
    <w:rsid w:val="00BB42E1"/>
    <w:rsid w:val="00BB4B6F"/>
    <w:rsid w:val="00BB4B75"/>
    <w:rsid w:val="00BB4EEE"/>
    <w:rsid w:val="00BB4FC6"/>
    <w:rsid w:val="00BB5180"/>
    <w:rsid w:val="00BB52DB"/>
    <w:rsid w:val="00BB56F4"/>
    <w:rsid w:val="00BB6020"/>
    <w:rsid w:val="00BB622F"/>
    <w:rsid w:val="00BB66D8"/>
    <w:rsid w:val="00BB76E3"/>
    <w:rsid w:val="00BC015A"/>
    <w:rsid w:val="00BC0173"/>
    <w:rsid w:val="00BC1516"/>
    <w:rsid w:val="00BC1C77"/>
    <w:rsid w:val="00BC2625"/>
    <w:rsid w:val="00BC27D4"/>
    <w:rsid w:val="00BC3235"/>
    <w:rsid w:val="00BC340F"/>
    <w:rsid w:val="00BC370F"/>
    <w:rsid w:val="00BC396B"/>
    <w:rsid w:val="00BC3AE0"/>
    <w:rsid w:val="00BC3CB3"/>
    <w:rsid w:val="00BC414B"/>
    <w:rsid w:val="00BC467C"/>
    <w:rsid w:val="00BC57BB"/>
    <w:rsid w:val="00BC57BC"/>
    <w:rsid w:val="00BC57F8"/>
    <w:rsid w:val="00BC5AD1"/>
    <w:rsid w:val="00BC65C7"/>
    <w:rsid w:val="00BC6715"/>
    <w:rsid w:val="00BC6BA1"/>
    <w:rsid w:val="00BC713C"/>
    <w:rsid w:val="00BC71B2"/>
    <w:rsid w:val="00BC751B"/>
    <w:rsid w:val="00BC7565"/>
    <w:rsid w:val="00BC7F48"/>
    <w:rsid w:val="00BD1915"/>
    <w:rsid w:val="00BD1B4F"/>
    <w:rsid w:val="00BD2555"/>
    <w:rsid w:val="00BD3787"/>
    <w:rsid w:val="00BD3965"/>
    <w:rsid w:val="00BD3DEB"/>
    <w:rsid w:val="00BD3E2D"/>
    <w:rsid w:val="00BD479F"/>
    <w:rsid w:val="00BD4BEA"/>
    <w:rsid w:val="00BD5214"/>
    <w:rsid w:val="00BD573D"/>
    <w:rsid w:val="00BD59D5"/>
    <w:rsid w:val="00BD667F"/>
    <w:rsid w:val="00BE03D5"/>
    <w:rsid w:val="00BE09AF"/>
    <w:rsid w:val="00BE0F2F"/>
    <w:rsid w:val="00BE114D"/>
    <w:rsid w:val="00BE124C"/>
    <w:rsid w:val="00BE219D"/>
    <w:rsid w:val="00BE24FB"/>
    <w:rsid w:val="00BE2790"/>
    <w:rsid w:val="00BE2A11"/>
    <w:rsid w:val="00BE2AF6"/>
    <w:rsid w:val="00BE38A2"/>
    <w:rsid w:val="00BE3E33"/>
    <w:rsid w:val="00BE456B"/>
    <w:rsid w:val="00BE482F"/>
    <w:rsid w:val="00BE48DE"/>
    <w:rsid w:val="00BE4B21"/>
    <w:rsid w:val="00BE4D0D"/>
    <w:rsid w:val="00BE4E27"/>
    <w:rsid w:val="00BE4F73"/>
    <w:rsid w:val="00BE5029"/>
    <w:rsid w:val="00BE5214"/>
    <w:rsid w:val="00BE58DC"/>
    <w:rsid w:val="00BE5A87"/>
    <w:rsid w:val="00BE5CC0"/>
    <w:rsid w:val="00BE5F9F"/>
    <w:rsid w:val="00BE6441"/>
    <w:rsid w:val="00BE6529"/>
    <w:rsid w:val="00BE7958"/>
    <w:rsid w:val="00BF0BB4"/>
    <w:rsid w:val="00BF1025"/>
    <w:rsid w:val="00BF190C"/>
    <w:rsid w:val="00BF1ECA"/>
    <w:rsid w:val="00BF1F09"/>
    <w:rsid w:val="00BF2271"/>
    <w:rsid w:val="00BF27FA"/>
    <w:rsid w:val="00BF2F29"/>
    <w:rsid w:val="00BF31F7"/>
    <w:rsid w:val="00BF33C9"/>
    <w:rsid w:val="00BF3441"/>
    <w:rsid w:val="00BF362D"/>
    <w:rsid w:val="00BF3637"/>
    <w:rsid w:val="00BF42A7"/>
    <w:rsid w:val="00BF436C"/>
    <w:rsid w:val="00BF4524"/>
    <w:rsid w:val="00BF4FD3"/>
    <w:rsid w:val="00BF5143"/>
    <w:rsid w:val="00BF54B4"/>
    <w:rsid w:val="00BF5990"/>
    <w:rsid w:val="00BF5E2A"/>
    <w:rsid w:val="00BF6A72"/>
    <w:rsid w:val="00BF71BF"/>
    <w:rsid w:val="00BF7C32"/>
    <w:rsid w:val="00BF7F45"/>
    <w:rsid w:val="00C0060C"/>
    <w:rsid w:val="00C00734"/>
    <w:rsid w:val="00C01700"/>
    <w:rsid w:val="00C01708"/>
    <w:rsid w:val="00C018C1"/>
    <w:rsid w:val="00C02282"/>
    <w:rsid w:val="00C029DE"/>
    <w:rsid w:val="00C02F81"/>
    <w:rsid w:val="00C03347"/>
    <w:rsid w:val="00C046F1"/>
    <w:rsid w:val="00C04CFD"/>
    <w:rsid w:val="00C04EEC"/>
    <w:rsid w:val="00C073C2"/>
    <w:rsid w:val="00C07704"/>
    <w:rsid w:val="00C079C8"/>
    <w:rsid w:val="00C1084A"/>
    <w:rsid w:val="00C10E32"/>
    <w:rsid w:val="00C11315"/>
    <w:rsid w:val="00C118E2"/>
    <w:rsid w:val="00C11EB6"/>
    <w:rsid w:val="00C1217C"/>
    <w:rsid w:val="00C122F1"/>
    <w:rsid w:val="00C13926"/>
    <w:rsid w:val="00C139E8"/>
    <w:rsid w:val="00C13AA2"/>
    <w:rsid w:val="00C13C3B"/>
    <w:rsid w:val="00C140AD"/>
    <w:rsid w:val="00C145F9"/>
    <w:rsid w:val="00C15839"/>
    <w:rsid w:val="00C1597F"/>
    <w:rsid w:val="00C159B9"/>
    <w:rsid w:val="00C163AE"/>
    <w:rsid w:val="00C1743C"/>
    <w:rsid w:val="00C17F39"/>
    <w:rsid w:val="00C20D44"/>
    <w:rsid w:val="00C21A39"/>
    <w:rsid w:val="00C22363"/>
    <w:rsid w:val="00C22AE3"/>
    <w:rsid w:val="00C22D11"/>
    <w:rsid w:val="00C22E1C"/>
    <w:rsid w:val="00C22F8B"/>
    <w:rsid w:val="00C23BC0"/>
    <w:rsid w:val="00C23EEE"/>
    <w:rsid w:val="00C23EF8"/>
    <w:rsid w:val="00C24461"/>
    <w:rsid w:val="00C24504"/>
    <w:rsid w:val="00C24F0B"/>
    <w:rsid w:val="00C2534D"/>
    <w:rsid w:val="00C2596F"/>
    <w:rsid w:val="00C25F2A"/>
    <w:rsid w:val="00C25F8C"/>
    <w:rsid w:val="00C26688"/>
    <w:rsid w:val="00C268AD"/>
    <w:rsid w:val="00C26A75"/>
    <w:rsid w:val="00C305FA"/>
    <w:rsid w:val="00C30823"/>
    <w:rsid w:val="00C30AC2"/>
    <w:rsid w:val="00C30AF1"/>
    <w:rsid w:val="00C315E3"/>
    <w:rsid w:val="00C31D9D"/>
    <w:rsid w:val="00C3228B"/>
    <w:rsid w:val="00C3253C"/>
    <w:rsid w:val="00C328F1"/>
    <w:rsid w:val="00C32B9D"/>
    <w:rsid w:val="00C3321F"/>
    <w:rsid w:val="00C33B44"/>
    <w:rsid w:val="00C33DD6"/>
    <w:rsid w:val="00C3508C"/>
    <w:rsid w:val="00C35308"/>
    <w:rsid w:val="00C3651E"/>
    <w:rsid w:val="00C368C2"/>
    <w:rsid w:val="00C36BB9"/>
    <w:rsid w:val="00C37383"/>
    <w:rsid w:val="00C40607"/>
    <w:rsid w:val="00C40AAE"/>
    <w:rsid w:val="00C40E13"/>
    <w:rsid w:val="00C414DE"/>
    <w:rsid w:val="00C419BA"/>
    <w:rsid w:val="00C424FD"/>
    <w:rsid w:val="00C429A6"/>
    <w:rsid w:val="00C42FDA"/>
    <w:rsid w:val="00C431BC"/>
    <w:rsid w:val="00C436C3"/>
    <w:rsid w:val="00C43790"/>
    <w:rsid w:val="00C44BF2"/>
    <w:rsid w:val="00C4553A"/>
    <w:rsid w:val="00C455C4"/>
    <w:rsid w:val="00C4563B"/>
    <w:rsid w:val="00C46BA4"/>
    <w:rsid w:val="00C46C71"/>
    <w:rsid w:val="00C4702B"/>
    <w:rsid w:val="00C4727C"/>
    <w:rsid w:val="00C47D12"/>
    <w:rsid w:val="00C506BD"/>
    <w:rsid w:val="00C50B73"/>
    <w:rsid w:val="00C50F43"/>
    <w:rsid w:val="00C51724"/>
    <w:rsid w:val="00C51D83"/>
    <w:rsid w:val="00C5234C"/>
    <w:rsid w:val="00C523D4"/>
    <w:rsid w:val="00C52471"/>
    <w:rsid w:val="00C524EB"/>
    <w:rsid w:val="00C52867"/>
    <w:rsid w:val="00C53179"/>
    <w:rsid w:val="00C536FC"/>
    <w:rsid w:val="00C5396F"/>
    <w:rsid w:val="00C539D3"/>
    <w:rsid w:val="00C53A94"/>
    <w:rsid w:val="00C53B03"/>
    <w:rsid w:val="00C54224"/>
    <w:rsid w:val="00C54919"/>
    <w:rsid w:val="00C54AE4"/>
    <w:rsid w:val="00C55CC5"/>
    <w:rsid w:val="00C5645C"/>
    <w:rsid w:val="00C56CB8"/>
    <w:rsid w:val="00C56D7A"/>
    <w:rsid w:val="00C56E15"/>
    <w:rsid w:val="00C57991"/>
    <w:rsid w:val="00C57A1C"/>
    <w:rsid w:val="00C57FDB"/>
    <w:rsid w:val="00C60888"/>
    <w:rsid w:val="00C609BD"/>
    <w:rsid w:val="00C60E68"/>
    <w:rsid w:val="00C611A5"/>
    <w:rsid w:val="00C61489"/>
    <w:rsid w:val="00C61937"/>
    <w:rsid w:val="00C623AC"/>
    <w:rsid w:val="00C627FD"/>
    <w:rsid w:val="00C628A6"/>
    <w:rsid w:val="00C63799"/>
    <w:rsid w:val="00C637F2"/>
    <w:rsid w:val="00C63D93"/>
    <w:rsid w:val="00C63EF3"/>
    <w:rsid w:val="00C63FEF"/>
    <w:rsid w:val="00C6442E"/>
    <w:rsid w:val="00C647E0"/>
    <w:rsid w:val="00C64C28"/>
    <w:rsid w:val="00C64E18"/>
    <w:rsid w:val="00C65117"/>
    <w:rsid w:val="00C652B8"/>
    <w:rsid w:val="00C653A8"/>
    <w:rsid w:val="00C656DF"/>
    <w:rsid w:val="00C65E46"/>
    <w:rsid w:val="00C65E8B"/>
    <w:rsid w:val="00C66871"/>
    <w:rsid w:val="00C66C1A"/>
    <w:rsid w:val="00C67041"/>
    <w:rsid w:val="00C670F8"/>
    <w:rsid w:val="00C67186"/>
    <w:rsid w:val="00C674E9"/>
    <w:rsid w:val="00C677EC"/>
    <w:rsid w:val="00C7005B"/>
    <w:rsid w:val="00C701BA"/>
    <w:rsid w:val="00C70263"/>
    <w:rsid w:val="00C70678"/>
    <w:rsid w:val="00C707F2"/>
    <w:rsid w:val="00C7126E"/>
    <w:rsid w:val="00C71841"/>
    <w:rsid w:val="00C722C6"/>
    <w:rsid w:val="00C7285D"/>
    <w:rsid w:val="00C72CFC"/>
    <w:rsid w:val="00C72FBB"/>
    <w:rsid w:val="00C73182"/>
    <w:rsid w:val="00C731FC"/>
    <w:rsid w:val="00C7321E"/>
    <w:rsid w:val="00C7377D"/>
    <w:rsid w:val="00C741AB"/>
    <w:rsid w:val="00C7421B"/>
    <w:rsid w:val="00C7483F"/>
    <w:rsid w:val="00C75178"/>
    <w:rsid w:val="00C7519B"/>
    <w:rsid w:val="00C7682E"/>
    <w:rsid w:val="00C76C5D"/>
    <w:rsid w:val="00C77312"/>
    <w:rsid w:val="00C77678"/>
    <w:rsid w:val="00C77682"/>
    <w:rsid w:val="00C77825"/>
    <w:rsid w:val="00C77A62"/>
    <w:rsid w:val="00C80132"/>
    <w:rsid w:val="00C80173"/>
    <w:rsid w:val="00C80957"/>
    <w:rsid w:val="00C817EA"/>
    <w:rsid w:val="00C82495"/>
    <w:rsid w:val="00C829D0"/>
    <w:rsid w:val="00C83142"/>
    <w:rsid w:val="00C832B1"/>
    <w:rsid w:val="00C83741"/>
    <w:rsid w:val="00C83D61"/>
    <w:rsid w:val="00C83FB9"/>
    <w:rsid w:val="00C84B66"/>
    <w:rsid w:val="00C85005"/>
    <w:rsid w:val="00C85326"/>
    <w:rsid w:val="00C85B0F"/>
    <w:rsid w:val="00C860AF"/>
    <w:rsid w:val="00C86BE7"/>
    <w:rsid w:val="00C86CC2"/>
    <w:rsid w:val="00C874A9"/>
    <w:rsid w:val="00C874FA"/>
    <w:rsid w:val="00C87B84"/>
    <w:rsid w:val="00C87F3D"/>
    <w:rsid w:val="00C90917"/>
    <w:rsid w:val="00C90A94"/>
    <w:rsid w:val="00C914B7"/>
    <w:rsid w:val="00C915B2"/>
    <w:rsid w:val="00C921E8"/>
    <w:rsid w:val="00C92CA7"/>
    <w:rsid w:val="00C93092"/>
    <w:rsid w:val="00C93898"/>
    <w:rsid w:val="00C93CD9"/>
    <w:rsid w:val="00C94697"/>
    <w:rsid w:val="00C947A3"/>
    <w:rsid w:val="00C94E17"/>
    <w:rsid w:val="00C94EFA"/>
    <w:rsid w:val="00C952C7"/>
    <w:rsid w:val="00C954B7"/>
    <w:rsid w:val="00C95972"/>
    <w:rsid w:val="00C960C3"/>
    <w:rsid w:val="00C962D9"/>
    <w:rsid w:val="00C966AA"/>
    <w:rsid w:val="00C97242"/>
    <w:rsid w:val="00C976F7"/>
    <w:rsid w:val="00C977C7"/>
    <w:rsid w:val="00C9796D"/>
    <w:rsid w:val="00C97D1B"/>
    <w:rsid w:val="00C97E6A"/>
    <w:rsid w:val="00C97EF6"/>
    <w:rsid w:val="00CA0236"/>
    <w:rsid w:val="00CA2517"/>
    <w:rsid w:val="00CA27A2"/>
    <w:rsid w:val="00CA2B54"/>
    <w:rsid w:val="00CA2D0D"/>
    <w:rsid w:val="00CA34AB"/>
    <w:rsid w:val="00CA4019"/>
    <w:rsid w:val="00CA47EF"/>
    <w:rsid w:val="00CA489D"/>
    <w:rsid w:val="00CA4F67"/>
    <w:rsid w:val="00CA5902"/>
    <w:rsid w:val="00CA598A"/>
    <w:rsid w:val="00CA5C7E"/>
    <w:rsid w:val="00CA66AD"/>
    <w:rsid w:val="00CA7229"/>
    <w:rsid w:val="00CA731C"/>
    <w:rsid w:val="00CA7365"/>
    <w:rsid w:val="00CB0D11"/>
    <w:rsid w:val="00CB10A2"/>
    <w:rsid w:val="00CB10FB"/>
    <w:rsid w:val="00CB1698"/>
    <w:rsid w:val="00CB233C"/>
    <w:rsid w:val="00CB2402"/>
    <w:rsid w:val="00CB331F"/>
    <w:rsid w:val="00CB3A77"/>
    <w:rsid w:val="00CB3C79"/>
    <w:rsid w:val="00CB3F7D"/>
    <w:rsid w:val="00CB5734"/>
    <w:rsid w:val="00CB5BCA"/>
    <w:rsid w:val="00CB5EC0"/>
    <w:rsid w:val="00CB5EF2"/>
    <w:rsid w:val="00CB61AE"/>
    <w:rsid w:val="00CB6E8D"/>
    <w:rsid w:val="00CB7788"/>
    <w:rsid w:val="00CB7BEF"/>
    <w:rsid w:val="00CC1D82"/>
    <w:rsid w:val="00CC26FF"/>
    <w:rsid w:val="00CC2906"/>
    <w:rsid w:val="00CC29E3"/>
    <w:rsid w:val="00CC2A47"/>
    <w:rsid w:val="00CC302A"/>
    <w:rsid w:val="00CC337E"/>
    <w:rsid w:val="00CC3623"/>
    <w:rsid w:val="00CC4E19"/>
    <w:rsid w:val="00CC514E"/>
    <w:rsid w:val="00CC5ABF"/>
    <w:rsid w:val="00CC5E60"/>
    <w:rsid w:val="00CC70EC"/>
    <w:rsid w:val="00CC7B7C"/>
    <w:rsid w:val="00CC7E51"/>
    <w:rsid w:val="00CD0096"/>
    <w:rsid w:val="00CD0F06"/>
    <w:rsid w:val="00CD1066"/>
    <w:rsid w:val="00CD2366"/>
    <w:rsid w:val="00CD2447"/>
    <w:rsid w:val="00CD2717"/>
    <w:rsid w:val="00CD2E6B"/>
    <w:rsid w:val="00CD30A5"/>
    <w:rsid w:val="00CD3105"/>
    <w:rsid w:val="00CD3228"/>
    <w:rsid w:val="00CD3397"/>
    <w:rsid w:val="00CD359D"/>
    <w:rsid w:val="00CD38B0"/>
    <w:rsid w:val="00CD3B21"/>
    <w:rsid w:val="00CD3DE2"/>
    <w:rsid w:val="00CD3F88"/>
    <w:rsid w:val="00CD4138"/>
    <w:rsid w:val="00CD4768"/>
    <w:rsid w:val="00CD5A06"/>
    <w:rsid w:val="00CD61DF"/>
    <w:rsid w:val="00CD6A2B"/>
    <w:rsid w:val="00CD726C"/>
    <w:rsid w:val="00CE18B5"/>
    <w:rsid w:val="00CE2657"/>
    <w:rsid w:val="00CE3477"/>
    <w:rsid w:val="00CE3901"/>
    <w:rsid w:val="00CE397B"/>
    <w:rsid w:val="00CE3AF8"/>
    <w:rsid w:val="00CE3E76"/>
    <w:rsid w:val="00CE3F8D"/>
    <w:rsid w:val="00CE412E"/>
    <w:rsid w:val="00CE4314"/>
    <w:rsid w:val="00CE44EF"/>
    <w:rsid w:val="00CE48B5"/>
    <w:rsid w:val="00CE4F8A"/>
    <w:rsid w:val="00CE4F91"/>
    <w:rsid w:val="00CE5F11"/>
    <w:rsid w:val="00CE69ED"/>
    <w:rsid w:val="00CE6D55"/>
    <w:rsid w:val="00CE7045"/>
    <w:rsid w:val="00CE70FC"/>
    <w:rsid w:val="00CE7575"/>
    <w:rsid w:val="00CE7A0C"/>
    <w:rsid w:val="00CE7EA1"/>
    <w:rsid w:val="00CF0473"/>
    <w:rsid w:val="00CF07DB"/>
    <w:rsid w:val="00CF14AF"/>
    <w:rsid w:val="00CF19E3"/>
    <w:rsid w:val="00CF1E56"/>
    <w:rsid w:val="00CF251D"/>
    <w:rsid w:val="00CF28A8"/>
    <w:rsid w:val="00CF31CE"/>
    <w:rsid w:val="00CF34AD"/>
    <w:rsid w:val="00CF396C"/>
    <w:rsid w:val="00CF3A12"/>
    <w:rsid w:val="00CF437E"/>
    <w:rsid w:val="00CF4456"/>
    <w:rsid w:val="00CF54B2"/>
    <w:rsid w:val="00CF5880"/>
    <w:rsid w:val="00CF664A"/>
    <w:rsid w:val="00CF7E19"/>
    <w:rsid w:val="00CF7E7F"/>
    <w:rsid w:val="00CF7EE6"/>
    <w:rsid w:val="00D00931"/>
    <w:rsid w:val="00D014D0"/>
    <w:rsid w:val="00D02060"/>
    <w:rsid w:val="00D02A70"/>
    <w:rsid w:val="00D02CBF"/>
    <w:rsid w:val="00D0336B"/>
    <w:rsid w:val="00D03670"/>
    <w:rsid w:val="00D042C5"/>
    <w:rsid w:val="00D049FB"/>
    <w:rsid w:val="00D04C44"/>
    <w:rsid w:val="00D04FF4"/>
    <w:rsid w:val="00D05003"/>
    <w:rsid w:val="00D051D9"/>
    <w:rsid w:val="00D0558D"/>
    <w:rsid w:val="00D056DB"/>
    <w:rsid w:val="00D05BC0"/>
    <w:rsid w:val="00D0665E"/>
    <w:rsid w:val="00D06A57"/>
    <w:rsid w:val="00D075FE"/>
    <w:rsid w:val="00D07A70"/>
    <w:rsid w:val="00D1056F"/>
    <w:rsid w:val="00D10D43"/>
    <w:rsid w:val="00D11FD0"/>
    <w:rsid w:val="00D120DA"/>
    <w:rsid w:val="00D1294B"/>
    <w:rsid w:val="00D13A43"/>
    <w:rsid w:val="00D1430D"/>
    <w:rsid w:val="00D1451B"/>
    <w:rsid w:val="00D145F7"/>
    <w:rsid w:val="00D14A59"/>
    <w:rsid w:val="00D14C33"/>
    <w:rsid w:val="00D156C1"/>
    <w:rsid w:val="00D15CF3"/>
    <w:rsid w:val="00D1668C"/>
    <w:rsid w:val="00D16CC3"/>
    <w:rsid w:val="00D16E81"/>
    <w:rsid w:val="00D172E5"/>
    <w:rsid w:val="00D176B5"/>
    <w:rsid w:val="00D17C83"/>
    <w:rsid w:val="00D17D6B"/>
    <w:rsid w:val="00D17DDD"/>
    <w:rsid w:val="00D17F30"/>
    <w:rsid w:val="00D20624"/>
    <w:rsid w:val="00D20853"/>
    <w:rsid w:val="00D20AE8"/>
    <w:rsid w:val="00D20D31"/>
    <w:rsid w:val="00D20E99"/>
    <w:rsid w:val="00D211A7"/>
    <w:rsid w:val="00D21442"/>
    <w:rsid w:val="00D21839"/>
    <w:rsid w:val="00D219FA"/>
    <w:rsid w:val="00D21CA8"/>
    <w:rsid w:val="00D22810"/>
    <w:rsid w:val="00D22B6A"/>
    <w:rsid w:val="00D22E31"/>
    <w:rsid w:val="00D22EB2"/>
    <w:rsid w:val="00D2304B"/>
    <w:rsid w:val="00D23276"/>
    <w:rsid w:val="00D23292"/>
    <w:rsid w:val="00D23433"/>
    <w:rsid w:val="00D2363F"/>
    <w:rsid w:val="00D2379C"/>
    <w:rsid w:val="00D237F2"/>
    <w:rsid w:val="00D2389A"/>
    <w:rsid w:val="00D23F1F"/>
    <w:rsid w:val="00D250B8"/>
    <w:rsid w:val="00D26426"/>
    <w:rsid w:val="00D26602"/>
    <w:rsid w:val="00D2688F"/>
    <w:rsid w:val="00D275D1"/>
    <w:rsid w:val="00D27614"/>
    <w:rsid w:val="00D27D2E"/>
    <w:rsid w:val="00D27E39"/>
    <w:rsid w:val="00D3039B"/>
    <w:rsid w:val="00D3085E"/>
    <w:rsid w:val="00D31623"/>
    <w:rsid w:val="00D3269D"/>
    <w:rsid w:val="00D329E2"/>
    <w:rsid w:val="00D32A88"/>
    <w:rsid w:val="00D32D75"/>
    <w:rsid w:val="00D32DA9"/>
    <w:rsid w:val="00D33EEB"/>
    <w:rsid w:val="00D34383"/>
    <w:rsid w:val="00D34DE2"/>
    <w:rsid w:val="00D34FD4"/>
    <w:rsid w:val="00D35A9E"/>
    <w:rsid w:val="00D35F88"/>
    <w:rsid w:val="00D363E3"/>
    <w:rsid w:val="00D36AE4"/>
    <w:rsid w:val="00D372BD"/>
    <w:rsid w:val="00D376D2"/>
    <w:rsid w:val="00D37A74"/>
    <w:rsid w:val="00D407F9"/>
    <w:rsid w:val="00D40CF1"/>
    <w:rsid w:val="00D41240"/>
    <w:rsid w:val="00D4217D"/>
    <w:rsid w:val="00D42330"/>
    <w:rsid w:val="00D426FD"/>
    <w:rsid w:val="00D42C75"/>
    <w:rsid w:val="00D443FB"/>
    <w:rsid w:val="00D44988"/>
    <w:rsid w:val="00D44EAB"/>
    <w:rsid w:val="00D453BB"/>
    <w:rsid w:val="00D46596"/>
    <w:rsid w:val="00D46BC7"/>
    <w:rsid w:val="00D47285"/>
    <w:rsid w:val="00D47B5A"/>
    <w:rsid w:val="00D47F60"/>
    <w:rsid w:val="00D50BB6"/>
    <w:rsid w:val="00D51154"/>
    <w:rsid w:val="00D511BB"/>
    <w:rsid w:val="00D512FC"/>
    <w:rsid w:val="00D51433"/>
    <w:rsid w:val="00D51CD2"/>
    <w:rsid w:val="00D51EF5"/>
    <w:rsid w:val="00D524DC"/>
    <w:rsid w:val="00D52A9C"/>
    <w:rsid w:val="00D540BC"/>
    <w:rsid w:val="00D5471B"/>
    <w:rsid w:val="00D5499C"/>
    <w:rsid w:val="00D5545D"/>
    <w:rsid w:val="00D554B8"/>
    <w:rsid w:val="00D55CCB"/>
    <w:rsid w:val="00D5692C"/>
    <w:rsid w:val="00D571FC"/>
    <w:rsid w:val="00D57739"/>
    <w:rsid w:val="00D5773C"/>
    <w:rsid w:val="00D57958"/>
    <w:rsid w:val="00D57D65"/>
    <w:rsid w:val="00D60C33"/>
    <w:rsid w:val="00D614B4"/>
    <w:rsid w:val="00D61524"/>
    <w:rsid w:val="00D6186B"/>
    <w:rsid w:val="00D629A7"/>
    <w:rsid w:val="00D640A7"/>
    <w:rsid w:val="00D641A4"/>
    <w:rsid w:val="00D647A9"/>
    <w:rsid w:val="00D64EEC"/>
    <w:rsid w:val="00D65676"/>
    <w:rsid w:val="00D65734"/>
    <w:rsid w:val="00D65786"/>
    <w:rsid w:val="00D6591C"/>
    <w:rsid w:val="00D65E30"/>
    <w:rsid w:val="00D65F97"/>
    <w:rsid w:val="00D66097"/>
    <w:rsid w:val="00D66943"/>
    <w:rsid w:val="00D66AD3"/>
    <w:rsid w:val="00D66BB3"/>
    <w:rsid w:val="00D676EE"/>
    <w:rsid w:val="00D67AD4"/>
    <w:rsid w:val="00D67CCA"/>
    <w:rsid w:val="00D7024C"/>
    <w:rsid w:val="00D7096E"/>
    <w:rsid w:val="00D70E05"/>
    <w:rsid w:val="00D7131B"/>
    <w:rsid w:val="00D723F5"/>
    <w:rsid w:val="00D730A5"/>
    <w:rsid w:val="00D732F6"/>
    <w:rsid w:val="00D73DD6"/>
    <w:rsid w:val="00D73FA4"/>
    <w:rsid w:val="00D7454D"/>
    <w:rsid w:val="00D761CC"/>
    <w:rsid w:val="00D76909"/>
    <w:rsid w:val="00D76D35"/>
    <w:rsid w:val="00D7785C"/>
    <w:rsid w:val="00D7795F"/>
    <w:rsid w:val="00D77A4F"/>
    <w:rsid w:val="00D801C8"/>
    <w:rsid w:val="00D80378"/>
    <w:rsid w:val="00D8195E"/>
    <w:rsid w:val="00D81A20"/>
    <w:rsid w:val="00D81DED"/>
    <w:rsid w:val="00D8239E"/>
    <w:rsid w:val="00D823E9"/>
    <w:rsid w:val="00D82567"/>
    <w:rsid w:val="00D837E5"/>
    <w:rsid w:val="00D83AD5"/>
    <w:rsid w:val="00D83B57"/>
    <w:rsid w:val="00D8442B"/>
    <w:rsid w:val="00D84583"/>
    <w:rsid w:val="00D84B14"/>
    <w:rsid w:val="00D8556A"/>
    <w:rsid w:val="00D85CAD"/>
    <w:rsid w:val="00D86276"/>
    <w:rsid w:val="00D8681D"/>
    <w:rsid w:val="00D86CF2"/>
    <w:rsid w:val="00D86D9C"/>
    <w:rsid w:val="00D86F34"/>
    <w:rsid w:val="00D87479"/>
    <w:rsid w:val="00D87A3C"/>
    <w:rsid w:val="00D90280"/>
    <w:rsid w:val="00D90999"/>
    <w:rsid w:val="00D90E84"/>
    <w:rsid w:val="00D91069"/>
    <w:rsid w:val="00D911BD"/>
    <w:rsid w:val="00D914B3"/>
    <w:rsid w:val="00D9161D"/>
    <w:rsid w:val="00D91D73"/>
    <w:rsid w:val="00D921CB"/>
    <w:rsid w:val="00D92788"/>
    <w:rsid w:val="00D927F8"/>
    <w:rsid w:val="00D92A2B"/>
    <w:rsid w:val="00D92BC7"/>
    <w:rsid w:val="00D93319"/>
    <w:rsid w:val="00D93956"/>
    <w:rsid w:val="00D93DFA"/>
    <w:rsid w:val="00D940FA"/>
    <w:rsid w:val="00D94C9B"/>
    <w:rsid w:val="00D94F8C"/>
    <w:rsid w:val="00D95D47"/>
    <w:rsid w:val="00D95F78"/>
    <w:rsid w:val="00D9622D"/>
    <w:rsid w:val="00D963D2"/>
    <w:rsid w:val="00D966E5"/>
    <w:rsid w:val="00D96C4D"/>
    <w:rsid w:val="00D96C85"/>
    <w:rsid w:val="00D96CD0"/>
    <w:rsid w:val="00D97633"/>
    <w:rsid w:val="00DA0D08"/>
    <w:rsid w:val="00DA11C3"/>
    <w:rsid w:val="00DA1277"/>
    <w:rsid w:val="00DA14E9"/>
    <w:rsid w:val="00DA161E"/>
    <w:rsid w:val="00DA1D55"/>
    <w:rsid w:val="00DA2008"/>
    <w:rsid w:val="00DA24EA"/>
    <w:rsid w:val="00DA2AD2"/>
    <w:rsid w:val="00DA2B5A"/>
    <w:rsid w:val="00DA2D1F"/>
    <w:rsid w:val="00DA3243"/>
    <w:rsid w:val="00DA3C00"/>
    <w:rsid w:val="00DA48CC"/>
    <w:rsid w:val="00DA4DC4"/>
    <w:rsid w:val="00DA6066"/>
    <w:rsid w:val="00DA61D7"/>
    <w:rsid w:val="00DA62A8"/>
    <w:rsid w:val="00DA6358"/>
    <w:rsid w:val="00DA6379"/>
    <w:rsid w:val="00DA6462"/>
    <w:rsid w:val="00DA6584"/>
    <w:rsid w:val="00DA66E2"/>
    <w:rsid w:val="00DA679E"/>
    <w:rsid w:val="00DA6D51"/>
    <w:rsid w:val="00DA7275"/>
    <w:rsid w:val="00DA7595"/>
    <w:rsid w:val="00DA7D2B"/>
    <w:rsid w:val="00DB05B9"/>
    <w:rsid w:val="00DB0CE0"/>
    <w:rsid w:val="00DB10B7"/>
    <w:rsid w:val="00DB1112"/>
    <w:rsid w:val="00DB1C58"/>
    <w:rsid w:val="00DB1F66"/>
    <w:rsid w:val="00DB2025"/>
    <w:rsid w:val="00DB2046"/>
    <w:rsid w:val="00DB209D"/>
    <w:rsid w:val="00DB238C"/>
    <w:rsid w:val="00DB29AF"/>
    <w:rsid w:val="00DB2D9C"/>
    <w:rsid w:val="00DB3D45"/>
    <w:rsid w:val="00DB403E"/>
    <w:rsid w:val="00DB4606"/>
    <w:rsid w:val="00DB4934"/>
    <w:rsid w:val="00DB56C5"/>
    <w:rsid w:val="00DB5808"/>
    <w:rsid w:val="00DB5D4C"/>
    <w:rsid w:val="00DB6917"/>
    <w:rsid w:val="00DB77A0"/>
    <w:rsid w:val="00DB782C"/>
    <w:rsid w:val="00DB797D"/>
    <w:rsid w:val="00DB7F0B"/>
    <w:rsid w:val="00DC05DB"/>
    <w:rsid w:val="00DC077A"/>
    <w:rsid w:val="00DC098C"/>
    <w:rsid w:val="00DC1B78"/>
    <w:rsid w:val="00DC2471"/>
    <w:rsid w:val="00DC28D6"/>
    <w:rsid w:val="00DC2A57"/>
    <w:rsid w:val="00DC2BA9"/>
    <w:rsid w:val="00DC328F"/>
    <w:rsid w:val="00DC3757"/>
    <w:rsid w:val="00DC3A4E"/>
    <w:rsid w:val="00DC3A92"/>
    <w:rsid w:val="00DC3FC6"/>
    <w:rsid w:val="00DC40FB"/>
    <w:rsid w:val="00DC48D7"/>
    <w:rsid w:val="00DC4A7F"/>
    <w:rsid w:val="00DC5A37"/>
    <w:rsid w:val="00DC709E"/>
    <w:rsid w:val="00DC711B"/>
    <w:rsid w:val="00DC758D"/>
    <w:rsid w:val="00DC769F"/>
    <w:rsid w:val="00DD0ABE"/>
    <w:rsid w:val="00DD1B36"/>
    <w:rsid w:val="00DD300A"/>
    <w:rsid w:val="00DD31F7"/>
    <w:rsid w:val="00DD37AD"/>
    <w:rsid w:val="00DD388F"/>
    <w:rsid w:val="00DD392A"/>
    <w:rsid w:val="00DD3A61"/>
    <w:rsid w:val="00DD3C3B"/>
    <w:rsid w:val="00DD3F05"/>
    <w:rsid w:val="00DD408C"/>
    <w:rsid w:val="00DD40C3"/>
    <w:rsid w:val="00DD47E1"/>
    <w:rsid w:val="00DD48FF"/>
    <w:rsid w:val="00DD4D23"/>
    <w:rsid w:val="00DD4F0F"/>
    <w:rsid w:val="00DD5D2E"/>
    <w:rsid w:val="00DD5FD0"/>
    <w:rsid w:val="00DD601E"/>
    <w:rsid w:val="00DD7751"/>
    <w:rsid w:val="00DD7BE0"/>
    <w:rsid w:val="00DE0945"/>
    <w:rsid w:val="00DE0E6B"/>
    <w:rsid w:val="00DE1734"/>
    <w:rsid w:val="00DE1B4C"/>
    <w:rsid w:val="00DE2533"/>
    <w:rsid w:val="00DE2B90"/>
    <w:rsid w:val="00DE2EB7"/>
    <w:rsid w:val="00DE2F8D"/>
    <w:rsid w:val="00DE3E5D"/>
    <w:rsid w:val="00DE3F76"/>
    <w:rsid w:val="00DE419E"/>
    <w:rsid w:val="00DE47AC"/>
    <w:rsid w:val="00DE4EFF"/>
    <w:rsid w:val="00DE53C9"/>
    <w:rsid w:val="00DE5A53"/>
    <w:rsid w:val="00DE5ADF"/>
    <w:rsid w:val="00DE5F9F"/>
    <w:rsid w:val="00DE72B1"/>
    <w:rsid w:val="00DE792C"/>
    <w:rsid w:val="00DF0042"/>
    <w:rsid w:val="00DF0209"/>
    <w:rsid w:val="00DF0CDF"/>
    <w:rsid w:val="00DF0F4E"/>
    <w:rsid w:val="00DF1440"/>
    <w:rsid w:val="00DF14F2"/>
    <w:rsid w:val="00DF193C"/>
    <w:rsid w:val="00DF1A32"/>
    <w:rsid w:val="00DF1C56"/>
    <w:rsid w:val="00DF291D"/>
    <w:rsid w:val="00DF356A"/>
    <w:rsid w:val="00DF3A28"/>
    <w:rsid w:val="00DF3A74"/>
    <w:rsid w:val="00DF3C2C"/>
    <w:rsid w:val="00DF4CD5"/>
    <w:rsid w:val="00DF4EDA"/>
    <w:rsid w:val="00DF50AA"/>
    <w:rsid w:val="00DF55AE"/>
    <w:rsid w:val="00DF5A96"/>
    <w:rsid w:val="00DF5AE3"/>
    <w:rsid w:val="00DF5D3B"/>
    <w:rsid w:val="00DF5F37"/>
    <w:rsid w:val="00DF638E"/>
    <w:rsid w:val="00DF6B6A"/>
    <w:rsid w:val="00DF6CF9"/>
    <w:rsid w:val="00DF7F06"/>
    <w:rsid w:val="00E005A1"/>
    <w:rsid w:val="00E008B2"/>
    <w:rsid w:val="00E00A05"/>
    <w:rsid w:val="00E00F64"/>
    <w:rsid w:val="00E0134F"/>
    <w:rsid w:val="00E014B5"/>
    <w:rsid w:val="00E015F5"/>
    <w:rsid w:val="00E016A4"/>
    <w:rsid w:val="00E018E0"/>
    <w:rsid w:val="00E02777"/>
    <w:rsid w:val="00E02E96"/>
    <w:rsid w:val="00E038E3"/>
    <w:rsid w:val="00E03E06"/>
    <w:rsid w:val="00E042CB"/>
    <w:rsid w:val="00E069EA"/>
    <w:rsid w:val="00E06A5C"/>
    <w:rsid w:val="00E06A79"/>
    <w:rsid w:val="00E06BA0"/>
    <w:rsid w:val="00E06E60"/>
    <w:rsid w:val="00E0753E"/>
    <w:rsid w:val="00E076A3"/>
    <w:rsid w:val="00E07B16"/>
    <w:rsid w:val="00E07C90"/>
    <w:rsid w:val="00E10557"/>
    <w:rsid w:val="00E10595"/>
    <w:rsid w:val="00E10DCD"/>
    <w:rsid w:val="00E11708"/>
    <w:rsid w:val="00E11B22"/>
    <w:rsid w:val="00E1218B"/>
    <w:rsid w:val="00E12218"/>
    <w:rsid w:val="00E1228B"/>
    <w:rsid w:val="00E12603"/>
    <w:rsid w:val="00E12C24"/>
    <w:rsid w:val="00E13C82"/>
    <w:rsid w:val="00E141E6"/>
    <w:rsid w:val="00E14223"/>
    <w:rsid w:val="00E14500"/>
    <w:rsid w:val="00E14DD7"/>
    <w:rsid w:val="00E1507B"/>
    <w:rsid w:val="00E15381"/>
    <w:rsid w:val="00E15464"/>
    <w:rsid w:val="00E15693"/>
    <w:rsid w:val="00E158FA"/>
    <w:rsid w:val="00E15E97"/>
    <w:rsid w:val="00E1648C"/>
    <w:rsid w:val="00E169C2"/>
    <w:rsid w:val="00E172F7"/>
    <w:rsid w:val="00E174A6"/>
    <w:rsid w:val="00E1786B"/>
    <w:rsid w:val="00E17A67"/>
    <w:rsid w:val="00E20316"/>
    <w:rsid w:val="00E209B2"/>
    <w:rsid w:val="00E210D2"/>
    <w:rsid w:val="00E21A0C"/>
    <w:rsid w:val="00E21A2A"/>
    <w:rsid w:val="00E21EDF"/>
    <w:rsid w:val="00E22B17"/>
    <w:rsid w:val="00E22BAF"/>
    <w:rsid w:val="00E22BC3"/>
    <w:rsid w:val="00E23089"/>
    <w:rsid w:val="00E23309"/>
    <w:rsid w:val="00E23738"/>
    <w:rsid w:val="00E23972"/>
    <w:rsid w:val="00E24778"/>
    <w:rsid w:val="00E24DC1"/>
    <w:rsid w:val="00E25622"/>
    <w:rsid w:val="00E25B8F"/>
    <w:rsid w:val="00E25EF0"/>
    <w:rsid w:val="00E25EF2"/>
    <w:rsid w:val="00E260EA"/>
    <w:rsid w:val="00E26779"/>
    <w:rsid w:val="00E26CDF"/>
    <w:rsid w:val="00E26D02"/>
    <w:rsid w:val="00E26D8F"/>
    <w:rsid w:val="00E27C5D"/>
    <w:rsid w:val="00E304C7"/>
    <w:rsid w:val="00E305EE"/>
    <w:rsid w:val="00E30B51"/>
    <w:rsid w:val="00E30B82"/>
    <w:rsid w:val="00E30EF4"/>
    <w:rsid w:val="00E30F4F"/>
    <w:rsid w:val="00E31F6C"/>
    <w:rsid w:val="00E320E1"/>
    <w:rsid w:val="00E32A77"/>
    <w:rsid w:val="00E32D11"/>
    <w:rsid w:val="00E32F75"/>
    <w:rsid w:val="00E3318B"/>
    <w:rsid w:val="00E33FD1"/>
    <w:rsid w:val="00E34251"/>
    <w:rsid w:val="00E34F2A"/>
    <w:rsid w:val="00E350AE"/>
    <w:rsid w:val="00E35564"/>
    <w:rsid w:val="00E36091"/>
    <w:rsid w:val="00E3669A"/>
    <w:rsid w:val="00E3690E"/>
    <w:rsid w:val="00E37C98"/>
    <w:rsid w:val="00E37DE4"/>
    <w:rsid w:val="00E4062F"/>
    <w:rsid w:val="00E40832"/>
    <w:rsid w:val="00E411AD"/>
    <w:rsid w:val="00E412D3"/>
    <w:rsid w:val="00E41481"/>
    <w:rsid w:val="00E41E0A"/>
    <w:rsid w:val="00E41F11"/>
    <w:rsid w:val="00E41F14"/>
    <w:rsid w:val="00E43308"/>
    <w:rsid w:val="00E43522"/>
    <w:rsid w:val="00E44489"/>
    <w:rsid w:val="00E45120"/>
    <w:rsid w:val="00E4595A"/>
    <w:rsid w:val="00E45D21"/>
    <w:rsid w:val="00E47AC4"/>
    <w:rsid w:val="00E500D7"/>
    <w:rsid w:val="00E5123B"/>
    <w:rsid w:val="00E51358"/>
    <w:rsid w:val="00E51671"/>
    <w:rsid w:val="00E517CC"/>
    <w:rsid w:val="00E51C75"/>
    <w:rsid w:val="00E52A4B"/>
    <w:rsid w:val="00E52B0E"/>
    <w:rsid w:val="00E52B30"/>
    <w:rsid w:val="00E5335A"/>
    <w:rsid w:val="00E53433"/>
    <w:rsid w:val="00E536B5"/>
    <w:rsid w:val="00E5381D"/>
    <w:rsid w:val="00E53A4E"/>
    <w:rsid w:val="00E53AC6"/>
    <w:rsid w:val="00E54161"/>
    <w:rsid w:val="00E5431C"/>
    <w:rsid w:val="00E5440C"/>
    <w:rsid w:val="00E54ACB"/>
    <w:rsid w:val="00E551CB"/>
    <w:rsid w:val="00E55255"/>
    <w:rsid w:val="00E55301"/>
    <w:rsid w:val="00E556C9"/>
    <w:rsid w:val="00E5648E"/>
    <w:rsid w:val="00E56669"/>
    <w:rsid w:val="00E566C9"/>
    <w:rsid w:val="00E56BEE"/>
    <w:rsid w:val="00E56CC9"/>
    <w:rsid w:val="00E570D1"/>
    <w:rsid w:val="00E57300"/>
    <w:rsid w:val="00E5796E"/>
    <w:rsid w:val="00E57C34"/>
    <w:rsid w:val="00E57CF6"/>
    <w:rsid w:val="00E60EAF"/>
    <w:rsid w:val="00E6142E"/>
    <w:rsid w:val="00E61D5F"/>
    <w:rsid w:val="00E62383"/>
    <w:rsid w:val="00E6274C"/>
    <w:rsid w:val="00E63130"/>
    <w:rsid w:val="00E63DD0"/>
    <w:rsid w:val="00E64113"/>
    <w:rsid w:val="00E6437C"/>
    <w:rsid w:val="00E650C5"/>
    <w:rsid w:val="00E6549C"/>
    <w:rsid w:val="00E654A0"/>
    <w:rsid w:val="00E65BE1"/>
    <w:rsid w:val="00E661DE"/>
    <w:rsid w:val="00E663C7"/>
    <w:rsid w:val="00E67487"/>
    <w:rsid w:val="00E67C1D"/>
    <w:rsid w:val="00E67F37"/>
    <w:rsid w:val="00E7043D"/>
    <w:rsid w:val="00E712DF"/>
    <w:rsid w:val="00E7140D"/>
    <w:rsid w:val="00E719B5"/>
    <w:rsid w:val="00E720B4"/>
    <w:rsid w:val="00E72C9E"/>
    <w:rsid w:val="00E73906"/>
    <w:rsid w:val="00E73B14"/>
    <w:rsid w:val="00E73C88"/>
    <w:rsid w:val="00E76A11"/>
    <w:rsid w:val="00E7775C"/>
    <w:rsid w:val="00E77C10"/>
    <w:rsid w:val="00E80625"/>
    <w:rsid w:val="00E80EF0"/>
    <w:rsid w:val="00E8158C"/>
    <w:rsid w:val="00E81B13"/>
    <w:rsid w:val="00E82562"/>
    <w:rsid w:val="00E8318E"/>
    <w:rsid w:val="00E841D8"/>
    <w:rsid w:val="00E84439"/>
    <w:rsid w:val="00E852C4"/>
    <w:rsid w:val="00E85332"/>
    <w:rsid w:val="00E87137"/>
    <w:rsid w:val="00E8715C"/>
    <w:rsid w:val="00E872E2"/>
    <w:rsid w:val="00E878EC"/>
    <w:rsid w:val="00E87D0F"/>
    <w:rsid w:val="00E905BE"/>
    <w:rsid w:val="00E90866"/>
    <w:rsid w:val="00E90AAB"/>
    <w:rsid w:val="00E90AB8"/>
    <w:rsid w:val="00E9170B"/>
    <w:rsid w:val="00E91B22"/>
    <w:rsid w:val="00E92A4F"/>
    <w:rsid w:val="00E93AF4"/>
    <w:rsid w:val="00E94CEA"/>
    <w:rsid w:val="00E951F9"/>
    <w:rsid w:val="00E95672"/>
    <w:rsid w:val="00E9599D"/>
    <w:rsid w:val="00E95D52"/>
    <w:rsid w:val="00E96098"/>
    <w:rsid w:val="00E964A6"/>
    <w:rsid w:val="00E9686B"/>
    <w:rsid w:val="00E974BF"/>
    <w:rsid w:val="00E97C43"/>
    <w:rsid w:val="00EA019E"/>
    <w:rsid w:val="00EA0394"/>
    <w:rsid w:val="00EA0627"/>
    <w:rsid w:val="00EA0801"/>
    <w:rsid w:val="00EA1079"/>
    <w:rsid w:val="00EA13A5"/>
    <w:rsid w:val="00EA1A9D"/>
    <w:rsid w:val="00EA1D0E"/>
    <w:rsid w:val="00EA1DC9"/>
    <w:rsid w:val="00EA202C"/>
    <w:rsid w:val="00EA2051"/>
    <w:rsid w:val="00EA2386"/>
    <w:rsid w:val="00EA255B"/>
    <w:rsid w:val="00EA26FB"/>
    <w:rsid w:val="00EA35A4"/>
    <w:rsid w:val="00EA3920"/>
    <w:rsid w:val="00EA3A2B"/>
    <w:rsid w:val="00EA3C81"/>
    <w:rsid w:val="00EA4352"/>
    <w:rsid w:val="00EA44B1"/>
    <w:rsid w:val="00EA5711"/>
    <w:rsid w:val="00EA5ABA"/>
    <w:rsid w:val="00EA65C6"/>
    <w:rsid w:val="00EA6CD7"/>
    <w:rsid w:val="00EA6CE1"/>
    <w:rsid w:val="00EA6DF5"/>
    <w:rsid w:val="00EA7DDC"/>
    <w:rsid w:val="00EA7E9F"/>
    <w:rsid w:val="00EB006E"/>
    <w:rsid w:val="00EB0220"/>
    <w:rsid w:val="00EB02A9"/>
    <w:rsid w:val="00EB032E"/>
    <w:rsid w:val="00EB04DA"/>
    <w:rsid w:val="00EB050B"/>
    <w:rsid w:val="00EB0A12"/>
    <w:rsid w:val="00EB11D9"/>
    <w:rsid w:val="00EB15B0"/>
    <w:rsid w:val="00EB2637"/>
    <w:rsid w:val="00EB39EC"/>
    <w:rsid w:val="00EB3A76"/>
    <w:rsid w:val="00EB3D71"/>
    <w:rsid w:val="00EB40BF"/>
    <w:rsid w:val="00EB42FD"/>
    <w:rsid w:val="00EB53F9"/>
    <w:rsid w:val="00EB5AF7"/>
    <w:rsid w:val="00EB5C2B"/>
    <w:rsid w:val="00EB615D"/>
    <w:rsid w:val="00EB61F0"/>
    <w:rsid w:val="00EB620C"/>
    <w:rsid w:val="00EB67F8"/>
    <w:rsid w:val="00EB6DE5"/>
    <w:rsid w:val="00EB7BA0"/>
    <w:rsid w:val="00EB7DF6"/>
    <w:rsid w:val="00EC0CF5"/>
    <w:rsid w:val="00EC11D7"/>
    <w:rsid w:val="00EC1EC4"/>
    <w:rsid w:val="00EC2944"/>
    <w:rsid w:val="00EC2AC1"/>
    <w:rsid w:val="00EC3CA4"/>
    <w:rsid w:val="00EC3E73"/>
    <w:rsid w:val="00EC3EAC"/>
    <w:rsid w:val="00EC3FA9"/>
    <w:rsid w:val="00EC407D"/>
    <w:rsid w:val="00EC45D7"/>
    <w:rsid w:val="00EC472A"/>
    <w:rsid w:val="00EC4EB2"/>
    <w:rsid w:val="00EC4EC5"/>
    <w:rsid w:val="00EC4F54"/>
    <w:rsid w:val="00EC5D1F"/>
    <w:rsid w:val="00EC6D9E"/>
    <w:rsid w:val="00EC700D"/>
    <w:rsid w:val="00EC7095"/>
    <w:rsid w:val="00EC79A9"/>
    <w:rsid w:val="00EC7DD6"/>
    <w:rsid w:val="00ED025B"/>
    <w:rsid w:val="00ED02EC"/>
    <w:rsid w:val="00ED193C"/>
    <w:rsid w:val="00ED1B8E"/>
    <w:rsid w:val="00ED2737"/>
    <w:rsid w:val="00ED2A9A"/>
    <w:rsid w:val="00ED2C56"/>
    <w:rsid w:val="00ED3448"/>
    <w:rsid w:val="00ED34F2"/>
    <w:rsid w:val="00ED3948"/>
    <w:rsid w:val="00ED4349"/>
    <w:rsid w:val="00ED4AAF"/>
    <w:rsid w:val="00ED541D"/>
    <w:rsid w:val="00ED58B1"/>
    <w:rsid w:val="00ED5F0C"/>
    <w:rsid w:val="00ED6F2B"/>
    <w:rsid w:val="00ED70E2"/>
    <w:rsid w:val="00ED75A0"/>
    <w:rsid w:val="00ED7DC6"/>
    <w:rsid w:val="00EE028C"/>
    <w:rsid w:val="00EE035E"/>
    <w:rsid w:val="00EE098F"/>
    <w:rsid w:val="00EE09D9"/>
    <w:rsid w:val="00EE0C48"/>
    <w:rsid w:val="00EE0F0D"/>
    <w:rsid w:val="00EE0FA7"/>
    <w:rsid w:val="00EE2683"/>
    <w:rsid w:val="00EE272C"/>
    <w:rsid w:val="00EE2E70"/>
    <w:rsid w:val="00EE337F"/>
    <w:rsid w:val="00EE3E4B"/>
    <w:rsid w:val="00EE461E"/>
    <w:rsid w:val="00EE464E"/>
    <w:rsid w:val="00EE46C1"/>
    <w:rsid w:val="00EE4C3F"/>
    <w:rsid w:val="00EE4CB1"/>
    <w:rsid w:val="00EE5087"/>
    <w:rsid w:val="00EE57EF"/>
    <w:rsid w:val="00EE67C5"/>
    <w:rsid w:val="00EE6C70"/>
    <w:rsid w:val="00EE6DB6"/>
    <w:rsid w:val="00EE70E7"/>
    <w:rsid w:val="00EE7B31"/>
    <w:rsid w:val="00EE7F3E"/>
    <w:rsid w:val="00EF05B3"/>
    <w:rsid w:val="00EF0D7D"/>
    <w:rsid w:val="00EF11A2"/>
    <w:rsid w:val="00EF19D1"/>
    <w:rsid w:val="00EF2CB6"/>
    <w:rsid w:val="00EF2FC1"/>
    <w:rsid w:val="00EF3B66"/>
    <w:rsid w:val="00EF5362"/>
    <w:rsid w:val="00EF548C"/>
    <w:rsid w:val="00EF55F2"/>
    <w:rsid w:val="00EF5D38"/>
    <w:rsid w:val="00EF5E42"/>
    <w:rsid w:val="00EF62D0"/>
    <w:rsid w:val="00EF6535"/>
    <w:rsid w:val="00EF71F8"/>
    <w:rsid w:val="00EF7322"/>
    <w:rsid w:val="00EF7E57"/>
    <w:rsid w:val="00F00040"/>
    <w:rsid w:val="00F010A2"/>
    <w:rsid w:val="00F01682"/>
    <w:rsid w:val="00F01A84"/>
    <w:rsid w:val="00F01B19"/>
    <w:rsid w:val="00F026D7"/>
    <w:rsid w:val="00F02DE1"/>
    <w:rsid w:val="00F0323F"/>
    <w:rsid w:val="00F03872"/>
    <w:rsid w:val="00F038AF"/>
    <w:rsid w:val="00F03EAF"/>
    <w:rsid w:val="00F03F92"/>
    <w:rsid w:val="00F046C5"/>
    <w:rsid w:val="00F048B2"/>
    <w:rsid w:val="00F04F27"/>
    <w:rsid w:val="00F0521B"/>
    <w:rsid w:val="00F05449"/>
    <w:rsid w:val="00F05B20"/>
    <w:rsid w:val="00F05C22"/>
    <w:rsid w:val="00F05C4A"/>
    <w:rsid w:val="00F05DFE"/>
    <w:rsid w:val="00F06570"/>
    <w:rsid w:val="00F06C74"/>
    <w:rsid w:val="00F06F78"/>
    <w:rsid w:val="00F0782C"/>
    <w:rsid w:val="00F07C7E"/>
    <w:rsid w:val="00F103D0"/>
    <w:rsid w:val="00F10FCA"/>
    <w:rsid w:val="00F11365"/>
    <w:rsid w:val="00F116F8"/>
    <w:rsid w:val="00F12437"/>
    <w:rsid w:val="00F124E4"/>
    <w:rsid w:val="00F12645"/>
    <w:rsid w:val="00F1294D"/>
    <w:rsid w:val="00F12B25"/>
    <w:rsid w:val="00F12DA2"/>
    <w:rsid w:val="00F13319"/>
    <w:rsid w:val="00F136FD"/>
    <w:rsid w:val="00F147BB"/>
    <w:rsid w:val="00F14FD2"/>
    <w:rsid w:val="00F15007"/>
    <w:rsid w:val="00F150A0"/>
    <w:rsid w:val="00F150B5"/>
    <w:rsid w:val="00F1522A"/>
    <w:rsid w:val="00F15971"/>
    <w:rsid w:val="00F15F10"/>
    <w:rsid w:val="00F16355"/>
    <w:rsid w:val="00F16B9D"/>
    <w:rsid w:val="00F16E9D"/>
    <w:rsid w:val="00F17222"/>
    <w:rsid w:val="00F1738E"/>
    <w:rsid w:val="00F17831"/>
    <w:rsid w:val="00F204EC"/>
    <w:rsid w:val="00F208CF"/>
    <w:rsid w:val="00F20C8D"/>
    <w:rsid w:val="00F21952"/>
    <w:rsid w:val="00F21A99"/>
    <w:rsid w:val="00F21D43"/>
    <w:rsid w:val="00F21EE1"/>
    <w:rsid w:val="00F22C30"/>
    <w:rsid w:val="00F22FC7"/>
    <w:rsid w:val="00F2343C"/>
    <w:rsid w:val="00F2343E"/>
    <w:rsid w:val="00F236C2"/>
    <w:rsid w:val="00F23EE2"/>
    <w:rsid w:val="00F24458"/>
    <w:rsid w:val="00F2478F"/>
    <w:rsid w:val="00F24AD4"/>
    <w:rsid w:val="00F24EB7"/>
    <w:rsid w:val="00F25D65"/>
    <w:rsid w:val="00F25E7C"/>
    <w:rsid w:val="00F261EA"/>
    <w:rsid w:val="00F26210"/>
    <w:rsid w:val="00F277AC"/>
    <w:rsid w:val="00F27E69"/>
    <w:rsid w:val="00F3079C"/>
    <w:rsid w:val="00F30C6A"/>
    <w:rsid w:val="00F3117F"/>
    <w:rsid w:val="00F32A0B"/>
    <w:rsid w:val="00F32FEF"/>
    <w:rsid w:val="00F33153"/>
    <w:rsid w:val="00F336EC"/>
    <w:rsid w:val="00F3440F"/>
    <w:rsid w:val="00F354E4"/>
    <w:rsid w:val="00F35942"/>
    <w:rsid w:val="00F35B46"/>
    <w:rsid w:val="00F35CD7"/>
    <w:rsid w:val="00F361FF"/>
    <w:rsid w:val="00F36758"/>
    <w:rsid w:val="00F36A6A"/>
    <w:rsid w:val="00F37635"/>
    <w:rsid w:val="00F37C9C"/>
    <w:rsid w:val="00F37FFA"/>
    <w:rsid w:val="00F4056D"/>
    <w:rsid w:val="00F4070F"/>
    <w:rsid w:val="00F4079B"/>
    <w:rsid w:val="00F41991"/>
    <w:rsid w:val="00F41B54"/>
    <w:rsid w:val="00F41D48"/>
    <w:rsid w:val="00F4238B"/>
    <w:rsid w:val="00F42E86"/>
    <w:rsid w:val="00F430A6"/>
    <w:rsid w:val="00F43308"/>
    <w:rsid w:val="00F4339B"/>
    <w:rsid w:val="00F43436"/>
    <w:rsid w:val="00F43B06"/>
    <w:rsid w:val="00F43B44"/>
    <w:rsid w:val="00F4440B"/>
    <w:rsid w:val="00F448C8"/>
    <w:rsid w:val="00F4547F"/>
    <w:rsid w:val="00F45C7E"/>
    <w:rsid w:val="00F468F6"/>
    <w:rsid w:val="00F46F18"/>
    <w:rsid w:val="00F47528"/>
    <w:rsid w:val="00F479C2"/>
    <w:rsid w:val="00F503F9"/>
    <w:rsid w:val="00F50B8D"/>
    <w:rsid w:val="00F50EA0"/>
    <w:rsid w:val="00F50F87"/>
    <w:rsid w:val="00F51104"/>
    <w:rsid w:val="00F51189"/>
    <w:rsid w:val="00F51BCD"/>
    <w:rsid w:val="00F51D54"/>
    <w:rsid w:val="00F51DC7"/>
    <w:rsid w:val="00F51EA6"/>
    <w:rsid w:val="00F52186"/>
    <w:rsid w:val="00F52542"/>
    <w:rsid w:val="00F525CF"/>
    <w:rsid w:val="00F52D30"/>
    <w:rsid w:val="00F52E3E"/>
    <w:rsid w:val="00F532A2"/>
    <w:rsid w:val="00F53E36"/>
    <w:rsid w:val="00F543A2"/>
    <w:rsid w:val="00F54666"/>
    <w:rsid w:val="00F54C0D"/>
    <w:rsid w:val="00F553B0"/>
    <w:rsid w:val="00F5540D"/>
    <w:rsid w:val="00F55557"/>
    <w:rsid w:val="00F5556D"/>
    <w:rsid w:val="00F55F3A"/>
    <w:rsid w:val="00F56DBA"/>
    <w:rsid w:val="00F56FCF"/>
    <w:rsid w:val="00F57126"/>
    <w:rsid w:val="00F572E1"/>
    <w:rsid w:val="00F57A3B"/>
    <w:rsid w:val="00F57A63"/>
    <w:rsid w:val="00F57BBD"/>
    <w:rsid w:val="00F57F60"/>
    <w:rsid w:val="00F600E8"/>
    <w:rsid w:val="00F60157"/>
    <w:rsid w:val="00F60328"/>
    <w:rsid w:val="00F60648"/>
    <w:rsid w:val="00F60D45"/>
    <w:rsid w:val="00F61538"/>
    <w:rsid w:val="00F615C0"/>
    <w:rsid w:val="00F625BE"/>
    <w:rsid w:val="00F6271A"/>
    <w:rsid w:val="00F62DBC"/>
    <w:rsid w:val="00F638DA"/>
    <w:rsid w:val="00F63C69"/>
    <w:rsid w:val="00F6458E"/>
    <w:rsid w:val="00F64A30"/>
    <w:rsid w:val="00F64E68"/>
    <w:rsid w:val="00F65505"/>
    <w:rsid w:val="00F65B90"/>
    <w:rsid w:val="00F6658D"/>
    <w:rsid w:val="00F667B6"/>
    <w:rsid w:val="00F66B1F"/>
    <w:rsid w:val="00F66EAB"/>
    <w:rsid w:val="00F67078"/>
    <w:rsid w:val="00F7027D"/>
    <w:rsid w:val="00F702F3"/>
    <w:rsid w:val="00F709E2"/>
    <w:rsid w:val="00F71992"/>
    <w:rsid w:val="00F71D6C"/>
    <w:rsid w:val="00F72160"/>
    <w:rsid w:val="00F72527"/>
    <w:rsid w:val="00F72927"/>
    <w:rsid w:val="00F72938"/>
    <w:rsid w:val="00F72E36"/>
    <w:rsid w:val="00F73AFA"/>
    <w:rsid w:val="00F742D9"/>
    <w:rsid w:val="00F74994"/>
    <w:rsid w:val="00F74F2E"/>
    <w:rsid w:val="00F74F32"/>
    <w:rsid w:val="00F7507F"/>
    <w:rsid w:val="00F75D73"/>
    <w:rsid w:val="00F76D62"/>
    <w:rsid w:val="00F76E83"/>
    <w:rsid w:val="00F771A4"/>
    <w:rsid w:val="00F7767D"/>
    <w:rsid w:val="00F77C8F"/>
    <w:rsid w:val="00F77DFA"/>
    <w:rsid w:val="00F77E89"/>
    <w:rsid w:val="00F77E8C"/>
    <w:rsid w:val="00F80100"/>
    <w:rsid w:val="00F81A2B"/>
    <w:rsid w:val="00F84163"/>
    <w:rsid w:val="00F84514"/>
    <w:rsid w:val="00F84650"/>
    <w:rsid w:val="00F85221"/>
    <w:rsid w:val="00F853AE"/>
    <w:rsid w:val="00F86224"/>
    <w:rsid w:val="00F86493"/>
    <w:rsid w:val="00F86592"/>
    <w:rsid w:val="00F86625"/>
    <w:rsid w:val="00F874BD"/>
    <w:rsid w:val="00F879DC"/>
    <w:rsid w:val="00F908A6"/>
    <w:rsid w:val="00F90C22"/>
    <w:rsid w:val="00F90C8C"/>
    <w:rsid w:val="00F90EA1"/>
    <w:rsid w:val="00F912C9"/>
    <w:rsid w:val="00F915C7"/>
    <w:rsid w:val="00F91BA6"/>
    <w:rsid w:val="00F931FB"/>
    <w:rsid w:val="00F93A00"/>
    <w:rsid w:val="00F93CDC"/>
    <w:rsid w:val="00F93D0E"/>
    <w:rsid w:val="00F94155"/>
    <w:rsid w:val="00F94393"/>
    <w:rsid w:val="00F944D8"/>
    <w:rsid w:val="00F94766"/>
    <w:rsid w:val="00F94AF0"/>
    <w:rsid w:val="00F94BB5"/>
    <w:rsid w:val="00F95EEB"/>
    <w:rsid w:val="00F96488"/>
    <w:rsid w:val="00F96C73"/>
    <w:rsid w:val="00FA06A4"/>
    <w:rsid w:val="00FA0F6C"/>
    <w:rsid w:val="00FA18B7"/>
    <w:rsid w:val="00FA1F2D"/>
    <w:rsid w:val="00FA2217"/>
    <w:rsid w:val="00FA2230"/>
    <w:rsid w:val="00FA2248"/>
    <w:rsid w:val="00FA2842"/>
    <w:rsid w:val="00FA3140"/>
    <w:rsid w:val="00FA3539"/>
    <w:rsid w:val="00FA3E6B"/>
    <w:rsid w:val="00FA54AA"/>
    <w:rsid w:val="00FA5F44"/>
    <w:rsid w:val="00FA6213"/>
    <w:rsid w:val="00FA66E5"/>
    <w:rsid w:val="00FA717E"/>
    <w:rsid w:val="00FA79C5"/>
    <w:rsid w:val="00FB081F"/>
    <w:rsid w:val="00FB11C5"/>
    <w:rsid w:val="00FB1575"/>
    <w:rsid w:val="00FB1C29"/>
    <w:rsid w:val="00FB20E9"/>
    <w:rsid w:val="00FB22BC"/>
    <w:rsid w:val="00FB2579"/>
    <w:rsid w:val="00FB28CB"/>
    <w:rsid w:val="00FB3F4C"/>
    <w:rsid w:val="00FB41A3"/>
    <w:rsid w:val="00FB5050"/>
    <w:rsid w:val="00FB5246"/>
    <w:rsid w:val="00FB5251"/>
    <w:rsid w:val="00FB5BFB"/>
    <w:rsid w:val="00FB5D75"/>
    <w:rsid w:val="00FB6C99"/>
    <w:rsid w:val="00FB6D73"/>
    <w:rsid w:val="00FB7148"/>
    <w:rsid w:val="00FB733B"/>
    <w:rsid w:val="00FB7566"/>
    <w:rsid w:val="00FB78B8"/>
    <w:rsid w:val="00FB790C"/>
    <w:rsid w:val="00FB7AC2"/>
    <w:rsid w:val="00FB7BF6"/>
    <w:rsid w:val="00FB7E14"/>
    <w:rsid w:val="00FC01A6"/>
    <w:rsid w:val="00FC041C"/>
    <w:rsid w:val="00FC068A"/>
    <w:rsid w:val="00FC0699"/>
    <w:rsid w:val="00FC0EEE"/>
    <w:rsid w:val="00FC1764"/>
    <w:rsid w:val="00FC1C97"/>
    <w:rsid w:val="00FC274C"/>
    <w:rsid w:val="00FC2927"/>
    <w:rsid w:val="00FC2F2E"/>
    <w:rsid w:val="00FC342D"/>
    <w:rsid w:val="00FC43A8"/>
    <w:rsid w:val="00FC5518"/>
    <w:rsid w:val="00FC6422"/>
    <w:rsid w:val="00FC7580"/>
    <w:rsid w:val="00FC7680"/>
    <w:rsid w:val="00FC7D72"/>
    <w:rsid w:val="00FD0147"/>
    <w:rsid w:val="00FD04E5"/>
    <w:rsid w:val="00FD1FFE"/>
    <w:rsid w:val="00FD2187"/>
    <w:rsid w:val="00FD24C5"/>
    <w:rsid w:val="00FD2A46"/>
    <w:rsid w:val="00FD2EAD"/>
    <w:rsid w:val="00FD3381"/>
    <w:rsid w:val="00FD3CB6"/>
    <w:rsid w:val="00FD3FC4"/>
    <w:rsid w:val="00FD45F1"/>
    <w:rsid w:val="00FD4C8F"/>
    <w:rsid w:val="00FD5B8A"/>
    <w:rsid w:val="00FD5C71"/>
    <w:rsid w:val="00FD5D52"/>
    <w:rsid w:val="00FD637B"/>
    <w:rsid w:val="00FD6D65"/>
    <w:rsid w:val="00FD6D72"/>
    <w:rsid w:val="00FD6F7F"/>
    <w:rsid w:val="00FD7074"/>
    <w:rsid w:val="00FD7E0F"/>
    <w:rsid w:val="00FD7F06"/>
    <w:rsid w:val="00FE0545"/>
    <w:rsid w:val="00FE0B01"/>
    <w:rsid w:val="00FE1D8F"/>
    <w:rsid w:val="00FE238F"/>
    <w:rsid w:val="00FE2DF3"/>
    <w:rsid w:val="00FE30EC"/>
    <w:rsid w:val="00FE3517"/>
    <w:rsid w:val="00FE3878"/>
    <w:rsid w:val="00FE39E6"/>
    <w:rsid w:val="00FE42D5"/>
    <w:rsid w:val="00FE4389"/>
    <w:rsid w:val="00FE46B7"/>
    <w:rsid w:val="00FE470A"/>
    <w:rsid w:val="00FE470E"/>
    <w:rsid w:val="00FE4BF8"/>
    <w:rsid w:val="00FE5B41"/>
    <w:rsid w:val="00FE6298"/>
    <w:rsid w:val="00FE64E0"/>
    <w:rsid w:val="00FE6D44"/>
    <w:rsid w:val="00FE6EDD"/>
    <w:rsid w:val="00FE78B2"/>
    <w:rsid w:val="00FF004A"/>
    <w:rsid w:val="00FF0DAD"/>
    <w:rsid w:val="00FF1849"/>
    <w:rsid w:val="00FF1923"/>
    <w:rsid w:val="00FF1967"/>
    <w:rsid w:val="00FF1BEA"/>
    <w:rsid w:val="00FF1C3F"/>
    <w:rsid w:val="00FF288C"/>
    <w:rsid w:val="00FF2F45"/>
    <w:rsid w:val="00FF32CD"/>
    <w:rsid w:val="00FF32EC"/>
    <w:rsid w:val="00FF3E85"/>
    <w:rsid w:val="00FF4732"/>
    <w:rsid w:val="00FF4FD4"/>
    <w:rsid w:val="00FF5339"/>
    <w:rsid w:val="00FF5517"/>
    <w:rsid w:val="00FF55B8"/>
    <w:rsid w:val="00FF5D6E"/>
    <w:rsid w:val="00FF615F"/>
    <w:rsid w:val="00FF65E7"/>
    <w:rsid w:val="00FF6928"/>
    <w:rsid w:val="00FF7B08"/>
    <w:rsid w:val="00FF7C27"/>
    <w:rsid w:val="00FF7F48"/>
    <w:rsid w:val="01357058"/>
    <w:rsid w:val="0AB4B10A"/>
    <w:rsid w:val="0F23FBD6"/>
    <w:rsid w:val="18FD67AD"/>
    <w:rsid w:val="1C0CE41C"/>
    <w:rsid w:val="1C25636F"/>
    <w:rsid w:val="1F723E3D"/>
    <w:rsid w:val="2A64E4DF"/>
    <w:rsid w:val="2D1DED2C"/>
    <w:rsid w:val="35513F76"/>
    <w:rsid w:val="381D0259"/>
    <w:rsid w:val="3CCB3115"/>
    <w:rsid w:val="42F4065A"/>
    <w:rsid w:val="44D29BAA"/>
    <w:rsid w:val="48557D14"/>
    <w:rsid w:val="49F64BDE"/>
    <w:rsid w:val="4C488E17"/>
    <w:rsid w:val="4D9389AB"/>
    <w:rsid w:val="4E3B592F"/>
    <w:rsid w:val="4FEB7566"/>
    <w:rsid w:val="517DDEB8"/>
    <w:rsid w:val="5B3477C4"/>
    <w:rsid w:val="5B8841B9"/>
    <w:rsid w:val="654E0A0D"/>
    <w:rsid w:val="6AC4C264"/>
    <w:rsid w:val="72C3DC77"/>
    <w:rsid w:val="7A4725D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B016DC"/>
  <w15:chartTrackingRefBased/>
  <w15:docId w15:val="{51CC51CA-B11D-48F4-AE5F-54DDD815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Text1"/>
    <w:link w:val="Heading1Char"/>
    <w:uiPriority w:val="9"/>
    <w:qFormat/>
    <w:pPr>
      <w:keepNext/>
      <w:numPr>
        <w:numId w:val="1"/>
      </w:numPr>
      <w:spacing w:before="360" w:after="120" w:line="240" w:lineRule="auto"/>
      <w:jc w:val="both"/>
      <w:outlineLvl w:val="0"/>
    </w:pPr>
    <w:rPr>
      <w:rFonts w:ascii="Times New Roman" w:eastAsia="Times New Roman" w:hAnsi="Times New Roman"/>
      <w:b/>
      <w:bCs/>
      <w:smallCaps/>
      <w:sz w:val="24"/>
      <w:szCs w:val="28"/>
    </w:rPr>
  </w:style>
  <w:style w:type="paragraph" w:styleId="Heading2">
    <w:name w:val="heading 2"/>
    <w:basedOn w:val="Normal"/>
    <w:next w:val="Text1"/>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b/>
      <w:bCs/>
      <w:sz w:val="24"/>
      <w:szCs w:val="26"/>
    </w:rPr>
  </w:style>
  <w:style w:type="paragraph" w:styleId="Heading3">
    <w:name w:val="heading 3"/>
    <w:basedOn w:val="Normal"/>
    <w:next w:val="Text1"/>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bCs/>
      <w:i/>
      <w:sz w:val="24"/>
    </w:rPr>
  </w:style>
  <w:style w:type="paragraph" w:styleId="Heading4">
    <w:name w:val="heading 4"/>
    <w:basedOn w:val="Normal"/>
    <w:next w:val="Text1"/>
    <w:link w:val="Heading4Char"/>
    <w:uiPriority w:val="9"/>
    <w:unhideWhenUsed/>
    <w:qFormat/>
    <w:pPr>
      <w:keepNext/>
      <w:numPr>
        <w:ilvl w:val="3"/>
        <w:numId w:val="1"/>
      </w:numPr>
      <w:spacing w:before="120" w:after="120" w:line="240" w:lineRule="auto"/>
      <w:jc w:val="both"/>
      <w:outlineLvl w:val="3"/>
    </w:pPr>
    <w:rPr>
      <w:rFonts w:ascii="Times New Roman" w:eastAsia="Times New Roman" w:hAnsi="Times New Roman"/>
      <w:bCs/>
      <w:iCs/>
      <w:sz w:val="24"/>
    </w:rPr>
  </w:style>
  <w:style w:type="paragraph" w:styleId="Heading5">
    <w:name w:val="heading 5"/>
    <w:basedOn w:val="Normal"/>
    <w:next w:val="Normal"/>
    <w:link w:val="Heading5Char"/>
    <w:uiPriority w:val="9"/>
    <w:semiHidden/>
    <w:unhideWhenUsed/>
    <w:qFormat/>
    <w:pPr>
      <w:keepNext/>
      <w:keepLines/>
      <w:spacing w:before="40" w:after="0" w:line="240" w:lineRule="auto"/>
      <w:jc w:val="both"/>
      <w:outlineLvl w:val="4"/>
    </w:pPr>
    <w:rPr>
      <w:rFonts w:ascii="Cambria" w:eastAsia="Times New Roman" w:hAnsi="Cambria"/>
      <w:color w:val="365F91"/>
      <w:sz w:val="24"/>
    </w:rPr>
  </w:style>
  <w:style w:type="paragraph" w:styleId="Heading6">
    <w:name w:val="heading 6"/>
    <w:basedOn w:val="Normal"/>
    <w:next w:val="Normal"/>
    <w:link w:val="Heading6Char"/>
    <w:uiPriority w:val="9"/>
    <w:semiHidden/>
    <w:unhideWhenUsed/>
    <w:qFormat/>
    <w:pPr>
      <w:keepNext/>
      <w:keepLines/>
      <w:spacing w:before="40" w:after="0" w:line="240" w:lineRule="auto"/>
      <w:jc w:val="both"/>
      <w:outlineLvl w:val="5"/>
    </w:pPr>
    <w:rPr>
      <w:rFonts w:ascii="Cambria" w:eastAsia="Times New Roman" w:hAnsi="Cambria"/>
      <w:color w:val="243F60"/>
      <w:sz w:val="24"/>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rPr>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link w:val="Heading1"/>
    <w:uiPriority w:val="9"/>
    <w:rPr>
      <w:rFonts w:ascii="Times New Roman" w:eastAsia="Times New Roman" w:hAnsi="Times New Roman"/>
      <w:b/>
      <w:bCs/>
      <w:smallCaps/>
      <w:sz w:val="24"/>
      <w:szCs w:val="28"/>
    </w:rPr>
  </w:style>
  <w:style w:type="character" w:customStyle="1" w:styleId="Heading2Char">
    <w:name w:val="Heading 2 Char"/>
    <w:link w:val="Heading2"/>
    <w:uiPriority w:val="9"/>
    <w:rPr>
      <w:rFonts w:ascii="Times New Roman" w:eastAsia="Times New Roman" w:hAnsi="Times New Roman"/>
      <w:b/>
      <w:bCs/>
      <w:sz w:val="24"/>
      <w:szCs w:val="26"/>
    </w:rPr>
  </w:style>
  <w:style w:type="character" w:customStyle="1" w:styleId="Heading3Char">
    <w:name w:val="Heading 3 Char"/>
    <w:link w:val="Heading3"/>
    <w:uiPriority w:val="9"/>
    <w:rPr>
      <w:rFonts w:ascii="Times New Roman" w:eastAsia="Times New Roman" w:hAnsi="Times New Roman"/>
      <w:bCs/>
      <w:i/>
      <w:sz w:val="24"/>
      <w:szCs w:val="22"/>
    </w:rPr>
  </w:style>
  <w:style w:type="character" w:customStyle="1" w:styleId="Heading4Char">
    <w:name w:val="Heading 4 Char"/>
    <w:link w:val="Heading4"/>
    <w:uiPriority w:val="9"/>
    <w:rPr>
      <w:rFonts w:ascii="Times New Roman" w:eastAsia="Times New Roman" w:hAnsi="Times New Roman"/>
      <w:bCs/>
      <w:iCs/>
      <w:sz w:val="24"/>
      <w:szCs w:val="22"/>
    </w:rPr>
  </w:style>
  <w:style w:type="character" w:customStyle="1" w:styleId="Heading5Char">
    <w:name w:val="Heading 5 Char"/>
    <w:link w:val="Heading5"/>
    <w:uiPriority w:val="9"/>
    <w:semiHidden/>
    <w:rPr>
      <w:rFonts w:ascii="Cambria" w:eastAsia="Times New Roman" w:hAnsi="Cambria" w:cs="Times New Roman"/>
      <w:color w:val="365F91"/>
      <w:sz w:val="24"/>
    </w:rPr>
  </w:style>
  <w:style w:type="character" w:customStyle="1" w:styleId="Heading6Char">
    <w:name w:val="Heading 6 Char"/>
    <w:link w:val="Heading6"/>
    <w:uiPriority w:val="9"/>
    <w:semiHidden/>
    <w:rPr>
      <w:rFonts w:ascii="Cambria" w:eastAsia="Times New Roman" w:hAnsi="Cambria" w:cs="Times New Roman"/>
      <w:color w:val="243F60"/>
      <w:sz w:val="24"/>
    </w:rPr>
  </w:style>
  <w:style w:type="paragraph" w:customStyle="1" w:styleId="Text1">
    <w:name w:val="Text 1"/>
    <w:basedOn w:val="Normal"/>
    <w:uiPriority w:val="90"/>
    <w:qFormat/>
    <w:pPr>
      <w:spacing w:before="120" w:after="120" w:line="240" w:lineRule="auto"/>
      <w:ind w:left="850"/>
      <w:jc w:val="both"/>
    </w:pPr>
    <w:rPr>
      <w:rFonts w:ascii="Times New Roman" w:hAnsi="Times New Roman"/>
      <w:sz w:val="24"/>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sz w:val="20"/>
      <w:szCs w:val="20"/>
    </w:rPr>
  </w:style>
  <w:style w:type="character" w:customStyle="1" w:styleId="CommentTextChar">
    <w:name w:val="Comment Text Char"/>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style>
  <w:style w:type="character" w:styleId="IntenseEmphasis">
    <w:name w:val="Intense Emphasis"/>
    <w:uiPriority w:val="21"/>
    <w:qFormat/>
    <w:rPr>
      <w:i/>
      <w:iCs/>
      <w:color w:val="4F81BD"/>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ListBullet">
    <w:name w:val="List Bullet"/>
    <w:basedOn w:val="Normal"/>
    <w:uiPriority w:val="99"/>
    <w:semiHidden/>
    <w:unhideWhenUsed/>
    <w:pPr>
      <w:numPr>
        <w:numId w:val="2"/>
      </w:numPr>
      <w:spacing w:before="120" w:after="120" w:line="240" w:lineRule="auto"/>
      <w:contextualSpacing/>
      <w:jc w:val="both"/>
    </w:pPr>
    <w:rPr>
      <w:rFonts w:ascii="Times New Roman" w:hAnsi="Times New Roman"/>
      <w:sz w:val="24"/>
    </w:rPr>
  </w:style>
  <w:style w:type="paragraph" w:styleId="ListBullet2">
    <w:name w:val="List Bullet 2"/>
    <w:basedOn w:val="Normal"/>
    <w:uiPriority w:val="99"/>
    <w:semiHidden/>
    <w:unhideWhenUsed/>
    <w:pPr>
      <w:numPr>
        <w:numId w:val="3"/>
      </w:numPr>
      <w:spacing w:before="120" w:after="120" w:line="240" w:lineRule="auto"/>
      <w:contextualSpacing/>
      <w:jc w:val="both"/>
    </w:pPr>
    <w:rPr>
      <w:rFonts w:ascii="Times New Roman" w:hAnsi="Times New Roman"/>
      <w:sz w:val="24"/>
    </w:rPr>
  </w:style>
  <w:style w:type="paragraph" w:styleId="ListBullet3">
    <w:name w:val="List Bullet 3"/>
    <w:basedOn w:val="Normal"/>
    <w:uiPriority w:val="99"/>
    <w:semiHidden/>
    <w:unhideWhenUsed/>
    <w:pPr>
      <w:numPr>
        <w:numId w:val="4"/>
      </w:numPr>
      <w:spacing w:before="120" w:after="120" w:line="240" w:lineRule="auto"/>
      <w:contextualSpacing/>
      <w:jc w:val="both"/>
    </w:pPr>
    <w:rPr>
      <w:rFonts w:ascii="Times New Roman" w:hAnsi="Times New Roman"/>
      <w:sz w:val="24"/>
    </w:rPr>
  </w:style>
  <w:style w:type="paragraph" w:styleId="ListBullet4">
    <w:name w:val="List Bullet 4"/>
    <w:basedOn w:val="Normal"/>
    <w:uiPriority w:val="99"/>
    <w:semiHidden/>
    <w:unhideWhenUsed/>
    <w:pPr>
      <w:numPr>
        <w:numId w:val="5"/>
      </w:numPr>
      <w:spacing w:before="120" w:after="120" w:line="240" w:lineRule="auto"/>
      <w:contextualSpacing/>
      <w:jc w:val="both"/>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sz w:val="20"/>
      <w:szCs w:val="20"/>
    </w:rPr>
  </w:style>
  <w:style w:type="paragraph" w:styleId="Revision">
    <w:name w:val="Revision"/>
    <w:hidden/>
    <w:uiPriority w:val="99"/>
    <w:semiHidden/>
    <w:rPr>
      <w:rFonts w:ascii="Times New Roman" w:hAnsi="Times New Roman"/>
      <w:sz w:val="24"/>
      <w:szCs w:val="22"/>
    </w:rPr>
  </w:style>
  <w:style w:type="paragraph" w:styleId="Caption">
    <w:name w:val="caption"/>
    <w:basedOn w:val="Normal"/>
    <w:next w:val="Normal"/>
    <w:uiPriority w:val="35"/>
    <w:semiHidden/>
    <w:unhideWhenUsed/>
    <w:qFormat/>
    <w:pPr>
      <w:spacing w:line="240" w:lineRule="auto"/>
      <w:jc w:val="both"/>
    </w:pPr>
    <w:rPr>
      <w:rFonts w:ascii="Times New Roman" w:hAnsi="Times New Roman"/>
      <w:i/>
      <w:iCs/>
      <w:color w:val="1F497D"/>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sz w:val="24"/>
    </w:rPr>
  </w:style>
  <w:style w:type="paragraph" w:styleId="ListNumber">
    <w:name w:val="List Number"/>
    <w:basedOn w:val="Normal"/>
    <w:uiPriority w:val="99"/>
    <w:semiHidden/>
    <w:unhideWhenUsed/>
    <w:pPr>
      <w:numPr>
        <w:numId w:val="6"/>
      </w:numPr>
      <w:spacing w:before="120" w:after="120" w:line="240" w:lineRule="auto"/>
      <w:contextualSpacing/>
      <w:jc w:val="both"/>
    </w:pPr>
    <w:rPr>
      <w:rFonts w:ascii="Times New Roman" w:hAnsi="Times New Roman"/>
      <w:sz w:val="24"/>
    </w:rPr>
  </w:style>
  <w:style w:type="paragraph" w:styleId="ListNumber2">
    <w:name w:val="List Number 2"/>
    <w:basedOn w:val="Normal"/>
    <w:uiPriority w:val="99"/>
    <w:semiHidden/>
    <w:unhideWhenUsed/>
    <w:pPr>
      <w:numPr>
        <w:numId w:val="7"/>
      </w:numPr>
      <w:spacing w:before="120" w:after="120" w:line="240" w:lineRule="auto"/>
      <w:contextualSpacing/>
      <w:jc w:val="both"/>
    </w:pPr>
    <w:rPr>
      <w:rFonts w:ascii="Times New Roman" w:hAnsi="Times New Roman"/>
      <w:sz w:val="24"/>
    </w:rPr>
  </w:style>
  <w:style w:type="paragraph" w:styleId="ListNumber3">
    <w:name w:val="List Number 3"/>
    <w:basedOn w:val="Normal"/>
    <w:uiPriority w:val="99"/>
    <w:semiHidden/>
    <w:unhideWhenUsed/>
    <w:pPr>
      <w:numPr>
        <w:numId w:val="8"/>
      </w:numPr>
      <w:spacing w:before="120" w:after="120" w:line="240" w:lineRule="auto"/>
      <w:contextualSpacing/>
      <w:jc w:val="both"/>
    </w:pPr>
    <w:rPr>
      <w:rFonts w:ascii="Times New Roman" w:hAnsi="Times New Roman"/>
      <w:sz w:val="24"/>
    </w:rPr>
  </w:style>
  <w:style w:type="paragraph" w:styleId="ListNumber4">
    <w:name w:val="List Number 4"/>
    <w:basedOn w:val="Normal"/>
    <w:uiPriority w:val="99"/>
    <w:semiHidden/>
    <w:unhideWhenUsed/>
    <w:pPr>
      <w:numPr>
        <w:numId w:val="9"/>
      </w:numPr>
      <w:spacing w:before="120" w:after="120" w:line="240" w:lineRule="auto"/>
      <w:contextualSpacing/>
      <w:jc w:val="both"/>
    </w:pPr>
    <w:rPr>
      <w:rFonts w:ascii="Times New Roman" w:hAnsi="Times New Roman"/>
      <w:sz w:val="24"/>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cs="Times New Roman"/>
      <w:sz w:val="24"/>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hAnsi="Times New Roman"/>
      <w:sz w:val="20"/>
      <w:szCs w:val="20"/>
    </w:rPr>
  </w:style>
  <w:style w:type="character" w:customStyle="1" w:styleId="FootnoteTextChar">
    <w:name w:val="Footnote Text Char"/>
    <w:link w:val="FootnoteText"/>
    <w:uiPriority w:val="99"/>
    <w:rPr>
      <w:rFonts w:ascii="Times New Roman" w:hAnsi="Times New Roman" w:cs="Times New Roman"/>
      <w:sz w:val="20"/>
      <w:szCs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FootnoteReference">
    <w:name w:val="footnote reference"/>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HeaderSensitivityRight">
    <w:name w:val="Header Sensitivity Right"/>
    <w:basedOn w:val="Normal"/>
    <w:rsid w:val="00577DC1"/>
    <w:pPr>
      <w:spacing w:after="120" w:line="240" w:lineRule="auto"/>
      <w:jc w:val="right"/>
    </w:pPr>
    <w:rPr>
      <w:rFonts w:ascii="Times New Roman" w:hAnsi="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Text2">
    <w:name w:val="Text 2"/>
    <w:basedOn w:val="Normal"/>
    <w:pPr>
      <w:spacing w:before="120" w:after="120" w:line="240" w:lineRule="auto"/>
      <w:ind w:left="1417"/>
      <w:jc w:val="both"/>
    </w:pPr>
    <w:rPr>
      <w:rFonts w:ascii="Times New Roman" w:hAnsi="Times New Roman"/>
      <w:sz w:val="24"/>
    </w:rPr>
  </w:style>
  <w:style w:type="paragraph" w:customStyle="1" w:styleId="Text3">
    <w:name w:val="Text 3"/>
    <w:basedOn w:val="Normal"/>
    <w:pPr>
      <w:spacing w:before="120" w:after="120" w:line="240" w:lineRule="auto"/>
      <w:ind w:left="1984"/>
      <w:jc w:val="both"/>
    </w:pPr>
    <w:rPr>
      <w:rFonts w:ascii="Times New Roman" w:hAnsi="Times New Roman"/>
      <w:sz w:val="24"/>
    </w:rPr>
  </w:style>
  <w:style w:type="paragraph" w:customStyle="1" w:styleId="Text4">
    <w:name w:val="Text 4"/>
    <w:basedOn w:val="Normal"/>
    <w:pPr>
      <w:spacing w:before="120" w:after="120" w:line="240" w:lineRule="auto"/>
      <w:ind w:left="2551"/>
      <w:jc w:val="both"/>
    </w:pPr>
    <w:rPr>
      <w:rFonts w:ascii="Times New Roman" w:hAnsi="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sz w:val="24"/>
    </w:rPr>
  </w:style>
  <w:style w:type="paragraph" w:customStyle="1" w:styleId="NormalLeft">
    <w:name w:val="Normal Left"/>
    <w:basedOn w:val="Normal"/>
    <w:pPr>
      <w:spacing w:before="120" w:after="120" w:line="240" w:lineRule="auto"/>
    </w:pPr>
    <w:rPr>
      <w:rFonts w:ascii="Times New Roman" w:hAnsi="Times New Roman"/>
      <w:sz w:val="24"/>
    </w:rPr>
  </w:style>
  <w:style w:type="paragraph" w:customStyle="1" w:styleId="NormalRight">
    <w:name w:val="Normal Right"/>
    <w:basedOn w:val="Normal"/>
    <w:pPr>
      <w:spacing w:before="120" w:after="120" w:line="240" w:lineRule="auto"/>
      <w:jc w:val="right"/>
    </w:pPr>
    <w:rPr>
      <w:rFonts w:ascii="Times New Roman" w:hAnsi="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sz w:val="24"/>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sz w:val="24"/>
    </w:rPr>
  </w:style>
  <w:style w:type="paragraph" w:customStyle="1" w:styleId="NumPar1">
    <w:name w:val="NumPar 1"/>
    <w:basedOn w:val="Normal"/>
    <w:next w:val="Text1"/>
    <w:pPr>
      <w:numPr>
        <w:ilvl w:val="1"/>
        <w:numId w:val="15"/>
      </w:numPr>
      <w:spacing w:before="120" w:after="120" w:line="240" w:lineRule="auto"/>
      <w:jc w:val="both"/>
    </w:pPr>
    <w:rPr>
      <w:rFonts w:ascii="Times New Roman" w:hAnsi="Times New Roman"/>
      <w:sz w:val="24"/>
    </w:rPr>
  </w:style>
  <w:style w:type="paragraph" w:customStyle="1" w:styleId="NumPar2">
    <w:name w:val="NumPar 2"/>
    <w:basedOn w:val="Normal"/>
    <w:next w:val="Text1"/>
    <w:pPr>
      <w:numPr>
        <w:ilvl w:val="2"/>
        <w:numId w:val="15"/>
      </w:numPr>
      <w:spacing w:before="120" w:after="120" w:line="240" w:lineRule="auto"/>
      <w:jc w:val="both"/>
    </w:pPr>
    <w:rPr>
      <w:rFonts w:ascii="Times New Roman" w:hAnsi="Times New Roman"/>
      <w:sz w:val="24"/>
    </w:rPr>
  </w:style>
  <w:style w:type="paragraph" w:customStyle="1" w:styleId="NumPar3">
    <w:name w:val="NumPar 3"/>
    <w:basedOn w:val="Normal"/>
    <w:next w:val="Text1"/>
    <w:pPr>
      <w:numPr>
        <w:ilvl w:val="3"/>
        <w:numId w:val="15"/>
      </w:numPr>
      <w:spacing w:before="120" w:after="120" w:line="240" w:lineRule="auto"/>
      <w:jc w:val="both"/>
    </w:pPr>
    <w:rPr>
      <w:rFonts w:ascii="Times New Roman" w:hAnsi="Times New Roman"/>
      <w:sz w:val="24"/>
    </w:rPr>
  </w:style>
  <w:style w:type="paragraph" w:customStyle="1" w:styleId="NumPar4">
    <w:name w:val="NumPar 4"/>
    <w:basedOn w:val="Normal"/>
    <w:next w:val="Text1"/>
    <w:pPr>
      <w:tabs>
        <w:tab w:val="num" w:pos="850"/>
      </w:tabs>
      <w:spacing w:before="120" w:after="120" w:line="240" w:lineRule="auto"/>
      <w:ind w:left="850" w:hanging="850"/>
      <w:jc w:val="both"/>
    </w:pPr>
    <w:rPr>
      <w:rFonts w:ascii="Times New Roman" w:hAnsi="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b/>
      <w:sz w:val="24"/>
    </w:rPr>
  </w:style>
  <w:style w:type="character" w:customStyle="1" w:styleId="Marker">
    <w:name w:val="Marker"/>
    <w:basedOn w:val="DefaultParagraphFont"/>
    <w:rsid w:val="00F104FC"/>
    <w:rPr>
      <w:color w:val="0000FF"/>
      <w:bdr w:val="none" w:sz="0" w:space="0" w:color="auto"/>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ilvl w:val="2"/>
        <w:numId w:val="16"/>
      </w:numPr>
      <w:tabs>
        <w:tab w:val="clear" w:pos="1417"/>
        <w:tab w:val="num" w:pos="850"/>
      </w:tabs>
      <w:spacing w:before="120" w:after="120" w:line="240" w:lineRule="auto"/>
      <w:ind w:left="850" w:hanging="850"/>
      <w:jc w:val="both"/>
    </w:pPr>
    <w:rPr>
      <w:rFonts w:ascii="Times New Roman" w:hAnsi="Times New Roman"/>
      <w:sz w:val="24"/>
    </w:rPr>
  </w:style>
  <w:style w:type="paragraph" w:customStyle="1" w:styleId="Point1number">
    <w:name w:val="Point 1 (number)"/>
    <w:basedOn w:val="Normal"/>
    <w:pPr>
      <w:numPr>
        <w:ilvl w:val="4"/>
        <w:numId w:val="16"/>
      </w:numPr>
      <w:tabs>
        <w:tab w:val="clear" w:pos="1984"/>
        <w:tab w:val="num" w:pos="1417"/>
      </w:tabs>
      <w:spacing w:before="120" w:after="120" w:line="240" w:lineRule="auto"/>
      <w:ind w:left="1417"/>
      <w:jc w:val="both"/>
    </w:pPr>
    <w:rPr>
      <w:rFonts w:ascii="Times New Roman" w:hAnsi="Times New Roman"/>
      <w:sz w:val="24"/>
    </w:rPr>
  </w:style>
  <w:style w:type="paragraph" w:customStyle="1" w:styleId="Point2number">
    <w:name w:val="Point 2 (number)"/>
    <w:basedOn w:val="Normal"/>
    <w:pPr>
      <w:numPr>
        <w:ilvl w:val="6"/>
        <w:numId w:val="16"/>
      </w:numPr>
      <w:tabs>
        <w:tab w:val="clear" w:pos="2551"/>
        <w:tab w:val="num" w:pos="1984"/>
      </w:tabs>
      <w:spacing w:before="120" w:after="120" w:line="240" w:lineRule="auto"/>
      <w:ind w:left="1984"/>
      <w:jc w:val="both"/>
    </w:pPr>
    <w:rPr>
      <w:rFonts w:ascii="Times New Roman" w:hAnsi="Times New Roman"/>
      <w:sz w:val="24"/>
    </w:rPr>
  </w:style>
  <w:style w:type="paragraph" w:customStyle="1" w:styleId="Point3number">
    <w:name w:val="Point 3 (number)"/>
    <w:basedOn w:val="Normal"/>
    <w:pPr>
      <w:numPr>
        <w:ilvl w:val="1"/>
        <w:numId w:val="16"/>
      </w:numPr>
      <w:tabs>
        <w:tab w:val="clear" w:pos="850"/>
        <w:tab w:val="num" w:pos="2551"/>
      </w:tabs>
      <w:spacing w:before="120" w:after="120" w:line="240" w:lineRule="auto"/>
      <w:ind w:left="2551" w:hanging="567"/>
      <w:jc w:val="both"/>
    </w:pPr>
    <w:rPr>
      <w:rFonts w:ascii="Times New Roman" w:hAnsi="Times New Roman"/>
      <w:sz w:val="24"/>
    </w:rPr>
  </w:style>
  <w:style w:type="paragraph" w:customStyle="1" w:styleId="Point0letter">
    <w:name w:val="Point 0 (letter)"/>
    <w:basedOn w:val="Normal"/>
    <w:pPr>
      <w:numPr>
        <w:ilvl w:val="3"/>
        <w:numId w:val="16"/>
      </w:numPr>
      <w:tabs>
        <w:tab w:val="clear" w:pos="1417"/>
        <w:tab w:val="num" w:pos="850"/>
      </w:tabs>
      <w:spacing w:before="120" w:after="120" w:line="240" w:lineRule="auto"/>
      <w:ind w:left="850" w:hanging="850"/>
      <w:jc w:val="both"/>
    </w:pPr>
    <w:rPr>
      <w:rFonts w:ascii="Times New Roman" w:hAnsi="Times New Roman"/>
      <w:sz w:val="24"/>
    </w:rPr>
  </w:style>
  <w:style w:type="paragraph" w:customStyle="1" w:styleId="Point1letter">
    <w:name w:val="Point 1 (letter)"/>
    <w:basedOn w:val="Normal"/>
    <w:pPr>
      <w:numPr>
        <w:ilvl w:val="5"/>
        <w:numId w:val="16"/>
      </w:numPr>
      <w:tabs>
        <w:tab w:val="clear" w:pos="1984"/>
        <w:tab w:val="num" w:pos="1417"/>
      </w:tabs>
      <w:spacing w:before="120" w:after="120" w:line="240" w:lineRule="auto"/>
      <w:ind w:left="1417"/>
      <w:jc w:val="both"/>
    </w:pPr>
    <w:rPr>
      <w:rFonts w:ascii="Times New Roman" w:hAnsi="Times New Roman"/>
      <w:sz w:val="24"/>
    </w:rPr>
  </w:style>
  <w:style w:type="paragraph" w:customStyle="1" w:styleId="Point2letter">
    <w:name w:val="Point 2 (letter)"/>
    <w:basedOn w:val="Normal"/>
    <w:pPr>
      <w:numPr>
        <w:ilvl w:val="7"/>
        <w:numId w:val="16"/>
      </w:numPr>
      <w:tabs>
        <w:tab w:val="clear" w:pos="2551"/>
        <w:tab w:val="num" w:pos="1984"/>
      </w:tabs>
      <w:spacing w:before="120" w:after="120" w:line="240" w:lineRule="auto"/>
      <w:ind w:left="1984"/>
      <w:jc w:val="both"/>
    </w:pPr>
    <w:rPr>
      <w:rFonts w:ascii="Times New Roman" w:hAnsi="Times New Roman"/>
      <w:sz w:val="24"/>
    </w:rPr>
  </w:style>
  <w:style w:type="paragraph" w:customStyle="1" w:styleId="Point3letter">
    <w:name w:val="Point 3 (letter)"/>
    <w:basedOn w:val="Normal"/>
    <w:pPr>
      <w:numPr>
        <w:ilvl w:val="8"/>
        <w:numId w:val="16"/>
      </w:numPr>
      <w:tabs>
        <w:tab w:val="clear" w:pos="3118"/>
        <w:tab w:val="num" w:pos="2551"/>
      </w:tabs>
      <w:spacing w:before="120" w:after="120" w:line="240" w:lineRule="auto"/>
      <w:ind w:left="2551"/>
      <w:jc w:val="both"/>
    </w:pPr>
    <w:rPr>
      <w:rFonts w:ascii="Times New Roman" w:hAnsi="Times New Roman"/>
      <w:sz w:val="24"/>
    </w:rPr>
  </w:style>
  <w:style w:type="paragraph" w:customStyle="1" w:styleId="Point4letter">
    <w:name w:val="Point 4 (letter)"/>
    <w:basedOn w:val="Normal"/>
    <w:pPr>
      <w:tabs>
        <w:tab w:val="num" w:pos="3118"/>
      </w:tabs>
      <w:spacing w:before="120" w:after="120" w:line="240" w:lineRule="auto"/>
      <w:ind w:left="3118" w:hanging="567"/>
      <w:jc w:val="both"/>
    </w:pPr>
    <w:rPr>
      <w:rFonts w:ascii="Times New Roman" w:hAnsi="Times New Roman"/>
      <w:sz w:val="24"/>
    </w:rPr>
  </w:style>
  <w:style w:type="paragraph" w:customStyle="1" w:styleId="Bullet0">
    <w:name w:val="Bullet 0"/>
    <w:basedOn w:val="Normal"/>
    <w:pPr>
      <w:numPr>
        <w:numId w:val="17"/>
      </w:numPr>
      <w:spacing w:before="120" w:after="120" w:line="240" w:lineRule="auto"/>
      <w:jc w:val="both"/>
    </w:pPr>
    <w:rPr>
      <w:rFonts w:ascii="Times New Roman" w:hAnsi="Times New Roman"/>
      <w:sz w:val="24"/>
    </w:rPr>
  </w:style>
  <w:style w:type="paragraph" w:customStyle="1" w:styleId="Bullet1">
    <w:name w:val="Bullet 1"/>
    <w:basedOn w:val="Normal"/>
    <w:pPr>
      <w:numPr>
        <w:numId w:val="18"/>
      </w:numPr>
      <w:spacing w:before="120" w:after="120" w:line="240" w:lineRule="auto"/>
      <w:jc w:val="both"/>
    </w:pPr>
    <w:rPr>
      <w:rFonts w:ascii="Times New Roman" w:hAnsi="Times New Roman"/>
      <w:sz w:val="24"/>
    </w:rPr>
  </w:style>
  <w:style w:type="paragraph" w:customStyle="1" w:styleId="Bullet2">
    <w:name w:val="Bullet 2"/>
    <w:basedOn w:val="Normal"/>
    <w:pPr>
      <w:numPr>
        <w:numId w:val="19"/>
      </w:numPr>
      <w:spacing w:before="120" w:after="120" w:line="240" w:lineRule="auto"/>
      <w:jc w:val="both"/>
    </w:pPr>
    <w:rPr>
      <w:rFonts w:ascii="Times New Roman" w:hAnsi="Times New Roman"/>
      <w:sz w:val="24"/>
    </w:rPr>
  </w:style>
  <w:style w:type="paragraph" w:customStyle="1" w:styleId="Bullet3">
    <w:name w:val="Bullet 3"/>
    <w:basedOn w:val="Normal"/>
    <w:pPr>
      <w:numPr>
        <w:numId w:val="20"/>
      </w:numPr>
      <w:spacing w:before="120" w:after="120" w:line="240" w:lineRule="auto"/>
      <w:jc w:val="both"/>
    </w:pPr>
    <w:rPr>
      <w:rFonts w:ascii="Times New Roman" w:hAnsi="Times New Roman"/>
      <w:sz w:val="24"/>
    </w:rPr>
  </w:style>
  <w:style w:type="paragraph" w:customStyle="1" w:styleId="Bullet4">
    <w:name w:val="Bullet 4"/>
    <w:basedOn w:val="Normal"/>
    <w:pPr>
      <w:numPr>
        <w:numId w:val="21"/>
      </w:numPr>
      <w:spacing w:before="120" w:after="120" w:line="240" w:lineRule="auto"/>
      <w:jc w:val="both"/>
    </w:pPr>
    <w:rPr>
      <w:rFonts w:ascii="Times New Roman" w:hAnsi="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b/>
      <w:caps/>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sz w:val="24"/>
    </w:rPr>
  </w:style>
  <w:style w:type="paragraph" w:customStyle="1" w:styleId="Statut">
    <w:name w:val="Statut"/>
    <w:basedOn w:val="Normal"/>
    <w:next w:val="Typedudocument"/>
    <w:pPr>
      <w:spacing w:after="240" w:line="240" w:lineRule="auto"/>
      <w:jc w:val="center"/>
    </w:pPr>
    <w:rPr>
      <w:rFonts w:ascii="Times New Roman" w:hAnsi="Times New Roman"/>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b/>
      <w:sz w:val="24"/>
    </w:rPr>
  </w:style>
  <w:style w:type="paragraph" w:customStyle="1" w:styleId="Accompagnant">
    <w:name w:val="Accompagnant"/>
    <w:basedOn w:val="Normal"/>
    <w:next w:val="Typeacteprincipal"/>
    <w:pPr>
      <w:spacing w:before="180" w:after="240" w:line="240" w:lineRule="auto"/>
      <w:jc w:val="center"/>
    </w:pPr>
    <w:rPr>
      <w:rFonts w:ascii="Times New Roman" w:hAnsi="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b/>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i/>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i/>
      <w:sz w:val="32"/>
    </w:rPr>
  </w:style>
  <w:style w:type="paragraph" w:customStyle="1" w:styleId="TypedudocumentPagedecouverture">
    <w:name w:val="Type du document (Page de couverture)"/>
    <w:basedOn w:val="Typedudocument"/>
    <w:next w:val="AccompagnantPagedecouvertur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Rfrencecroise">
    <w:name w:val="Référence croisée"/>
    <w:basedOn w:val="Normal"/>
    <w:pPr>
      <w:spacing w:after="0" w:line="240" w:lineRule="auto"/>
      <w:jc w:val="center"/>
    </w:pPr>
    <w:rPr>
      <w:rFonts w:ascii="Times New Roman" w:hAnsi="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rsid w:val="00577DC1"/>
    <w:pPr>
      <w:spacing w:after="0"/>
      <w:ind w:left="5103"/>
    </w:pPr>
    <w:rPr>
      <w:rFonts w:ascii="Times New Roman" w:eastAsiaTheme="minorHAnsi" w:hAnsi="Times New Roman"/>
      <w:sz w:val="28"/>
    </w:rPr>
  </w:style>
  <w:style w:type="paragraph" w:customStyle="1" w:styleId="DateMarking">
    <w:name w:val="DateMarking"/>
    <w:basedOn w:val="Normal"/>
    <w:rsid w:val="00577DC1"/>
    <w:pPr>
      <w:spacing w:after="0"/>
      <w:ind w:left="5103"/>
    </w:pPr>
    <w:rPr>
      <w:rFonts w:ascii="Times New Roman" w:eastAsiaTheme="minorHAnsi" w:hAnsi="Times New Roman"/>
      <w:i/>
      <w:sz w:val="28"/>
    </w:rPr>
  </w:style>
  <w:style w:type="paragraph" w:customStyle="1" w:styleId="ReleasableTo">
    <w:name w:val="ReleasableTo"/>
    <w:basedOn w:val="Normal"/>
    <w:rsid w:val="00577DC1"/>
    <w:pPr>
      <w:spacing w:after="0"/>
      <w:ind w:left="5103"/>
    </w:pPr>
    <w:rPr>
      <w:rFonts w:ascii="Times New Roman" w:eastAsiaTheme="minorHAnsi" w:hAnsi="Times New Roman"/>
      <w:i/>
      <w:sz w:val="28"/>
    </w:rPr>
  </w:style>
  <w:style w:type="paragraph" w:customStyle="1" w:styleId="Annexetitreexpos">
    <w:name w:val="Annexe titre (exposé)"/>
    <w:basedOn w:val="Normal"/>
    <w:next w:val="Normal"/>
    <w:pPr>
      <w:spacing w:before="120" w:after="120" w:line="240" w:lineRule="auto"/>
      <w:jc w:val="center"/>
    </w:pPr>
    <w:rPr>
      <w:rFonts w:ascii="Times New Roman" w:hAnsi="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sz w:val="24"/>
    </w:rPr>
  </w:style>
  <w:style w:type="paragraph" w:customStyle="1" w:styleId="Fait">
    <w:name w:val="Fait à"/>
    <w:basedOn w:val="Normal"/>
    <w:next w:val="Institutionquisigne"/>
    <w:pPr>
      <w:keepNext/>
      <w:spacing w:before="120" w:after="0" w:line="240" w:lineRule="auto"/>
      <w:jc w:val="both"/>
    </w:pPr>
    <w:rPr>
      <w:rFonts w:ascii="Times New Roman" w:hAnsi="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i/>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sz w:val="24"/>
    </w:rPr>
  </w:style>
  <w:style w:type="paragraph" w:customStyle="1" w:styleId="Considrant">
    <w:name w:val="Considérant"/>
    <w:basedOn w:val="Normal"/>
    <w:pPr>
      <w:numPr>
        <w:numId w:val="22"/>
      </w:numPr>
      <w:spacing w:before="120" w:after="120" w:line="240" w:lineRule="auto"/>
      <w:jc w:val="both"/>
    </w:pPr>
    <w:rPr>
      <w:rFonts w:ascii="Times New Roman" w:hAnsi="Times New Roman"/>
      <w:sz w:val="24"/>
    </w:rPr>
  </w:style>
  <w:style w:type="paragraph" w:customStyle="1" w:styleId="Corrigendum">
    <w:name w:val="Corrigendum"/>
    <w:basedOn w:val="Normal"/>
    <w:next w:val="Normal"/>
    <w:pPr>
      <w:spacing w:after="240" w:line="240" w:lineRule="auto"/>
    </w:pPr>
    <w:rPr>
      <w:rFonts w:ascii="Times New Roman" w:hAnsi="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b/>
      <w:sz w:val="24"/>
    </w:rPr>
  </w:style>
  <w:style w:type="paragraph" w:customStyle="1" w:styleId="IntrtEEE">
    <w:name w:val="Intérêt EEE"/>
    <w:basedOn w:val="Languesfaisantfoi"/>
    <w:next w:val="Normal"/>
    <w:rsid w:val="00577DC1"/>
    <w:pPr>
      <w:spacing w:after="0"/>
    </w:pPr>
  </w:style>
  <w:style w:type="paragraph" w:customStyle="1" w:styleId="Languesfaisantfoi">
    <w:name w:val="Langues faisant foi"/>
    <w:basedOn w:val="Normal"/>
    <w:next w:val="Normal"/>
    <w:rsid w:val="00577DC1"/>
    <w:pPr>
      <w:spacing w:before="360" w:after="240" w:line="240" w:lineRule="auto"/>
      <w:jc w:val="center"/>
    </w:pPr>
    <w:rPr>
      <w:rFonts w:ascii="Times New Roman" w:eastAsiaTheme="minorHAnsi" w:hAnsi="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b/>
      <w:sz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sz w:val="24"/>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b/>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IntrtEEEPagedecouverture">
    <w:name w:val="Intérêt EEE (Page de couverture)"/>
    <w:basedOn w:val="IntrtEEE"/>
    <w:next w:val="Normal"/>
    <w:rsid w:val="00577DC1"/>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hAnsi="Times New Roman"/>
      <w:sz w:val="24"/>
    </w:rPr>
  </w:style>
  <w:style w:type="paragraph" w:customStyle="1" w:styleId="LanguesfaisantfoiPagedecouverture">
    <w:name w:val="Langues faisant foi (Page de couverture)"/>
    <w:basedOn w:val="Normal"/>
    <w:next w:val="Rfrencecroise"/>
    <w:rsid w:val="00577DC1"/>
    <w:pPr>
      <w:spacing w:before="360" w:after="240" w:line="240" w:lineRule="auto"/>
      <w:jc w:val="center"/>
    </w:pPr>
    <w:rPr>
      <w:rFonts w:ascii="Times New Roman" w:eastAsiaTheme="minorHAnsi" w:hAnsi="Times New Roman"/>
      <w:sz w:val="24"/>
    </w:rPr>
  </w:style>
  <w:style w:type="paragraph" w:styleId="BodyText">
    <w:name w:val="Body Text"/>
    <w:basedOn w:val="Normal"/>
    <w:link w:val="BodyTextChar"/>
    <w:uiPriority w:val="1"/>
    <w:qFormat/>
    <w:pPr>
      <w:widowControl w:val="0"/>
      <w:autoSpaceDE w:val="0"/>
      <w:autoSpaceDN w:val="0"/>
      <w:spacing w:after="0" w:line="240" w:lineRule="auto"/>
    </w:pPr>
    <w:rPr>
      <w:rFonts w:ascii="Myriad Pro" w:eastAsia="Myriad Pro" w:hAnsi="Myriad Pro" w:cs="Myriad Pro"/>
      <w:sz w:val="20"/>
      <w:szCs w:val="20"/>
    </w:rPr>
  </w:style>
  <w:style w:type="character" w:customStyle="1" w:styleId="BodyTextChar">
    <w:name w:val="Body Text Char"/>
    <w:link w:val="BodyText"/>
    <w:uiPriority w:val="1"/>
    <w:rPr>
      <w:rFonts w:ascii="Myriad Pro" w:eastAsia="Myriad Pro" w:hAnsi="Myriad Pro" w:cs="Myriad Pro"/>
      <w:sz w:val="20"/>
      <w:szCs w:val="20"/>
    </w:rPr>
  </w:style>
  <w:style w:type="character" w:customStyle="1" w:styleId="Bodytext2">
    <w:name w:val="Body text|2_"/>
    <w:link w:val="Bodytext20"/>
    <w:rPr>
      <w:rFonts w:ascii="Arial" w:eastAsia="Arial" w:hAnsi="Arial" w:cs="Arial"/>
      <w:sz w:val="19"/>
      <w:szCs w:val="19"/>
      <w:shd w:val="clear" w:color="auto" w:fill="FFFFFF"/>
    </w:rPr>
  </w:style>
  <w:style w:type="paragraph" w:customStyle="1" w:styleId="Bodytext20">
    <w:name w:val="Body text|2"/>
    <w:basedOn w:val="Normal"/>
    <w:link w:val="Bodytext2"/>
    <w:qFormat/>
    <w:pPr>
      <w:widowControl w:val="0"/>
      <w:shd w:val="clear" w:color="auto" w:fill="FFFFFF"/>
      <w:spacing w:after="3320" w:line="212" w:lineRule="exact"/>
      <w:ind w:hanging="360"/>
    </w:pPr>
    <w:rPr>
      <w:rFonts w:ascii="Arial" w:eastAsia="Arial" w:hAnsi="Arial" w:cs="Arial"/>
      <w:sz w:val="19"/>
      <w:szCs w:val="19"/>
    </w:rPr>
  </w:style>
  <w:style w:type="character" w:customStyle="1" w:styleId="Bodytext2Bold">
    <w:name w:val="Body text|2 + Bold"/>
    <w:semiHidden/>
    <w:unhideWhenUsed/>
    <w:rPr>
      <w:rFonts w:ascii="Arial" w:eastAsia="Arial" w:hAnsi="Arial" w:cs="Arial"/>
      <w:b/>
      <w:bCs/>
      <w:color w:val="000000"/>
      <w:position w:val="0"/>
      <w:sz w:val="19"/>
      <w:szCs w:val="19"/>
      <w:shd w:val="clear" w:color="auto" w:fill="FFFFFF"/>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customStyle="1" w:styleId="Bodytext26">
    <w:name w:val="Body text|26"/>
    <w:basedOn w:val="Normal"/>
    <w:qFormat/>
    <w:pPr>
      <w:widowControl w:val="0"/>
      <w:shd w:val="clear" w:color="auto" w:fill="FFFFFF"/>
      <w:spacing w:after="3320" w:line="212" w:lineRule="exact"/>
      <w:ind w:hanging="360"/>
    </w:pPr>
    <w:rPr>
      <w:rFonts w:ascii="Arial" w:eastAsia="Arial" w:hAnsi="Arial" w:cs="Arial"/>
      <w:sz w:val="19"/>
      <w:szCs w:val="19"/>
    </w:rPr>
  </w:style>
  <w:style w:type="character" w:customStyle="1" w:styleId="Heading61">
    <w:name w:val="Heading #6|1_"/>
    <w:link w:val="Heading610"/>
    <w:locked/>
    <w:rPr>
      <w:rFonts w:ascii="Arial" w:eastAsia="Arial" w:hAnsi="Arial" w:cs="Arial"/>
      <w:b/>
      <w:bCs/>
      <w:sz w:val="19"/>
      <w:szCs w:val="19"/>
      <w:shd w:val="clear" w:color="auto" w:fill="FFFFFF"/>
    </w:rPr>
  </w:style>
  <w:style w:type="paragraph" w:customStyle="1" w:styleId="Heading610">
    <w:name w:val="Heading #6|10"/>
    <w:basedOn w:val="Normal"/>
    <w:link w:val="Heading61"/>
    <w:pPr>
      <w:widowControl w:val="0"/>
      <w:shd w:val="clear" w:color="auto" w:fill="FFFFFF"/>
      <w:spacing w:before="160" w:after="0" w:line="212" w:lineRule="exact"/>
      <w:outlineLvl w:val="5"/>
    </w:pPr>
    <w:rPr>
      <w:rFonts w:ascii="Arial" w:eastAsia="Arial" w:hAnsi="Arial" w:cs="Arial"/>
      <w:b/>
      <w:bCs/>
      <w:sz w:val="19"/>
      <w:szCs w:val="19"/>
    </w:rPr>
  </w:style>
  <w:style w:type="character" w:customStyle="1" w:styleId="Bodytext16">
    <w:name w:val="Body text|16_"/>
    <w:link w:val="Bodytext160"/>
    <w:rPr>
      <w:rFonts w:ascii="Arial" w:eastAsia="Arial" w:hAnsi="Arial" w:cs="Arial"/>
      <w:i/>
      <w:iCs/>
      <w:sz w:val="19"/>
      <w:szCs w:val="19"/>
      <w:shd w:val="clear" w:color="auto" w:fill="FFFFFF"/>
    </w:rPr>
  </w:style>
  <w:style w:type="paragraph" w:customStyle="1" w:styleId="Bodytext160">
    <w:name w:val="Body text|160"/>
    <w:basedOn w:val="Normal"/>
    <w:link w:val="Bodytext16"/>
    <w:pPr>
      <w:widowControl w:val="0"/>
      <w:shd w:val="clear" w:color="auto" w:fill="FFFFFF"/>
      <w:spacing w:before="160" w:after="380" w:line="212" w:lineRule="exact"/>
    </w:pPr>
    <w:rPr>
      <w:rFonts w:ascii="Arial" w:eastAsia="Arial" w:hAnsi="Arial" w:cs="Arial"/>
      <w:i/>
      <w:iCs/>
      <w:sz w:val="19"/>
      <w:szCs w:val="19"/>
    </w:rPr>
  </w:style>
  <w:style w:type="table" w:styleId="TableGrid">
    <w:name w:val="Table Grid"/>
    <w:basedOn w:val="TableNormal"/>
    <w:uiPriority w:val="59"/>
    <w:tblPr/>
  </w:style>
  <w:style w:type="table" w:customStyle="1" w:styleId="GridTable1Light-Accent11">
    <w:name w:val="Grid Table 1 Light - Accent 11"/>
    <w:basedOn w:val="TableNormal"/>
    <w:uiPriority w:val="46"/>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eading62">
    <w:name w:val="Heading #6|2"/>
    <w:semiHidden/>
    <w:unhideWhenUsed/>
    <w:rPr>
      <w:rFonts w:ascii="Arial" w:eastAsia="Arial" w:hAnsi="Arial" w:cs="Arial"/>
      <w:b w:val="0"/>
      <w:bCs w:val="0"/>
      <w:i w:val="0"/>
      <w:iCs w:val="0"/>
      <w:smallCaps w:val="0"/>
      <w:strike w:val="0"/>
      <w:color w:val="105AC1"/>
      <w:position w:val="0"/>
      <w:sz w:val="19"/>
      <w:szCs w:val="19"/>
      <w:u w:val="none"/>
    </w:rPr>
  </w:style>
  <w:style w:type="character" w:customStyle="1" w:styleId="normaltextrun">
    <w:name w:val="normaltextrun"/>
    <w:basedOn w:val="DefaultParagraphFont"/>
  </w:style>
  <w:style w:type="paragraph" w:styleId="NoSpacing">
    <w:name w:val="No Spacing"/>
    <w:uiPriority w:val="1"/>
    <w:qFormat/>
    <w:pPr>
      <w:jc w:val="both"/>
    </w:pPr>
    <w:rPr>
      <w:rFonts w:ascii="Times New Roman" w:hAnsi="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customStyle="1" w:styleId="Mention1">
    <w:name w:val="Mention1"/>
    <w:uiPriority w:val="99"/>
    <w:unhideWhenUsed/>
    <w:rPr>
      <w:color w:val="2B579A"/>
      <w:shd w:val="clear" w:color="auto" w:fill="E6E6E6"/>
    </w:rPr>
  </w:style>
  <w:style w:type="character" w:customStyle="1" w:styleId="eop">
    <w:name w:val="eop"/>
  </w:style>
  <w:style w:type="paragraph" w:customStyle="1" w:styleId="PILLAR">
    <w:name w:val="PILLAR"/>
    <w:basedOn w:val="Normal"/>
    <w:pPr>
      <w:spacing w:before="120" w:after="120" w:line="240" w:lineRule="auto"/>
      <w:jc w:val="both"/>
    </w:pPr>
    <w:rPr>
      <w:rFonts w:ascii="Times New Roman" w:hAnsi="Times New Roman"/>
      <w:color w:val="000000"/>
      <w:sz w:val="24"/>
      <w:szCs w:val="24"/>
    </w:rPr>
  </w:style>
  <w:style w:type="paragraph" w:customStyle="1" w:styleId="TechnicalBlock">
    <w:name w:val="Technical Block"/>
    <w:basedOn w:val="Normal"/>
    <w:link w:val="TechnicalBlockChar"/>
    <w:rsid w:val="00BC3B5A"/>
    <w:pPr>
      <w:spacing w:after="240" w:line="240" w:lineRule="auto"/>
      <w:jc w:val="center"/>
    </w:pPr>
  </w:style>
  <w:style w:type="character" w:customStyle="1" w:styleId="TechnicalBlockChar">
    <w:name w:val="Technical Block Char"/>
    <w:basedOn w:val="DefaultParagraphFont"/>
    <w:link w:val="TechnicalBlock"/>
    <w:rsid w:val="00BC3B5A"/>
    <w:rPr>
      <w:sz w:val="22"/>
      <w:szCs w:val="22"/>
    </w:rPr>
  </w:style>
  <w:style w:type="paragraph" w:customStyle="1" w:styleId="EntText">
    <w:name w:val="EntText"/>
    <w:basedOn w:val="Normal"/>
    <w:rsid w:val="00F104FC"/>
    <w:pPr>
      <w:spacing w:before="120" w:after="120" w:line="360" w:lineRule="auto"/>
    </w:pPr>
    <w:rPr>
      <w:rFonts w:ascii="Times New Roman" w:eastAsiaTheme="minorHAnsi" w:hAnsi="Times New Roman"/>
      <w:sz w:val="24"/>
    </w:rPr>
  </w:style>
  <w:style w:type="paragraph" w:customStyle="1" w:styleId="Lignefinal">
    <w:name w:val="Ligne final"/>
    <w:basedOn w:val="Normal"/>
    <w:next w:val="Normal"/>
    <w:rsid w:val="00F104FC"/>
    <w:pPr>
      <w:pBdr>
        <w:bottom w:val="single" w:sz="4" w:space="0" w:color="000000"/>
      </w:pBdr>
      <w:spacing w:before="360" w:after="120" w:line="360" w:lineRule="auto"/>
      <w:ind w:left="3400" w:right="3400"/>
      <w:jc w:val="center"/>
    </w:pPr>
    <w:rPr>
      <w:rFonts w:ascii="Times New Roman" w:eastAsiaTheme="minorHAnsi" w:hAnsi="Times New Roman"/>
      <w:b/>
      <w:sz w:val="24"/>
    </w:rPr>
  </w:style>
  <w:style w:type="paragraph" w:customStyle="1" w:styleId="pj">
    <w:name w:val="p.j."/>
    <w:basedOn w:val="Normal"/>
    <w:link w:val="pjChar"/>
    <w:rsid w:val="00BC3B5A"/>
    <w:pPr>
      <w:spacing w:before="1200" w:after="120" w:line="240" w:lineRule="auto"/>
      <w:ind w:left="1440" w:hanging="1440"/>
    </w:pPr>
    <w:rPr>
      <w:rFonts w:ascii="Times New Roman" w:hAnsi="Times New Roman"/>
      <w:sz w:val="24"/>
    </w:rPr>
  </w:style>
  <w:style w:type="character" w:customStyle="1" w:styleId="pjChar">
    <w:name w:val="p.j. Char"/>
    <w:basedOn w:val="TechnicalBlockChar"/>
    <w:link w:val="pj"/>
    <w:rsid w:val="00BC3B5A"/>
    <w:rPr>
      <w:rFonts w:ascii="Times New Roman" w:hAnsi="Times New Roman"/>
      <w:sz w:val="24"/>
      <w:szCs w:val="22"/>
    </w:rPr>
  </w:style>
  <w:style w:type="paragraph" w:customStyle="1" w:styleId="nbbordered">
    <w:name w:val="nb bordered"/>
    <w:basedOn w:val="Normal"/>
    <w:link w:val="nbborderedChar"/>
    <w:rsid w:val="00BC3B5A"/>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b/>
      <w:sz w:val="24"/>
    </w:rPr>
  </w:style>
  <w:style w:type="character" w:customStyle="1" w:styleId="nbborderedChar">
    <w:name w:val="nb bordered Char"/>
    <w:basedOn w:val="TechnicalBlockChar"/>
    <w:link w:val="nbbordered"/>
    <w:rsid w:val="00BC3B5A"/>
    <w:rPr>
      <w:rFonts w:ascii="Times New Roman" w:hAnsi="Times New Roman"/>
      <w:b/>
      <w:sz w:val="24"/>
      <w:szCs w:val="22"/>
    </w:rPr>
  </w:style>
  <w:style w:type="paragraph" w:customStyle="1" w:styleId="HeaderCouncil">
    <w:name w:val="Header Council"/>
    <w:basedOn w:val="Normal"/>
    <w:link w:val="HeaderCouncilChar"/>
    <w:rsid w:val="00BC3B5A"/>
    <w:pPr>
      <w:spacing w:after="0"/>
    </w:pPr>
    <w:rPr>
      <w:rFonts w:ascii="Times New Roman" w:hAnsi="Times New Roman"/>
      <w:sz w:val="2"/>
    </w:rPr>
  </w:style>
  <w:style w:type="character" w:customStyle="1" w:styleId="HeaderCouncilChar">
    <w:name w:val="Header Council Char"/>
    <w:basedOn w:val="DefaultParagraphFont"/>
    <w:link w:val="HeaderCouncil"/>
    <w:rsid w:val="00BC3B5A"/>
    <w:rPr>
      <w:sz w:val="2"/>
      <w:szCs w:val="22"/>
    </w:rPr>
  </w:style>
  <w:style w:type="paragraph" w:customStyle="1" w:styleId="HeaderCouncilLarge">
    <w:name w:val="Header Council Large"/>
    <w:basedOn w:val="Normal"/>
    <w:link w:val="HeaderCouncilLargeChar"/>
    <w:rsid w:val="00BC3B5A"/>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BC3B5A"/>
    <w:rPr>
      <w:sz w:val="2"/>
      <w:szCs w:val="22"/>
    </w:rPr>
  </w:style>
  <w:style w:type="paragraph" w:customStyle="1" w:styleId="FooterCouncil">
    <w:name w:val="Footer Council"/>
    <w:basedOn w:val="Normal"/>
    <w:link w:val="FooterCouncilChar"/>
    <w:rsid w:val="00BC3B5A"/>
    <w:pPr>
      <w:spacing w:after="0"/>
    </w:pPr>
    <w:rPr>
      <w:rFonts w:ascii="Times New Roman" w:hAnsi="Times New Roman"/>
      <w:sz w:val="2"/>
    </w:rPr>
  </w:style>
  <w:style w:type="character" w:customStyle="1" w:styleId="FooterCouncilChar">
    <w:name w:val="Footer Council Char"/>
    <w:basedOn w:val="DefaultParagraphFont"/>
    <w:link w:val="FooterCouncil"/>
    <w:rsid w:val="00BC3B5A"/>
    <w:rPr>
      <w:sz w:val="2"/>
      <w:szCs w:val="22"/>
    </w:rPr>
  </w:style>
  <w:style w:type="paragraph" w:customStyle="1" w:styleId="FooterText">
    <w:name w:val="Footer Text"/>
    <w:basedOn w:val="Normal"/>
    <w:rsid w:val="00BC3B5A"/>
    <w:pPr>
      <w:spacing w:after="0" w:line="240" w:lineRule="auto"/>
    </w:pPr>
    <w:rPr>
      <w:rFonts w:ascii="Times New Roman" w:eastAsia="Times New Roman" w:hAnsi="Times New Roman"/>
      <w:sz w:val="24"/>
      <w:szCs w:val="24"/>
    </w:rPr>
  </w:style>
  <w:style w:type="character" w:styleId="PlaceholderText">
    <w:name w:val="Placeholder Text"/>
    <w:uiPriority w:val="99"/>
    <w:semiHidden/>
    <w:rsid w:val="00BC3B5A"/>
    <w:rPr>
      <w:color w:val="808080"/>
    </w:rPr>
  </w:style>
  <w:style w:type="character" w:customStyle="1" w:styleId="Mention3">
    <w:name w:val="Mention3"/>
    <w:basedOn w:val="DefaultParagraphFont"/>
    <w:uiPriority w:val="99"/>
    <w:unhideWhenUsed/>
    <w:rsid w:val="00B8798E"/>
    <w:rPr>
      <w:color w:val="2B579A"/>
      <w:shd w:val="clear" w:color="auto" w:fill="E6E6E6"/>
    </w:rPr>
  </w:style>
  <w:style w:type="character" w:customStyle="1" w:styleId="UnresolvedMention1">
    <w:name w:val="Unresolved Mention1"/>
    <w:basedOn w:val="DefaultParagraphFont"/>
    <w:uiPriority w:val="99"/>
    <w:unhideWhenUsed/>
    <w:rsid w:val="00777E1F"/>
    <w:rPr>
      <w:color w:val="605E5C"/>
      <w:shd w:val="clear" w:color="auto" w:fill="E1DFDD"/>
    </w:rPr>
  </w:style>
  <w:style w:type="character" w:customStyle="1" w:styleId="Mention2">
    <w:name w:val="Mention2"/>
    <w:basedOn w:val="DefaultParagraphFont"/>
    <w:uiPriority w:val="99"/>
    <w:unhideWhenUsed/>
    <w:rsid w:val="005958D6"/>
    <w:rPr>
      <w:color w:val="2B579A"/>
      <w:shd w:val="clear" w:color="auto" w:fill="E6E6E6"/>
    </w:rPr>
  </w:style>
  <w:style w:type="character" w:customStyle="1" w:styleId="UnresolvedMention2">
    <w:name w:val="Unresolved Mention2"/>
    <w:basedOn w:val="DefaultParagraphFont"/>
    <w:uiPriority w:val="99"/>
    <w:unhideWhenUsed/>
    <w:rsid w:val="000F7E46"/>
    <w:rPr>
      <w:color w:val="605E5C"/>
      <w:shd w:val="clear" w:color="auto" w:fill="E1DFDD"/>
    </w:rPr>
  </w:style>
  <w:style w:type="character" w:customStyle="1" w:styleId="Mention4">
    <w:name w:val="Mention4"/>
    <w:basedOn w:val="DefaultParagraphFont"/>
    <w:uiPriority w:val="99"/>
    <w:unhideWhenUsed/>
    <w:rsid w:val="00157A97"/>
    <w:rPr>
      <w:color w:val="2B579A"/>
      <w:shd w:val="clear" w:color="auto" w:fill="E1DFDD"/>
    </w:rPr>
  </w:style>
  <w:style w:type="character" w:customStyle="1" w:styleId="UnresolvedMention3">
    <w:name w:val="Unresolved Mention3"/>
    <w:basedOn w:val="DefaultParagraphFont"/>
    <w:uiPriority w:val="99"/>
    <w:unhideWhenUsed/>
    <w:rsid w:val="006563F6"/>
    <w:rPr>
      <w:color w:val="605E5C"/>
      <w:shd w:val="clear" w:color="auto" w:fill="E1DFDD"/>
    </w:rPr>
  </w:style>
  <w:style w:type="character" w:customStyle="1" w:styleId="Mention5">
    <w:name w:val="Mention5"/>
    <w:basedOn w:val="DefaultParagraphFont"/>
    <w:uiPriority w:val="99"/>
    <w:unhideWhenUsed/>
    <w:rsid w:val="006563F6"/>
    <w:rPr>
      <w:color w:val="2B579A"/>
      <w:shd w:val="clear" w:color="auto" w:fill="E1DFDD"/>
    </w:rPr>
  </w:style>
  <w:style w:type="paragraph" w:customStyle="1" w:styleId="paragraph">
    <w:name w:val="paragraph"/>
    <w:basedOn w:val="Normal"/>
    <w:rsid w:val="00452384"/>
    <w:pPr>
      <w:spacing w:before="100" w:beforeAutospacing="1" w:after="100" w:afterAutospacing="1" w:line="240" w:lineRule="auto"/>
    </w:pPr>
    <w:rPr>
      <w:rFonts w:ascii="Times New Roman" w:eastAsia="Times New Roman" w:hAnsi="Times New Roman"/>
      <w:sz w:val="24"/>
      <w:szCs w:val="24"/>
    </w:rPr>
  </w:style>
  <w:style w:type="character" w:customStyle="1" w:styleId="subscript">
    <w:name w:val="subscript"/>
    <w:basedOn w:val="DefaultParagraphFont"/>
    <w:rsid w:val="00270393"/>
  </w:style>
  <w:style w:type="character" w:customStyle="1" w:styleId="Mention6">
    <w:name w:val="Mention6"/>
    <w:basedOn w:val="DefaultParagraphFont"/>
    <w:uiPriority w:val="99"/>
    <w:unhideWhenUsed/>
    <w:rsid w:val="0027079F"/>
    <w:rPr>
      <w:color w:val="2B579A"/>
      <w:shd w:val="clear" w:color="auto" w:fill="E1DFDD"/>
    </w:rPr>
  </w:style>
  <w:style w:type="character" w:customStyle="1" w:styleId="Mention7">
    <w:name w:val="Mention7"/>
    <w:basedOn w:val="DefaultParagraphFont"/>
    <w:uiPriority w:val="99"/>
    <w:unhideWhenUsed/>
    <w:rsid w:val="006A0306"/>
    <w:rPr>
      <w:color w:val="2B579A"/>
      <w:shd w:val="clear" w:color="auto" w:fill="E1DFDD"/>
    </w:rPr>
  </w:style>
  <w:style w:type="character" w:customStyle="1" w:styleId="ui-provider">
    <w:name w:val="ui-provider"/>
    <w:basedOn w:val="DefaultParagraphFont"/>
    <w:rsid w:val="00886F93"/>
  </w:style>
  <w:style w:type="character" w:customStyle="1" w:styleId="Mention8">
    <w:name w:val="Mention8"/>
    <w:basedOn w:val="DefaultParagraphFont"/>
    <w:uiPriority w:val="99"/>
    <w:unhideWhenUsed/>
    <w:rsid w:val="009C5C73"/>
    <w:rPr>
      <w:color w:val="2B579A"/>
      <w:shd w:val="clear" w:color="auto" w:fill="E1DFDD"/>
    </w:rPr>
  </w:style>
  <w:style w:type="character" w:customStyle="1" w:styleId="UnresolvedMention4">
    <w:name w:val="Unresolved Mention4"/>
    <w:basedOn w:val="DefaultParagraphFont"/>
    <w:uiPriority w:val="99"/>
    <w:semiHidden/>
    <w:unhideWhenUsed/>
    <w:rsid w:val="00170595"/>
    <w:rPr>
      <w:color w:val="605E5C"/>
      <w:shd w:val="clear" w:color="auto" w:fill="E1DFDD"/>
    </w:rPr>
  </w:style>
  <w:style w:type="character" w:customStyle="1" w:styleId="Mention9">
    <w:name w:val="Mention9"/>
    <w:basedOn w:val="DefaultParagraphFont"/>
    <w:uiPriority w:val="99"/>
    <w:unhideWhenUsed/>
    <w:rsid w:val="004865FA"/>
    <w:rPr>
      <w:color w:val="2B579A"/>
      <w:shd w:val="clear" w:color="auto" w:fill="E1DFDD"/>
    </w:rPr>
  </w:style>
  <w:style w:type="paragraph" w:customStyle="1" w:styleId="EPKitTCFrame">
    <w:name w:val="EPKit TC Frame"/>
    <w:basedOn w:val="Normal"/>
    <w:rsid w:val="00DC5C50"/>
    <w:pPr>
      <w:ind w:left="-1134" w:right="-1134"/>
    </w:pPr>
  </w:style>
  <w:style w:type="character" w:customStyle="1" w:styleId="UnresolvedMention5">
    <w:name w:val="Unresolved Mention5"/>
    <w:basedOn w:val="DefaultParagraphFont"/>
    <w:uiPriority w:val="99"/>
    <w:semiHidden/>
    <w:unhideWhenUsed/>
    <w:rsid w:val="00CF5103"/>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Annex">
    <w:name w:val="Annex"/>
    <w:basedOn w:val="Normal"/>
    <w:next w:val="Normal"/>
    <w:rsid w:val="00C4790A"/>
    <w:pPr>
      <w:spacing w:before="120" w:after="120" w:line="360" w:lineRule="auto"/>
      <w:jc w:val="right"/>
    </w:pPr>
    <w:rPr>
      <w:rFonts w:ascii="Times New Roman" w:eastAsiaTheme="minorHAnsi" w:hAnsi="Times New Roman"/>
      <w:b/>
      <w:sz w:val="24"/>
      <w:u w:val="single"/>
    </w:rPr>
  </w:style>
  <w:style w:type="character" w:customStyle="1" w:styleId="Mention">
    <w:name w:val="Mention"/>
    <w:basedOn w:val="DefaultParagraphFont"/>
    <w:uiPriority w:val="99"/>
    <w:unhideWhenUsed/>
    <w:rsid w:val="00547585"/>
    <w:rPr>
      <w:color w:val="2B579A"/>
      <w:shd w:val="clear" w:color="auto" w:fill="E1DFDD"/>
    </w:rPr>
  </w:style>
  <w:style w:type="paragraph" w:customStyle="1" w:styleId="P68B1DB1-Heading31">
    <w:name w:val="P68B1DB1-Heading31"/>
    <w:basedOn w:val="Heading3"/>
    <w:rPr>
      <w:b/>
      <w:i w:val="0"/>
    </w:rPr>
  </w:style>
  <w:style w:type="paragraph" w:customStyle="1" w:styleId="P68B1DB1-Heading42">
    <w:name w:val="P68B1DB1-Heading42"/>
    <w:basedOn w:val="Heading4"/>
    <w:rPr>
      <w:b/>
    </w:rPr>
  </w:style>
  <w:style w:type="paragraph" w:customStyle="1" w:styleId="P68B1DB1-Normal3">
    <w:name w:val="P68B1DB1-Normal3"/>
    <w:basedOn w:val="Normal"/>
    <w:rPr>
      <w:rFonts w:ascii="Times New Roman" w:hAnsi="Times New Roman"/>
      <w:sz w:val="24"/>
      <w:szCs w:val="24"/>
    </w:rPr>
  </w:style>
  <w:style w:type="paragraph" w:customStyle="1" w:styleId="P68B1DB1-Normal4">
    <w:name w:val="P68B1DB1-Normal4"/>
    <w:basedOn w:val="Normal"/>
    <w:rPr>
      <w:rFonts w:ascii="Times New Roman" w:eastAsia="Times New Roman" w:hAnsi="Times New Roman"/>
      <w:sz w:val="24"/>
      <w:szCs w:val="24"/>
    </w:rPr>
  </w:style>
  <w:style w:type="paragraph" w:customStyle="1" w:styleId="P68B1DB1-Normal5">
    <w:name w:val="P68B1DB1-Normal5"/>
    <w:basedOn w:val="Normal"/>
    <w:rPr>
      <w:rFonts w:ascii="Times New Roman" w:hAnsi="Times New Roman"/>
      <w:b/>
      <w:sz w:val="24"/>
      <w:u w:val="single"/>
    </w:rPr>
  </w:style>
  <w:style w:type="paragraph" w:customStyle="1" w:styleId="P68B1DB1-Normal6">
    <w:name w:val="P68B1DB1-Normal6"/>
    <w:basedOn w:val="Normal"/>
    <w:rPr>
      <w:rFonts w:ascii="Times New Roman" w:hAnsi="Times New Roman"/>
      <w:sz w:val="24"/>
      <w:szCs w:val="24"/>
      <w:u w:val="single"/>
    </w:rPr>
  </w:style>
  <w:style w:type="paragraph" w:customStyle="1" w:styleId="P68B1DB1-Normal7">
    <w:name w:val="P68B1DB1-Normal7"/>
    <w:basedOn w:val="Normal"/>
    <w:rPr>
      <w:rFonts w:ascii="Times New Roman" w:eastAsia="Times New Roman" w:hAnsi="Times New Roman"/>
      <w:b/>
      <w:sz w:val="20"/>
      <w:szCs w:val="20"/>
    </w:rPr>
  </w:style>
  <w:style w:type="paragraph" w:customStyle="1" w:styleId="P68B1DB1-Normal8">
    <w:name w:val="P68B1DB1-Normal8"/>
    <w:basedOn w:val="Normal"/>
    <w:rPr>
      <w:rFonts w:ascii="Times New Roman" w:hAnsi="Times New Roman"/>
      <w:sz w:val="20"/>
      <w:szCs w:val="20"/>
    </w:rPr>
  </w:style>
  <w:style w:type="paragraph" w:customStyle="1" w:styleId="P68B1DB1-Normal9">
    <w:name w:val="P68B1DB1-Normal9"/>
    <w:basedOn w:val="Normal"/>
    <w:rPr>
      <w:rFonts w:ascii="Times New Roman" w:eastAsia="Times New Roman" w:hAnsi="Times New Roman"/>
      <w:sz w:val="20"/>
      <w:szCs w:val="20"/>
    </w:rPr>
  </w:style>
  <w:style w:type="paragraph" w:customStyle="1" w:styleId="P68B1DB1-Normal10">
    <w:name w:val="P68B1DB1-Normal10"/>
    <w:basedOn w:val="Normal"/>
    <w:rPr>
      <w:rFonts w:ascii="Times New Roman" w:hAnsi="Times New Roman"/>
      <w:sz w:val="18"/>
      <w:szCs w:val="18"/>
    </w:rPr>
  </w:style>
  <w:style w:type="paragraph" w:customStyle="1" w:styleId="P68B1DB1-Normal11">
    <w:name w:val="P68B1DB1-Normal11"/>
    <w:basedOn w:val="Normal"/>
    <w:rPr>
      <w:sz w:val="20"/>
      <w:szCs w:val="20"/>
    </w:rPr>
  </w:style>
  <w:style w:type="paragraph" w:customStyle="1" w:styleId="P68B1DB1-Normal12">
    <w:name w:val="P68B1DB1-Normal12"/>
    <w:basedOn w:val="Normal"/>
    <w:rPr>
      <w:rFonts w:ascii="Times New Roman" w:hAnsi="Times New Roman"/>
      <w:sz w:val="24"/>
      <w:u w:val="single"/>
    </w:rPr>
  </w:style>
  <w:style w:type="paragraph" w:customStyle="1" w:styleId="P68B1DB1-Normal13">
    <w:name w:val="P68B1DB1-Normal13"/>
    <w:basedOn w:val="Normal"/>
    <w:rPr>
      <w:rFonts w:ascii="Times New Roman" w:eastAsia="Times New Roman" w:hAnsi="Times New Roman"/>
      <w:sz w:val="18"/>
      <w:szCs w:val="18"/>
    </w:rPr>
  </w:style>
  <w:style w:type="paragraph" w:customStyle="1" w:styleId="P68B1DB1-Normal14">
    <w:name w:val="P68B1DB1-Normal14"/>
    <w:basedOn w:val="Normal"/>
    <w:rPr>
      <w:rFonts w:ascii="Times New Roman" w:hAnsi="Times New Roman"/>
      <w:b/>
      <w:sz w:val="24"/>
      <w:szCs w:val="24"/>
    </w:rPr>
  </w:style>
  <w:style w:type="paragraph" w:customStyle="1" w:styleId="P68B1DB1-Normal15">
    <w:name w:val="P68B1DB1-Normal15"/>
    <w:basedOn w:val="Normal"/>
    <w:rPr>
      <w:rFonts w:ascii="Times New Roman" w:hAnsi="Times New Roman"/>
      <w:color w:val="000000" w:themeColor="text1"/>
      <w:sz w:val="24"/>
      <w:szCs w:val="24"/>
      <w:u w:val="single"/>
    </w:rPr>
  </w:style>
  <w:style w:type="paragraph" w:customStyle="1" w:styleId="P68B1DB1-ListParagraph16">
    <w:name w:val="P68B1DB1-ListParagraph16"/>
    <w:basedOn w:val="ListParagraph"/>
    <w:rPr>
      <w:rFonts w:ascii="Times New Roman" w:eastAsia="Times New Roman" w:hAnsi="Times New Roman"/>
      <w:sz w:val="20"/>
      <w:szCs w:val="20"/>
    </w:rPr>
  </w:style>
  <w:style w:type="paragraph" w:customStyle="1" w:styleId="P68B1DB1-Normal17">
    <w:name w:val="P68B1DB1-Normal17"/>
    <w:basedOn w:val="Normal"/>
    <w:rPr>
      <w:sz w:val="24"/>
      <w:szCs w:val="24"/>
    </w:rPr>
  </w:style>
  <w:style w:type="paragraph" w:customStyle="1" w:styleId="P68B1DB1-Normal18">
    <w:name w:val="P68B1DB1-Normal18"/>
    <w:basedOn w:val="Normal"/>
    <w:rPr>
      <w:rFonts w:ascii="Times New Roman" w:hAnsi="Times New Roman"/>
      <w:b/>
      <w:sz w:val="24"/>
      <w:szCs w:val="24"/>
      <w:u w:val="single"/>
    </w:rPr>
  </w:style>
  <w:style w:type="paragraph" w:customStyle="1" w:styleId="P68B1DB1-Normal19">
    <w:name w:val="P68B1DB1-Normal19"/>
    <w:basedOn w:val="Normal"/>
    <w:rPr>
      <w:rFonts w:ascii="Times New Roman" w:eastAsia="Times New Roman" w:hAnsi="Times New Roman"/>
      <w:color w:val="000000"/>
      <w:sz w:val="24"/>
      <w:szCs w:val="24"/>
      <w:u w:val="single"/>
    </w:rPr>
  </w:style>
  <w:style w:type="paragraph" w:customStyle="1" w:styleId="P68B1DB1-Normal20">
    <w:name w:val="P68B1DB1-Normal20"/>
    <w:basedOn w:val="Normal"/>
    <w:rPr>
      <w:rFonts w:ascii="Times New Roman" w:eastAsia="Times New Roman" w:hAnsi="Times New Roman"/>
      <w:color w:val="000000"/>
      <w:sz w:val="24"/>
      <w:szCs w:val="24"/>
    </w:rPr>
  </w:style>
  <w:style w:type="paragraph" w:customStyle="1" w:styleId="P68B1DB1-Normal21">
    <w:name w:val="P68B1DB1-Normal21"/>
    <w:basedOn w:val="Normal"/>
    <w:rPr>
      <w:rFonts w:ascii="Times New Roman" w:eastAsia="Times New Roman" w:hAnsi="Times New Roman"/>
      <w:color w:val="000000"/>
      <w:sz w:val="20"/>
      <w:szCs w:val="20"/>
    </w:rPr>
  </w:style>
  <w:style w:type="paragraph" w:customStyle="1" w:styleId="P68B1DB1-ListParagraph22">
    <w:name w:val="P68B1DB1-ListParagraph22"/>
    <w:basedOn w:val="ListParagraph"/>
    <w:rPr>
      <w:rFonts w:ascii="Times New Roman" w:hAnsi="Times New Roman"/>
      <w:sz w:val="20"/>
      <w:szCs w:val="20"/>
    </w:rPr>
  </w:style>
  <w:style w:type="paragraph" w:customStyle="1" w:styleId="P68B1DB1-Normal23">
    <w:name w:val="P68B1DB1-Normal23"/>
    <w:basedOn w:val="Normal"/>
    <w:rPr>
      <w:rFonts w:ascii="Times New Roman" w:eastAsia="Times New Roman" w:hAnsi="Times New Roman"/>
      <w:sz w:val="24"/>
      <w:szCs w:val="24"/>
      <w:u w:val="single"/>
    </w:rPr>
  </w:style>
  <w:style w:type="paragraph" w:customStyle="1" w:styleId="P68B1DB1-Normal24">
    <w:name w:val="P68B1DB1-Normal24"/>
    <w:basedOn w:val="Normal"/>
    <w:rPr>
      <w:rFonts w:ascii="Times New Roman" w:hAnsi="Times New Roman"/>
      <w:b/>
      <w:sz w:val="20"/>
      <w:szCs w:val="20"/>
    </w:rPr>
  </w:style>
  <w:style w:type="paragraph" w:customStyle="1" w:styleId="P68B1DB1-Normal25">
    <w:name w:val="P68B1DB1-Normal25"/>
    <w:basedOn w:val="Normal"/>
    <w:rPr>
      <w:rFonts w:ascii="Times New Roman" w:hAnsi="Times New Roman"/>
      <w:color w:val="000000" w:themeColor="text1"/>
      <w:sz w:val="20"/>
      <w:szCs w:val="20"/>
    </w:rPr>
  </w:style>
  <w:style w:type="paragraph" w:customStyle="1" w:styleId="P68B1DB1-ListParagraph26">
    <w:name w:val="P68B1DB1-ListParagraph26"/>
    <w:basedOn w:val="ListParagraph"/>
    <w:rPr>
      <w:rFonts w:ascii="Times New Roman" w:eastAsia="Times New Roman" w:hAnsi="Times New Roman"/>
      <w:color w:val="000000" w:themeColor="text1"/>
      <w:sz w:val="20"/>
      <w:szCs w:val="20"/>
    </w:rPr>
  </w:style>
  <w:style w:type="paragraph" w:customStyle="1" w:styleId="P68B1DB1-paragraph27">
    <w:name w:val="P68B1DB1-paragraph27"/>
    <w:basedOn w:val="paragraph"/>
    <w:rPr>
      <w:u w:val="single"/>
    </w:rPr>
  </w:style>
  <w:style w:type="paragraph" w:customStyle="1" w:styleId="P68B1DB1-NumPar128">
    <w:name w:val="P68B1DB1-NumPar128"/>
    <w:basedOn w:val="NumPar1"/>
    <w:rPr>
      <w:b/>
      <w:szCs w:val="24"/>
    </w:rPr>
  </w:style>
  <w:style w:type="paragraph" w:customStyle="1" w:styleId="P68B1DB1-Normal29">
    <w:name w:val="P68B1DB1-Normal29"/>
    <w:basedOn w:val="Normal"/>
    <w:rPr>
      <w:rFonts w:ascii="Times New Roman" w:eastAsia="Times New Roman" w:hAnsi="Times New Roman"/>
      <w:color w:val="000000"/>
      <w:sz w:val="18"/>
      <w:szCs w:val="18"/>
    </w:rPr>
  </w:style>
  <w:style w:type="paragraph" w:customStyle="1" w:styleId="P68B1DB1-Normal30">
    <w:name w:val="P68B1DB1-Normal30"/>
    <w:basedOn w:val="Normal"/>
    <w:rPr>
      <w:sz w:val="18"/>
      <w:szCs w:val="18"/>
    </w:rPr>
  </w:style>
  <w:style w:type="paragraph" w:customStyle="1" w:styleId="P68B1DB1-Normal31">
    <w:name w:val="P68B1DB1-Normal31"/>
    <w:basedOn w:val="Normal"/>
    <w:rPr>
      <w:rFonts w:ascii="Times New Roman" w:hAnsi="Times New Roman"/>
      <w:color w:val="000000"/>
      <w:sz w:val="18"/>
      <w:szCs w:val="18"/>
    </w:rPr>
  </w:style>
  <w:style w:type="paragraph" w:customStyle="1" w:styleId="P68B1DB1-NumPar132">
    <w:name w:val="P68B1DB1-NumPar132"/>
    <w:basedOn w:val="NumPar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eader" Target="header54.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footer" Target="footer61.xml"/><Relationship Id="rId138" Type="http://schemas.openxmlformats.org/officeDocument/2006/relationships/header" Target="header64.xml"/><Relationship Id="rId154" Type="http://schemas.openxmlformats.org/officeDocument/2006/relationships/footer" Target="footer71.xml"/><Relationship Id="rId159" Type="http://schemas.openxmlformats.org/officeDocument/2006/relationships/header" Target="header75.xml"/><Relationship Id="rId175" Type="http://schemas.openxmlformats.org/officeDocument/2006/relationships/footer" Target="footer82.xml"/><Relationship Id="rId170" Type="http://schemas.openxmlformats.org/officeDocument/2006/relationships/header" Target="header8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header" Target="header57.xml"/><Relationship Id="rId128" Type="http://schemas.openxmlformats.org/officeDocument/2006/relationships/header" Target="header59.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footer" Target="footer74.xml"/><Relationship Id="rId165" Type="http://schemas.openxmlformats.org/officeDocument/2006/relationships/header" Target="header78.xml"/><Relationship Id="rId181" Type="http://schemas.openxmlformats.org/officeDocument/2006/relationships/footer" Target="footer85.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footer" Target="footer53.xml"/><Relationship Id="rId134" Type="http://schemas.openxmlformats.org/officeDocument/2006/relationships/header" Target="header62.xml"/><Relationship Id="rId139" Type="http://schemas.openxmlformats.org/officeDocument/2006/relationships/footer" Target="footer64.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header" Target="header81.xml"/><Relationship Id="rId176" Type="http://schemas.openxmlformats.org/officeDocument/2006/relationships/header" Target="header83.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footer" Target="footer56.xml"/><Relationship Id="rId129" Type="http://schemas.openxmlformats.org/officeDocument/2006/relationships/header" Target="header60.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header" Target="header65.xml"/><Relationship Id="rId145" Type="http://schemas.openxmlformats.org/officeDocument/2006/relationships/footer" Target="footer67.xml"/><Relationship Id="rId161" Type="http://schemas.openxmlformats.org/officeDocument/2006/relationships/footer" Target="footer75.xml"/><Relationship Id="rId166" Type="http://schemas.openxmlformats.org/officeDocument/2006/relationships/footer" Target="footer77.xml"/><Relationship Id="rId182" Type="http://schemas.openxmlformats.org/officeDocument/2006/relationships/header" Target="header86.xml"/><Relationship Id="rId187" Type="http://schemas.openxmlformats.org/officeDocument/2006/relationships/footer" Target="footer88.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footer" Target="footer59.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3.xml"/><Relationship Id="rId177" Type="http://schemas.openxmlformats.org/officeDocument/2006/relationships/header" Target="header84.xml"/><Relationship Id="rId172" Type="http://schemas.openxmlformats.org/officeDocument/2006/relationships/footer" Target="footer80.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header" Target="header66.xml"/><Relationship Id="rId146" Type="http://schemas.openxmlformats.org/officeDocument/2006/relationships/header" Target="header68.xml"/><Relationship Id="rId167" Type="http://schemas.openxmlformats.org/officeDocument/2006/relationships/footer" Target="footer78.xml"/><Relationship Id="rId18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header" Target="header87.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footer" Target="footer52.xml"/><Relationship Id="rId131" Type="http://schemas.openxmlformats.org/officeDocument/2006/relationships/footer" Target="footer60.xml"/><Relationship Id="rId136" Type="http://schemas.openxmlformats.org/officeDocument/2006/relationships/footer" Target="footer62.xml"/><Relationship Id="rId157" Type="http://schemas.openxmlformats.org/officeDocument/2006/relationships/footer" Target="footer73.xml"/><Relationship Id="rId178" Type="http://schemas.openxmlformats.org/officeDocument/2006/relationships/footer" Target="footer83.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header" Target="header71.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header" Target="header69.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footer" Target="footer55.xml"/><Relationship Id="rId142" Type="http://schemas.openxmlformats.org/officeDocument/2006/relationships/footer" Target="footer65.xml"/><Relationship Id="rId163" Type="http://schemas.openxmlformats.org/officeDocument/2006/relationships/footer" Target="footer76.xml"/><Relationship Id="rId184" Type="http://schemas.openxmlformats.org/officeDocument/2006/relationships/footer" Target="footer86.xml"/><Relationship Id="rId189"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header" Target="header53.xml"/><Relationship Id="rId137" Type="http://schemas.openxmlformats.org/officeDocument/2006/relationships/footer" Target="footer63.xml"/><Relationship Id="rId158" Type="http://schemas.openxmlformats.org/officeDocument/2006/relationships/header" Target="header74.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header" Target="header72.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footer" Target="footer58.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43" Type="http://schemas.openxmlformats.org/officeDocument/2006/relationships/footer" Target="footer66.xml"/><Relationship Id="rId148" Type="http://schemas.openxmlformats.org/officeDocument/2006/relationships/footer" Target="footer68.xml"/><Relationship Id="rId164" Type="http://schemas.openxmlformats.org/officeDocument/2006/relationships/header" Target="header77.xml"/><Relationship Id="rId169" Type="http://schemas.openxmlformats.org/officeDocument/2006/relationships/footer" Target="footer79.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sRegNumber xmlns="1700ab43-7395-48ff-866c-657c86ba7f4e" xsi:nil="true"/>
    <EC_ARES_NUMBER xmlns="e6c3bc29-9e11-4027-900b-c73633d7928a">
      <Url xsi:nil="true"/>
      <Description xsi:nil="true"/>
    </EC_ARES_NUMBER>
    <EC_ARES_TRANSFERRED_BY xmlns="e6c3bc29-9e11-4027-900b-c73633d7928a" xsi:nil="true"/>
    <IconOverlay xmlns="http://schemas.microsoft.com/sharepoint/v4" xsi:nil="true"/>
    <EC_ARES_DATE_TRANSFERRED xmlns="e6c3bc29-9e11-4027-900b-c73633d7928a" xsi:nil="true"/>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b72f66ab3e3b10f8fe9f258f947c85d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4c5fcd0a0bc2421e26d50c2cf815de47"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AresRegNumber"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AresRegNumber" ma:index="15" nillable="true" ma:displayName="Ares Reg Number" ma:format="Dropdown" ma:internalName="AresRegNumber">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EC_ARES_NUMBER" ma:index="17" nillable="true" ma:displayName="ARES"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8" nillable="true" ma:displayName="Transferred to Ares" ma:format="DateTime" ma:hidden="true" ma:internalName="EC_ARES_DATE_TRANSFERRED">
      <xsd:simpleType>
        <xsd:restriction base="dms:DateTime"/>
      </xsd:simpleType>
    </xsd:element>
    <xsd:element name="EC_ARES_TRANSFERRED_BY" ma:index="19" nillable="true" ma:displayName="Transferred By" ma:hidden="true" ma:internalName="EC_ARES_TRANSFERRED_BY">
      <xsd:simpleType>
        <xsd:restriction base="dms:Text"/>
      </xsd:simpleType>
    </xsd:element>
    <xsd:element name="TaxCatchAll" ma:index="25" nillable="true" ma:displayName="Taxonomy Catch All Column" ma:hidden="true" ma:list="{86693cb2-b63e-42ad-aaaa-4e8fdc6d320a}"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4C8B9-5C05-4336-865A-1C6EA582E962}">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2.xml><?xml version="1.0" encoding="utf-8"?>
<ds:datastoreItem xmlns:ds="http://schemas.openxmlformats.org/officeDocument/2006/customXml" ds:itemID="{2DE83C35-D777-4D8D-BA24-0E7EE6719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D4DC9E-9D0E-4884-9AB7-C35295ACD704}">
  <ds:schemaRefs>
    <ds:schemaRef ds:uri="http://schemas.microsoft.com/sharepoint/v3/contenttype/forms"/>
  </ds:schemaRefs>
</ds:datastoreItem>
</file>

<file path=customXml/itemProps4.xml><?xml version="1.0" encoding="utf-8"?>
<ds:datastoreItem xmlns:ds="http://schemas.openxmlformats.org/officeDocument/2006/customXml" ds:itemID="{9502C750-18A9-4A3D-BB02-068EF2945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7</Pages>
  <Words>32773</Words>
  <Characters>186810</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56</cp:revision>
  <dcterms:created xsi:type="dcterms:W3CDTF">2026-06-10T13:47:00Z</dcterms:created>
  <dcterms:modified xsi:type="dcterms:W3CDTF">2026-06-25T10:58:00Z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2026-06-10T11:24:55Z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ec2d4e4b-6a5d-4516-81a5-ec782dfd6fba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0x01010062094E9F29D6C04F85860C631ABC812A</vt:lpwstr>
  </property>
  <property fmtid="{D5CDD505-2E9C-101B-9397-08002B2CF9AE}" pid="13" name="MSIP_Label_af60b174-6478-47f9-866e-33f097bb6603_SiteId">
    <vt:lpwstr>03ad1c97-0a4d-4e82-8f93-27291a6a0767</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MSIP_Label_af60b174-6478-47f9-866e-33f097bb6603_Name">
    <vt:lpwstr>GSCEU - PUBLIC Label</vt:lpwstr>
  </property>
  <property fmtid="{D5CDD505-2E9C-101B-9397-08002B2CF9AE}" pid="17" name="MSIP_Label_af60b174-6478-47f9-866e-33f097bb6603_Enabled">
    <vt:lpwstr>true</vt:lpwstr>
  </property>
  <property fmtid="{D5CDD505-2E9C-101B-9397-08002B2CF9AE}" pid="18" name="MSIP_Label_af60b174-6478-47f9-866e-33f097bb6603_ActionId">
    <vt:lpwstr>084F11E1-6C8D-4405-B782-C0714F842605</vt:lpwstr>
  </property>
  <property fmtid="{D5CDD505-2E9C-101B-9397-08002B2CF9AE}" pid="19" name="MSIP_Label_af60b174-6478-47f9-866e-33f097bb6603_SetDate">
    <vt:lpwstr>2026-01-13T16:11:27Z</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