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42D6A8" w14:textId="3906758B" w:rsidR="00D823E9" w:rsidRDefault="00727059" w:rsidP="00727059">
      <w:pPr>
        <w:pStyle w:val="Pagedecouverture"/>
        <w:rPr>
          <w:noProof/>
        </w:rPr>
      </w:pPr>
      <w:bookmarkStart w:id="0" w:name="LW_BM_COVERPAGE"/>
      <w:r>
        <w:rPr>
          <w:noProof/>
        </w:rPr>
        <w:pict w14:anchorId="38B5F9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E215AA4-E874-430D-BBE4-C2640A3ABDC5" style="width:455.25pt;height:372.75pt">
            <v:imagedata r:id="rId10" o:title=""/>
          </v:shape>
        </w:pict>
      </w:r>
    </w:p>
    <w:bookmarkEnd w:id="0"/>
    <w:p w14:paraId="169FB67C" w14:textId="77777777" w:rsidR="00D823E9" w:rsidRDefault="00D823E9" w:rsidP="00D823E9">
      <w:pPr>
        <w:rPr>
          <w:noProof/>
        </w:rPr>
        <w:sectPr w:rsidR="00D823E9" w:rsidSect="00727059">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1"/>
          <w:cols w:space="720"/>
          <w:docGrid w:linePitch="360"/>
        </w:sectPr>
      </w:pPr>
    </w:p>
    <w:p w14:paraId="2A910C64" w14:textId="13B22504" w:rsidR="00935FC8" w:rsidRPr="00FD3546" w:rsidRDefault="00935FC8" w:rsidP="00577DC1">
      <w:pPr>
        <w:pStyle w:val="Annex"/>
        <w:jc w:val="center"/>
        <w:rPr>
          <w:noProof/>
        </w:rPr>
      </w:pPr>
      <w:bookmarkStart w:id="1" w:name="_GoBack"/>
      <w:bookmarkEnd w:id="1"/>
      <w:r w:rsidRPr="00FD3546">
        <w:rPr>
          <w:noProof/>
        </w:rPr>
        <w:lastRenderedPageBreak/>
        <w:t>ANNEX</w:t>
      </w:r>
    </w:p>
    <w:p w14:paraId="19953278" w14:textId="77777777" w:rsidR="00935FC8" w:rsidRPr="00FD3546" w:rsidRDefault="00935FC8">
      <w:pPr>
        <w:spacing w:before="120" w:after="120" w:line="240" w:lineRule="auto"/>
        <w:jc w:val="both"/>
        <w:rPr>
          <w:rFonts w:ascii="Times New Roman" w:hAnsi="Times New Roman"/>
          <w:noProof/>
          <w:sz w:val="24"/>
        </w:rPr>
      </w:pPr>
    </w:p>
    <w:p w14:paraId="0BBDECC7" w14:textId="77777777" w:rsidR="00935FC8" w:rsidRPr="00FD3546" w:rsidRDefault="00935FC8">
      <w:pPr>
        <w:pStyle w:val="Heading1"/>
        <w:numPr>
          <w:ilvl w:val="0"/>
          <w:numId w:val="0"/>
        </w:numPr>
        <w:rPr>
          <w:noProof/>
        </w:rPr>
      </w:pPr>
      <w:r w:rsidRPr="00FD3546">
        <w:rPr>
          <w:noProof/>
        </w:rPr>
        <w:t>SECTION 1: REFORMS AND INVESTMENTS UNDER THE RECOVERY AND RESILIENCE PLAN</w:t>
      </w:r>
    </w:p>
    <w:p w14:paraId="10315734" w14:textId="77777777" w:rsidR="00935FC8" w:rsidRPr="00FD3546" w:rsidRDefault="00935FC8">
      <w:pPr>
        <w:spacing w:before="120" w:after="120" w:line="240" w:lineRule="auto"/>
        <w:jc w:val="both"/>
        <w:rPr>
          <w:rFonts w:ascii="Times New Roman" w:hAnsi="Times New Roman"/>
          <w:noProof/>
          <w:sz w:val="24"/>
        </w:rPr>
      </w:pPr>
    </w:p>
    <w:p w14:paraId="4FEB0F40" w14:textId="77777777" w:rsidR="00935FC8" w:rsidRPr="00FD3546" w:rsidRDefault="00935FC8" w:rsidP="00A7081A">
      <w:pPr>
        <w:pStyle w:val="Heading2"/>
        <w:numPr>
          <w:ilvl w:val="0"/>
          <w:numId w:val="23"/>
        </w:numPr>
        <w:spacing w:after="240"/>
        <w:ind w:left="0" w:firstLine="0"/>
        <w:rPr>
          <w:noProof/>
        </w:rPr>
      </w:pPr>
      <w:r w:rsidRPr="00FD3546">
        <w:rPr>
          <w:noProof/>
        </w:rPr>
        <w:t xml:space="preserve">Description of Reforms and Investments </w:t>
      </w:r>
    </w:p>
    <w:p w14:paraId="07B4EE48" w14:textId="77777777" w:rsidR="00935FC8" w:rsidRPr="00FD3546" w:rsidRDefault="00935FC8">
      <w:pPr>
        <w:pStyle w:val="Heading3"/>
        <w:numPr>
          <w:ilvl w:val="0"/>
          <w:numId w:val="0"/>
        </w:numPr>
        <w:spacing w:after="240"/>
        <w:rPr>
          <w:b/>
          <w:i w:val="0"/>
          <w:noProof/>
        </w:rPr>
      </w:pPr>
      <w:r w:rsidRPr="00FD3546">
        <w:rPr>
          <w:b/>
          <w:i w:val="0"/>
          <w:noProof/>
        </w:rPr>
        <w:t>PILLAR 1: Green transition supports economic restructuring and a carbon-neutral welfare society</w:t>
      </w:r>
    </w:p>
    <w:p w14:paraId="43260670" w14:textId="77777777" w:rsidR="00935FC8" w:rsidRPr="00FD3546" w:rsidRDefault="00935FC8">
      <w:pPr>
        <w:pStyle w:val="Heading4"/>
        <w:numPr>
          <w:ilvl w:val="0"/>
          <w:numId w:val="0"/>
        </w:numPr>
        <w:ind w:left="850" w:hanging="850"/>
        <w:rPr>
          <w:b/>
          <w:noProof/>
        </w:rPr>
      </w:pPr>
      <w:r w:rsidRPr="00FD3546">
        <w:rPr>
          <w:b/>
          <w:noProof/>
        </w:rPr>
        <w:t>A. COMPONENT P1C1: TRANSFORMATION OF THE ENERGY SYSTEM</w:t>
      </w:r>
    </w:p>
    <w:p w14:paraId="24D1DF11" w14:textId="77777777" w:rsidR="00935FC8" w:rsidRPr="00FD3546" w:rsidRDefault="00935FC8">
      <w:pPr>
        <w:spacing w:before="120" w:after="120" w:line="240" w:lineRule="auto"/>
        <w:jc w:val="both"/>
        <w:rPr>
          <w:rFonts w:ascii="Times New Roman" w:hAnsi="Times New Roman"/>
          <w:noProof/>
          <w:sz w:val="24"/>
          <w:szCs w:val="24"/>
        </w:rPr>
      </w:pPr>
      <w:r w:rsidRPr="00FD3546">
        <w:rPr>
          <w:rFonts w:ascii="Times New Roman" w:hAnsi="Times New Roman"/>
          <w:noProof/>
          <w:sz w:val="24"/>
          <w:szCs w:val="24"/>
        </w:rPr>
        <w:t>Finland has set a target to become the world’s first fossil-free welfare society, reaching carbon neutrality by 2035. The overall goal of this component of the Finnish recovery and resilience plan is to contribute to achieving the carbon-neutrality objective by promoting the use of clean energy technologies.</w:t>
      </w:r>
    </w:p>
    <w:p w14:paraId="226743A1" w14:textId="08696F31" w:rsidR="00935FC8" w:rsidRPr="00FD3546" w:rsidRDefault="00935FC8">
      <w:pPr>
        <w:spacing w:before="120" w:after="120" w:line="240" w:lineRule="auto"/>
        <w:jc w:val="both"/>
        <w:rPr>
          <w:rFonts w:ascii="Times New Roman" w:hAnsi="Times New Roman"/>
          <w:noProof/>
        </w:rPr>
      </w:pPr>
      <w:r w:rsidRPr="00FD3546">
        <w:rPr>
          <w:rFonts w:ascii="Times New Roman" w:hAnsi="Times New Roman"/>
          <w:noProof/>
          <w:sz w:val="24"/>
          <w:szCs w:val="24"/>
        </w:rPr>
        <w:t>This component of the Finnish recovery and resilience plan includes investments covering the infrastructure required for the distribution of renewable energy, as well as the production of clean energy. Those investments shall be accompanied by reforms of the energy sector focusing on phasing out the use of coal for energy generation as well as a reform of energy taxation to promote the use of clean energy. A separate investment is included to support renewable energy in the autonomous Åland region.</w:t>
      </w:r>
    </w:p>
    <w:p w14:paraId="6E9A30A8" w14:textId="4FDB5955" w:rsidR="00935FC8" w:rsidRPr="00FD3546" w:rsidRDefault="00935FC8">
      <w:pPr>
        <w:spacing w:before="100" w:beforeAutospacing="1" w:after="100" w:afterAutospacing="1" w:line="240" w:lineRule="auto"/>
        <w:jc w:val="both"/>
        <w:rPr>
          <w:rFonts w:ascii="Times New Roman" w:eastAsia="Times New Roman" w:hAnsi="Times New Roman"/>
          <w:noProof/>
          <w:sz w:val="24"/>
          <w:szCs w:val="24"/>
          <w:lang w:eastAsia="en-GB"/>
        </w:rPr>
      </w:pPr>
      <w:r w:rsidRPr="00FD3546">
        <w:rPr>
          <w:rFonts w:ascii="Times New Roman" w:eastAsia="Times New Roman" w:hAnsi="Times New Roman"/>
          <w:noProof/>
          <w:sz w:val="24"/>
          <w:szCs w:val="24"/>
          <w:lang w:eastAsia="en-GB"/>
        </w:rPr>
        <w:t>The component contributes to addressing Country Specific Recommendations on focusing investment on the green transition, in particular on clean and efficient production and use of energy (Country Specific Recommendation 3 2020), as well as on promoting investment in low carbon and energy transition (Country Specific Recommendation 3 2019).</w:t>
      </w:r>
    </w:p>
    <w:p w14:paraId="2C498D93" w14:textId="495A5496" w:rsidR="00935FC8" w:rsidRPr="00FD3546" w:rsidRDefault="00935FC8" w:rsidP="00A7081A">
      <w:pPr>
        <w:spacing w:beforeAutospacing="1" w:afterAutospacing="1" w:line="240" w:lineRule="auto"/>
        <w:jc w:val="both"/>
        <w:rPr>
          <w:rFonts w:ascii="Times New Roman" w:eastAsia="Times New Roman" w:hAnsi="Times New Roman"/>
          <w:noProof/>
        </w:rPr>
      </w:pPr>
      <w:r w:rsidRPr="00FD3546">
        <w:rPr>
          <w:rFonts w:ascii="Times New Roman" w:eastAsia="Times New Roman" w:hAnsi="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EE67C5">
        <w:rPr>
          <w:rFonts w:ascii="Times New Roman" w:eastAsia="Times New Roman" w:hAnsi="Times New Roman"/>
          <w:noProof/>
          <w:sz w:val="24"/>
          <w:szCs w:val="24"/>
        </w:rPr>
        <w:t xml:space="preserve"> </w:t>
      </w:r>
      <w:r w:rsidRPr="00FD3546">
        <w:rPr>
          <w:rFonts w:ascii="Times New Roman" w:eastAsia="Times New Roman" w:hAnsi="Times New Roman"/>
          <w:noProof/>
          <w:sz w:val="24"/>
          <w:szCs w:val="24"/>
        </w:rPr>
        <w:t xml:space="preserve"> </w:t>
      </w:r>
    </w:p>
    <w:p w14:paraId="1CC913A6" w14:textId="77777777" w:rsidR="00935FC8" w:rsidRPr="00FD3546" w:rsidRDefault="00935FC8">
      <w:pPr>
        <w:spacing w:before="120" w:after="120" w:line="240" w:lineRule="auto"/>
        <w:jc w:val="both"/>
        <w:rPr>
          <w:rFonts w:ascii="Times New Roman" w:hAnsi="Times New Roman"/>
          <w:b/>
          <w:noProof/>
          <w:sz w:val="24"/>
          <w:u w:val="single"/>
        </w:rPr>
      </w:pPr>
      <w:r w:rsidRPr="00FD3546">
        <w:rPr>
          <w:rFonts w:ascii="Times New Roman" w:hAnsi="Times New Roman"/>
          <w:b/>
          <w:noProof/>
          <w:sz w:val="24"/>
          <w:u w:val="single"/>
        </w:rPr>
        <w:t xml:space="preserve">A.1. </w:t>
      </w:r>
      <w:r w:rsidRPr="00FD3546">
        <w:rPr>
          <w:rFonts w:ascii="Times New Roman" w:hAnsi="Times New Roman"/>
          <w:b/>
          <w:noProof/>
          <w:sz w:val="24"/>
          <w:u w:val="single"/>
        </w:rPr>
        <w:tab/>
        <w:t>Description of the reforms and investments for non-repayable financial support</w:t>
      </w:r>
    </w:p>
    <w:p w14:paraId="69039993" w14:textId="00C754BB" w:rsidR="00935FC8" w:rsidRPr="00D0136A"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Reform 1 (P1C1R1): Reduction in the use of coal for energy by 2026</w:t>
      </w:r>
    </w:p>
    <w:p w14:paraId="4A27872D" w14:textId="77777777" w:rsidR="00935FC8" w:rsidRPr="00C613DA" w:rsidRDefault="00935FC8" w:rsidP="00A7081A">
      <w:pPr>
        <w:spacing w:before="120" w:after="120" w:line="240" w:lineRule="auto"/>
        <w:jc w:val="both"/>
        <w:rPr>
          <w:rFonts w:ascii="Times New Roman" w:hAnsi="Times New Roman"/>
          <w:noProof/>
          <w:sz w:val="24"/>
          <w:szCs w:val="24"/>
        </w:rPr>
      </w:pPr>
      <w:r w:rsidRPr="00C613DA">
        <w:rPr>
          <w:rFonts w:ascii="Times New Roman" w:hAnsi="Times New Roman"/>
          <w:noProof/>
          <w:sz w:val="24"/>
          <w:szCs w:val="24"/>
        </w:rPr>
        <w:t xml:space="preserve">The objective of this measure is to support </w:t>
      </w:r>
      <w:r w:rsidRPr="00B01564">
        <w:rPr>
          <w:rFonts w:ascii="Times New Roman" w:hAnsi="Times New Roman"/>
          <w:noProof/>
          <w:sz w:val="24"/>
          <w:szCs w:val="24"/>
        </w:rPr>
        <w:t>the ban</w:t>
      </w:r>
      <w:r w:rsidRPr="00C613DA">
        <w:rPr>
          <w:rFonts w:ascii="Times New Roman" w:hAnsi="Times New Roman"/>
          <w:noProof/>
          <w:sz w:val="24"/>
          <w:szCs w:val="24"/>
        </w:rPr>
        <w:t xml:space="preserve"> of the energy use of coal by 2029. This reform consists of a reduction of the use of coal in energy generation.</w:t>
      </w:r>
    </w:p>
    <w:p w14:paraId="69799CF7" w14:textId="77777777" w:rsidR="00935FC8" w:rsidRPr="00C613DA"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Reform 2 (P1C1R2):</w:t>
      </w:r>
      <w:r w:rsidRPr="00C613DA">
        <w:rPr>
          <w:rFonts w:ascii="Times New Roman" w:hAnsi="Times New Roman"/>
          <w:noProof/>
          <w:sz w:val="24"/>
          <w:szCs w:val="24"/>
          <w:u w:val="single"/>
        </w:rPr>
        <w:t xml:space="preserve"> Reform of energy taxation to take account of technological developments</w:t>
      </w:r>
    </w:p>
    <w:p w14:paraId="7987A4D7" w14:textId="2A0BF1A2" w:rsidR="00935FC8" w:rsidRPr="00D0136A" w:rsidRDefault="00935FC8">
      <w:pPr>
        <w:spacing w:before="120" w:after="120" w:line="240" w:lineRule="auto"/>
        <w:jc w:val="both"/>
        <w:rPr>
          <w:rFonts w:ascii="Times New Roman" w:hAnsi="Times New Roman"/>
          <w:noProof/>
          <w:sz w:val="24"/>
          <w:szCs w:val="24"/>
        </w:rPr>
      </w:pPr>
      <w:r w:rsidRPr="00D0136A">
        <w:rPr>
          <w:rFonts w:ascii="Times New Roman" w:hAnsi="Times New Roman"/>
          <w:noProof/>
          <w:sz w:val="24"/>
          <w:szCs w:val="24"/>
        </w:rPr>
        <w:t xml:space="preserve">The objective of the reform is to change the existing taxation of different sources of energy. The amendment of energy taxation legislation </w:t>
      </w:r>
      <w:r w:rsidRPr="00D0136A">
        <w:rPr>
          <w:rFonts w:ascii="Times New Roman" w:eastAsia="Times New Roman" w:hAnsi="Times New Roman"/>
          <w:noProof/>
          <w:sz w:val="24"/>
          <w:szCs w:val="24"/>
        </w:rPr>
        <w:t>(Act on Excise Duty on Electricity and Certain Fuels) shall</w:t>
      </w:r>
      <w:r w:rsidRPr="00D0136A">
        <w:rPr>
          <w:rFonts w:ascii="Times New Roman" w:hAnsi="Times New Roman"/>
          <w:noProof/>
          <w:sz w:val="24"/>
          <w:szCs w:val="24"/>
        </w:rPr>
        <w:t xml:space="preserve"> contribute to the phasing out of fossil fuels by promoting electrification of industry and encouraging investment in low-carbon technologies. The reform shall also reduce the electricity tax for industry, mines, agriculture and data centres of more than 5 MW to 0,05 cent/kWh, i.e. the EU minimum, from 0,69 cent/kWh. The reform shall also phase out energy tax refund for energy-intensive industries by 2025 and increase the taxation of fossil heating fuels, including peat, from 1</w:t>
      </w:r>
      <w:r w:rsidR="002965B8">
        <w:rPr>
          <w:rFonts w:ascii="Times New Roman" w:hAnsi="Times New Roman"/>
          <w:noProof/>
          <w:sz w:val="24"/>
          <w:szCs w:val="24"/>
        </w:rPr>
        <w:t> </w:t>
      </w:r>
      <w:r w:rsidRPr="00D0136A">
        <w:rPr>
          <w:rFonts w:ascii="Times New Roman" w:hAnsi="Times New Roman"/>
          <w:noProof/>
          <w:sz w:val="24"/>
          <w:szCs w:val="24"/>
        </w:rPr>
        <w:t>January</w:t>
      </w:r>
      <w:r w:rsidR="002965B8">
        <w:rPr>
          <w:rFonts w:ascii="Times New Roman" w:hAnsi="Times New Roman"/>
          <w:noProof/>
          <w:sz w:val="24"/>
          <w:szCs w:val="24"/>
        </w:rPr>
        <w:t> </w:t>
      </w:r>
      <w:r w:rsidRPr="00D0136A">
        <w:rPr>
          <w:rFonts w:ascii="Times New Roman" w:hAnsi="Times New Roman"/>
          <w:noProof/>
          <w:sz w:val="24"/>
          <w:szCs w:val="24"/>
        </w:rPr>
        <w:t>2021 by EUR</w:t>
      </w:r>
      <w:r w:rsidR="00EE67C5">
        <w:rPr>
          <w:rFonts w:ascii="Times New Roman" w:hAnsi="Times New Roman"/>
          <w:noProof/>
          <w:sz w:val="24"/>
          <w:szCs w:val="24"/>
        </w:rPr>
        <w:t> </w:t>
      </w:r>
      <w:r w:rsidRPr="00D0136A">
        <w:rPr>
          <w:rFonts w:ascii="Times New Roman" w:hAnsi="Times New Roman"/>
          <w:noProof/>
          <w:sz w:val="24"/>
          <w:szCs w:val="24"/>
        </w:rPr>
        <w:t>2,7 per MWh.</w:t>
      </w:r>
    </w:p>
    <w:p w14:paraId="63CBC8A2" w14:textId="1CCADD6C" w:rsidR="00935FC8" w:rsidRPr="00D0136A" w:rsidRDefault="00935FC8">
      <w:pPr>
        <w:spacing w:before="120" w:after="120" w:line="240" w:lineRule="auto"/>
        <w:jc w:val="both"/>
        <w:rPr>
          <w:rFonts w:ascii="Times New Roman" w:hAnsi="Times New Roman"/>
          <w:noProof/>
          <w:sz w:val="24"/>
          <w:szCs w:val="24"/>
        </w:rPr>
      </w:pPr>
      <w:r w:rsidRPr="00D0136A">
        <w:rPr>
          <w:rFonts w:ascii="Times New Roman" w:hAnsi="Times New Roman"/>
          <w:noProof/>
          <w:sz w:val="24"/>
          <w:szCs w:val="24"/>
        </w:rPr>
        <w:t>A study on the energy taxation of non-combustion heat production is ongoing. The study is expected to provide the basis for decisions on further measures for the taxation of the energy sector. Finland is expected to present legislative amendments to ensure that the changes are in force on 1</w:t>
      </w:r>
      <w:r w:rsidR="002965B8">
        <w:rPr>
          <w:rFonts w:ascii="Times New Roman" w:hAnsi="Times New Roman"/>
          <w:noProof/>
          <w:sz w:val="24"/>
          <w:szCs w:val="24"/>
        </w:rPr>
        <w:t> </w:t>
      </w:r>
      <w:r w:rsidRPr="00D0136A">
        <w:rPr>
          <w:rFonts w:ascii="Times New Roman" w:hAnsi="Times New Roman"/>
          <w:noProof/>
          <w:sz w:val="24"/>
          <w:szCs w:val="24"/>
        </w:rPr>
        <w:t>January</w:t>
      </w:r>
      <w:r w:rsidR="002965B8">
        <w:rPr>
          <w:rFonts w:ascii="Times New Roman" w:hAnsi="Times New Roman"/>
          <w:noProof/>
          <w:sz w:val="24"/>
          <w:szCs w:val="24"/>
        </w:rPr>
        <w:t> </w:t>
      </w:r>
      <w:r w:rsidRPr="00D0136A">
        <w:rPr>
          <w:rFonts w:ascii="Times New Roman" w:hAnsi="Times New Roman"/>
          <w:noProof/>
          <w:sz w:val="24"/>
          <w:szCs w:val="24"/>
        </w:rPr>
        <w:t>2022.</w:t>
      </w:r>
    </w:p>
    <w:p w14:paraId="1BDCEADC" w14:textId="780E1B4C" w:rsidR="00935FC8" w:rsidRPr="00D0136A" w:rsidRDefault="00935FC8">
      <w:pPr>
        <w:spacing w:before="120" w:after="120" w:line="240" w:lineRule="auto"/>
        <w:jc w:val="both"/>
        <w:rPr>
          <w:rFonts w:ascii="Times New Roman" w:hAnsi="Times New Roman"/>
          <w:noProof/>
          <w:sz w:val="24"/>
          <w:szCs w:val="24"/>
        </w:rPr>
      </w:pPr>
      <w:r w:rsidRPr="00D0136A">
        <w:rPr>
          <w:rFonts w:ascii="Times New Roman" w:hAnsi="Times New Roman"/>
          <w:noProof/>
          <w:sz w:val="24"/>
          <w:szCs w:val="24"/>
        </w:rPr>
        <w:t>The implementation of the reform was to be completed by 30</w:t>
      </w:r>
      <w:r w:rsidR="002965B8">
        <w:rPr>
          <w:rFonts w:ascii="Times New Roman" w:hAnsi="Times New Roman"/>
          <w:noProof/>
          <w:sz w:val="24"/>
          <w:szCs w:val="24"/>
        </w:rPr>
        <w:t> </w:t>
      </w:r>
      <w:r w:rsidRPr="00D0136A">
        <w:rPr>
          <w:rFonts w:ascii="Times New Roman" w:hAnsi="Times New Roman"/>
          <w:noProof/>
          <w:sz w:val="24"/>
          <w:szCs w:val="24"/>
        </w:rPr>
        <w:t>June</w:t>
      </w:r>
      <w:r w:rsidR="002965B8">
        <w:rPr>
          <w:rFonts w:ascii="Times New Roman" w:hAnsi="Times New Roman"/>
          <w:noProof/>
          <w:sz w:val="24"/>
          <w:szCs w:val="24"/>
        </w:rPr>
        <w:t> </w:t>
      </w:r>
      <w:r w:rsidRPr="00D0136A">
        <w:rPr>
          <w:rFonts w:ascii="Times New Roman" w:hAnsi="Times New Roman"/>
          <w:noProof/>
          <w:sz w:val="24"/>
          <w:szCs w:val="24"/>
        </w:rPr>
        <w:t>2021.</w:t>
      </w:r>
    </w:p>
    <w:p w14:paraId="052AC501" w14:textId="77777777" w:rsidR="00935FC8" w:rsidRPr="00D0136A"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1 (P1C1I1): Energy infrastructure investments</w:t>
      </w:r>
    </w:p>
    <w:p w14:paraId="54D46AFD" w14:textId="77777777" w:rsidR="00935FC8" w:rsidRPr="00D0136A" w:rsidRDefault="00935FC8">
      <w:pPr>
        <w:spacing w:before="120" w:after="120" w:line="240" w:lineRule="auto"/>
        <w:jc w:val="both"/>
        <w:rPr>
          <w:rFonts w:ascii="Times New Roman" w:hAnsi="Times New Roman"/>
          <w:noProof/>
          <w:sz w:val="24"/>
          <w:szCs w:val="24"/>
        </w:rPr>
      </w:pPr>
      <w:r w:rsidRPr="00133C76">
        <w:rPr>
          <w:rFonts w:ascii="Times New Roman" w:hAnsi="Times New Roman"/>
          <w:noProof/>
          <w:sz w:val="24"/>
          <w:szCs w:val="24"/>
        </w:rPr>
        <w:t xml:space="preserve">The </w:t>
      </w:r>
      <w:r w:rsidRPr="00B01564">
        <w:rPr>
          <w:rFonts w:ascii="Times New Roman" w:hAnsi="Times New Roman"/>
          <w:noProof/>
          <w:sz w:val="24"/>
          <w:szCs w:val="24"/>
        </w:rPr>
        <w:t>objective</w:t>
      </w:r>
      <w:r w:rsidRPr="00133C76">
        <w:rPr>
          <w:rFonts w:ascii="Times New Roman" w:hAnsi="Times New Roman"/>
          <w:noProof/>
          <w:sz w:val="24"/>
          <w:szCs w:val="24"/>
        </w:rPr>
        <w:t xml:space="preserve"> of this measure is to attract investment in clean energy. This investment consists of providing grants for projects with a focus on energy infrastructure, </w:t>
      </w:r>
      <w:r w:rsidRPr="00B01564">
        <w:rPr>
          <w:rFonts w:ascii="Times New Roman" w:hAnsi="Times New Roman"/>
          <w:noProof/>
          <w:sz w:val="24"/>
          <w:szCs w:val="24"/>
        </w:rPr>
        <w:t>which may include, but is not limited to,</w:t>
      </w:r>
      <w:r w:rsidRPr="00ED4FF6">
        <w:rPr>
          <w:rFonts w:ascii="Times New Roman" w:hAnsi="Times New Roman"/>
          <w:noProof/>
          <w:sz w:val="24"/>
          <w:szCs w:val="24"/>
        </w:rPr>
        <w:t xml:space="preserve"> electricity grids and electricity transmission capacity, integration of energy systems to produce, transmit and utilise surplus and waste heat and transport of low </w:t>
      </w:r>
      <w:r w:rsidRPr="00B01564">
        <w:rPr>
          <w:rFonts w:ascii="Times New Roman" w:hAnsi="Times New Roman"/>
          <w:noProof/>
          <w:sz w:val="24"/>
          <w:szCs w:val="24"/>
        </w:rPr>
        <w:t>carbon gases</w:t>
      </w:r>
      <w:r w:rsidRPr="00ED4FF6">
        <w:rPr>
          <w:rFonts w:ascii="Times New Roman" w:hAnsi="Times New Roman"/>
          <w:noProof/>
          <w:sz w:val="24"/>
          <w:szCs w:val="24"/>
        </w:rPr>
        <w:t xml:space="preserve"> including hydrogen.</w:t>
      </w:r>
    </w:p>
    <w:p w14:paraId="74194B84" w14:textId="77777777" w:rsidR="00935FC8" w:rsidRPr="00D0136A"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2 (P1C1I2): Investments in new energy technology</w:t>
      </w:r>
    </w:p>
    <w:p w14:paraId="0972FE78" w14:textId="02829048" w:rsidR="00935FC8" w:rsidRPr="00D0136A" w:rsidRDefault="00935FC8">
      <w:pPr>
        <w:spacing w:before="120" w:after="120" w:line="240" w:lineRule="auto"/>
        <w:jc w:val="both"/>
        <w:rPr>
          <w:rFonts w:ascii="Times New Roman" w:hAnsi="Times New Roman"/>
          <w:noProof/>
          <w:sz w:val="24"/>
          <w:szCs w:val="24"/>
        </w:rPr>
      </w:pPr>
      <w:r w:rsidRPr="00ED4FF6">
        <w:rPr>
          <w:rFonts w:ascii="Times New Roman" w:hAnsi="Times New Roman"/>
          <w:noProof/>
          <w:sz w:val="24"/>
          <w:szCs w:val="24"/>
        </w:rPr>
        <w:t xml:space="preserve">The </w:t>
      </w:r>
      <w:r w:rsidRPr="00B01564">
        <w:rPr>
          <w:rFonts w:ascii="Times New Roman" w:hAnsi="Times New Roman"/>
          <w:noProof/>
          <w:sz w:val="24"/>
          <w:szCs w:val="24"/>
        </w:rPr>
        <w:t>objective</w:t>
      </w:r>
      <w:r w:rsidRPr="00B555B3">
        <w:rPr>
          <w:rFonts w:ascii="Times New Roman" w:hAnsi="Times New Roman"/>
          <w:noProof/>
          <w:sz w:val="24"/>
          <w:szCs w:val="24"/>
        </w:rPr>
        <w:t xml:space="preserve"> of this measure is to attract investment in clean energy. This investment consists of providing grants for projects with a focus on new clean technologies for energy </w:t>
      </w:r>
      <w:r w:rsidRPr="00D0136A">
        <w:rPr>
          <w:rFonts w:ascii="Times New Roman" w:hAnsi="Times New Roman"/>
          <w:noProof/>
          <w:sz w:val="24"/>
          <w:szCs w:val="24"/>
        </w:rPr>
        <w:t xml:space="preserve">production, </w:t>
      </w:r>
      <w:r w:rsidRPr="00AF4F3A">
        <w:rPr>
          <w:rFonts w:ascii="Times New Roman" w:hAnsi="Times New Roman"/>
          <w:noProof/>
          <w:sz w:val="24"/>
          <w:szCs w:val="24"/>
        </w:rPr>
        <w:t xml:space="preserve">use </w:t>
      </w:r>
      <w:r w:rsidRPr="00D0136A">
        <w:rPr>
          <w:rFonts w:ascii="Times New Roman" w:hAnsi="Times New Roman"/>
          <w:noProof/>
          <w:sz w:val="24"/>
          <w:szCs w:val="24"/>
        </w:rPr>
        <w:t>or storage</w:t>
      </w:r>
      <w:r w:rsidRPr="00B555B3">
        <w:rPr>
          <w:rFonts w:ascii="Times New Roman" w:hAnsi="Times New Roman"/>
          <w:noProof/>
          <w:sz w:val="24"/>
          <w:szCs w:val="24"/>
        </w:rPr>
        <w:t>.</w:t>
      </w:r>
    </w:p>
    <w:p w14:paraId="1B98EA48" w14:textId="77777777" w:rsidR="00935FC8" w:rsidRPr="00D0136A"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3 (P1C1I3): Investment and reform package in Åland</w:t>
      </w:r>
    </w:p>
    <w:p w14:paraId="546097D5" w14:textId="77777777" w:rsidR="00935FC8" w:rsidRPr="00ED4FF6" w:rsidRDefault="00935FC8" w:rsidP="00A7081A">
      <w:pPr>
        <w:spacing w:before="120" w:after="120" w:line="240" w:lineRule="auto"/>
        <w:jc w:val="both"/>
        <w:rPr>
          <w:rFonts w:ascii="Times New Roman" w:hAnsi="Times New Roman"/>
          <w:b/>
          <w:noProof/>
          <w:sz w:val="24"/>
          <w:szCs w:val="24"/>
          <w:u w:val="single"/>
        </w:rPr>
        <w:sectPr w:rsidR="00935FC8" w:rsidRPr="00ED4FF6" w:rsidSect="00D823E9">
          <w:headerReference w:type="even" r:id="rId17"/>
          <w:headerReference w:type="default" r:id="rId18"/>
          <w:footerReference w:type="even" r:id="rId19"/>
          <w:footerReference w:type="default" r:id="rId20"/>
          <w:headerReference w:type="first" r:id="rId21"/>
          <w:footerReference w:type="first" r:id="rId22"/>
          <w:pgSz w:w="11907" w:h="16839"/>
          <w:pgMar w:top="1134" w:right="1134" w:bottom="1134" w:left="1134" w:header="567" w:footer="567" w:gutter="0"/>
          <w:pgNumType w:start="1"/>
          <w:cols w:space="720"/>
          <w:docGrid w:linePitch="360"/>
        </w:sectPr>
      </w:pPr>
      <w:r w:rsidRPr="00ED4FF6">
        <w:rPr>
          <w:rFonts w:ascii="Times New Roman" w:hAnsi="Times New Roman"/>
          <w:noProof/>
          <w:sz w:val="24"/>
          <w:szCs w:val="24"/>
        </w:rPr>
        <w:t xml:space="preserve">The </w:t>
      </w:r>
      <w:r w:rsidRPr="00B01564">
        <w:rPr>
          <w:rFonts w:ascii="Times New Roman" w:hAnsi="Times New Roman"/>
          <w:noProof/>
          <w:sz w:val="24"/>
          <w:szCs w:val="24"/>
        </w:rPr>
        <w:t>objective</w:t>
      </w:r>
      <w:r w:rsidRPr="00ED4FF6">
        <w:rPr>
          <w:rFonts w:ascii="Times New Roman" w:hAnsi="Times New Roman"/>
          <w:noProof/>
          <w:sz w:val="24"/>
          <w:szCs w:val="24"/>
        </w:rPr>
        <w:t xml:space="preserve"> of this measure is to </w:t>
      </w:r>
      <w:r w:rsidRPr="00B01564">
        <w:rPr>
          <w:rFonts w:ascii="Times New Roman" w:hAnsi="Times New Roman"/>
          <w:noProof/>
          <w:sz w:val="24"/>
          <w:szCs w:val="24"/>
        </w:rPr>
        <w:t>contribute to</w:t>
      </w:r>
      <w:r w:rsidRPr="00ED4FF6">
        <w:rPr>
          <w:rFonts w:ascii="Times New Roman" w:hAnsi="Times New Roman"/>
          <w:noProof/>
          <w:sz w:val="24"/>
          <w:szCs w:val="24"/>
        </w:rPr>
        <w:t xml:space="preserve"> clean energy generation in the </w:t>
      </w:r>
      <w:r w:rsidRPr="00374BE0">
        <w:rPr>
          <w:rFonts w:ascii="Times New Roman" w:hAnsi="Times New Roman"/>
          <w:noProof/>
          <w:sz w:val="24"/>
          <w:szCs w:val="24"/>
        </w:rPr>
        <w:t>Åland</w:t>
      </w:r>
      <w:r w:rsidRPr="00ED4FF6">
        <w:rPr>
          <w:rFonts w:ascii="Times New Roman" w:hAnsi="Times New Roman"/>
          <w:noProof/>
          <w:sz w:val="24"/>
          <w:szCs w:val="24"/>
        </w:rPr>
        <w:t xml:space="preserve"> islands autonomous region. This investment consists of providing grants for solar power projects and financing for the procurement </w:t>
      </w:r>
      <w:r w:rsidRPr="00B01564">
        <w:rPr>
          <w:rFonts w:ascii="Times New Roman" w:hAnsi="Times New Roman"/>
          <w:noProof/>
          <w:sz w:val="24"/>
          <w:szCs w:val="24"/>
        </w:rPr>
        <w:t>of one or multiple report</w:t>
      </w:r>
      <w:r w:rsidRPr="00ED4FF6">
        <w:rPr>
          <w:rFonts w:ascii="Times New Roman" w:hAnsi="Times New Roman"/>
          <w:noProof/>
          <w:sz w:val="24"/>
          <w:szCs w:val="24"/>
        </w:rPr>
        <w:t>(s) to prepare future investments in offshore wind power</w:t>
      </w:r>
      <w:r>
        <w:rPr>
          <w:rFonts w:ascii="Times New Roman" w:hAnsi="Times New Roman"/>
          <w:noProof/>
          <w:sz w:val="24"/>
          <w:szCs w:val="24"/>
        </w:rPr>
        <w:t>.</w:t>
      </w:r>
      <w:r w:rsidRPr="00ED4FF6">
        <w:rPr>
          <w:rFonts w:ascii="Times New Roman" w:hAnsi="Times New Roman"/>
          <w:noProof/>
          <w:sz w:val="24"/>
          <w:szCs w:val="24"/>
        </w:rPr>
        <w:t xml:space="preserve"> </w:t>
      </w:r>
    </w:p>
    <w:p w14:paraId="18ADB1C1" w14:textId="77777777" w:rsidR="00935FC8" w:rsidRPr="00ED4FF6" w:rsidRDefault="00935FC8">
      <w:pPr>
        <w:spacing w:before="120" w:after="120" w:line="240" w:lineRule="auto"/>
        <w:jc w:val="both"/>
        <w:rPr>
          <w:rFonts w:ascii="Times New Roman" w:hAnsi="Times New Roman"/>
          <w:b/>
          <w:noProof/>
          <w:sz w:val="24"/>
          <w:u w:val="single"/>
        </w:rPr>
      </w:pPr>
      <w:r w:rsidRPr="00ED4FF6">
        <w:rPr>
          <w:rFonts w:ascii="Times New Roman" w:hAnsi="Times New Roman"/>
          <w:b/>
          <w:noProof/>
          <w:sz w:val="24"/>
          <w:u w:val="single"/>
        </w:rPr>
        <w:t xml:space="preserve">A.2. </w:t>
      </w:r>
      <w:r w:rsidRPr="00374BE0">
        <w:rPr>
          <w:noProof/>
        </w:rPr>
        <w:tab/>
      </w:r>
      <w:r w:rsidRPr="00ED4FF6">
        <w:rPr>
          <w:rFonts w:ascii="Times New Roman" w:hAnsi="Times New Roman"/>
          <w:b/>
          <w:noProof/>
          <w:sz w:val="24"/>
          <w:u w:val="single"/>
        </w:rPr>
        <w:t>Milestones, targets, indicators, and timetable for monitoring and implementation for non-repayable financial support</w:t>
      </w:r>
    </w:p>
    <w:tbl>
      <w:tblPr>
        <w:tblW w:w="15201" w:type="dxa"/>
        <w:tblInd w:w="-147" w:type="dxa"/>
        <w:tblLayout w:type="fixed"/>
        <w:tblCellMar>
          <w:left w:w="28" w:type="dxa"/>
          <w:right w:w="28" w:type="dxa"/>
        </w:tblCellMar>
        <w:tblLook w:val="04A0" w:firstRow="1" w:lastRow="0" w:firstColumn="1" w:lastColumn="0" w:noHBand="0" w:noVBand="1"/>
      </w:tblPr>
      <w:tblGrid>
        <w:gridCol w:w="851"/>
        <w:gridCol w:w="1811"/>
        <w:gridCol w:w="1024"/>
        <w:gridCol w:w="1418"/>
        <w:gridCol w:w="1417"/>
        <w:gridCol w:w="884"/>
        <w:gridCol w:w="816"/>
        <w:gridCol w:w="559"/>
        <w:gridCol w:w="860"/>
        <w:gridCol w:w="723"/>
        <w:gridCol w:w="4838"/>
      </w:tblGrid>
      <w:tr w:rsidR="000E149C" w:rsidRPr="00577DC1" w14:paraId="79C7106C" w14:textId="77777777" w:rsidTr="003E1CE8">
        <w:trPr>
          <w:trHeight w:val="927"/>
          <w:tblHeader/>
        </w:trPr>
        <w:tc>
          <w:tcPr>
            <w:tcW w:w="85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957B42"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Number</w:t>
            </w:r>
          </w:p>
        </w:tc>
        <w:tc>
          <w:tcPr>
            <w:tcW w:w="18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8A66C25"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 xml:space="preserve">Measure </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8F80C4"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Milestone / Target</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34B90F6"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Name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D9CFCE" w14:textId="77777777" w:rsidR="002965B8" w:rsidRDefault="00935FC8">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 xml:space="preserve">Qualitative indicators </w:t>
            </w:r>
          </w:p>
          <w:p w14:paraId="0504D1DC" w14:textId="36A1AF96" w:rsidR="00935FC8" w:rsidRPr="00577DC1" w:rsidRDefault="00935FC8">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(for milestones)</w:t>
            </w:r>
          </w:p>
        </w:tc>
        <w:tc>
          <w:tcPr>
            <w:tcW w:w="225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4F3AA03" w14:textId="77777777" w:rsidR="00935FC8" w:rsidRPr="00577DC1" w:rsidRDefault="00935FC8">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Quantitative indicators (for targets)</w:t>
            </w:r>
          </w:p>
        </w:tc>
        <w:tc>
          <w:tcPr>
            <w:tcW w:w="1583" w:type="dxa"/>
            <w:gridSpan w:val="2"/>
            <w:tcBorders>
              <w:top w:val="single" w:sz="4" w:space="0" w:color="auto"/>
              <w:left w:val="nil"/>
              <w:bottom w:val="single" w:sz="4" w:space="0" w:color="auto"/>
              <w:right w:val="single" w:sz="4" w:space="0" w:color="auto"/>
            </w:tcBorders>
            <w:shd w:val="clear" w:color="auto" w:fill="BDD7EE"/>
            <w:vAlign w:val="center"/>
            <w:hideMark/>
          </w:tcPr>
          <w:p w14:paraId="32CDEB54" w14:textId="77777777" w:rsidR="00935FC8" w:rsidRPr="00577DC1" w:rsidRDefault="00935FC8">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Indicative timeline for completion</w:t>
            </w:r>
          </w:p>
        </w:tc>
        <w:tc>
          <w:tcPr>
            <w:tcW w:w="48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C9D397"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Description of each milestone and target</w:t>
            </w:r>
          </w:p>
        </w:tc>
      </w:tr>
      <w:tr w:rsidR="000E149C" w:rsidRPr="00577DC1" w14:paraId="121EA170" w14:textId="77777777" w:rsidTr="003E1CE8">
        <w:trPr>
          <w:trHeight w:val="470"/>
          <w:tblHeader/>
        </w:trPr>
        <w:tc>
          <w:tcPr>
            <w:tcW w:w="851" w:type="dxa"/>
            <w:vMerge/>
            <w:tcBorders>
              <w:top w:val="single" w:sz="4" w:space="0" w:color="auto"/>
              <w:left w:val="single" w:sz="4" w:space="0" w:color="auto"/>
              <w:bottom w:val="single" w:sz="4" w:space="0" w:color="auto"/>
              <w:right w:val="single" w:sz="4" w:space="0" w:color="auto"/>
            </w:tcBorders>
            <w:hideMark/>
          </w:tcPr>
          <w:p w14:paraId="64CDE925"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p>
        </w:tc>
        <w:tc>
          <w:tcPr>
            <w:tcW w:w="1811" w:type="dxa"/>
            <w:vMerge/>
            <w:tcBorders>
              <w:top w:val="single" w:sz="4" w:space="0" w:color="auto"/>
              <w:left w:val="single" w:sz="4" w:space="0" w:color="auto"/>
              <w:bottom w:val="single" w:sz="4" w:space="0" w:color="auto"/>
              <w:right w:val="single" w:sz="4" w:space="0" w:color="auto"/>
            </w:tcBorders>
            <w:hideMark/>
          </w:tcPr>
          <w:p w14:paraId="4A7613DF"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p>
        </w:tc>
        <w:tc>
          <w:tcPr>
            <w:tcW w:w="1024" w:type="dxa"/>
            <w:vMerge/>
            <w:tcBorders>
              <w:top w:val="single" w:sz="4" w:space="0" w:color="auto"/>
              <w:left w:val="single" w:sz="4" w:space="0" w:color="auto"/>
              <w:bottom w:val="single" w:sz="4" w:space="0" w:color="auto"/>
              <w:right w:val="single" w:sz="4" w:space="0" w:color="auto"/>
            </w:tcBorders>
            <w:hideMark/>
          </w:tcPr>
          <w:p w14:paraId="2EE52D47"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906B969"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203C8F7"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88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6415AB5"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Unit</w:t>
            </w:r>
          </w:p>
        </w:tc>
        <w:tc>
          <w:tcPr>
            <w:tcW w:w="81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441CDAF" w14:textId="77777777" w:rsidR="00935FC8" w:rsidRPr="00577DC1" w:rsidRDefault="00935FC8">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 xml:space="preserve">Baseline </w:t>
            </w:r>
          </w:p>
        </w:tc>
        <w:tc>
          <w:tcPr>
            <w:tcW w:w="5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B7CB40E"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 xml:space="preserve">Goal </w:t>
            </w:r>
          </w:p>
        </w:tc>
        <w:tc>
          <w:tcPr>
            <w:tcW w:w="86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A142BC5"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Quarter</w:t>
            </w:r>
          </w:p>
        </w:tc>
        <w:tc>
          <w:tcPr>
            <w:tcW w:w="72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DFDE44"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Year</w:t>
            </w:r>
          </w:p>
        </w:tc>
        <w:tc>
          <w:tcPr>
            <w:tcW w:w="4838" w:type="dxa"/>
            <w:vMerge/>
            <w:tcBorders>
              <w:top w:val="single" w:sz="4" w:space="0" w:color="auto"/>
              <w:left w:val="single" w:sz="4" w:space="0" w:color="auto"/>
              <w:bottom w:val="single" w:sz="4" w:space="0" w:color="auto"/>
              <w:right w:val="single" w:sz="4" w:space="0" w:color="auto"/>
            </w:tcBorders>
            <w:vAlign w:val="center"/>
            <w:hideMark/>
          </w:tcPr>
          <w:p w14:paraId="315E84EF" w14:textId="77777777" w:rsidR="00935FC8" w:rsidRPr="00577DC1" w:rsidRDefault="00935FC8">
            <w:pPr>
              <w:spacing w:after="0" w:line="240" w:lineRule="auto"/>
              <w:rPr>
                <w:rFonts w:ascii="Times New Roman" w:eastAsia="Times New Roman" w:hAnsi="Times New Roman"/>
                <w:b/>
                <w:noProof/>
                <w:sz w:val="20"/>
                <w:szCs w:val="20"/>
                <w:lang w:eastAsia="en-GB"/>
              </w:rPr>
            </w:pPr>
          </w:p>
        </w:tc>
      </w:tr>
      <w:tr w:rsidR="00A7081A" w:rsidRPr="00577DC1" w14:paraId="39E5ECF1" w14:textId="77777777" w:rsidTr="003E1CE8">
        <w:trPr>
          <w:trHeight w:val="283"/>
        </w:trPr>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3C240CA5"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1</w:t>
            </w:r>
          </w:p>
        </w:tc>
        <w:tc>
          <w:tcPr>
            <w:tcW w:w="1811" w:type="dxa"/>
            <w:tcBorders>
              <w:top w:val="single" w:sz="4" w:space="0" w:color="auto"/>
              <w:left w:val="nil"/>
              <w:bottom w:val="single" w:sz="4" w:space="0" w:color="auto"/>
              <w:right w:val="single" w:sz="4" w:space="0" w:color="auto"/>
            </w:tcBorders>
            <w:shd w:val="clear" w:color="auto" w:fill="C6EFCE"/>
            <w:noWrap/>
            <w:hideMark/>
          </w:tcPr>
          <w:p w14:paraId="4E05F04E"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P1C1R1 - Transformation of the energy system – Reduction in the use of coal for energy by 2026</w:t>
            </w:r>
          </w:p>
        </w:tc>
        <w:tc>
          <w:tcPr>
            <w:tcW w:w="1024" w:type="dxa"/>
            <w:tcBorders>
              <w:top w:val="single" w:sz="4" w:space="0" w:color="auto"/>
              <w:left w:val="nil"/>
              <w:bottom w:val="single" w:sz="4" w:space="0" w:color="auto"/>
              <w:right w:val="single" w:sz="4" w:space="0" w:color="auto"/>
            </w:tcBorders>
            <w:shd w:val="clear" w:color="auto" w:fill="C6EFCE"/>
            <w:noWrap/>
            <w:hideMark/>
          </w:tcPr>
          <w:p w14:paraId="54E0BC6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Target</w:t>
            </w:r>
          </w:p>
        </w:tc>
        <w:tc>
          <w:tcPr>
            <w:tcW w:w="1418" w:type="dxa"/>
            <w:tcBorders>
              <w:top w:val="single" w:sz="4" w:space="0" w:color="auto"/>
              <w:left w:val="nil"/>
              <w:bottom w:val="single" w:sz="4" w:space="0" w:color="auto"/>
              <w:right w:val="single" w:sz="4" w:space="0" w:color="auto"/>
            </w:tcBorders>
            <w:shd w:val="clear" w:color="auto" w:fill="C6EFCE"/>
            <w:noWrap/>
            <w:hideMark/>
          </w:tcPr>
          <w:p w14:paraId="4CA95E24"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 xml:space="preserve">Reduction of the use of coal for energy by 2026 compared to 2019 </w:t>
            </w:r>
          </w:p>
        </w:tc>
        <w:tc>
          <w:tcPr>
            <w:tcW w:w="1417" w:type="dxa"/>
            <w:tcBorders>
              <w:top w:val="single" w:sz="4" w:space="0" w:color="auto"/>
              <w:left w:val="nil"/>
              <w:bottom w:val="single" w:sz="4" w:space="0" w:color="auto"/>
              <w:right w:val="single" w:sz="4" w:space="0" w:color="auto"/>
            </w:tcBorders>
            <w:shd w:val="clear" w:color="auto" w:fill="C6EFCE"/>
            <w:noWrap/>
            <w:hideMark/>
          </w:tcPr>
          <w:p w14:paraId="188D5BEE"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84" w:type="dxa"/>
            <w:tcBorders>
              <w:top w:val="single" w:sz="4" w:space="0" w:color="auto"/>
              <w:left w:val="nil"/>
              <w:bottom w:val="single" w:sz="4" w:space="0" w:color="auto"/>
              <w:right w:val="single" w:sz="4" w:space="0" w:color="auto"/>
            </w:tcBorders>
            <w:shd w:val="clear" w:color="auto" w:fill="C6EFCE"/>
            <w:noWrap/>
            <w:hideMark/>
          </w:tcPr>
          <w:p w14:paraId="020C6C91"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Petajoules</w:t>
            </w:r>
          </w:p>
        </w:tc>
        <w:tc>
          <w:tcPr>
            <w:tcW w:w="816" w:type="dxa"/>
            <w:tcBorders>
              <w:top w:val="single" w:sz="4" w:space="0" w:color="auto"/>
              <w:left w:val="nil"/>
              <w:bottom w:val="single" w:sz="4" w:space="0" w:color="auto"/>
              <w:right w:val="single" w:sz="4" w:space="0" w:color="auto"/>
            </w:tcBorders>
            <w:shd w:val="clear" w:color="auto" w:fill="C6EFCE"/>
            <w:noWrap/>
            <w:hideMark/>
          </w:tcPr>
          <w:p w14:paraId="31ADA582"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60</w:t>
            </w:r>
          </w:p>
        </w:tc>
        <w:tc>
          <w:tcPr>
            <w:tcW w:w="559" w:type="dxa"/>
            <w:tcBorders>
              <w:top w:val="single" w:sz="4" w:space="0" w:color="auto"/>
              <w:left w:val="nil"/>
              <w:bottom w:val="single" w:sz="4" w:space="0" w:color="auto"/>
              <w:right w:val="single" w:sz="4" w:space="0" w:color="auto"/>
            </w:tcBorders>
            <w:shd w:val="clear" w:color="auto" w:fill="C6EFCE"/>
            <w:noWrap/>
            <w:hideMark/>
          </w:tcPr>
          <w:p w14:paraId="6DB333DC" w14:textId="77777777" w:rsidR="00935FC8" w:rsidRPr="00577DC1" w:rsidRDefault="00935FC8" w:rsidP="00A7081A">
            <w:pPr>
              <w:spacing w:after="0" w:line="240" w:lineRule="auto"/>
              <w:rPr>
                <w:rFonts w:ascii="Times New Roman" w:eastAsia="Times New Roman" w:hAnsi="Times New Roman"/>
                <w:noProof/>
                <w:sz w:val="20"/>
                <w:szCs w:val="20"/>
              </w:rPr>
            </w:pPr>
            <w:r w:rsidRPr="00577DC1">
              <w:rPr>
                <w:rFonts w:ascii="Times New Roman" w:hAnsi="Times New Roman"/>
                <w:noProof/>
                <w:sz w:val="20"/>
                <w:szCs w:val="20"/>
              </w:rPr>
              <w:t>36</w:t>
            </w:r>
          </w:p>
        </w:tc>
        <w:tc>
          <w:tcPr>
            <w:tcW w:w="860" w:type="dxa"/>
            <w:tcBorders>
              <w:top w:val="single" w:sz="4" w:space="0" w:color="auto"/>
              <w:left w:val="nil"/>
              <w:bottom w:val="single" w:sz="4" w:space="0" w:color="auto"/>
              <w:right w:val="single" w:sz="4" w:space="0" w:color="auto"/>
            </w:tcBorders>
            <w:shd w:val="clear" w:color="auto" w:fill="C6EFCE"/>
            <w:noWrap/>
            <w:hideMark/>
          </w:tcPr>
          <w:p w14:paraId="0ED9624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723" w:type="dxa"/>
            <w:tcBorders>
              <w:top w:val="single" w:sz="4" w:space="0" w:color="auto"/>
              <w:left w:val="nil"/>
              <w:bottom w:val="single" w:sz="4" w:space="0" w:color="auto"/>
              <w:right w:val="single" w:sz="4" w:space="0" w:color="auto"/>
            </w:tcBorders>
            <w:shd w:val="clear" w:color="auto" w:fill="C6EFCE"/>
            <w:noWrap/>
            <w:hideMark/>
          </w:tcPr>
          <w:p w14:paraId="449C123D"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2026</w:t>
            </w:r>
          </w:p>
        </w:tc>
        <w:tc>
          <w:tcPr>
            <w:tcW w:w="4838" w:type="dxa"/>
            <w:tcBorders>
              <w:top w:val="single" w:sz="4" w:space="0" w:color="auto"/>
              <w:left w:val="nil"/>
              <w:bottom w:val="single" w:sz="4" w:space="0" w:color="auto"/>
              <w:right w:val="single" w:sz="4" w:space="0" w:color="auto"/>
            </w:tcBorders>
            <w:shd w:val="clear" w:color="auto" w:fill="C6EFCE"/>
            <w:noWrap/>
            <w:hideMark/>
          </w:tcPr>
          <w:p w14:paraId="32747CD6" w14:textId="503A191C"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Consumption of coal for energy shall be reduced to 36 Petajoules or less by 2026 compared to 60 Petajoules in 2019.</w:t>
            </w:r>
          </w:p>
        </w:tc>
      </w:tr>
      <w:tr w:rsidR="00A7081A" w:rsidRPr="00577DC1" w14:paraId="0BA77056" w14:textId="77777777" w:rsidTr="003E1CE8">
        <w:trPr>
          <w:trHeight w:val="309"/>
        </w:trPr>
        <w:tc>
          <w:tcPr>
            <w:tcW w:w="851" w:type="dxa"/>
            <w:tcBorders>
              <w:top w:val="nil"/>
              <w:left w:val="single" w:sz="4" w:space="0" w:color="auto"/>
              <w:bottom w:val="single" w:sz="4" w:space="0" w:color="auto"/>
              <w:right w:val="single" w:sz="4" w:space="0" w:color="auto"/>
            </w:tcBorders>
            <w:shd w:val="clear" w:color="auto" w:fill="C6EFCE"/>
            <w:noWrap/>
            <w:hideMark/>
          </w:tcPr>
          <w:p w14:paraId="44BFB32A"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2</w:t>
            </w:r>
          </w:p>
        </w:tc>
        <w:tc>
          <w:tcPr>
            <w:tcW w:w="1811" w:type="dxa"/>
            <w:tcBorders>
              <w:top w:val="nil"/>
              <w:left w:val="nil"/>
              <w:bottom w:val="single" w:sz="4" w:space="0" w:color="auto"/>
              <w:right w:val="single" w:sz="4" w:space="0" w:color="auto"/>
            </w:tcBorders>
            <w:shd w:val="clear" w:color="auto" w:fill="C6EFCE"/>
            <w:noWrap/>
            <w:hideMark/>
          </w:tcPr>
          <w:p w14:paraId="09493564" w14:textId="77777777" w:rsidR="00935FC8" w:rsidRPr="00577DC1" w:rsidRDefault="00935FC8" w:rsidP="00A7081A">
            <w:pPr>
              <w:spacing w:after="0" w:line="240" w:lineRule="auto"/>
              <w:rPr>
                <w:rFonts w:ascii="Times New Roman" w:hAnsi="Times New Roman"/>
                <w:noProof/>
                <w:sz w:val="20"/>
                <w:szCs w:val="20"/>
                <w:lang w:eastAsia="en-GB"/>
              </w:rPr>
            </w:pPr>
            <w:r w:rsidRPr="00577DC1">
              <w:rPr>
                <w:rFonts w:ascii="Times New Roman" w:hAnsi="Times New Roman"/>
                <w:noProof/>
                <w:sz w:val="20"/>
                <w:szCs w:val="20"/>
              </w:rPr>
              <w:t>P1C1R2 - Transformation of the energy system – Reform of energy taxation to take account of technological developments</w:t>
            </w:r>
          </w:p>
        </w:tc>
        <w:tc>
          <w:tcPr>
            <w:tcW w:w="1024" w:type="dxa"/>
            <w:tcBorders>
              <w:top w:val="nil"/>
              <w:left w:val="nil"/>
              <w:bottom w:val="single" w:sz="4" w:space="0" w:color="auto"/>
              <w:right w:val="single" w:sz="4" w:space="0" w:color="auto"/>
            </w:tcBorders>
            <w:shd w:val="clear" w:color="auto" w:fill="C6EFCE"/>
            <w:noWrap/>
            <w:hideMark/>
          </w:tcPr>
          <w:p w14:paraId="5891FCB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418" w:type="dxa"/>
            <w:tcBorders>
              <w:top w:val="nil"/>
              <w:left w:val="nil"/>
              <w:bottom w:val="single" w:sz="4" w:space="0" w:color="auto"/>
              <w:right w:val="single" w:sz="4" w:space="0" w:color="auto"/>
            </w:tcBorders>
            <w:shd w:val="clear" w:color="auto" w:fill="C6EFCE"/>
            <w:noWrap/>
            <w:hideMark/>
          </w:tcPr>
          <w:p w14:paraId="7398EBF1"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Entry into force of the Act on Excise Duty on Electricity and Certain Fuels</w:t>
            </w:r>
          </w:p>
        </w:tc>
        <w:tc>
          <w:tcPr>
            <w:tcW w:w="1417" w:type="dxa"/>
            <w:tcBorders>
              <w:top w:val="nil"/>
              <w:left w:val="nil"/>
              <w:bottom w:val="single" w:sz="4" w:space="0" w:color="auto"/>
              <w:right w:val="single" w:sz="4" w:space="0" w:color="auto"/>
            </w:tcBorders>
            <w:shd w:val="clear" w:color="auto" w:fill="C6EFCE"/>
            <w:noWrap/>
            <w:hideMark/>
          </w:tcPr>
          <w:p w14:paraId="4CA0793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eastAsia="Times New Roman" w:hAnsi="Times New Roman"/>
                <w:noProof/>
                <w:sz w:val="20"/>
                <w:szCs w:val="20"/>
              </w:rPr>
              <w:t>Provision in the law indicating the entry into force of the Act</w:t>
            </w:r>
            <w:r w:rsidRPr="00577DC1">
              <w:rPr>
                <w:rFonts w:ascii="Times New Roman" w:hAnsi="Times New Roman"/>
                <w:noProof/>
                <w:sz w:val="20"/>
                <w:szCs w:val="20"/>
              </w:rPr>
              <w:t xml:space="preserve"> </w:t>
            </w:r>
          </w:p>
        </w:tc>
        <w:tc>
          <w:tcPr>
            <w:tcW w:w="884" w:type="dxa"/>
            <w:tcBorders>
              <w:top w:val="nil"/>
              <w:left w:val="nil"/>
              <w:bottom w:val="single" w:sz="4" w:space="0" w:color="auto"/>
              <w:right w:val="single" w:sz="4" w:space="0" w:color="auto"/>
            </w:tcBorders>
            <w:shd w:val="clear" w:color="auto" w:fill="C6EFCE"/>
            <w:noWrap/>
            <w:hideMark/>
          </w:tcPr>
          <w:p w14:paraId="4357AFDD"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16" w:type="dxa"/>
            <w:tcBorders>
              <w:top w:val="nil"/>
              <w:left w:val="nil"/>
              <w:bottom w:val="single" w:sz="4" w:space="0" w:color="auto"/>
              <w:right w:val="single" w:sz="4" w:space="0" w:color="auto"/>
            </w:tcBorders>
            <w:shd w:val="clear" w:color="auto" w:fill="C6EFCE"/>
            <w:noWrap/>
            <w:hideMark/>
          </w:tcPr>
          <w:p w14:paraId="16028C8D"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559" w:type="dxa"/>
            <w:tcBorders>
              <w:top w:val="nil"/>
              <w:left w:val="nil"/>
              <w:bottom w:val="single" w:sz="4" w:space="0" w:color="auto"/>
              <w:right w:val="single" w:sz="4" w:space="0" w:color="auto"/>
            </w:tcBorders>
            <w:shd w:val="clear" w:color="auto" w:fill="C6EFCE"/>
            <w:noWrap/>
            <w:hideMark/>
          </w:tcPr>
          <w:p w14:paraId="7AD6B9D6"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60" w:type="dxa"/>
            <w:tcBorders>
              <w:top w:val="nil"/>
              <w:left w:val="nil"/>
              <w:bottom w:val="single" w:sz="4" w:space="0" w:color="auto"/>
              <w:right w:val="single" w:sz="4" w:space="0" w:color="auto"/>
            </w:tcBorders>
            <w:shd w:val="clear" w:color="auto" w:fill="C6EFCE"/>
            <w:noWrap/>
            <w:hideMark/>
          </w:tcPr>
          <w:p w14:paraId="1AA444ED"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Q2</w:t>
            </w:r>
          </w:p>
        </w:tc>
        <w:tc>
          <w:tcPr>
            <w:tcW w:w="723" w:type="dxa"/>
            <w:tcBorders>
              <w:top w:val="nil"/>
              <w:left w:val="nil"/>
              <w:bottom w:val="single" w:sz="4" w:space="0" w:color="auto"/>
              <w:right w:val="single" w:sz="4" w:space="0" w:color="auto"/>
            </w:tcBorders>
            <w:shd w:val="clear" w:color="auto" w:fill="C6EFCE"/>
            <w:noWrap/>
            <w:hideMark/>
          </w:tcPr>
          <w:p w14:paraId="2AF4E714"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2021</w:t>
            </w:r>
          </w:p>
        </w:tc>
        <w:tc>
          <w:tcPr>
            <w:tcW w:w="4838" w:type="dxa"/>
            <w:tcBorders>
              <w:top w:val="nil"/>
              <w:left w:val="nil"/>
              <w:bottom w:val="single" w:sz="4" w:space="0" w:color="auto"/>
              <w:right w:val="single" w:sz="4" w:space="0" w:color="auto"/>
            </w:tcBorders>
            <w:shd w:val="clear" w:color="auto" w:fill="C6EFCE"/>
            <w:noWrap/>
            <w:hideMark/>
          </w:tcPr>
          <w:p w14:paraId="1051BFD6"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The amendment to the Act on Excise Duty on Electricity and Certain Fuels:</w:t>
            </w:r>
          </w:p>
          <w:p w14:paraId="2B3938DB" w14:textId="5FE2339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 lowers the industrial electricity tax to promote the electrification of industry and heat production,</w:t>
            </w:r>
          </w:p>
          <w:p w14:paraId="4D46E14E"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 lowers the electricity tax for mines, agriculture and data centres of more than 5 MW</w:t>
            </w:r>
          </w:p>
          <w:p w14:paraId="333E4C92"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 phases out the energy tax refund for energy-intensive industrial fuels</w:t>
            </w:r>
          </w:p>
          <w:p w14:paraId="780C51B4" w14:textId="1533441E"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raises the tax on fossil heating fuels by EUR</w:t>
            </w:r>
            <w:r w:rsidR="002965B8">
              <w:rPr>
                <w:rFonts w:ascii="Times New Roman" w:hAnsi="Times New Roman"/>
                <w:noProof/>
                <w:sz w:val="20"/>
                <w:szCs w:val="20"/>
              </w:rPr>
              <w:t> </w:t>
            </w:r>
            <w:r w:rsidRPr="00577DC1">
              <w:rPr>
                <w:rFonts w:ascii="Times New Roman" w:hAnsi="Times New Roman"/>
                <w:noProof/>
                <w:sz w:val="20"/>
                <w:szCs w:val="20"/>
              </w:rPr>
              <w:t xml:space="preserve">2,7/MWh. </w:t>
            </w:r>
          </w:p>
        </w:tc>
      </w:tr>
      <w:tr w:rsidR="00A7081A" w:rsidRPr="00577DC1" w14:paraId="06F5234E" w14:textId="77777777" w:rsidTr="003E1CE8">
        <w:trPr>
          <w:trHeight w:val="309"/>
        </w:trPr>
        <w:tc>
          <w:tcPr>
            <w:tcW w:w="851" w:type="dxa"/>
            <w:tcBorders>
              <w:top w:val="nil"/>
              <w:left w:val="single" w:sz="4" w:space="0" w:color="auto"/>
              <w:bottom w:val="single" w:sz="4" w:space="0" w:color="auto"/>
              <w:right w:val="single" w:sz="4" w:space="0" w:color="auto"/>
            </w:tcBorders>
            <w:shd w:val="clear" w:color="auto" w:fill="C6EFCE"/>
            <w:noWrap/>
            <w:hideMark/>
          </w:tcPr>
          <w:p w14:paraId="318D5628"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3</w:t>
            </w:r>
          </w:p>
        </w:tc>
        <w:tc>
          <w:tcPr>
            <w:tcW w:w="1811" w:type="dxa"/>
            <w:tcBorders>
              <w:top w:val="nil"/>
              <w:left w:val="nil"/>
              <w:bottom w:val="single" w:sz="4" w:space="0" w:color="auto"/>
              <w:right w:val="single" w:sz="4" w:space="0" w:color="auto"/>
            </w:tcBorders>
            <w:shd w:val="clear" w:color="auto" w:fill="C6EFCE"/>
            <w:noWrap/>
            <w:hideMark/>
          </w:tcPr>
          <w:p w14:paraId="162EF7E1"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P1C1I1 - Transformation of the energy system – Energy infrastructure investments</w:t>
            </w:r>
          </w:p>
        </w:tc>
        <w:tc>
          <w:tcPr>
            <w:tcW w:w="1024" w:type="dxa"/>
            <w:tcBorders>
              <w:top w:val="nil"/>
              <w:left w:val="nil"/>
              <w:bottom w:val="single" w:sz="4" w:space="0" w:color="auto"/>
              <w:right w:val="single" w:sz="4" w:space="0" w:color="auto"/>
            </w:tcBorders>
            <w:shd w:val="clear" w:color="auto" w:fill="C6EFCE"/>
            <w:noWrap/>
            <w:hideMark/>
          </w:tcPr>
          <w:p w14:paraId="22E820D2"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418" w:type="dxa"/>
            <w:tcBorders>
              <w:top w:val="nil"/>
              <w:left w:val="nil"/>
              <w:bottom w:val="single" w:sz="4" w:space="0" w:color="auto"/>
              <w:right w:val="single" w:sz="4" w:space="0" w:color="auto"/>
            </w:tcBorders>
            <w:shd w:val="clear" w:color="auto" w:fill="C6EFCE"/>
            <w:noWrap/>
            <w:hideMark/>
          </w:tcPr>
          <w:p w14:paraId="3E3FE6F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the first call for applications for energy infrastructure projects</w:t>
            </w:r>
          </w:p>
        </w:tc>
        <w:tc>
          <w:tcPr>
            <w:tcW w:w="1417" w:type="dxa"/>
            <w:tcBorders>
              <w:top w:val="nil"/>
              <w:left w:val="nil"/>
              <w:bottom w:val="single" w:sz="4" w:space="0" w:color="auto"/>
              <w:right w:val="single" w:sz="4" w:space="0" w:color="auto"/>
            </w:tcBorders>
            <w:shd w:val="clear" w:color="auto" w:fill="C6EFCE"/>
            <w:noWrap/>
            <w:hideMark/>
          </w:tcPr>
          <w:p w14:paraId="348C60EE" w14:textId="38EA1AA9"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the first call for applications on the Ministry of Economic Affairs’ website</w:t>
            </w:r>
          </w:p>
        </w:tc>
        <w:tc>
          <w:tcPr>
            <w:tcW w:w="884" w:type="dxa"/>
            <w:tcBorders>
              <w:top w:val="nil"/>
              <w:left w:val="nil"/>
              <w:bottom w:val="single" w:sz="4" w:space="0" w:color="auto"/>
              <w:right w:val="single" w:sz="4" w:space="0" w:color="auto"/>
            </w:tcBorders>
            <w:shd w:val="clear" w:color="auto" w:fill="C6EFCE"/>
            <w:noWrap/>
            <w:hideMark/>
          </w:tcPr>
          <w:p w14:paraId="086F6414"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16" w:type="dxa"/>
            <w:tcBorders>
              <w:top w:val="nil"/>
              <w:left w:val="nil"/>
              <w:bottom w:val="single" w:sz="4" w:space="0" w:color="auto"/>
              <w:right w:val="single" w:sz="4" w:space="0" w:color="auto"/>
            </w:tcBorders>
            <w:shd w:val="clear" w:color="auto" w:fill="C6EFCE"/>
            <w:noWrap/>
            <w:hideMark/>
          </w:tcPr>
          <w:p w14:paraId="345F100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559" w:type="dxa"/>
            <w:tcBorders>
              <w:top w:val="nil"/>
              <w:left w:val="nil"/>
              <w:bottom w:val="single" w:sz="4" w:space="0" w:color="auto"/>
              <w:right w:val="single" w:sz="4" w:space="0" w:color="auto"/>
            </w:tcBorders>
            <w:shd w:val="clear" w:color="auto" w:fill="C6EFCE"/>
            <w:noWrap/>
            <w:hideMark/>
          </w:tcPr>
          <w:p w14:paraId="3DF6E8A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60" w:type="dxa"/>
            <w:tcBorders>
              <w:top w:val="nil"/>
              <w:left w:val="nil"/>
              <w:bottom w:val="single" w:sz="4" w:space="0" w:color="auto"/>
              <w:right w:val="single" w:sz="4" w:space="0" w:color="auto"/>
            </w:tcBorders>
            <w:shd w:val="clear" w:color="auto" w:fill="C6EFCE"/>
            <w:noWrap/>
            <w:hideMark/>
          </w:tcPr>
          <w:p w14:paraId="4448687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Q4</w:t>
            </w:r>
          </w:p>
        </w:tc>
        <w:tc>
          <w:tcPr>
            <w:tcW w:w="723" w:type="dxa"/>
            <w:tcBorders>
              <w:top w:val="nil"/>
              <w:left w:val="nil"/>
              <w:bottom w:val="single" w:sz="4" w:space="0" w:color="auto"/>
              <w:right w:val="single" w:sz="4" w:space="0" w:color="auto"/>
            </w:tcBorders>
            <w:shd w:val="clear" w:color="auto" w:fill="C6EFCE"/>
            <w:noWrap/>
            <w:hideMark/>
          </w:tcPr>
          <w:p w14:paraId="28DDA67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2021</w:t>
            </w:r>
          </w:p>
        </w:tc>
        <w:tc>
          <w:tcPr>
            <w:tcW w:w="4838" w:type="dxa"/>
            <w:tcBorders>
              <w:top w:val="nil"/>
              <w:left w:val="nil"/>
              <w:bottom w:val="single" w:sz="4" w:space="0" w:color="auto"/>
              <w:right w:val="single" w:sz="4" w:space="0" w:color="auto"/>
            </w:tcBorders>
            <w:shd w:val="clear" w:color="auto" w:fill="C6EFCE"/>
            <w:noWrap/>
            <w:hideMark/>
          </w:tcPr>
          <w:p w14:paraId="5A479392" w14:textId="6AC8EAF1"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xml:space="preserve">The funding guidelines </w:t>
            </w:r>
            <w:r w:rsidRPr="00577DC1">
              <w:rPr>
                <w:rFonts w:ascii="Times New Roman" w:hAnsi="Times New Roman"/>
                <w:i/>
                <w:noProof/>
                <w:sz w:val="20"/>
                <w:szCs w:val="20"/>
              </w:rPr>
              <w:t>(Energy Aid Regulation)</w:t>
            </w:r>
            <w:r w:rsidRPr="00577DC1">
              <w:rPr>
                <w:rFonts w:ascii="Times New Roman" w:hAnsi="Times New Roman"/>
                <w:noProof/>
                <w:sz w:val="20"/>
                <w:szCs w:val="20"/>
              </w:rPr>
              <w:t xml:space="preserve"> shall enter into force, enabling the </w:t>
            </w:r>
            <w:r w:rsidRPr="00577DC1">
              <w:rPr>
                <w:rFonts w:ascii="Times New Roman" w:eastAsia="Times New Roman" w:hAnsi="Times New Roman"/>
                <w:noProof/>
                <w:sz w:val="20"/>
                <w:szCs w:val="20"/>
                <w:lang w:eastAsia="en-GB"/>
              </w:rPr>
              <w:t>launch of the first competitive call for proposals for energy infrastructure investments,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A7081A" w:rsidRPr="00577DC1" w14:paraId="0204CE04" w14:textId="77777777" w:rsidTr="003E1CE8">
        <w:trPr>
          <w:trHeight w:val="309"/>
        </w:trPr>
        <w:tc>
          <w:tcPr>
            <w:tcW w:w="851" w:type="dxa"/>
            <w:tcBorders>
              <w:top w:val="nil"/>
              <w:left w:val="single" w:sz="4" w:space="0" w:color="auto"/>
              <w:bottom w:val="single" w:sz="4" w:space="0" w:color="auto"/>
              <w:right w:val="single" w:sz="4" w:space="0" w:color="auto"/>
            </w:tcBorders>
            <w:shd w:val="clear" w:color="auto" w:fill="C6EFCE"/>
            <w:noWrap/>
            <w:hideMark/>
          </w:tcPr>
          <w:p w14:paraId="055823F5"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sidDel="009013DB">
              <w:rPr>
                <w:rFonts w:ascii="Times New Roman" w:hAnsi="Times New Roman"/>
                <w:noProof/>
                <w:sz w:val="20"/>
                <w:szCs w:val="20"/>
              </w:rPr>
              <w:t>4</w:t>
            </w:r>
          </w:p>
        </w:tc>
        <w:tc>
          <w:tcPr>
            <w:tcW w:w="1811" w:type="dxa"/>
            <w:tcBorders>
              <w:top w:val="nil"/>
              <w:left w:val="nil"/>
              <w:bottom w:val="single" w:sz="4" w:space="0" w:color="auto"/>
              <w:right w:val="single" w:sz="4" w:space="0" w:color="auto"/>
            </w:tcBorders>
            <w:shd w:val="clear" w:color="auto" w:fill="C6EFCE"/>
            <w:noWrap/>
            <w:hideMark/>
          </w:tcPr>
          <w:p w14:paraId="21681F7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P1C1I1 - Transformation of the energy system – Energy infrastructure investments</w:t>
            </w:r>
          </w:p>
        </w:tc>
        <w:tc>
          <w:tcPr>
            <w:tcW w:w="1024" w:type="dxa"/>
            <w:tcBorders>
              <w:top w:val="nil"/>
              <w:left w:val="nil"/>
              <w:bottom w:val="single" w:sz="4" w:space="0" w:color="auto"/>
              <w:right w:val="single" w:sz="4" w:space="0" w:color="auto"/>
            </w:tcBorders>
            <w:shd w:val="clear" w:color="auto" w:fill="C6EFCE"/>
            <w:noWrap/>
            <w:hideMark/>
          </w:tcPr>
          <w:p w14:paraId="328BA0D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418" w:type="dxa"/>
            <w:tcBorders>
              <w:top w:val="nil"/>
              <w:left w:val="nil"/>
              <w:bottom w:val="single" w:sz="4" w:space="0" w:color="auto"/>
              <w:right w:val="single" w:sz="4" w:space="0" w:color="auto"/>
            </w:tcBorders>
            <w:shd w:val="clear" w:color="auto" w:fill="C6EFCE"/>
            <w:noWrap/>
            <w:hideMark/>
          </w:tcPr>
          <w:p w14:paraId="31A67A67" w14:textId="77777777" w:rsidR="00935FC8" w:rsidRPr="00577DC1" w:rsidRDefault="00935FC8" w:rsidP="00A7081A">
            <w:pPr>
              <w:spacing w:after="0" w:line="240" w:lineRule="auto"/>
              <w:rPr>
                <w:rFonts w:ascii="Times New Roman" w:hAnsi="Times New Roman"/>
                <w:noProof/>
                <w:sz w:val="20"/>
                <w:szCs w:val="20"/>
                <w:lang w:eastAsia="en-GB"/>
              </w:rPr>
            </w:pPr>
            <w:r w:rsidRPr="00577DC1">
              <w:rPr>
                <w:rFonts w:ascii="Times New Roman" w:hAnsi="Times New Roman"/>
                <w:noProof/>
                <w:sz w:val="20"/>
                <w:szCs w:val="20"/>
              </w:rPr>
              <w:t>Publication of additional calls for applications for energy infrastructure projects</w:t>
            </w:r>
          </w:p>
        </w:tc>
        <w:tc>
          <w:tcPr>
            <w:tcW w:w="1417" w:type="dxa"/>
            <w:tcBorders>
              <w:top w:val="nil"/>
              <w:left w:val="nil"/>
              <w:bottom w:val="single" w:sz="4" w:space="0" w:color="auto"/>
              <w:right w:val="single" w:sz="4" w:space="0" w:color="auto"/>
            </w:tcBorders>
            <w:shd w:val="clear" w:color="auto" w:fill="C6EFCE"/>
            <w:noWrap/>
            <w:hideMark/>
          </w:tcPr>
          <w:p w14:paraId="5AB28587" w14:textId="77777777" w:rsidR="00935FC8" w:rsidRPr="00577DC1" w:rsidRDefault="00935FC8" w:rsidP="00A7081A">
            <w:pPr>
              <w:spacing w:after="0" w:line="240" w:lineRule="auto"/>
              <w:rPr>
                <w:rFonts w:ascii="Times New Roman" w:hAnsi="Times New Roman"/>
                <w:noProof/>
                <w:sz w:val="20"/>
                <w:szCs w:val="20"/>
                <w:lang w:eastAsia="en-GB"/>
              </w:rPr>
            </w:pPr>
            <w:r w:rsidRPr="00577DC1">
              <w:rPr>
                <w:rFonts w:ascii="Times New Roman" w:hAnsi="Times New Roman"/>
                <w:noProof/>
                <w:sz w:val="20"/>
                <w:szCs w:val="20"/>
              </w:rPr>
              <w:t>Publication of additional calls for applications on the website of the Ministry of Economic Affairs</w:t>
            </w:r>
          </w:p>
        </w:tc>
        <w:tc>
          <w:tcPr>
            <w:tcW w:w="884" w:type="dxa"/>
            <w:tcBorders>
              <w:top w:val="nil"/>
              <w:left w:val="nil"/>
              <w:bottom w:val="single" w:sz="4" w:space="0" w:color="auto"/>
              <w:right w:val="single" w:sz="4" w:space="0" w:color="auto"/>
            </w:tcBorders>
            <w:shd w:val="clear" w:color="auto" w:fill="C6EFCE"/>
            <w:noWrap/>
            <w:hideMark/>
          </w:tcPr>
          <w:p w14:paraId="0DB96A2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sidDel="009013DB">
              <w:rPr>
                <w:rFonts w:ascii="Times New Roman" w:hAnsi="Times New Roman"/>
                <w:noProof/>
                <w:sz w:val="20"/>
                <w:szCs w:val="20"/>
              </w:rPr>
              <w:t> </w:t>
            </w:r>
          </w:p>
        </w:tc>
        <w:tc>
          <w:tcPr>
            <w:tcW w:w="816" w:type="dxa"/>
            <w:tcBorders>
              <w:top w:val="nil"/>
              <w:left w:val="nil"/>
              <w:bottom w:val="single" w:sz="4" w:space="0" w:color="auto"/>
              <w:right w:val="single" w:sz="4" w:space="0" w:color="auto"/>
            </w:tcBorders>
            <w:shd w:val="clear" w:color="auto" w:fill="C6EFCE"/>
            <w:noWrap/>
            <w:hideMark/>
          </w:tcPr>
          <w:p w14:paraId="1D2A396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sidDel="009013DB">
              <w:rPr>
                <w:rFonts w:ascii="Times New Roman" w:hAnsi="Times New Roman"/>
                <w:noProof/>
                <w:sz w:val="20"/>
                <w:szCs w:val="20"/>
              </w:rPr>
              <w:t> </w:t>
            </w:r>
          </w:p>
        </w:tc>
        <w:tc>
          <w:tcPr>
            <w:tcW w:w="559" w:type="dxa"/>
            <w:tcBorders>
              <w:top w:val="nil"/>
              <w:left w:val="nil"/>
              <w:bottom w:val="single" w:sz="4" w:space="0" w:color="auto"/>
              <w:right w:val="single" w:sz="4" w:space="0" w:color="auto"/>
            </w:tcBorders>
            <w:shd w:val="clear" w:color="auto" w:fill="C6EFCE"/>
            <w:noWrap/>
            <w:hideMark/>
          </w:tcPr>
          <w:p w14:paraId="77E8F91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sidDel="009013DB">
              <w:rPr>
                <w:rFonts w:ascii="Times New Roman" w:hAnsi="Times New Roman"/>
                <w:noProof/>
                <w:sz w:val="20"/>
                <w:szCs w:val="20"/>
              </w:rPr>
              <w:t> </w:t>
            </w:r>
          </w:p>
        </w:tc>
        <w:tc>
          <w:tcPr>
            <w:tcW w:w="860" w:type="dxa"/>
            <w:tcBorders>
              <w:top w:val="nil"/>
              <w:left w:val="nil"/>
              <w:bottom w:val="single" w:sz="4" w:space="0" w:color="auto"/>
              <w:right w:val="single" w:sz="4" w:space="0" w:color="auto"/>
            </w:tcBorders>
            <w:shd w:val="clear" w:color="auto" w:fill="C6EFCE"/>
            <w:noWrap/>
            <w:hideMark/>
          </w:tcPr>
          <w:p w14:paraId="3FA8A492"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Q4</w:t>
            </w:r>
          </w:p>
        </w:tc>
        <w:tc>
          <w:tcPr>
            <w:tcW w:w="723" w:type="dxa"/>
            <w:tcBorders>
              <w:top w:val="nil"/>
              <w:left w:val="nil"/>
              <w:bottom w:val="single" w:sz="4" w:space="0" w:color="auto"/>
              <w:right w:val="single" w:sz="4" w:space="0" w:color="auto"/>
            </w:tcBorders>
            <w:shd w:val="clear" w:color="auto" w:fill="C6EFCE"/>
            <w:noWrap/>
            <w:hideMark/>
          </w:tcPr>
          <w:p w14:paraId="43BE5E50"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2024</w:t>
            </w:r>
          </w:p>
        </w:tc>
        <w:tc>
          <w:tcPr>
            <w:tcW w:w="4838" w:type="dxa"/>
            <w:tcBorders>
              <w:top w:val="nil"/>
              <w:left w:val="nil"/>
              <w:bottom w:val="single" w:sz="4" w:space="0" w:color="auto"/>
              <w:right w:val="single" w:sz="4" w:space="0" w:color="auto"/>
            </w:tcBorders>
            <w:shd w:val="clear" w:color="auto" w:fill="C6EFCE"/>
            <w:noWrap/>
            <w:hideMark/>
          </w:tcPr>
          <w:p w14:paraId="793504C4"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additional calls for applications in line with the eligibility/selection criteria in milestone 3</w:t>
            </w:r>
            <w:r w:rsidRPr="00577DC1" w:rsidDel="6B84FED9">
              <w:rPr>
                <w:rFonts w:ascii="Times New Roman" w:eastAsia="Times New Roman" w:hAnsi="Times New Roman"/>
                <w:noProof/>
                <w:sz w:val="20"/>
                <w:szCs w:val="20"/>
                <w:lang w:eastAsia="en-GB"/>
              </w:rPr>
              <w:t>.</w:t>
            </w:r>
          </w:p>
        </w:tc>
      </w:tr>
      <w:tr w:rsidR="00A7081A" w:rsidRPr="00577DC1" w14:paraId="7CC5BC9D" w14:textId="77777777" w:rsidTr="003E1CE8">
        <w:trPr>
          <w:trHeight w:val="309"/>
        </w:trPr>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0D6017D8"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5</w:t>
            </w:r>
          </w:p>
        </w:tc>
        <w:tc>
          <w:tcPr>
            <w:tcW w:w="1811" w:type="dxa"/>
            <w:tcBorders>
              <w:top w:val="single" w:sz="4" w:space="0" w:color="auto"/>
              <w:left w:val="nil"/>
              <w:bottom w:val="single" w:sz="4" w:space="0" w:color="auto"/>
              <w:right w:val="single" w:sz="4" w:space="0" w:color="auto"/>
            </w:tcBorders>
            <w:shd w:val="clear" w:color="auto" w:fill="C6EFCE"/>
            <w:noWrap/>
            <w:hideMark/>
          </w:tcPr>
          <w:p w14:paraId="3A7F694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P1C1I1 - Transformation of the energy system – Energy infrastructure investments</w:t>
            </w:r>
          </w:p>
        </w:tc>
        <w:tc>
          <w:tcPr>
            <w:tcW w:w="1024" w:type="dxa"/>
            <w:tcBorders>
              <w:top w:val="single" w:sz="4" w:space="0" w:color="auto"/>
              <w:left w:val="nil"/>
              <w:bottom w:val="single" w:sz="4" w:space="0" w:color="auto"/>
              <w:right w:val="single" w:sz="4" w:space="0" w:color="auto"/>
            </w:tcBorders>
            <w:shd w:val="clear" w:color="auto" w:fill="C6EFCE"/>
            <w:noWrap/>
            <w:hideMark/>
          </w:tcPr>
          <w:p w14:paraId="44F68EED"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Target</w:t>
            </w:r>
          </w:p>
        </w:tc>
        <w:tc>
          <w:tcPr>
            <w:tcW w:w="1418" w:type="dxa"/>
            <w:tcBorders>
              <w:top w:val="single" w:sz="4" w:space="0" w:color="auto"/>
              <w:left w:val="nil"/>
              <w:bottom w:val="single" w:sz="4" w:space="0" w:color="auto"/>
              <w:right w:val="single" w:sz="4" w:space="0" w:color="auto"/>
            </w:tcBorders>
            <w:shd w:val="clear" w:color="auto" w:fill="C6EFCE"/>
            <w:noWrap/>
            <w:hideMark/>
          </w:tcPr>
          <w:p w14:paraId="41D5F48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Project completion notices or project reports submitted</w:t>
            </w:r>
          </w:p>
        </w:tc>
        <w:tc>
          <w:tcPr>
            <w:tcW w:w="1417" w:type="dxa"/>
            <w:tcBorders>
              <w:top w:val="single" w:sz="4" w:space="0" w:color="auto"/>
              <w:left w:val="nil"/>
              <w:bottom w:val="single" w:sz="4" w:space="0" w:color="auto"/>
              <w:right w:val="single" w:sz="4" w:space="0" w:color="auto"/>
            </w:tcBorders>
            <w:shd w:val="clear" w:color="auto" w:fill="C6EFCE"/>
            <w:noWrap/>
            <w:hideMark/>
          </w:tcPr>
          <w:p w14:paraId="48130ED3" w14:textId="77777777" w:rsidR="00935FC8" w:rsidRPr="00577DC1" w:rsidRDefault="00935FC8" w:rsidP="00A7081A">
            <w:pPr>
              <w:spacing w:after="0" w:line="240" w:lineRule="auto"/>
              <w:rPr>
                <w:rFonts w:ascii="Times New Roman" w:hAnsi="Times New Roman"/>
                <w:noProof/>
                <w:sz w:val="20"/>
                <w:szCs w:val="20"/>
                <w:lang w:eastAsia="en-GB"/>
              </w:rPr>
            </w:pPr>
          </w:p>
        </w:tc>
        <w:tc>
          <w:tcPr>
            <w:tcW w:w="884" w:type="dxa"/>
            <w:tcBorders>
              <w:top w:val="single" w:sz="4" w:space="0" w:color="auto"/>
              <w:left w:val="nil"/>
              <w:bottom w:val="single" w:sz="4" w:space="0" w:color="auto"/>
              <w:right w:val="single" w:sz="4" w:space="0" w:color="auto"/>
            </w:tcBorders>
            <w:shd w:val="clear" w:color="auto" w:fill="C6EFCE"/>
            <w:noWrap/>
            <w:hideMark/>
          </w:tcPr>
          <w:p w14:paraId="1E2C9370"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Number</w:t>
            </w:r>
          </w:p>
        </w:tc>
        <w:tc>
          <w:tcPr>
            <w:tcW w:w="816" w:type="dxa"/>
            <w:tcBorders>
              <w:top w:val="single" w:sz="4" w:space="0" w:color="auto"/>
              <w:left w:val="nil"/>
              <w:bottom w:val="single" w:sz="4" w:space="0" w:color="auto"/>
              <w:right w:val="single" w:sz="4" w:space="0" w:color="auto"/>
            </w:tcBorders>
            <w:shd w:val="clear" w:color="auto" w:fill="C6EFCE"/>
            <w:noWrap/>
            <w:hideMark/>
          </w:tcPr>
          <w:p w14:paraId="2F2100E9" w14:textId="77777777" w:rsidR="00935FC8" w:rsidRPr="00577DC1" w:rsidRDefault="00935FC8" w:rsidP="00A7081A">
            <w:pPr>
              <w:spacing w:after="0" w:line="240" w:lineRule="auto"/>
              <w:rPr>
                <w:rFonts w:ascii="Times New Roman" w:eastAsia="Times New Roman" w:hAnsi="Times New Roman"/>
                <w:noProof/>
                <w:sz w:val="20"/>
                <w:szCs w:val="20"/>
              </w:rPr>
            </w:pPr>
            <w:r w:rsidRPr="00577DC1">
              <w:rPr>
                <w:rFonts w:ascii="Times New Roman" w:hAnsi="Times New Roman"/>
                <w:noProof/>
                <w:sz w:val="20"/>
                <w:szCs w:val="20"/>
              </w:rPr>
              <w:t>0</w:t>
            </w:r>
          </w:p>
        </w:tc>
        <w:tc>
          <w:tcPr>
            <w:tcW w:w="559" w:type="dxa"/>
            <w:tcBorders>
              <w:top w:val="single" w:sz="4" w:space="0" w:color="auto"/>
              <w:left w:val="nil"/>
              <w:bottom w:val="single" w:sz="4" w:space="0" w:color="auto"/>
              <w:right w:val="single" w:sz="4" w:space="0" w:color="auto"/>
            </w:tcBorders>
            <w:shd w:val="clear" w:color="auto" w:fill="C6EFCE"/>
            <w:noWrap/>
            <w:hideMark/>
          </w:tcPr>
          <w:p w14:paraId="202CC097" w14:textId="77777777" w:rsidR="00935FC8" w:rsidRPr="00577DC1" w:rsidRDefault="00935FC8" w:rsidP="00A7081A">
            <w:pPr>
              <w:spacing w:after="0" w:line="240" w:lineRule="auto"/>
              <w:rPr>
                <w:rFonts w:ascii="Times New Roman" w:eastAsia="Times New Roman" w:hAnsi="Times New Roman"/>
                <w:noProof/>
                <w:sz w:val="20"/>
                <w:szCs w:val="20"/>
              </w:rPr>
            </w:pPr>
            <w:r w:rsidRPr="00577DC1">
              <w:rPr>
                <w:rFonts w:ascii="Times New Roman" w:hAnsi="Times New Roman"/>
                <w:noProof/>
                <w:sz w:val="20"/>
                <w:szCs w:val="20"/>
              </w:rPr>
              <w:t>4</w:t>
            </w:r>
          </w:p>
        </w:tc>
        <w:tc>
          <w:tcPr>
            <w:tcW w:w="860" w:type="dxa"/>
            <w:tcBorders>
              <w:top w:val="single" w:sz="4" w:space="0" w:color="auto"/>
              <w:left w:val="nil"/>
              <w:bottom w:val="single" w:sz="4" w:space="0" w:color="auto"/>
              <w:right w:val="single" w:sz="4" w:space="0" w:color="auto"/>
            </w:tcBorders>
            <w:shd w:val="clear" w:color="auto" w:fill="C6EFCE"/>
            <w:noWrap/>
            <w:hideMark/>
          </w:tcPr>
          <w:p w14:paraId="6FE52171"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723" w:type="dxa"/>
            <w:tcBorders>
              <w:top w:val="single" w:sz="4" w:space="0" w:color="auto"/>
              <w:left w:val="nil"/>
              <w:bottom w:val="single" w:sz="4" w:space="0" w:color="auto"/>
              <w:right w:val="single" w:sz="4" w:space="0" w:color="auto"/>
            </w:tcBorders>
            <w:shd w:val="clear" w:color="auto" w:fill="C6EFCE"/>
            <w:noWrap/>
            <w:hideMark/>
          </w:tcPr>
          <w:p w14:paraId="4440DBE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2026</w:t>
            </w:r>
          </w:p>
        </w:tc>
        <w:tc>
          <w:tcPr>
            <w:tcW w:w="4838" w:type="dxa"/>
            <w:tcBorders>
              <w:top w:val="single" w:sz="4" w:space="0" w:color="auto"/>
              <w:left w:val="nil"/>
              <w:bottom w:val="single" w:sz="4" w:space="0" w:color="auto"/>
              <w:right w:val="single" w:sz="4" w:space="0" w:color="auto"/>
            </w:tcBorders>
            <w:shd w:val="clear" w:color="auto" w:fill="C6EFCE"/>
            <w:noWrap/>
            <w:hideMark/>
          </w:tcPr>
          <w:p w14:paraId="0741A78F" w14:textId="0605F92A"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At least four project completion notices or project reports shall be submitted by recipient entities. These shall correspond to an increase in new renewable energy capacity and/or grid connection capacity of at least 137</w:t>
            </w:r>
            <w:r w:rsidR="002965B8">
              <w:rPr>
                <w:rFonts w:ascii="Times New Roman" w:hAnsi="Times New Roman"/>
                <w:noProof/>
                <w:sz w:val="20"/>
                <w:szCs w:val="20"/>
              </w:rPr>
              <w:t> </w:t>
            </w:r>
            <w:r w:rsidRPr="00577DC1">
              <w:rPr>
                <w:rFonts w:ascii="Times New Roman" w:hAnsi="Times New Roman"/>
                <w:noProof/>
                <w:sz w:val="20"/>
                <w:szCs w:val="20"/>
              </w:rPr>
              <w:t xml:space="preserve"> MW.</w:t>
            </w:r>
          </w:p>
        </w:tc>
      </w:tr>
      <w:tr w:rsidR="00A7081A" w:rsidRPr="00577DC1" w14:paraId="6454BF9B" w14:textId="77777777" w:rsidTr="003E1CE8">
        <w:trPr>
          <w:trHeight w:val="309"/>
        </w:trPr>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8E1BE8F"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6</w:t>
            </w:r>
          </w:p>
        </w:tc>
        <w:tc>
          <w:tcPr>
            <w:tcW w:w="1811" w:type="dxa"/>
            <w:tcBorders>
              <w:top w:val="single" w:sz="4" w:space="0" w:color="auto"/>
              <w:left w:val="nil"/>
              <w:bottom w:val="single" w:sz="4" w:space="0" w:color="auto"/>
              <w:right w:val="single" w:sz="4" w:space="0" w:color="auto"/>
            </w:tcBorders>
            <w:shd w:val="clear" w:color="auto" w:fill="C6EFCE"/>
            <w:noWrap/>
          </w:tcPr>
          <w:p w14:paraId="1758409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P1C1I2 - Transformation of the energy system – Investments in new energy technologies</w:t>
            </w:r>
          </w:p>
        </w:tc>
        <w:tc>
          <w:tcPr>
            <w:tcW w:w="1024" w:type="dxa"/>
            <w:tcBorders>
              <w:top w:val="single" w:sz="4" w:space="0" w:color="auto"/>
              <w:left w:val="nil"/>
              <w:bottom w:val="single" w:sz="4" w:space="0" w:color="auto"/>
              <w:right w:val="single" w:sz="4" w:space="0" w:color="auto"/>
            </w:tcBorders>
            <w:shd w:val="clear" w:color="auto" w:fill="C6EFCE"/>
            <w:noWrap/>
          </w:tcPr>
          <w:p w14:paraId="2FB326D1"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418" w:type="dxa"/>
            <w:tcBorders>
              <w:top w:val="single" w:sz="4" w:space="0" w:color="auto"/>
              <w:left w:val="nil"/>
              <w:bottom w:val="single" w:sz="4" w:space="0" w:color="auto"/>
              <w:right w:val="single" w:sz="4" w:space="0" w:color="auto"/>
            </w:tcBorders>
            <w:shd w:val="clear" w:color="auto" w:fill="C6EFCE"/>
            <w:noWrap/>
          </w:tcPr>
          <w:p w14:paraId="06E4F5B9" w14:textId="77777777" w:rsidR="00935FC8" w:rsidRPr="00577DC1" w:rsidRDefault="00935FC8" w:rsidP="00A7081A">
            <w:pPr>
              <w:spacing w:after="0" w:line="240" w:lineRule="auto"/>
              <w:rPr>
                <w:rFonts w:ascii="Times New Roman" w:hAnsi="Times New Roman"/>
                <w:noProof/>
                <w:sz w:val="20"/>
                <w:szCs w:val="20"/>
                <w:lang w:eastAsia="en-GB"/>
              </w:rPr>
            </w:pPr>
            <w:r w:rsidRPr="00577DC1">
              <w:rPr>
                <w:rFonts w:ascii="Times New Roman" w:hAnsi="Times New Roman"/>
                <w:noProof/>
                <w:sz w:val="20"/>
                <w:szCs w:val="20"/>
              </w:rPr>
              <w:t>Publication of the first call for applications for investments in new energy technologies</w:t>
            </w:r>
          </w:p>
        </w:tc>
        <w:tc>
          <w:tcPr>
            <w:tcW w:w="1417" w:type="dxa"/>
            <w:tcBorders>
              <w:top w:val="single" w:sz="4" w:space="0" w:color="auto"/>
              <w:left w:val="nil"/>
              <w:bottom w:val="single" w:sz="4" w:space="0" w:color="auto"/>
              <w:right w:val="single" w:sz="4" w:space="0" w:color="auto"/>
            </w:tcBorders>
            <w:shd w:val="clear" w:color="auto" w:fill="C6EFCE"/>
            <w:noWrap/>
          </w:tcPr>
          <w:p w14:paraId="18B36CD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xml:space="preserve">Publication of the first call for applications on the Ministry of Economic Affairs’ website </w:t>
            </w:r>
          </w:p>
        </w:tc>
        <w:tc>
          <w:tcPr>
            <w:tcW w:w="884" w:type="dxa"/>
            <w:tcBorders>
              <w:top w:val="single" w:sz="4" w:space="0" w:color="auto"/>
              <w:left w:val="nil"/>
              <w:bottom w:val="single" w:sz="4" w:space="0" w:color="auto"/>
              <w:right w:val="single" w:sz="4" w:space="0" w:color="auto"/>
            </w:tcBorders>
            <w:shd w:val="clear" w:color="auto" w:fill="C6EFCE"/>
            <w:noWrap/>
          </w:tcPr>
          <w:p w14:paraId="366405A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16" w:type="dxa"/>
            <w:tcBorders>
              <w:top w:val="single" w:sz="4" w:space="0" w:color="auto"/>
              <w:left w:val="nil"/>
              <w:bottom w:val="single" w:sz="4" w:space="0" w:color="auto"/>
              <w:right w:val="single" w:sz="4" w:space="0" w:color="auto"/>
            </w:tcBorders>
            <w:shd w:val="clear" w:color="auto" w:fill="C6EFCE"/>
            <w:noWrap/>
          </w:tcPr>
          <w:p w14:paraId="363A517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559" w:type="dxa"/>
            <w:tcBorders>
              <w:top w:val="single" w:sz="4" w:space="0" w:color="auto"/>
              <w:left w:val="nil"/>
              <w:bottom w:val="single" w:sz="4" w:space="0" w:color="auto"/>
              <w:right w:val="single" w:sz="4" w:space="0" w:color="auto"/>
            </w:tcBorders>
            <w:shd w:val="clear" w:color="auto" w:fill="C6EFCE"/>
            <w:noWrap/>
          </w:tcPr>
          <w:p w14:paraId="7654A5C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60" w:type="dxa"/>
            <w:tcBorders>
              <w:top w:val="single" w:sz="4" w:space="0" w:color="auto"/>
              <w:left w:val="nil"/>
              <w:bottom w:val="single" w:sz="4" w:space="0" w:color="auto"/>
              <w:right w:val="single" w:sz="4" w:space="0" w:color="auto"/>
            </w:tcBorders>
            <w:shd w:val="clear" w:color="auto" w:fill="C6EFCE"/>
            <w:noWrap/>
          </w:tcPr>
          <w:p w14:paraId="28690283"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Q4</w:t>
            </w:r>
          </w:p>
        </w:tc>
        <w:tc>
          <w:tcPr>
            <w:tcW w:w="723" w:type="dxa"/>
            <w:tcBorders>
              <w:top w:val="single" w:sz="4" w:space="0" w:color="auto"/>
              <w:left w:val="nil"/>
              <w:bottom w:val="single" w:sz="4" w:space="0" w:color="auto"/>
              <w:right w:val="single" w:sz="4" w:space="0" w:color="auto"/>
            </w:tcBorders>
            <w:shd w:val="clear" w:color="auto" w:fill="C6EFCE"/>
            <w:noWrap/>
          </w:tcPr>
          <w:p w14:paraId="5F92240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2021</w:t>
            </w:r>
          </w:p>
        </w:tc>
        <w:tc>
          <w:tcPr>
            <w:tcW w:w="4838" w:type="dxa"/>
            <w:tcBorders>
              <w:top w:val="single" w:sz="4" w:space="0" w:color="auto"/>
              <w:left w:val="nil"/>
              <w:bottom w:val="single" w:sz="4" w:space="0" w:color="auto"/>
              <w:right w:val="single" w:sz="4" w:space="0" w:color="auto"/>
            </w:tcBorders>
            <w:shd w:val="clear" w:color="auto" w:fill="C6EFCE"/>
            <w:noWrap/>
          </w:tcPr>
          <w:p w14:paraId="047DACA4" w14:textId="2E348651"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 xml:space="preserve">The funding guidelines </w:t>
            </w:r>
            <w:r w:rsidRPr="00577DC1">
              <w:rPr>
                <w:rFonts w:ascii="Times New Roman" w:hAnsi="Times New Roman"/>
                <w:i/>
                <w:noProof/>
                <w:sz w:val="20"/>
                <w:szCs w:val="20"/>
              </w:rPr>
              <w:t>(Energy Aid Regulation)</w:t>
            </w:r>
            <w:r w:rsidRPr="00577DC1">
              <w:rPr>
                <w:rFonts w:ascii="Times New Roman" w:hAnsi="Times New Roman"/>
                <w:noProof/>
                <w:sz w:val="20"/>
                <w:szCs w:val="20"/>
              </w:rPr>
              <w:t xml:space="preserve"> have entered into force, enabling the publication of the first call for proposals for investments in new energy technologies,</w:t>
            </w:r>
            <w:r w:rsidRPr="00577DC1">
              <w:rPr>
                <w:rFonts w:ascii="Times New Roman" w:eastAsia="Times New Roman" w:hAnsi="Times New Roman"/>
                <w:noProof/>
                <w:sz w:val="20"/>
                <w:szCs w:val="20"/>
                <w:lang w:eastAsia="en-GB"/>
              </w:rPr>
              <w:t xml:space="preserve">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A7081A" w:rsidRPr="00577DC1" w14:paraId="71E6F0F5" w14:textId="77777777" w:rsidTr="003E1CE8">
        <w:trPr>
          <w:trHeight w:val="309"/>
        </w:trPr>
        <w:tc>
          <w:tcPr>
            <w:tcW w:w="851" w:type="dxa"/>
            <w:tcBorders>
              <w:top w:val="nil"/>
              <w:left w:val="single" w:sz="4" w:space="0" w:color="auto"/>
              <w:bottom w:val="single" w:sz="4" w:space="0" w:color="auto"/>
              <w:right w:val="single" w:sz="4" w:space="0" w:color="auto"/>
            </w:tcBorders>
            <w:shd w:val="clear" w:color="auto" w:fill="C6EFCE"/>
            <w:noWrap/>
          </w:tcPr>
          <w:p w14:paraId="224787B5"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7</w:t>
            </w:r>
          </w:p>
        </w:tc>
        <w:tc>
          <w:tcPr>
            <w:tcW w:w="1811" w:type="dxa"/>
            <w:tcBorders>
              <w:top w:val="nil"/>
              <w:left w:val="nil"/>
              <w:bottom w:val="single" w:sz="4" w:space="0" w:color="auto"/>
              <w:right w:val="single" w:sz="4" w:space="0" w:color="auto"/>
            </w:tcBorders>
            <w:shd w:val="clear" w:color="auto" w:fill="C6EFCE"/>
            <w:noWrap/>
          </w:tcPr>
          <w:p w14:paraId="2D2E01E6"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P1C1I2 - Transformation of the energy system – Investments in new energy technologies</w:t>
            </w:r>
          </w:p>
        </w:tc>
        <w:tc>
          <w:tcPr>
            <w:tcW w:w="1024" w:type="dxa"/>
            <w:tcBorders>
              <w:top w:val="nil"/>
              <w:left w:val="nil"/>
              <w:bottom w:val="single" w:sz="4" w:space="0" w:color="auto"/>
              <w:right w:val="single" w:sz="4" w:space="0" w:color="auto"/>
            </w:tcBorders>
            <w:shd w:val="clear" w:color="auto" w:fill="C6EFCE"/>
            <w:noWrap/>
          </w:tcPr>
          <w:p w14:paraId="590B918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418" w:type="dxa"/>
            <w:tcBorders>
              <w:top w:val="nil"/>
              <w:left w:val="nil"/>
              <w:bottom w:val="single" w:sz="4" w:space="0" w:color="auto"/>
              <w:right w:val="single" w:sz="4" w:space="0" w:color="auto"/>
            </w:tcBorders>
            <w:shd w:val="clear" w:color="auto" w:fill="C6EFCE"/>
            <w:noWrap/>
          </w:tcPr>
          <w:p w14:paraId="2BDB7C28" w14:textId="77777777" w:rsidR="00935FC8" w:rsidRPr="00577DC1" w:rsidRDefault="00935FC8" w:rsidP="00A7081A">
            <w:pPr>
              <w:spacing w:after="0" w:line="240" w:lineRule="auto"/>
              <w:rPr>
                <w:rFonts w:ascii="Times New Roman" w:hAnsi="Times New Roman"/>
                <w:noProof/>
                <w:sz w:val="20"/>
                <w:szCs w:val="20"/>
                <w:lang w:eastAsia="en-GB"/>
              </w:rPr>
            </w:pPr>
            <w:r w:rsidRPr="00577DC1">
              <w:rPr>
                <w:rFonts w:ascii="Times New Roman" w:hAnsi="Times New Roman"/>
                <w:noProof/>
                <w:sz w:val="20"/>
                <w:szCs w:val="20"/>
              </w:rPr>
              <w:t>Award of all grants for energy technology investments</w:t>
            </w:r>
          </w:p>
        </w:tc>
        <w:tc>
          <w:tcPr>
            <w:tcW w:w="1417" w:type="dxa"/>
            <w:tcBorders>
              <w:top w:val="nil"/>
              <w:left w:val="nil"/>
              <w:bottom w:val="single" w:sz="4" w:space="0" w:color="auto"/>
              <w:right w:val="single" w:sz="4" w:space="0" w:color="auto"/>
            </w:tcBorders>
            <w:shd w:val="clear" w:color="auto" w:fill="C6EFCE"/>
            <w:noWrap/>
          </w:tcPr>
          <w:p w14:paraId="1E36CB46"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xml:space="preserve">Notification of the award of all grants for energy technology investments </w:t>
            </w:r>
          </w:p>
        </w:tc>
        <w:tc>
          <w:tcPr>
            <w:tcW w:w="884" w:type="dxa"/>
            <w:tcBorders>
              <w:top w:val="nil"/>
              <w:left w:val="nil"/>
              <w:bottom w:val="single" w:sz="4" w:space="0" w:color="auto"/>
              <w:right w:val="single" w:sz="4" w:space="0" w:color="auto"/>
            </w:tcBorders>
            <w:shd w:val="clear" w:color="auto" w:fill="C6EFCE"/>
            <w:noWrap/>
          </w:tcPr>
          <w:p w14:paraId="3720ED82"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16" w:type="dxa"/>
            <w:tcBorders>
              <w:top w:val="nil"/>
              <w:left w:val="nil"/>
              <w:bottom w:val="single" w:sz="4" w:space="0" w:color="auto"/>
              <w:right w:val="single" w:sz="4" w:space="0" w:color="auto"/>
            </w:tcBorders>
            <w:shd w:val="clear" w:color="auto" w:fill="C6EFCE"/>
            <w:noWrap/>
          </w:tcPr>
          <w:p w14:paraId="05446D1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559" w:type="dxa"/>
            <w:tcBorders>
              <w:top w:val="nil"/>
              <w:left w:val="nil"/>
              <w:bottom w:val="single" w:sz="4" w:space="0" w:color="auto"/>
              <w:right w:val="single" w:sz="4" w:space="0" w:color="auto"/>
            </w:tcBorders>
            <w:shd w:val="clear" w:color="auto" w:fill="C6EFCE"/>
            <w:noWrap/>
          </w:tcPr>
          <w:p w14:paraId="2D19F58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60" w:type="dxa"/>
            <w:tcBorders>
              <w:top w:val="nil"/>
              <w:left w:val="nil"/>
              <w:bottom w:val="single" w:sz="4" w:space="0" w:color="auto"/>
              <w:right w:val="single" w:sz="4" w:space="0" w:color="auto"/>
            </w:tcBorders>
            <w:shd w:val="clear" w:color="auto" w:fill="C6EFCE"/>
            <w:noWrap/>
          </w:tcPr>
          <w:p w14:paraId="57ED24A4"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Q4</w:t>
            </w:r>
          </w:p>
        </w:tc>
        <w:tc>
          <w:tcPr>
            <w:tcW w:w="723" w:type="dxa"/>
            <w:tcBorders>
              <w:top w:val="nil"/>
              <w:left w:val="nil"/>
              <w:bottom w:val="single" w:sz="4" w:space="0" w:color="auto"/>
              <w:right w:val="single" w:sz="4" w:space="0" w:color="auto"/>
            </w:tcBorders>
            <w:shd w:val="clear" w:color="auto" w:fill="C6EFCE"/>
            <w:noWrap/>
          </w:tcPr>
          <w:p w14:paraId="3FA3974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2023</w:t>
            </w:r>
          </w:p>
        </w:tc>
        <w:tc>
          <w:tcPr>
            <w:tcW w:w="4838" w:type="dxa"/>
            <w:tcBorders>
              <w:top w:val="nil"/>
              <w:left w:val="nil"/>
              <w:bottom w:val="single" w:sz="4" w:space="0" w:color="auto"/>
              <w:right w:val="single" w:sz="4" w:space="0" w:color="auto"/>
            </w:tcBorders>
            <w:shd w:val="clear" w:color="auto" w:fill="C6EFCE"/>
            <w:noWrap/>
          </w:tcPr>
          <w:p w14:paraId="01F011C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xml:space="preserve">The selection of all projects related to new energy technologies shall be carried out in accordance with the criteria set out in the respective calls for proposals. All calls shall be based on the eligibility/selection criteria indicated </w:t>
            </w:r>
            <w:r w:rsidRPr="00577DC1">
              <w:rPr>
                <w:rFonts w:ascii="Times New Roman" w:eastAsia="Times New Roman" w:hAnsi="Times New Roman"/>
                <w:noProof/>
                <w:sz w:val="20"/>
                <w:szCs w:val="20"/>
                <w:lang w:eastAsia="en-GB"/>
              </w:rPr>
              <w:t xml:space="preserve">in milestone 6. </w:t>
            </w:r>
            <w:r w:rsidRPr="00577DC1">
              <w:rPr>
                <w:rFonts w:ascii="Times New Roman" w:hAnsi="Times New Roman"/>
                <w:noProof/>
                <w:sz w:val="20"/>
                <w:szCs w:val="20"/>
              </w:rPr>
              <w:t>All funding award decisions shall be awarded to the project beneficiaries/applicants</w:t>
            </w:r>
            <w:r w:rsidRPr="00577DC1">
              <w:rPr>
                <w:rFonts w:ascii="Times New Roman" w:eastAsia="Times New Roman" w:hAnsi="Times New Roman"/>
                <w:noProof/>
                <w:sz w:val="20"/>
                <w:szCs w:val="20"/>
                <w:lang w:eastAsia="en-GB"/>
              </w:rPr>
              <w:t xml:space="preserve"> selected under the competitive calls for proposals, enabling the start of the implementation of the selected projects. </w:t>
            </w:r>
          </w:p>
        </w:tc>
      </w:tr>
      <w:tr w:rsidR="00A7081A" w:rsidRPr="00577DC1" w14:paraId="7B7E4CC5" w14:textId="77777777" w:rsidTr="003E1CE8">
        <w:trPr>
          <w:trHeight w:val="309"/>
        </w:trPr>
        <w:tc>
          <w:tcPr>
            <w:tcW w:w="851" w:type="dxa"/>
            <w:tcBorders>
              <w:top w:val="nil"/>
              <w:left w:val="single" w:sz="4" w:space="0" w:color="auto"/>
              <w:bottom w:val="single" w:sz="4" w:space="0" w:color="auto"/>
              <w:right w:val="single" w:sz="4" w:space="0" w:color="auto"/>
            </w:tcBorders>
            <w:shd w:val="clear" w:color="auto" w:fill="C6EFCE"/>
            <w:noWrap/>
          </w:tcPr>
          <w:p w14:paraId="43B6D5E6"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8</w:t>
            </w:r>
          </w:p>
        </w:tc>
        <w:tc>
          <w:tcPr>
            <w:tcW w:w="1811" w:type="dxa"/>
            <w:tcBorders>
              <w:top w:val="nil"/>
              <w:left w:val="nil"/>
              <w:bottom w:val="single" w:sz="4" w:space="0" w:color="auto"/>
              <w:right w:val="single" w:sz="4" w:space="0" w:color="auto"/>
            </w:tcBorders>
            <w:shd w:val="clear" w:color="auto" w:fill="C6EFCE"/>
            <w:noWrap/>
          </w:tcPr>
          <w:p w14:paraId="5838C2E0"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P1C1I2 - Transformation of the energy system – Investments in new energy technologies</w:t>
            </w:r>
          </w:p>
        </w:tc>
        <w:tc>
          <w:tcPr>
            <w:tcW w:w="1024" w:type="dxa"/>
            <w:tcBorders>
              <w:top w:val="nil"/>
              <w:left w:val="nil"/>
              <w:bottom w:val="single" w:sz="4" w:space="0" w:color="auto"/>
              <w:right w:val="single" w:sz="4" w:space="0" w:color="auto"/>
            </w:tcBorders>
            <w:shd w:val="clear" w:color="auto" w:fill="C6EFCE"/>
            <w:noWrap/>
          </w:tcPr>
          <w:p w14:paraId="149901EA" w14:textId="53A10628"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Target</w:t>
            </w:r>
          </w:p>
        </w:tc>
        <w:tc>
          <w:tcPr>
            <w:tcW w:w="1418" w:type="dxa"/>
            <w:tcBorders>
              <w:top w:val="nil"/>
              <w:left w:val="nil"/>
              <w:bottom w:val="single" w:sz="4" w:space="0" w:color="auto"/>
              <w:right w:val="single" w:sz="4" w:space="0" w:color="auto"/>
            </w:tcBorders>
            <w:shd w:val="clear" w:color="auto" w:fill="C6EFCE"/>
            <w:noWrap/>
          </w:tcPr>
          <w:p w14:paraId="4CEB2F1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Project completion notices or project reports submitted</w:t>
            </w:r>
          </w:p>
        </w:tc>
        <w:tc>
          <w:tcPr>
            <w:tcW w:w="1417" w:type="dxa"/>
            <w:tcBorders>
              <w:top w:val="nil"/>
              <w:left w:val="nil"/>
              <w:bottom w:val="single" w:sz="4" w:space="0" w:color="auto"/>
              <w:right w:val="single" w:sz="4" w:space="0" w:color="auto"/>
            </w:tcBorders>
            <w:shd w:val="clear" w:color="auto" w:fill="C6EFCE"/>
            <w:noWrap/>
          </w:tcPr>
          <w:p w14:paraId="757B8C2E" w14:textId="77777777" w:rsidR="00935FC8" w:rsidRPr="00577DC1" w:rsidRDefault="00935FC8" w:rsidP="00A7081A">
            <w:pPr>
              <w:spacing w:after="0" w:line="240" w:lineRule="auto"/>
              <w:rPr>
                <w:rFonts w:ascii="Times New Roman" w:eastAsia="Times New Roman" w:hAnsi="Times New Roman"/>
                <w:noProof/>
                <w:sz w:val="20"/>
                <w:szCs w:val="20"/>
                <w:lang w:eastAsia="en-GB"/>
              </w:rPr>
            </w:pPr>
          </w:p>
        </w:tc>
        <w:tc>
          <w:tcPr>
            <w:tcW w:w="884" w:type="dxa"/>
            <w:tcBorders>
              <w:top w:val="nil"/>
              <w:left w:val="nil"/>
              <w:bottom w:val="single" w:sz="4" w:space="0" w:color="auto"/>
              <w:right w:val="single" w:sz="4" w:space="0" w:color="auto"/>
            </w:tcBorders>
            <w:shd w:val="clear" w:color="auto" w:fill="C6EFCE"/>
            <w:noWrap/>
          </w:tcPr>
          <w:p w14:paraId="1FBDAB56"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Number</w:t>
            </w:r>
          </w:p>
        </w:tc>
        <w:tc>
          <w:tcPr>
            <w:tcW w:w="816" w:type="dxa"/>
            <w:tcBorders>
              <w:top w:val="nil"/>
              <w:left w:val="nil"/>
              <w:bottom w:val="single" w:sz="4" w:space="0" w:color="auto"/>
              <w:right w:val="single" w:sz="4" w:space="0" w:color="auto"/>
            </w:tcBorders>
            <w:shd w:val="clear" w:color="auto" w:fill="C6EFCE"/>
            <w:noWrap/>
          </w:tcPr>
          <w:p w14:paraId="4A62C800" w14:textId="77777777" w:rsidR="00935FC8" w:rsidRPr="00577DC1" w:rsidRDefault="00935FC8" w:rsidP="00A7081A">
            <w:pPr>
              <w:spacing w:after="0" w:line="240" w:lineRule="auto"/>
              <w:rPr>
                <w:rFonts w:ascii="Times New Roman" w:eastAsia="Times New Roman" w:hAnsi="Times New Roman"/>
                <w:noProof/>
                <w:sz w:val="20"/>
                <w:szCs w:val="20"/>
              </w:rPr>
            </w:pPr>
            <w:r w:rsidRPr="00577DC1">
              <w:rPr>
                <w:rFonts w:ascii="Times New Roman" w:hAnsi="Times New Roman"/>
                <w:noProof/>
                <w:sz w:val="20"/>
                <w:szCs w:val="20"/>
              </w:rPr>
              <w:t>0</w:t>
            </w:r>
          </w:p>
        </w:tc>
        <w:tc>
          <w:tcPr>
            <w:tcW w:w="559" w:type="dxa"/>
            <w:tcBorders>
              <w:top w:val="nil"/>
              <w:left w:val="nil"/>
              <w:bottom w:val="single" w:sz="4" w:space="0" w:color="auto"/>
              <w:right w:val="single" w:sz="4" w:space="0" w:color="auto"/>
            </w:tcBorders>
            <w:shd w:val="clear" w:color="auto" w:fill="C6EFCE"/>
            <w:noWrap/>
          </w:tcPr>
          <w:p w14:paraId="4A9F85F6" w14:textId="77777777" w:rsidR="00935FC8" w:rsidRPr="00577DC1" w:rsidRDefault="00935FC8" w:rsidP="00A7081A">
            <w:pPr>
              <w:spacing w:after="0" w:line="240" w:lineRule="auto"/>
              <w:rPr>
                <w:rFonts w:ascii="Times New Roman" w:eastAsia="Times New Roman" w:hAnsi="Times New Roman"/>
                <w:noProof/>
                <w:sz w:val="20"/>
                <w:szCs w:val="20"/>
              </w:rPr>
            </w:pPr>
            <w:r w:rsidRPr="00577DC1">
              <w:rPr>
                <w:rFonts w:ascii="Times New Roman" w:hAnsi="Times New Roman"/>
                <w:noProof/>
                <w:sz w:val="20"/>
                <w:szCs w:val="20"/>
              </w:rPr>
              <w:t>4</w:t>
            </w:r>
          </w:p>
        </w:tc>
        <w:tc>
          <w:tcPr>
            <w:tcW w:w="860" w:type="dxa"/>
            <w:tcBorders>
              <w:top w:val="nil"/>
              <w:left w:val="nil"/>
              <w:bottom w:val="single" w:sz="4" w:space="0" w:color="auto"/>
              <w:right w:val="single" w:sz="4" w:space="0" w:color="auto"/>
            </w:tcBorders>
            <w:shd w:val="clear" w:color="auto" w:fill="C6EFCE"/>
            <w:noWrap/>
          </w:tcPr>
          <w:p w14:paraId="64E2FFAA"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723" w:type="dxa"/>
            <w:tcBorders>
              <w:top w:val="nil"/>
              <w:left w:val="nil"/>
              <w:bottom w:val="single" w:sz="4" w:space="0" w:color="auto"/>
              <w:right w:val="single" w:sz="4" w:space="0" w:color="auto"/>
            </w:tcBorders>
            <w:shd w:val="clear" w:color="auto" w:fill="C6EFCE"/>
            <w:noWrap/>
          </w:tcPr>
          <w:p w14:paraId="7376F9A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2026</w:t>
            </w:r>
          </w:p>
        </w:tc>
        <w:tc>
          <w:tcPr>
            <w:tcW w:w="4838" w:type="dxa"/>
            <w:tcBorders>
              <w:top w:val="nil"/>
              <w:left w:val="nil"/>
              <w:bottom w:val="single" w:sz="4" w:space="0" w:color="auto"/>
              <w:right w:val="single" w:sz="4" w:space="0" w:color="auto"/>
            </w:tcBorders>
            <w:shd w:val="clear" w:color="auto" w:fill="C6EFCE"/>
            <w:noWrap/>
          </w:tcPr>
          <w:p w14:paraId="74B91598" w14:textId="3011A4E6" w:rsidR="00935FC8" w:rsidRPr="00577DC1" w:rsidRDefault="00935FC8" w:rsidP="002965B8">
            <w:pPr>
              <w:spacing w:after="0" w:line="240" w:lineRule="auto"/>
              <w:rPr>
                <w:rFonts w:ascii="Times New Roman" w:hAnsi="Times New Roman"/>
                <w:noProof/>
                <w:sz w:val="20"/>
                <w:szCs w:val="20"/>
                <w:lang w:eastAsia="en-GB"/>
              </w:rPr>
            </w:pPr>
            <w:r w:rsidRPr="00577DC1">
              <w:rPr>
                <w:rFonts w:ascii="Times New Roman" w:hAnsi="Times New Roman"/>
                <w:noProof/>
                <w:sz w:val="20"/>
                <w:szCs w:val="20"/>
              </w:rPr>
              <w:t>At least four project completion notices or project reports shall be submitted by recipient entities. These shall correspond to an increase in new renewable energy capacity</w:t>
            </w:r>
            <w:r w:rsidRPr="00577DC1" w:rsidDel="000621DD">
              <w:rPr>
                <w:rFonts w:ascii="Times New Roman" w:hAnsi="Times New Roman"/>
                <w:noProof/>
                <w:sz w:val="20"/>
                <w:szCs w:val="20"/>
              </w:rPr>
              <w:t>, use or storage capacity</w:t>
            </w:r>
            <w:r w:rsidRPr="00577DC1">
              <w:rPr>
                <w:rFonts w:ascii="Times New Roman" w:hAnsi="Times New Roman"/>
                <w:noProof/>
                <w:sz w:val="20"/>
                <w:szCs w:val="20"/>
              </w:rPr>
              <w:t xml:space="preserve"> of at least 112 MW</w:t>
            </w:r>
            <w:r w:rsidR="000621DD" w:rsidRPr="00577DC1">
              <w:rPr>
                <w:rFonts w:ascii="Times New Roman" w:hAnsi="Times New Roman"/>
                <w:noProof/>
                <w:sz w:val="20"/>
                <w:szCs w:val="20"/>
              </w:rPr>
              <w:t>/MWp</w:t>
            </w:r>
            <w:r w:rsidRPr="00577DC1">
              <w:rPr>
                <w:rFonts w:ascii="Times New Roman" w:hAnsi="Times New Roman"/>
                <w:noProof/>
                <w:sz w:val="20"/>
                <w:szCs w:val="20"/>
              </w:rPr>
              <w:t>.</w:t>
            </w:r>
          </w:p>
        </w:tc>
      </w:tr>
      <w:tr w:rsidR="00A7081A" w:rsidRPr="00577DC1" w14:paraId="209BED7F" w14:textId="77777777" w:rsidTr="003E1CE8">
        <w:trPr>
          <w:trHeight w:val="309"/>
        </w:trPr>
        <w:tc>
          <w:tcPr>
            <w:tcW w:w="851" w:type="dxa"/>
            <w:tcBorders>
              <w:top w:val="nil"/>
              <w:left w:val="single" w:sz="4" w:space="0" w:color="auto"/>
              <w:bottom w:val="single" w:sz="4" w:space="0" w:color="auto"/>
              <w:right w:val="single" w:sz="4" w:space="0" w:color="auto"/>
            </w:tcBorders>
            <w:shd w:val="clear" w:color="auto" w:fill="C6EFCE"/>
            <w:noWrap/>
          </w:tcPr>
          <w:p w14:paraId="375418C7"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9</w:t>
            </w:r>
          </w:p>
        </w:tc>
        <w:tc>
          <w:tcPr>
            <w:tcW w:w="1811" w:type="dxa"/>
            <w:tcBorders>
              <w:top w:val="nil"/>
              <w:left w:val="nil"/>
              <w:bottom w:val="single" w:sz="4" w:space="0" w:color="auto"/>
              <w:right w:val="single" w:sz="4" w:space="0" w:color="auto"/>
            </w:tcBorders>
            <w:shd w:val="clear" w:color="auto" w:fill="C6EFCE"/>
            <w:noWrap/>
          </w:tcPr>
          <w:p w14:paraId="304763D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P1C1I3 - Transformation of the energy system – Investment and reform package in Åland</w:t>
            </w:r>
          </w:p>
        </w:tc>
        <w:tc>
          <w:tcPr>
            <w:tcW w:w="1024" w:type="dxa"/>
            <w:tcBorders>
              <w:top w:val="nil"/>
              <w:left w:val="nil"/>
              <w:bottom w:val="single" w:sz="4" w:space="0" w:color="auto"/>
              <w:right w:val="single" w:sz="4" w:space="0" w:color="auto"/>
            </w:tcBorders>
            <w:shd w:val="clear" w:color="auto" w:fill="C6EFCE"/>
            <w:noWrap/>
          </w:tcPr>
          <w:p w14:paraId="3DCDBE8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418" w:type="dxa"/>
            <w:tcBorders>
              <w:top w:val="nil"/>
              <w:left w:val="nil"/>
              <w:bottom w:val="single" w:sz="4" w:space="0" w:color="auto"/>
              <w:right w:val="single" w:sz="4" w:space="0" w:color="auto"/>
            </w:tcBorders>
            <w:shd w:val="clear" w:color="auto" w:fill="C6EFCE"/>
            <w:noWrap/>
          </w:tcPr>
          <w:p w14:paraId="19139E02"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the first call for applications for investment in renewable energy in Åland</w:t>
            </w:r>
          </w:p>
        </w:tc>
        <w:tc>
          <w:tcPr>
            <w:tcW w:w="1417" w:type="dxa"/>
            <w:tcBorders>
              <w:top w:val="nil"/>
              <w:left w:val="nil"/>
              <w:bottom w:val="single" w:sz="4" w:space="0" w:color="auto"/>
              <w:right w:val="single" w:sz="4" w:space="0" w:color="auto"/>
            </w:tcBorders>
            <w:shd w:val="clear" w:color="auto" w:fill="C6EFCE"/>
            <w:noWrap/>
          </w:tcPr>
          <w:p w14:paraId="20A17F7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the first call for applications on the website of the Government of Åland</w:t>
            </w:r>
          </w:p>
        </w:tc>
        <w:tc>
          <w:tcPr>
            <w:tcW w:w="884" w:type="dxa"/>
            <w:tcBorders>
              <w:top w:val="nil"/>
              <w:left w:val="nil"/>
              <w:bottom w:val="single" w:sz="4" w:space="0" w:color="auto"/>
              <w:right w:val="single" w:sz="4" w:space="0" w:color="auto"/>
            </w:tcBorders>
            <w:shd w:val="clear" w:color="auto" w:fill="C6EFCE"/>
            <w:noWrap/>
          </w:tcPr>
          <w:p w14:paraId="6EA35EFA"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16" w:type="dxa"/>
            <w:tcBorders>
              <w:top w:val="nil"/>
              <w:left w:val="nil"/>
              <w:bottom w:val="single" w:sz="4" w:space="0" w:color="auto"/>
              <w:right w:val="single" w:sz="4" w:space="0" w:color="auto"/>
            </w:tcBorders>
            <w:shd w:val="clear" w:color="auto" w:fill="C6EFCE"/>
            <w:noWrap/>
          </w:tcPr>
          <w:p w14:paraId="0C7F94D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559" w:type="dxa"/>
            <w:tcBorders>
              <w:top w:val="nil"/>
              <w:left w:val="nil"/>
              <w:bottom w:val="single" w:sz="4" w:space="0" w:color="auto"/>
              <w:right w:val="single" w:sz="4" w:space="0" w:color="auto"/>
            </w:tcBorders>
            <w:shd w:val="clear" w:color="auto" w:fill="C6EFCE"/>
            <w:noWrap/>
          </w:tcPr>
          <w:p w14:paraId="157E6F1A"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60" w:type="dxa"/>
            <w:tcBorders>
              <w:top w:val="nil"/>
              <w:left w:val="nil"/>
              <w:bottom w:val="single" w:sz="4" w:space="0" w:color="auto"/>
              <w:right w:val="single" w:sz="4" w:space="0" w:color="auto"/>
            </w:tcBorders>
            <w:shd w:val="clear" w:color="auto" w:fill="C6EFCE"/>
            <w:noWrap/>
          </w:tcPr>
          <w:p w14:paraId="2E78EE3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723" w:type="dxa"/>
            <w:tcBorders>
              <w:top w:val="nil"/>
              <w:left w:val="nil"/>
              <w:bottom w:val="single" w:sz="4" w:space="0" w:color="auto"/>
              <w:right w:val="single" w:sz="4" w:space="0" w:color="auto"/>
            </w:tcBorders>
            <w:shd w:val="clear" w:color="auto" w:fill="C6EFCE"/>
            <w:noWrap/>
          </w:tcPr>
          <w:p w14:paraId="7058AA6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2022</w:t>
            </w:r>
          </w:p>
        </w:tc>
        <w:tc>
          <w:tcPr>
            <w:tcW w:w="4838" w:type="dxa"/>
            <w:tcBorders>
              <w:top w:val="nil"/>
              <w:left w:val="nil"/>
              <w:bottom w:val="single" w:sz="4" w:space="0" w:color="auto"/>
              <w:right w:val="single" w:sz="4" w:space="0" w:color="auto"/>
            </w:tcBorders>
            <w:shd w:val="clear" w:color="auto" w:fill="C6EFCE"/>
            <w:noWrap/>
          </w:tcPr>
          <w:p w14:paraId="148DD7C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eastAsia="Times New Roman" w:hAnsi="Times New Roman"/>
                <w:noProof/>
                <w:sz w:val="20"/>
                <w:szCs w:val="20"/>
                <w:lang w:eastAsia="en-GB"/>
              </w:rPr>
              <w:t xml:space="preserve">The first competitive call for proposals for investment in renewable energy in </w:t>
            </w:r>
            <w:r w:rsidRPr="00577DC1">
              <w:rPr>
                <w:rFonts w:ascii="Times New Roman" w:hAnsi="Times New Roman"/>
                <w:noProof/>
                <w:sz w:val="20"/>
                <w:szCs w:val="20"/>
              </w:rPr>
              <w:t>Åland has been published</w:t>
            </w:r>
            <w:r w:rsidRPr="00577DC1">
              <w:rPr>
                <w:rFonts w:ascii="Times New Roman" w:eastAsia="Times New Roman" w:hAnsi="Times New Roman"/>
                <w:noProof/>
                <w:sz w:val="20"/>
                <w:szCs w:val="20"/>
                <w:lang w:eastAsia="en-GB"/>
              </w:rPr>
              <w:t>,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A7081A" w:rsidRPr="00577DC1" w14:paraId="405D3EB7" w14:textId="77777777" w:rsidTr="003E1CE8">
        <w:trPr>
          <w:trHeight w:val="309"/>
        </w:trPr>
        <w:tc>
          <w:tcPr>
            <w:tcW w:w="851" w:type="dxa"/>
            <w:tcBorders>
              <w:top w:val="nil"/>
              <w:left w:val="single" w:sz="4" w:space="0" w:color="auto"/>
              <w:bottom w:val="single" w:sz="4" w:space="0" w:color="auto"/>
              <w:right w:val="single" w:sz="4" w:space="0" w:color="auto"/>
            </w:tcBorders>
            <w:shd w:val="clear" w:color="auto" w:fill="C6EFCE"/>
            <w:noWrap/>
          </w:tcPr>
          <w:p w14:paraId="18F2F2D0"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10</w:t>
            </w:r>
          </w:p>
        </w:tc>
        <w:tc>
          <w:tcPr>
            <w:tcW w:w="1811" w:type="dxa"/>
            <w:tcBorders>
              <w:top w:val="nil"/>
              <w:left w:val="nil"/>
              <w:bottom w:val="single" w:sz="4" w:space="0" w:color="auto"/>
              <w:right w:val="single" w:sz="4" w:space="0" w:color="auto"/>
            </w:tcBorders>
            <w:shd w:val="clear" w:color="auto" w:fill="C6EFCE"/>
            <w:noWrap/>
          </w:tcPr>
          <w:p w14:paraId="3B59C89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P1C1I3 - Transformation of the energy system – Investment and reform package in Åland</w:t>
            </w:r>
          </w:p>
        </w:tc>
        <w:tc>
          <w:tcPr>
            <w:tcW w:w="1024" w:type="dxa"/>
            <w:tcBorders>
              <w:top w:val="nil"/>
              <w:left w:val="nil"/>
              <w:bottom w:val="single" w:sz="4" w:space="0" w:color="auto"/>
              <w:right w:val="single" w:sz="4" w:space="0" w:color="auto"/>
            </w:tcBorders>
            <w:shd w:val="clear" w:color="auto" w:fill="C6EFCE"/>
            <w:noWrap/>
          </w:tcPr>
          <w:p w14:paraId="7E711714"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418" w:type="dxa"/>
            <w:tcBorders>
              <w:top w:val="nil"/>
              <w:left w:val="nil"/>
              <w:bottom w:val="single" w:sz="4" w:space="0" w:color="auto"/>
              <w:right w:val="single" w:sz="4" w:space="0" w:color="auto"/>
            </w:tcBorders>
            <w:shd w:val="clear" w:color="auto" w:fill="C6EFCE"/>
            <w:noWrap/>
          </w:tcPr>
          <w:p w14:paraId="538F4C61" w14:textId="77777777" w:rsidR="00935FC8" w:rsidRPr="00577DC1" w:rsidRDefault="00935FC8" w:rsidP="00A7081A">
            <w:pPr>
              <w:spacing w:after="0" w:line="240" w:lineRule="auto"/>
              <w:rPr>
                <w:rFonts w:ascii="Times New Roman" w:hAnsi="Times New Roman"/>
                <w:noProof/>
                <w:sz w:val="20"/>
                <w:szCs w:val="20"/>
                <w:lang w:eastAsia="en-GB"/>
              </w:rPr>
            </w:pPr>
            <w:r w:rsidRPr="00577DC1">
              <w:rPr>
                <w:rFonts w:ascii="Times New Roman" w:hAnsi="Times New Roman"/>
                <w:noProof/>
                <w:sz w:val="20"/>
                <w:szCs w:val="20"/>
              </w:rPr>
              <w:t>Project reports submitted</w:t>
            </w:r>
          </w:p>
        </w:tc>
        <w:tc>
          <w:tcPr>
            <w:tcW w:w="1417" w:type="dxa"/>
            <w:tcBorders>
              <w:top w:val="nil"/>
              <w:left w:val="nil"/>
              <w:bottom w:val="single" w:sz="4" w:space="0" w:color="auto"/>
              <w:right w:val="single" w:sz="4" w:space="0" w:color="auto"/>
            </w:tcBorders>
            <w:shd w:val="clear" w:color="auto" w:fill="C6EFCE"/>
            <w:noWrap/>
          </w:tcPr>
          <w:p w14:paraId="3B7217A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Project reports submitted</w:t>
            </w:r>
          </w:p>
        </w:tc>
        <w:tc>
          <w:tcPr>
            <w:tcW w:w="884" w:type="dxa"/>
            <w:tcBorders>
              <w:top w:val="nil"/>
              <w:left w:val="nil"/>
              <w:bottom w:val="single" w:sz="4" w:space="0" w:color="auto"/>
              <w:right w:val="single" w:sz="4" w:space="0" w:color="auto"/>
            </w:tcBorders>
            <w:shd w:val="clear" w:color="auto" w:fill="C6EFCE"/>
            <w:noWrap/>
          </w:tcPr>
          <w:p w14:paraId="2302498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16" w:type="dxa"/>
            <w:tcBorders>
              <w:top w:val="nil"/>
              <w:left w:val="nil"/>
              <w:bottom w:val="single" w:sz="4" w:space="0" w:color="auto"/>
              <w:right w:val="single" w:sz="4" w:space="0" w:color="auto"/>
            </w:tcBorders>
            <w:shd w:val="clear" w:color="auto" w:fill="C6EFCE"/>
            <w:noWrap/>
          </w:tcPr>
          <w:p w14:paraId="29CB43B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559" w:type="dxa"/>
            <w:tcBorders>
              <w:top w:val="nil"/>
              <w:left w:val="nil"/>
              <w:bottom w:val="single" w:sz="4" w:space="0" w:color="auto"/>
              <w:right w:val="single" w:sz="4" w:space="0" w:color="auto"/>
            </w:tcBorders>
            <w:shd w:val="clear" w:color="auto" w:fill="C6EFCE"/>
            <w:noWrap/>
          </w:tcPr>
          <w:p w14:paraId="75F1997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60" w:type="dxa"/>
            <w:tcBorders>
              <w:top w:val="nil"/>
              <w:left w:val="nil"/>
              <w:bottom w:val="single" w:sz="4" w:space="0" w:color="auto"/>
              <w:right w:val="single" w:sz="4" w:space="0" w:color="auto"/>
            </w:tcBorders>
            <w:shd w:val="clear" w:color="auto" w:fill="C6EFCE"/>
            <w:noWrap/>
          </w:tcPr>
          <w:p w14:paraId="509A8B0E"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723" w:type="dxa"/>
            <w:tcBorders>
              <w:top w:val="nil"/>
              <w:left w:val="nil"/>
              <w:bottom w:val="single" w:sz="4" w:space="0" w:color="auto"/>
              <w:right w:val="single" w:sz="4" w:space="0" w:color="auto"/>
            </w:tcBorders>
            <w:shd w:val="clear" w:color="auto" w:fill="C6EFCE"/>
            <w:noWrap/>
          </w:tcPr>
          <w:p w14:paraId="53D583E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2026</w:t>
            </w:r>
          </w:p>
        </w:tc>
        <w:tc>
          <w:tcPr>
            <w:tcW w:w="4838" w:type="dxa"/>
            <w:tcBorders>
              <w:top w:val="nil"/>
              <w:left w:val="nil"/>
              <w:bottom w:val="single" w:sz="4" w:space="0" w:color="auto"/>
              <w:right w:val="single" w:sz="4" w:space="0" w:color="auto"/>
            </w:tcBorders>
            <w:shd w:val="clear" w:color="auto" w:fill="C6EFCE"/>
            <w:noWrap/>
          </w:tcPr>
          <w:p w14:paraId="413243B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eastAsia="Times New Roman" w:hAnsi="Times New Roman"/>
                <w:noProof/>
                <w:sz w:val="20"/>
                <w:szCs w:val="20"/>
                <w:lang w:eastAsia="en-GB"/>
              </w:rPr>
              <w:t>Two project reports shall be submitted by recipient entities of solar power projects. The report(s) commissioned regarding the preparation of the wind power project shall also be submitted.</w:t>
            </w:r>
          </w:p>
        </w:tc>
      </w:tr>
    </w:tbl>
    <w:p w14:paraId="543BCDE4" w14:textId="77777777" w:rsidR="00935FC8" w:rsidRPr="00D32D5C" w:rsidRDefault="00935FC8">
      <w:pPr>
        <w:spacing w:before="120" w:after="120" w:line="240" w:lineRule="auto"/>
        <w:ind w:left="709"/>
        <w:jc w:val="both"/>
        <w:rPr>
          <w:rFonts w:ascii="Times New Roman" w:hAnsi="Times New Roman"/>
          <w:noProof/>
          <w:sz w:val="24"/>
        </w:rPr>
        <w:sectPr w:rsidR="00935FC8" w:rsidRPr="00D32D5C" w:rsidSect="00A7081A">
          <w:headerReference w:type="even" r:id="rId23"/>
          <w:headerReference w:type="default" r:id="rId24"/>
          <w:footerReference w:type="even" r:id="rId25"/>
          <w:footerReference w:type="default" r:id="rId26"/>
          <w:headerReference w:type="first" r:id="rId27"/>
          <w:footerReference w:type="first" r:id="rId28"/>
          <w:pgSz w:w="16839" w:h="11907" w:orient="landscape"/>
          <w:pgMar w:top="1134" w:right="1134" w:bottom="1134" w:left="1134" w:header="567" w:footer="567" w:gutter="0"/>
          <w:cols w:space="720"/>
          <w:docGrid w:linePitch="360"/>
        </w:sectPr>
      </w:pPr>
    </w:p>
    <w:p w14:paraId="155694BF" w14:textId="77777777" w:rsidR="00935FC8" w:rsidRPr="00D32D5C" w:rsidRDefault="00935FC8">
      <w:pPr>
        <w:pStyle w:val="Heading4"/>
        <w:numPr>
          <w:ilvl w:val="0"/>
          <w:numId w:val="0"/>
        </w:numPr>
        <w:rPr>
          <w:b/>
          <w:noProof/>
        </w:rPr>
      </w:pPr>
      <w:r w:rsidRPr="00D32D5C">
        <w:rPr>
          <w:b/>
          <w:noProof/>
        </w:rPr>
        <w:t xml:space="preserve">B. COMPONENT P1C2: INDUSTRIAL REFORMS AND INVESTMENTS IN SUPPORT OF THE GREEN AND DIGITAL TRANSITION </w:t>
      </w:r>
    </w:p>
    <w:p w14:paraId="359532F6" w14:textId="77777777" w:rsidR="00935FC8" w:rsidRPr="00D32D5C" w:rsidRDefault="00935FC8">
      <w:pPr>
        <w:spacing w:before="120" w:after="120" w:line="240" w:lineRule="auto"/>
        <w:jc w:val="both"/>
        <w:rPr>
          <w:rFonts w:ascii="Times New Roman" w:hAnsi="Times New Roman"/>
          <w:iCs/>
          <w:noProof/>
          <w:sz w:val="24"/>
          <w:szCs w:val="24"/>
        </w:rPr>
      </w:pPr>
      <w:r w:rsidRPr="00D32D5C">
        <w:rPr>
          <w:rFonts w:ascii="Times New Roman" w:hAnsi="Times New Roman"/>
          <w:iCs/>
          <w:noProof/>
          <w:sz w:val="24"/>
          <w:szCs w:val="24"/>
        </w:rPr>
        <w:t>Finland has set a target to become the world’s first fossil-free welfare society, reaching carbon neutrality by 2035. Major challenges in reaching this goal include reducing emissions from industry and increasing the recycling rate. New low-emissions technology is often not yet competitive and its development needs to be accelerated. Finland needs to boost the circular economy to increase the sustainable use of resources and reduce pollution.</w:t>
      </w:r>
    </w:p>
    <w:p w14:paraId="37D0DD76" w14:textId="77777777" w:rsidR="00935FC8" w:rsidRPr="00D32D5C" w:rsidRDefault="00935FC8">
      <w:pPr>
        <w:spacing w:before="120" w:after="120" w:line="240" w:lineRule="auto"/>
        <w:jc w:val="both"/>
        <w:rPr>
          <w:rFonts w:ascii="Times New Roman" w:hAnsi="Times New Roman"/>
          <w:iCs/>
          <w:noProof/>
          <w:sz w:val="24"/>
          <w:szCs w:val="24"/>
        </w:rPr>
      </w:pPr>
      <w:r w:rsidRPr="00D32D5C">
        <w:rPr>
          <w:rFonts w:ascii="Times New Roman" w:hAnsi="Times New Roman"/>
          <w:noProof/>
          <w:sz w:val="24"/>
          <w:szCs w:val="24"/>
        </w:rPr>
        <w:t xml:space="preserve">The overall goal of this component of the Finnish recovery and resilience plan is to contribute to achieving the carbon-neutrality objective by supporting investment in technologies to reduce carbon emissions from industry, </w:t>
      </w:r>
      <w:r w:rsidRPr="00D32D5C">
        <w:rPr>
          <w:rFonts w:ascii="Times New Roman" w:hAnsi="Times New Roman"/>
          <w:iCs/>
          <w:noProof/>
          <w:sz w:val="24"/>
          <w:szCs w:val="24"/>
        </w:rPr>
        <w:t xml:space="preserve">creating green jobs, investing in clean technologies and boosting recycling and reuse. </w:t>
      </w:r>
    </w:p>
    <w:p w14:paraId="62CCC664" w14:textId="77777777" w:rsidR="00935FC8" w:rsidRPr="00D32D5C" w:rsidRDefault="00935FC8">
      <w:pPr>
        <w:spacing w:before="120" w:after="120" w:line="240" w:lineRule="auto"/>
        <w:jc w:val="both"/>
        <w:rPr>
          <w:rFonts w:ascii="Times New Roman" w:hAnsi="Times New Roman"/>
          <w:noProof/>
          <w:sz w:val="24"/>
          <w:szCs w:val="24"/>
        </w:rPr>
      </w:pPr>
      <w:r w:rsidRPr="00D32D5C">
        <w:rPr>
          <w:rFonts w:ascii="Times New Roman" w:hAnsi="Times New Roman"/>
          <w:noProof/>
          <w:sz w:val="24"/>
          <w:szCs w:val="24"/>
        </w:rPr>
        <w:t>The component includes investments focusing on the promotion of low-carbon technologies such as the generation of hydrogen, carbon capture and utilisation, replacing fossil fuels by electricity in industrial processes, and the promotion of re-use and recycling of key materials and industrial by-products. Those investments shall be accompanied by reforms of climate and waste legislation, including the necessary amendments to the Climate Act and to the Waste Act to provide a legal basis for the 2035 carbon-neutrality target and recycling objectives.</w:t>
      </w:r>
    </w:p>
    <w:p w14:paraId="64E3D1F4" w14:textId="77777777" w:rsidR="00935FC8" w:rsidRPr="00D32D5C" w:rsidRDefault="00935FC8">
      <w:pPr>
        <w:spacing w:before="120" w:after="120" w:line="240" w:lineRule="auto"/>
        <w:jc w:val="both"/>
        <w:rPr>
          <w:rFonts w:ascii="Times New Roman" w:eastAsia="Times New Roman" w:hAnsi="Times New Roman"/>
          <w:noProof/>
          <w:sz w:val="24"/>
          <w:szCs w:val="24"/>
          <w:lang w:eastAsia="en-GB"/>
        </w:rPr>
      </w:pPr>
      <w:r w:rsidRPr="00D32D5C">
        <w:rPr>
          <w:rFonts w:ascii="Times New Roman" w:eastAsia="Times New Roman" w:hAnsi="Times New Roman"/>
          <w:noProof/>
          <w:sz w:val="24"/>
          <w:szCs w:val="24"/>
          <w:lang w:eastAsia="en-GB"/>
        </w:rPr>
        <w:t>The component contributes to addressing Country Specific Recommendations on focusing investment on the green transition, in particular on clean and efficient production and use of energy (Country Specific Recommendation 3 2020), as well as on promoting investment in low carbon and energy transition (Country Specific Recommendation 3 2019).</w:t>
      </w:r>
    </w:p>
    <w:p w14:paraId="12FA5F80" w14:textId="77777777" w:rsidR="00935FC8" w:rsidRPr="00D32D5C" w:rsidRDefault="00935FC8">
      <w:pPr>
        <w:spacing w:before="120" w:after="120" w:line="240" w:lineRule="auto"/>
        <w:jc w:val="both"/>
        <w:rPr>
          <w:rFonts w:ascii="Times New Roman" w:eastAsia="Times New Roman" w:hAnsi="Times New Roman"/>
          <w:noProof/>
        </w:rPr>
      </w:pPr>
      <w:r w:rsidRPr="00D32D5C">
        <w:rPr>
          <w:rFonts w:ascii="Times New Roman" w:eastAsia="Times New Roman" w:hAnsi="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A2E6D85" w14:textId="77777777" w:rsidR="00935FC8" w:rsidRPr="00D32D5C" w:rsidRDefault="00935FC8">
      <w:pPr>
        <w:spacing w:before="120" w:after="120" w:line="240" w:lineRule="auto"/>
        <w:jc w:val="both"/>
        <w:rPr>
          <w:rFonts w:ascii="Times New Roman" w:hAnsi="Times New Roman"/>
          <w:b/>
          <w:i/>
          <w:noProof/>
          <w:color w:val="4F81BD"/>
          <w:sz w:val="24"/>
        </w:rPr>
      </w:pPr>
      <w:r w:rsidRPr="00D32D5C">
        <w:rPr>
          <w:rFonts w:ascii="Times New Roman" w:hAnsi="Times New Roman"/>
          <w:b/>
          <w:noProof/>
          <w:sz w:val="24"/>
          <w:u w:val="single"/>
        </w:rPr>
        <w:t xml:space="preserve">B.1. </w:t>
      </w:r>
      <w:r w:rsidRPr="00D32D5C">
        <w:rPr>
          <w:rFonts w:ascii="Times New Roman" w:hAnsi="Times New Roman"/>
          <w:b/>
          <w:noProof/>
          <w:sz w:val="24"/>
          <w:u w:val="single"/>
        </w:rPr>
        <w:tab/>
        <w:t>Description of the reforms and investments for non-repayable financial support</w:t>
      </w:r>
    </w:p>
    <w:p w14:paraId="522C4DC0" w14:textId="77777777" w:rsidR="00935FC8" w:rsidRPr="00D0136A"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Reform 1 (P1C2R1): Reform of the Climate Act and low-carbon industrialisation</w:t>
      </w:r>
    </w:p>
    <w:p w14:paraId="08AF8EB4" w14:textId="043642D9" w:rsidR="00935FC8" w:rsidRDefault="72C3DC77" w:rsidP="00A7081A">
      <w:pPr>
        <w:jc w:val="both"/>
        <w:rPr>
          <w:noProof/>
        </w:rPr>
      </w:pPr>
      <w:r w:rsidRPr="5B8841B9">
        <w:rPr>
          <w:rFonts w:ascii="Times New Roman" w:hAnsi="Times New Roman"/>
          <w:noProof/>
          <w:sz w:val="24"/>
          <w:szCs w:val="24"/>
        </w:rPr>
        <w:t xml:space="preserve">The aim of this measure is to determine climate targets for 2030, 2040 and 2050. This measure consists of a reform of existing climate legislation and the </w:t>
      </w:r>
      <w:r w:rsidR="01357058" w:rsidRPr="5B8841B9">
        <w:rPr>
          <w:rFonts w:ascii="Times New Roman" w:hAnsi="Times New Roman"/>
          <w:noProof/>
          <w:sz w:val="24"/>
          <w:szCs w:val="24"/>
        </w:rPr>
        <w:t xml:space="preserve">publication </w:t>
      </w:r>
      <w:r w:rsidRPr="5B8841B9">
        <w:rPr>
          <w:rFonts w:ascii="Times New Roman" w:hAnsi="Times New Roman"/>
          <w:noProof/>
          <w:sz w:val="24"/>
          <w:szCs w:val="24"/>
        </w:rPr>
        <w:t xml:space="preserve">of sector-specific low-carbon roadmaps. </w:t>
      </w:r>
    </w:p>
    <w:p w14:paraId="52023B99" w14:textId="77777777" w:rsidR="00935FC8" w:rsidRPr="007260B8" w:rsidRDefault="00935FC8" w:rsidP="00A7081A">
      <w:pPr>
        <w:spacing w:before="120" w:after="120" w:line="240" w:lineRule="auto"/>
        <w:jc w:val="both"/>
        <w:rPr>
          <w:rFonts w:ascii="Times New Roman" w:hAnsi="Times New Roman"/>
          <w:noProof/>
          <w:sz w:val="24"/>
          <w:szCs w:val="24"/>
          <w:u w:val="single"/>
        </w:rPr>
      </w:pPr>
      <w:bookmarkStart w:id="2" w:name="_Hlk213066855"/>
      <w:r w:rsidRPr="007260B8">
        <w:rPr>
          <w:rFonts w:ascii="Times New Roman" w:hAnsi="Times New Roman"/>
          <w:noProof/>
          <w:sz w:val="24"/>
          <w:szCs w:val="24"/>
          <w:u w:val="single"/>
        </w:rPr>
        <w:t xml:space="preserve">Reform 2 (P1C2R2): </w:t>
      </w:r>
      <w:bookmarkEnd w:id="2"/>
      <w:r w:rsidRPr="007260B8">
        <w:rPr>
          <w:rFonts w:ascii="Times New Roman" w:hAnsi="Times New Roman"/>
          <w:noProof/>
          <w:sz w:val="24"/>
          <w:szCs w:val="24"/>
          <w:u w:val="single"/>
        </w:rPr>
        <w:t xml:space="preserve">Strategic promotion of the circular economy and reform of the Waste Act </w:t>
      </w:r>
    </w:p>
    <w:p w14:paraId="3AB53CDE" w14:textId="2FEFCC5E" w:rsidR="00935FC8" w:rsidRPr="00B555B3" w:rsidRDefault="00935FC8">
      <w:pPr>
        <w:spacing w:before="120" w:after="120" w:line="240" w:lineRule="auto"/>
        <w:jc w:val="both"/>
        <w:rPr>
          <w:rFonts w:ascii="Times New Roman" w:hAnsi="Times New Roman"/>
          <w:noProof/>
          <w:sz w:val="24"/>
          <w:szCs w:val="24"/>
        </w:rPr>
      </w:pPr>
      <w:r w:rsidRPr="00D32D5C">
        <w:rPr>
          <w:rFonts w:ascii="Times New Roman" w:hAnsi="Times New Roman"/>
          <w:noProof/>
          <w:sz w:val="24"/>
          <w:szCs w:val="24"/>
        </w:rPr>
        <w:t xml:space="preserve">The aim of this measure is to promote the circular economy in Finland. This measure consists of a Strategic Programme for a Circular economy, reform of existing waste legislation and </w:t>
      </w:r>
      <w:r w:rsidRPr="00B01564">
        <w:rPr>
          <w:rFonts w:ascii="Times New Roman" w:hAnsi="Times New Roman"/>
          <w:noProof/>
          <w:sz w:val="24"/>
          <w:szCs w:val="24"/>
        </w:rPr>
        <w:t xml:space="preserve">accepting </w:t>
      </w:r>
      <w:bookmarkStart w:id="3" w:name="_Hlk213067850"/>
      <w:r w:rsidRPr="00B01564">
        <w:rPr>
          <w:rFonts w:ascii="Times New Roman" w:hAnsi="Times New Roman"/>
          <w:noProof/>
          <w:sz w:val="24"/>
          <w:szCs w:val="24"/>
        </w:rPr>
        <w:t>stakeholders to the Circular Economy Green Deal.</w:t>
      </w:r>
      <w:bookmarkEnd w:id="3"/>
    </w:p>
    <w:p w14:paraId="55ECD3C8" w14:textId="77777777" w:rsidR="00935FC8" w:rsidRPr="00D32D5C"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1 (P1C2I1): Low carbon hydrogen and carbon capture and utilisation</w:t>
      </w:r>
    </w:p>
    <w:p w14:paraId="79859644" w14:textId="1D80108F" w:rsidR="00935FC8" w:rsidRPr="00D32D5C" w:rsidRDefault="00935FC8" w:rsidP="00A7081A">
      <w:pPr>
        <w:spacing w:before="120" w:after="120" w:line="240" w:lineRule="auto"/>
        <w:jc w:val="both"/>
        <w:rPr>
          <w:rFonts w:ascii="Times New Roman" w:eastAsia="Times New Roman" w:hAnsi="Times New Roman"/>
          <w:noProof/>
          <w:sz w:val="24"/>
          <w:szCs w:val="24"/>
        </w:rPr>
      </w:pPr>
      <w:r w:rsidRPr="00D0136A">
        <w:rPr>
          <w:rFonts w:ascii="Times New Roman" w:hAnsi="Times New Roman"/>
          <w:noProof/>
          <w:sz w:val="24"/>
          <w:szCs w:val="24"/>
        </w:rPr>
        <w:t>The objective of</w:t>
      </w:r>
      <w:r w:rsidRPr="00D32D5C">
        <w:rPr>
          <w:rFonts w:ascii="Times New Roman" w:hAnsi="Times New Roman"/>
          <w:noProof/>
          <w:sz w:val="24"/>
          <w:szCs w:val="24"/>
        </w:rPr>
        <w:t xml:space="preserve"> this investment </w:t>
      </w:r>
      <w:r w:rsidRPr="00D0136A">
        <w:rPr>
          <w:rFonts w:ascii="Times New Roman" w:hAnsi="Times New Roman"/>
          <w:noProof/>
          <w:sz w:val="24"/>
          <w:szCs w:val="24"/>
        </w:rPr>
        <w:t>is</w:t>
      </w:r>
      <w:r w:rsidRPr="00D32D5C">
        <w:rPr>
          <w:rFonts w:ascii="Times New Roman" w:hAnsi="Times New Roman"/>
          <w:noProof/>
          <w:sz w:val="24"/>
          <w:szCs w:val="24"/>
        </w:rPr>
        <w:t xml:space="preserve"> to </w:t>
      </w:r>
      <w:r w:rsidRPr="567E3D3A">
        <w:rPr>
          <w:rFonts w:ascii="Times New Roman" w:hAnsi="Times New Roman"/>
          <w:noProof/>
          <w:sz w:val="24"/>
          <w:szCs w:val="24"/>
        </w:rPr>
        <w:t>provide support to</w:t>
      </w:r>
      <w:r w:rsidRPr="00D32D5C">
        <w:rPr>
          <w:rFonts w:ascii="Times New Roman" w:hAnsi="Times New Roman"/>
          <w:noProof/>
          <w:sz w:val="24"/>
          <w:szCs w:val="24"/>
        </w:rPr>
        <w:t xml:space="preserve"> the production and storage of clean hydrogen.</w:t>
      </w:r>
    </w:p>
    <w:p w14:paraId="14E29D27" w14:textId="550812B1" w:rsidR="00935FC8" w:rsidRPr="00D32D5C" w:rsidRDefault="00935FC8" w:rsidP="00A7081A">
      <w:pPr>
        <w:spacing w:before="120" w:after="120" w:line="240" w:lineRule="auto"/>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This measure shall consist of a public investment in a Subsidy Scheme, in order to incentivise private investment and improve access to finance in Finland along the hydrogen value chain and in carbon capture, storage and recovery. The Scheme shall operate by providing subsidies directly to the private sector. The Scheme may provide subsidies also to private and/or public research organisations.</w:t>
      </w:r>
    </w:p>
    <w:p w14:paraId="54B38AC1" w14:textId="77777777" w:rsidR="00935FC8" w:rsidRPr="00D32D5C" w:rsidRDefault="00935FC8" w:rsidP="00A7081A">
      <w:pPr>
        <w:spacing w:before="120" w:after="120" w:line="240" w:lineRule="auto"/>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The Scheme shall be managed by Business Finland as the implementing partner. The Scheme shall include the product line for low carbon hydrogen and carbon capture and utilisation.</w:t>
      </w:r>
    </w:p>
    <w:p w14:paraId="06DEE0B0" w14:textId="31C1FADA" w:rsidR="00935FC8" w:rsidRPr="00D32D5C" w:rsidRDefault="00935FC8" w:rsidP="00A7081A">
      <w:pPr>
        <w:spacing w:before="120" w:after="120" w:line="240" w:lineRule="auto"/>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In order to implement the investment into the Scheme, Finland and Business Finland shall sign an Implementing Agreement that shall include the following content:</w:t>
      </w:r>
    </w:p>
    <w:p w14:paraId="2F5E79DC" w14:textId="77777777" w:rsidR="00935FC8" w:rsidRPr="00D0136A" w:rsidRDefault="00935FC8" w:rsidP="00A7081A">
      <w:pPr>
        <w:spacing w:before="120" w:after="120" w:line="240" w:lineRule="auto"/>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1. Description of the decision-making process of the Scheme: The final award decision of the Scheme shall be taken by an investment committee or other relevant equivalent governing body and approved by a majority of votes from members who are independent from the government.</w:t>
      </w:r>
    </w:p>
    <w:p w14:paraId="5675B00E" w14:textId="77777777" w:rsidR="00935FC8" w:rsidRPr="00D32D5C" w:rsidRDefault="00935FC8" w:rsidP="00A7081A">
      <w:pPr>
        <w:spacing w:before="120" w:after="120" w:line="240" w:lineRule="auto"/>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2. Key requirements of the associated subsidy policy, which shall include:</w:t>
      </w:r>
    </w:p>
    <w:p w14:paraId="7BEFFFB2" w14:textId="77777777" w:rsidR="00935FC8" w:rsidRPr="00D32D5C" w:rsidRDefault="00935FC8" w:rsidP="00A7081A">
      <w:pPr>
        <w:spacing w:before="120" w:after="120" w:line="240" w:lineRule="auto"/>
        <w:ind w:firstLine="284"/>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a. The description of the subsidies provided and eligible final beneficiaries.</w:t>
      </w:r>
    </w:p>
    <w:p w14:paraId="41313E1C" w14:textId="77777777" w:rsidR="00935FC8" w:rsidRPr="00D32D5C" w:rsidRDefault="00935FC8" w:rsidP="00A7081A">
      <w:pPr>
        <w:spacing w:before="120" w:after="120" w:line="240" w:lineRule="auto"/>
        <w:ind w:firstLine="284"/>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 xml:space="preserve">b. The requirement that all investments supported are economically viable. </w:t>
      </w:r>
    </w:p>
    <w:p w14:paraId="19288820" w14:textId="79C13BE8" w:rsidR="00935FC8" w:rsidRPr="00D32D5C" w:rsidRDefault="00935FC8" w:rsidP="00A7081A">
      <w:pPr>
        <w:spacing w:before="120" w:after="120" w:line="240" w:lineRule="auto"/>
        <w:ind w:left="284"/>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c. The requirement to comply with the ‘Do no significant harm’ (DNSH) principle as set out in the DNSH Technical Guidance (2021/C58/01). In particular, the subsidy policy shall exclude the following list of activities and assets from eligibility: (i) activities and assets related to fossil fuels, including downstream use</w:t>
      </w:r>
      <w:r w:rsidRPr="00D32D5C">
        <w:rPr>
          <w:rStyle w:val="FootnoteReference"/>
          <w:rFonts w:ascii="Times New Roman" w:eastAsia="Times New Roman" w:hAnsi="Times New Roman"/>
          <w:noProof/>
          <w:sz w:val="24"/>
          <w:szCs w:val="24"/>
        </w:rPr>
        <w:footnoteReference w:id="2"/>
      </w:r>
      <w:r w:rsidRPr="00D32D5C">
        <w:rPr>
          <w:rFonts w:ascii="Times New Roman" w:eastAsia="Times New Roman" w:hAnsi="Times New Roman"/>
          <w:noProof/>
          <w:sz w:val="24"/>
          <w:szCs w:val="24"/>
        </w:rPr>
        <w:t>, (ii) activities and assets under the EU Emission Trading System (ETS) achieving projected greenhouse gas emissions that are not lower than the relevant benchmarks</w:t>
      </w:r>
      <w:r w:rsidRPr="00D32D5C">
        <w:rPr>
          <w:rStyle w:val="FootnoteReference"/>
          <w:rFonts w:ascii="Times New Roman" w:eastAsia="Times New Roman" w:hAnsi="Times New Roman"/>
          <w:noProof/>
          <w:sz w:val="24"/>
          <w:szCs w:val="24"/>
        </w:rPr>
        <w:footnoteReference w:id="3"/>
      </w:r>
      <w:r w:rsidRPr="00D32D5C">
        <w:rPr>
          <w:rFonts w:ascii="Times New Roman" w:eastAsia="Times New Roman" w:hAnsi="Times New Roman"/>
          <w:noProof/>
          <w:sz w:val="24"/>
          <w:szCs w:val="24"/>
        </w:rPr>
        <w:t>, (iii) activities and assets related to waste landfills, incinerators</w:t>
      </w:r>
      <w:r w:rsidRPr="00D32D5C">
        <w:rPr>
          <w:rStyle w:val="FootnoteReference"/>
          <w:rFonts w:ascii="Times New Roman" w:eastAsia="Times New Roman" w:hAnsi="Times New Roman"/>
          <w:noProof/>
          <w:sz w:val="24"/>
          <w:szCs w:val="24"/>
        </w:rPr>
        <w:footnoteReference w:id="4"/>
      </w:r>
      <w:r w:rsidRPr="00D32D5C">
        <w:rPr>
          <w:rFonts w:ascii="Times New Roman" w:eastAsia="Times New Roman" w:hAnsi="Times New Roman"/>
          <w:noProof/>
          <w:sz w:val="24"/>
          <w:szCs w:val="24"/>
        </w:rPr>
        <w:t xml:space="preserve"> and mechanical biological treatment plants</w:t>
      </w:r>
      <w:r w:rsidRPr="00D32D5C">
        <w:rPr>
          <w:rStyle w:val="FootnoteReference"/>
          <w:rFonts w:ascii="Times New Roman" w:eastAsia="Times New Roman" w:hAnsi="Times New Roman"/>
          <w:noProof/>
          <w:sz w:val="24"/>
          <w:szCs w:val="24"/>
        </w:rPr>
        <w:footnoteReference w:id="5"/>
      </w:r>
      <w:r w:rsidRPr="00D32D5C">
        <w:rPr>
          <w:rFonts w:ascii="Times New Roman" w:eastAsia="Times New Roman" w:hAnsi="Times New Roman"/>
          <w:noProof/>
          <w:sz w:val="24"/>
          <w:szCs w:val="24"/>
        </w:rPr>
        <w:t>.</w:t>
      </w:r>
    </w:p>
    <w:p w14:paraId="42FADFD5" w14:textId="77777777" w:rsidR="00935FC8" w:rsidRPr="00D32D5C" w:rsidRDefault="00935FC8" w:rsidP="00A7081A">
      <w:pPr>
        <w:spacing w:before="120" w:after="120" w:line="240" w:lineRule="auto"/>
        <w:ind w:left="284"/>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d.</w:t>
      </w:r>
      <w:r w:rsidRPr="00D32D5C">
        <w:rPr>
          <w:noProof/>
        </w:rPr>
        <w:tab/>
      </w:r>
      <w:r w:rsidRPr="00D32D5C">
        <w:rPr>
          <w:rFonts w:ascii="Times New Roman" w:eastAsia="Times New Roman" w:hAnsi="Times New Roman"/>
          <w:noProof/>
          <w:sz w:val="24"/>
          <w:szCs w:val="24"/>
        </w:rPr>
        <w:t>The requirement that final beneficiaries of the Scheme shall not receive support from other Union instruments to cover the same cost.</w:t>
      </w:r>
    </w:p>
    <w:p w14:paraId="2D69CEAA" w14:textId="77777777" w:rsidR="00935FC8" w:rsidRPr="00D32D5C" w:rsidRDefault="00935FC8" w:rsidP="00A7081A">
      <w:pPr>
        <w:spacing w:before="120" w:after="120" w:line="240" w:lineRule="auto"/>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 xml:space="preserve">3. The amount covered by the Implementing Agreement, the fee structure for the Implementing Partner and the requirement to use any unused proceeds of the scheme, including beyond 2026, for the same policy purposes. </w:t>
      </w:r>
    </w:p>
    <w:p w14:paraId="4F2A12E5" w14:textId="052434C3" w:rsidR="00935FC8" w:rsidRPr="00D32D5C" w:rsidRDefault="00935FC8" w:rsidP="00A7081A">
      <w:pPr>
        <w:spacing w:before="120" w:after="120" w:line="240" w:lineRule="auto"/>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4. Monitoring, audit, and control requirements, including:</w:t>
      </w:r>
    </w:p>
    <w:p w14:paraId="1C23AB71" w14:textId="5908CB85" w:rsidR="00935FC8" w:rsidRPr="00D32D5C" w:rsidRDefault="00935FC8" w:rsidP="00A7081A">
      <w:pPr>
        <w:spacing w:before="120" w:after="120" w:line="240" w:lineRule="auto"/>
        <w:ind w:left="284"/>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a. The description of the implementing partner’s monitoring system to report on the subsidies mobilised.</w:t>
      </w:r>
    </w:p>
    <w:p w14:paraId="1F74D622" w14:textId="41748D60" w:rsidR="00935FC8" w:rsidRPr="00D32D5C" w:rsidRDefault="00935FC8" w:rsidP="00A7081A">
      <w:pPr>
        <w:spacing w:before="120" w:after="120" w:line="240" w:lineRule="auto"/>
        <w:ind w:left="284"/>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b. The description of the implementing partner’s procedures that will ensure the prevention, detection and correction of fraud, corruption, and conflicts of interests.</w:t>
      </w:r>
    </w:p>
    <w:p w14:paraId="6047A626" w14:textId="2F607078" w:rsidR="00935FC8" w:rsidRPr="00D32D5C" w:rsidRDefault="00935FC8" w:rsidP="00A7081A">
      <w:pPr>
        <w:spacing w:before="120" w:after="120" w:line="240" w:lineRule="auto"/>
        <w:ind w:left="284"/>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c. The obligation to verify the eligibility of every operation in accordance with the requirements laid out in the Implementing Agreement before awarding a subsidy to an operation.</w:t>
      </w:r>
    </w:p>
    <w:p w14:paraId="37BDEACE" w14:textId="07D6266D" w:rsidR="00935FC8" w:rsidRPr="00D32D5C" w:rsidRDefault="00935FC8" w:rsidP="00A7081A">
      <w:pPr>
        <w:spacing w:before="120" w:after="120" w:line="240" w:lineRule="auto"/>
        <w:ind w:left="284"/>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d. The obligation of carrying out risk-based ex-post audits in accordance with an audit plan of Business Finland. These audits shall verify:</w:t>
      </w:r>
    </w:p>
    <w:p w14:paraId="0BE5A300" w14:textId="51FD91FB" w:rsidR="00935FC8" w:rsidRPr="00D32D5C" w:rsidRDefault="00935FC8" w:rsidP="002965B8">
      <w:pPr>
        <w:spacing w:before="120" w:after="120" w:line="240" w:lineRule="auto"/>
        <w:ind w:left="284"/>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i) that the control systems are effective, including the detection of fraud, corruption, and conflict of interests;</w:t>
      </w:r>
    </w:p>
    <w:p w14:paraId="03AAF964" w14:textId="2BFCA635" w:rsidR="00935FC8" w:rsidRPr="00D32D5C" w:rsidRDefault="00935FC8" w:rsidP="002965B8">
      <w:pPr>
        <w:spacing w:before="120" w:after="120" w:line="240" w:lineRule="auto"/>
        <w:ind w:firstLine="284"/>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ii) compliance with the DNSH principle, the State Aid rules, the climate target requirements; and</w:t>
      </w:r>
    </w:p>
    <w:p w14:paraId="512E2241" w14:textId="77777777" w:rsidR="00935FC8" w:rsidRPr="00D32D5C" w:rsidRDefault="00935FC8" w:rsidP="002965B8">
      <w:pPr>
        <w:spacing w:before="120" w:after="120" w:line="240" w:lineRule="auto"/>
        <w:ind w:left="284"/>
        <w:jc w:val="both"/>
        <w:rPr>
          <w:rFonts w:ascii="Times New Roman" w:eastAsia="Times New Roman" w:hAnsi="Times New Roman"/>
          <w:noProof/>
          <w:sz w:val="24"/>
          <w:szCs w:val="24"/>
        </w:rPr>
      </w:pPr>
      <w:r w:rsidRPr="00D32D5C">
        <w:rPr>
          <w:rFonts w:ascii="Times New Roman" w:eastAsia="Times New Roman" w:hAnsi="Times New Roman"/>
          <w:noProof/>
          <w:sz w:val="24"/>
          <w:szCs w:val="24"/>
        </w:rPr>
        <w:t>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and Subsidy Agreements are being respected.</w:t>
      </w:r>
    </w:p>
    <w:p w14:paraId="71E508E7" w14:textId="51D2554F" w:rsidR="00935FC8" w:rsidRPr="00D32D5C" w:rsidRDefault="00935FC8">
      <w:pPr>
        <w:spacing w:before="120" w:after="120" w:line="240" w:lineRule="auto"/>
        <w:jc w:val="both"/>
        <w:rPr>
          <w:rFonts w:ascii="Times New Roman" w:hAnsi="Times New Roman"/>
          <w:noProof/>
          <w:sz w:val="24"/>
          <w:szCs w:val="24"/>
        </w:rPr>
      </w:pPr>
      <w:r w:rsidRPr="00D32D5C">
        <w:rPr>
          <w:rFonts w:ascii="Times New Roman" w:hAnsi="Times New Roman"/>
          <w:noProof/>
          <w:sz w:val="24"/>
          <w:szCs w:val="24"/>
        </w:rPr>
        <w:t>5. Requirements for climate investments carried out by the implementing partner: at least EUR</w:t>
      </w:r>
      <w:r w:rsidR="00EE67C5">
        <w:rPr>
          <w:rFonts w:ascii="Times New Roman" w:hAnsi="Times New Roman"/>
          <w:noProof/>
          <w:sz w:val="24"/>
          <w:szCs w:val="24"/>
        </w:rPr>
        <w:t> </w:t>
      </w:r>
      <w:r w:rsidRPr="00D0136A">
        <w:rPr>
          <w:rFonts w:ascii="Times New Roman" w:hAnsi="Times New Roman"/>
          <w:noProof/>
          <w:sz w:val="24"/>
          <w:szCs w:val="24"/>
        </w:rPr>
        <w:t>131</w:t>
      </w:r>
      <w:r>
        <w:rPr>
          <w:rFonts w:ascii="Times New Roman" w:hAnsi="Times New Roman"/>
          <w:noProof/>
          <w:sz w:val="24"/>
          <w:szCs w:val="24"/>
        </w:rPr>
        <w:t> </w:t>
      </w:r>
      <w:r w:rsidRPr="00D0136A">
        <w:rPr>
          <w:rFonts w:ascii="Times New Roman" w:hAnsi="Times New Roman"/>
          <w:noProof/>
          <w:sz w:val="24"/>
          <w:szCs w:val="24"/>
        </w:rPr>
        <w:t>534</w:t>
      </w:r>
      <w:r>
        <w:rPr>
          <w:rFonts w:ascii="Times New Roman" w:hAnsi="Times New Roman"/>
          <w:noProof/>
          <w:sz w:val="24"/>
          <w:szCs w:val="24"/>
        </w:rPr>
        <w:t> </w:t>
      </w:r>
      <w:r w:rsidRPr="00D32D5C">
        <w:rPr>
          <w:rFonts w:ascii="Times New Roman" w:hAnsi="Times New Roman"/>
          <w:noProof/>
          <w:sz w:val="24"/>
          <w:szCs w:val="24"/>
        </w:rPr>
        <w:t>000 of the RRF investment into the Scheme shall contribute to the climate change objectives in accordance with Annex VI to the RRF Regulation.</w:t>
      </w:r>
    </w:p>
    <w:p w14:paraId="7A937855" w14:textId="77777777" w:rsidR="00935FC8" w:rsidRPr="00D32D5C" w:rsidDel="00B113B6" w:rsidRDefault="00935FC8">
      <w:pPr>
        <w:spacing w:before="120" w:after="120" w:line="240" w:lineRule="auto"/>
        <w:jc w:val="both"/>
        <w:rPr>
          <w:rFonts w:ascii="Times New Roman" w:hAnsi="Times New Roman"/>
          <w:noProof/>
          <w:sz w:val="24"/>
          <w:szCs w:val="24"/>
        </w:rPr>
      </w:pPr>
    </w:p>
    <w:p w14:paraId="067C3CCF" w14:textId="77777777" w:rsidR="00935FC8" w:rsidRPr="00D0136A"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2 (P1C2I2): Direct electrification and decarbonisation of industrial processes</w:t>
      </w:r>
    </w:p>
    <w:p w14:paraId="67358246" w14:textId="16810D68" w:rsidR="00935FC8" w:rsidRDefault="00935FC8" w:rsidP="00A7081A">
      <w:pPr>
        <w:spacing w:before="120" w:after="120" w:line="240" w:lineRule="auto"/>
        <w:jc w:val="both"/>
        <w:rPr>
          <w:rFonts w:ascii="Times New Roman" w:hAnsi="Times New Roman"/>
          <w:noProof/>
          <w:sz w:val="24"/>
          <w:szCs w:val="24"/>
          <w:u w:val="single"/>
        </w:rPr>
      </w:pPr>
      <w:r w:rsidRPr="00EF445C">
        <w:rPr>
          <w:rFonts w:ascii="Times New Roman" w:hAnsi="Times New Roman"/>
          <w:noProof/>
          <w:sz w:val="24"/>
          <w:szCs w:val="24"/>
        </w:rPr>
        <w:t xml:space="preserve">The </w:t>
      </w:r>
      <w:r w:rsidRPr="00D0136A">
        <w:rPr>
          <w:rFonts w:ascii="Times New Roman" w:hAnsi="Times New Roman"/>
          <w:noProof/>
          <w:sz w:val="24"/>
          <w:szCs w:val="24"/>
        </w:rPr>
        <w:t>objective</w:t>
      </w:r>
      <w:r w:rsidRPr="00EF445C">
        <w:rPr>
          <w:rFonts w:ascii="Times New Roman" w:hAnsi="Times New Roman"/>
          <w:noProof/>
          <w:sz w:val="24"/>
          <w:szCs w:val="24"/>
        </w:rPr>
        <w:t xml:space="preserve"> of this measure is </w:t>
      </w:r>
      <w:r w:rsidRPr="00D0136A">
        <w:rPr>
          <w:rFonts w:ascii="Times New Roman" w:hAnsi="Times New Roman"/>
          <w:noProof/>
          <w:sz w:val="24"/>
          <w:szCs w:val="24"/>
        </w:rPr>
        <w:t>to support investment in</w:t>
      </w:r>
      <w:r w:rsidRPr="00EF445C">
        <w:rPr>
          <w:rFonts w:ascii="Times New Roman" w:hAnsi="Times New Roman"/>
          <w:noProof/>
          <w:sz w:val="24"/>
          <w:szCs w:val="24"/>
        </w:rPr>
        <w:t xml:space="preserve"> the direct electrification and low-carbon industrial processes in Finland. This measure consists of the provision of grants to projects increasing electrificatio</w:t>
      </w:r>
      <w:r w:rsidRPr="00B01564">
        <w:rPr>
          <w:rFonts w:ascii="Times New Roman" w:hAnsi="Times New Roman"/>
          <w:noProof/>
          <w:sz w:val="24"/>
          <w:szCs w:val="24"/>
        </w:rPr>
        <w:t>n of industry.</w:t>
      </w:r>
    </w:p>
    <w:p w14:paraId="0AD3B6A9" w14:textId="77777777" w:rsidR="00935FC8" w:rsidRPr="00D0136A"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3 (P1C2I3): Re-use and recycling of key materials and industrial side streams</w:t>
      </w:r>
    </w:p>
    <w:p w14:paraId="77133534" w14:textId="77777777" w:rsidR="00935FC8" w:rsidRPr="00B555B3" w:rsidRDefault="00935FC8" w:rsidP="00A7081A">
      <w:pPr>
        <w:spacing w:before="120" w:after="120" w:line="240" w:lineRule="auto"/>
        <w:rPr>
          <w:rFonts w:ascii="Times New Roman" w:hAnsi="Times New Roman"/>
          <w:noProof/>
          <w:sz w:val="24"/>
          <w:szCs w:val="24"/>
        </w:rPr>
        <w:sectPr w:rsidR="00935FC8" w:rsidRPr="00B555B3" w:rsidSect="00A7081A">
          <w:headerReference w:type="even" r:id="rId29"/>
          <w:headerReference w:type="default" r:id="rId30"/>
          <w:footerReference w:type="even" r:id="rId31"/>
          <w:footerReference w:type="default" r:id="rId32"/>
          <w:headerReference w:type="first" r:id="rId33"/>
          <w:footerReference w:type="first" r:id="rId34"/>
          <w:pgSz w:w="11907" w:h="16839"/>
          <w:pgMar w:top="1134" w:right="1134" w:bottom="1134" w:left="1134" w:header="567" w:footer="567" w:gutter="0"/>
          <w:cols w:space="720"/>
          <w:docGrid w:linePitch="360"/>
        </w:sectPr>
      </w:pPr>
      <w:r w:rsidRPr="00EF445C">
        <w:rPr>
          <w:rFonts w:ascii="Times New Roman" w:hAnsi="Times New Roman"/>
          <w:noProof/>
          <w:sz w:val="24"/>
          <w:szCs w:val="24"/>
        </w:rPr>
        <w:t xml:space="preserve">The </w:t>
      </w:r>
      <w:r w:rsidRPr="00B01564">
        <w:rPr>
          <w:rFonts w:ascii="Times New Roman" w:hAnsi="Times New Roman"/>
          <w:noProof/>
          <w:sz w:val="24"/>
          <w:szCs w:val="24"/>
        </w:rPr>
        <w:t>objective</w:t>
      </w:r>
      <w:r w:rsidRPr="00EF445C">
        <w:rPr>
          <w:rFonts w:ascii="Times New Roman" w:hAnsi="Times New Roman"/>
          <w:noProof/>
          <w:sz w:val="24"/>
          <w:szCs w:val="24"/>
        </w:rPr>
        <w:t xml:space="preserve"> of this measure is to </w:t>
      </w:r>
      <w:r w:rsidRPr="00B01564">
        <w:rPr>
          <w:rFonts w:ascii="Times New Roman" w:hAnsi="Times New Roman"/>
          <w:noProof/>
          <w:sz w:val="24"/>
          <w:szCs w:val="24"/>
        </w:rPr>
        <w:t>support investment in re</w:t>
      </w:r>
      <w:r w:rsidRPr="00374BE0">
        <w:rPr>
          <w:rFonts w:ascii="Times New Roman" w:hAnsi="Times New Roman"/>
          <w:noProof/>
          <w:sz w:val="24"/>
          <w:szCs w:val="24"/>
        </w:rPr>
        <w:t xml:space="preserve">-use and recycling in Finland. This </w:t>
      </w:r>
      <w:r w:rsidRPr="00D32D5C">
        <w:rPr>
          <w:rFonts w:ascii="Times New Roman" w:hAnsi="Times New Roman"/>
          <w:noProof/>
          <w:sz w:val="24"/>
          <w:szCs w:val="24"/>
        </w:rPr>
        <w:t>investment</w:t>
      </w:r>
      <w:r w:rsidRPr="00374BE0">
        <w:rPr>
          <w:rFonts w:ascii="Times New Roman" w:hAnsi="Times New Roman"/>
          <w:noProof/>
          <w:sz w:val="24"/>
          <w:szCs w:val="24"/>
        </w:rPr>
        <w:t xml:space="preserve"> consists of the provision of grants </w:t>
      </w:r>
      <w:r w:rsidRPr="00D32D5C">
        <w:rPr>
          <w:rFonts w:ascii="Times New Roman" w:hAnsi="Times New Roman"/>
          <w:noProof/>
          <w:sz w:val="24"/>
          <w:szCs w:val="24"/>
        </w:rPr>
        <w:t xml:space="preserve">for </w:t>
      </w:r>
      <w:r w:rsidRPr="00374BE0">
        <w:rPr>
          <w:rFonts w:ascii="Times New Roman" w:hAnsi="Times New Roman"/>
          <w:noProof/>
          <w:sz w:val="24"/>
          <w:szCs w:val="24"/>
        </w:rPr>
        <w:t xml:space="preserve">projects that increase re-use and recycling. </w:t>
      </w:r>
    </w:p>
    <w:p w14:paraId="36ECF47E" w14:textId="77777777" w:rsidR="00935FC8" w:rsidRPr="00B555B3" w:rsidRDefault="00935FC8">
      <w:pPr>
        <w:spacing w:before="120" w:after="120" w:line="240" w:lineRule="auto"/>
        <w:jc w:val="both"/>
        <w:rPr>
          <w:rFonts w:ascii="Times New Roman" w:hAnsi="Times New Roman"/>
          <w:b/>
          <w:noProof/>
          <w:sz w:val="24"/>
          <w:u w:val="single"/>
        </w:rPr>
      </w:pPr>
      <w:r w:rsidRPr="00B555B3">
        <w:rPr>
          <w:rFonts w:ascii="Times New Roman" w:hAnsi="Times New Roman"/>
          <w:b/>
          <w:noProof/>
          <w:sz w:val="24"/>
          <w:u w:val="single"/>
        </w:rPr>
        <w:t xml:space="preserve">B.2. </w:t>
      </w:r>
      <w:r w:rsidRPr="00B555B3">
        <w:rPr>
          <w:rFonts w:ascii="Times New Roman" w:hAnsi="Times New Roman"/>
          <w:b/>
          <w:noProof/>
          <w:sz w:val="24"/>
          <w:u w:val="single"/>
        </w:rPr>
        <w:tab/>
        <w:t>Milestones, targets, indicators, and timetable for monitoring and implementation for non-repayable financial support</w:t>
      </w:r>
      <w:r>
        <w:rPr>
          <w:rFonts w:ascii="Times New Roman" w:hAnsi="Times New Roman"/>
          <w:b/>
          <w:noProof/>
          <w:sz w:val="24"/>
          <w:u w:val="single"/>
        </w:rPr>
        <w:t xml:space="preserve"> </w:t>
      </w:r>
    </w:p>
    <w:tbl>
      <w:tblPr>
        <w:tblW w:w="13946" w:type="dxa"/>
        <w:tblCellMar>
          <w:left w:w="28" w:type="dxa"/>
          <w:right w:w="28" w:type="dxa"/>
        </w:tblCellMar>
        <w:tblLook w:val="04A0" w:firstRow="1" w:lastRow="0" w:firstColumn="1" w:lastColumn="0" w:noHBand="0" w:noVBand="1"/>
      </w:tblPr>
      <w:tblGrid>
        <w:gridCol w:w="835"/>
        <w:gridCol w:w="1800"/>
        <w:gridCol w:w="1080"/>
        <w:gridCol w:w="1387"/>
        <w:gridCol w:w="1223"/>
        <w:gridCol w:w="934"/>
        <w:gridCol w:w="907"/>
        <w:gridCol w:w="668"/>
        <w:gridCol w:w="756"/>
        <w:gridCol w:w="632"/>
        <w:gridCol w:w="3724"/>
      </w:tblGrid>
      <w:tr w:rsidR="00A7081A" w:rsidRPr="00577DC1" w14:paraId="070A5B1E" w14:textId="77777777" w:rsidTr="00577DC1">
        <w:trPr>
          <w:trHeight w:val="927"/>
          <w:tblHeader/>
        </w:trPr>
        <w:tc>
          <w:tcPr>
            <w:tcW w:w="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5247829"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Number</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228833"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Measure</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ECFD50E"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Milestone / Target</w:t>
            </w:r>
          </w:p>
        </w:tc>
        <w:tc>
          <w:tcPr>
            <w:tcW w:w="138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2D73B3"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Name</w:t>
            </w:r>
          </w:p>
        </w:tc>
        <w:tc>
          <w:tcPr>
            <w:tcW w:w="122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BC4603" w14:textId="77777777" w:rsidR="00935FC8" w:rsidRPr="00577DC1" w:rsidRDefault="00935FC8">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Qualitative indicators (for milestones)</w:t>
            </w:r>
          </w:p>
        </w:tc>
        <w:tc>
          <w:tcPr>
            <w:tcW w:w="2509"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9D6AC79" w14:textId="77777777" w:rsidR="00935FC8" w:rsidRPr="00577DC1" w:rsidRDefault="00935FC8">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Quantitative indicators (for targets)</w:t>
            </w:r>
          </w:p>
        </w:tc>
        <w:tc>
          <w:tcPr>
            <w:tcW w:w="1388" w:type="dxa"/>
            <w:gridSpan w:val="2"/>
            <w:tcBorders>
              <w:top w:val="single" w:sz="4" w:space="0" w:color="auto"/>
              <w:left w:val="nil"/>
              <w:bottom w:val="single" w:sz="4" w:space="0" w:color="auto"/>
              <w:right w:val="single" w:sz="4" w:space="0" w:color="auto"/>
            </w:tcBorders>
            <w:shd w:val="clear" w:color="auto" w:fill="BDD7EE"/>
            <w:vAlign w:val="center"/>
            <w:hideMark/>
          </w:tcPr>
          <w:p w14:paraId="0BA34719" w14:textId="77777777" w:rsidR="00935FC8" w:rsidRPr="00577DC1" w:rsidRDefault="00935FC8">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 xml:space="preserve">Indicative timeline for completion </w:t>
            </w:r>
          </w:p>
        </w:tc>
        <w:tc>
          <w:tcPr>
            <w:tcW w:w="37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1EB32D9"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Description of each milestone and target</w:t>
            </w:r>
          </w:p>
        </w:tc>
      </w:tr>
      <w:tr w:rsidR="00A7081A" w:rsidRPr="00577DC1" w14:paraId="11630205" w14:textId="77777777" w:rsidTr="00577DC1">
        <w:trPr>
          <w:trHeight w:val="470"/>
          <w:tblHeader/>
        </w:trPr>
        <w:tc>
          <w:tcPr>
            <w:tcW w:w="835" w:type="dxa"/>
            <w:vMerge/>
            <w:tcBorders>
              <w:top w:val="single" w:sz="4" w:space="0" w:color="auto"/>
              <w:left w:val="single" w:sz="4" w:space="0" w:color="auto"/>
              <w:bottom w:val="single" w:sz="4" w:space="0" w:color="auto"/>
              <w:right w:val="single" w:sz="4" w:space="0" w:color="auto"/>
            </w:tcBorders>
            <w:vAlign w:val="center"/>
            <w:hideMark/>
          </w:tcPr>
          <w:p w14:paraId="33564ECA"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14:paraId="11195A67"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14ADCBAE"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1387" w:type="dxa"/>
            <w:vMerge/>
            <w:tcBorders>
              <w:top w:val="single" w:sz="4" w:space="0" w:color="auto"/>
              <w:left w:val="single" w:sz="4" w:space="0" w:color="auto"/>
              <w:bottom w:val="single" w:sz="4" w:space="0" w:color="auto"/>
              <w:right w:val="single" w:sz="4" w:space="0" w:color="auto"/>
            </w:tcBorders>
            <w:vAlign w:val="center"/>
            <w:hideMark/>
          </w:tcPr>
          <w:p w14:paraId="6A6B96C5"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1223" w:type="dxa"/>
            <w:vMerge/>
            <w:tcBorders>
              <w:left w:val="single" w:sz="4" w:space="0" w:color="auto"/>
            </w:tcBorders>
            <w:vAlign w:val="center"/>
            <w:hideMark/>
          </w:tcPr>
          <w:p w14:paraId="3C83E520"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9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AF9C322"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Unit</w:t>
            </w:r>
          </w:p>
        </w:tc>
        <w:tc>
          <w:tcPr>
            <w:tcW w:w="90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ABFC645" w14:textId="77777777" w:rsidR="00935FC8" w:rsidRPr="00577DC1" w:rsidRDefault="00935FC8">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 xml:space="preserve">Baseline </w:t>
            </w:r>
          </w:p>
        </w:tc>
        <w:tc>
          <w:tcPr>
            <w:tcW w:w="66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A261384"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 xml:space="preserve">Goal </w:t>
            </w:r>
          </w:p>
        </w:tc>
        <w:tc>
          <w:tcPr>
            <w:tcW w:w="7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1C78F9C"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Quarter</w:t>
            </w:r>
          </w:p>
        </w:tc>
        <w:tc>
          <w:tcPr>
            <w:tcW w:w="63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FDD39A6"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Year</w:t>
            </w:r>
          </w:p>
        </w:tc>
        <w:tc>
          <w:tcPr>
            <w:tcW w:w="3724" w:type="dxa"/>
            <w:vMerge/>
            <w:tcBorders>
              <w:top w:val="single" w:sz="4" w:space="0" w:color="auto"/>
              <w:bottom w:val="single" w:sz="4" w:space="0" w:color="auto"/>
              <w:right w:val="single" w:sz="4" w:space="0" w:color="auto"/>
            </w:tcBorders>
            <w:vAlign w:val="center"/>
            <w:hideMark/>
          </w:tcPr>
          <w:p w14:paraId="24F97750" w14:textId="77777777" w:rsidR="00935FC8" w:rsidRPr="00577DC1" w:rsidRDefault="00935FC8">
            <w:pPr>
              <w:spacing w:after="0" w:line="240" w:lineRule="auto"/>
              <w:rPr>
                <w:rFonts w:ascii="Times New Roman" w:eastAsia="Times New Roman" w:hAnsi="Times New Roman"/>
                <w:b/>
                <w:noProof/>
                <w:sz w:val="20"/>
                <w:szCs w:val="20"/>
                <w:lang w:eastAsia="en-GB"/>
              </w:rPr>
            </w:pPr>
          </w:p>
        </w:tc>
      </w:tr>
      <w:tr w:rsidR="00A7081A" w:rsidRPr="00577DC1" w14:paraId="13625710" w14:textId="77777777" w:rsidTr="00577DC1">
        <w:trPr>
          <w:trHeight w:val="308"/>
        </w:trPr>
        <w:tc>
          <w:tcPr>
            <w:tcW w:w="835" w:type="dxa"/>
            <w:tcBorders>
              <w:top w:val="single" w:sz="4" w:space="0" w:color="auto"/>
              <w:left w:val="single" w:sz="4" w:space="0" w:color="auto"/>
              <w:bottom w:val="single" w:sz="4" w:space="0" w:color="auto"/>
              <w:right w:val="single" w:sz="4" w:space="0" w:color="auto"/>
            </w:tcBorders>
            <w:shd w:val="clear" w:color="auto" w:fill="C6EFCE"/>
            <w:noWrap/>
            <w:hideMark/>
          </w:tcPr>
          <w:p w14:paraId="1E513802"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11</w:t>
            </w:r>
          </w:p>
        </w:tc>
        <w:tc>
          <w:tcPr>
            <w:tcW w:w="1800" w:type="dxa"/>
            <w:tcBorders>
              <w:top w:val="single" w:sz="4" w:space="0" w:color="auto"/>
              <w:left w:val="nil"/>
              <w:bottom w:val="single" w:sz="4" w:space="0" w:color="auto"/>
              <w:right w:val="single" w:sz="4" w:space="0" w:color="auto"/>
            </w:tcBorders>
            <w:shd w:val="clear" w:color="auto" w:fill="C6EFCE"/>
            <w:noWrap/>
            <w:hideMark/>
          </w:tcPr>
          <w:p w14:paraId="2CDE756D"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P1C2R1 - Industrial reforms and investments supporting the green and digital transition – Reform of the Climate Act and low-carbon industrialisation</w:t>
            </w:r>
          </w:p>
        </w:tc>
        <w:tc>
          <w:tcPr>
            <w:tcW w:w="1080" w:type="dxa"/>
            <w:tcBorders>
              <w:top w:val="single" w:sz="4" w:space="0" w:color="auto"/>
              <w:left w:val="nil"/>
              <w:bottom w:val="single" w:sz="4" w:space="0" w:color="auto"/>
              <w:right w:val="single" w:sz="4" w:space="0" w:color="auto"/>
            </w:tcBorders>
            <w:shd w:val="clear" w:color="auto" w:fill="C6EFCE"/>
            <w:noWrap/>
            <w:hideMark/>
          </w:tcPr>
          <w:p w14:paraId="6D4BA21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387" w:type="dxa"/>
            <w:tcBorders>
              <w:top w:val="single" w:sz="4" w:space="0" w:color="auto"/>
              <w:left w:val="nil"/>
              <w:bottom w:val="single" w:sz="4" w:space="0" w:color="auto"/>
              <w:right w:val="single" w:sz="4" w:space="0" w:color="auto"/>
            </w:tcBorders>
            <w:shd w:val="clear" w:color="auto" w:fill="C6EFCE"/>
            <w:noWrap/>
            <w:hideMark/>
          </w:tcPr>
          <w:p w14:paraId="09978310" w14:textId="6FEC1390"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Entry into force of the revised Climate Act</w:t>
            </w:r>
          </w:p>
        </w:tc>
        <w:tc>
          <w:tcPr>
            <w:tcW w:w="1223" w:type="dxa"/>
            <w:tcBorders>
              <w:top w:val="single" w:sz="4" w:space="0" w:color="auto"/>
              <w:left w:val="nil"/>
              <w:bottom w:val="single" w:sz="4" w:space="0" w:color="auto"/>
              <w:right w:val="single" w:sz="4" w:space="0" w:color="auto"/>
            </w:tcBorders>
            <w:shd w:val="clear" w:color="auto" w:fill="C6EFCE"/>
            <w:noWrap/>
            <w:hideMark/>
          </w:tcPr>
          <w:p w14:paraId="148BC3C6"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Provision in the law indicating the entry into force of the Act</w:t>
            </w:r>
          </w:p>
        </w:tc>
        <w:tc>
          <w:tcPr>
            <w:tcW w:w="934" w:type="dxa"/>
            <w:tcBorders>
              <w:top w:val="single" w:sz="4" w:space="0" w:color="auto"/>
              <w:left w:val="nil"/>
              <w:bottom w:val="single" w:sz="4" w:space="0" w:color="auto"/>
              <w:right w:val="single" w:sz="4" w:space="0" w:color="auto"/>
            </w:tcBorders>
            <w:shd w:val="clear" w:color="auto" w:fill="C6EFCE"/>
            <w:noWrap/>
            <w:hideMark/>
          </w:tcPr>
          <w:p w14:paraId="50E236EE"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907" w:type="dxa"/>
            <w:tcBorders>
              <w:top w:val="single" w:sz="4" w:space="0" w:color="auto"/>
              <w:left w:val="nil"/>
              <w:bottom w:val="single" w:sz="4" w:space="0" w:color="auto"/>
              <w:right w:val="single" w:sz="4" w:space="0" w:color="auto"/>
            </w:tcBorders>
            <w:shd w:val="clear" w:color="auto" w:fill="C6EFCE"/>
            <w:noWrap/>
            <w:hideMark/>
          </w:tcPr>
          <w:p w14:paraId="1162248D"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668" w:type="dxa"/>
            <w:tcBorders>
              <w:top w:val="single" w:sz="4" w:space="0" w:color="auto"/>
              <w:left w:val="nil"/>
              <w:bottom w:val="single" w:sz="4" w:space="0" w:color="auto"/>
              <w:right w:val="single" w:sz="4" w:space="0" w:color="auto"/>
            </w:tcBorders>
            <w:shd w:val="clear" w:color="auto" w:fill="C6EFCE"/>
            <w:noWrap/>
            <w:hideMark/>
          </w:tcPr>
          <w:p w14:paraId="7D20F1C3"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756" w:type="dxa"/>
            <w:tcBorders>
              <w:top w:val="single" w:sz="4" w:space="0" w:color="auto"/>
              <w:left w:val="nil"/>
              <w:bottom w:val="single" w:sz="4" w:space="0" w:color="auto"/>
              <w:right w:val="single" w:sz="4" w:space="0" w:color="auto"/>
            </w:tcBorders>
            <w:shd w:val="clear" w:color="auto" w:fill="C6EFCE"/>
            <w:noWrap/>
            <w:hideMark/>
          </w:tcPr>
          <w:p w14:paraId="73E7BD0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632" w:type="dxa"/>
            <w:tcBorders>
              <w:top w:val="single" w:sz="4" w:space="0" w:color="auto"/>
              <w:left w:val="nil"/>
              <w:bottom w:val="single" w:sz="4" w:space="0" w:color="auto"/>
              <w:right w:val="single" w:sz="4" w:space="0" w:color="auto"/>
            </w:tcBorders>
            <w:shd w:val="clear" w:color="auto" w:fill="C6EFCE"/>
            <w:noWrap/>
            <w:hideMark/>
          </w:tcPr>
          <w:p w14:paraId="1C4C7544"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2022</w:t>
            </w:r>
          </w:p>
        </w:tc>
        <w:tc>
          <w:tcPr>
            <w:tcW w:w="3724" w:type="dxa"/>
            <w:tcBorders>
              <w:top w:val="single" w:sz="4" w:space="0" w:color="auto"/>
              <w:left w:val="nil"/>
              <w:bottom w:val="single" w:sz="4" w:space="0" w:color="auto"/>
              <w:right w:val="single" w:sz="4" w:space="0" w:color="auto"/>
            </w:tcBorders>
            <w:shd w:val="clear" w:color="auto" w:fill="C6EFCE"/>
            <w:noWrap/>
            <w:hideMark/>
          </w:tcPr>
          <w:p w14:paraId="3C3B6794"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The amendment of the Climate Act shall include:</w:t>
            </w:r>
          </w:p>
          <w:p w14:paraId="4E01633E"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 emission reduction targets for 2030 and 2040 in line with the carbon neutrality path</w:t>
            </w:r>
          </w:p>
          <w:p w14:paraId="2649307E"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 updated 2050 targets</w:t>
            </w:r>
          </w:p>
          <w:p w14:paraId="60D62BFC" w14:textId="55D21599"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 objectives concerning the land use sector and strengthening carbon sinks</w:t>
            </w:r>
            <w:r w:rsidR="002965B8">
              <w:rPr>
                <w:rFonts w:ascii="Times New Roman" w:hAnsi="Times New Roman"/>
                <w:noProof/>
                <w:sz w:val="20"/>
                <w:szCs w:val="20"/>
              </w:rPr>
              <w:t>.</w:t>
            </w:r>
          </w:p>
        </w:tc>
      </w:tr>
      <w:tr w:rsidR="00A7081A" w:rsidRPr="00577DC1" w14:paraId="30377256" w14:textId="77777777" w:rsidTr="00577DC1">
        <w:trPr>
          <w:trHeight w:val="308"/>
        </w:trPr>
        <w:tc>
          <w:tcPr>
            <w:tcW w:w="835" w:type="dxa"/>
            <w:tcBorders>
              <w:top w:val="nil"/>
              <w:left w:val="single" w:sz="4" w:space="0" w:color="auto"/>
              <w:bottom w:val="single" w:sz="4" w:space="0" w:color="auto"/>
              <w:right w:val="single" w:sz="4" w:space="0" w:color="auto"/>
            </w:tcBorders>
            <w:shd w:val="clear" w:color="auto" w:fill="C6EFCE"/>
            <w:noWrap/>
            <w:hideMark/>
          </w:tcPr>
          <w:p w14:paraId="3EB2C599"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12</w:t>
            </w:r>
          </w:p>
        </w:tc>
        <w:tc>
          <w:tcPr>
            <w:tcW w:w="1800" w:type="dxa"/>
            <w:tcBorders>
              <w:top w:val="nil"/>
              <w:left w:val="nil"/>
              <w:bottom w:val="single" w:sz="4" w:space="0" w:color="auto"/>
              <w:right w:val="single" w:sz="4" w:space="0" w:color="auto"/>
            </w:tcBorders>
            <w:shd w:val="clear" w:color="auto" w:fill="C6EFCE"/>
            <w:noWrap/>
            <w:hideMark/>
          </w:tcPr>
          <w:p w14:paraId="6B534EAE"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P1C2R1 - Industrial reforms and investments supporting the green and digital transition – Reform of the Climate Act and low-carbon industrialisation</w:t>
            </w:r>
          </w:p>
        </w:tc>
        <w:tc>
          <w:tcPr>
            <w:tcW w:w="1080" w:type="dxa"/>
            <w:tcBorders>
              <w:top w:val="nil"/>
              <w:left w:val="nil"/>
              <w:bottom w:val="single" w:sz="4" w:space="0" w:color="auto"/>
              <w:right w:val="single" w:sz="4" w:space="0" w:color="auto"/>
            </w:tcBorders>
            <w:shd w:val="clear" w:color="auto" w:fill="C6EFCE"/>
            <w:noWrap/>
            <w:hideMark/>
          </w:tcPr>
          <w:p w14:paraId="75FE49B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387" w:type="dxa"/>
            <w:tcBorders>
              <w:top w:val="nil"/>
              <w:left w:val="nil"/>
              <w:bottom w:val="single" w:sz="4" w:space="0" w:color="auto"/>
              <w:right w:val="single" w:sz="4" w:space="0" w:color="auto"/>
            </w:tcBorders>
            <w:shd w:val="clear" w:color="auto" w:fill="C6EFCE"/>
            <w:noWrap/>
            <w:hideMark/>
          </w:tcPr>
          <w:p w14:paraId="375EEFE3"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the updated climate and energy strategy, medium-term climate change policy plan and sector-specific low-carbon roadmaps</w:t>
            </w:r>
          </w:p>
        </w:tc>
        <w:tc>
          <w:tcPr>
            <w:tcW w:w="1223" w:type="dxa"/>
            <w:tcBorders>
              <w:top w:val="nil"/>
              <w:left w:val="nil"/>
              <w:bottom w:val="single" w:sz="4" w:space="0" w:color="auto"/>
              <w:right w:val="single" w:sz="4" w:space="0" w:color="auto"/>
            </w:tcBorders>
            <w:shd w:val="clear" w:color="auto" w:fill="C6EFCE"/>
            <w:noWrap/>
            <w:hideMark/>
          </w:tcPr>
          <w:p w14:paraId="50259B6D"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xml:space="preserve">Publication of the strategy, plan and roadmaps </w:t>
            </w:r>
          </w:p>
        </w:tc>
        <w:tc>
          <w:tcPr>
            <w:tcW w:w="934" w:type="dxa"/>
            <w:tcBorders>
              <w:top w:val="nil"/>
              <w:left w:val="nil"/>
              <w:bottom w:val="single" w:sz="4" w:space="0" w:color="auto"/>
              <w:right w:val="single" w:sz="4" w:space="0" w:color="auto"/>
            </w:tcBorders>
            <w:shd w:val="clear" w:color="auto" w:fill="C6EFCE"/>
            <w:noWrap/>
            <w:hideMark/>
          </w:tcPr>
          <w:p w14:paraId="4DC874C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907" w:type="dxa"/>
            <w:tcBorders>
              <w:top w:val="nil"/>
              <w:left w:val="nil"/>
              <w:bottom w:val="single" w:sz="4" w:space="0" w:color="auto"/>
              <w:right w:val="single" w:sz="4" w:space="0" w:color="auto"/>
            </w:tcBorders>
            <w:shd w:val="clear" w:color="auto" w:fill="C6EFCE"/>
            <w:noWrap/>
            <w:hideMark/>
          </w:tcPr>
          <w:p w14:paraId="1E34910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668" w:type="dxa"/>
            <w:tcBorders>
              <w:top w:val="nil"/>
              <w:left w:val="nil"/>
              <w:bottom w:val="single" w:sz="4" w:space="0" w:color="auto"/>
              <w:right w:val="single" w:sz="4" w:space="0" w:color="auto"/>
            </w:tcBorders>
            <w:shd w:val="clear" w:color="auto" w:fill="C6EFCE"/>
            <w:noWrap/>
            <w:hideMark/>
          </w:tcPr>
          <w:p w14:paraId="61AD26EA"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756" w:type="dxa"/>
            <w:tcBorders>
              <w:top w:val="nil"/>
              <w:left w:val="nil"/>
              <w:bottom w:val="single" w:sz="4" w:space="0" w:color="auto"/>
              <w:right w:val="single" w:sz="4" w:space="0" w:color="auto"/>
            </w:tcBorders>
            <w:shd w:val="clear" w:color="auto" w:fill="C6EFCE"/>
            <w:noWrap/>
            <w:hideMark/>
          </w:tcPr>
          <w:p w14:paraId="4ABAC9A1"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Q4</w:t>
            </w:r>
          </w:p>
        </w:tc>
        <w:tc>
          <w:tcPr>
            <w:tcW w:w="632" w:type="dxa"/>
            <w:tcBorders>
              <w:top w:val="nil"/>
              <w:left w:val="nil"/>
              <w:bottom w:val="single" w:sz="4" w:space="0" w:color="auto"/>
              <w:right w:val="single" w:sz="4" w:space="0" w:color="auto"/>
            </w:tcBorders>
            <w:shd w:val="clear" w:color="auto" w:fill="C6EFCE"/>
            <w:noWrap/>
            <w:hideMark/>
          </w:tcPr>
          <w:p w14:paraId="7AD6118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2025</w:t>
            </w:r>
          </w:p>
        </w:tc>
        <w:tc>
          <w:tcPr>
            <w:tcW w:w="3724" w:type="dxa"/>
            <w:tcBorders>
              <w:top w:val="nil"/>
              <w:left w:val="nil"/>
              <w:bottom w:val="single" w:sz="4" w:space="0" w:color="auto"/>
              <w:right w:val="single" w:sz="4" w:space="0" w:color="auto"/>
            </w:tcBorders>
            <w:shd w:val="clear" w:color="auto" w:fill="C6EFCE"/>
            <w:noWrap/>
            <w:hideMark/>
          </w:tcPr>
          <w:p w14:paraId="016B8BC4" w14:textId="32CC57E3" w:rsidR="00935FC8" w:rsidRPr="00577DC1" w:rsidRDefault="72C3DC77" w:rsidP="00A7081A">
            <w:pPr>
              <w:spacing w:after="0" w:line="240" w:lineRule="auto"/>
              <w:rPr>
                <w:rFonts w:ascii="Times New Roman" w:hAnsi="Times New Roman"/>
                <w:noProof/>
                <w:sz w:val="20"/>
                <w:szCs w:val="20"/>
              </w:rPr>
            </w:pPr>
            <w:r w:rsidRPr="00577DC1">
              <w:rPr>
                <w:rFonts w:ascii="Times New Roman" w:hAnsi="Times New Roman"/>
                <w:noProof/>
                <w:sz w:val="20"/>
                <w:szCs w:val="20"/>
              </w:rPr>
              <w:t xml:space="preserve">The </w:t>
            </w:r>
            <w:r w:rsidR="0F23FBD6" w:rsidRPr="00577DC1">
              <w:rPr>
                <w:rFonts w:ascii="Times New Roman" w:hAnsi="Times New Roman"/>
                <w:noProof/>
                <w:sz w:val="20"/>
                <w:szCs w:val="20"/>
              </w:rPr>
              <w:t xml:space="preserve">updated </w:t>
            </w:r>
            <w:r w:rsidRPr="00577DC1">
              <w:rPr>
                <w:rFonts w:ascii="Times New Roman" w:hAnsi="Times New Roman"/>
                <w:noProof/>
                <w:sz w:val="20"/>
                <w:szCs w:val="20"/>
              </w:rPr>
              <w:t xml:space="preserve">climate </w:t>
            </w:r>
            <w:r w:rsidR="0F23FBD6" w:rsidRPr="00577DC1">
              <w:rPr>
                <w:rFonts w:ascii="Times New Roman" w:hAnsi="Times New Roman"/>
                <w:noProof/>
                <w:sz w:val="20"/>
                <w:szCs w:val="20"/>
              </w:rPr>
              <w:t>and energy</w:t>
            </w:r>
            <w:r w:rsidRPr="00577DC1">
              <w:rPr>
                <w:rFonts w:ascii="Times New Roman" w:hAnsi="Times New Roman"/>
                <w:noProof/>
                <w:sz w:val="20"/>
                <w:szCs w:val="20"/>
              </w:rPr>
              <w:t xml:space="preserve"> strateg</w:t>
            </w:r>
            <w:r w:rsidR="0F23FBD6" w:rsidRPr="00577DC1">
              <w:rPr>
                <w:rFonts w:ascii="Times New Roman" w:hAnsi="Times New Roman"/>
                <w:noProof/>
                <w:sz w:val="20"/>
                <w:szCs w:val="20"/>
              </w:rPr>
              <w:t>y</w:t>
            </w:r>
            <w:r w:rsidRPr="00577DC1">
              <w:rPr>
                <w:rFonts w:ascii="Times New Roman" w:hAnsi="Times New Roman"/>
                <w:noProof/>
                <w:sz w:val="20"/>
                <w:szCs w:val="20"/>
              </w:rPr>
              <w:t xml:space="preserve">, </w:t>
            </w:r>
            <w:r w:rsidR="18FD67AD" w:rsidRPr="00577DC1">
              <w:rPr>
                <w:rFonts w:ascii="Times New Roman" w:hAnsi="Times New Roman"/>
                <w:noProof/>
                <w:sz w:val="20"/>
                <w:szCs w:val="20"/>
              </w:rPr>
              <w:t xml:space="preserve">the medium-term climate change policy </w:t>
            </w:r>
            <w:r w:rsidRPr="00577DC1">
              <w:rPr>
                <w:rFonts w:ascii="Times New Roman" w:hAnsi="Times New Roman"/>
                <w:noProof/>
                <w:sz w:val="20"/>
                <w:szCs w:val="20"/>
              </w:rPr>
              <w:t xml:space="preserve">plan and sectoral low-carbon roadmaps of the energy, chemical, forest and technology industries shall be published. </w:t>
            </w:r>
          </w:p>
          <w:p w14:paraId="15DD8D56" w14:textId="77777777" w:rsidR="00935FC8" w:rsidRPr="00577DC1" w:rsidRDefault="00935FC8" w:rsidP="00A7081A">
            <w:pPr>
              <w:spacing w:after="0" w:line="240" w:lineRule="auto"/>
              <w:rPr>
                <w:rFonts w:ascii="Times New Roman" w:hAnsi="Times New Roman"/>
                <w:noProof/>
                <w:sz w:val="20"/>
                <w:szCs w:val="20"/>
              </w:rPr>
            </w:pPr>
          </w:p>
          <w:p w14:paraId="6F83D962" w14:textId="7926D791" w:rsidR="00935FC8" w:rsidRPr="00577DC1" w:rsidRDefault="72C3DC77" w:rsidP="00A7081A">
            <w:pPr>
              <w:spacing w:after="0" w:line="240" w:lineRule="auto"/>
              <w:rPr>
                <w:rFonts w:ascii="Times New Roman" w:hAnsi="Times New Roman"/>
                <w:noProof/>
                <w:sz w:val="20"/>
                <w:szCs w:val="20"/>
              </w:rPr>
            </w:pPr>
            <w:r w:rsidRPr="00577DC1">
              <w:rPr>
                <w:rFonts w:ascii="Times New Roman" w:hAnsi="Times New Roman"/>
                <w:noProof/>
                <w:sz w:val="20"/>
                <w:szCs w:val="20"/>
              </w:rPr>
              <w:t>The</w:t>
            </w:r>
            <w:r w:rsidR="18FD67AD" w:rsidRPr="00577DC1">
              <w:rPr>
                <w:rFonts w:ascii="Times New Roman" w:hAnsi="Times New Roman"/>
                <w:noProof/>
                <w:sz w:val="20"/>
                <w:szCs w:val="20"/>
              </w:rPr>
              <w:t xml:space="preserve"> updated</w:t>
            </w:r>
            <w:r w:rsidRPr="00577DC1">
              <w:rPr>
                <w:rFonts w:ascii="Times New Roman" w:hAnsi="Times New Roman"/>
                <w:noProof/>
                <w:sz w:val="20"/>
                <w:szCs w:val="20"/>
              </w:rPr>
              <w:t xml:space="preserve"> climate and energy strategy shall include policy measures addressing the climate and energy targets set by the EU for 2030, and targets included in the Government Programme. </w:t>
            </w:r>
          </w:p>
        </w:tc>
      </w:tr>
      <w:tr w:rsidR="00A7081A" w:rsidRPr="00577DC1" w14:paraId="50545F6C" w14:textId="77777777" w:rsidTr="00577DC1">
        <w:trPr>
          <w:trHeight w:val="308"/>
        </w:trPr>
        <w:tc>
          <w:tcPr>
            <w:tcW w:w="835" w:type="dxa"/>
            <w:tcBorders>
              <w:top w:val="nil"/>
              <w:left w:val="single" w:sz="4" w:space="0" w:color="auto"/>
              <w:bottom w:val="single" w:sz="4" w:space="0" w:color="auto"/>
              <w:right w:val="single" w:sz="4" w:space="0" w:color="auto"/>
            </w:tcBorders>
            <w:shd w:val="clear" w:color="auto" w:fill="C6EFCE"/>
            <w:noWrap/>
          </w:tcPr>
          <w:p w14:paraId="5A2A147F"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13</w:t>
            </w:r>
          </w:p>
        </w:tc>
        <w:tc>
          <w:tcPr>
            <w:tcW w:w="1800" w:type="dxa"/>
            <w:tcBorders>
              <w:top w:val="nil"/>
              <w:left w:val="nil"/>
              <w:bottom w:val="single" w:sz="4" w:space="0" w:color="auto"/>
              <w:right w:val="single" w:sz="4" w:space="0" w:color="auto"/>
            </w:tcBorders>
            <w:shd w:val="clear" w:color="auto" w:fill="C6EFCE"/>
            <w:noWrap/>
          </w:tcPr>
          <w:p w14:paraId="1B614260"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P1C2R2 - Industrial reforms and investments supporting the green and digital transition – Strategic promotion of the circular economy and reform of the Waste Act</w:t>
            </w:r>
          </w:p>
        </w:tc>
        <w:tc>
          <w:tcPr>
            <w:tcW w:w="1080" w:type="dxa"/>
            <w:tcBorders>
              <w:top w:val="nil"/>
              <w:left w:val="nil"/>
              <w:bottom w:val="single" w:sz="4" w:space="0" w:color="auto"/>
              <w:right w:val="single" w:sz="4" w:space="0" w:color="auto"/>
            </w:tcBorders>
            <w:shd w:val="clear" w:color="auto" w:fill="C6EFCE"/>
            <w:noWrap/>
          </w:tcPr>
          <w:p w14:paraId="7D3C287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387" w:type="dxa"/>
            <w:tcBorders>
              <w:top w:val="nil"/>
              <w:left w:val="nil"/>
              <w:bottom w:val="single" w:sz="4" w:space="0" w:color="auto"/>
              <w:right w:val="single" w:sz="4" w:space="0" w:color="auto"/>
            </w:tcBorders>
            <w:shd w:val="clear" w:color="auto" w:fill="C6EFCE"/>
            <w:noWrap/>
          </w:tcPr>
          <w:p w14:paraId="07E9B4BA" w14:textId="77777777" w:rsidR="00935FC8" w:rsidRPr="00577DC1" w:rsidRDefault="00935FC8" w:rsidP="00A7081A">
            <w:pPr>
              <w:spacing w:after="0" w:line="240" w:lineRule="auto"/>
              <w:rPr>
                <w:rFonts w:ascii="Times New Roman" w:hAnsi="Times New Roman"/>
                <w:noProof/>
                <w:sz w:val="20"/>
                <w:szCs w:val="20"/>
                <w:lang w:eastAsia="en-GB"/>
              </w:rPr>
            </w:pPr>
            <w:r w:rsidRPr="00577DC1">
              <w:rPr>
                <w:rFonts w:ascii="Times New Roman" w:hAnsi="Times New Roman"/>
                <w:noProof/>
                <w:sz w:val="20"/>
                <w:szCs w:val="20"/>
              </w:rPr>
              <w:t>Entry into force of legal act(s)</w:t>
            </w:r>
          </w:p>
        </w:tc>
        <w:tc>
          <w:tcPr>
            <w:tcW w:w="1223" w:type="dxa"/>
            <w:tcBorders>
              <w:top w:val="single" w:sz="4" w:space="0" w:color="auto"/>
              <w:left w:val="nil"/>
              <w:bottom w:val="single" w:sz="4" w:space="0" w:color="auto"/>
              <w:right w:val="single" w:sz="4" w:space="0" w:color="auto"/>
            </w:tcBorders>
            <w:shd w:val="clear" w:color="auto" w:fill="C6EFCE"/>
            <w:noWrap/>
          </w:tcPr>
          <w:p w14:paraId="2BC7065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Provision in the law indicating the entry into force of the legal act(s)</w:t>
            </w:r>
          </w:p>
        </w:tc>
        <w:tc>
          <w:tcPr>
            <w:tcW w:w="934" w:type="dxa"/>
            <w:tcBorders>
              <w:top w:val="nil"/>
              <w:left w:val="nil"/>
              <w:bottom w:val="single" w:sz="4" w:space="0" w:color="auto"/>
              <w:right w:val="single" w:sz="4" w:space="0" w:color="auto"/>
            </w:tcBorders>
            <w:shd w:val="clear" w:color="auto" w:fill="C6EFCE"/>
            <w:noWrap/>
          </w:tcPr>
          <w:p w14:paraId="0D4ABEA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907" w:type="dxa"/>
            <w:tcBorders>
              <w:top w:val="nil"/>
              <w:left w:val="nil"/>
              <w:bottom w:val="single" w:sz="4" w:space="0" w:color="auto"/>
              <w:right w:val="single" w:sz="4" w:space="0" w:color="auto"/>
            </w:tcBorders>
            <w:shd w:val="clear" w:color="auto" w:fill="C6EFCE"/>
            <w:noWrap/>
          </w:tcPr>
          <w:p w14:paraId="0780C2F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668" w:type="dxa"/>
            <w:tcBorders>
              <w:top w:val="nil"/>
              <w:left w:val="nil"/>
              <w:bottom w:val="single" w:sz="4" w:space="0" w:color="auto"/>
              <w:right w:val="single" w:sz="4" w:space="0" w:color="auto"/>
            </w:tcBorders>
            <w:shd w:val="clear" w:color="auto" w:fill="C6EFCE"/>
            <w:noWrap/>
          </w:tcPr>
          <w:p w14:paraId="71C55832"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756" w:type="dxa"/>
            <w:tcBorders>
              <w:top w:val="nil"/>
              <w:left w:val="nil"/>
              <w:bottom w:val="single" w:sz="4" w:space="0" w:color="auto"/>
              <w:right w:val="single" w:sz="4" w:space="0" w:color="auto"/>
            </w:tcBorders>
            <w:shd w:val="clear" w:color="auto" w:fill="C6EFCE"/>
            <w:noWrap/>
          </w:tcPr>
          <w:p w14:paraId="3AD572C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Q4</w:t>
            </w:r>
          </w:p>
        </w:tc>
        <w:tc>
          <w:tcPr>
            <w:tcW w:w="632" w:type="dxa"/>
            <w:tcBorders>
              <w:top w:val="nil"/>
              <w:left w:val="nil"/>
              <w:bottom w:val="single" w:sz="4" w:space="0" w:color="auto"/>
              <w:right w:val="single" w:sz="4" w:space="0" w:color="auto"/>
            </w:tcBorders>
            <w:shd w:val="clear" w:color="auto" w:fill="C6EFCE"/>
            <w:noWrap/>
          </w:tcPr>
          <w:p w14:paraId="29A0CC1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2024</w:t>
            </w:r>
          </w:p>
        </w:tc>
        <w:tc>
          <w:tcPr>
            <w:tcW w:w="3724" w:type="dxa"/>
            <w:tcBorders>
              <w:top w:val="nil"/>
              <w:left w:val="nil"/>
              <w:bottom w:val="single" w:sz="4" w:space="0" w:color="auto"/>
              <w:right w:val="single" w:sz="4" w:space="0" w:color="auto"/>
            </w:tcBorders>
            <w:shd w:val="clear" w:color="auto" w:fill="C6EFCE"/>
            <w:noWrap/>
          </w:tcPr>
          <w:p w14:paraId="18C2E7CD"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Entry into force of legal act(s) including:</w:t>
            </w:r>
          </w:p>
          <w:p w14:paraId="08435B99"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1) separate collection of biowaste in urban areas,</w:t>
            </w:r>
          </w:p>
          <w:p w14:paraId="1B1DB1EF"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2) producers to compensate municipalities for 80% of the cost of the separate collection and transport of packaging waste,</w:t>
            </w:r>
          </w:p>
          <w:p w14:paraId="5D3FDDE3"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3) separate collection of packaging waste and textiles,</w:t>
            </w:r>
          </w:p>
          <w:p w14:paraId="763032EA"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4) national separate collection of biowaste from new properties,</w:t>
            </w:r>
          </w:p>
          <w:p w14:paraId="321E38F7"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 xml:space="preserve">5) </w:t>
            </w:r>
            <w:r w:rsidRPr="00577DC1">
              <w:rPr>
                <w:rFonts w:ascii="Times New Roman" w:eastAsia="Times New Roman" w:hAnsi="Times New Roman"/>
                <w:noProof/>
                <w:sz w:val="20"/>
                <w:szCs w:val="20"/>
              </w:rPr>
              <w:t xml:space="preserve">general recycling targets for municipal waste, </w:t>
            </w:r>
            <w:r w:rsidRPr="00577DC1">
              <w:rPr>
                <w:rFonts w:ascii="Times New Roman" w:hAnsi="Times New Roman"/>
                <w:noProof/>
                <w:sz w:val="20"/>
                <w:szCs w:val="20"/>
              </w:rPr>
              <w:t>which shall be increased to 55% in 2025 and 60% in 2030,</w:t>
            </w:r>
          </w:p>
          <w:p w14:paraId="4C7C1C3E" w14:textId="77777777" w:rsidR="00935FC8" w:rsidRPr="00577DC1" w:rsidRDefault="00935FC8" w:rsidP="00A7081A">
            <w:pPr>
              <w:spacing w:after="0" w:line="240" w:lineRule="auto"/>
              <w:rPr>
                <w:rFonts w:ascii="Times New Roman" w:eastAsia="Times New Roman" w:hAnsi="Times New Roman"/>
                <w:noProof/>
                <w:sz w:val="20"/>
                <w:szCs w:val="20"/>
              </w:rPr>
            </w:pPr>
            <w:r w:rsidRPr="00577DC1">
              <w:rPr>
                <w:rFonts w:ascii="Times New Roman" w:hAnsi="Times New Roman"/>
                <w:noProof/>
                <w:sz w:val="20"/>
                <w:szCs w:val="20"/>
              </w:rPr>
              <w:t>6) legally binding recycling targets for packaging waste producers, which shall increase the target for the recycling rate of plastic packaging to 55% by 2030.</w:t>
            </w:r>
          </w:p>
        </w:tc>
      </w:tr>
      <w:tr w:rsidR="00A7081A" w:rsidRPr="00577DC1" w14:paraId="0CC49FB7" w14:textId="77777777" w:rsidTr="00577DC1">
        <w:trPr>
          <w:trHeight w:val="308"/>
        </w:trPr>
        <w:tc>
          <w:tcPr>
            <w:tcW w:w="835" w:type="dxa"/>
            <w:tcBorders>
              <w:top w:val="nil"/>
              <w:left w:val="single" w:sz="4" w:space="0" w:color="auto"/>
              <w:bottom w:val="single" w:sz="4" w:space="0" w:color="auto"/>
              <w:right w:val="single" w:sz="4" w:space="0" w:color="auto"/>
            </w:tcBorders>
            <w:shd w:val="clear" w:color="auto" w:fill="C6EFCE"/>
            <w:noWrap/>
          </w:tcPr>
          <w:p w14:paraId="4FDD9776"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14</w:t>
            </w:r>
          </w:p>
        </w:tc>
        <w:tc>
          <w:tcPr>
            <w:tcW w:w="1800" w:type="dxa"/>
            <w:tcBorders>
              <w:top w:val="nil"/>
              <w:left w:val="nil"/>
              <w:bottom w:val="single" w:sz="4" w:space="0" w:color="auto"/>
              <w:right w:val="single" w:sz="4" w:space="0" w:color="auto"/>
            </w:tcBorders>
            <w:shd w:val="clear" w:color="auto" w:fill="C6EFCE"/>
            <w:noWrap/>
          </w:tcPr>
          <w:p w14:paraId="030872E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P1C2R2 - Industrial reforms and investments supporting the green and digital transition – Strategic promotion of the circular economy and reform of the Waste Act</w:t>
            </w:r>
          </w:p>
        </w:tc>
        <w:tc>
          <w:tcPr>
            <w:tcW w:w="1080" w:type="dxa"/>
            <w:tcBorders>
              <w:top w:val="nil"/>
              <w:left w:val="nil"/>
              <w:bottom w:val="single" w:sz="4" w:space="0" w:color="auto"/>
              <w:right w:val="single" w:sz="4" w:space="0" w:color="auto"/>
            </w:tcBorders>
            <w:shd w:val="clear" w:color="auto" w:fill="C6EFCE"/>
            <w:noWrap/>
          </w:tcPr>
          <w:p w14:paraId="762D6E2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387" w:type="dxa"/>
            <w:tcBorders>
              <w:top w:val="nil"/>
              <w:left w:val="nil"/>
              <w:bottom w:val="single" w:sz="4" w:space="0" w:color="auto"/>
              <w:right w:val="single" w:sz="4" w:space="0" w:color="auto"/>
            </w:tcBorders>
            <w:shd w:val="clear" w:color="auto" w:fill="C6EFCE"/>
            <w:noWrap/>
          </w:tcPr>
          <w:p w14:paraId="47E86EC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Adoption of the Government resolution on the implementation of the Strategic Programme for a Circular Economy</w:t>
            </w:r>
          </w:p>
        </w:tc>
        <w:tc>
          <w:tcPr>
            <w:tcW w:w="1223" w:type="dxa"/>
            <w:tcBorders>
              <w:top w:val="nil"/>
              <w:left w:val="nil"/>
              <w:bottom w:val="single" w:sz="4" w:space="0" w:color="auto"/>
              <w:right w:val="single" w:sz="4" w:space="0" w:color="auto"/>
            </w:tcBorders>
            <w:shd w:val="clear" w:color="auto" w:fill="C6EFCE"/>
            <w:noWrap/>
          </w:tcPr>
          <w:p w14:paraId="3AEF4660"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the Government resolution (YM/2021/17) on the Government website</w:t>
            </w:r>
          </w:p>
        </w:tc>
        <w:tc>
          <w:tcPr>
            <w:tcW w:w="934" w:type="dxa"/>
            <w:tcBorders>
              <w:top w:val="nil"/>
              <w:left w:val="nil"/>
              <w:bottom w:val="single" w:sz="4" w:space="0" w:color="auto"/>
              <w:right w:val="single" w:sz="4" w:space="0" w:color="auto"/>
            </w:tcBorders>
            <w:shd w:val="clear" w:color="auto" w:fill="C6EFCE"/>
            <w:noWrap/>
          </w:tcPr>
          <w:p w14:paraId="086BA88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907" w:type="dxa"/>
            <w:tcBorders>
              <w:top w:val="nil"/>
              <w:left w:val="nil"/>
              <w:bottom w:val="single" w:sz="4" w:space="0" w:color="auto"/>
              <w:right w:val="single" w:sz="4" w:space="0" w:color="auto"/>
            </w:tcBorders>
            <w:shd w:val="clear" w:color="auto" w:fill="C6EFCE"/>
            <w:noWrap/>
          </w:tcPr>
          <w:p w14:paraId="252DA3E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668" w:type="dxa"/>
            <w:tcBorders>
              <w:top w:val="nil"/>
              <w:left w:val="nil"/>
              <w:bottom w:val="single" w:sz="4" w:space="0" w:color="auto"/>
              <w:right w:val="single" w:sz="4" w:space="0" w:color="auto"/>
            </w:tcBorders>
            <w:shd w:val="clear" w:color="auto" w:fill="C6EFCE"/>
            <w:noWrap/>
          </w:tcPr>
          <w:p w14:paraId="62F5B2BA"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756" w:type="dxa"/>
            <w:tcBorders>
              <w:top w:val="nil"/>
              <w:left w:val="nil"/>
              <w:bottom w:val="single" w:sz="4" w:space="0" w:color="auto"/>
              <w:right w:val="single" w:sz="4" w:space="0" w:color="auto"/>
            </w:tcBorders>
            <w:shd w:val="clear" w:color="auto" w:fill="C6EFCE"/>
            <w:noWrap/>
          </w:tcPr>
          <w:p w14:paraId="06D6734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632" w:type="dxa"/>
            <w:tcBorders>
              <w:top w:val="nil"/>
              <w:left w:val="nil"/>
              <w:bottom w:val="single" w:sz="4" w:space="0" w:color="auto"/>
              <w:right w:val="single" w:sz="4" w:space="0" w:color="auto"/>
            </w:tcBorders>
            <w:shd w:val="clear" w:color="auto" w:fill="C6EFCE"/>
            <w:noWrap/>
          </w:tcPr>
          <w:p w14:paraId="6C11E966"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2021</w:t>
            </w:r>
          </w:p>
        </w:tc>
        <w:tc>
          <w:tcPr>
            <w:tcW w:w="3724" w:type="dxa"/>
            <w:tcBorders>
              <w:top w:val="nil"/>
              <w:left w:val="nil"/>
              <w:bottom w:val="single" w:sz="4" w:space="0" w:color="auto"/>
              <w:right w:val="single" w:sz="4" w:space="0" w:color="auto"/>
            </w:tcBorders>
            <w:shd w:val="clear" w:color="auto" w:fill="C6EFCE"/>
            <w:noWrap/>
          </w:tcPr>
          <w:p w14:paraId="0633D024" w14:textId="779374B5"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The Government resolution on the implementation of the strategic programme for a circular economy shall be adopted and shall include the objective that the consumption of non-renewable natural resources decreases, and the sustainable use of renewable natural resources may increase so that the total domestic consumption of primary raw materials will not exceed the 2015 level by 2035.</w:t>
            </w:r>
          </w:p>
        </w:tc>
      </w:tr>
      <w:tr w:rsidR="00A7081A" w:rsidRPr="00577DC1" w14:paraId="34ED0AAA" w14:textId="77777777" w:rsidTr="00577DC1">
        <w:trPr>
          <w:trHeight w:val="1511"/>
        </w:trPr>
        <w:tc>
          <w:tcPr>
            <w:tcW w:w="835" w:type="dxa"/>
            <w:tcBorders>
              <w:top w:val="nil"/>
              <w:left w:val="single" w:sz="4" w:space="0" w:color="auto"/>
              <w:bottom w:val="single" w:sz="4" w:space="0" w:color="auto"/>
              <w:right w:val="single" w:sz="4" w:space="0" w:color="auto"/>
            </w:tcBorders>
            <w:shd w:val="clear" w:color="auto" w:fill="C6EFCE"/>
            <w:noWrap/>
          </w:tcPr>
          <w:p w14:paraId="6E2FF084"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15</w:t>
            </w:r>
          </w:p>
        </w:tc>
        <w:tc>
          <w:tcPr>
            <w:tcW w:w="1800" w:type="dxa"/>
            <w:tcBorders>
              <w:top w:val="nil"/>
              <w:left w:val="nil"/>
              <w:bottom w:val="single" w:sz="4" w:space="0" w:color="auto"/>
              <w:right w:val="single" w:sz="4" w:space="0" w:color="auto"/>
            </w:tcBorders>
            <w:shd w:val="clear" w:color="auto" w:fill="C6EFCE"/>
            <w:noWrap/>
          </w:tcPr>
          <w:p w14:paraId="402AEB4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P1C2R2 - Industrial reforms and investments supporting the green and digital transition – Strategic promotion of the circular economy and reform of the Waste Act</w:t>
            </w:r>
          </w:p>
        </w:tc>
        <w:tc>
          <w:tcPr>
            <w:tcW w:w="1080" w:type="dxa"/>
            <w:tcBorders>
              <w:top w:val="nil"/>
              <w:left w:val="nil"/>
              <w:bottom w:val="single" w:sz="4" w:space="0" w:color="auto"/>
              <w:right w:val="single" w:sz="4" w:space="0" w:color="auto"/>
            </w:tcBorders>
            <w:shd w:val="clear" w:color="auto" w:fill="C6EFCE"/>
            <w:noWrap/>
          </w:tcPr>
          <w:p w14:paraId="49907E86"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387" w:type="dxa"/>
            <w:tcBorders>
              <w:top w:val="nil"/>
              <w:left w:val="nil"/>
              <w:bottom w:val="single" w:sz="4" w:space="0" w:color="auto"/>
              <w:right w:val="single" w:sz="4" w:space="0" w:color="auto"/>
            </w:tcBorders>
            <w:shd w:val="clear" w:color="auto" w:fill="C6EFCE"/>
            <w:noWrap/>
          </w:tcPr>
          <w:p w14:paraId="4752A6F5" w14:textId="77777777" w:rsidR="00935FC8" w:rsidRPr="00577DC1" w:rsidRDefault="00935FC8" w:rsidP="00A7081A">
            <w:pPr>
              <w:spacing w:after="0" w:line="240" w:lineRule="auto"/>
              <w:rPr>
                <w:rFonts w:ascii="Times New Roman" w:hAnsi="Times New Roman"/>
                <w:noProof/>
                <w:sz w:val="20"/>
                <w:szCs w:val="20"/>
                <w:lang w:eastAsia="en-GB"/>
              </w:rPr>
            </w:pPr>
            <w:r w:rsidRPr="00577DC1">
              <w:rPr>
                <w:rFonts w:ascii="Times New Roman" w:hAnsi="Times New Roman"/>
                <w:noProof/>
                <w:sz w:val="20"/>
                <w:szCs w:val="20"/>
              </w:rPr>
              <w:t xml:space="preserve">Stakeholders accepted to the Circular Economy Green Deal </w:t>
            </w:r>
          </w:p>
        </w:tc>
        <w:tc>
          <w:tcPr>
            <w:tcW w:w="1223" w:type="dxa"/>
            <w:tcBorders>
              <w:top w:val="nil"/>
              <w:left w:val="nil"/>
              <w:bottom w:val="single" w:sz="4" w:space="0" w:color="auto"/>
              <w:right w:val="single" w:sz="4" w:space="0" w:color="auto"/>
            </w:tcBorders>
            <w:shd w:val="clear" w:color="auto" w:fill="C6EFCE"/>
            <w:noWrap/>
          </w:tcPr>
          <w:p w14:paraId="48DBDB6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Stakeholders accepted to the Circular Economy Green Deal</w:t>
            </w:r>
          </w:p>
        </w:tc>
        <w:tc>
          <w:tcPr>
            <w:tcW w:w="934" w:type="dxa"/>
            <w:tcBorders>
              <w:top w:val="nil"/>
              <w:left w:val="nil"/>
              <w:bottom w:val="single" w:sz="4" w:space="0" w:color="auto"/>
              <w:right w:val="single" w:sz="4" w:space="0" w:color="auto"/>
            </w:tcBorders>
            <w:shd w:val="clear" w:color="auto" w:fill="C6EFCE"/>
            <w:noWrap/>
          </w:tcPr>
          <w:p w14:paraId="357C9C1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907" w:type="dxa"/>
            <w:tcBorders>
              <w:top w:val="nil"/>
              <w:left w:val="nil"/>
              <w:bottom w:val="single" w:sz="4" w:space="0" w:color="auto"/>
              <w:right w:val="single" w:sz="4" w:space="0" w:color="auto"/>
            </w:tcBorders>
            <w:shd w:val="clear" w:color="auto" w:fill="C6EFCE"/>
            <w:noWrap/>
          </w:tcPr>
          <w:p w14:paraId="087CF580"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668" w:type="dxa"/>
            <w:tcBorders>
              <w:top w:val="nil"/>
              <w:left w:val="nil"/>
              <w:bottom w:val="single" w:sz="4" w:space="0" w:color="auto"/>
              <w:right w:val="single" w:sz="4" w:space="0" w:color="auto"/>
            </w:tcBorders>
            <w:shd w:val="clear" w:color="auto" w:fill="C6EFCE"/>
            <w:noWrap/>
          </w:tcPr>
          <w:p w14:paraId="3CE2EC7E"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756" w:type="dxa"/>
            <w:tcBorders>
              <w:top w:val="nil"/>
              <w:left w:val="nil"/>
              <w:bottom w:val="single" w:sz="4" w:space="0" w:color="auto"/>
              <w:right w:val="single" w:sz="4" w:space="0" w:color="auto"/>
            </w:tcBorders>
            <w:shd w:val="clear" w:color="auto" w:fill="C6EFCE"/>
            <w:noWrap/>
          </w:tcPr>
          <w:p w14:paraId="68977211"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632" w:type="dxa"/>
            <w:tcBorders>
              <w:top w:val="nil"/>
              <w:left w:val="nil"/>
              <w:bottom w:val="single" w:sz="4" w:space="0" w:color="auto"/>
              <w:right w:val="single" w:sz="4" w:space="0" w:color="auto"/>
            </w:tcBorders>
            <w:shd w:val="clear" w:color="auto" w:fill="C6EFCE"/>
            <w:noWrap/>
          </w:tcPr>
          <w:p w14:paraId="14FFDD48" w14:textId="77777777" w:rsidR="00935FC8" w:rsidRPr="00577DC1" w:rsidRDefault="00935FC8" w:rsidP="00A7081A">
            <w:pPr>
              <w:spacing w:after="0" w:line="240" w:lineRule="auto"/>
              <w:rPr>
                <w:rFonts w:ascii="Times New Roman" w:eastAsia="Times New Roman" w:hAnsi="Times New Roman"/>
                <w:noProof/>
                <w:sz w:val="20"/>
                <w:szCs w:val="20"/>
              </w:rPr>
            </w:pPr>
            <w:r w:rsidRPr="00577DC1">
              <w:rPr>
                <w:rFonts w:ascii="Times New Roman" w:hAnsi="Times New Roman"/>
                <w:noProof/>
                <w:sz w:val="20"/>
                <w:szCs w:val="20"/>
              </w:rPr>
              <w:t xml:space="preserve"> 2025</w:t>
            </w:r>
          </w:p>
        </w:tc>
        <w:tc>
          <w:tcPr>
            <w:tcW w:w="3724" w:type="dxa"/>
            <w:tcBorders>
              <w:top w:val="nil"/>
              <w:left w:val="nil"/>
              <w:bottom w:val="single" w:sz="4" w:space="0" w:color="auto"/>
              <w:right w:val="single" w:sz="4" w:space="0" w:color="auto"/>
            </w:tcBorders>
            <w:shd w:val="clear" w:color="auto" w:fill="C6EFCE"/>
            <w:noWrap/>
          </w:tcPr>
          <w:p w14:paraId="36D8C43C" w14:textId="6EF133B2"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The Circular Economy Green Deal shall be published on the website of the Ministry of the Environment. At least 22 positive assessments by the Evaluation Group of the Ministry of the Environment of stakeholder applications to join the Circular Economy Green Deal shall be submitted.</w:t>
            </w:r>
          </w:p>
        </w:tc>
      </w:tr>
      <w:tr w:rsidR="00A7081A" w:rsidRPr="00577DC1" w14:paraId="7E490A48" w14:textId="77777777" w:rsidTr="00577DC1">
        <w:trPr>
          <w:trHeight w:val="308"/>
        </w:trPr>
        <w:tc>
          <w:tcPr>
            <w:tcW w:w="835" w:type="dxa"/>
            <w:tcBorders>
              <w:top w:val="nil"/>
              <w:left w:val="single" w:sz="4" w:space="0" w:color="auto"/>
              <w:bottom w:val="single" w:sz="4" w:space="0" w:color="auto"/>
              <w:right w:val="single" w:sz="4" w:space="0" w:color="auto"/>
            </w:tcBorders>
            <w:shd w:val="clear" w:color="auto" w:fill="C6EFCE"/>
            <w:noWrap/>
            <w:hideMark/>
          </w:tcPr>
          <w:p w14:paraId="04BEDF92"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16</w:t>
            </w:r>
          </w:p>
        </w:tc>
        <w:tc>
          <w:tcPr>
            <w:tcW w:w="1800" w:type="dxa"/>
            <w:tcBorders>
              <w:top w:val="nil"/>
              <w:left w:val="nil"/>
              <w:bottom w:val="single" w:sz="4" w:space="0" w:color="auto"/>
              <w:right w:val="single" w:sz="4" w:space="0" w:color="auto"/>
            </w:tcBorders>
            <w:shd w:val="clear" w:color="auto" w:fill="C6EFCE"/>
            <w:noWrap/>
            <w:hideMark/>
          </w:tcPr>
          <w:p w14:paraId="2993A64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P1C2I1 - Industrial reforms and investments in support of the green and digital transition – low-carbon hydrogen and carbon capture and utilisation</w:t>
            </w:r>
          </w:p>
        </w:tc>
        <w:tc>
          <w:tcPr>
            <w:tcW w:w="1080" w:type="dxa"/>
            <w:tcBorders>
              <w:top w:val="nil"/>
              <w:left w:val="nil"/>
              <w:bottom w:val="single" w:sz="4" w:space="0" w:color="auto"/>
              <w:right w:val="single" w:sz="4" w:space="0" w:color="auto"/>
            </w:tcBorders>
            <w:shd w:val="clear" w:color="auto" w:fill="C6EFCE"/>
            <w:noWrap/>
            <w:hideMark/>
          </w:tcPr>
          <w:p w14:paraId="205EBB26"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387" w:type="dxa"/>
            <w:tcBorders>
              <w:top w:val="nil"/>
              <w:left w:val="nil"/>
              <w:bottom w:val="single" w:sz="4" w:space="0" w:color="auto"/>
              <w:right w:val="single" w:sz="4" w:space="0" w:color="auto"/>
            </w:tcBorders>
            <w:shd w:val="clear" w:color="auto" w:fill="C6EFCE"/>
            <w:noWrap/>
            <w:hideMark/>
          </w:tcPr>
          <w:p w14:paraId="6D3E73F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the first national call for applications for the production and utilisation of low-emission hydrogen as well as carbon dioxide capture and utilisation</w:t>
            </w:r>
          </w:p>
        </w:tc>
        <w:tc>
          <w:tcPr>
            <w:tcW w:w="1223" w:type="dxa"/>
            <w:tcBorders>
              <w:top w:val="single" w:sz="4" w:space="0" w:color="auto"/>
              <w:left w:val="nil"/>
              <w:bottom w:val="single" w:sz="4" w:space="0" w:color="auto"/>
              <w:right w:val="single" w:sz="4" w:space="0" w:color="auto"/>
            </w:tcBorders>
            <w:shd w:val="clear" w:color="auto" w:fill="C6EFCE"/>
            <w:noWrap/>
            <w:hideMark/>
          </w:tcPr>
          <w:p w14:paraId="0FF40920"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the first calls for applications on Business Finland’s website</w:t>
            </w:r>
          </w:p>
        </w:tc>
        <w:tc>
          <w:tcPr>
            <w:tcW w:w="934" w:type="dxa"/>
            <w:tcBorders>
              <w:top w:val="nil"/>
              <w:left w:val="nil"/>
              <w:bottom w:val="single" w:sz="4" w:space="0" w:color="auto"/>
              <w:right w:val="single" w:sz="4" w:space="0" w:color="auto"/>
            </w:tcBorders>
            <w:shd w:val="clear" w:color="auto" w:fill="C6EFCE"/>
            <w:noWrap/>
            <w:hideMark/>
          </w:tcPr>
          <w:p w14:paraId="200ED93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907" w:type="dxa"/>
            <w:tcBorders>
              <w:top w:val="nil"/>
              <w:left w:val="nil"/>
              <w:bottom w:val="single" w:sz="4" w:space="0" w:color="auto"/>
              <w:right w:val="single" w:sz="4" w:space="0" w:color="auto"/>
            </w:tcBorders>
            <w:shd w:val="clear" w:color="auto" w:fill="C6EFCE"/>
            <w:noWrap/>
            <w:hideMark/>
          </w:tcPr>
          <w:p w14:paraId="74B086A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668" w:type="dxa"/>
            <w:tcBorders>
              <w:top w:val="nil"/>
              <w:left w:val="nil"/>
              <w:bottom w:val="single" w:sz="4" w:space="0" w:color="auto"/>
              <w:right w:val="single" w:sz="4" w:space="0" w:color="auto"/>
            </w:tcBorders>
            <w:shd w:val="clear" w:color="auto" w:fill="C6EFCE"/>
            <w:noWrap/>
            <w:hideMark/>
          </w:tcPr>
          <w:p w14:paraId="332A5C7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756" w:type="dxa"/>
            <w:tcBorders>
              <w:top w:val="nil"/>
              <w:left w:val="nil"/>
              <w:bottom w:val="single" w:sz="4" w:space="0" w:color="auto"/>
              <w:right w:val="single" w:sz="4" w:space="0" w:color="auto"/>
            </w:tcBorders>
            <w:shd w:val="clear" w:color="auto" w:fill="C6EFCE"/>
            <w:noWrap/>
            <w:hideMark/>
          </w:tcPr>
          <w:p w14:paraId="7B29B95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Q4</w:t>
            </w:r>
          </w:p>
        </w:tc>
        <w:tc>
          <w:tcPr>
            <w:tcW w:w="632" w:type="dxa"/>
            <w:tcBorders>
              <w:top w:val="nil"/>
              <w:left w:val="nil"/>
              <w:bottom w:val="single" w:sz="4" w:space="0" w:color="auto"/>
              <w:right w:val="single" w:sz="4" w:space="0" w:color="auto"/>
            </w:tcBorders>
            <w:shd w:val="clear" w:color="auto" w:fill="C6EFCE"/>
            <w:noWrap/>
            <w:hideMark/>
          </w:tcPr>
          <w:p w14:paraId="0AB8FBD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2021</w:t>
            </w:r>
          </w:p>
        </w:tc>
        <w:tc>
          <w:tcPr>
            <w:tcW w:w="3724" w:type="dxa"/>
            <w:tcBorders>
              <w:top w:val="nil"/>
              <w:left w:val="nil"/>
              <w:bottom w:val="single" w:sz="4" w:space="0" w:color="auto"/>
              <w:right w:val="single" w:sz="4" w:space="0" w:color="auto"/>
            </w:tcBorders>
            <w:shd w:val="clear" w:color="auto" w:fill="C6EFCE"/>
            <w:noWrap/>
            <w:hideMark/>
          </w:tcPr>
          <w:p w14:paraId="75A2B6BB" w14:textId="3D798A68"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eastAsia="Times New Roman" w:hAnsi="Times New Roman"/>
                <w:noProof/>
                <w:sz w:val="20"/>
                <w:szCs w:val="20"/>
                <w:lang w:eastAsia="en-GB"/>
              </w:rPr>
              <w:t>Launch of the first national call for applications for the production and utilisation of low-emission hydrogen as well as carbon dioxide capture and utilisation. The terms of reference of the call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A7081A" w:rsidRPr="00577DC1" w14:paraId="7ED180DD" w14:textId="77777777" w:rsidTr="00577DC1">
        <w:trPr>
          <w:trHeight w:val="308"/>
        </w:trPr>
        <w:tc>
          <w:tcPr>
            <w:tcW w:w="835" w:type="dxa"/>
            <w:tcBorders>
              <w:top w:val="nil"/>
              <w:left w:val="single" w:sz="4" w:space="0" w:color="auto"/>
              <w:bottom w:val="single" w:sz="4" w:space="0" w:color="auto"/>
              <w:right w:val="single" w:sz="4" w:space="0" w:color="auto"/>
            </w:tcBorders>
            <w:shd w:val="clear" w:color="auto" w:fill="C6EFCE"/>
            <w:noWrap/>
            <w:hideMark/>
          </w:tcPr>
          <w:p w14:paraId="531C7127"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17</w:t>
            </w:r>
          </w:p>
        </w:tc>
        <w:tc>
          <w:tcPr>
            <w:tcW w:w="1800" w:type="dxa"/>
            <w:tcBorders>
              <w:top w:val="nil"/>
              <w:left w:val="nil"/>
              <w:bottom w:val="single" w:sz="4" w:space="0" w:color="auto"/>
              <w:right w:val="single" w:sz="4" w:space="0" w:color="auto"/>
            </w:tcBorders>
            <w:shd w:val="clear" w:color="auto" w:fill="C6EFCE"/>
            <w:noWrap/>
            <w:hideMark/>
          </w:tcPr>
          <w:p w14:paraId="052DCEE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P1C2I1 - Industrial reforms and investments in support of the green and digital transition – low-carbon hydrogen and carbon capture and utilisation</w:t>
            </w:r>
          </w:p>
        </w:tc>
        <w:tc>
          <w:tcPr>
            <w:tcW w:w="1080" w:type="dxa"/>
            <w:tcBorders>
              <w:top w:val="nil"/>
              <w:left w:val="nil"/>
              <w:bottom w:val="single" w:sz="4" w:space="0" w:color="auto"/>
              <w:right w:val="single" w:sz="4" w:space="0" w:color="auto"/>
            </w:tcBorders>
            <w:shd w:val="clear" w:color="auto" w:fill="C6EFCE"/>
            <w:noWrap/>
            <w:hideMark/>
          </w:tcPr>
          <w:p w14:paraId="4966E5F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387" w:type="dxa"/>
            <w:tcBorders>
              <w:top w:val="nil"/>
              <w:left w:val="nil"/>
              <w:bottom w:val="single" w:sz="4" w:space="0" w:color="auto"/>
              <w:right w:val="single" w:sz="4" w:space="0" w:color="auto"/>
            </w:tcBorders>
            <w:shd w:val="clear" w:color="auto" w:fill="C6EFCE"/>
            <w:noWrap/>
            <w:hideMark/>
          </w:tcPr>
          <w:p w14:paraId="0B91B04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Implementing Agreement</w:t>
            </w:r>
          </w:p>
        </w:tc>
        <w:tc>
          <w:tcPr>
            <w:tcW w:w="1223" w:type="dxa"/>
            <w:tcBorders>
              <w:top w:val="nil"/>
              <w:left w:val="nil"/>
              <w:bottom w:val="single" w:sz="4" w:space="0" w:color="auto"/>
              <w:right w:val="single" w:sz="4" w:space="0" w:color="auto"/>
            </w:tcBorders>
            <w:shd w:val="clear" w:color="auto" w:fill="C6EFCE"/>
            <w:noWrap/>
            <w:hideMark/>
          </w:tcPr>
          <w:p w14:paraId="6F23F1A0"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Entry into force of the Implementing Agreement</w:t>
            </w:r>
          </w:p>
        </w:tc>
        <w:tc>
          <w:tcPr>
            <w:tcW w:w="934" w:type="dxa"/>
            <w:tcBorders>
              <w:top w:val="nil"/>
              <w:left w:val="nil"/>
              <w:bottom w:val="single" w:sz="4" w:space="0" w:color="auto"/>
              <w:right w:val="single" w:sz="4" w:space="0" w:color="auto"/>
            </w:tcBorders>
            <w:shd w:val="clear" w:color="auto" w:fill="C6EFCE"/>
            <w:noWrap/>
            <w:hideMark/>
          </w:tcPr>
          <w:p w14:paraId="50F9678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907" w:type="dxa"/>
            <w:tcBorders>
              <w:top w:val="nil"/>
              <w:left w:val="nil"/>
              <w:bottom w:val="single" w:sz="4" w:space="0" w:color="auto"/>
              <w:right w:val="single" w:sz="4" w:space="0" w:color="auto"/>
            </w:tcBorders>
            <w:shd w:val="clear" w:color="auto" w:fill="C6EFCE"/>
            <w:noWrap/>
            <w:hideMark/>
          </w:tcPr>
          <w:p w14:paraId="0B06AA1A"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668" w:type="dxa"/>
            <w:tcBorders>
              <w:top w:val="nil"/>
              <w:left w:val="nil"/>
              <w:bottom w:val="single" w:sz="4" w:space="0" w:color="auto"/>
              <w:right w:val="single" w:sz="4" w:space="0" w:color="auto"/>
            </w:tcBorders>
            <w:shd w:val="clear" w:color="auto" w:fill="C6EFCE"/>
            <w:noWrap/>
            <w:hideMark/>
          </w:tcPr>
          <w:p w14:paraId="19B8500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756" w:type="dxa"/>
            <w:tcBorders>
              <w:top w:val="nil"/>
              <w:left w:val="nil"/>
              <w:bottom w:val="single" w:sz="4" w:space="0" w:color="auto"/>
              <w:right w:val="single" w:sz="4" w:space="0" w:color="auto"/>
            </w:tcBorders>
            <w:shd w:val="clear" w:color="auto" w:fill="C6EFCE"/>
            <w:noWrap/>
            <w:hideMark/>
          </w:tcPr>
          <w:p w14:paraId="4EE4142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sidDel="00600BAA">
              <w:rPr>
                <w:rFonts w:ascii="Times New Roman" w:hAnsi="Times New Roman"/>
                <w:noProof/>
                <w:sz w:val="20"/>
                <w:szCs w:val="20"/>
              </w:rPr>
              <w:t>Q4</w:t>
            </w:r>
          </w:p>
        </w:tc>
        <w:tc>
          <w:tcPr>
            <w:tcW w:w="632" w:type="dxa"/>
            <w:tcBorders>
              <w:top w:val="nil"/>
              <w:left w:val="nil"/>
              <w:bottom w:val="single" w:sz="4" w:space="0" w:color="auto"/>
              <w:right w:val="single" w:sz="4" w:space="0" w:color="auto"/>
            </w:tcBorders>
            <w:shd w:val="clear" w:color="auto" w:fill="C6EFCE"/>
            <w:noWrap/>
            <w:hideMark/>
          </w:tcPr>
          <w:p w14:paraId="1EE6320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2025</w:t>
            </w:r>
          </w:p>
        </w:tc>
        <w:tc>
          <w:tcPr>
            <w:tcW w:w="3724" w:type="dxa"/>
            <w:tcBorders>
              <w:top w:val="nil"/>
              <w:left w:val="nil"/>
              <w:bottom w:val="single" w:sz="4" w:space="0" w:color="auto"/>
              <w:right w:val="single" w:sz="4" w:space="0" w:color="auto"/>
            </w:tcBorders>
            <w:shd w:val="clear" w:color="auto" w:fill="C6EFCE"/>
            <w:noWrap/>
            <w:hideMark/>
          </w:tcPr>
          <w:p w14:paraId="0019F4D0"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eastAsia="Times New Roman" w:hAnsi="Times New Roman"/>
                <w:noProof/>
                <w:sz w:val="20"/>
                <w:szCs w:val="20"/>
                <w:lang w:eastAsia="en-GB"/>
              </w:rPr>
              <w:t>Entry into force of the Implementing Agreement.</w:t>
            </w:r>
          </w:p>
        </w:tc>
      </w:tr>
      <w:tr w:rsidR="00A7081A" w:rsidRPr="00577DC1" w14:paraId="1B1F1800" w14:textId="77777777" w:rsidTr="00577DC1">
        <w:trPr>
          <w:trHeight w:val="308"/>
        </w:trPr>
        <w:tc>
          <w:tcPr>
            <w:tcW w:w="835" w:type="dxa"/>
            <w:tcBorders>
              <w:top w:val="single" w:sz="4" w:space="0" w:color="auto"/>
              <w:left w:val="single" w:sz="4" w:space="0" w:color="auto"/>
              <w:bottom w:val="single" w:sz="4" w:space="0" w:color="auto"/>
              <w:right w:val="single" w:sz="4" w:space="0" w:color="auto"/>
            </w:tcBorders>
            <w:shd w:val="clear" w:color="auto" w:fill="C6EFCE"/>
            <w:noWrap/>
            <w:hideMark/>
          </w:tcPr>
          <w:p w14:paraId="46498C0E"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18</w:t>
            </w:r>
          </w:p>
        </w:tc>
        <w:tc>
          <w:tcPr>
            <w:tcW w:w="1800" w:type="dxa"/>
            <w:tcBorders>
              <w:top w:val="single" w:sz="4" w:space="0" w:color="auto"/>
              <w:left w:val="nil"/>
              <w:bottom w:val="single" w:sz="4" w:space="0" w:color="auto"/>
              <w:right w:val="single" w:sz="4" w:space="0" w:color="auto"/>
            </w:tcBorders>
            <w:shd w:val="clear" w:color="auto" w:fill="C6EFCE"/>
            <w:noWrap/>
            <w:hideMark/>
          </w:tcPr>
          <w:p w14:paraId="0E8EE09D"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P1C2I1 - Industrial reforms and investments in support of the green and digital transition – low-carbon hydrogen and carbon capture and utilisation</w:t>
            </w:r>
          </w:p>
        </w:tc>
        <w:tc>
          <w:tcPr>
            <w:tcW w:w="1080" w:type="dxa"/>
            <w:tcBorders>
              <w:top w:val="single" w:sz="4" w:space="0" w:color="auto"/>
              <w:left w:val="nil"/>
              <w:bottom w:val="single" w:sz="4" w:space="0" w:color="auto"/>
              <w:right w:val="single" w:sz="4" w:space="0" w:color="auto"/>
            </w:tcBorders>
            <w:shd w:val="clear" w:color="auto" w:fill="C6EFCE"/>
            <w:noWrap/>
            <w:hideMark/>
          </w:tcPr>
          <w:p w14:paraId="1A4B8D40"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Target</w:t>
            </w:r>
          </w:p>
        </w:tc>
        <w:tc>
          <w:tcPr>
            <w:tcW w:w="1387" w:type="dxa"/>
            <w:tcBorders>
              <w:top w:val="single" w:sz="4" w:space="0" w:color="auto"/>
              <w:left w:val="nil"/>
              <w:bottom w:val="single" w:sz="4" w:space="0" w:color="auto"/>
              <w:right w:val="single" w:sz="4" w:space="0" w:color="auto"/>
            </w:tcBorders>
            <w:shd w:val="clear" w:color="auto" w:fill="C6EFCE"/>
            <w:noWrap/>
            <w:hideMark/>
          </w:tcPr>
          <w:p w14:paraId="5F769C2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Legal agreements signed with final beneficiaries</w:t>
            </w:r>
          </w:p>
        </w:tc>
        <w:tc>
          <w:tcPr>
            <w:tcW w:w="1223" w:type="dxa"/>
            <w:tcBorders>
              <w:top w:val="single" w:sz="4" w:space="0" w:color="auto"/>
              <w:left w:val="nil"/>
              <w:bottom w:val="single" w:sz="4" w:space="0" w:color="auto"/>
              <w:right w:val="single" w:sz="4" w:space="0" w:color="auto"/>
            </w:tcBorders>
            <w:shd w:val="clear" w:color="auto" w:fill="C6EFCE"/>
            <w:noWrap/>
            <w:hideMark/>
          </w:tcPr>
          <w:p w14:paraId="64515E14" w14:textId="77777777" w:rsidR="00935FC8" w:rsidRPr="00577DC1" w:rsidRDefault="00935FC8" w:rsidP="00A7081A">
            <w:pPr>
              <w:spacing w:after="0" w:line="240" w:lineRule="auto"/>
              <w:rPr>
                <w:rFonts w:ascii="Times New Roman" w:eastAsia="Times New Roman" w:hAnsi="Times New Roman"/>
                <w:noProof/>
                <w:sz w:val="20"/>
                <w:szCs w:val="20"/>
                <w:lang w:eastAsia="en-GB"/>
              </w:rPr>
            </w:pPr>
          </w:p>
        </w:tc>
        <w:tc>
          <w:tcPr>
            <w:tcW w:w="934" w:type="dxa"/>
            <w:tcBorders>
              <w:top w:val="single" w:sz="4" w:space="0" w:color="auto"/>
              <w:left w:val="nil"/>
              <w:bottom w:val="single" w:sz="4" w:space="0" w:color="auto"/>
              <w:right w:val="single" w:sz="4" w:space="0" w:color="auto"/>
            </w:tcBorders>
            <w:shd w:val="clear" w:color="auto" w:fill="C6EFCE"/>
            <w:noWrap/>
            <w:hideMark/>
          </w:tcPr>
          <w:p w14:paraId="2093244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xml:space="preserve">Percentage (%) </w:t>
            </w:r>
          </w:p>
        </w:tc>
        <w:tc>
          <w:tcPr>
            <w:tcW w:w="907" w:type="dxa"/>
            <w:tcBorders>
              <w:top w:val="single" w:sz="4" w:space="0" w:color="auto"/>
              <w:left w:val="nil"/>
              <w:bottom w:val="single" w:sz="4" w:space="0" w:color="auto"/>
              <w:right w:val="single" w:sz="4" w:space="0" w:color="auto"/>
            </w:tcBorders>
            <w:shd w:val="clear" w:color="auto" w:fill="C6EFCE"/>
            <w:noWrap/>
            <w:hideMark/>
          </w:tcPr>
          <w:p w14:paraId="47E34056" w14:textId="7ABF8960"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0</w:t>
            </w:r>
          </w:p>
        </w:tc>
        <w:tc>
          <w:tcPr>
            <w:tcW w:w="668" w:type="dxa"/>
            <w:tcBorders>
              <w:top w:val="single" w:sz="4" w:space="0" w:color="auto"/>
              <w:left w:val="nil"/>
              <w:bottom w:val="single" w:sz="4" w:space="0" w:color="auto"/>
              <w:right w:val="single" w:sz="4" w:space="0" w:color="auto"/>
            </w:tcBorders>
            <w:shd w:val="clear" w:color="auto" w:fill="C6EFCE"/>
            <w:noWrap/>
            <w:hideMark/>
          </w:tcPr>
          <w:p w14:paraId="7427F1D7"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100%</w:t>
            </w:r>
          </w:p>
        </w:tc>
        <w:tc>
          <w:tcPr>
            <w:tcW w:w="756" w:type="dxa"/>
            <w:tcBorders>
              <w:top w:val="single" w:sz="4" w:space="0" w:color="auto"/>
              <w:left w:val="nil"/>
              <w:bottom w:val="single" w:sz="4" w:space="0" w:color="auto"/>
              <w:right w:val="single" w:sz="4" w:space="0" w:color="auto"/>
            </w:tcBorders>
            <w:shd w:val="clear" w:color="auto" w:fill="C6EFCE"/>
            <w:noWrap/>
            <w:hideMark/>
          </w:tcPr>
          <w:p w14:paraId="3B75B3B3"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632" w:type="dxa"/>
            <w:tcBorders>
              <w:top w:val="single" w:sz="4" w:space="0" w:color="auto"/>
              <w:left w:val="nil"/>
              <w:bottom w:val="single" w:sz="4" w:space="0" w:color="auto"/>
              <w:right w:val="single" w:sz="4" w:space="0" w:color="auto"/>
            </w:tcBorders>
            <w:shd w:val="clear" w:color="auto" w:fill="C6EFCE"/>
            <w:noWrap/>
            <w:hideMark/>
          </w:tcPr>
          <w:p w14:paraId="2D7BB7C4"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2026</w:t>
            </w:r>
          </w:p>
        </w:tc>
        <w:tc>
          <w:tcPr>
            <w:tcW w:w="3724" w:type="dxa"/>
            <w:tcBorders>
              <w:top w:val="single" w:sz="4" w:space="0" w:color="auto"/>
              <w:left w:val="nil"/>
              <w:bottom w:val="single" w:sz="4" w:space="0" w:color="auto"/>
              <w:right w:val="single" w:sz="4" w:space="0" w:color="auto"/>
            </w:tcBorders>
            <w:shd w:val="clear" w:color="auto" w:fill="C6EFCE"/>
            <w:noWrap/>
            <w:hideMark/>
          </w:tcPr>
          <w:p w14:paraId="7E459698"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 xml:space="preserve">Business Finland shall have entered into legal subsidy agreements with final beneficiaries for an amount necessary to use 100% of the RRF investment into the Scheme (taking into account management fees). </w:t>
            </w:r>
          </w:p>
          <w:p w14:paraId="3197798E" w14:textId="463CDF54" w:rsidR="00935FC8" w:rsidRPr="00577DC1" w:rsidRDefault="00935FC8" w:rsidP="00996B3D">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100% of this financing shall contribute to climate objectives using the methodology in Annex VI of the RRF Regulation. The terms “legal agreement” and “legal subsidy agreement” shall be understood as the funding decisions awarded by Business Finland and approved by the final beneficiary (to be understood as the final recipient entity) via Business Finland’s e-services and/or registry.</w:t>
            </w:r>
          </w:p>
        </w:tc>
      </w:tr>
      <w:tr w:rsidR="00A7081A" w:rsidRPr="00577DC1" w14:paraId="5C898202" w14:textId="77777777" w:rsidTr="00577DC1">
        <w:trPr>
          <w:trHeight w:val="308"/>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2E8828F" w14:textId="77777777" w:rsidR="00935FC8" w:rsidRPr="00577DC1" w:rsidRDefault="00935FC8">
            <w:pPr>
              <w:spacing w:after="0" w:line="240" w:lineRule="auto"/>
              <w:jc w:val="center"/>
              <w:rPr>
                <w:rFonts w:ascii="Times New Roman" w:hAnsi="Times New Roman"/>
                <w:noProof/>
                <w:sz w:val="20"/>
                <w:szCs w:val="20"/>
              </w:rPr>
            </w:pPr>
            <w:r w:rsidRPr="00577DC1">
              <w:rPr>
                <w:rFonts w:ascii="Times New Roman" w:hAnsi="Times New Roman"/>
                <w:noProof/>
                <w:sz w:val="20"/>
                <w:szCs w:val="20"/>
              </w:rPr>
              <w:t>18bis</w:t>
            </w:r>
          </w:p>
        </w:tc>
        <w:tc>
          <w:tcPr>
            <w:tcW w:w="1800" w:type="dxa"/>
            <w:tcBorders>
              <w:top w:val="single" w:sz="4" w:space="0" w:color="auto"/>
              <w:left w:val="nil"/>
              <w:bottom w:val="single" w:sz="4" w:space="0" w:color="auto"/>
              <w:right w:val="single" w:sz="4" w:space="0" w:color="auto"/>
            </w:tcBorders>
            <w:shd w:val="clear" w:color="auto" w:fill="C6EFCE"/>
            <w:noWrap/>
          </w:tcPr>
          <w:p w14:paraId="7CE55128"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P1C2I1 - Industrial reforms and investments in support of the green and digital transition – low-carbon hydrogen and carbon capture and utilisation</w:t>
            </w:r>
          </w:p>
        </w:tc>
        <w:tc>
          <w:tcPr>
            <w:tcW w:w="1080" w:type="dxa"/>
            <w:tcBorders>
              <w:top w:val="single" w:sz="4" w:space="0" w:color="auto"/>
              <w:left w:val="nil"/>
              <w:bottom w:val="single" w:sz="4" w:space="0" w:color="auto"/>
              <w:right w:val="single" w:sz="4" w:space="0" w:color="auto"/>
            </w:tcBorders>
            <w:shd w:val="clear" w:color="auto" w:fill="C6EFCE"/>
            <w:noWrap/>
          </w:tcPr>
          <w:p w14:paraId="046767FE"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Milestone</w:t>
            </w:r>
          </w:p>
        </w:tc>
        <w:tc>
          <w:tcPr>
            <w:tcW w:w="1387" w:type="dxa"/>
            <w:tcBorders>
              <w:top w:val="single" w:sz="4" w:space="0" w:color="auto"/>
              <w:left w:val="nil"/>
              <w:bottom w:val="single" w:sz="4" w:space="0" w:color="auto"/>
              <w:right w:val="single" w:sz="4" w:space="0" w:color="auto"/>
            </w:tcBorders>
            <w:shd w:val="clear" w:color="auto" w:fill="C6EFCE"/>
            <w:noWrap/>
          </w:tcPr>
          <w:p w14:paraId="0E0D2383"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Ministry has completed the investment</w:t>
            </w:r>
          </w:p>
        </w:tc>
        <w:tc>
          <w:tcPr>
            <w:tcW w:w="1223" w:type="dxa"/>
            <w:tcBorders>
              <w:top w:val="single" w:sz="4" w:space="0" w:color="auto"/>
              <w:left w:val="nil"/>
              <w:bottom w:val="single" w:sz="4" w:space="0" w:color="auto"/>
              <w:right w:val="single" w:sz="4" w:space="0" w:color="auto"/>
            </w:tcBorders>
            <w:shd w:val="clear" w:color="auto" w:fill="C6EFCE"/>
            <w:noWrap/>
          </w:tcPr>
          <w:p w14:paraId="291820D3"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Certificate of transfer</w:t>
            </w:r>
          </w:p>
        </w:tc>
        <w:tc>
          <w:tcPr>
            <w:tcW w:w="934" w:type="dxa"/>
            <w:tcBorders>
              <w:top w:val="single" w:sz="4" w:space="0" w:color="auto"/>
              <w:left w:val="nil"/>
              <w:bottom w:val="single" w:sz="4" w:space="0" w:color="auto"/>
              <w:right w:val="single" w:sz="4" w:space="0" w:color="auto"/>
            </w:tcBorders>
            <w:shd w:val="clear" w:color="auto" w:fill="C6EFCE"/>
            <w:noWrap/>
          </w:tcPr>
          <w:p w14:paraId="1DAFF607" w14:textId="77777777" w:rsidR="00935FC8" w:rsidRPr="00577DC1" w:rsidRDefault="00935FC8" w:rsidP="00A7081A">
            <w:pPr>
              <w:spacing w:after="0" w:line="240" w:lineRule="auto"/>
              <w:rPr>
                <w:rFonts w:ascii="Times New Roman" w:hAnsi="Times New Roman"/>
                <w:noProof/>
                <w:sz w:val="20"/>
                <w:szCs w:val="20"/>
              </w:rPr>
            </w:pPr>
          </w:p>
        </w:tc>
        <w:tc>
          <w:tcPr>
            <w:tcW w:w="907" w:type="dxa"/>
            <w:tcBorders>
              <w:top w:val="single" w:sz="4" w:space="0" w:color="auto"/>
              <w:left w:val="nil"/>
              <w:bottom w:val="single" w:sz="4" w:space="0" w:color="auto"/>
              <w:right w:val="single" w:sz="4" w:space="0" w:color="auto"/>
            </w:tcBorders>
            <w:shd w:val="clear" w:color="auto" w:fill="C6EFCE"/>
            <w:noWrap/>
          </w:tcPr>
          <w:p w14:paraId="027E26F0" w14:textId="77777777" w:rsidR="00935FC8" w:rsidRPr="00577DC1" w:rsidRDefault="00935FC8" w:rsidP="00A7081A">
            <w:pPr>
              <w:spacing w:after="0" w:line="240" w:lineRule="auto"/>
              <w:rPr>
                <w:rFonts w:ascii="Times New Roman" w:hAnsi="Times New Roman"/>
                <w:noProof/>
                <w:sz w:val="20"/>
                <w:szCs w:val="20"/>
              </w:rPr>
            </w:pPr>
          </w:p>
        </w:tc>
        <w:tc>
          <w:tcPr>
            <w:tcW w:w="668" w:type="dxa"/>
            <w:tcBorders>
              <w:top w:val="single" w:sz="4" w:space="0" w:color="auto"/>
              <w:left w:val="nil"/>
              <w:bottom w:val="single" w:sz="4" w:space="0" w:color="auto"/>
              <w:right w:val="single" w:sz="4" w:space="0" w:color="auto"/>
            </w:tcBorders>
            <w:shd w:val="clear" w:color="auto" w:fill="C6EFCE"/>
            <w:noWrap/>
          </w:tcPr>
          <w:p w14:paraId="3CA88819" w14:textId="77777777" w:rsidR="00935FC8" w:rsidRPr="00577DC1" w:rsidRDefault="00935FC8" w:rsidP="00A7081A">
            <w:pPr>
              <w:spacing w:after="0" w:line="240" w:lineRule="auto"/>
              <w:rPr>
                <w:rFonts w:ascii="Times New Roman" w:hAnsi="Times New Roman"/>
                <w:noProof/>
                <w:sz w:val="20"/>
                <w:szCs w:val="20"/>
              </w:rPr>
            </w:pPr>
          </w:p>
        </w:tc>
        <w:tc>
          <w:tcPr>
            <w:tcW w:w="756" w:type="dxa"/>
            <w:tcBorders>
              <w:top w:val="single" w:sz="4" w:space="0" w:color="auto"/>
              <w:left w:val="nil"/>
              <w:bottom w:val="single" w:sz="4" w:space="0" w:color="auto"/>
              <w:right w:val="single" w:sz="4" w:space="0" w:color="auto"/>
            </w:tcBorders>
            <w:shd w:val="clear" w:color="auto" w:fill="C6EFCE"/>
            <w:noWrap/>
          </w:tcPr>
          <w:p w14:paraId="287A08CB"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Q2</w:t>
            </w:r>
          </w:p>
        </w:tc>
        <w:tc>
          <w:tcPr>
            <w:tcW w:w="632" w:type="dxa"/>
            <w:tcBorders>
              <w:top w:val="single" w:sz="4" w:space="0" w:color="auto"/>
              <w:left w:val="nil"/>
              <w:bottom w:val="single" w:sz="4" w:space="0" w:color="auto"/>
              <w:right w:val="single" w:sz="4" w:space="0" w:color="auto"/>
            </w:tcBorders>
            <w:shd w:val="clear" w:color="auto" w:fill="C6EFCE"/>
            <w:noWrap/>
          </w:tcPr>
          <w:p w14:paraId="6CB018D4"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2026</w:t>
            </w:r>
          </w:p>
        </w:tc>
        <w:tc>
          <w:tcPr>
            <w:tcW w:w="3724" w:type="dxa"/>
            <w:tcBorders>
              <w:top w:val="single" w:sz="4" w:space="0" w:color="auto"/>
              <w:left w:val="nil"/>
              <w:bottom w:val="single" w:sz="4" w:space="0" w:color="auto"/>
              <w:right w:val="single" w:sz="4" w:space="0" w:color="auto"/>
            </w:tcBorders>
            <w:shd w:val="clear" w:color="auto" w:fill="C6EFCE"/>
            <w:noWrap/>
          </w:tcPr>
          <w:p w14:paraId="3AB568FD" w14:textId="7108F17D"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Finland shall transfer EUR</w:t>
            </w:r>
            <w:r w:rsidR="00996B3D" w:rsidRPr="00577DC1">
              <w:rPr>
                <w:rFonts w:ascii="Times New Roman" w:hAnsi="Times New Roman"/>
                <w:noProof/>
                <w:sz w:val="20"/>
                <w:szCs w:val="20"/>
              </w:rPr>
              <w:t> </w:t>
            </w:r>
            <w:r w:rsidRPr="00577DC1">
              <w:rPr>
                <w:rFonts w:ascii="Times New Roman" w:hAnsi="Times New Roman"/>
                <w:noProof/>
                <w:sz w:val="20"/>
                <w:szCs w:val="20"/>
              </w:rPr>
              <w:t>131 534 000 to Business Finland for the Scheme.</w:t>
            </w:r>
          </w:p>
        </w:tc>
      </w:tr>
      <w:tr w:rsidR="00A7081A" w:rsidRPr="00577DC1" w14:paraId="10A5008C" w14:textId="77777777" w:rsidTr="00996B3D">
        <w:trPr>
          <w:trHeight w:val="308"/>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24D673D"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19</w:t>
            </w:r>
          </w:p>
        </w:tc>
        <w:tc>
          <w:tcPr>
            <w:tcW w:w="1800" w:type="dxa"/>
            <w:tcBorders>
              <w:top w:val="single" w:sz="4" w:space="0" w:color="auto"/>
              <w:left w:val="nil"/>
              <w:bottom w:val="single" w:sz="4" w:space="0" w:color="auto"/>
              <w:right w:val="single" w:sz="4" w:space="0" w:color="auto"/>
            </w:tcBorders>
            <w:shd w:val="clear" w:color="auto" w:fill="C6EFCE"/>
            <w:noWrap/>
          </w:tcPr>
          <w:p w14:paraId="0E7E40D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P1C2I2 - Industrial reforms and investments supporting the green and digital transition – Direct electrification and decarbonisation of industrial processes</w:t>
            </w:r>
          </w:p>
        </w:tc>
        <w:tc>
          <w:tcPr>
            <w:tcW w:w="1080" w:type="dxa"/>
            <w:tcBorders>
              <w:top w:val="single" w:sz="4" w:space="0" w:color="auto"/>
              <w:left w:val="nil"/>
              <w:bottom w:val="single" w:sz="4" w:space="0" w:color="auto"/>
              <w:right w:val="single" w:sz="4" w:space="0" w:color="auto"/>
            </w:tcBorders>
            <w:shd w:val="clear" w:color="auto" w:fill="C6EFCE"/>
            <w:noWrap/>
          </w:tcPr>
          <w:p w14:paraId="1C8A3BFE"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387" w:type="dxa"/>
            <w:tcBorders>
              <w:top w:val="single" w:sz="4" w:space="0" w:color="auto"/>
              <w:left w:val="nil"/>
              <w:bottom w:val="single" w:sz="4" w:space="0" w:color="auto"/>
              <w:right w:val="single" w:sz="4" w:space="0" w:color="auto"/>
            </w:tcBorders>
            <w:shd w:val="clear" w:color="auto" w:fill="C6EFCE"/>
            <w:noWrap/>
          </w:tcPr>
          <w:p w14:paraId="7E2C487A"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the first call for proposals for direct electrification and low-carbonisation of industrial processes aimed at reducing CO2 emissions from industry</w:t>
            </w:r>
          </w:p>
        </w:tc>
        <w:tc>
          <w:tcPr>
            <w:tcW w:w="1223" w:type="dxa"/>
            <w:tcBorders>
              <w:top w:val="single" w:sz="4" w:space="0" w:color="auto"/>
              <w:left w:val="nil"/>
              <w:bottom w:val="single" w:sz="4" w:space="0" w:color="auto"/>
              <w:right w:val="single" w:sz="4" w:space="0" w:color="auto"/>
            </w:tcBorders>
            <w:shd w:val="clear" w:color="auto" w:fill="C6EFCE"/>
            <w:noWrap/>
          </w:tcPr>
          <w:p w14:paraId="03E55BE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the first call for applications on Business Finland’s website.</w:t>
            </w:r>
          </w:p>
        </w:tc>
        <w:tc>
          <w:tcPr>
            <w:tcW w:w="934" w:type="dxa"/>
            <w:tcBorders>
              <w:top w:val="single" w:sz="4" w:space="0" w:color="auto"/>
              <w:left w:val="nil"/>
              <w:bottom w:val="single" w:sz="4" w:space="0" w:color="auto"/>
              <w:right w:val="single" w:sz="4" w:space="0" w:color="auto"/>
            </w:tcBorders>
            <w:shd w:val="clear" w:color="auto" w:fill="C6EFCE"/>
            <w:noWrap/>
          </w:tcPr>
          <w:p w14:paraId="110419E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907" w:type="dxa"/>
            <w:tcBorders>
              <w:top w:val="single" w:sz="4" w:space="0" w:color="auto"/>
              <w:left w:val="nil"/>
              <w:bottom w:val="single" w:sz="4" w:space="0" w:color="auto"/>
              <w:right w:val="single" w:sz="4" w:space="0" w:color="auto"/>
            </w:tcBorders>
            <w:shd w:val="clear" w:color="auto" w:fill="C6EFCE"/>
            <w:noWrap/>
          </w:tcPr>
          <w:p w14:paraId="6563142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668" w:type="dxa"/>
            <w:tcBorders>
              <w:top w:val="single" w:sz="4" w:space="0" w:color="auto"/>
              <w:left w:val="nil"/>
              <w:bottom w:val="single" w:sz="4" w:space="0" w:color="auto"/>
              <w:right w:val="single" w:sz="4" w:space="0" w:color="auto"/>
            </w:tcBorders>
            <w:shd w:val="clear" w:color="auto" w:fill="C6EFCE"/>
            <w:noWrap/>
          </w:tcPr>
          <w:p w14:paraId="2508F67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756" w:type="dxa"/>
            <w:tcBorders>
              <w:top w:val="single" w:sz="4" w:space="0" w:color="auto"/>
              <w:left w:val="nil"/>
              <w:bottom w:val="single" w:sz="4" w:space="0" w:color="auto"/>
              <w:right w:val="single" w:sz="4" w:space="0" w:color="auto"/>
            </w:tcBorders>
            <w:shd w:val="clear" w:color="auto" w:fill="C6EFCE"/>
            <w:noWrap/>
          </w:tcPr>
          <w:p w14:paraId="63E3BB9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Q4</w:t>
            </w:r>
          </w:p>
        </w:tc>
        <w:tc>
          <w:tcPr>
            <w:tcW w:w="632" w:type="dxa"/>
            <w:tcBorders>
              <w:top w:val="single" w:sz="4" w:space="0" w:color="auto"/>
              <w:left w:val="nil"/>
              <w:bottom w:val="single" w:sz="4" w:space="0" w:color="auto"/>
              <w:right w:val="single" w:sz="4" w:space="0" w:color="auto"/>
            </w:tcBorders>
            <w:shd w:val="clear" w:color="auto" w:fill="C6EFCE"/>
            <w:noWrap/>
          </w:tcPr>
          <w:p w14:paraId="32A1A9CA"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2021</w:t>
            </w:r>
          </w:p>
        </w:tc>
        <w:tc>
          <w:tcPr>
            <w:tcW w:w="3724" w:type="dxa"/>
            <w:tcBorders>
              <w:top w:val="single" w:sz="4" w:space="0" w:color="auto"/>
              <w:left w:val="nil"/>
              <w:bottom w:val="single" w:sz="4" w:space="0" w:color="auto"/>
              <w:right w:val="single" w:sz="4" w:space="0" w:color="auto"/>
            </w:tcBorders>
            <w:shd w:val="clear" w:color="auto" w:fill="C6EFCE"/>
            <w:noWrap/>
          </w:tcPr>
          <w:p w14:paraId="7EFB7ADA" w14:textId="210620A9"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The amended funding guidelines (Energy Aid Regulation)</w:t>
            </w:r>
            <w:r w:rsidRPr="00577DC1">
              <w:rPr>
                <w:rFonts w:ascii="Times New Roman" w:hAnsi="Times New Roman"/>
                <w:i/>
                <w:noProof/>
                <w:sz w:val="20"/>
                <w:szCs w:val="20"/>
              </w:rPr>
              <w:t xml:space="preserve"> </w:t>
            </w:r>
            <w:r w:rsidRPr="00577DC1">
              <w:rPr>
                <w:rFonts w:ascii="Times New Roman" w:hAnsi="Times New Roman"/>
                <w:noProof/>
                <w:sz w:val="20"/>
                <w:szCs w:val="20"/>
              </w:rPr>
              <w:t xml:space="preserve">have entered into force, enabling the </w:t>
            </w:r>
            <w:r w:rsidRPr="00577DC1">
              <w:rPr>
                <w:rFonts w:ascii="Times New Roman" w:eastAsia="Times New Roman" w:hAnsi="Times New Roman"/>
                <w:noProof/>
                <w:sz w:val="20"/>
                <w:szCs w:val="20"/>
                <w:lang w:eastAsia="en-GB"/>
              </w:rPr>
              <w:t xml:space="preserve">launch of the first competitive call for proposals for </w:t>
            </w:r>
            <w:r w:rsidRPr="00577DC1">
              <w:rPr>
                <w:rFonts w:ascii="Times New Roman" w:hAnsi="Times New Roman"/>
                <w:noProof/>
                <w:sz w:val="20"/>
                <w:szCs w:val="20"/>
              </w:rPr>
              <w:t>direct electrification and low-carbonisation of industrial processes aimed at reducing CO2 emissions from industry</w:t>
            </w:r>
            <w:r w:rsidRPr="00577DC1">
              <w:rPr>
                <w:rFonts w:ascii="Times New Roman" w:eastAsia="Times New Roman" w:hAnsi="Times New Roman"/>
                <w:noProof/>
                <w:sz w:val="20"/>
                <w:szCs w:val="20"/>
                <w:lang w:eastAsia="en-GB"/>
              </w:rPr>
              <w:t>. The terms of reference of the call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A7081A" w:rsidRPr="00577DC1" w14:paraId="36D52215" w14:textId="77777777" w:rsidTr="000A1841">
        <w:trPr>
          <w:trHeight w:val="308"/>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512BE5F"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20</w:t>
            </w:r>
          </w:p>
        </w:tc>
        <w:tc>
          <w:tcPr>
            <w:tcW w:w="1800" w:type="dxa"/>
            <w:tcBorders>
              <w:top w:val="single" w:sz="4" w:space="0" w:color="auto"/>
              <w:left w:val="nil"/>
              <w:bottom w:val="single" w:sz="4" w:space="0" w:color="auto"/>
              <w:right w:val="single" w:sz="4" w:space="0" w:color="auto"/>
            </w:tcBorders>
            <w:shd w:val="clear" w:color="auto" w:fill="C6EFCE"/>
            <w:noWrap/>
          </w:tcPr>
          <w:p w14:paraId="5B1E0F3D"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P1C2I2 - Industrial reforms and investments supporting the green and digital transition – Direct electrification and decarbonisation of industrial processes</w:t>
            </w:r>
          </w:p>
        </w:tc>
        <w:tc>
          <w:tcPr>
            <w:tcW w:w="1080" w:type="dxa"/>
            <w:tcBorders>
              <w:top w:val="single" w:sz="4" w:space="0" w:color="auto"/>
              <w:left w:val="nil"/>
              <w:bottom w:val="single" w:sz="4" w:space="0" w:color="auto"/>
              <w:right w:val="single" w:sz="4" w:space="0" w:color="auto"/>
            </w:tcBorders>
            <w:shd w:val="clear" w:color="auto" w:fill="C6EFCE"/>
            <w:noWrap/>
          </w:tcPr>
          <w:p w14:paraId="2B3B7100"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387" w:type="dxa"/>
            <w:tcBorders>
              <w:top w:val="single" w:sz="4" w:space="0" w:color="auto"/>
              <w:left w:val="nil"/>
              <w:bottom w:val="single" w:sz="4" w:space="0" w:color="auto"/>
              <w:right w:val="single" w:sz="4" w:space="0" w:color="auto"/>
            </w:tcBorders>
            <w:shd w:val="clear" w:color="auto" w:fill="C6EFCE"/>
            <w:noWrap/>
          </w:tcPr>
          <w:p w14:paraId="226ADEAD" w14:textId="031FC5BF"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Award of all grants for direct electrification and low-carbon industrial processes projects</w:t>
            </w:r>
          </w:p>
        </w:tc>
        <w:tc>
          <w:tcPr>
            <w:tcW w:w="1223" w:type="dxa"/>
            <w:tcBorders>
              <w:top w:val="single" w:sz="4" w:space="0" w:color="auto"/>
              <w:left w:val="nil"/>
              <w:bottom w:val="single" w:sz="4" w:space="0" w:color="auto"/>
              <w:right w:val="single" w:sz="4" w:space="0" w:color="auto"/>
            </w:tcBorders>
            <w:shd w:val="clear" w:color="auto" w:fill="C6EFCE"/>
            <w:noWrap/>
          </w:tcPr>
          <w:p w14:paraId="78ED45D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Notification of the award of all grants</w:t>
            </w:r>
          </w:p>
        </w:tc>
        <w:tc>
          <w:tcPr>
            <w:tcW w:w="934" w:type="dxa"/>
            <w:tcBorders>
              <w:top w:val="single" w:sz="4" w:space="0" w:color="auto"/>
              <w:left w:val="nil"/>
              <w:bottom w:val="single" w:sz="4" w:space="0" w:color="auto"/>
              <w:right w:val="single" w:sz="4" w:space="0" w:color="auto"/>
            </w:tcBorders>
            <w:shd w:val="clear" w:color="auto" w:fill="C6EFCE"/>
            <w:noWrap/>
          </w:tcPr>
          <w:p w14:paraId="419E709A"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907" w:type="dxa"/>
            <w:tcBorders>
              <w:top w:val="single" w:sz="4" w:space="0" w:color="auto"/>
              <w:left w:val="nil"/>
              <w:bottom w:val="single" w:sz="4" w:space="0" w:color="auto"/>
              <w:right w:val="single" w:sz="4" w:space="0" w:color="auto"/>
            </w:tcBorders>
            <w:shd w:val="clear" w:color="auto" w:fill="C6EFCE"/>
            <w:noWrap/>
          </w:tcPr>
          <w:p w14:paraId="76528FB2"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668" w:type="dxa"/>
            <w:tcBorders>
              <w:top w:val="single" w:sz="4" w:space="0" w:color="auto"/>
              <w:left w:val="nil"/>
              <w:bottom w:val="single" w:sz="4" w:space="0" w:color="auto"/>
              <w:right w:val="single" w:sz="4" w:space="0" w:color="auto"/>
            </w:tcBorders>
            <w:shd w:val="clear" w:color="auto" w:fill="C6EFCE"/>
            <w:noWrap/>
          </w:tcPr>
          <w:p w14:paraId="585F9201"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756" w:type="dxa"/>
            <w:tcBorders>
              <w:top w:val="single" w:sz="4" w:space="0" w:color="auto"/>
              <w:left w:val="nil"/>
              <w:bottom w:val="single" w:sz="4" w:space="0" w:color="auto"/>
              <w:right w:val="single" w:sz="4" w:space="0" w:color="auto"/>
            </w:tcBorders>
            <w:shd w:val="clear" w:color="auto" w:fill="C6EFCE"/>
            <w:noWrap/>
          </w:tcPr>
          <w:p w14:paraId="6571116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Q4</w:t>
            </w:r>
          </w:p>
        </w:tc>
        <w:tc>
          <w:tcPr>
            <w:tcW w:w="632" w:type="dxa"/>
            <w:tcBorders>
              <w:top w:val="single" w:sz="4" w:space="0" w:color="auto"/>
              <w:left w:val="nil"/>
              <w:bottom w:val="single" w:sz="4" w:space="0" w:color="auto"/>
              <w:right w:val="single" w:sz="4" w:space="0" w:color="auto"/>
            </w:tcBorders>
            <w:shd w:val="clear" w:color="auto" w:fill="C6EFCE"/>
            <w:noWrap/>
          </w:tcPr>
          <w:p w14:paraId="3DB53226"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2023</w:t>
            </w:r>
          </w:p>
        </w:tc>
        <w:tc>
          <w:tcPr>
            <w:tcW w:w="3724" w:type="dxa"/>
            <w:tcBorders>
              <w:top w:val="single" w:sz="4" w:space="0" w:color="auto"/>
              <w:left w:val="single" w:sz="4" w:space="0" w:color="auto"/>
              <w:bottom w:val="single" w:sz="4" w:space="0" w:color="auto"/>
              <w:right w:val="single" w:sz="4" w:space="0" w:color="auto"/>
            </w:tcBorders>
            <w:shd w:val="clear" w:color="auto" w:fill="C6EFCE"/>
            <w:noWrap/>
          </w:tcPr>
          <w:p w14:paraId="6B51A934"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xml:space="preserve">The selection of all direct electrification and low-carbon industrial processes projects shall be carried out in accordance with the criteria of the respective calls for proposals. All calls shall be based on the eligibility/selection criteria indicated in milestone 19. All funding award decisions shall be issued to the project beneficiaries/applicants selected under the competitive calls for proposals, </w:t>
            </w:r>
            <w:r w:rsidRPr="00577DC1">
              <w:rPr>
                <w:rFonts w:ascii="Times New Roman" w:eastAsia="Times New Roman" w:hAnsi="Times New Roman"/>
                <w:noProof/>
                <w:sz w:val="20"/>
                <w:szCs w:val="20"/>
                <w:lang w:eastAsia="en-GB"/>
              </w:rPr>
              <w:t>enabling the start of the implementation of the selected projects</w:t>
            </w:r>
            <w:r w:rsidRPr="00577DC1">
              <w:rPr>
                <w:rFonts w:ascii="Times New Roman" w:hAnsi="Times New Roman"/>
                <w:noProof/>
                <w:sz w:val="20"/>
                <w:szCs w:val="20"/>
              </w:rPr>
              <w:t>.</w:t>
            </w:r>
          </w:p>
        </w:tc>
      </w:tr>
      <w:tr w:rsidR="00A7081A" w:rsidRPr="00577DC1" w14:paraId="48D1C7E0" w14:textId="77777777" w:rsidTr="00996B3D">
        <w:trPr>
          <w:trHeight w:val="308"/>
        </w:trPr>
        <w:tc>
          <w:tcPr>
            <w:tcW w:w="835" w:type="dxa"/>
            <w:tcBorders>
              <w:top w:val="nil"/>
              <w:left w:val="single" w:sz="4" w:space="0" w:color="auto"/>
              <w:bottom w:val="single" w:sz="4" w:space="0" w:color="auto"/>
              <w:right w:val="single" w:sz="4" w:space="0" w:color="auto"/>
            </w:tcBorders>
            <w:shd w:val="clear" w:color="auto" w:fill="C6EFCE"/>
            <w:noWrap/>
          </w:tcPr>
          <w:p w14:paraId="29895294"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21</w:t>
            </w:r>
          </w:p>
        </w:tc>
        <w:tc>
          <w:tcPr>
            <w:tcW w:w="1800" w:type="dxa"/>
            <w:tcBorders>
              <w:top w:val="nil"/>
              <w:left w:val="nil"/>
              <w:bottom w:val="single" w:sz="4" w:space="0" w:color="auto"/>
              <w:right w:val="single" w:sz="4" w:space="0" w:color="auto"/>
            </w:tcBorders>
            <w:shd w:val="clear" w:color="auto" w:fill="C6EFCE"/>
            <w:noWrap/>
          </w:tcPr>
          <w:p w14:paraId="1431AE2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P1C2I2 - Industrial reforms and investments supporting the green and digital transition – Direct electrification and decarbonisation of industrial processes</w:t>
            </w:r>
          </w:p>
        </w:tc>
        <w:tc>
          <w:tcPr>
            <w:tcW w:w="1080" w:type="dxa"/>
            <w:tcBorders>
              <w:top w:val="nil"/>
              <w:left w:val="nil"/>
              <w:bottom w:val="single" w:sz="4" w:space="0" w:color="auto"/>
              <w:right w:val="single" w:sz="4" w:space="0" w:color="auto"/>
            </w:tcBorders>
            <w:shd w:val="clear" w:color="auto" w:fill="C6EFCE"/>
            <w:noWrap/>
          </w:tcPr>
          <w:p w14:paraId="50F3562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Target</w:t>
            </w:r>
          </w:p>
        </w:tc>
        <w:tc>
          <w:tcPr>
            <w:tcW w:w="1387" w:type="dxa"/>
            <w:tcBorders>
              <w:top w:val="nil"/>
              <w:left w:val="nil"/>
              <w:bottom w:val="single" w:sz="4" w:space="0" w:color="auto"/>
              <w:right w:val="single" w:sz="4" w:space="0" w:color="auto"/>
            </w:tcBorders>
            <w:shd w:val="clear" w:color="auto" w:fill="C6EFCE"/>
            <w:noWrap/>
          </w:tcPr>
          <w:p w14:paraId="223CE84B" w14:textId="77777777" w:rsidR="00935FC8" w:rsidRPr="00577DC1" w:rsidRDefault="00935FC8" w:rsidP="00A7081A">
            <w:pPr>
              <w:spacing w:after="0" w:line="240" w:lineRule="auto"/>
              <w:rPr>
                <w:rFonts w:ascii="Times New Roman" w:hAnsi="Times New Roman"/>
                <w:noProof/>
                <w:sz w:val="20"/>
                <w:szCs w:val="20"/>
                <w:lang w:eastAsia="en-GB"/>
              </w:rPr>
            </w:pPr>
            <w:r w:rsidRPr="00577DC1">
              <w:rPr>
                <w:rFonts w:ascii="Times New Roman" w:hAnsi="Times New Roman"/>
                <w:noProof/>
                <w:sz w:val="20"/>
                <w:szCs w:val="20"/>
              </w:rPr>
              <w:t>Project completion notices or project reports submitted</w:t>
            </w:r>
          </w:p>
        </w:tc>
        <w:tc>
          <w:tcPr>
            <w:tcW w:w="1223" w:type="dxa"/>
            <w:tcBorders>
              <w:top w:val="nil"/>
              <w:left w:val="nil"/>
              <w:bottom w:val="single" w:sz="4" w:space="0" w:color="auto"/>
              <w:right w:val="single" w:sz="4" w:space="0" w:color="auto"/>
            </w:tcBorders>
            <w:shd w:val="clear" w:color="auto" w:fill="C6EFCE"/>
            <w:noWrap/>
          </w:tcPr>
          <w:p w14:paraId="15A83BB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p>
        </w:tc>
        <w:tc>
          <w:tcPr>
            <w:tcW w:w="934" w:type="dxa"/>
            <w:tcBorders>
              <w:top w:val="nil"/>
              <w:left w:val="nil"/>
              <w:bottom w:val="single" w:sz="4" w:space="0" w:color="auto"/>
              <w:right w:val="single" w:sz="4" w:space="0" w:color="auto"/>
            </w:tcBorders>
            <w:shd w:val="clear" w:color="auto" w:fill="C6EFCE"/>
            <w:noWrap/>
          </w:tcPr>
          <w:p w14:paraId="7207DDB4"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Number</w:t>
            </w:r>
          </w:p>
        </w:tc>
        <w:tc>
          <w:tcPr>
            <w:tcW w:w="907" w:type="dxa"/>
            <w:tcBorders>
              <w:top w:val="nil"/>
              <w:left w:val="nil"/>
              <w:bottom w:val="single" w:sz="4" w:space="0" w:color="auto"/>
              <w:right w:val="single" w:sz="4" w:space="0" w:color="auto"/>
            </w:tcBorders>
            <w:shd w:val="clear" w:color="auto" w:fill="C6EFCE"/>
            <w:noWrap/>
          </w:tcPr>
          <w:p w14:paraId="32D136C1"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0</w:t>
            </w:r>
          </w:p>
        </w:tc>
        <w:tc>
          <w:tcPr>
            <w:tcW w:w="668" w:type="dxa"/>
            <w:tcBorders>
              <w:top w:val="nil"/>
              <w:left w:val="nil"/>
              <w:bottom w:val="single" w:sz="4" w:space="0" w:color="auto"/>
              <w:right w:val="single" w:sz="4" w:space="0" w:color="auto"/>
            </w:tcBorders>
            <w:shd w:val="clear" w:color="auto" w:fill="C6EFCE"/>
            <w:noWrap/>
          </w:tcPr>
          <w:p w14:paraId="1F2E6767"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3</w:t>
            </w:r>
          </w:p>
        </w:tc>
        <w:tc>
          <w:tcPr>
            <w:tcW w:w="756" w:type="dxa"/>
            <w:tcBorders>
              <w:top w:val="nil"/>
              <w:left w:val="nil"/>
              <w:bottom w:val="single" w:sz="4" w:space="0" w:color="auto"/>
              <w:right w:val="single" w:sz="4" w:space="0" w:color="auto"/>
            </w:tcBorders>
            <w:shd w:val="clear" w:color="auto" w:fill="C6EFCE"/>
            <w:noWrap/>
          </w:tcPr>
          <w:p w14:paraId="5241935D"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632" w:type="dxa"/>
            <w:tcBorders>
              <w:top w:val="nil"/>
              <w:left w:val="nil"/>
              <w:bottom w:val="single" w:sz="4" w:space="0" w:color="auto"/>
              <w:right w:val="single" w:sz="4" w:space="0" w:color="auto"/>
            </w:tcBorders>
            <w:shd w:val="clear" w:color="auto" w:fill="C6EFCE"/>
            <w:noWrap/>
          </w:tcPr>
          <w:p w14:paraId="38BF326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2026</w:t>
            </w:r>
          </w:p>
        </w:tc>
        <w:tc>
          <w:tcPr>
            <w:tcW w:w="3724" w:type="dxa"/>
            <w:tcBorders>
              <w:top w:val="single" w:sz="4" w:space="0" w:color="auto"/>
              <w:left w:val="nil"/>
              <w:bottom w:val="single" w:sz="4" w:space="0" w:color="auto"/>
              <w:right w:val="single" w:sz="4" w:space="0" w:color="auto"/>
            </w:tcBorders>
            <w:shd w:val="clear" w:color="auto" w:fill="C6EFCE"/>
            <w:noWrap/>
          </w:tcPr>
          <w:p w14:paraId="19FE38B2"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At least three project completion notices or project reports shall be submitted by recipient entities. These shall correspond to an increase in the level of electrification in industrial processes for at least 43 MW.</w:t>
            </w:r>
          </w:p>
        </w:tc>
      </w:tr>
      <w:tr w:rsidR="00A7081A" w:rsidRPr="00577DC1" w14:paraId="613F5ABF" w14:textId="77777777" w:rsidTr="00577DC1">
        <w:trPr>
          <w:trHeight w:val="308"/>
        </w:trPr>
        <w:tc>
          <w:tcPr>
            <w:tcW w:w="835" w:type="dxa"/>
            <w:tcBorders>
              <w:top w:val="nil"/>
              <w:left w:val="single" w:sz="4" w:space="0" w:color="auto"/>
              <w:bottom w:val="single" w:sz="4" w:space="0" w:color="auto"/>
              <w:right w:val="single" w:sz="4" w:space="0" w:color="auto"/>
            </w:tcBorders>
            <w:shd w:val="clear" w:color="auto" w:fill="C6EFCE"/>
            <w:noWrap/>
          </w:tcPr>
          <w:p w14:paraId="32EDB398"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22</w:t>
            </w:r>
          </w:p>
        </w:tc>
        <w:tc>
          <w:tcPr>
            <w:tcW w:w="1800" w:type="dxa"/>
            <w:tcBorders>
              <w:top w:val="nil"/>
              <w:left w:val="nil"/>
              <w:bottom w:val="single" w:sz="4" w:space="0" w:color="auto"/>
              <w:right w:val="single" w:sz="4" w:space="0" w:color="auto"/>
            </w:tcBorders>
            <w:shd w:val="clear" w:color="auto" w:fill="C6EFCE"/>
            <w:noWrap/>
          </w:tcPr>
          <w:p w14:paraId="640F922D"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P1C2I3 - Industrial reforms and investments supporting the green and digital transition – Re-use and recycling of key materials and industrial side streams</w:t>
            </w:r>
          </w:p>
        </w:tc>
        <w:tc>
          <w:tcPr>
            <w:tcW w:w="1080" w:type="dxa"/>
            <w:tcBorders>
              <w:top w:val="nil"/>
              <w:left w:val="nil"/>
              <w:bottom w:val="single" w:sz="4" w:space="0" w:color="auto"/>
              <w:right w:val="single" w:sz="4" w:space="0" w:color="auto"/>
            </w:tcBorders>
            <w:shd w:val="clear" w:color="auto" w:fill="C6EFCE"/>
            <w:noWrap/>
          </w:tcPr>
          <w:p w14:paraId="4467BEE2"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387" w:type="dxa"/>
            <w:tcBorders>
              <w:top w:val="nil"/>
              <w:left w:val="nil"/>
              <w:bottom w:val="single" w:sz="4" w:space="0" w:color="auto"/>
              <w:right w:val="single" w:sz="4" w:space="0" w:color="auto"/>
            </w:tcBorders>
            <w:shd w:val="clear" w:color="auto" w:fill="C6EFCE"/>
            <w:noWrap/>
          </w:tcPr>
          <w:p w14:paraId="5B12CB94" w14:textId="74F1D566"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the first call for applications for investment projects promoting the reuse of waste materials and side streams</w:t>
            </w:r>
          </w:p>
        </w:tc>
        <w:tc>
          <w:tcPr>
            <w:tcW w:w="1223" w:type="dxa"/>
            <w:tcBorders>
              <w:top w:val="nil"/>
              <w:left w:val="nil"/>
              <w:bottom w:val="single" w:sz="4" w:space="0" w:color="auto"/>
              <w:right w:val="single" w:sz="4" w:space="0" w:color="auto"/>
            </w:tcBorders>
            <w:shd w:val="clear" w:color="auto" w:fill="C6EFCE"/>
            <w:noWrap/>
          </w:tcPr>
          <w:p w14:paraId="7B18C0A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the first call for applications on Business Finland’s website</w:t>
            </w:r>
          </w:p>
        </w:tc>
        <w:tc>
          <w:tcPr>
            <w:tcW w:w="934" w:type="dxa"/>
            <w:tcBorders>
              <w:top w:val="nil"/>
              <w:left w:val="nil"/>
              <w:bottom w:val="single" w:sz="4" w:space="0" w:color="auto"/>
              <w:right w:val="single" w:sz="4" w:space="0" w:color="auto"/>
            </w:tcBorders>
            <w:shd w:val="clear" w:color="auto" w:fill="C6EFCE"/>
            <w:noWrap/>
          </w:tcPr>
          <w:p w14:paraId="7FA4E432"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907" w:type="dxa"/>
            <w:tcBorders>
              <w:top w:val="nil"/>
              <w:left w:val="nil"/>
              <w:bottom w:val="single" w:sz="4" w:space="0" w:color="auto"/>
              <w:right w:val="single" w:sz="4" w:space="0" w:color="auto"/>
            </w:tcBorders>
            <w:shd w:val="clear" w:color="auto" w:fill="C6EFCE"/>
            <w:noWrap/>
          </w:tcPr>
          <w:p w14:paraId="73D33E4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668" w:type="dxa"/>
            <w:tcBorders>
              <w:top w:val="nil"/>
              <w:left w:val="nil"/>
              <w:bottom w:val="single" w:sz="4" w:space="0" w:color="auto"/>
              <w:right w:val="single" w:sz="4" w:space="0" w:color="auto"/>
            </w:tcBorders>
            <w:shd w:val="clear" w:color="auto" w:fill="C6EFCE"/>
            <w:noWrap/>
          </w:tcPr>
          <w:p w14:paraId="0A09548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756" w:type="dxa"/>
            <w:tcBorders>
              <w:top w:val="nil"/>
              <w:left w:val="nil"/>
              <w:bottom w:val="single" w:sz="4" w:space="0" w:color="auto"/>
              <w:right w:val="single" w:sz="4" w:space="0" w:color="auto"/>
            </w:tcBorders>
            <w:shd w:val="clear" w:color="auto" w:fill="C6EFCE"/>
            <w:noWrap/>
          </w:tcPr>
          <w:p w14:paraId="22FDA3EE"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Q4</w:t>
            </w:r>
          </w:p>
        </w:tc>
        <w:tc>
          <w:tcPr>
            <w:tcW w:w="632" w:type="dxa"/>
            <w:tcBorders>
              <w:top w:val="nil"/>
              <w:left w:val="nil"/>
              <w:bottom w:val="single" w:sz="4" w:space="0" w:color="auto"/>
              <w:right w:val="single" w:sz="4" w:space="0" w:color="auto"/>
            </w:tcBorders>
            <w:shd w:val="clear" w:color="auto" w:fill="C6EFCE"/>
            <w:noWrap/>
          </w:tcPr>
          <w:p w14:paraId="77869ADA"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2021</w:t>
            </w:r>
          </w:p>
        </w:tc>
        <w:tc>
          <w:tcPr>
            <w:tcW w:w="3724" w:type="dxa"/>
            <w:tcBorders>
              <w:top w:val="nil"/>
              <w:left w:val="nil"/>
              <w:bottom w:val="single" w:sz="4" w:space="0" w:color="auto"/>
              <w:right w:val="single" w:sz="4" w:space="0" w:color="auto"/>
            </w:tcBorders>
            <w:shd w:val="clear" w:color="auto" w:fill="C6EFCE"/>
            <w:noWrap/>
          </w:tcPr>
          <w:p w14:paraId="01EFA2A6" w14:textId="7C949FEA"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eastAsia="Times New Roman" w:hAnsi="Times New Roman"/>
                <w:noProof/>
                <w:sz w:val="20"/>
                <w:szCs w:val="20"/>
                <w:lang w:eastAsia="en-GB"/>
              </w:rPr>
              <w:t xml:space="preserve">The Government Decree on Granting Aid to Businesses for the Promotion of the Circular Economy and Sustainable Green Growth (1197/2020) entered into force, enabling the launch of the first competitive call for proposals for </w:t>
            </w:r>
            <w:r w:rsidRPr="00577DC1">
              <w:rPr>
                <w:rFonts w:ascii="Times New Roman" w:hAnsi="Times New Roman"/>
                <w:noProof/>
                <w:sz w:val="20"/>
                <w:szCs w:val="20"/>
              </w:rPr>
              <w:t>investment projects promoting the reuse of waste materials and side streams.</w:t>
            </w:r>
            <w:r w:rsidRPr="00577DC1">
              <w:rPr>
                <w:rFonts w:ascii="Times New Roman" w:eastAsia="Times New Roman" w:hAnsi="Times New Roman"/>
                <w:noProof/>
                <w:sz w:val="20"/>
                <w:szCs w:val="20"/>
                <w:lang w:eastAsia="en-GB"/>
              </w:rPr>
              <w:t xml:space="preserve"> The terms of reference of the call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A7081A" w:rsidRPr="00577DC1" w14:paraId="64F716DD" w14:textId="77777777" w:rsidTr="00577DC1">
        <w:trPr>
          <w:trHeight w:val="308"/>
        </w:trPr>
        <w:tc>
          <w:tcPr>
            <w:tcW w:w="835" w:type="dxa"/>
            <w:tcBorders>
              <w:top w:val="nil"/>
              <w:left w:val="single" w:sz="4" w:space="0" w:color="auto"/>
              <w:bottom w:val="single" w:sz="4" w:space="0" w:color="auto"/>
              <w:right w:val="single" w:sz="4" w:space="0" w:color="auto"/>
            </w:tcBorders>
            <w:shd w:val="clear" w:color="auto" w:fill="C6EFCE"/>
            <w:noWrap/>
          </w:tcPr>
          <w:p w14:paraId="5689442E"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23</w:t>
            </w:r>
          </w:p>
        </w:tc>
        <w:tc>
          <w:tcPr>
            <w:tcW w:w="1800" w:type="dxa"/>
            <w:tcBorders>
              <w:top w:val="nil"/>
              <w:left w:val="nil"/>
              <w:bottom w:val="single" w:sz="4" w:space="0" w:color="auto"/>
              <w:right w:val="single" w:sz="4" w:space="0" w:color="auto"/>
            </w:tcBorders>
            <w:shd w:val="clear" w:color="auto" w:fill="C6EFCE"/>
            <w:noWrap/>
          </w:tcPr>
          <w:p w14:paraId="6B096DAD"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P1C2I3 - Industrial reforms and investments supporting the green and digital transition – Re-use and recycling of key materials and industrial side streams</w:t>
            </w:r>
          </w:p>
        </w:tc>
        <w:tc>
          <w:tcPr>
            <w:tcW w:w="1080" w:type="dxa"/>
            <w:tcBorders>
              <w:top w:val="nil"/>
              <w:left w:val="nil"/>
              <w:bottom w:val="single" w:sz="4" w:space="0" w:color="auto"/>
              <w:right w:val="single" w:sz="4" w:space="0" w:color="auto"/>
            </w:tcBorders>
            <w:shd w:val="clear" w:color="auto" w:fill="C6EFCE"/>
            <w:noWrap/>
          </w:tcPr>
          <w:p w14:paraId="63C1854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387" w:type="dxa"/>
            <w:tcBorders>
              <w:top w:val="nil"/>
              <w:left w:val="nil"/>
              <w:bottom w:val="single" w:sz="4" w:space="0" w:color="auto"/>
              <w:right w:val="single" w:sz="4" w:space="0" w:color="auto"/>
            </w:tcBorders>
            <w:shd w:val="clear" w:color="auto" w:fill="C6EFCE"/>
            <w:noWrap/>
          </w:tcPr>
          <w:p w14:paraId="1223B3C4"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xml:space="preserve">Award of all grants to the </w:t>
            </w:r>
            <w:r w:rsidRPr="00577DC1">
              <w:rPr>
                <w:rFonts w:ascii="Times New Roman" w:eastAsia="Times New Roman" w:hAnsi="Times New Roman"/>
                <w:noProof/>
                <w:sz w:val="20"/>
                <w:szCs w:val="20"/>
                <w:lang w:eastAsia="en-GB"/>
              </w:rPr>
              <w:t xml:space="preserve">re-use and recycling projects </w:t>
            </w:r>
          </w:p>
        </w:tc>
        <w:tc>
          <w:tcPr>
            <w:tcW w:w="1223" w:type="dxa"/>
            <w:tcBorders>
              <w:top w:val="single" w:sz="4" w:space="0" w:color="auto"/>
              <w:left w:val="nil"/>
              <w:bottom w:val="single" w:sz="4" w:space="0" w:color="auto"/>
              <w:right w:val="single" w:sz="4" w:space="0" w:color="auto"/>
            </w:tcBorders>
            <w:shd w:val="clear" w:color="auto" w:fill="C6EFCE"/>
            <w:noWrap/>
          </w:tcPr>
          <w:p w14:paraId="7EB4230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Notification of the award of all grants</w:t>
            </w:r>
          </w:p>
        </w:tc>
        <w:tc>
          <w:tcPr>
            <w:tcW w:w="934" w:type="dxa"/>
            <w:tcBorders>
              <w:top w:val="nil"/>
              <w:left w:val="nil"/>
              <w:bottom w:val="single" w:sz="4" w:space="0" w:color="auto"/>
              <w:right w:val="single" w:sz="4" w:space="0" w:color="auto"/>
            </w:tcBorders>
            <w:shd w:val="clear" w:color="auto" w:fill="C6EFCE"/>
            <w:noWrap/>
          </w:tcPr>
          <w:p w14:paraId="5FB149B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907" w:type="dxa"/>
            <w:tcBorders>
              <w:top w:val="nil"/>
              <w:left w:val="nil"/>
              <w:bottom w:val="single" w:sz="4" w:space="0" w:color="auto"/>
              <w:right w:val="single" w:sz="4" w:space="0" w:color="auto"/>
            </w:tcBorders>
            <w:shd w:val="clear" w:color="auto" w:fill="C6EFCE"/>
            <w:noWrap/>
          </w:tcPr>
          <w:p w14:paraId="2F65E0E6"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668" w:type="dxa"/>
            <w:tcBorders>
              <w:top w:val="nil"/>
              <w:left w:val="nil"/>
              <w:bottom w:val="single" w:sz="4" w:space="0" w:color="auto"/>
              <w:right w:val="single" w:sz="4" w:space="0" w:color="auto"/>
            </w:tcBorders>
            <w:shd w:val="clear" w:color="auto" w:fill="C6EFCE"/>
            <w:noWrap/>
          </w:tcPr>
          <w:p w14:paraId="7271B536"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756" w:type="dxa"/>
            <w:tcBorders>
              <w:top w:val="nil"/>
              <w:left w:val="nil"/>
              <w:bottom w:val="single" w:sz="4" w:space="0" w:color="auto"/>
              <w:right w:val="single" w:sz="4" w:space="0" w:color="auto"/>
            </w:tcBorders>
            <w:shd w:val="clear" w:color="auto" w:fill="C6EFCE"/>
            <w:noWrap/>
          </w:tcPr>
          <w:p w14:paraId="0F41DAC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Q4</w:t>
            </w:r>
          </w:p>
        </w:tc>
        <w:tc>
          <w:tcPr>
            <w:tcW w:w="632" w:type="dxa"/>
            <w:tcBorders>
              <w:top w:val="nil"/>
              <w:left w:val="nil"/>
              <w:bottom w:val="single" w:sz="4" w:space="0" w:color="auto"/>
              <w:right w:val="single" w:sz="4" w:space="0" w:color="auto"/>
            </w:tcBorders>
            <w:shd w:val="clear" w:color="auto" w:fill="C6EFCE"/>
            <w:noWrap/>
          </w:tcPr>
          <w:p w14:paraId="6C727EA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2023</w:t>
            </w:r>
          </w:p>
        </w:tc>
        <w:tc>
          <w:tcPr>
            <w:tcW w:w="3724" w:type="dxa"/>
            <w:tcBorders>
              <w:top w:val="nil"/>
              <w:left w:val="nil"/>
              <w:bottom w:val="single" w:sz="4" w:space="0" w:color="auto"/>
              <w:right w:val="single" w:sz="4" w:space="0" w:color="auto"/>
            </w:tcBorders>
            <w:shd w:val="clear" w:color="auto" w:fill="C6EFCE"/>
            <w:noWrap/>
          </w:tcPr>
          <w:p w14:paraId="7F7274C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eastAsia="Times New Roman" w:hAnsi="Times New Roman"/>
                <w:noProof/>
                <w:sz w:val="20"/>
                <w:szCs w:val="20"/>
                <w:lang w:eastAsia="en-GB"/>
              </w:rPr>
              <w:t xml:space="preserve">The selection of all re-use and recycling of key materials and industrial side streams projects shall be carried out in accordance with the criteria of the respective calls for proposals. </w:t>
            </w:r>
            <w:r w:rsidRPr="00577DC1">
              <w:rPr>
                <w:rFonts w:ascii="Times New Roman" w:hAnsi="Times New Roman"/>
                <w:noProof/>
                <w:sz w:val="20"/>
                <w:szCs w:val="20"/>
              </w:rPr>
              <w:t>All calls shall be based on the eligibility/selection criteria indicated in milestone 22.</w:t>
            </w:r>
            <w:r w:rsidRPr="00577DC1">
              <w:rPr>
                <w:rFonts w:ascii="Times New Roman" w:eastAsia="Times New Roman" w:hAnsi="Times New Roman"/>
                <w:noProof/>
                <w:sz w:val="20"/>
                <w:szCs w:val="20"/>
                <w:lang w:eastAsia="en-GB"/>
              </w:rPr>
              <w:t xml:space="preserve"> All funding award decisions shall be issued to the project beneficiaries/ applicants selected under the competitive calls for proposals, enabling the start of the implementation of the selected projects.</w:t>
            </w:r>
          </w:p>
        </w:tc>
      </w:tr>
      <w:tr w:rsidR="00A7081A" w:rsidRPr="00577DC1" w14:paraId="46DF040C" w14:textId="77777777" w:rsidTr="00577DC1">
        <w:trPr>
          <w:trHeight w:val="308"/>
        </w:trPr>
        <w:tc>
          <w:tcPr>
            <w:tcW w:w="835" w:type="dxa"/>
            <w:tcBorders>
              <w:top w:val="nil"/>
              <w:left w:val="single" w:sz="4" w:space="0" w:color="auto"/>
              <w:bottom w:val="single" w:sz="4" w:space="0" w:color="auto"/>
              <w:right w:val="single" w:sz="4" w:space="0" w:color="auto"/>
            </w:tcBorders>
            <w:shd w:val="clear" w:color="auto" w:fill="C6EFCE"/>
            <w:noWrap/>
          </w:tcPr>
          <w:p w14:paraId="76350003"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24</w:t>
            </w:r>
          </w:p>
        </w:tc>
        <w:tc>
          <w:tcPr>
            <w:tcW w:w="1800" w:type="dxa"/>
            <w:tcBorders>
              <w:top w:val="nil"/>
              <w:left w:val="nil"/>
              <w:bottom w:val="single" w:sz="4" w:space="0" w:color="auto"/>
              <w:right w:val="single" w:sz="4" w:space="0" w:color="auto"/>
            </w:tcBorders>
            <w:shd w:val="clear" w:color="auto" w:fill="C6EFCE"/>
            <w:noWrap/>
          </w:tcPr>
          <w:p w14:paraId="6A4E6A3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P1C2I3 - Industrial reforms and investments supporting the green and digital transition – Re-use and recycling of key materials and industrial side streams</w:t>
            </w:r>
          </w:p>
        </w:tc>
        <w:tc>
          <w:tcPr>
            <w:tcW w:w="1080" w:type="dxa"/>
            <w:tcBorders>
              <w:top w:val="nil"/>
              <w:left w:val="nil"/>
              <w:bottom w:val="single" w:sz="4" w:space="0" w:color="auto"/>
              <w:right w:val="single" w:sz="4" w:space="0" w:color="auto"/>
            </w:tcBorders>
            <w:shd w:val="clear" w:color="auto" w:fill="C6EFCE"/>
            <w:noWrap/>
          </w:tcPr>
          <w:p w14:paraId="5D4E05B7" w14:textId="77777777" w:rsidR="00935FC8" w:rsidRPr="00577DC1" w:rsidRDefault="00935FC8" w:rsidP="00A7081A">
            <w:pPr>
              <w:spacing w:after="0" w:line="240" w:lineRule="auto"/>
              <w:rPr>
                <w:rFonts w:ascii="Times New Roman" w:hAnsi="Times New Roman"/>
                <w:noProof/>
                <w:sz w:val="20"/>
                <w:szCs w:val="20"/>
                <w:lang w:eastAsia="en-GB"/>
              </w:rPr>
            </w:pPr>
            <w:r w:rsidRPr="00577DC1">
              <w:rPr>
                <w:rFonts w:ascii="Times New Roman" w:hAnsi="Times New Roman"/>
                <w:noProof/>
                <w:sz w:val="20"/>
                <w:szCs w:val="20"/>
              </w:rPr>
              <w:t>Target</w:t>
            </w:r>
          </w:p>
        </w:tc>
        <w:tc>
          <w:tcPr>
            <w:tcW w:w="1387" w:type="dxa"/>
            <w:tcBorders>
              <w:top w:val="nil"/>
              <w:left w:val="nil"/>
              <w:bottom w:val="single" w:sz="4" w:space="0" w:color="auto"/>
              <w:right w:val="single" w:sz="4" w:space="0" w:color="auto"/>
            </w:tcBorders>
            <w:shd w:val="clear" w:color="auto" w:fill="C6EFCE"/>
            <w:noWrap/>
          </w:tcPr>
          <w:p w14:paraId="153E24B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Project reports submitted</w:t>
            </w:r>
          </w:p>
        </w:tc>
        <w:tc>
          <w:tcPr>
            <w:tcW w:w="1223" w:type="dxa"/>
            <w:tcBorders>
              <w:top w:val="nil"/>
              <w:left w:val="nil"/>
              <w:bottom w:val="single" w:sz="4" w:space="0" w:color="auto"/>
              <w:right w:val="single" w:sz="4" w:space="0" w:color="auto"/>
            </w:tcBorders>
            <w:shd w:val="clear" w:color="auto" w:fill="C6EFCE"/>
            <w:noWrap/>
          </w:tcPr>
          <w:p w14:paraId="0C13FF51" w14:textId="77777777" w:rsidR="00935FC8" w:rsidRPr="00577DC1" w:rsidRDefault="00935FC8" w:rsidP="00A7081A">
            <w:pPr>
              <w:spacing w:after="0" w:line="240" w:lineRule="auto"/>
              <w:rPr>
                <w:rFonts w:ascii="Times New Roman" w:eastAsia="Times New Roman" w:hAnsi="Times New Roman"/>
                <w:noProof/>
                <w:sz w:val="20"/>
                <w:szCs w:val="20"/>
                <w:lang w:eastAsia="en-GB"/>
              </w:rPr>
            </w:pPr>
          </w:p>
        </w:tc>
        <w:tc>
          <w:tcPr>
            <w:tcW w:w="934" w:type="dxa"/>
            <w:tcBorders>
              <w:top w:val="nil"/>
              <w:left w:val="nil"/>
              <w:bottom w:val="single" w:sz="4" w:space="0" w:color="auto"/>
              <w:right w:val="single" w:sz="4" w:space="0" w:color="auto"/>
            </w:tcBorders>
            <w:shd w:val="clear" w:color="auto" w:fill="C6EFCE"/>
            <w:noWrap/>
          </w:tcPr>
          <w:p w14:paraId="763670A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Number</w:t>
            </w:r>
          </w:p>
        </w:tc>
        <w:tc>
          <w:tcPr>
            <w:tcW w:w="907" w:type="dxa"/>
            <w:tcBorders>
              <w:top w:val="nil"/>
              <w:left w:val="nil"/>
              <w:bottom w:val="single" w:sz="4" w:space="0" w:color="auto"/>
              <w:right w:val="single" w:sz="4" w:space="0" w:color="auto"/>
            </w:tcBorders>
            <w:shd w:val="clear" w:color="auto" w:fill="C6EFCE"/>
            <w:noWrap/>
          </w:tcPr>
          <w:p w14:paraId="218DD480"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0</w:t>
            </w:r>
          </w:p>
        </w:tc>
        <w:tc>
          <w:tcPr>
            <w:tcW w:w="668" w:type="dxa"/>
            <w:tcBorders>
              <w:top w:val="nil"/>
              <w:left w:val="nil"/>
              <w:bottom w:val="single" w:sz="4" w:space="0" w:color="auto"/>
              <w:right w:val="single" w:sz="4" w:space="0" w:color="auto"/>
            </w:tcBorders>
            <w:shd w:val="clear" w:color="auto" w:fill="C6EFCE"/>
            <w:noWrap/>
          </w:tcPr>
          <w:p w14:paraId="591DEDC4"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10</w:t>
            </w:r>
          </w:p>
        </w:tc>
        <w:tc>
          <w:tcPr>
            <w:tcW w:w="756" w:type="dxa"/>
            <w:tcBorders>
              <w:top w:val="nil"/>
              <w:left w:val="nil"/>
              <w:bottom w:val="single" w:sz="4" w:space="0" w:color="auto"/>
              <w:right w:val="single" w:sz="4" w:space="0" w:color="auto"/>
            </w:tcBorders>
            <w:shd w:val="clear" w:color="auto" w:fill="C6EFCE"/>
            <w:noWrap/>
          </w:tcPr>
          <w:p w14:paraId="6C376C0A"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632" w:type="dxa"/>
            <w:tcBorders>
              <w:top w:val="nil"/>
              <w:left w:val="nil"/>
              <w:bottom w:val="single" w:sz="4" w:space="0" w:color="auto"/>
              <w:right w:val="single" w:sz="4" w:space="0" w:color="auto"/>
            </w:tcBorders>
            <w:shd w:val="clear" w:color="auto" w:fill="C6EFCE"/>
            <w:noWrap/>
          </w:tcPr>
          <w:p w14:paraId="2538B4C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2026</w:t>
            </w:r>
          </w:p>
        </w:tc>
        <w:tc>
          <w:tcPr>
            <w:tcW w:w="3724" w:type="dxa"/>
            <w:tcBorders>
              <w:top w:val="nil"/>
              <w:left w:val="nil"/>
              <w:bottom w:val="single" w:sz="4" w:space="0" w:color="auto"/>
              <w:right w:val="single" w:sz="4" w:space="0" w:color="auto"/>
            </w:tcBorders>
            <w:shd w:val="clear" w:color="auto" w:fill="C6EFCE"/>
            <w:noWrap/>
          </w:tcPr>
          <w:p w14:paraId="0B7C9EA6" w14:textId="4DCEBF49"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xml:space="preserve">At least ten project reports shall be submitted by recipient entities. These shall correspond to a reduction capacity of at least </w:t>
            </w:r>
            <w:r w:rsidRPr="00577DC1" w:rsidDel="122F79FC">
              <w:rPr>
                <w:rFonts w:ascii="Times New Roman" w:hAnsi="Times New Roman"/>
                <w:noProof/>
                <w:sz w:val="20"/>
                <w:szCs w:val="20"/>
              </w:rPr>
              <w:t>45</w:t>
            </w:r>
            <w:r w:rsidRPr="00577DC1">
              <w:rPr>
                <w:rFonts w:ascii="Times New Roman" w:hAnsi="Times New Roman"/>
                <w:noProof/>
                <w:sz w:val="20"/>
                <w:szCs w:val="20"/>
              </w:rPr>
              <w:t> 622</w:t>
            </w:r>
            <w:r w:rsidR="002965B8">
              <w:rPr>
                <w:rFonts w:ascii="Times New Roman" w:hAnsi="Times New Roman"/>
                <w:noProof/>
                <w:sz w:val="20"/>
                <w:szCs w:val="20"/>
              </w:rPr>
              <w:t> </w:t>
            </w:r>
            <w:r w:rsidRPr="00577DC1">
              <w:rPr>
                <w:rFonts w:ascii="Times New Roman" w:hAnsi="Times New Roman"/>
                <w:noProof/>
                <w:sz w:val="20"/>
                <w:szCs w:val="20"/>
              </w:rPr>
              <w:t>tonnes of CO2 equivalent.</w:t>
            </w:r>
          </w:p>
        </w:tc>
      </w:tr>
    </w:tbl>
    <w:p w14:paraId="74AB0D9C" w14:textId="77777777" w:rsidR="00935FC8" w:rsidRPr="00693DD5" w:rsidRDefault="00935FC8">
      <w:pPr>
        <w:rPr>
          <w:rFonts w:ascii="Times New Roman" w:hAnsi="Times New Roman"/>
          <w:noProof/>
          <w:sz w:val="24"/>
        </w:rPr>
        <w:sectPr w:rsidR="00935FC8" w:rsidRPr="00693DD5" w:rsidSect="00A7081A">
          <w:headerReference w:type="even" r:id="rId35"/>
          <w:headerReference w:type="default" r:id="rId36"/>
          <w:footerReference w:type="even" r:id="rId37"/>
          <w:footerReference w:type="default" r:id="rId38"/>
          <w:headerReference w:type="first" r:id="rId39"/>
          <w:footerReference w:type="first" r:id="rId40"/>
          <w:pgSz w:w="16839" w:h="11907" w:orient="landscape"/>
          <w:pgMar w:top="1134" w:right="1134" w:bottom="1134" w:left="1134" w:header="567" w:footer="567" w:gutter="0"/>
          <w:cols w:space="720"/>
          <w:docGrid w:linePitch="360"/>
        </w:sectPr>
      </w:pPr>
    </w:p>
    <w:p w14:paraId="6135FDED" w14:textId="77777777" w:rsidR="00935FC8" w:rsidRPr="00693DD5" w:rsidRDefault="00935FC8">
      <w:pPr>
        <w:pStyle w:val="Heading4"/>
        <w:numPr>
          <w:ilvl w:val="0"/>
          <w:numId w:val="0"/>
        </w:numPr>
        <w:rPr>
          <w:b/>
          <w:noProof/>
        </w:rPr>
      </w:pPr>
      <w:r w:rsidRPr="00693DD5">
        <w:rPr>
          <w:b/>
          <w:noProof/>
        </w:rPr>
        <w:t>C. COMPONENT P1C3: REDUCING THE CLIMATE AND ENVIRONMENTAL IMPACTS OF THE BUILDING STOCK</w:t>
      </w:r>
    </w:p>
    <w:p w14:paraId="6F5B486F" w14:textId="77777777" w:rsidR="00935FC8" w:rsidRPr="00693DD5" w:rsidRDefault="00935FC8">
      <w:pPr>
        <w:spacing w:before="120" w:after="120" w:line="240" w:lineRule="auto"/>
        <w:jc w:val="both"/>
        <w:rPr>
          <w:rFonts w:ascii="Times New Roman" w:hAnsi="Times New Roman"/>
          <w:i/>
          <w:iCs/>
          <w:noProof/>
          <w:sz w:val="24"/>
          <w:szCs w:val="24"/>
        </w:rPr>
      </w:pPr>
      <w:r w:rsidRPr="00693DD5">
        <w:rPr>
          <w:rFonts w:ascii="Times New Roman" w:hAnsi="Times New Roman"/>
          <w:iCs/>
          <w:noProof/>
          <w:sz w:val="24"/>
          <w:szCs w:val="24"/>
        </w:rPr>
        <w:t>Finland has set a target to become the world’s first fossil-free welfare society, reaching carbon neutrality by 2035. The overall goal of this component of the Finnish recovery and resilience plan is to contribute to achieving the carbon-neutrality objective by reducing the emissions of buildings over their lifecycle, with a particular focus on construction and on heating.</w:t>
      </w:r>
    </w:p>
    <w:p w14:paraId="1BF6B446" w14:textId="0F8D3BAC" w:rsidR="00935FC8" w:rsidRPr="00693DD5" w:rsidRDefault="00935FC8">
      <w:pPr>
        <w:spacing w:before="120" w:after="120" w:line="240" w:lineRule="auto"/>
        <w:jc w:val="both"/>
        <w:rPr>
          <w:rFonts w:ascii="Times New Roman" w:hAnsi="Times New Roman"/>
          <w:iCs/>
          <w:noProof/>
          <w:sz w:val="24"/>
          <w:szCs w:val="24"/>
        </w:rPr>
      </w:pPr>
      <w:r w:rsidRPr="00693DD5">
        <w:rPr>
          <w:rFonts w:ascii="Times New Roman" w:hAnsi="Times New Roman"/>
          <w:iCs/>
          <w:noProof/>
          <w:sz w:val="24"/>
          <w:szCs w:val="24"/>
        </w:rPr>
        <w:t>The component includes an investment to promote the use of low-carbon methods in the construction sector. This investment shall be complemented by reforms that aim to reduce emissions in the construction of buildings and that phase out heating systems fuelled by fossil oil in public buildings by 2024 and completely by the beginning of the 2030s.</w:t>
      </w:r>
    </w:p>
    <w:p w14:paraId="626EB546" w14:textId="77777777" w:rsidR="00935FC8" w:rsidRPr="00693DD5" w:rsidRDefault="00935FC8">
      <w:pPr>
        <w:spacing w:before="100" w:beforeAutospacing="1" w:after="100" w:afterAutospacing="1" w:line="240" w:lineRule="auto"/>
        <w:jc w:val="both"/>
        <w:rPr>
          <w:rFonts w:ascii="Times New Roman" w:eastAsia="Times New Roman" w:hAnsi="Times New Roman"/>
          <w:noProof/>
          <w:sz w:val="24"/>
          <w:szCs w:val="24"/>
          <w:lang w:eastAsia="en-GB"/>
        </w:rPr>
      </w:pPr>
      <w:r w:rsidRPr="00693DD5">
        <w:rPr>
          <w:rFonts w:ascii="Times New Roman" w:eastAsia="Times New Roman" w:hAnsi="Times New Roman"/>
          <w:noProof/>
          <w:sz w:val="24"/>
          <w:szCs w:val="24"/>
          <w:lang w:eastAsia="en-GB"/>
        </w:rPr>
        <w:t>The component contributes to addressing Country Specific Recommendations on focusing investment on the green transition, in particular on clean and efficient production and use of energy (Country Specific Recommendation 3 2020), as well as on promoting investment in low carbon and energy transition (Country Specific Recommendation 3 2019).</w:t>
      </w:r>
    </w:p>
    <w:p w14:paraId="4C2D2215" w14:textId="77777777" w:rsidR="00935FC8" w:rsidRPr="00693DD5" w:rsidRDefault="00935FC8">
      <w:pPr>
        <w:spacing w:beforeAutospacing="1" w:afterAutospacing="1" w:line="240" w:lineRule="auto"/>
        <w:jc w:val="both"/>
        <w:rPr>
          <w:rFonts w:ascii="Times New Roman" w:eastAsia="Times New Roman" w:hAnsi="Times New Roman"/>
          <w:noProof/>
        </w:rPr>
      </w:pPr>
      <w:r w:rsidRPr="00693DD5">
        <w:rPr>
          <w:rFonts w:ascii="Times New Roman" w:eastAsia="Times New Roman" w:hAnsi="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A816FCB" w14:textId="77777777" w:rsidR="00935FC8" w:rsidRPr="00693DD5" w:rsidRDefault="00935FC8">
      <w:pPr>
        <w:spacing w:before="120" w:after="120" w:line="240" w:lineRule="auto"/>
        <w:jc w:val="both"/>
        <w:rPr>
          <w:rFonts w:ascii="Times New Roman" w:hAnsi="Times New Roman"/>
          <w:b/>
          <w:i/>
          <w:noProof/>
          <w:color w:val="4F81BD"/>
          <w:sz w:val="24"/>
        </w:rPr>
      </w:pPr>
      <w:r w:rsidRPr="00693DD5">
        <w:rPr>
          <w:rFonts w:ascii="Times New Roman" w:hAnsi="Times New Roman"/>
          <w:b/>
          <w:noProof/>
          <w:sz w:val="24"/>
          <w:u w:val="single"/>
        </w:rPr>
        <w:t xml:space="preserve">C.1. </w:t>
      </w:r>
      <w:r w:rsidRPr="00693DD5">
        <w:rPr>
          <w:rFonts w:ascii="Times New Roman" w:hAnsi="Times New Roman"/>
          <w:b/>
          <w:noProof/>
          <w:sz w:val="24"/>
          <w:u w:val="single"/>
        </w:rPr>
        <w:tab/>
        <w:t>Description of the reforms and investments for non-repayable financial support</w:t>
      </w:r>
    </w:p>
    <w:p w14:paraId="52AABBBA" w14:textId="77777777" w:rsidR="00935FC8" w:rsidRPr="00D0136A"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Reform 1 (P1C3R1): Reform of the Land Use and Building Act</w:t>
      </w:r>
    </w:p>
    <w:p w14:paraId="7AF0A782" w14:textId="77777777" w:rsidR="00935FC8" w:rsidRPr="00693DD5" w:rsidRDefault="00935FC8">
      <w:pPr>
        <w:spacing w:before="120" w:after="120" w:line="240" w:lineRule="auto"/>
        <w:jc w:val="both"/>
        <w:rPr>
          <w:rFonts w:ascii="Times New Roman" w:hAnsi="Times New Roman"/>
          <w:noProof/>
          <w:sz w:val="24"/>
          <w:szCs w:val="24"/>
        </w:rPr>
      </w:pPr>
      <w:bookmarkStart w:id="4" w:name="_Hlk212826600"/>
      <w:r w:rsidRPr="00693DD5">
        <w:rPr>
          <w:rFonts w:ascii="Times New Roman" w:hAnsi="Times New Roman"/>
          <w:noProof/>
          <w:sz w:val="24"/>
          <w:szCs w:val="24"/>
        </w:rPr>
        <w:t xml:space="preserve">The </w:t>
      </w:r>
      <w:r w:rsidRPr="00D0136A">
        <w:rPr>
          <w:rFonts w:ascii="Times New Roman" w:hAnsi="Times New Roman"/>
          <w:noProof/>
          <w:sz w:val="24"/>
          <w:szCs w:val="24"/>
        </w:rPr>
        <w:t>objective</w:t>
      </w:r>
      <w:r w:rsidRPr="00693DD5">
        <w:rPr>
          <w:rFonts w:ascii="Times New Roman" w:hAnsi="Times New Roman"/>
          <w:noProof/>
          <w:sz w:val="24"/>
          <w:szCs w:val="24"/>
        </w:rPr>
        <w:t xml:space="preserve"> of this measure is to reduce emissions from </w:t>
      </w:r>
      <w:r w:rsidRPr="00693DD5">
        <w:rPr>
          <w:rFonts w:ascii="Times New Roman" w:eastAsia="Times New Roman" w:hAnsi="Times New Roman"/>
          <w:noProof/>
          <w:sz w:val="24"/>
          <w:szCs w:val="24"/>
        </w:rPr>
        <w:t>buildings</w:t>
      </w:r>
      <w:r w:rsidRPr="00693DD5">
        <w:rPr>
          <w:rFonts w:ascii="Times New Roman" w:hAnsi="Times New Roman"/>
          <w:noProof/>
          <w:sz w:val="24"/>
          <w:szCs w:val="24"/>
        </w:rPr>
        <w:t xml:space="preserve">. This measure consists of entry into force of </w:t>
      </w:r>
      <w:r w:rsidRPr="00D0136A">
        <w:rPr>
          <w:rFonts w:ascii="Times New Roman" w:hAnsi="Times New Roman"/>
          <w:noProof/>
          <w:sz w:val="24"/>
          <w:szCs w:val="24"/>
        </w:rPr>
        <w:t>legal act(s) reforming</w:t>
      </w:r>
      <w:r w:rsidRPr="00693DD5">
        <w:rPr>
          <w:rFonts w:ascii="Times New Roman" w:hAnsi="Times New Roman"/>
          <w:noProof/>
          <w:sz w:val="24"/>
          <w:szCs w:val="24"/>
        </w:rPr>
        <w:t xml:space="preserve"> the existing land use and building </w:t>
      </w:r>
      <w:r w:rsidRPr="00D0136A">
        <w:rPr>
          <w:rFonts w:ascii="Times New Roman" w:hAnsi="Times New Roman"/>
          <w:noProof/>
          <w:sz w:val="24"/>
          <w:szCs w:val="24"/>
        </w:rPr>
        <w:t>legislation.</w:t>
      </w:r>
      <w:r w:rsidRPr="00693DD5">
        <w:rPr>
          <w:rFonts w:ascii="Times New Roman" w:hAnsi="Times New Roman"/>
          <w:noProof/>
          <w:sz w:val="24"/>
          <w:szCs w:val="24"/>
        </w:rPr>
        <w:t xml:space="preserve"> </w:t>
      </w:r>
      <w:bookmarkEnd w:id="4"/>
    </w:p>
    <w:p w14:paraId="7D57175D" w14:textId="77777777" w:rsidR="00935FC8" w:rsidRPr="00D0136A"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Reform 2 (P1C3R2): Action plan to phase out fossil oil heating</w:t>
      </w:r>
    </w:p>
    <w:p w14:paraId="112855C8" w14:textId="77777777" w:rsidR="00935FC8" w:rsidRPr="00374BE0" w:rsidRDefault="00935FC8" w:rsidP="00A7081A">
      <w:pPr>
        <w:spacing w:after="0" w:line="240" w:lineRule="auto"/>
        <w:jc w:val="both"/>
        <w:rPr>
          <w:rFonts w:ascii="Times New Roman" w:eastAsia="Times New Roman" w:hAnsi="Times New Roman"/>
          <w:noProof/>
          <w:sz w:val="24"/>
          <w:szCs w:val="24"/>
          <w:lang w:eastAsia="en-IE"/>
        </w:rPr>
      </w:pPr>
      <w:r w:rsidRPr="00D0136A">
        <w:rPr>
          <w:rFonts w:ascii="Times New Roman" w:eastAsia="Times New Roman" w:hAnsi="Times New Roman"/>
          <w:noProof/>
          <w:sz w:val="24"/>
          <w:szCs w:val="24"/>
          <w:lang w:eastAsia="en-IE"/>
        </w:rPr>
        <w:t xml:space="preserve">The objective of this measure is to contribute towards phasing out fossil oil heating in Finland by 2030. This measure consists of an action plan to phase out fossil oil heating. </w:t>
      </w:r>
    </w:p>
    <w:p w14:paraId="536F8B08" w14:textId="77777777" w:rsidR="00935FC8" w:rsidRPr="00D0136A"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2 (P1C3I2): Low-carbon built environment programme</w:t>
      </w:r>
    </w:p>
    <w:p w14:paraId="7935A6A4" w14:textId="77777777" w:rsidR="00935FC8" w:rsidRPr="00693DD5" w:rsidRDefault="00935FC8" w:rsidP="00A7081A">
      <w:pPr>
        <w:spacing w:after="0" w:line="240" w:lineRule="auto"/>
        <w:jc w:val="both"/>
        <w:rPr>
          <w:rFonts w:ascii="Times New Roman" w:eastAsia="Times New Roman" w:hAnsi="Times New Roman"/>
          <w:noProof/>
          <w:sz w:val="24"/>
          <w:szCs w:val="24"/>
          <w:lang w:eastAsia="en-IE"/>
        </w:rPr>
      </w:pPr>
      <w:r w:rsidRPr="00693DD5">
        <w:rPr>
          <w:rFonts w:ascii="Times New Roman" w:eastAsia="Times New Roman" w:hAnsi="Times New Roman"/>
          <w:noProof/>
          <w:sz w:val="24"/>
          <w:szCs w:val="24"/>
          <w:lang w:eastAsia="en-IE"/>
        </w:rPr>
        <w:t xml:space="preserve">The </w:t>
      </w:r>
      <w:r w:rsidRPr="00D0136A">
        <w:rPr>
          <w:rFonts w:ascii="Times New Roman" w:eastAsia="Times New Roman" w:hAnsi="Times New Roman"/>
          <w:noProof/>
          <w:sz w:val="24"/>
          <w:szCs w:val="24"/>
          <w:lang w:eastAsia="en-IE"/>
        </w:rPr>
        <w:t>objective</w:t>
      </w:r>
      <w:r w:rsidRPr="00693DD5">
        <w:rPr>
          <w:rFonts w:ascii="Times New Roman" w:eastAsia="Times New Roman" w:hAnsi="Times New Roman"/>
          <w:noProof/>
          <w:sz w:val="24"/>
          <w:szCs w:val="24"/>
          <w:lang w:eastAsia="en-IE"/>
        </w:rPr>
        <w:t xml:space="preserve"> of this measure is to accelerate the development and adoption of low-carbon solutions in the built environment. This measure consists of the Low-Carbon Built Environment Programme, </w:t>
      </w:r>
      <w:r>
        <w:rPr>
          <w:rFonts w:ascii="Times New Roman" w:eastAsia="Times New Roman" w:hAnsi="Times New Roman"/>
          <w:noProof/>
          <w:sz w:val="24"/>
          <w:szCs w:val="24"/>
          <w:lang w:eastAsia="en-IE"/>
        </w:rPr>
        <w:t xml:space="preserve">an </w:t>
      </w:r>
      <w:r w:rsidRPr="00693DD5">
        <w:rPr>
          <w:rFonts w:ascii="Times New Roman" w:eastAsia="Times New Roman" w:hAnsi="Times New Roman"/>
          <w:noProof/>
          <w:sz w:val="24"/>
          <w:szCs w:val="24"/>
          <w:lang w:eastAsia="en-IE"/>
        </w:rPr>
        <w:t xml:space="preserve">initiative that provides financial </w:t>
      </w:r>
      <w:r w:rsidRPr="00D0136A">
        <w:rPr>
          <w:rFonts w:ascii="Times New Roman" w:eastAsia="Times New Roman" w:hAnsi="Times New Roman"/>
          <w:noProof/>
          <w:sz w:val="24"/>
          <w:szCs w:val="24"/>
          <w:lang w:eastAsia="en-IE"/>
        </w:rPr>
        <w:t>support through grants</w:t>
      </w:r>
      <w:r w:rsidRPr="00693DD5">
        <w:rPr>
          <w:rFonts w:ascii="Times New Roman" w:eastAsia="Times New Roman" w:hAnsi="Times New Roman"/>
          <w:noProof/>
          <w:sz w:val="24"/>
          <w:szCs w:val="24"/>
          <w:lang w:eastAsia="en-IE"/>
        </w:rPr>
        <w:t xml:space="preserve"> for projects in this area.</w:t>
      </w:r>
    </w:p>
    <w:p w14:paraId="1A46E1A2" w14:textId="77777777" w:rsidR="00935FC8" w:rsidRDefault="00935FC8">
      <w:pPr>
        <w:spacing w:after="0" w:line="240" w:lineRule="auto"/>
        <w:rPr>
          <w:rFonts w:ascii="Times New Roman" w:hAnsi="Times New Roman"/>
          <w:b/>
          <w:noProof/>
          <w:sz w:val="24"/>
          <w:u w:val="single"/>
        </w:rPr>
      </w:pPr>
    </w:p>
    <w:p w14:paraId="2C4AC7AA" w14:textId="77777777" w:rsidR="00935FC8" w:rsidRDefault="00935FC8">
      <w:pPr>
        <w:spacing w:before="120" w:after="120" w:line="240" w:lineRule="auto"/>
        <w:jc w:val="both"/>
        <w:rPr>
          <w:rFonts w:ascii="Times New Roman" w:hAnsi="Times New Roman"/>
          <w:b/>
          <w:noProof/>
          <w:sz w:val="24"/>
          <w:u w:val="single"/>
        </w:rPr>
        <w:sectPr w:rsidR="00935FC8" w:rsidSect="00A7081A">
          <w:headerReference w:type="even" r:id="rId41"/>
          <w:headerReference w:type="default" r:id="rId42"/>
          <w:footerReference w:type="even" r:id="rId43"/>
          <w:footerReference w:type="default" r:id="rId44"/>
          <w:headerReference w:type="first" r:id="rId45"/>
          <w:footerReference w:type="first" r:id="rId46"/>
          <w:pgSz w:w="11907" w:h="16839" w:code="9"/>
          <w:pgMar w:top="1134" w:right="1134" w:bottom="1134" w:left="1134" w:header="567" w:footer="567" w:gutter="0"/>
          <w:cols w:space="720"/>
          <w:docGrid w:linePitch="360"/>
        </w:sectPr>
      </w:pPr>
    </w:p>
    <w:p w14:paraId="4BDA86FE" w14:textId="77777777" w:rsidR="00935FC8" w:rsidRPr="00B555B3" w:rsidRDefault="00935FC8">
      <w:pPr>
        <w:spacing w:before="120" w:after="120" w:line="240" w:lineRule="auto"/>
        <w:jc w:val="both"/>
        <w:rPr>
          <w:rFonts w:ascii="Times New Roman" w:hAnsi="Times New Roman"/>
          <w:b/>
          <w:noProof/>
          <w:sz w:val="24"/>
          <w:u w:val="single"/>
        </w:rPr>
      </w:pPr>
      <w:r w:rsidRPr="00B555B3">
        <w:rPr>
          <w:rFonts w:ascii="Times New Roman" w:hAnsi="Times New Roman"/>
          <w:b/>
          <w:noProof/>
          <w:sz w:val="24"/>
          <w:u w:val="single"/>
        </w:rPr>
        <w:t xml:space="preserve">C.2. </w:t>
      </w:r>
      <w:r w:rsidRPr="00B555B3">
        <w:rPr>
          <w:rFonts w:ascii="Times New Roman" w:hAnsi="Times New Roman"/>
          <w:b/>
          <w:noProof/>
          <w:sz w:val="24"/>
          <w:u w:val="single"/>
        </w:rPr>
        <w:tab/>
        <w:t>Milestones, targets, indicators, and timetable for monitoring and implementation for non-repayable financial support</w:t>
      </w:r>
    </w:p>
    <w:tbl>
      <w:tblPr>
        <w:tblW w:w="15712" w:type="dxa"/>
        <w:jc w:val="center"/>
        <w:tblLayout w:type="fixed"/>
        <w:tblCellMar>
          <w:left w:w="28" w:type="dxa"/>
          <w:right w:w="28" w:type="dxa"/>
        </w:tblCellMar>
        <w:tblLook w:val="04A0" w:firstRow="1" w:lastRow="0" w:firstColumn="1" w:lastColumn="0" w:noHBand="0" w:noVBand="1"/>
      </w:tblPr>
      <w:tblGrid>
        <w:gridCol w:w="768"/>
        <w:gridCol w:w="2107"/>
        <w:gridCol w:w="1100"/>
        <w:gridCol w:w="1560"/>
        <w:gridCol w:w="1701"/>
        <w:gridCol w:w="567"/>
        <w:gridCol w:w="850"/>
        <w:gridCol w:w="556"/>
        <w:gridCol w:w="851"/>
        <w:gridCol w:w="567"/>
        <w:gridCol w:w="5085"/>
      </w:tblGrid>
      <w:tr w:rsidR="00A7081A" w:rsidRPr="00577DC1" w14:paraId="127368E3" w14:textId="77777777" w:rsidTr="003E1CE8">
        <w:trPr>
          <w:trHeight w:val="927"/>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14BC71"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Number</w:t>
            </w:r>
          </w:p>
        </w:tc>
        <w:tc>
          <w:tcPr>
            <w:tcW w:w="210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28E2CB7" w14:textId="3BF73740"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Measure</w:t>
            </w:r>
          </w:p>
        </w:tc>
        <w:tc>
          <w:tcPr>
            <w:tcW w:w="11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565773" w14:textId="57D2CF4A"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Milestone /</w:t>
            </w:r>
            <w:r w:rsidR="00DA4DC4">
              <w:rPr>
                <w:rFonts w:ascii="Times New Roman" w:eastAsia="Times New Roman" w:hAnsi="Times New Roman"/>
                <w:b/>
                <w:noProof/>
                <w:sz w:val="20"/>
                <w:szCs w:val="20"/>
                <w:lang w:eastAsia="en-GB"/>
              </w:rPr>
              <w:t xml:space="preserve"> </w:t>
            </w:r>
            <w:r w:rsidRPr="00577DC1">
              <w:rPr>
                <w:rFonts w:ascii="Times New Roman" w:eastAsia="Times New Roman" w:hAnsi="Times New Roman"/>
                <w:b/>
                <w:noProof/>
                <w:sz w:val="20"/>
                <w:szCs w:val="20"/>
                <w:lang w:eastAsia="en-GB"/>
              </w:rPr>
              <w:t>Target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65B111"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Name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246AE4C" w14:textId="0A8E6491" w:rsidR="00935FC8" w:rsidRPr="00577DC1" w:rsidRDefault="00935FC8" w:rsidP="000A1841">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Qualitative indicators</w:t>
            </w:r>
            <w:r w:rsidR="000A1841">
              <w:rPr>
                <w:rFonts w:ascii="Times New Roman" w:eastAsia="Times New Roman" w:hAnsi="Times New Roman"/>
                <w:b/>
                <w:bCs/>
                <w:noProof/>
                <w:sz w:val="20"/>
                <w:szCs w:val="20"/>
                <w:lang w:eastAsia="en-GB"/>
              </w:rPr>
              <w:t xml:space="preserve"> </w:t>
            </w:r>
            <w:r w:rsidRPr="00577DC1">
              <w:rPr>
                <w:rFonts w:ascii="Times New Roman" w:eastAsia="Times New Roman" w:hAnsi="Times New Roman"/>
                <w:b/>
                <w:bCs/>
                <w:noProof/>
                <w:sz w:val="20"/>
                <w:szCs w:val="20"/>
                <w:lang w:eastAsia="en-GB"/>
              </w:rPr>
              <w:t>(for milestones)</w:t>
            </w:r>
          </w:p>
        </w:tc>
        <w:tc>
          <w:tcPr>
            <w:tcW w:w="197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C995A45" w14:textId="650CE6E9" w:rsidR="00935FC8" w:rsidRPr="00577DC1" w:rsidRDefault="00935FC8" w:rsidP="000A1841">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Quantitative indicators</w:t>
            </w:r>
            <w:r w:rsidR="000A1841">
              <w:rPr>
                <w:rFonts w:ascii="Times New Roman" w:eastAsia="Times New Roman" w:hAnsi="Times New Roman"/>
                <w:b/>
                <w:bCs/>
                <w:noProof/>
                <w:sz w:val="20"/>
                <w:szCs w:val="20"/>
                <w:lang w:eastAsia="en-GB"/>
              </w:rPr>
              <w:t xml:space="preserve"> </w:t>
            </w:r>
            <w:r w:rsidRPr="00577DC1">
              <w:rPr>
                <w:rFonts w:ascii="Times New Roman" w:eastAsia="Times New Roman" w:hAnsi="Times New Roman"/>
                <w:b/>
                <w:bCs/>
                <w:noProof/>
                <w:sz w:val="20"/>
                <w:szCs w:val="20"/>
                <w:lang w:eastAsia="en-GB"/>
              </w:rPr>
              <w:t>(for targets)</w:t>
            </w:r>
          </w:p>
        </w:tc>
        <w:tc>
          <w:tcPr>
            <w:tcW w:w="1418" w:type="dxa"/>
            <w:gridSpan w:val="2"/>
            <w:tcBorders>
              <w:top w:val="single" w:sz="4" w:space="0" w:color="auto"/>
              <w:left w:val="nil"/>
              <w:bottom w:val="single" w:sz="4" w:space="0" w:color="auto"/>
              <w:right w:val="single" w:sz="4" w:space="0" w:color="auto"/>
            </w:tcBorders>
            <w:shd w:val="clear" w:color="auto" w:fill="BDD7EE"/>
            <w:vAlign w:val="center"/>
            <w:hideMark/>
          </w:tcPr>
          <w:p w14:paraId="5228FFE7" w14:textId="68FDE4CB" w:rsidR="00935FC8" w:rsidRPr="00577DC1" w:rsidRDefault="00935FC8" w:rsidP="000A1841">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bCs/>
                <w:noProof/>
                <w:sz w:val="20"/>
                <w:szCs w:val="20"/>
                <w:lang w:eastAsia="en-GB"/>
              </w:rPr>
              <w:t>Indicative timeline</w:t>
            </w:r>
            <w:r w:rsidR="000A1841">
              <w:rPr>
                <w:rFonts w:ascii="Times New Roman" w:eastAsia="Times New Roman" w:hAnsi="Times New Roman"/>
                <w:b/>
                <w:bCs/>
                <w:noProof/>
                <w:sz w:val="20"/>
                <w:szCs w:val="20"/>
                <w:lang w:eastAsia="en-GB"/>
              </w:rPr>
              <w:t xml:space="preserve"> </w:t>
            </w:r>
            <w:r w:rsidRPr="00577DC1">
              <w:rPr>
                <w:rFonts w:ascii="Times New Roman" w:eastAsia="Times New Roman" w:hAnsi="Times New Roman"/>
                <w:b/>
                <w:bCs/>
                <w:noProof/>
                <w:sz w:val="20"/>
                <w:szCs w:val="20"/>
                <w:lang w:eastAsia="en-GB"/>
              </w:rPr>
              <w:t>for completion</w:t>
            </w:r>
          </w:p>
        </w:tc>
        <w:tc>
          <w:tcPr>
            <w:tcW w:w="508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EE34FC"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Description of each milestone and target</w:t>
            </w:r>
          </w:p>
        </w:tc>
      </w:tr>
      <w:tr w:rsidR="00DA4DC4" w:rsidRPr="00577DC1" w14:paraId="45EE1C38" w14:textId="77777777" w:rsidTr="003E1CE8">
        <w:trPr>
          <w:trHeight w:val="612"/>
          <w:tblHeader/>
          <w:jc w:val="center"/>
        </w:trPr>
        <w:tc>
          <w:tcPr>
            <w:tcW w:w="768" w:type="dxa"/>
            <w:vMerge/>
            <w:tcBorders>
              <w:top w:val="single" w:sz="4" w:space="0" w:color="auto"/>
              <w:left w:val="single" w:sz="4" w:space="0" w:color="auto"/>
              <w:bottom w:val="single" w:sz="4" w:space="0" w:color="auto"/>
              <w:right w:val="single" w:sz="4" w:space="0" w:color="auto"/>
            </w:tcBorders>
            <w:vAlign w:val="center"/>
            <w:hideMark/>
          </w:tcPr>
          <w:p w14:paraId="708B8EEC"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2107" w:type="dxa"/>
            <w:vMerge/>
            <w:tcBorders>
              <w:top w:val="single" w:sz="4" w:space="0" w:color="auto"/>
              <w:left w:val="single" w:sz="4" w:space="0" w:color="auto"/>
              <w:bottom w:val="single" w:sz="4" w:space="0" w:color="auto"/>
              <w:right w:val="single" w:sz="4" w:space="0" w:color="auto"/>
            </w:tcBorders>
            <w:vAlign w:val="center"/>
            <w:hideMark/>
          </w:tcPr>
          <w:p w14:paraId="34F6F85C"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1100" w:type="dxa"/>
            <w:vMerge/>
            <w:tcBorders>
              <w:top w:val="single" w:sz="4" w:space="0" w:color="auto"/>
              <w:left w:val="single" w:sz="4" w:space="0" w:color="auto"/>
              <w:bottom w:val="single" w:sz="4" w:space="0" w:color="auto"/>
              <w:right w:val="single" w:sz="4" w:space="0" w:color="auto"/>
            </w:tcBorders>
            <w:vAlign w:val="center"/>
            <w:hideMark/>
          </w:tcPr>
          <w:p w14:paraId="01A2A862"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58226B9A"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B86CF09"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C15447"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 xml:space="preserve">Unit </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3CCAF0A0" w14:textId="77777777" w:rsidR="00935FC8" w:rsidRPr="00577DC1" w:rsidRDefault="00935FC8">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 xml:space="preserve">Baseline </w:t>
            </w:r>
          </w:p>
        </w:tc>
        <w:tc>
          <w:tcPr>
            <w:tcW w:w="556" w:type="dxa"/>
            <w:tcBorders>
              <w:top w:val="single" w:sz="4" w:space="0" w:color="auto"/>
              <w:left w:val="nil"/>
              <w:bottom w:val="single" w:sz="4" w:space="0" w:color="auto"/>
              <w:right w:val="single" w:sz="4" w:space="0" w:color="auto"/>
            </w:tcBorders>
            <w:shd w:val="clear" w:color="auto" w:fill="BDD7EE"/>
            <w:vAlign w:val="center"/>
            <w:hideMark/>
          </w:tcPr>
          <w:p w14:paraId="507DF2E1"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 xml:space="preserve">Goal </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0ADB89E4"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Quarter</w:t>
            </w:r>
          </w:p>
        </w:tc>
        <w:tc>
          <w:tcPr>
            <w:tcW w:w="567" w:type="dxa"/>
            <w:tcBorders>
              <w:top w:val="single" w:sz="4" w:space="0" w:color="auto"/>
              <w:left w:val="nil"/>
              <w:bottom w:val="single" w:sz="4" w:space="0" w:color="auto"/>
              <w:right w:val="single" w:sz="4" w:space="0" w:color="auto"/>
            </w:tcBorders>
            <w:shd w:val="clear" w:color="auto" w:fill="BDD7EE"/>
            <w:vAlign w:val="center"/>
            <w:hideMark/>
          </w:tcPr>
          <w:p w14:paraId="2345B5BD"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Year</w:t>
            </w:r>
          </w:p>
        </w:tc>
        <w:tc>
          <w:tcPr>
            <w:tcW w:w="5085" w:type="dxa"/>
            <w:vMerge/>
            <w:tcBorders>
              <w:top w:val="single" w:sz="4" w:space="0" w:color="auto"/>
              <w:bottom w:val="single" w:sz="4" w:space="0" w:color="auto"/>
              <w:right w:val="single" w:sz="4" w:space="0" w:color="auto"/>
            </w:tcBorders>
            <w:vAlign w:val="center"/>
            <w:hideMark/>
          </w:tcPr>
          <w:p w14:paraId="4459D932" w14:textId="77777777" w:rsidR="00935FC8" w:rsidRPr="00577DC1" w:rsidRDefault="00935FC8">
            <w:pPr>
              <w:spacing w:after="0" w:line="240" w:lineRule="auto"/>
              <w:rPr>
                <w:rFonts w:ascii="Times New Roman" w:eastAsia="Times New Roman" w:hAnsi="Times New Roman"/>
                <w:b/>
                <w:noProof/>
                <w:sz w:val="20"/>
                <w:szCs w:val="20"/>
                <w:lang w:eastAsia="en-GB"/>
              </w:rPr>
            </w:pPr>
          </w:p>
        </w:tc>
      </w:tr>
      <w:tr w:rsidR="00DA4DC4" w:rsidRPr="00577DC1" w14:paraId="3D952DA9" w14:textId="77777777" w:rsidTr="003E1CE8">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5ABD6E01"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25</w:t>
            </w:r>
          </w:p>
        </w:tc>
        <w:tc>
          <w:tcPr>
            <w:tcW w:w="2107" w:type="dxa"/>
            <w:tcBorders>
              <w:top w:val="single" w:sz="4" w:space="0" w:color="auto"/>
              <w:left w:val="nil"/>
              <w:bottom w:val="single" w:sz="4" w:space="0" w:color="auto"/>
              <w:right w:val="single" w:sz="4" w:space="0" w:color="auto"/>
            </w:tcBorders>
            <w:shd w:val="clear" w:color="auto" w:fill="C6EFCE"/>
            <w:noWrap/>
            <w:hideMark/>
          </w:tcPr>
          <w:p w14:paraId="3031F82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P1C3R1 - Reducing the climate and environmental impacts of the building stock – Reform of the Land Use and Building Act</w:t>
            </w:r>
          </w:p>
        </w:tc>
        <w:tc>
          <w:tcPr>
            <w:tcW w:w="1100" w:type="dxa"/>
            <w:tcBorders>
              <w:top w:val="single" w:sz="4" w:space="0" w:color="auto"/>
              <w:left w:val="nil"/>
              <w:bottom w:val="single" w:sz="4" w:space="0" w:color="auto"/>
              <w:right w:val="single" w:sz="4" w:space="0" w:color="auto"/>
            </w:tcBorders>
            <w:shd w:val="clear" w:color="auto" w:fill="C6EFCE"/>
            <w:noWrap/>
            <w:hideMark/>
          </w:tcPr>
          <w:p w14:paraId="0809B734"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560" w:type="dxa"/>
            <w:tcBorders>
              <w:top w:val="single" w:sz="4" w:space="0" w:color="auto"/>
              <w:left w:val="nil"/>
              <w:bottom w:val="single" w:sz="4" w:space="0" w:color="auto"/>
              <w:right w:val="single" w:sz="4" w:space="0" w:color="auto"/>
            </w:tcBorders>
            <w:shd w:val="clear" w:color="auto" w:fill="C6EFCE"/>
            <w:noWrap/>
            <w:hideMark/>
          </w:tcPr>
          <w:p w14:paraId="77C600DB" w14:textId="2320AE29"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Entry into force of legal act(s)</w:t>
            </w:r>
          </w:p>
        </w:tc>
        <w:tc>
          <w:tcPr>
            <w:tcW w:w="1701" w:type="dxa"/>
            <w:tcBorders>
              <w:top w:val="single" w:sz="4" w:space="0" w:color="auto"/>
              <w:left w:val="nil"/>
              <w:bottom w:val="single" w:sz="4" w:space="0" w:color="auto"/>
              <w:right w:val="single" w:sz="4" w:space="0" w:color="auto"/>
            </w:tcBorders>
            <w:shd w:val="clear" w:color="auto" w:fill="C6EFCE"/>
            <w:noWrap/>
            <w:hideMark/>
          </w:tcPr>
          <w:p w14:paraId="021BCFE4" w14:textId="37C629B8"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Entry into force of legal act(s)</w:t>
            </w:r>
          </w:p>
        </w:tc>
        <w:tc>
          <w:tcPr>
            <w:tcW w:w="567" w:type="dxa"/>
            <w:tcBorders>
              <w:top w:val="nil"/>
              <w:left w:val="nil"/>
              <w:bottom w:val="single" w:sz="4" w:space="0" w:color="auto"/>
              <w:right w:val="single" w:sz="4" w:space="0" w:color="auto"/>
            </w:tcBorders>
            <w:shd w:val="clear" w:color="auto" w:fill="C6EFCE"/>
            <w:noWrap/>
            <w:hideMark/>
          </w:tcPr>
          <w:p w14:paraId="00031AE6"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50" w:type="dxa"/>
            <w:tcBorders>
              <w:top w:val="nil"/>
              <w:left w:val="nil"/>
              <w:bottom w:val="single" w:sz="4" w:space="0" w:color="auto"/>
              <w:right w:val="single" w:sz="4" w:space="0" w:color="auto"/>
            </w:tcBorders>
            <w:shd w:val="clear" w:color="auto" w:fill="C6EFCE"/>
            <w:noWrap/>
            <w:hideMark/>
          </w:tcPr>
          <w:p w14:paraId="122B9E76"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556" w:type="dxa"/>
            <w:tcBorders>
              <w:top w:val="nil"/>
              <w:left w:val="nil"/>
              <w:bottom w:val="single" w:sz="4" w:space="0" w:color="auto"/>
              <w:right w:val="single" w:sz="4" w:space="0" w:color="auto"/>
            </w:tcBorders>
            <w:shd w:val="clear" w:color="auto" w:fill="C6EFCE"/>
            <w:noWrap/>
            <w:hideMark/>
          </w:tcPr>
          <w:p w14:paraId="2E6AC21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51" w:type="dxa"/>
            <w:tcBorders>
              <w:top w:val="nil"/>
              <w:left w:val="nil"/>
              <w:bottom w:val="single" w:sz="4" w:space="0" w:color="auto"/>
              <w:right w:val="single" w:sz="4" w:space="0" w:color="auto"/>
            </w:tcBorders>
            <w:shd w:val="clear" w:color="auto" w:fill="C6EFCE"/>
            <w:noWrap/>
            <w:hideMark/>
          </w:tcPr>
          <w:p w14:paraId="50A5DD3A" w14:textId="77777777" w:rsidR="00935FC8" w:rsidRPr="00577DC1" w:rsidRDefault="00935FC8" w:rsidP="00A7081A">
            <w:pPr>
              <w:spacing w:after="0" w:line="240" w:lineRule="auto"/>
              <w:ind w:right="-5"/>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567" w:type="dxa"/>
            <w:tcBorders>
              <w:top w:val="nil"/>
              <w:left w:val="nil"/>
              <w:bottom w:val="single" w:sz="4" w:space="0" w:color="auto"/>
              <w:right w:val="single" w:sz="4" w:space="0" w:color="auto"/>
            </w:tcBorders>
            <w:shd w:val="clear" w:color="auto" w:fill="C6EFCE"/>
            <w:noWrap/>
            <w:hideMark/>
          </w:tcPr>
          <w:p w14:paraId="0624DC3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2026</w:t>
            </w:r>
          </w:p>
        </w:tc>
        <w:tc>
          <w:tcPr>
            <w:tcW w:w="5085" w:type="dxa"/>
            <w:tcBorders>
              <w:top w:val="single" w:sz="4" w:space="0" w:color="auto"/>
              <w:left w:val="nil"/>
              <w:bottom w:val="single" w:sz="4" w:space="0" w:color="auto"/>
              <w:right w:val="single" w:sz="4" w:space="0" w:color="auto"/>
            </w:tcBorders>
            <w:shd w:val="clear" w:color="auto" w:fill="C6EFCE"/>
            <w:noWrap/>
            <w:hideMark/>
          </w:tcPr>
          <w:p w14:paraId="5190DDAE" w14:textId="2737F28F" w:rsidR="00935FC8" w:rsidRPr="00577DC1" w:rsidRDefault="00935FC8" w:rsidP="00DA4DC4">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The legal act(s) shall set limits on the carbon dioxide emissions of new buildings’ life cycle. They shall also regulate the development of calculation methods and interoperable databases.</w:t>
            </w:r>
          </w:p>
        </w:tc>
      </w:tr>
      <w:tr w:rsidR="00DA4DC4" w:rsidRPr="00577DC1" w14:paraId="5B6B54DA" w14:textId="77777777" w:rsidTr="003E1CE8">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1F0570E2"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26</w:t>
            </w:r>
          </w:p>
        </w:tc>
        <w:tc>
          <w:tcPr>
            <w:tcW w:w="2107" w:type="dxa"/>
            <w:tcBorders>
              <w:top w:val="nil"/>
              <w:left w:val="nil"/>
              <w:bottom w:val="single" w:sz="4" w:space="0" w:color="auto"/>
              <w:right w:val="single" w:sz="4" w:space="0" w:color="auto"/>
            </w:tcBorders>
            <w:shd w:val="clear" w:color="auto" w:fill="C6EFCE"/>
            <w:noWrap/>
            <w:hideMark/>
          </w:tcPr>
          <w:p w14:paraId="2EC84254"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P1C3R2 - Reducing the climate and environmental impacts of the building stock – action plan to phase out fossil oil heating</w:t>
            </w:r>
          </w:p>
        </w:tc>
        <w:tc>
          <w:tcPr>
            <w:tcW w:w="1100" w:type="dxa"/>
            <w:tcBorders>
              <w:top w:val="nil"/>
              <w:left w:val="nil"/>
              <w:bottom w:val="single" w:sz="4" w:space="0" w:color="auto"/>
              <w:right w:val="single" w:sz="4" w:space="0" w:color="auto"/>
            </w:tcBorders>
            <w:shd w:val="clear" w:color="auto" w:fill="C6EFCE"/>
            <w:noWrap/>
            <w:hideMark/>
          </w:tcPr>
          <w:p w14:paraId="53A55B2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560" w:type="dxa"/>
            <w:tcBorders>
              <w:top w:val="nil"/>
              <w:left w:val="nil"/>
              <w:bottom w:val="single" w:sz="4" w:space="0" w:color="auto"/>
              <w:right w:val="single" w:sz="4" w:space="0" w:color="auto"/>
            </w:tcBorders>
            <w:shd w:val="clear" w:color="auto" w:fill="C6EFCE"/>
            <w:noWrap/>
            <w:hideMark/>
          </w:tcPr>
          <w:p w14:paraId="09A670FD"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the action plan for phasing out fossil oil heating</w:t>
            </w:r>
          </w:p>
        </w:tc>
        <w:tc>
          <w:tcPr>
            <w:tcW w:w="1701" w:type="dxa"/>
            <w:tcBorders>
              <w:top w:val="nil"/>
              <w:left w:val="nil"/>
              <w:bottom w:val="single" w:sz="4" w:space="0" w:color="auto"/>
              <w:right w:val="single" w:sz="4" w:space="0" w:color="auto"/>
            </w:tcBorders>
            <w:shd w:val="clear" w:color="auto" w:fill="C6EFCE"/>
            <w:noWrap/>
            <w:hideMark/>
          </w:tcPr>
          <w:p w14:paraId="51494585" w14:textId="77777777" w:rsidR="00935FC8" w:rsidRPr="00577DC1" w:rsidRDefault="00935FC8" w:rsidP="00A7081A">
            <w:pPr>
              <w:spacing w:after="0" w:line="240" w:lineRule="auto"/>
              <w:rPr>
                <w:rFonts w:ascii="Times New Roman" w:hAnsi="Times New Roman"/>
                <w:noProof/>
                <w:sz w:val="20"/>
                <w:szCs w:val="20"/>
                <w:lang w:eastAsia="en-GB"/>
              </w:rPr>
            </w:pPr>
            <w:r w:rsidRPr="00577DC1">
              <w:rPr>
                <w:rFonts w:ascii="Times New Roman" w:hAnsi="Times New Roman"/>
                <w:noProof/>
                <w:sz w:val="20"/>
                <w:szCs w:val="20"/>
              </w:rPr>
              <w:t>Publication of the action plan on the website of the government of Finland</w:t>
            </w:r>
          </w:p>
        </w:tc>
        <w:tc>
          <w:tcPr>
            <w:tcW w:w="567" w:type="dxa"/>
            <w:tcBorders>
              <w:top w:val="nil"/>
              <w:left w:val="nil"/>
              <w:bottom w:val="single" w:sz="4" w:space="0" w:color="auto"/>
              <w:right w:val="single" w:sz="4" w:space="0" w:color="auto"/>
            </w:tcBorders>
            <w:shd w:val="clear" w:color="auto" w:fill="C6EFCE"/>
            <w:noWrap/>
            <w:hideMark/>
          </w:tcPr>
          <w:p w14:paraId="02FCCE3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50" w:type="dxa"/>
            <w:tcBorders>
              <w:top w:val="nil"/>
              <w:left w:val="nil"/>
              <w:bottom w:val="single" w:sz="4" w:space="0" w:color="auto"/>
              <w:right w:val="single" w:sz="4" w:space="0" w:color="auto"/>
            </w:tcBorders>
            <w:shd w:val="clear" w:color="auto" w:fill="C6EFCE"/>
            <w:noWrap/>
            <w:hideMark/>
          </w:tcPr>
          <w:p w14:paraId="377FF816"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556" w:type="dxa"/>
            <w:tcBorders>
              <w:top w:val="nil"/>
              <w:left w:val="nil"/>
              <w:bottom w:val="single" w:sz="4" w:space="0" w:color="auto"/>
              <w:right w:val="single" w:sz="4" w:space="0" w:color="auto"/>
            </w:tcBorders>
            <w:shd w:val="clear" w:color="auto" w:fill="C6EFCE"/>
            <w:noWrap/>
            <w:hideMark/>
          </w:tcPr>
          <w:p w14:paraId="435D313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51" w:type="dxa"/>
            <w:tcBorders>
              <w:top w:val="nil"/>
              <w:left w:val="nil"/>
              <w:bottom w:val="single" w:sz="4" w:space="0" w:color="auto"/>
              <w:right w:val="single" w:sz="4" w:space="0" w:color="auto"/>
            </w:tcBorders>
            <w:shd w:val="clear" w:color="auto" w:fill="C6EFCE"/>
            <w:noWrap/>
            <w:hideMark/>
          </w:tcPr>
          <w:p w14:paraId="693712C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567" w:type="dxa"/>
            <w:tcBorders>
              <w:top w:val="nil"/>
              <w:left w:val="nil"/>
              <w:bottom w:val="single" w:sz="4" w:space="0" w:color="auto"/>
              <w:right w:val="single" w:sz="4" w:space="0" w:color="auto"/>
            </w:tcBorders>
            <w:shd w:val="clear" w:color="auto" w:fill="C6EFCE"/>
            <w:noWrap/>
            <w:hideMark/>
          </w:tcPr>
          <w:p w14:paraId="00D854C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2022</w:t>
            </w:r>
          </w:p>
        </w:tc>
        <w:tc>
          <w:tcPr>
            <w:tcW w:w="5085" w:type="dxa"/>
            <w:tcBorders>
              <w:top w:val="nil"/>
              <w:left w:val="nil"/>
              <w:bottom w:val="single" w:sz="4" w:space="0" w:color="auto"/>
              <w:right w:val="single" w:sz="4" w:space="0" w:color="auto"/>
            </w:tcBorders>
            <w:shd w:val="clear" w:color="auto" w:fill="C6EFCE"/>
            <w:noWrap/>
            <w:hideMark/>
          </w:tcPr>
          <w:p w14:paraId="06393322" w14:textId="31C897E7" w:rsidR="00935FC8" w:rsidRPr="00577DC1" w:rsidRDefault="00935FC8" w:rsidP="00A7081A">
            <w:pPr>
              <w:spacing w:after="0" w:line="240" w:lineRule="auto"/>
              <w:rPr>
                <w:rFonts w:ascii="Times New Roman" w:hAnsi="Times New Roman"/>
                <w:i/>
                <w:noProof/>
                <w:sz w:val="20"/>
                <w:szCs w:val="20"/>
              </w:rPr>
            </w:pPr>
            <w:r w:rsidRPr="00577DC1">
              <w:rPr>
                <w:rFonts w:ascii="Times New Roman" w:hAnsi="Times New Roman"/>
                <w:noProof/>
                <w:sz w:val="20"/>
                <w:szCs w:val="20"/>
              </w:rPr>
              <w:t>The action plan shall set out all the necessary measures to support the phasing out of fossil oil heating in all buildings in Finland by 31</w:t>
            </w:r>
            <w:r w:rsidR="00DA4DC4">
              <w:rPr>
                <w:rFonts w:ascii="Times New Roman" w:hAnsi="Times New Roman"/>
                <w:noProof/>
                <w:sz w:val="20"/>
                <w:szCs w:val="20"/>
              </w:rPr>
              <w:t> </w:t>
            </w:r>
            <w:r w:rsidRPr="00577DC1">
              <w:rPr>
                <w:rFonts w:ascii="Times New Roman" w:hAnsi="Times New Roman"/>
                <w:noProof/>
                <w:sz w:val="20"/>
                <w:szCs w:val="20"/>
              </w:rPr>
              <w:t>December</w:t>
            </w:r>
            <w:r w:rsidR="00DA4DC4">
              <w:rPr>
                <w:rFonts w:ascii="Times New Roman" w:hAnsi="Times New Roman"/>
                <w:noProof/>
                <w:sz w:val="20"/>
                <w:szCs w:val="20"/>
              </w:rPr>
              <w:t> </w:t>
            </w:r>
            <w:r w:rsidRPr="00577DC1">
              <w:rPr>
                <w:rFonts w:ascii="Times New Roman" w:hAnsi="Times New Roman"/>
                <w:noProof/>
                <w:sz w:val="20"/>
                <w:szCs w:val="20"/>
              </w:rPr>
              <w:t>2030.</w:t>
            </w:r>
          </w:p>
        </w:tc>
      </w:tr>
      <w:tr w:rsidR="00DA4DC4" w:rsidRPr="00577DC1" w14:paraId="3E552733" w14:textId="77777777" w:rsidTr="003E1CE8">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3FA308B1"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31</w:t>
            </w:r>
          </w:p>
        </w:tc>
        <w:tc>
          <w:tcPr>
            <w:tcW w:w="2107" w:type="dxa"/>
            <w:tcBorders>
              <w:top w:val="nil"/>
              <w:left w:val="nil"/>
              <w:bottom w:val="single" w:sz="4" w:space="0" w:color="auto"/>
              <w:right w:val="single" w:sz="4" w:space="0" w:color="auto"/>
            </w:tcBorders>
            <w:shd w:val="clear" w:color="auto" w:fill="C6EFCE"/>
            <w:noWrap/>
            <w:hideMark/>
          </w:tcPr>
          <w:p w14:paraId="6C91528D"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P1C3I2 - Reducing the climate and environmental impacts of the building stock – Low-carbon built environment programme</w:t>
            </w:r>
          </w:p>
        </w:tc>
        <w:tc>
          <w:tcPr>
            <w:tcW w:w="1100" w:type="dxa"/>
            <w:tcBorders>
              <w:top w:val="nil"/>
              <w:left w:val="nil"/>
              <w:bottom w:val="single" w:sz="4" w:space="0" w:color="auto"/>
              <w:right w:val="single" w:sz="4" w:space="0" w:color="auto"/>
            </w:tcBorders>
            <w:shd w:val="clear" w:color="auto" w:fill="C6EFCE"/>
            <w:noWrap/>
            <w:hideMark/>
          </w:tcPr>
          <w:p w14:paraId="1E18ECC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560" w:type="dxa"/>
            <w:tcBorders>
              <w:top w:val="nil"/>
              <w:left w:val="nil"/>
              <w:bottom w:val="single" w:sz="4" w:space="0" w:color="auto"/>
              <w:right w:val="single" w:sz="4" w:space="0" w:color="auto"/>
            </w:tcBorders>
            <w:shd w:val="clear" w:color="auto" w:fill="C6EFCE"/>
            <w:noWrap/>
            <w:hideMark/>
          </w:tcPr>
          <w:p w14:paraId="3D404404" w14:textId="77783921"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a first call for applications regarding support for a low-carbon built environment</w:t>
            </w:r>
          </w:p>
        </w:tc>
        <w:tc>
          <w:tcPr>
            <w:tcW w:w="1701" w:type="dxa"/>
            <w:tcBorders>
              <w:top w:val="nil"/>
              <w:left w:val="nil"/>
              <w:bottom w:val="single" w:sz="4" w:space="0" w:color="auto"/>
              <w:right w:val="single" w:sz="4" w:space="0" w:color="auto"/>
            </w:tcBorders>
            <w:shd w:val="clear" w:color="auto" w:fill="C6EFCE"/>
            <w:noWrap/>
            <w:hideMark/>
          </w:tcPr>
          <w:p w14:paraId="657E305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Publication of the call for applications</w:t>
            </w:r>
          </w:p>
        </w:tc>
        <w:tc>
          <w:tcPr>
            <w:tcW w:w="567" w:type="dxa"/>
            <w:tcBorders>
              <w:top w:val="nil"/>
              <w:left w:val="nil"/>
              <w:bottom w:val="single" w:sz="4" w:space="0" w:color="auto"/>
              <w:right w:val="single" w:sz="4" w:space="0" w:color="auto"/>
            </w:tcBorders>
            <w:shd w:val="clear" w:color="auto" w:fill="C6EFCE"/>
            <w:noWrap/>
            <w:hideMark/>
          </w:tcPr>
          <w:p w14:paraId="35120A4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50" w:type="dxa"/>
            <w:tcBorders>
              <w:top w:val="nil"/>
              <w:left w:val="nil"/>
              <w:bottom w:val="single" w:sz="4" w:space="0" w:color="auto"/>
              <w:right w:val="single" w:sz="4" w:space="0" w:color="auto"/>
            </w:tcBorders>
            <w:shd w:val="clear" w:color="auto" w:fill="C6EFCE"/>
            <w:noWrap/>
            <w:hideMark/>
          </w:tcPr>
          <w:p w14:paraId="1020D28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556" w:type="dxa"/>
            <w:tcBorders>
              <w:top w:val="nil"/>
              <w:left w:val="nil"/>
              <w:bottom w:val="single" w:sz="4" w:space="0" w:color="auto"/>
              <w:right w:val="single" w:sz="4" w:space="0" w:color="auto"/>
            </w:tcBorders>
            <w:shd w:val="clear" w:color="auto" w:fill="C6EFCE"/>
            <w:noWrap/>
            <w:hideMark/>
          </w:tcPr>
          <w:p w14:paraId="5639809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51" w:type="dxa"/>
            <w:tcBorders>
              <w:top w:val="nil"/>
              <w:left w:val="nil"/>
              <w:bottom w:val="single" w:sz="4" w:space="0" w:color="auto"/>
              <w:right w:val="single" w:sz="4" w:space="0" w:color="auto"/>
            </w:tcBorders>
            <w:shd w:val="clear" w:color="auto" w:fill="C6EFCE"/>
            <w:noWrap/>
            <w:hideMark/>
          </w:tcPr>
          <w:p w14:paraId="77075B93"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Q4</w:t>
            </w:r>
          </w:p>
        </w:tc>
        <w:tc>
          <w:tcPr>
            <w:tcW w:w="567" w:type="dxa"/>
            <w:tcBorders>
              <w:top w:val="nil"/>
              <w:left w:val="nil"/>
              <w:bottom w:val="single" w:sz="4" w:space="0" w:color="auto"/>
              <w:right w:val="single" w:sz="4" w:space="0" w:color="auto"/>
            </w:tcBorders>
            <w:shd w:val="clear" w:color="auto" w:fill="C6EFCE"/>
            <w:noWrap/>
            <w:hideMark/>
          </w:tcPr>
          <w:p w14:paraId="7051091D"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2021</w:t>
            </w:r>
          </w:p>
        </w:tc>
        <w:tc>
          <w:tcPr>
            <w:tcW w:w="5085" w:type="dxa"/>
            <w:tcBorders>
              <w:top w:val="nil"/>
              <w:left w:val="nil"/>
              <w:bottom w:val="single" w:sz="4" w:space="0" w:color="auto"/>
              <w:right w:val="single" w:sz="4" w:space="0" w:color="auto"/>
            </w:tcBorders>
            <w:shd w:val="clear" w:color="auto" w:fill="C6EFCE"/>
            <w:noWrap/>
          </w:tcPr>
          <w:p w14:paraId="6FD7A155"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Launch of a first competitive call for applications regarding a low-carbon built environment programme on research and innovation, technology transfer and cooperation between research, business and local government. 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DA4DC4" w:rsidRPr="00577DC1" w14:paraId="7378F279" w14:textId="77777777" w:rsidTr="003E1CE8">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tcPr>
          <w:p w14:paraId="63CDA9F7"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32</w:t>
            </w:r>
          </w:p>
        </w:tc>
        <w:tc>
          <w:tcPr>
            <w:tcW w:w="2107" w:type="dxa"/>
            <w:tcBorders>
              <w:top w:val="nil"/>
              <w:left w:val="nil"/>
              <w:bottom w:val="single" w:sz="4" w:space="0" w:color="auto"/>
              <w:right w:val="single" w:sz="4" w:space="0" w:color="auto"/>
            </w:tcBorders>
            <w:shd w:val="clear" w:color="auto" w:fill="C6EFCE"/>
            <w:noWrap/>
          </w:tcPr>
          <w:p w14:paraId="63FE4BC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P1C3I2 - Reducing the climate and environmental impacts of the building stock – Low-carbon built environment programme</w:t>
            </w:r>
          </w:p>
        </w:tc>
        <w:tc>
          <w:tcPr>
            <w:tcW w:w="1100" w:type="dxa"/>
            <w:tcBorders>
              <w:top w:val="nil"/>
              <w:left w:val="nil"/>
              <w:bottom w:val="single" w:sz="4" w:space="0" w:color="auto"/>
              <w:right w:val="single" w:sz="4" w:space="0" w:color="auto"/>
            </w:tcBorders>
            <w:shd w:val="clear" w:color="auto" w:fill="C6EFCE"/>
            <w:noWrap/>
          </w:tcPr>
          <w:p w14:paraId="2DAE3CCE"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560" w:type="dxa"/>
            <w:tcBorders>
              <w:top w:val="nil"/>
              <w:left w:val="nil"/>
              <w:bottom w:val="single" w:sz="4" w:space="0" w:color="auto"/>
              <w:right w:val="single" w:sz="4" w:space="0" w:color="auto"/>
            </w:tcBorders>
            <w:shd w:val="clear" w:color="auto" w:fill="C6EFCE"/>
            <w:noWrap/>
          </w:tcPr>
          <w:p w14:paraId="105F7C10"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xml:space="preserve">Publication of additional calls for applications regarding support for a low-carbon built environment </w:t>
            </w:r>
          </w:p>
        </w:tc>
        <w:tc>
          <w:tcPr>
            <w:tcW w:w="1701" w:type="dxa"/>
            <w:tcBorders>
              <w:top w:val="nil"/>
              <w:left w:val="nil"/>
              <w:bottom w:val="single" w:sz="4" w:space="0" w:color="auto"/>
              <w:right w:val="single" w:sz="4" w:space="0" w:color="auto"/>
            </w:tcBorders>
            <w:shd w:val="clear" w:color="auto" w:fill="C6EFCE"/>
            <w:noWrap/>
          </w:tcPr>
          <w:p w14:paraId="3A27216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sidDel="00570B7A">
              <w:rPr>
                <w:rFonts w:ascii="Times New Roman" w:hAnsi="Times New Roman"/>
                <w:noProof/>
                <w:sz w:val="20"/>
                <w:szCs w:val="20"/>
              </w:rPr>
              <w:t xml:space="preserve">Publication of </w:t>
            </w:r>
            <w:r w:rsidRPr="00577DC1">
              <w:rPr>
                <w:rFonts w:ascii="Times New Roman" w:hAnsi="Times New Roman"/>
                <w:noProof/>
                <w:sz w:val="20"/>
                <w:szCs w:val="20"/>
              </w:rPr>
              <w:t>additional calls for applications</w:t>
            </w:r>
          </w:p>
        </w:tc>
        <w:tc>
          <w:tcPr>
            <w:tcW w:w="567" w:type="dxa"/>
            <w:tcBorders>
              <w:top w:val="nil"/>
              <w:left w:val="nil"/>
              <w:bottom w:val="single" w:sz="4" w:space="0" w:color="auto"/>
              <w:right w:val="single" w:sz="4" w:space="0" w:color="auto"/>
            </w:tcBorders>
            <w:shd w:val="clear" w:color="auto" w:fill="C6EFCE"/>
            <w:noWrap/>
          </w:tcPr>
          <w:p w14:paraId="0A38E04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tcPr>
          <w:p w14:paraId="4300F3A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p>
        </w:tc>
        <w:tc>
          <w:tcPr>
            <w:tcW w:w="556" w:type="dxa"/>
            <w:tcBorders>
              <w:top w:val="nil"/>
              <w:left w:val="nil"/>
              <w:bottom w:val="single" w:sz="4" w:space="0" w:color="auto"/>
              <w:right w:val="single" w:sz="4" w:space="0" w:color="auto"/>
            </w:tcBorders>
            <w:shd w:val="clear" w:color="auto" w:fill="C6EFCE"/>
            <w:noWrap/>
          </w:tcPr>
          <w:p w14:paraId="16907B81" w14:textId="77777777" w:rsidR="00935FC8" w:rsidRPr="00577DC1" w:rsidRDefault="00935FC8" w:rsidP="00A7081A">
            <w:pPr>
              <w:spacing w:after="0" w:line="240" w:lineRule="auto"/>
              <w:rPr>
                <w:rFonts w:ascii="Times New Roman" w:eastAsia="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3FDEC6ED"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Q2</w:t>
            </w:r>
          </w:p>
        </w:tc>
        <w:tc>
          <w:tcPr>
            <w:tcW w:w="567" w:type="dxa"/>
            <w:tcBorders>
              <w:top w:val="nil"/>
              <w:left w:val="nil"/>
              <w:bottom w:val="single" w:sz="4" w:space="0" w:color="auto"/>
              <w:right w:val="single" w:sz="4" w:space="0" w:color="auto"/>
            </w:tcBorders>
            <w:shd w:val="clear" w:color="auto" w:fill="C6EFCE"/>
            <w:noWrap/>
          </w:tcPr>
          <w:p w14:paraId="60823B60"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2024</w:t>
            </w:r>
          </w:p>
        </w:tc>
        <w:tc>
          <w:tcPr>
            <w:tcW w:w="5085" w:type="dxa"/>
            <w:tcBorders>
              <w:top w:val="nil"/>
              <w:left w:val="nil"/>
              <w:bottom w:val="single" w:sz="4" w:space="0" w:color="auto"/>
              <w:right w:val="single" w:sz="4" w:space="0" w:color="auto"/>
            </w:tcBorders>
            <w:shd w:val="clear" w:color="auto" w:fill="C6EFCE"/>
            <w:noWrap/>
          </w:tcPr>
          <w:p w14:paraId="7F2CC470" w14:textId="5A349A60" w:rsidR="00935FC8" w:rsidRPr="00577DC1" w:rsidRDefault="00935FC8" w:rsidP="00A7081A">
            <w:pPr>
              <w:rPr>
                <w:rFonts w:ascii="Times New Roman" w:hAnsi="Times New Roman"/>
                <w:noProof/>
                <w:sz w:val="20"/>
                <w:szCs w:val="20"/>
              </w:rPr>
            </w:pPr>
            <w:bookmarkStart w:id="5" w:name="_Hlk215503689"/>
            <w:r w:rsidRPr="00577DC1">
              <w:rPr>
                <w:rFonts w:ascii="Times New Roman" w:hAnsi="Times New Roman"/>
                <w:noProof/>
                <w:sz w:val="20"/>
                <w:szCs w:val="20"/>
              </w:rPr>
              <w:t>Publication of additional calls for applications in line with the eligibility/selection criteria indicated in milestone 31.</w:t>
            </w:r>
            <w:bookmarkEnd w:id="5"/>
          </w:p>
        </w:tc>
      </w:tr>
      <w:tr w:rsidR="00DA4DC4" w:rsidRPr="00577DC1" w14:paraId="46C30657" w14:textId="77777777" w:rsidTr="003E1CE8">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01FAFA7B"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33</w:t>
            </w:r>
          </w:p>
        </w:tc>
        <w:tc>
          <w:tcPr>
            <w:tcW w:w="2107" w:type="dxa"/>
            <w:tcBorders>
              <w:top w:val="single" w:sz="4" w:space="0" w:color="auto"/>
              <w:left w:val="nil"/>
              <w:bottom w:val="single" w:sz="4" w:space="0" w:color="auto"/>
              <w:right w:val="single" w:sz="4" w:space="0" w:color="auto"/>
            </w:tcBorders>
            <w:shd w:val="clear" w:color="auto" w:fill="C6EFCE"/>
            <w:noWrap/>
            <w:hideMark/>
          </w:tcPr>
          <w:p w14:paraId="1467F12A"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P1C3I2 - Reducing the climate and environmental impacts of the building stock – Low-carbon built environment programme</w:t>
            </w:r>
          </w:p>
        </w:tc>
        <w:tc>
          <w:tcPr>
            <w:tcW w:w="1100" w:type="dxa"/>
            <w:tcBorders>
              <w:top w:val="nil"/>
              <w:left w:val="nil"/>
              <w:bottom w:val="single" w:sz="4" w:space="0" w:color="auto"/>
              <w:right w:val="single" w:sz="4" w:space="0" w:color="auto"/>
            </w:tcBorders>
            <w:shd w:val="clear" w:color="auto" w:fill="C6EFCE"/>
            <w:noWrap/>
            <w:hideMark/>
          </w:tcPr>
          <w:p w14:paraId="729B9FBD"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560" w:type="dxa"/>
            <w:tcBorders>
              <w:top w:val="nil"/>
              <w:left w:val="nil"/>
              <w:bottom w:val="single" w:sz="4" w:space="0" w:color="auto"/>
              <w:right w:val="single" w:sz="4" w:space="0" w:color="auto"/>
            </w:tcBorders>
            <w:shd w:val="clear" w:color="auto" w:fill="C6EFCE"/>
            <w:noWrap/>
            <w:hideMark/>
          </w:tcPr>
          <w:p w14:paraId="574C1171"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xml:space="preserve">Funding award decisions issued, project reports submitted and programme report published </w:t>
            </w:r>
          </w:p>
        </w:tc>
        <w:tc>
          <w:tcPr>
            <w:tcW w:w="1701" w:type="dxa"/>
            <w:tcBorders>
              <w:top w:val="single" w:sz="4" w:space="0" w:color="auto"/>
              <w:left w:val="nil"/>
              <w:bottom w:val="single" w:sz="4" w:space="0" w:color="auto"/>
              <w:right w:val="single" w:sz="4" w:space="0" w:color="auto"/>
            </w:tcBorders>
            <w:shd w:val="clear" w:color="auto" w:fill="C6EFCE"/>
            <w:noWrap/>
            <w:hideMark/>
          </w:tcPr>
          <w:p w14:paraId="1C45F897"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xml:space="preserve">Funding award decisions, project reports and programme report </w:t>
            </w:r>
          </w:p>
        </w:tc>
        <w:tc>
          <w:tcPr>
            <w:tcW w:w="567" w:type="dxa"/>
            <w:tcBorders>
              <w:top w:val="nil"/>
              <w:left w:val="nil"/>
              <w:bottom w:val="single" w:sz="4" w:space="0" w:color="auto"/>
              <w:right w:val="single" w:sz="4" w:space="0" w:color="auto"/>
            </w:tcBorders>
            <w:shd w:val="clear" w:color="auto" w:fill="C6EFCE"/>
            <w:noWrap/>
            <w:hideMark/>
          </w:tcPr>
          <w:p w14:paraId="435E78D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50" w:type="dxa"/>
            <w:tcBorders>
              <w:top w:val="nil"/>
              <w:left w:val="nil"/>
              <w:bottom w:val="single" w:sz="4" w:space="0" w:color="auto"/>
              <w:right w:val="single" w:sz="4" w:space="0" w:color="auto"/>
            </w:tcBorders>
            <w:shd w:val="clear" w:color="auto" w:fill="C6EFCE"/>
            <w:noWrap/>
            <w:hideMark/>
          </w:tcPr>
          <w:p w14:paraId="1A4ED4F5"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556" w:type="dxa"/>
            <w:tcBorders>
              <w:top w:val="nil"/>
              <w:left w:val="nil"/>
              <w:bottom w:val="single" w:sz="4" w:space="0" w:color="auto"/>
              <w:right w:val="single" w:sz="4" w:space="0" w:color="auto"/>
            </w:tcBorders>
            <w:shd w:val="clear" w:color="auto" w:fill="C6EFCE"/>
            <w:noWrap/>
            <w:hideMark/>
          </w:tcPr>
          <w:p w14:paraId="5D4C705A"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w:t>
            </w:r>
          </w:p>
        </w:tc>
        <w:tc>
          <w:tcPr>
            <w:tcW w:w="851" w:type="dxa"/>
            <w:tcBorders>
              <w:top w:val="nil"/>
              <w:left w:val="nil"/>
              <w:bottom w:val="single" w:sz="4" w:space="0" w:color="auto"/>
              <w:right w:val="single" w:sz="4" w:space="0" w:color="auto"/>
            </w:tcBorders>
            <w:shd w:val="clear" w:color="auto" w:fill="C6EFCE"/>
            <w:noWrap/>
            <w:hideMark/>
          </w:tcPr>
          <w:p w14:paraId="587F131F"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567" w:type="dxa"/>
            <w:tcBorders>
              <w:top w:val="nil"/>
              <w:left w:val="nil"/>
              <w:bottom w:val="single" w:sz="4" w:space="0" w:color="auto"/>
              <w:right w:val="single" w:sz="4" w:space="0" w:color="auto"/>
            </w:tcBorders>
            <w:shd w:val="clear" w:color="auto" w:fill="C6EFCE"/>
            <w:noWrap/>
            <w:hideMark/>
          </w:tcPr>
          <w:p w14:paraId="1E0D71B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2026</w:t>
            </w:r>
          </w:p>
        </w:tc>
        <w:tc>
          <w:tcPr>
            <w:tcW w:w="5085" w:type="dxa"/>
            <w:tcBorders>
              <w:top w:val="nil"/>
              <w:left w:val="nil"/>
              <w:bottom w:val="single" w:sz="4" w:space="0" w:color="auto"/>
              <w:right w:val="single" w:sz="4" w:space="0" w:color="auto"/>
            </w:tcBorders>
            <w:shd w:val="clear" w:color="auto" w:fill="C6EFCE"/>
            <w:noWrap/>
          </w:tcPr>
          <w:p w14:paraId="04D05113" w14:textId="31FAC0D4"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 xml:space="preserve">All funding award decisions shall be issued. </w:t>
            </w:r>
            <w:bookmarkStart w:id="6" w:name="_Hlk210300633"/>
            <w:r w:rsidRPr="00577DC1">
              <w:rPr>
                <w:rFonts w:ascii="Times New Roman" w:hAnsi="Times New Roman"/>
                <w:noProof/>
                <w:sz w:val="20"/>
                <w:szCs w:val="20"/>
              </w:rPr>
              <w:t>Project reports shall be submitted by beneficiaries of grants.</w:t>
            </w:r>
            <w:r w:rsidR="00EE67C5">
              <w:rPr>
                <w:rFonts w:ascii="Times New Roman" w:hAnsi="Times New Roman"/>
                <w:noProof/>
                <w:sz w:val="20"/>
                <w:szCs w:val="20"/>
              </w:rPr>
              <w:t xml:space="preserve"> </w:t>
            </w:r>
            <w:r w:rsidRPr="00577DC1">
              <w:rPr>
                <w:rFonts w:ascii="Times New Roman" w:hAnsi="Times New Roman"/>
                <w:noProof/>
                <w:sz w:val="20"/>
                <w:szCs w:val="20"/>
              </w:rPr>
              <w:t>A programme report shall be published containing information on the costs of procurements and programme activities. These shall correspond to a budgetary commitment of at least EUR</w:t>
            </w:r>
            <w:r w:rsidR="00996B3D" w:rsidRPr="00577DC1">
              <w:rPr>
                <w:rFonts w:ascii="Times New Roman" w:hAnsi="Times New Roman"/>
                <w:noProof/>
                <w:sz w:val="20"/>
                <w:szCs w:val="20"/>
              </w:rPr>
              <w:t> </w:t>
            </w:r>
            <w:r w:rsidRPr="00577DC1">
              <w:rPr>
                <w:rFonts w:ascii="Times New Roman" w:hAnsi="Times New Roman"/>
                <w:noProof/>
                <w:sz w:val="20"/>
                <w:szCs w:val="20"/>
              </w:rPr>
              <w:t xml:space="preserve">36 000 000. </w:t>
            </w:r>
            <w:bookmarkEnd w:id="6"/>
          </w:p>
        </w:tc>
      </w:tr>
    </w:tbl>
    <w:p w14:paraId="42D71989" w14:textId="77777777" w:rsidR="00935FC8" w:rsidRPr="00693DD5" w:rsidRDefault="00935FC8" w:rsidP="00A7081A">
      <w:pPr>
        <w:spacing w:before="120" w:after="120" w:line="240" w:lineRule="auto"/>
        <w:jc w:val="both"/>
        <w:rPr>
          <w:rFonts w:ascii="Times New Roman" w:hAnsi="Times New Roman"/>
          <w:noProof/>
          <w:sz w:val="24"/>
        </w:rPr>
        <w:sectPr w:rsidR="00935FC8" w:rsidRPr="00693DD5" w:rsidSect="00A7081A">
          <w:headerReference w:type="even" r:id="rId47"/>
          <w:headerReference w:type="default" r:id="rId48"/>
          <w:footerReference w:type="even" r:id="rId49"/>
          <w:footerReference w:type="default" r:id="rId50"/>
          <w:headerReference w:type="first" r:id="rId51"/>
          <w:footerReference w:type="first" r:id="rId52"/>
          <w:pgSz w:w="16839" w:h="11907" w:orient="landscape" w:code="9"/>
          <w:pgMar w:top="1134" w:right="1134" w:bottom="1134" w:left="1134" w:header="567" w:footer="567" w:gutter="0"/>
          <w:cols w:space="720"/>
          <w:docGrid w:linePitch="360"/>
        </w:sectPr>
      </w:pPr>
    </w:p>
    <w:p w14:paraId="50FB861E" w14:textId="77777777" w:rsidR="00935FC8" w:rsidRPr="00693DD5" w:rsidRDefault="00935FC8">
      <w:pPr>
        <w:pStyle w:val="Heading4"/>
        <w:numPr>
          <w:ilvl w:val="0"/>
          <w:numId w:val="0"/>
        </w:numPr>
        <w:rPr>
          <w:b/>
          <w:noProof/>
        </w:rPr>
      </w:pPr>
      <w:r w:rsidRPr="00693DD5">
        <w:rPr>
          <w:b/>
          <w:noProof/>
        </w:rPr>
        <w:t xml:space="preserve">D. COMPONENT P1C4: LOW-CARBON SOLUTIONS FOR COMMUNITIES AND TRANSPORT </w:t>
      </w:r>
    </w:p>
    <w:p w14:paraId="5C551592" w14:textId="77777777" w:rsidR="00935FC8" w:rsidRPr="00693DD5" w:rsidRDefault="00935FC8">
      <w:pPr>
        <w:spacing w:before="120" w:after="120" w:line="240" w:lineRule="auto"/>
        <w:jc w:val="both"/>
        <w:rPr>
          <w:rFonts w:ascii="Times New Roman" w:hAnsi="Times New Roman"/>
          <w:noProof/>
          <w:sz w:val="24"/>
          <w:szCs w:val="24"/>
        </w:rPr>
      </w:pPr>
      <w:r w:rsidRPr="00693DD5">
        <w:rPr>
          <w:rFonts w:ascii="Times New Roman" w:hAnsi="Times New Roman"/>
          <w:noProof/>
          <w:sz w:val="24"/>
          <w:szCs w:val="24"/>
        </w:rPr>
        <w:t>Finland has set a target to become the world’s first fossil-free welfare society, reaching carbon neutrality by 2035. As part of the transition to becoming carbon neutral by 2035, Finland has also set a target of halving greenhouse gas emissions from transport by 50% by 2030 compared to 2005. The overall goal of this component of the Finnish recovery and resilience plan is to contribute to achieving the transport emissions objective by reducing emissions in transport and promoting the use of carbon-free modes of transport. Currently, alternative motor vehicles account for only 2,3% of the passenger car fleet, whilst 48% of all public electricity charging and gas refuelling stations are located in the main metropolitan areas (Helsinki, Tampere, Turku).</w:t>
      </w:r>
    </w:p>
    <w:p w14:paraId="472978BA" w14:textId="77777777" w:rsidR="00935FC8" w:rsidRPr="00693DD5" w:rsidRDefault="00935FC8">
      <w:pPr>
        <w:spacing w:before="120" w:after="120" w:line="240" w:lineRule="auto"/>
        <w:jc w:val="both"/>
        <w:rPr>
          <w:rFonts w:ascii="Times New Roman" w:hAnsi="Times New Roman"/>
          <w:noProof/>
          <w:sz w:val="24"/>
          <w:szCs w:val="24"/>
        </w:rPr>
      </w:pPr>
      <w:r w:rsidRPr="00693DD5">
        <w:rPr>
          <w:rFonts w:ascii="Times New Roman" w:hAnsi="Times New Roman"/>
          <w:noProof/>
          <w:sz w:val="24"/>
          <w:szCs w:val="24"/>
        </w:rPr>
        <w:t xml:space="preserve">The component includes an investment to promote the use of non-fossil private transport, including investment in public charging and refuelling infrastructure for vehicles that use non-fossil fuels. The investment shall be accompanied by reforms including a roadmap for stimulating the use of non-fossil transport and a revision of transport taxation. </w:t>
      </w:r>
    </w:p>
    <w:p w14:paraId="1D09469F" w14:textId="77777777" w:rsidR="00935FC8" w:rsidRPr="00693DD5" w:rsidRDefault="00935FC8">
      <w:pPr>
        <w:spacing w:before="100" w:beforeAutospacing="1" w:after="100" w:afterAutospacing="1" w:line="240" w:lineRule="auto"/>
        <w:jc w:val="both"/>
        <w:rPr>
          <w:rFonts w:ascii="Times New Roman" w:eastAsia="Times New Roman" w:hAnsi="Times New Roman"/>
          <w:noProof/>
          <w:sz w:val="24"/>
          <w:szCs w:val="24"/>
          <w:lang w:eastAsia="en-GB"/>
        </w:rPr>
      </w:pPr>
      <w:r w:rsidRPr="00693DD5">
        <w:rPr>
          <w:rFonts w:ascii="Times New Roman" w:eastAsia="Times New Roman" w:hAnsi="Times New Roman"/>
          <w:noProof/>
          <w:sz w:val="24"/>
          <w:szCs w:val="24"/>
          <w:lang w:eastAsia="en-GB"/>
        </w:rPr>
        <w:t>The component contributes to addressing Country Specific Recommendations on focusing investment on the green transition, in particular on clean and efficient production and use of energy (Country Specific Recommendation 3 2020), as well as on promoting investment in low carbon and energy transition (Country Specific Recommendation 3 2019).</w:t>
      </w:r>
    </w:p>
    <w:p w14:paraId="07E70D71" w14:textId="77777777" w:rsidR="00935FC8" w:rsidRPr="00693DD5" w:rsidRDefault="00935FC8">
      <w:pPr>
        <w:spacing w:beforeAutospacing="1" w:afterAutospacing="1" w:line="240" w:lineRule="auto"/>
        <w:jc w:val="both"/>
        <w:rPr>
          <w:rFonts w:ascii="Times New Roman" w:eastAsia="Times New Roman" w:hAnsi="Times New Roman"/>
          <w:noProof/>
        </w:rPr>
      </w:pPr>
      <w:r w:rsidRPr="00693DD5">
        <w:rPr>
          <w:rFonts w:ascii="Times New Roman" w:eastAsia="Times New Roman" w:hAnsi="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5FB6D0F" w14:textId="77777777" w:rsidR="00935FC8" w:rsidRPr="00693DD5" w:rsidRDefault="00935FC8">
      <w:pPr>
        <w:spacing w:before="120" w:after="120" w:line="240" w:lineRule="auto"/>
        <w:jc w:val="both"/>
        <w:rPr>
          <w:rFonts w:ascii="Times New Roman" w:hAnsi="Times New Roman"/>
          <w:b/>
          <w:i/>
          <w:noProof/>
          <w:color w:val="4F81BD"/>
          <w:sz w:val="24"/>
        </w:rPr>
      </w:pPr>
      <w:r w:rsidRPr="00693DD5">
        <w:rPr>
          <w:rFonts w:ascii="Times New Roman" w:hAnsi="Times New Roman"/>
          <w:b/>
          <w:noProof/>
          <w:sz w:val="24"/>
          <w:u w:val="single"/>
        </w:rPr>
        <w:t xml:space="preserve">D.1. </w:t>
      </w:r>
      <w:r w:rsidRPr="00693DD5">
        <w:rPr>
          <w:rFonts w:ascii="Times New Roman" w:hAnsi="Times New Roman"/>
          <w:b/>
          <w:noProof/>
          <w:sz w:val="24"/>
          <w:u w:val="single"/>
        </w:rPr>
        <w:tab/>
        <w:t>Description of the reforms and investments for non-repayable financial support</w:t>
      </w:r>
    </w:p>
    <w:p w14:paraId="5993BD74" w14:textId="77777777" w:rsidR="00935FC8" w:rsidRPr="00D0136A"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Reform 1 (P1C4R1): Roadmap to fossil-free transport</w:t>
      </w:r>
    </w:p>
    <w:p w14:paraId="13D7DF4A" w14:textId="472A0A5F" w:rsidR="00935FC8" w:rsidRPr="00693DD5" w:rsidRDefault="00935FC8" w:rsidP="00996B3D">
      <w:pPr>
        <w:spacing w:line="240" w:lineRule="auto"/>
        <w:jc w:val="both"/>
        <w:rPr>
          <w:rFonts w:ascii="Times New Roman" w:hAnsi="Times New Roman"/>
          <w:noProof/>
          <w:sz w:val="24"/>
          <w:szCs w:val="24"/>
        </w:rPr>
      </w:pPr>
      <w:r w:rsidRPr="00693DD5">
        <w:rPr>
          <w:rFonts w:ascii="Times New Roman" w:hAnsi="Times New Roman"/>
          <w:noProof/>
          <w:sz w:val="24"/>
          <w:szCs w:val="24"/>
        </w:rPr>
        <w:t xml:space="preserve">The objective of this measure is to create a long-term strategic framework with the aim to reduce emissions stemming from the domestic transport sector in Finland. This measure consists </w:t>
      </w:r>
      <w:r w:rsidRPr="00D0136A">
        <w:rPr>
          <w:rFonts w:ascii="Times New Roman" w:hAnsi="Times New Roman"/>
          <w:noProof/>
          <w:sz w:val="24"/>
          <w:szCs w:val="24"/>
        </w:rPr>
        <w:t>of</w:t>
      </w:r>
      <w:r w:rsidRPr="00693DD5">
        <w:rPr>
          <w:rFonts w:ascii="Times New Roman" w:hAnsi="Times New Roman"/>
          <w:noProof/>
          <w:sz w:val="24"/>
          <w:szCs w:val="24"/>
        </w:rPr>
        <w:t xml:space="preserve"> the adoption of a Roadmap for fossil-free transport, presenting a set of measures aiming to achieve emission free transport by 2045.</w:t>
      </w:r>
    </w:p>
    <w:p w14:paraId="5B9DCCAF" w14:textId="77777777" w:rsidR="00935FC8" w:rsidRPr="00693DD5"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Reform 2 (P1C4R2):</w:t>
      </w:r>
      <w:r w:rsidRPr="00693DD5">
        <w:rPr>
          <w:rFonts w:ascii="Times New Roman" w:hAnsi="Times New Roman"/>
          <w:noProof/>
          <w:sz w:val="24"/>
          <w:szCs w:val="24"/>
          <w:u w:val="single"/>
        </w:rPr>
        <w:t xml:space="preserve"> Tax reform for sustainable transport</w:t>
      </w:r>
    </w:p>
    <w:p w14:paraId="4FC23542" w14:textId="77777777" w:rsidR="00935FC8" w:rsidRPr="00693DD5" w:rsidRDefault="00935FC8">
      <w:pPr>
        <w:spacing w:before="120" w:after="120" w:line="240" w:lineRule="auto"/>
        <w:jc w:val="both"/>
        <w:rPr>
          <w:rFonts w:ascii="Times New Roman" w:hAnsi="Times New Roman"/>
          <w:noProof/>
          <w:sz w:val="24"/>
          <w:szCs w:val="24"/>
        </w:rPr>
      </w:pPr>
      <w:r w:rsidRPr="00693DD5">
        <w:rPr>
          <w:rFonts w:ascii="Times New Roman" w:hAnsi="Times New Roman"/>
          <w:noProof/>
          <w:sz w:val="24"/>
          <w:szCs w:val="24"/>
        </w:rPr>
        <w:t>A reform of the taxation of employee transport benefits shall stimulate the use of electric vehicles, public transport and bicycles. It shall include lower tax rates for electric vehicles for the period 2021-202</w:t>
      </w:r>
      <w:r>
        <w:rPr>
          <w:rFonts w:ascii="Times New Roman" w:hAnsi="Times New Roman"/>
          <w:noProof/>
          <w:sz w:val="24"/>
          <w:szCs w:val="24"/>
        </w:rPr>
        <w:t>9</w:t>
      </w:r>
      <w:r w:rsidRPr="00693DD5">
        <w:rPr>
          <w:rFonts w:ascii="Times New Roman" w:hAnsi="Times New Roman"/>
          <w:noProof/>
          <w:sz w:val="24"/>
          <w:szCs w:val="24"/>
        </w:rPr>
        <w:t>, simplified taxation schemes for commuter tickets and tax-free advantages on employee bicycles.</w:t>
      </w:r>
    </w:p>
    <w:p w14:paraId="6881FD17" w14:textId="77777777" w:rsidR="00935FC8" w:rsidRPr="00693DD5" w:rsidRDefault="00935FC8">
      <w:pPr>
        <w:spacing w:before="120" w:after="120" w:line="240" w:lineRule="auto"/>
        <w:jc w:val="both"/>
        <w:rPr>
          <w:rFonts w:ascii="Times New Roman" w:hAnsi="Times New Roman"/>
          <w:noProof/>
          <w:sz w:val="24"/>
          <w:szCs w:val="24"/>
        </w:rPr>
      </w:pPr>
      <w:r w:rsidRPr="00693DD5">
        <w:rPr>
          <w:rFonts w:ascii="Times New Roman" w:hAnsi="Times New Roman"/>
          <w:noProof/>
          <w:sz w:val="24"/>
          <w:szCs w:val="24"/>
        </w:rPr>
        <w:t>In addition, the reform of the taxation of employee transport benefit shall include an exemption from tax on the charging benefits of electric and rechargeable hybrid cars for the period 2021-2025.</w:t>
      </w:r>
    </w:p>
    <w:p w14:paraId="5DD74C92" w14:textId="32DCB32F" w:rsidR="00935FC8" w:rsidRDefault="00935FC8" w:rsidP="00A7081A">
      <w:pPr>
        <w:spacing w:before="120" w:after="120" w:line="240" w:lineRule="auto"/>
        <w:jc w:val="both"/>
        <w:rPr>
          <w:rFonts w:ascii="Times New Roman" w:hAnsi="Times New Roman"/>
          <w:noProof/>
          <w:sz w:val="24"/>
          <w:szCs w:val="24"/>
        </w:rPr>
      </w:pPr>
      <w:r w:rsidRPr="00693DD5">
        <w:rPr>
          <w:rFonts w:ascii="Times New Roman" w:hAnsi="Times New Roman"/>
          <w:noProof/>
          <w:sz w:val="24"/>
          <w:szCs w:val="24"/>
        </w:rPr>
        <w:t>In addition, a working group composed of civil servants is expected to have adopted a report in May 2021, advising the Finnish government on the necessary tax measures to improve the efficiency of transport emission control and ensure the long-term fiscal base.</w:t>
      </w:r>
    </w:p>
    <w:p w14:paraId="27A1687D" w14:textId="77777777" w:rsidR="00935FC8" w:rsidRPr="00972F0B" w:rsidRDefault="00935FC8" w:rsidP="00A7081A">
      <w:pPr>
        <w:spacing w:before="120" w:after="120" w:line="240" w:lineRule="auto"/>
        <w:jc w:val="both"/>
        <w:rPr>
          <w:rFonts w:ascii="Times New Roman" w:hAnsi="Times New Roman"/>
          <w:noProof/>
          <w:sz w:val="24"/>
          <w:szCs w:val="24"/>
          <w:u w:val="single"/>
        </w:rPr>
      </w:pPr>
      <w:r w:rsidRPr="00972F0B">
        <w:rPr>
          <w:rFonts w:ascii="Times New Roman" w:hAnsi="Times New Roman"/>
          <w:noProof/>
          <w:sz w:val="24"/>
          <w:szCs w:val="24"/>
          <w:u w:val="single"/>
        </w:rPr>
        <w:t>Investment 1 (P1C4I1): Public recharging and refuelling infrastructure for transport electricity and hydrogen</w:t>
      </w:r>
    </w:p>
    <w:p w14:paraId="76324904" w14:textId="77777777" w:rsidR="00935FC8" w:rsidRDefault="00935FC8" w:rsidP="00A7081A">
      <w:pPr>
        <w:spacing w:before="120" w:after="120" w:line="240" w:lineRule="auto"/>
        <w:contextualSpacing/>
        <w:jc w:val="both"/>
        <w:rPr>
          <w:rFonts w:ascii="Times New Roman" w:hAnsi="Times New Roman"/>
          <w:b/>
          <w:noProof/>
          <w:sz w:val="24"/>
          <w:u w:val="single"/>
        </w:rPr>
      </w:pPr>
      <w:r w:rsidRPr="00693DD5">
        <w:rPr>
          <w:rFonts w:ascii="Times New Roman" w:hAnsi="Times New Roman"/>
          <w:noProof/>
          <w:sz w:val="24"/>
          <w:szCs w:val="24"/>
        </w:rPr>
        <w:t>The objective of this measure is to</w:t>
      </w:r>
      <w:r>
        <w:rPr>
          <w:rFonts w:ascii="Times New Roman" w:hAnsi="Times New Roman"/>
          <w:noProof/>
          <w:sz w:val="24"/>
          <w:szCs w:val="24"/>
        </w:rPr>
        <w:t xml:space="preserve"> </w:t>
      </w:r>
      <w:r w:rsidRPr="00693DD5">
        <w:rPr>
          <w:rFonts w:ascii="Times New Roman" w:hAnsi="Times New Roman"/>
          <w:noProof/>
          <w:sz w:val="24"/>
          <w:szCs w:val="24"/>
        </w:rPr>
        <w:t xml:space="preserve">provide support for the construction of public infrastructure for the charging of electric vehicles, and refuelling of hydrogen vehicles, including heavy duty vehicles, in order to reduce emissions. The investment consists of support for </w:t>
      </w:r>
      <w:r>
        <w:rPr>
          <w:rFonts w:ascii="Times New Roman" w:hAnsi="Times New Roman"/>
          <w:noProof/>
          <w:sz w:val="24"/>
          <w:szCs w:val="24"/>
        </w:rPr>
        <w:t>i)</w:t>
      </w:r>
      <w:r w:rsidRPr="00693DD5">
        <w:rPr>
          <w:rFonts w:ascii="Times New Roman" w:hAnsi="Times New Roman"/>
          <w:noProof/>
          <w:sz w:val="24"/>
          <w:szCs w:val="24"/>
        </w:rPr>
        <w:t xml:space="preserve"> high-</w:t>
      </w:r>
      <w:r w:rsidRPr="00D0136A">
        <w:rPr>
          <w:rFonts w:ascii="Times New Roman" w:hAnsi="Times New Roman"/>
          <w:noProof/>
          <w:sz w:val="24"/>
          <w:szCs w:val="24"/>
        </w:rPr>
        <w:t xml:space="preserve">power </w:t>
      </w:r>
      <w:r>
        <w:rPr>
          <w:rFonts w:ascii="Times New Roman" w:hAnsi="Times New Roman"/>
          <w:noProof/>
          <w:sz w:val="24"/>
          <w:szCs w:val="24"/>
        </w:rPr>
        <w:t>chargers</w:t>
      </w:r>
      <w:r w:rsidRPr="00D0136A">
        <w:rPr>
          <w:rFonts w:ascii="Times New Roman" w:hAnsi="Times New Roman"/>
          <w:noProof/>
          <w:sz w:val="24"/>
          <w:szCs w:val="24"/>
        </w:rPr>
        <w:t xml:space="preserve"> and</w:t>
      </w:r>
      <w:r>
        <w:rPr>
          <w:rFonts w:ascii="Times New Roman" w:hAnsi="Times New Roman"/>
          <w:noProof/>
          <w:sz w:val="24"/>
          <w:szCs w:val="24"/>
        </w:rPr>
        <w:t>/or</w:t>
      </w:r>
      <w:r w:rsidRPr="00D0136A">
        <w:rPr>
          <w:rFonts w:ascii="Times New Roman" w:hAnsi="Times New Roman"/>
          <w:noProof/>
          <w:sz w:val="24"/>
          <w:szCs w:val="24"/>
        </w:rPr>
        <w:t xml:space="preserve"> </w:t>
      </w:r>
      <w:r w:rsidRPr="1068DB92">
        <w:rPr>
          <w:rFonts w:ascii="Times New Roman" w:hAnsi="Times New Roman"/>
          <w:noProof/>
          <w:sz w:val="24"/>
          <w:szCs w:val="24"/>
        </w:rPr>
        <w:t>ii)</w:t>
      </w:r>
      <w:r w:rsidRPr="00D0136A">
        <w:rPr>
          <w:rFonts w:ascii="Times New Roman" w:hAnsi="Times New Roman"/>
          <w:noProof/>
          <w:sz w:val="24"/>
          <w:szCs w:val="24"/>
        </w:rPr>
        <w:t xml:space="preserve"> renewable hydrogen refuelling </w:t>
      </w:r>
      <w:r w:rsidRPr="00102106">
        <w:rPr>
          <w:rFonts w:ascii="Times New Roman" w:hAnsi="Times New Roman"/>
          <w:noProof/>
          <w:sz w:val="24"/>
          <w:szCs w:val="24"/>
        </w:rPr>
        <w:t>stations.</w:t>
      </w:r>
      <w:r>
        <w:rPr>
          <w:rFonts w:ascii="Times New Roman" w:hAnsi="Times New Roman"/>
          <w:b/>
          <w:noProof/>
          <w:sz w:val="24"/>
          <w:u w:val="single"/>
        </w:rPr>
        <w:br w:type="page"/>
      </w:r>
    </w:p>
    <w:p w14:paraId="022814D8" w14:textId="77777777" w:rsidR="00935FC8" w:rsidRDefault="00935FC8">
      <w:pPr>
        <w:spacing w:before="120" w:after="120" w:line="240" w:lineRule="auto"/>
        <w:jc w:val="both"/>
        <w:rPr>
          <w:rFonts w:ascii="Times New Roman" w:hAnsi="Times New Roman"/>
          <w:b/>
          <w:noProof/>
          <w:sz w:val="24"/>
          <w:u w:val="single"/>
        </w:rPr>
        <w:sectPr w:rsidR="00935FC8" w:rsidSect="00A7081A">
          <w:headerReference w:type="even" r:id="rId53"/>
          <w:headerReference w:type="default" r:id="rId54"/>
          <w:footerReference w:type="even" r:id="rId55"/>
          <w:footerReference w:type="default" r:id="rId56"/>
          <w:headerReference w:type="first" r:id="rId57"/>
          <w:footerReference w:type="first" r:id="rId58"/>
          <w:pgSz w:w="11907" w:h="16839" w:code="9"/>
          <w:pgMar w:top="1134" w:right="1134" w:bottom="1134" w:left="1134" w:header="567" w:footer="567" w:gutter="0"/>
          <w:cols w:space="720"/>
          <w:docGrid w:linePitch="360"/>
        </w:sectPr>
      </w:pPr>
    </w:p>
    <w:p w14:paraId="56B455A5" w14:textId="77777777" w:rsidR="00935FC8" w:rsidRPr="00693DD5" w:rsidRDefault="00935FC8">
      <w:pPr>
        <w:spacing w:before="120" w:after="120" w:line="240" w:lineRule="auto"/>
        <w:jc w:val="both"/>
        <w:rPr>
          <w:rFonts w:ascii="Times New Roman" w:hAnsi="Times New Roman"/>
          <w:b/>
          <w:noProof/>
          <w:sz w:val="24"/>
          <w:u w:val="single"/>
        </w:rPr>
      </w:pPr>
      <w:r w:rsidRPr="00693DD5">
        <w:rPr>
          <w:rFonts w:ascii="Times New Roman" w:hAnsi="Times New Roman"/>
          <w:b/>
          <w:noProof/>
          <w:sz w:val="24"/>
          <w:u w:val="single"/>
        </w:rPr>
        <w:t xml:space="preserve">D.2. </w:t>
      </w:r>
      <w:r w:rsidRPr="00693DD5">
        <w:rPr>
          <w:rFonts w:ascii="Times New Roman" w:hAnsi="Times New Roman"/>
          <w:b/>
          <w:noProof/>
          <w:sz w:val="24"/>
          <w:u w:val="single"/>
        </w:rPr>
        <w:tab/>
        <w:t>Milestones, targets, indicators, and timetable for monitoring and implementation for non-repayable financial support</w:t>
      </w:r>
    </w:p>
    <w:tbl>
      <w:tblPr>
        <w:tblW w:w="15524" w:type="dxa"/>
        <w:jc w:val="center"/>
        <w:tblLayout w:type="fixed"/>
        <w:tblCellMar>
          <w:left w:w="28" w:type="dxa"/>
          <w:right w:w="28" w:type="dxa"/>
        </w:tblCellMar>
        <w:tblLook w:val="04A0" w:firstRow="1" w:lastRow="0" w:firstColumn="1" w:lastColumn="0" w:noHBand="0" w:noVBand="1"/>
      </w:tblPr>
      <w:tblGrid>
        <w:gridCol w:w="840"/>
        <w:gridCol w:w="1675"/>
        <w:gridCol w:w="1024"/>
        <w:gridCol w:w="1701"/>
        <w:gridCol w:w="1325"/>
        <w:gridCol w:w="943"/>
        <w:gridCol w:w="851"/>
        <w:gridCol w:w="850"/>
        <w:gridCol w:w="851"/>
        <w:gridCol w:w="567"/>
        <w:gridCol w:w="4897"/>
      </w:tblGrid>
      <w:tr w:rsidR="00A7081A" w:rsidRPr="00577DC1" w14:paraId="2F007F20" w14:textId="77777777" w:rsidTr="003E1CE8">
        <w:trPr>
          <w:trHeight w:val="927"/>
          <w:tblHeader/>
          <w:jc w:val="center"/>
        </w:trPr>
        <w:tc>
          <w:tcPr>
            <w:tcW w:w="84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D542153"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Number</w:t>
            </w:r>
          </w:p>
        </w:tc>
        <w:tc>
          <w:tcPr>
            <w:tcW w:w="167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F8F30D1"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 xml:space="preserve">Measure </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350763B"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Milestone / 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D460AB"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Name</w:t>
            </w:r>
          </w:p>
        </w:tc>
        <w:tc>
          <w:tcPr>
            <w:tcW w:w="13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8D528C" w14:textId="77777777" w:rsidR="00935FC8" w:rsidRPr="00577DC1" w:rsidRDefault="00935FC8">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Qualitative indicators (for milestones)</w:t>
            </w:r>
          </w:p>
        </w:tc>
        <w:tc>
          <w:tcPr>
            <w:tcW w:w="2644"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EA487D7" w14:textId="77777777" w:rsidR="00935FC8" w:rsidRPr="00577DC1" w:rsidRDefault="00935FC8">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Quantitative indicators (for targets)</w:t>
            </w:r>
          </w:p>
        </w:tc>
        <w:tc>
          <w:tcPr>
            <w:tcW w:w="1418" w:type="dxa"/>
            <w:gridSpan w:val="2"/>
            <w:tcBorders>
              <w:top w:val="single" w:sz="4" w:space="0" w:color="auto"/>
              <w:left w:val="nil"/>
              <w:bottom w:val="single" w:sz="4" w:space="0" w:color="auto"/>
              <w:right w:val="single" w:sz="4" w:space="0" w:color="auto"/>
            </w:tcBorders>
            <w:shd w:val="clear" w:color="auto" w:fill="BDD7EE"/>
            <w:vAlign w:val="center"/>
            <w:hideMark/>
          </w:tcPr>
          <w:p w14:paraId="08FC5226" w14:textId="77777777" w:rsidR="00935FC8" w:rsidRPr="00577DC1" w:rsidRDefault="00935FC8">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 xml:space="preserve">Indicative timeline for completion </w:t>
            </w:r>
          </w:p>
        </w:tc>
        <w:tc>
          <w:tcPr>
            <w:tcW w:w="48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E825D7"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Description of each milestone and target</w:t>
            </w:r>
          </w:p>
        </w:tc>
      </w:tr>
      <w:tr w:rsidR="00DA4DC4" w:rsidRPr="00577DC1" w14:paraId="7F1DC723" w14:textId="77777777" w:rsidTr="003E1CE8">
        <w:trPr>
          <w:trHeight w:val="612"/>
          <w:tblHeader/>
          <w:jc w:val="center"/>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4119B62F"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1675" w:type="dxa"/>
            <w:vMerge/>
            <w:tcBorders>
              <w:top w:val="single" w:sz="4" w:space="0" w:color="auto"/>
              <w:left w:val="single" w:sz="4" w:space="0" w:color="auto"/>
              <w:bottom w:val="single" w:sz="4" w:space="0" w:color="auto"/>
              <w:right w:val="single" w:sz="4" w:space="0" w:color="auto"/>
            </w:tcBorders>
            <w:vAlign w:val="center"/>
            <w:hideMark/>
          </w:tcPr>
          <w:p w14:paraId="126EEE76"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44BEDFFC"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9A3AC72"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1325" w:type="dxa"/>
            <w:vMerge/>
            <w:tcBorders>
              <w:top w:val="single" w:sz="4" w:space="0" w:color="auto"/>
              <w:left w:val="single" w:sz="4" w:space="0" w:color="auto"/>
              <w:bottom w:val="single" w:sz="4" w:space="0" w:color="auto"/>
              <w:right w:val="single" w:sz="4" w:space="0" w:color="auto"/>
            </w:tcBorders>
            <w:vAlign w:val="center"/>
            <w:hideMark/>
          </w:tcPr>
          <w:p w14:paraId="471B92D1" w14:textId="77777777" w:rsidR="00935FC8" w:rsidRPr="00577DC1" w:rsidRDefault="00935FC8">
            <w:pPr>
              <w:spacing w:after="0" w:line="240" w:lineRule="auto"/>
              <w:rPr>
                <w:rFonts w:ascii="Times New Roman" w:eastAsia="Times New Roman" w:hAnsi="Times New Roman"/>
                <w:b/>
                <w:noProof/>
                <w:sz w:val="20"/>
                <w:szCs w:val="20"/>
                <w:lang w:eastAsia="en-GB"/>
              </w:rPr>
            </w:pPr>
          </w:p>
        </w:tc>
        <w:tc>
          <w:tcPr>
            <w:tcW w:w="94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7DC2A01"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Unit</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444262E" w14:textId="31EC626E" w:rsidR="00935FC8" w:rsidRPr="00577DC1" w:rsidRDefault="00935FC8">
            <w:pPr>
              <w:spacing w:after="0" w:line="240" w:lineRule="auto"/>
              <w:jc w:val="center"/>
              <w:rPr>
                <w:rFonts w:ascii="Times New Roman" w:eastAsia="Times New Roman" w:hAnsi="Times New Roman"/>
                <w:b/>
                <w:bCs/>
                <w:noProof/>
                <w:sz w:val="20"/>
                <w:szCs w:val="20"/>
                <w:lang w:eastAsia="en-GB"/>
              </w:rPr>
            </w:pPr>
            <w:r w:rsidRPr="00577DC1">
              <w:rPr>
                <w:rFonts w:ascii="Times New Roman" w:eastAsia="Times New Roman" w:hAnsi="Times New Roman"/>
                <w:b/>
                <w:bCs/>
                <w:noProof/>
                <w:sz w:val="20"/>
                <w:szCs w:val="20"/>
                <w:lang w:eastAsia="en-GB"/>
              </w:rPr>
              <w:t>Baseline</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57986EE" w14:textId="79C0703B"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Goal</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3A3899" w14:textId="77777777" w:rsidR="00935FC8" w:rsidRPr="00577DC1" w:rsidRDefault="00935FC8">
            <w:pPr>
              <w:spacing w:after="0" w:line="240" w:lineRule="auto"/>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Quarter</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E99FAC9" w14:textId="77777777" w:rsidR="00935FC8" w:rsidRPr="00577DC1" w:rsidRDefault="00935FC8">
            <w:pPr>
              <w:spacing w:after="0" w:line="240" w:lineRule="auto"/>
              <w:ind w:left="6" w:hanging="6"/>
              <w:jc w:val="center"/>
              <w:rPr>
                <w:rFonts w:ascii="Times New Roman" w:eastAsia="Times New Roman" w:hAnsi="Times New Roman"/>
                <w:b/>
                <w:noProof/>
                <w:sz w:val="20"/>
                <w:szCs w:val="20"/>
                <w:lang w:eastAsia="en-GB"/>
              </w:rPr>
            </w:pPr>
            <w:r w:rsidRPr="00577DC1">
              <w:rPr>
                <w:rFonts w:ascii="Times New Roman" w:eastAsia="Times New Roman" w:hAnsi="Times New Roman"/>
                <w:b/>
                <w:noProof/>
                <w:sz w:val="20"/>
                <w:szCs w:val="20"/>
                <w:lang w:eastAsia="en-GB"/>
              </w:rPr>
              <w:t>Year</w:t>
            </w:r>
          </w:p>
        </w:tc>
        <w:tc>
          <w:tcPr>
            <w:tcW w:w="4897" w:type="dxa"/>
            <w:vMerge/>
            <w:tcBorders>
              <w:top w:val="single" w:sz="4" w:space="0" w:color="auto"/>
              <w:left w:val="single" w:sz="4" w:space="0" w:color="auto"/>
              <w:bottom w:val="single" w:sz="4" w:space="0" w:color="auto"/>
              <w:right w:val="single" w:sz="4" w:space="0" w:color="auto"/>
            </w:tcBorders>
            <w:vAlign w:val="center"/>
            <w:hideMark/>
          </w:tcPr>
          <w:p w14:paraId="4436A326" w14:textId="77777777" w:rsidR="00935FC8" w:rsidRPr="00577DC1" w:rsidRDefault="00935FC8">
            <w:pPr>
              <w:spacing w:after="0" w:line="240" w:lineRule="auto"/>
              <w:rPr>
                <w:rFonts w:ascii="Times New Roman" w:eastAsia="Times New Roman" w:hAnsi="Times New Roman"/>
                <w:b/>
                <w:noProof/>
                <w:sz w:val="20"/>
                <w:szCs w:val="20"/>
                <w:lang w:eastAsia="en-GB"/>
              </w:rPr>
            </w:pPr>
          </w:p>
        </w:tc>
      </w:tr>
      <w:tr w:rsidR="00DA4DC4" w:rsidRPr="00577DC1" w14:paraId="05FE79AA" w14:textId="77777777" w:rsidTr="003E1CE8">
        <w:trPr>
          <w:trHeight w:val="309"/>
          <w:jc w:val="center"/>
        </w:trPr>
        <w:tc>
          <w:tcPr>
            <w:tcW w:w="840" w:type="dxa"/>
            <w:tcBorders>
              <w:top w:val="single" w:sz="4" w:space="0" w:color="auto"/>
              <w:left w:val="single" w:sz="4" w:space="0" w:color="auto"/>
              <w:bottom w:val="single" w:sz="4" w:space="0" w:color="auto"/>
              <w:right w:val="single" w:sz="4" w:space="0" w:color="auto"/>
            </w:tcBorders>
            <w:shd w:val="clear" w:color="auto" w:fill="C6EFCE"/>
            <w:noWrap/>
            <w:hideMark/>
          </w:tcPr>
          <w:p w14:paraId="346D7DDB"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34</w:t>
            </w:r>
          </w:p>
        </w:tc>
        <w:tc>
          <w:tcPr>
            <w:tcW w:w="1675" w:type="dxa"/>
            <w:tcBorders>
              <w:top w:val="single" w:sz="4" w:space="0" w:color="auto"/>
              <w:left w:val="nil"/>
              <w:bottom w:val="single" w:sz="4" w:space="0" w:color="auto"/>
              <w:right w:val="single" w:sz="4" w:space="0" w:color="auto"/>
            </w:tcBorders>
            <w:shd w:val="clear" w:color="auto" w:fill="C6EFCE"/>
            <w:noWrap/>
            <w:hideMark/>
          </w:tcPr>
          <w:p w14:paraId="67820303"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 xml:space="preserve">P1C4R1 - </w:t>
            </w:r>
          </w:p>
          <w:p w14:paraId="01BA7CB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Low-carbon solutions for cities and transport – Roadmap for fossil-free transport</w:t>
            </w:r>
          </w:p>
        </w:tc>
        <w:tc>
          <w:tcPr>
            <w:tcW w:w="1024" w:type="dxa"/>
            <w:tcBorders>
              <w:top w:val="single" w:sz="4" w:space="0" w:color="auto"/>
              <w:left w:val="nil"/>
              <w:bottom w:val="single" w:sz="4" w:space="0" w:color="auto"/>
              <w:right w:val="single" w:sz="4" w:space="0" w:color="auto"/>
            </w:tcBorders>
            <w:shd w:val="clear" w:color="auto" w:fill="C6EFCE"/>
            <w:noWrap/>
            <w:hideMark/>
          </w:tcPr>
          <w:p w14:paraId="6A4FE853"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Milestone</w:t>
            </w:r>
          </w:p>
        </w:tc>
        <w:tc>
          <w:tcPr>
            <w:tcW w:w="1701" w:type="dxa"/>
            <w:tcBorders>
              <w:top w:val="single" w:sz="4" w:space="0" w:color="auto"/>
              <w:left w:val="nil"/>
              <w:bottom w:val="single" w:sz="4" w:space="0" w:color="auto"/>
              <w:right w:val="single" w:sz="4" w:space="0" w:color="auto"/>
            </w:tcBorders>
            <w:shd w:val="clear" w:color="auto" w:fill="C6EFCE"/>
            <w:noWrap/>
            <w:hideMark/>
          </w:tcPr>
          <w:p w14:paraId="1690A28E"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Adoption of the Government resolution LVM/2021/62 to reduce greenhouse gas emissions from domestic transport</w:t>
            </w:r>
          </w:p>
        </w:tc>
        <w:tc>
          <w:tcPr>
            <w:tcW w:w="1325" w:type="dxa"/>
            <w:tcBorders>
              <w:top w:val="single" w:sz="4" w:space="0" w:color="auto"/>
              <w:left w:val="nil"/>
              <w:bottom w:val="single" w:sz="4" w:space="0" w:color="auto"/>
              <w:right w:val="single" w:sz="4" w:space="0" w:color="auto"/>
            </w:tcBorders>
            <w:shd w:val="clear" w:color="auto" w:fill="C6EFCE"/>
            <w:noWrap/>
            <w:hideMark/>
          </w:tcPr>
          <w:p w14:paraId="45B8E95E" w14:textId="77777777" w:rsidR="00935FC8" w:rsidRPr="00577DC1" w:rsidRDefault="00935FC8" w:rsidP="00A7081A">
            <w:pPr>
              <w:spacing w:after="0" w:line="240" w:lineRule="auto"/>
              <w:rPr>
                <w:rFonts w:ascii="Times New Roman" w:hAnsi="Times New Roman"/>
                <w:noProof/>
                <w:sz w:val="20"/>
                <w:szCs w:val="20"/>
                <w:lang w:eastAsia="en-GB"/>
              </w:rPr>
            </w:pPr>
            <w:r w:rsidRPr="00577DC1">
              <w:rPr>
                <w:rFonts w:ascii="Times New Roman" w:hAnsi="Times New Roman"/>
                <w:noProof/>
                <w:sz w:val="20"/>
                <w:szCs w:val="20"/>
              </w:rPr>
              <w:t>Publication of the Government resolution</w:t>
            </w:r>
          </w:p>
        </w:tc>
        <w:tc>
          <w:tcPr>
            <w:tcW w:w="943" w:type="dxa"/>
            <w:tcBorders>
              <w:top w:val="single" w:sz="4" w:space="0" w:color="auto"/>
              <w:left w:val="nil"/>
              <w:bottom w:val="single" w:sz="4" w:space="0" w:color="auto"/>
              <w:right w:val="single" w:sz="4" w:space="0" w:color="auto"/>
            </w:tcBorders>
            <w:shd w:val="clear" w:color="auto" w:fill="C6EFCE"/>
            <w:noWrap/>
            <w:hideMark/>
          </w:tcPr>
          <w:p w14:paraId="61DD956F" w14:textId="0B068D68" w:rsidR="00935FC8" w:rsidRPr="00577DC1" w:rsidRDefault="00935FC8" w:rsidP="00377F11">
            <w:pPr>
              <w:spacing w:after="0" w:line="240" w:lineRule="auto"/>
              <w:jc w:val="center"/>
              <w:rPr>
                <w:rFonts w:ascii="Times New Roman" w:eastAsia="Times New Roman" w:hAnsi="Times New Roman"/>
                <w:noProof/>
                <w:sz w:val="20"/>
                <w:szCs w:val="20"/>
                <w:lang w:eastAsia="en-GB"/>
              </w:rPr>
            </w:pPr>
          </w:p>
        </w:tc>
        <w:tc>
          <w:tcPr>
            <w:tcW w:w="851" w:type="dxa"/>
            <w:tcBorders>
              <w:top w:val="single" w:sz="4" w:space="0" w:color="auto"/>
              <w:left w:val="nil"/>
              <w:bottom w:val="single" w:sz="4" w:space="0" w:color="auto"/>
              <w:right w:val="single" w:sz="4" w:space="0" w:color="auto"/>
            </w:tcBorders>
            <w:shd w:val="clear" w:color="auto" w:fill="C6EFCE"/>
            <w:noWrap/>
            <w:hideMark/>
          </w:tcPr>
          <w:p w14:paraId="0CBABECF" w14:textId="156B7991" w:rsidR="00935FC8" w:rsidRPr="00577DC1" w:rsidRDefault="00935FC8" w:rsidP="00377F11">
            <w:pPr>
              <w:spacing w:after="0" w:line="240" w:lineRule="auto"/>
              <w:jc w:val="center"/>
              <w:rPr>
                <w:rFonts w:ascii="Times New Roman" w:eastAsia="Times New Roman" w:hAnsi="Times New Roman"/>
                <w:noProof/>
                <w:sz w:val="20"/>
                <w:szCs w:val="20"/>
                <w:lang w:eastAsia="en-GB"/>
              </w:rPr>
            </w:pPr>
          </w:p>
        </w:tc>
        <w:tc>
          <w:tcPr>
            <w:tcW w:w="850" w:type="dxa"/>
            <w:tcBorders>
              <w:top w:val="single" w:sz="4" w:space="0" w:color="auto"/>
              <w:left w:val="nil"/>
              <w:bottom w:val="single" w:sz="4" w:space="0" w:color="auto"/>
              <w:right w:val="single" w:sz="4" w:space="0" w:color="auto"/>
            </w:tcBorders>
            <w:shd w:val="clear" w:color="auto" w:fill="C6EFCE"/>
            <w:noWrap/>
            <w:hideMark/>
          </w:tcPr>
          <w:p w14:paraId="7336CBDC" w14:textId="57237EA6" w:rsidR="00935FC8" w:rsidRPr="00577DC1" w:rsidRDefault="00935FC8" w:rsidP="00377F11">
            <w:pPr>
              <w:spacing w:after="0" w:line="240" w:lineRule="auto"/>
              <w:jc w:val="center"/>
              <w:rPr>
                <w:rFonts w:ascii="Times New Roman" w:eastAsia="Times New Roman" w:hAnsi="Times New Roman"/>
                <w:noProof/>
                <w:sz w:val="20"/>
                <w:szCs w:val="20"/>
                <w:lang w:eastAsia="en-GB"/>
              </w:rPr>
            </w:pPr>
          </w:p>
        </w:tc>
        <w:tc>
          <w:tcPr>
            <w:tcW w:w="851" w:type="dxa"/>
            <w:tcBorders>
              <w:top w:val="single" w:sz="4" w:space="0" w:color="auto"/>
              <w:left w:val="nil"/>
              <w:bottom w:val="single" w:sz="4" w:space="0" w:color="auto"/>
              <w:right w:val="single" w:sz="4" w:space="0" w:color="auto"/>
            </w:tcBorders>
            <w:shd w:val="clear" w:color="auto" w:fill="C6EFCE"/>
            <w:noWrap/>
            <w:hideMark/>
          </w:tcPr>
          <w:p w14:paraId="1837ADC3" w14:textId="77777777" w:rsidR="00935FC8" w:rsidRPr="00577DC1" w:rsidRDefault="00935FC8" w:rsidP="00377F11">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567" w:type="dxa"/>
            <w:tcBorders>
              <w:top w:val="single" w:sz="4" w:space="0" w:color="auto"/>
              <w:left w:val="nil"/>
              <w:bottom w:val="single" w:sz="4" w:space="0" w:color="auto"/>
              <w:right w:val="single" w:sz="4" w:space="0" w:color="auto"/>
            </w:tcBorders>
            <w:shd w:val="clear" w:color="auto" w:fill="C6EFCE"/>
            <w:noWrap/>
            <w:hideMark/>
          </w:tcPr>
          <w:p w14:paraId="2B11C89D" w14:textId="77777777" w:rsidR="00935FC8" w:rsidRPr="00577DC1" w:rsidRDefault="00935FC8" w:rsidP="00377F11">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2021</w:t>
            </w:r>
          </w:p>
        </w:tc>
        <w:tc>
          <w:tcPr>
            <w:tcW w:w="4897" w:type="dxa"/>
            <w:tcBorders>
              <w:top w:val="single" w:sz="4" w:space="0" w:color="auto"/>
              <w:left w:val="nil"/>
              <w:bottom w:val="single" w:sz="4" w:space="0" w:color="auto"/>
              <w:right w:val="single" w:sz="4" w:space="0" w:color="auto"/>
            </w:tcBorders>
            <w:shd w:val="clear" w:color="auto" w:fill="C6EFCE"/>
            <w:noWrap/>
            <w:hideMark/>
          </w:tcPr>
          <w:p w14:paraId="644A0068"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 xml:space="preserve">The roadmap for fossil free transport shall include instructions and guidelines for the preparation of measures to reduce greenhouse gas emissions from domestic transport by 50% by 2030 compared to 2005 levels. </w:t>
            </w:r>
            <w:r w:rsidRPr="00577DC1">
              <w:rPr>
                <w:rFonts w:ascii="Times New Roman" w:eastAsia="Times New Roman" w:hAnsi="Times New Roman"/>
                <w:noProof/>
                <w:sz w:val="20"/>
                <w:szCs w:val="20"/>
                <w:lang w:eastAsia="en-GB"/>
              </w:rPr>
              <w:t xml:space="preserve">Some of the measures shall be implemented by legislation and others by policy measures. </w:t>
            </w:r>
          </w:p>
        </w:tc>
      </w:tr>
      <w:tr w:rsidR="00DA4DC4" w:rsidRPr="00577DC1" w14:paraId="33555F9A" w14:textId="77777777" w:rsidTr="003E1CE8">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hideMark/>
          </w:tcPr>
          <w:p w14:paraId="0E8E271B" w14:textId="77777777" w:rsidR="00935FC8" w:rsidRPr="00577DC1" w:rsidRDefault="00935FC8">
            <w:pPr>
              <w:spacing w:after="0" w:line="240" w:lineRule="auto"/>
              <w:jc w:val="center"/>
              <w:rPr>
                <w:rFonts w:ascii="Times New Roman" w:hAnsi="Times New Roman"/>
                <w:noProof/>
                <w:sz w:val="20"/>
                <w:szCs w:val="20"/>
              </w:rPr>
            </w:pPr>
            <w:r w:rsidRPr="00577DC1">
              <w:rPr>
                <w:rFonts w:ascii="Times New Roman" w:hAnsi="Times New Roman"/>
                <w:noProof/>
                <w:sz w:val="20"/>
                <w:szCs w:val="20"/>
              </w:rPr>
              <w:t>35</w:t>
            </w:r>
          </w:p>
        </w:tc>
        <w:tc>
          <w:tcPr>
            <w:tcW w:w="1675" w:type="dxa"/>
            <w:tcBorders>
              <w:top w:val="nil"/>
              <w:left w:val="nil"/>
              <w:bottom w:val="single" w:sz="4" w:space="0" w:color="auto"/>
              <w:right w:val="single" w:sz="4" w:space="0" w:color="auto"/>
            </w:tcBorders>
            <w:shd w:val="clear" w:color="auto" w:fill="C6EFCE"/>
            <w:noWrap/>
            <w:hideMark/>
          </w:tcPr>
          <w:p w14:paraId="69589CE0" w14:textId="2C4ECB2B" w:rsidR="00935FC8" w:rsidRPr="00577DC1" w:rsidRDefault="00935FC8" w:rsidP="00577DC1">
            <w:pPr>
              <w:spacing w:after="0" w:line="240" w:lineRule="auto"/>
              <w:rPr>
                <w:rFonts w:ascii="Times New Roman" w:hAnsi="Times New Roman"/>
                <w:noProof/>
                <w:sz w:val="20"/>
                <w:szCs w:val="20"/>
              </w:rPr>
            </w:pPr>
            <w:r w:rsidRPr="00577DC1">
              <w:rPr>
                <w:rFonts w:ascii="Times New Roman" w:hAnsi="Times New Roman"/>
                <w:noProof/>
                <w:sz w:val="20"/>
                <w:szCs w:val="20"/>
              </w:rPr>
              <w:t>P1C4R1 - Low-carbon solutions for cities and transport – Roadmap for fossil-free transport</w:t>
            </w:r>
          </w:p>
        </w:tc>
        <w:tc>
          <w:tcPr>
            <w:tcW w:w="1024" w:type="dxa"/>
            <w:tcBorders>
              <w:top w:val="nil"/>
              <w:left w:val="nil"/>
              <w:bottom w:val="single" w:sz="4" w:space="0" w:color="auto"/>
              <w:right w:val="single" w:sz="4" w:space="0" w:color="auto"/>
            </w:tcBorders>
            <w:shd w:val="clear" w:color="auto" w:fill="C6EFCE"/>
            <w:noWrap/>
            <w:hideMark/>
          </w:tcPr>
          <w:p w14:paraId="0787241B"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Milestone</w:t>
            </w:r>
          </w:p>
        </w:tc>
        <w:tc>
          <w:tcPr>
            <w:tcW w:w="1701" w:type="dxa"/>
            <w:tcBorders>
              <w:top w:val="nil"/>
              <w:left w:val="nil"/>
              <w:bottom w:val="single" w:sz="4" w:space="0" w:color="auto"/>
              <w:right w:val="single" w:sz="4" w:space="0" w:color="auto"/>
            </w:tcBorders>
            <w:shd w:val="clear" w:color="auto" w:fill="C6EFCE"/>
            <w:noWrap/>
            <w:hideMark/>
          </w:tcPr>
          <w:p w14:paraId="6680D468"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Publication of government decision regarding additional national measures to reduce emissions from domestic transport</w:t>
            </w:r>
          </w:p>
        </w:tc>
        <w:tc>
          <w:tcPr>
            <w:tcW w:w="1325" w:type="dxa"/>
            <w:tcBorders>
              <w:top w:val="nil"/>
              <w:left w:val="nil"/>
              <w:bottom w:val="single" w:sz="4" w:space="0" w:color="auto"/>
              <w:right w:val="single" w:sz="4" w:space="0" w:color="auto"/>
            </w:tcBorders>
            <w:shd w:val="clear" w:color="auto" w:fill="C6EFCE"/>
            <w:noWrap/>
            <w:hideMark/>
          </w:tcPr>
          <w:p w14:paraId="77618740"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 xml:space="preserve">Government decision published </w:t>
            </w:r>
          </w:p>
        </w:tc>
        <w:tc>
          <w:tcPr>
            <w:tcW w:w="943" w:type="dxa"/>
            <w:tcBorders>
              <w:top w:val="nil"/>
              <w:left w:val="nil"/>
              <w:bottom w:val="single" w:sz="4" w:space="0" w:color="auto"/>
              <w:right w:val="single" w:sz="4" w:space="0" w:color="auto"/>
            </w:tcBorders>
            <w:shd w:val="clear" w:color="auto" w:fill="C6EFCE"/>
            <w:noWrap/>
            <w:hideMark/>
          </w:tcPr>
          <w:p w14:paraId="738E8A8C" w14:textId="07BE9162" w:rsidR="00935FC8" w:rsidRPr="00577DC1" w:rsidRDefault="00935FC8" w:rsidP="00377F11">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3E661711" w14:textId="34DBFF5F" w:rsidR="00935FC8" w:rsidRPr="00577DC1" w:rsidRDefault="00935FC8" w:rsidP="00377F11">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hideMark/>
          </w:tcPr>
          <w:p w14:paraId="6D8FCAE7" w14:textId="76E09DC6" w:rsidR="00935FC8" w:rsidRPr="00577DC1" w:rsidRDefault="00935FC8" w:rsidP="00377F11">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4067F70E" w14:textId="77777777" w:rsidR="00935FC8" w:rsidRPr="00577DC1" w:rsidRDefault="00935FC8" w:rsidP="00377F11">
            <w:pPr>
              <w:spacing w:after="0" w:line="240" w:lineRule="auto"/>
              <w:jc w:val="center"/>
              <w:rPr>
                <w:rFonts w:ascii="Times New Roman" w:hAnsi="Times New Roman"/>
                <w:noProof/>
                <w:sz w:val="20"/>
                <w:szCs w:val="20"/>
              </w:rPr>
            </w:pPr>
            <w:r w:rsidRPr="00577DC1">
              <w:rPr>
                <w:rFonts w:ascii="Times New Roman" w:hAnsi="Times New Roman"/>
                <w:noProof/>
                <w:sz w:val="20"/>
                <w:szCs w:val="20"/>
              </w:rPr>
              <w:t>Q4</w:t>
            </w:r>
          </w:p>
        </w:tc>
        <w:tc>
          <w:tcPr>
            <w:tcW w:w="567" w:type="dxa"/>
            <w:tcBorders>
              <w:top w:val="nil"/>
              <w:left w:val="nil"/>
              <w:bottom w:val="single" w:sz="4" w:space="0" w:color="auto"/>
              <w:right w:val="single" w:sz="4" w:space="0" w:color="auto"/>
            </w:tcBorders>
            <w:shd w:val="clear" w:color="auto" w:fill="C6EFCE"/>
            <w:noWrap/>
            <w:hideMark/>
          </w:tcPr>
          <w:p w14:paraId="6F7DA6BB" w14:textId="77777777" w:rsidR="00935FC8" w:rsidRPr="00577DC1" w:rsidRDefault="00935FC8" w:rsidP="00377F11">
            <w:pPr>
              <w:spacing w:after="0" w:line="240" w:lineRule="auto"/>
              <w:jc w:val="center"/>
              <w:rPr>
                <w:rFonts w:ascii="Times New Roman" w:hAnsi="Times New Roman"/>
                <w:noProof/>
                <w:sz w:val="20"/>
                <w:szCs w:val="20"/>
              </w:rPr>
            </w:pPr>
            <w:r w:rsidRPr="00577DC1">
              <w:rPr>
                <w:rFonts w:ascii="Times New Roman" w:hAnsi="Times New Roman"/>
                <w:noProof/>
                <w:sz w:val="20"/>
                <w:szCs w:val="20"/>
              </w:rPr>
              <w:t>2021</w:t>
            </w:r>
          </w:p>
        </w:tc>
        <w:tc>
          <w:tcPr>
            <w:tcW w:w="4897" w:type="dxa"/>
            <w:tcBorders>
              <w:top w:val="nil"/>
              <w:left w:val="nil"/>
              <w:bottom w:val="single" w:sz="4" w:space="0" w:color="auto"/>
              <w:right w:val="single" w:sz="4" w:space="0" w:color="auto"/>
            </w:tcBorders>
            <w:shd w:val="clear" w:color="auto" w:fill="C6EFCE"/>
            <w:noWrap/>
            <w:hideMark/>
          </w:tcPr>
          <w:p w14:paraId="42723B2F"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 xml:space="preserve">The measures to be adopted shall follow a comprehensive impact assessment and shall aim at reducing transport emissions by 50% in 2030 compared to 2005. The estimated amount of reductions needed with additional measures is 1.03 </w:t>
            </w:r>
            <w:r w:rsidRPr="00577DC1">
              <w:rPr>
                <w:rFonts w:ascii="Times New Roman" w:eastAsia="Times New Roman" w:hAnsi="Times New Roman"/>
                <w:noProof/>
                <w:sz w:val="20"/>
                <w:szCs w:val="20"/>
                <w:lang w:eastAsia="en-GB"/>
              </w:rPr>
              <w:t xml:space="preserve">megatonnes </w:t>
            </w:r>
            <w:r w:rsidRPr="00577DC1">
              <w:rPr>
                <w:rFonts w:ascii="Times New Roman" w:hAnsi="Times New Roman"/>
                <w:noProof/>
                <w:sz w:val="20"/>
                <w:szCs w:val="20"/>
              </w:rPr>
              <w:t>(as estimated in the baseline scenario April 2020). The estimate shall be updated based on the updated base scenario that shall be presented in autumn 2021.</w:t>
            </w:r>
          </w:p>
        </w:tc>
      </w:tr>
      <w:tr w:rsidR="00DA4DC4" w:rsidRPr="00577DC1" w14:paraId="598053BF" w14:textId="77777777" w:rsidTr="003E1CE8">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tcPr>
          <w:p w14:paraId="6D417581" w14:textId="77777777" w:rsidR="00935FC8" w:rsidRPr="00577DC1" w:rsidRDefault="00935FC8">
            <w:pPr>
              <w:spacing w:after="0" w:line="240" w:lineRule="auto"/>
              <w:jc w:val="center"/>
              <w:rPr>
                <w:rFonts w:ascii="Times New Roman" w:hAnsi="Times New Roman"/>
                <w:noProof/>
                <w:sz w:val="20"/>
                <w:szCs w:val="20"/>
              </w:rPr>
            </w:pPr>
            <w:r w:rsidRPr="00577DC1">
              <w:rPr>
                <w:rFonts w:ascii="Times New Roman" w:hAnsi="Times New Roman"/>
                <w:noProof/>
                <w:sz w:val="20"/>
                <w:szCs w:val="20"/>
              </w:rPr>
              <w:t>36</w:t>
            </w:r>
          </w:p>
        </w:tc>
        <w:tc>
          <w:tcPr>
            <w:tcW w:w="1675" w:type="dxa"/>
            <w:tcBorders>
              <w:top w:val="nil"/>
              <w:left w:val="nil"/>
              <w:bottom w:val="single" w:sz="4" w:space="0" w:color="auto"/>
              <w:right w:val="single" w:sz="4" w:space="0" w:color="auto"/>
            </w:tcBorders>
            <w:shd w:val="clear" w:color="auto" w:fill="C6EFCE"/>
            <w:noWrap/>
          </w:tcPr>
          <w:p w14:paraId="24C58EE1" w14:textId="4F528896" w:rsidR="00935FC8" w:rsidRPr="00577DC1" w:rsidRDefault="00935FC8" w:rsidP="00577DC1">
            <w:pPr>
              <w:spacing w:after="0" w:line="240" w:lineRule="auto"/>
              <w:rPr>
                <w:rFonts w:ascii="Times New Roman" w:hAnsi="Times New Roman"/>
                <w:noProof/>
                <w:sz w:val="20"/>
                <w:szCs w:val="20"/>
              </w:rPr>
            </w:pPr>
            <w:r w:rsidRPr="00577DC1">
              <w:rPr>
                <w:rFonts w:ascii="Times New Roman" w:hAnsi="Times New Roman"/>
                <w:noProof/>
                <w:sz w:val="20"/>
                <w:szCs w:val="20"/>
              </w:rPr>
              <w:t>P1C4R1 - Low-carbon solutions for cities and transport – Roadmap for fossil-free transport</w:t>
            </w:r>
          </w:p>
        </w:tc>
        <w:tc>
          <w:tcPr>
            <w:tcW w:w="1024" w:type="dxa"/>
            <w:tcBorders>
              <w:top w:val="nil"/>
              <w:left w:val="nil"/>
              <w:bottom w:val="single" w:sz="4" w:space="0" w:color="auto"/>
              <w:right w:val="single" w:sz="4" w:space="0" w:color="auto"/>
            </w:tcBorders>
            <w:shd w:val="clear" w:color="auto" w:fill="C6EFCE"/>
            <w:noWrap/>
          </w:tcPr>
          <w:p w14:paraId="4A07142C"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Target</w:t>
            </w:r>
          </w:p>
        </w:tc>
        <w:tc>
          <w:tcPr>
            <w:tcW w:w="1701" w:type="dxa"/>
            <w:tcBorders>
              <w:top w:val="nil"/>
              <w:left w:val="nil"/>
              <w:bottom w:val="single" w:sz="4" w:space="0" w:color="auto"/>
              <w:right w:val="single" w:sz="4" w:space="0" w:color="auto"/>
            </w:tcBorders>
            <w:shd w:val="clear" w:color="auto" w:fill="C6EFCE"/>
            <w:noWrap/>
          </w:tcPr>
          <w:p w14:paraId="0C9DC2F0"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Reduction of at least 24.5% in emissions from domestic transport by 2025 compared to 2005</w:t>
            </w:r>
          </w:p>
        </w:tc>
        <w:tc>
          <w:tcPr>
            <w:tcW w:w="1325" w:type="dxa"/>
            <w:tcBorders>
              <w:top w:val="nil"/>
              <w:left w:val="nil"/>
              <w:bottom w:val="single" w:sz="4" w:space="0" w:color="auto"/>
              <w:right w:val="single" w:sz="4" w:space="0" w:color="auto"/>
            </w:tcBorders>
            <w:shd w:val="clear" w:color="auto" w:fill="C6EFCE"/>
            <w:noWrap/>
          </w:tcPr>
          <w:p w14:paraId="1B4C3AB2" w14:textId="77777777" w:rsidR="00935FC8" w:rsidRPr="00577DC1" w:rsidRDefault="00935FC8" w:rsidP="00A7081A">
            <w:pPr>
              <w:spacing w:after="0" w:line="240" w:lineRule="auto"/>
              <w:rPr>
                <w:rFonts w:ascii="Times New Roman" w:hAnsi="Times New Roman"/>
                <w:noProof/>
                <w:sz w:val="20"/>
                <w:szCs w:val="20"/>
              </w:rPr>
            </w:pPr>
          </w:p>
        </w:tc>
        <w:tc>
          <w:tcPr>
            <w:tcW w:w="943" w:type="dxa"/>
            <w:tcBorders>
              <w:top w:val="nil"/>
              <w:left w:val="nil"/>
              <w:bottom w:val="single" w:sz="4" w:space="0" w:color="auto"/>
              <w:right w:val="single" w:sz="4" w:space="0" w:color="auto"/>
            </w:tcBorders>
            <w:shd w:val="clear" w:color="auto" w:fill="C6EFCE"/>
            <w:noWrap/>
          </w:tcPr>
          <w:p w14:paraId="56747968" w14:textId="2211B2F6" w:rsidR="00935FC8" w:rsidRPr="00577DC1" w:rsidRDefault="00935FC8" w:rsidP="00377F11">
            <w:pPr>
              <w:spacing w:after="0" w:line="240" w:lineRule="auto"/>
              <w:jc w:val="center"/>
              <w:rPr>
                <w:rFonts w:ascii="Times New Roman" w:hAnsi="Times New Roman"/>
                <w:noProof/>
                <w:sz w:val="20"/>
                <w:szCs w:val="20"/>
              </w:rPr>
            </w:pPr>
            <w:r w:rsidRPr="00577DC1">
              <w:rPr>
                <w:rFonts w:ascii="Times New Roman" w:hAnsi="Times New Roman"/>
                <w:noProof/>
                <w:sz w:val="20"/>
                <w:szCs w:val="20"/>
              </w:rPr>
              <w:t>Percentage</w:t>
            </w:r>
          </w:p>
        </w:tc>
        <w:tc>
          <w:tcPr>
            <w:tcW w:w="851" w:type="dxa"/>
            <w:tcBorders>
              <w:top w:val="nil"/>
              <w:left w:val="nil"/>
              <w:bottom w:val="single" w:sz="4" w:space="0" w:color="auto"/>
              <w:right w:val="single" w:sz="4" w:space="0" w:color="auto"/>
            </w:tcBorders>
            <w:shd w:val="clear" w:color="auto" w:fill="C6EFCE"/>
            <w:noWrap/>
          </w:tcPr>
          <w:p w14:paraId="4D627434" w14:textId="77777777" w:rsidR="00935FC8" w:rsidRPr="00577DC1" w:rsidRDefault="00935FC8" w:rsidP="00377F11">
            <w:pPr>
              <w:spacing w:after="0" w:line="240" w:lineRule="auto"/>
              <w:jc w:val="center"/>
              <w:rPr>
                <w:rFonts w:ascii="Times New Roman" w:hAnsi="Times New Roman"/>
                <w:noProof/>
                <w:sz w:val="20"/>
                <w:szCs w:val="20"/>
              </w:rPr>
            </w:pPr>
            <w:r w:rsidRPr="00577DC1">
              <w:rPr>
                <w:rFonts w:ascii="Times New Roman" w:hAnsi="Times New Roman"/>
                <w:noProof/>
                <w:sz w:val="20"/>
                <w:szCs w:val="20"/>
              </w:rPr>
              <w:t>0</w:t>
            </w:r>
          </w:p>
        </w:tc>
        <w:tc>
          <w:tcPr>
            <w:tcW w:w="850" w:type="dxa"/>
            <w:tcBorders>
              <w:top w:val="nil"/>
              <w:left w:val="nil"/>
              <w:bottom w:val="single" w:sz="4" w:space="0" w:color="auto"/>
              <w:right w:val="single" w:sz="4" w:space="0" w:color="auto"/>
            </w:tcBorders>
            <w:shd w:val="clear" w:color="auto" w:fill="C6EFCE"/>
            <w:noWrap/>
          </w:tcPr>
          <w:p w14:paraId="5510DE88" w14:textId="77777777" w:rsidR="00935FC8" w:rsidRPr="00577DC1" w:rsidRDefault="00935FC8" w:rsidP="00377F11">
            <w:pPr>
              <w:spacing w:after="0" w:line="240" w:lineRule="auto"/>
              <w:jc w:val="center"/>
              <w:rPr>
                <w:rFonts w:ascii="Times New Roman" w:eastAsia="Times New Roman" w:hAnsi="Times New Roman"/>
                <w:noProof/>
                <w:sz w:val="20"/>
                <w:szCs w:val="20"/>
              </w:rPr>
            </w:pPr>
            <w:r w:rsidRPr="00577DC1">
              <w:rPr>
                <w:rFonts w:ascii="Times New Roman" w:hAnsi="Times New Roman"/>
                <w:noProof/>
                <w:sz w:val="20"/>
                <w:szCs w:val="20"/>
              </w:rPr>
              <w:t>24.5</w:t>
            </w:r>
          </w:p>
        </w:tc>
        <w:tc>
          <w:tcPr>
            <w:tcW w:w="851" w:type="dxa"/>
            <w:tcBorders>
              <w:top w:val="nil"/>
              <w:left w:val="nil"/>
              <w:bottom w:val="single" w:sz="4" w:space="0" w:color="auto"/>
              <w:right w:val="single" w:sz="4" w:space="0" w:color="auto"/>
            </w:tcBorders>
            <w:shd w:val="clear" w:color="auto" w:fill="C6EFCE"/>
            <w:noWrap/>
          </w:tcPr>
          <w:p w14:paraId="0335F9FA" w14:textId="77777777" w:rsidR="00935FC8" w:rsidRPr="00577DC1" w:rsidRDefault="00935FC8" w:rsidP="00377F11">
            <w:pPr>
              <w:spacing w:after="0" w:line="240" w:lineRule="auto"/>
              <w:jc w:val="center"/>
              <w:rPr>
                <w:rFonts w:ascii="Times New Roman" w:hAnsi="Times New Roman"/>
                <w:noProof/>
                <w:sz w:val="20"/>
                <w:szCs w:val="20"/>
              </w:rPr>
            </w:pPr>
            <w:r w:rsidRPr="00577DC1">
              <w:rPr>
                <w:rFonts w:ascii="Times New Roman" w:hAnsi="Times New Roman"/>
                <w:noProof/>
                <w:sz w:val="20"/>
                <w:szCs w:val="20"/>
              </w:rPr>
              <w:t>Q2</w:t>
            </w:r>
          </w:p>
        </w:tc>
        <w:tc>
          <w:tcPr>
            <w:tcW w:w="567" w:type="dxa"/>
            <w:tcBorders>
              <w:top w:val="nil"/>
              <w:left w:val="nil"/>
              <w:bottom w:val="single" w:sz="4" w:space="0" w:color="auto"/>
              <w:right w:val="single" w:sz="4" w:space="0" w:color="auto"/>
            </w:tcBorders>
            <w:shd w:val="clear" w:color="auto" w:fill="C6EFCE"/>
            <w:noWrap/>
          </w:tcPr>
          <w:p w14:paraId="48C394E1" w14:textId="77777777" w:rsidR="00935FC8" w:rsidRPr="00577DC1" w:rsidRDefault="00935FC8" w:rsidP="00377F11">
            <w:pPr>
              <w:spacing w:after="0" w:line="240" w:lineRule="auto"/>
              <w:jc w:val="center"/>
              <w:rPr>
                <w:rFonts w:ascii="Times New Roman" w:hAnsi="Times New Roman"/>
                <w:noProof/>
                <w:sz w:val="20"/>
                <w:szCs w:val="20"/>
              </w:rPr>
            </w:pPr>
            <w:r w:rsidRPr="00577DC1">
              <w:rPr>
                <w:rFonts w:ascii="Times New Roman" w:hAnsi="Times New Roman"/>
                <w:noProof/>
                <w:sz w:val="20"/>
                <w:szCs w:val="20"/>
              </w:rPr>
              <w:t>2026</w:t>
            </w:r>
          </w:p>
        </w:tc>
        <w:tc>
          <w:tcPr>
            <w:tcW w:w="4897" w:type="dxa"/>
            <w:tcBorders>
              <w:top w:val="nil"/>
              <w:left w:val="nil"/>
              <w:bottom w:val="single" w:sz="4" w:space="0" w:color="auto"/>
              <w:right w:val="single" w:sz="4" w:space="0" w:color="auto"/>
            </w:tcBorders>
            <w:shd w:val="clear" w:color="auto" w:fill="C6EFCE"/>
            <w:noWrap/>
          </w:tcPr>
          <w:p w14:paraId="12336A43" w14:textId="77777777" w:rsidR="00935FC8" w:rsidRPr="00577DC1" w:rsidRDefault="00935FC8" w:rsidP="00A7081A">
            <w:pPr>
              <w:spacing w:after="0" w:line="240" w:lineRule="auto"/>
              <w:rPr>
                <w:rFonts w:ascii="Times New Roman" w:eastAsia="Times New Roman" w:hAnsi="Times New Roman"/>
                <w:noProof/>
                <w:sz w:val="20"/>
                <w:szCs w:val="20"/>
              </w:rPr>
            </w:pPr>
            <w:r w:rsidRPr="00577DC1">
              <w:rPr>
                <w:rFonts w:ascii="Times New Roman" w:hAnsi="Times New Roman"/>
                <w:noProof/>
                <w:sz w:val="20"/>
                <w:szCs w:val="20"/>
              </w:rPr>
              <w:t>The greenhouse gas emissions of domestic transport have decreased by at least 24.5% by 2025, compared to 2005 levels.</w:t>
            </w:r>
          </w:p>
        </w:tc>
      </w:tr>
      <w:tr w:rsidR="00DA4DC4" w:rsidRPr="00577DC1" w14:paraId="1B01B3A6" w14:textId="77777777" w:rsidTr="003E1CE8">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hideMark/>
          </w:tcPr>
          <w:p w14:paraId="2B19A433" w14:textId="77777777" w:rsidR="00935FC8" w:rsidRPr="00577DC1" w:rsidRDefault="00935FC8">
            <w:pPr>
              <w:spacing w:after="0" w:line="240" w:lineRule="auto"/>
              <w:jc w:val="center"/>
              <w:rPr>
                <w:rFonts w:ascii="Times New Roman" w:hAnsi="Times New Roman"/>
                <w:noProof/>
                <w:sz w:val="20"/>
                <w:szCs w:val="20"/>
              </w:rPr>
            </w:pPr>
            <w:r w:rsidRPr="00577DC1">
              <w:rPr>
                <w:rFonts w:ascii="Times New Roman" w:hAnsi="Times New Roman"/>
                <w:noProof/>
                <w:sz w:val="20"/>
                <w:szCs w:val="20"/>
              </w:rPr>
              <w:t>37</w:t>
            </w:r>
          </w:p>
        </w:tc>
        <w:tc>
          <w:tcPr>
            <w:tcW w:w="1675" w:type="dxa"/>
            <w:tcBorders>
              <w:top w:val="nil"/>
              <w:left w:val="nil"/>
              <w:bottom w:val="single" w:sz="4" w:space="0" w:color="auto"/>
              <w:right w:val="single" w:sz="4" w:space="0" w:color="auto"/>
            </w:tcBorders>
            <w:shd w:val="clear" w:color="auto" w:fill="C6EFCE"/>
            <w:noWrap/>
            <w:hideMark/>
          </w:tcPr>
          <w:p w14:paraId="11BCFBE4"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P1C4R2 -</w:t>
            </w:r>
          </w:p>
          <w:p w14:paraId="1A18189F"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Low-carbon solutions for cities and transport – Tax reform for sustainable transport</w:t>
            </w:r>
          </w:p>
        </w:tc>
        <w:tc>
          <w:tcPr>
            <w:tcW w:w="1024" w:type="dxa"/>
            <w:tcBorders>
              <w:top w:val="nil"/>
              <w:left w:val="nil"/>
              <w:bottom w:val="single" w:sz="4" w:space="0" w:color="auto"/>
              <w:right w:val="single" w:sz="4" w:space="0" w:color="auto"/>
            </w:tcBorders>
            <w:shd w:val="clear" w:color="auto" w:fill="C6EFCE"/>
            <w:noWrap/>
            <w:hideMark/>
          </w:tcPr>
          <w:p w14:paraId="2975477B"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Milestone</w:t>
            </w:r>
          </w:p>
        </w:tc>
        <w:tc>
          <w:tcPr>
            <w:tcW w:w="1701" w:type="dxa"/>
            <w:tcBorders>
              <w:top w:val="nil"/>
              <w:left w:val="nil"/>
              <w:bottom w:val="single" w:sz="4" w:space="0" w:color="auto"/>
              <w:right w:val="single" w:sz="4" w:space="0" w:color="auto"/>
            </w:tcBorders>
            <w:shd w:val="clear" w:color="auto" w:fill="C6EFCE"/>
            <w:noWrap/>
            <w:hideMark/>
          </w:tcPr>
          <w:p w14:paraId="13440A9C"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Entry into force of legislative amendments to the Income Tax Act (1205/2020) regarding the taxation of employment benefits of mobility</w:t>
            </w:r>
          </w:p>
        </w:tc>
        <w:tc>
          <w:tcPr>
            <w:tcW w:w="1325" w:type="dxa"/>
            <w:tcBorders>
              <w:top w:val="nil"/>
              <w:left w:val="nil"/>
              <w:bottom w:val="single" w:sz="4" w:space="0" w:color="auto"/>
              <w:right w:val="single" w:sz="4" w:space="0" w:color="auto"/>
            </w:tcBorders>
            <w:shd w:val="clear" w:color="auto" w:fill="C6EFCE"/>
            <w:noWrap/>
            <w:hideMark/>
          </w:tcPr>
          <w:p w14:paraId="3457BCBE"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Provision in the law indicating the entry into force of the amendments to the Act</w:t>
            </w:r>
          </w:p>
        </w:tc>
        <w:tc>
          <w:tcPr>
            <w:tcW w:w="943" w:type="dxa"/>
            <w:tcBorders>
              <w:top w:val="nil"/>
              <w:left w:val="nil"/>
              <w:bottom w:val="single" w:sz="4" w:space="0" w:color="auto"/>
              <w:right w:val="single" w:sz="4" w:space="0" w:color="auto"/>
            </w:tcBorders>
            <w:shd w:val="clear" w:color="auto" w:fill="C6EFCE"/>
            <w:noWrap/>
            <w:hideMark/>
          </w:tcPr>
          <w:p w14:paraId="24F09619" w14:textId="1C0B4EED" w:rsidR="00935FC8" w:rsidRPr="00577DC1" w:rsidRDefault="00935FC8" w:rsidP="00377F11">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3CBB0517" w14:textId="78DF9F7A" w:rsidR="00935FC8" w:rsidRPr="00577DC1" w:rsidRDefault="00935FC8" w:rsidP="00377F11">
            <w:pPr>
              <w:spacing w:after="0" w:line="240" w:lineRule="auto"/>
              <w:jc w:val="center"/>
              <w:rPr>
                <w:rFonts w:ascii="Times New Roman" w:hAnsi="Times New Roman"/>
                <w:noProof/>
                <w:sz w:val="20"/>
                <w:szCs w:val="20"/>
              </w:rPr>
            </w:pPr>
          </w:p>
        </w:tc>
        <w:tc>
          <w:tcPr>
            <w:tcW w:w="850" w:type="dxa"/>
            <w:tcBorders>
              <w:top w:val="nil"/>
              <w:left w:val="nil"/>
              <w:bottom w:val="single" w:sz="4" w:space="0" w:color="auto"/>
              <w:right w:val="single" w:sz="4" w:space="0" w:color="auto"/>
            </w:tcBorders>
            <w:shd w:val="clear" w:color="auto" w:fill="C6EFCE"/>
            <w:noWrap/>
            <w:hideMark/>
          </w:tcPr>
          <w:p w14:paraId="6DBF0C2F" w14:textId="35F6132B" w:rsidR="00935FC8" w:rsidRPr="00577DC1" w:rsidRDefault="00935FC8" w:rsidP="00377F11">
            <w:pPr>
              <w:spacing w:after="0" w:line="240" w:lineRule="auto"/>
              <w:jc w:val="center"/>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55435631" w14:textId="77777777" w:rsidR="00935FC8" w:rsidRPr="00577DC1" w:rsidRDefault="00935FC8" w:rsidP="00377F11">
            <w:pPr>
              <w:spacing w:after="0" w:line="240" w:lineRule="auto"/>
              <w:jc w:val="center"/>
              <w:rPr>
                <w:rFonts w:ascii="Times New Roman" w:hAnsi="Times New Roman"/>
                <w:noProof/>
                <w:sz w:val="20"/>
                <w:szCs w:val="20"/>
              </w:rPr>
            </w:pPr>
            <w:r w:rsidRPr="00577DC1">
              <w:rPr>
                <w:rFonts w:ascii="Times New Roman" w:hAnsi="Times New Roman"/>
                <w:noProof/>
                <w:sz w:val="20"/>
                <w:szCs w:val="20"/>
              </w:rPr>
              <w:t>Q2</w:t>
            </w:r>
          </w:p>
        </w:tc>
        <w:tc>
          <w:tcPr>
            <w:tcW w:w="567" w:type="dxa"/>
            <w:tcBorders>
              <w:top w:val="nil"/>
              <w:left w:val="nil"/>
              <w:bottom w:val="single" w:sz="4" w:space="0" w:color="auto"/>
              <w:right w:val="single" w:sz="4" w:space="0" w:color="auto"/>
            </w:tcBorders>
            <w:shd w:val="clear" w:color="auto" w:fill="C6EFCE"/>
            <w:noWrap/>
            <w:hideMark/>
          </w:tcPr>
          <w:p w14:paraId="134E7E07" w14:textId="77777777" w:rsidR="00935FC8" w:rsidRPr="00577DC1" w:rsidRDefault="00935FC8" w:rsidP="00377F11">
            <w:pPr>
              <w:spacing w:after="0" w:line="240" w:lineRule="auto"/>
              <w:jc w:val="center"/>
              <w:rPr>
                <w:rFonts w:ascii="Times New Roman" w:hAnsi="Times New Roman"/>
                <w:noProof/>
                <w:sz w:val="20"/>
                <w:szCs w:val="20"/>
              </w:rPr>
            </w:pPr>
            <w:r w:rsidRPr="00577DC1">
              <w:rPr>
                <w:rFonts w:ascii="Times New Roman" w:hAnsi="Times New Roman"/>
                <w:noProof/>
                <w:sz w:val="20"/>
                <w:szCs w:val="20"/>
              </w:rPr>
              <w:t>2021</w:t>
            </w:r>
          </w:p>
        </w:tc>
        <w:tc>
          <w:tcPr>
            <w:tcW w:w="4897" w:type="dxa"/>
            <w:tcBorders>
              <w:top w:val="nil"/>
              <w:left w:val="nil"/>
              <w:bottom w:val="single" w:sz="4" w:space="0" w:color="auto"/>
              <w:right w:val="single" w:sz="4" w:space="0" w:color="auto"/>
            </w:tcBorders>
            <w:shd w:val="clear" w:color="auto" w:fill="C6EFCE"/>
            <w:noWrap/>
            <w:hideMark/>
          </w:tcPr>
          <w:p w14:paraId="45459F6B"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 xml:space="preserve">The amendments to the Income Tax Act shall favour the choice of a much lower-emission car and a more equal use of light and public transport and mobility services. It shall include lower tax rates for full electric cars for the period 2021-2029, simplified taxation schemes for commuter tickets and tax-free advantages on employee bicycles for the period 2021-2025. </w:t>
            </w:r>
          </w:p>
        </w:tc>
      </w:tr>
      <w:tr w:rsidR="00DA4DC4" w:rsidRPr="00577DC1" w14:paraId="5C51DC5D" w14:textId="77777777" w:rsidTr="003E1CE8">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hideMark/>
          </w:tcPr>
          <w:p w14:paraId="2B55B0BC" w14:textId="77777777" w:rsidR="00935FC8" w:rsidRPr="00577DC1" w:rsidRDefault="00935FC8">
            <w:pPr>
              <w:spacing w:line="240" w:lineRule="auto"/>
              <w:jc w:val="center"/>
              <w:rPr>
                <w:rFonts w:ascii="Times New Roman" w:eastAsia="Times New Roman" w:hAnsi="Times New Roman"/>
                <w:noProof/>
                <w:sz w:val="20"/>
                <w:szCs w:val="20"/>
              </w:rPr>
            </w:pPr>
            <w:r w:rsidRPr="00577DC1">
              <w:rPr>
                <w:rFonts w:ascii="Times New Roman" w:hAnsi="Times New Roman"/>
                <w:noProof/>
                <w:sz w:val="20"/>
                <w:szCs w:val="20"/>
              </w:rPr>
              <w:t>38</w:t>
            </w:r>
          </w:p>
        </w:tc>
        <w:tc>
          <w:tcPr>
            <w:tcW w:w="1675" w:type="dxa"/>
            <w:tcBorders>
              <w:top w:val="single" w:sz="4" w:space="0" w:color="auto"/>
              <w:left w:val="nil"/>
              <w:bottom w:val="single" w:sz="4" w:space="0" w:color="auto"/>
              <w:right w:val="single" w:sz="4" w:space="0" w:color="auto"/>
            </w:tcBorders>
            <w:shd w:val="clear" w:color="auto" w:fill="C6EFCE"/>
            <w:noWrap/>
            <w:hideMark/>
          </w:tcPr>
          <w:p w14:paraId="1169F670"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P1C4R2 – Low-carbon solutions for cities and transport – Tax reform for sustainable transport</w:t>
            </w:r>
          </w:p>
        </w:tc>
        <w:tc>
          <w:tcPr>
            <w:tcW w:w="1024" w:type="dxa"/>
            <w:tcBorders>
              <w:top w:val="nil"/>
              <w:left w:val="nil"/>
              <w:bottom w:val="single" w:sz="4" w:space="0" w:color="auto"/>
              <w:right w:val="single" w:sz="4" w:space="0" w:color="auto"/>
            </w:tcBorders>
            <w:shd w:val="clear" w:color="auto" w:fill="C6EFCE"/>
            <w:noWrap/>
          </w:tcPr>
          <w:p w14:paraId="291FEDDF"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hAnsi="Times New Roman"/>
                <w:noProof/>
                <w:sz w:val="20"/>
                <w:szCs w:val="20"/>
              </w:rPr>
              <w:t>Milestone</w:t>
            </w:r>
          </w:p>
        </w:tc>
        <w:tc>
          <w:tcPr>
            <w:tcW w:w="1701" w:type="dxa"/>
            <w:tcBorders>
              <w:top w:val="nil"/>
              <w:left w:val="nil"/>
              <w:bottom w:val="single" w:sz="4" w:space="0" w:color="auto"/>
              <w:right w:val="single" w:sz="4" w:space="0" w:color="auto"/>
            </w:tcBorders>
            <w:shd w:val="clear" w:color="auto" w:fill="C6EFCE"/>
            <w:noWrap/>
          </w:tcPr>
          <w:p w14:paraId="48F54CEB"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Entry into force of legislative amendments to the Income Tax Act (1205/2020) regarding an exemption from tax on the charging benefit of a fully electric car or a rechargeable hybrid car</w:t>
            </w:r>
          </w:p>
        </w:tc>
        <w:tc>
          <w:tcPr>
            <w:tcW w:w="1325" w:type="dxa"/>
            <w:tcBorders>
              <w:top w:val="single" w:sz="4" w:space="0" w:color="auto"/>
              <w:left w:val="nil"/>
              <w:bottom w:val="single" w:sz="4" w:space="0" w:color="auto"/>
              <w:right w:val="single" w:sz="4" w:space="0" w:color="auto"/>
            </w:tcBorders>
            <w:shd w:val="clear" w:color="auto" w:fill="C6EFCE"/>
            <w:noWrap/>
          </w:tcPr>
          <w:p w14:paraId="0594A319"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Provision in the law indicating the entry into force of the amendments to the Act</w:t>
            </w:r>
          </w:p>
        </w:tc>
        <w:tc>
          <w:tcPr>
            <w:tcW w:w="943" w:type="dxa"/>
            <w:tcBorders>
              <w:top w:val="nil"/>
              <w:left w:val="nil"/>
              <w:bottom w:val="single" w:sz="4" w:space="0" w:color="auto"/>
              <w:right w:val="single" w:sz="4" w:space="0" w:color="auto"/>
            </w:tcBorders>
            <w:shd w:val="clear" w:color="auto" w:fill="C6EFCE"/>
            <w:noWrap/>
          </w:tcPr>
          <w:p w14:paraId="3241B3C0" w14:textId="77777777" w:rsidR="00935FC8" w:rsidRPr="00577DC1" w:rsidRDefault="00935FC8" w:rsidP="00377F11">
            <w:pPr>
              <w:spacing w:line="240" w:lineRule="auto"/>
              <w:jc w:val="center"/>
              <w:rPr>
                <w:rFonts w:ascii="Times New Roman" w:eastAsia="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1D999309" w14:textId="77777777" w:rsidR="00935FC8" w:rsidRPr="00577DC1" w:rsidRDefault="00935FC8" w:rsidP="00377F11">
            <w:pPr>
              <w:spacing w:line="240" w:lineRule="auto"/>
              <w:jc w:val="center"/>
              <w:rPr>
                <w:rFonts w:ascii="Times New Roman" w:eastAsia="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tcPr>
          <w:p w14:paraId="27AA8248" w14:textId="77777777" w:rsidR="00935FC8" w:rsidRPr="00577DC1" w:rsidRDefault="00935FC8" w:rsidP="00377F11">
            <w:pPr>
              <w:spacing w:line="240" w:lineRule="auto"/>
              <w:jc w:val="center"/>
              <w:rPr>
                <w:rFonts w:ascii="Times New Roman" w:eastAsia="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5354DEF8" w14:textId="77777777" w:rsidR="00935FC8" w:rsidRPr="00577DC1" w:rsidRDefault="00935FC8" w:rsidP="00377F11">
            <w:pPr>
              <w:spacing w:after="0" w:line="240" w:lineRule="auto"/>
              <w:jc w:val="center"/>
              <w:rPr>
                <w:rFonts w:ascii="Times New Roman" w:hAnsi="Times New Roman"/>
                <w:noProof/>
                <w:sz w:val="20"/>
                <w:szCs w:val="20"/>
              </w:rPr>
            </w:pPr>
            <w:r w:rsidRPr="00577DC1">
              <w:rPr>
                <w:rFonts w:ascii="Times New Roman" w:hAnsi="Times New Roman"/>
                <w:noProof/>
                <w:sz w:val="20"/>
                <w:szCs w:val="20"/>
              </w:rPr>
              <w:t>Q2</w:t>
            </w:r>
          </w:p>
        </w:tc>
        <w:tc>
          <w:tcPr>
            <w:tcW w:w="567" w:type="dxa"/>
            <w:tcBorders>
              <w:top w:val="nil"/>
              <w:left w:val="nil"/>
              <w:bottom w:val="single" w:sz="4" w:space="0" w:color="auto"/>
              <w:right w:val="single" w:sz="4" w:space="0" w:color="auto"/>
            </w:tcBorders>
            <w:shd w:val="clear" w:color="auto" w:fill="C6EFCE"/>
            <w:noWrap/>
          </w:tcPr>
          <w:p w14:paraId="79FAAFA0" w14:textId="77777777" w:rsidR="00935FC8" w:rsidRPr="00577DC1" w:rsidRDefault="00935FC8" w:rsidP="00377F11">
            <w:pPr>
              <w:spacing w:after="0" w:line="240" w:lineRule="auto"/>
              <w:jc w:val="center"/>
              <w:rPr>
                <w:rFonts w:ascii="Times New Roman" w:hAnsi="Times New Roman"/>
                <w:noProof/>
                <w:sz w:val="20"/>
                <w:szCs w:val="20"/>
              </w:rPr>
            </w:pPr>
            <w:r w:rsidRPr="00577DC1">
              <w:rPr>
                <w:rFonts w:ascii="Times New Roman" w:hAnsi="Times New Roman"/>
                <w:noProof/>
                <w:sz w:val="20"/>
                <w:szCs w:val="20"/>
              </w:rPr>
              <w:t>2021</w:t>
            </w:r>
          </w:p>
        </w:tc>
        <w:tc>
          <w:tcPr>
            <w:tcW w:w="4897" w:type="dxa"/>
            <w:tcBorders>
              <w:top w:val="nil"/>
              <w:left w:val="nil"/>
              <w:bottom w:val="single" w:sz="4" w:space="0" w:color="auto"/>
              <w:right w:val="single" w:sz="4" w:space="0" w:color="auto"/>
            </w:tcBorders>
            <w:shd w:val="clear" w:color="auto" w:fill="C6EFCE"/>
            <w:noWrap/>
          </w:tcPr>
          <w:p w14:paraId="21307DAB" w14:textId="77777777" w:rsidR="00935FC8" w:rsidRPr="00577DC1" w:rsidRDefault="00935FC8" w:rsidP="00A7081A">
            <w:pPr>
              <w:spacing w:line="240" w:lineRule="auto"/>
              <w:rPr>
                <w:rFonts w:ascii="Times New Roman" w:eastAsia="Times New Roman" w:hAnsi="Times New Roman"/>
                <w:noProof/>
                <w:sz w:val="20"/>
                <w:szCs w:val="20"/>
              </w:rPr>
            </w:pPr>
            <w:r w:rsidRPr="00577DC1">
              <w:rPr>
                <w:rFonts w:ascii="Times New Roman" w:eastAsia="Times New Roman" w:hAnsi="Times New Roman"/>
                <w:noProof/>
                <w:sz w:val="20"/>
                <w:szCs w:val="20"/>
              </w:rPr>
              <w:t>A temporary amendment to the Income Tax Act will support the charging of fully electric cars and rechargeable hybrid cars. As a result of the amendment, charging a fully electric car or a rechargeable hybrid car at the workplace or at a public charging point, paid by the employer, will be a tax-exempt benefit in 2021-2025. The benefit concerns the charging of the employee’s own car or a company car with limited benefit.</w:t>
            </w:r>
          </w:p>
        </w:tc>
      </w:tr>
      <w:tr w:rsidR="00DA4DC4" w:rsidRPr="00577DC1" w14:paraId="0CD5A045" w14:textId="77777777" w:rsidTr="003E1CE8">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hideMark/>
          </w:tcPr>
          <w:p w14:paraId="4B7FD46B"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39</w:t>
            </w:r>
          </w:p>
        </w:tc>
        <w:tc>
          <w:tcPr>
            <w:tcW w:w="1675" w:type="dxa"/>
            <w:tcBorders>
              <w:top w:val="single" w:sz="4" w:space="0" w:color="auto"/>
              <w:left w:val="nil"/>
              <w:bottom w:val="single" w:sz="4" w:space="0" w:color="auto"/>
              <w:right w:val="single" w:sz="4" w:space="0" w:color="auto"/>
            </w:tcBorders>
            <w:shd w:val="clear" w:color="auto" w:fill="C6EFCE"/>
            <w:noWrap/>
            <w:hideMark/>
          </w:tcPr>
          <w:p w14:paraId="0204F7A6"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P1C4I1 - Low carbon solutions for cities and transport – Public recharging and refuelling infrastructure for transport electricity and hydrogen</w:t>
            </w:r>
          </w:p>
        </w:tc>
        <w:tc>
          <w:tcPr>
            <w:tcW w:w="1024" w:type="dxa"/>
            <w:tcBorders>
              <w:top w:val="nil"/>
              <w:left w:val="nil"/>
              <w:bottom w:val="single" w:sz="4" w:space="0" w:color="auto"/>
              <w:right w:val="single" w:sz="4" w:space="0" w:color="auto"/>
            </w:tcBorders>
            <w:shd w:val="clear" w:color="auto" w:fill="C6EFCE"/>
            <w:noWrap/>
          </w:tcPr>
          <w:p w14:paraId="139D4890"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eastAsia="Times New Roman" w:hAnsi="Times New Roman"/>
                <w:noProof/>
                <w:sz w:val="20"/>
                <w:szCs w:val="20"/>
                <w:lang w:eastAsia="en-GB"/>
              </w:rPr>
              <w:t>Milestone</w:t>
            </w:r>
          </w:p>
        </w:tc>
        <w:tc>
          <w:tcPr>
            <w:tcW w:w="1701" w:type="dxa"/>
            <w:tcBorders>
              <w:top w:val="nil"/>
              <w:left w:val="nil"/>
              <w:bottom w:val="single" w:sz="4" w:space="0" w:color="auto"/>
              <w:right w:val="single" w:sz="4" w:space="0" w:color="auto"/>
            </w:tcBorders>
            <w:shd w:val="clear" w:color="auto" w:fill="C6EFCE"/>
            <w:noWrap/>
          </w:tcPr>
          <w:p w14:paraId="13F58B11" w14:textId="77777777" w:rsidR="00935FC8" w:rsidRPr="00577DC1" w:rsidRDefault="00935FC8" w:rsidP="00A7081A">
            <w:pPr>
              <w:spacing w:after="0" w:line="240" w:lineRule="auto"/>
              <w:rPr>
                <w:rFonts w:ascii="Times New Roman" w:eastAsia="Times New Roman" w:hAnsi="Times New Roman"/>
                <w:noProof/>
                <w:sz w:val="20"/>
                <w:szCs w:val="20"/>
              </w:rPr>
            </w:pPr>
            <w:r w:rsidRPr="00577DC1">
              <w:rPr>
                <w:rFonts w:ascii="Times New Roman" w:eastAsia="Times New Roman" w:hAnsi="Times New Roman"/>
                <w:noProof/>
                <w:sz w:val="20"/>
                <w:szCs w:val="20"/>
                <w:lang w:eastAsia="en-GB"/>
              </w:rPr>
              <w:t>Publication of the calls for applications to improve distribution infrastructure for electric and hydrogen vehicles</w:t>
            </w:r>
          </w:p>
        </w:tc>
        <w:tc>
          <w:tcPr>
            <w:tcW w:w="1325" w:type="dxa"/>
            <w:tcBorders>
              <w:top w:val="single" w:sz="4" w:space="0" w:color="auto"/>
              <w:left w:val="nil"/>
              <w:bottom w:val="single" w:sz="4" w:space="0" w:color="auto"/>
              <w:right w:val="single" w:sz="4" w:space="0" w:color="auto"/>
            </w:tcBorders>
            <w:shd w:val="clear" w:color="auto" w:fill="C6EFCE"/>
            <w:noWrap/>
          </w:tcPr>
          <w:p w14:paraId="4DE4D1F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eastAsia="Times New Roman" w:hAnsi="Times New Roman"/>
                <w:noProof/>
                <w:sz w:val="20"/>
                <w:szCs w:val="20"/>
                <w:lang w:eastAsia="en-GB"/>
              </w:rPr>
              <w:t>Publication of the calls for applications</w:t>
            </w:r>
          </w:p>
        </w:tc>
        <w:tc>
          <w:tcPr>
            <w:tcW w:w="943" w:type="dxa"/>
            <w:tcBorders>
              <w:top w:val="nil"/>
              <w:left w:val="nil"/>
              <w:bottom w:val="single" w:sz="4" w:space="0" w:color="auto"/>
              <w:right w:val="single" w:sz="4" w:space="0" w:color="auto"/>
            </w:tcBorders>
            <w:shd w:val="clear" w:color="auto" w:fill="C6EFCE"/>
            <w:noWrap/>
          </w:tcPr>
          <w:p w14:paraId="5E587CF9" w14:textId="77777777" w:rsidR="00935FC8" w:rsidRPr="00577DC1" w:rsidRDefault="00935FC8" w:rsidP="00377F11">
            <w:pPr>
              <w:spacing w:after="0" w:line="240" w:lineRule="auto"/>
              <w:jc w:val="center"/>
              <w:rPr>
                <w:rFonts w:ascii="Times New Roman" w:eastAsia="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03BF40CA" w14:textId="77777777" w:rsidR="00935FC8" w:rsidRPr="00577DC1" w:rsidRDefault="00935FC8" w:rsidP="00377F11">
            <w:pPr>
              <w:spacing w:after="0" w:line="240" w:lineRule="auto"/>
              <w:jc w:val="center"/>
              <w:rPr>
                <w:rFonts w:ascii="Times New Roman" w:eastAsia="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tcPr>
          <w:p w14:paraId="5B25412D" w14:textId="77777777" w:rsidR="00935FC8" w:rsidRPr="00577DC1" w:rsidRDefault="00935FC8" w:rsidP="00377F11">
            <w:pPr>
              <w:spacing w:after="0" w:line="240" w:lineRule="auto"/>
              <w:jc w:val="center"/>
              <w:rPr>
                <w:rFonts w:ascii="Times New Roman" w:eastAsia="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3F42333D" w14:textId="77777777" w:rsidR="00935FC8" w:rsidRPr="00577DC1" w:rsidRDefault="00935FC8" w:rsidP="00377F11">
            <w:pPr>
              <w:spacing w:after="0" w:line="240" w:lineRule="auto"/>
              <w:jc w:val="center"/>
              <w:rPr>
                <w:rFonts w:ascii="Times New Roman" w:eastAsia="Times New Roman" w:hAnsi="Times New Roman"/>
                <w:noProof/>
                <w:sz w:val="20"/>
                <w:szCs w:val="20"/>
                <w:lang w:eastAsia="en-GB"/>
              </w:rPr>
            </w:pPr>
            <w:r w:rsidRPr="00577DC1">
              <w:rPr>
                <w:rFonts w:ascii="Times New Roman" w:eastAsia="Times New Roman" w:hAnsi="Times New Roman"/>
                <w:noProof/>
                <w:sz w:val="20"/>
                <w:szCs w:val="20"/>
                <w:lang w:eastAsia="en-GB"/>
              </w:rPr>
              <w:t>Q2</w:t>
            </w:r>
          </w:p>
        </w:tc>
        <w:tc>
          <w:tcPr>
            <w:tcW w:w="567" w:type="dxa"/>
            <w:tcBorders>
              <w:top w:val="nil"/>
              <w:left w:val="nil"/>
              <w:bottom w:val="single" w:sz="4" w:space="0" w:color="auto"/>
              <w:right w:val="single" w:sz="4" w:space="0" w:color="auto"/>
            </w:tcBorders>
            <w:shd w:val="clear" w:color="auto" w:fill="C6EFCE"/>
            <w:noWrap/>
          </w:tcPr>
          <w:p w14:paraId="69B48778" w14:textId="77777777" w:rsidR="00935FC8" w:rsidRPr="00577DC1" w:rsidRDefault="00935FC8" w:rsidP="00377F11">
            <w:pPr>
              <w:spacing w:after="0" w:line="240" w:lineRule="auto"/>
              <w:jc w:val="center"/>
              <w:rPr>
                <w:rFonts w:ascii="Times New Roman" w:eastAsia="Times New Roman" w:hAnsi="Times New Roman"/>
                <w:noProof/>
                <w:sz w:val="20"/>
                <w:szCs w:val="20"/>
                <w:lang w:eastAsia="en-GB"/>
              </w:rPr>
            </w:pPr>
            <w:r w:rsidRPr="00577DC1">
              <w:rPr>
                <w:rFonts w:ascii="Times New Roman" w:eastAsia="Times New Roman" w:hAnsi="Times New Roman"/>
                <w:noProof/>
                <w:sz w:val="20"/>
                <w:szCs w:val="20"/>
                <w:lang w:eastAsia="en-GB"/>
              </w:rPr>
              <w:t>2022</w:t>
            </w:r>
          </w:p>
        </w:tc>
        <w:tc>
          <w:tcPr>
            <w:tcW w:w="4897" w:type="dxa"/>
            <w:tcBorders>
              <w:top w:val="nil"/>
              <w:left w:val="nil"/>
              <w:bottom w:val="single" w:sz="4" w:space="0" w:color="auto"/>
              <w:right w:val="single" w:sz="4" w:space="0" w:color="auto"/>
            </w:tcBorders>
            <w:shd w:val="clear" w:color="auto" w:fill="C6EFCE"/>
            <w:noWrap/>
          </w:tcPr>
          <w:p w14:paraId="4DBDFE67" w14:textId="77777777" w:rsidR="00935FC8" w:rsidRPr="00577DC1" w:rsidRDefault="00935FC8" w:rsidP="00A7081A">
            <w:pPr>
              <w:spacing w:after="0" w:line="240" w:lineRule="auto"/>
              <w:rPr>
                <w:rFonts w:ascii="Times New Roman" w:hAnsi="Times New Roman"/>
                <w:noProof/>
                <w:sz w:val="20"/>
                <w:szCs w:val="20"/>
              </w:rPr>
            </w:pPr>
            <w:r w:rsidRPr="00577DC1">
              <w:rPr>
                <w:rFonts w:ascii="Times New Roman" w:eastAsia="Times New Roman" w:hAnsi="Times New Roman"/>
                <w:noProof/>
                <w:sz w:val="20"/>
                <w:szCs w:val="20"/>
                <w:lang w:eastAsia="en-GB"/>
              </w:rPr>
              <w:t>Launch of the first two calls for proposals for the distribution infrastructure for</w:t>
            </w:r>
            <w:r w:rsidRPr="00577DC1" w:rsidDel="006D7742">
              <w:rPr>
                <w:rFonts w:ascii="Times New Roman" w:eastAsia="Times New Roman" w:hAnsi="Times New Roman"/>
                <w:noProof/>
                <w:sz w:val="20"/>
                <w:szCs w:val="20"/>
                <w:lang w:eastAsia="en-GB"/>
              </w:rPr>
              <w:t xml:space="preserve"> </w:t>
            </w:r>
            <w:r w:rsidRPr="00577DC1">
              <w:rPr>
                <w:rFonts w:ascii="Times New Roman" w:eastAsia="Times New Roman" w:hAnsi="Times New Roman"/>
                <w:noProof/>
                <w:sz w:val="20"/>
                <w:szCs w:val="20"/>
                <w:lang w:eastAsia="en-GB"/>
              </w:rPr>
              <w:t>electric and hydrogen vehicles, with terms of reference including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DA4DC4" w:rsidRPr="00577DC1" w14:paraId="1FC8479E" w14:textId="77777777" w:rsidTr="003E1CE8">
        <w:trPr>
          <w:trHeight w:val="309"/>
          <w:jc w:val="center"/>
        </w:trPr>
        <w:tc>
          <w:tcPr>
            <w:tcW w:w="840" w:type="dxa"/>
            <w:tcBorders>
              <w:top w:val="nil"/>
              <w:left w:val="single" w:sz="4" w:space="0" w:color="auto"/>
              <w:bottom w:val="single" w:sz="4" w:space="0" w:color="auto"/>
              <w:right w:val="single" w:sz="4" w:space="0" w:color="auto"/>
            </w:tcBorders>
            <w:shd w:val="clear" w:color="auto" w:fill="C6EFCE"/>
            <w:noWrap/>
            <w:hideMark/>
          </w:tcPr>
          <w:p w14:paraId="7A722B4A" w14:textId="77777777" w:rsidR="00935FC8" w:rsidRPr="00577DC1" w:rsidRDefault="00935FC8">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40</w:t>
            </w:r>
          </w:p>
        </w:tc>
        <w:tc>
          <w:tcPr>
            <w:tcW w:w="1675" w:type="dxa"/>
            <w:tcBorders>
              <w:top w:val="nil"/>
              <w:left w:val="nil"/>
              <w:bottom w:val="single" w:sz="4" w:space="0" w:color="auto"/>
              <w:right w:val="single" w:sz="4" w:space="0" w:color="auto"/>
            </w:tcBorders>
            <w:shd w:val="clear" w:color="auto" w:fill="C6EFCE"/>
            <w:noWrap/>
            <w:hideMark/>
          </w:tcPr>
          <w:p w14:paraId="08F3A6E1"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P1C4I1 - Low carbon solutions for cities and transport – Public recharging and refuelling infrastructure for transport electricity and hydrogen</w:t>
            </w:r>
          </w:p>
        </w:tc>
        <w:tc>
          <w:tcPr>
            <w:tcW w:w="1024" w:type="dxa"/>
            <w:tcBorders>
              <w:top w:val="nil"/>
              <w:left w:val="nil"/>
              <w:bottom w:val="single" w:sz="4" w:space="0" w:color="auto"/>
              <w:right w:val="single" w:sz="4" w:space="0" w:color="auto"/>
            </w:tcBorders>
            <w:shd w:val="clear" w:color="auto" w:fill="C6EFCE"/>
            <w:noWrap/>
            <w:hideMark/>
          </w:tcPr>
          <w:p w14:paraId="0655B5EC" w14:textId="77777777"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Target</w:t>
            </w:r>
          </w:p>
        </w:tc>
        <w:tc>
          <w:tcPr>
            <w:tcW w:w="1701" w:type="dxa"/>
            <w:tcBorders>
              <w:top w:val="nil"/>
              <w:left w:val="nil"/>
              <w:bottom w:val="single" w:sz="4" w:space="0" w:color="auto"/>
              <w:right w:val="single" w:sz="4" w:space="0" w:color="auto"/>
            </w:tcBorders>
            <w:shd w:val="clear" w:color="auto" w:fill="C6EFCE"/>
            <w:noWrap/>
            <w:hideMark/>
          </w:tcPr>
          <w:p w14:paraId="2130CA58" w14:textId="3C4A183C" w:rsidR="00935FC8" w:rsidRPr="00577DC1" w:rsidRDefault="00935FC8" w:rsidP="00A7081A">
            <w:pPr>
              <w:spacing w:after="0" w:line="240" w:lineRule="auto"/>
              <w:rPr>
                <w:rFonts w:ascii="Times New Roman" w:eastAsia="Times New Roman" w:hAnsi="Times New Roman"/>
                <w:noProof/>
                <w:sz w:val="20"/>
                <w:szCs w:val="20"/>
                <w:lang w:eastAsia="en-GB"/>
              </w:rPr>
            </w:pPr>
            <w:r w:rsidRPr="00577DC1">
              <w:rPr>
                <w:rFonts w:ascii="Times New Roman" w:hAnsi="Times New Roman"/>
                <w:noProof/>
                <w:sz w:val="20"/>
                <w:szCs w:val="20"/>
              </w:rPr>
              <w:t>Budget committed for electric vehicles chargers and/or</w:t>
            </w:r>
            <w:r w:rsidRPr="00577DC1" w:rsidDel="00480FB5">
              <w:rPr>
                <w:rFonts w:ascii="Times New Roman" w:hAnsi="Times New Roman"/>
                <w:noProof/>
                <w:sz w:val="20"/>
                <w:szCs w:val="20"/>
              </w:rPr>
              <w:t xml:space="preserve"> </w:t>
            </w:r>
            <w:r w:rsidRPr="00577DC1">
              <w:rPr>
                <w:rFonts w:ascii="Times New Roman" w:hAnsi="Times New Roman"/>
                <w:noProof/>
                <w:sz w:val="20"/>
                <w:szCs w:val="20"/>
              </w:rPr>
              <w:t>hydrogen refuelling points</w:t>
            </w:r>
          </w:p>
        </w:tc>
        <w:tc>
          <w:tcPr>
            <w:tcW w:w="1325" w:type="dxa"/>
            <w:tcBorders>
              <w:top w:val="nil"/>
              <w:left w:val="nil"/>
              <w:bottom w:val="single" w:sz="4" w:space="0" w:color="auto"/>
              <w:right w:val="single" w:sz="4" w:space="0" w:color="auto"/>
            </w:tcBorders>
            <w:shd w:val="clear" w:color="auto" w:fill="C6EFCE"/>
            <w:noWrap/>
          </w:tcPr>
          <w:p w14:paraId="67CF60DE" w14:textId="77777777" w:rsidR="00935FC8" w:rsidRPr="00577DC1" w:rsidRDefault="00935FC8" w:rsidP="00A7081A">
            <w:pPr>
              <w:spacing w:after="0" w:line="240" w:lineRule="auto"/>
              <w:rPr>
                <w:rFonts w:ascii="Times New Roman" w:eastAsia="Times New Roman" w:hAnsi="Times New Roman"/>
                <w:noProof/>
                <w:sz w:val="20"/>
                <w:szCs w:val="20"/>
                <w:lang w:eastAsia="en-GB"/>
              </w:rPr>
            </w:pPr>
          </w:p>
        </w:tc>
        <w:tc>
          <w:tcPr>
            <w:tcW w:w="943" w:type="dxa"/>
            <w:tcBorders>
              <w:top w:val="nil"/>
              <w:left w:val="nil"/>
              <w:bottom w:val="single" w:sz="4" w:space="0" w:color="auto"/>
              <w:right w:val="single" w:sz="4" w:space="0" w:color="auto"/>
            </w:tcBorders>
            <w:shd w:val="clear" w:color="auto" w:fill="C6EFCE"/>
            <w:noWrap/>
          </w:tcPr>
          <w:p w14:paraId="19C408C1" w14:textId="77777777" w:rsidR="00935FC8" w:rsidRPr="00577DC1" w:rsidRDefault="00935FC8" w:rsidP="00377F11">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EUR</w:t>
            </w:r>
          </w:p>
        </w:tc>
        <w:tc>
          <w:tcPr>
            <w:tcW w:w="851" w:type="dxa"/>
            <w:tcBorders>
              <w:top w:val="nil"/>
              <w:left w:val="nil"/>
              <w:bottom w:val="single" w:sz="4" w:space="0" w:color="auto"/>
              <w:right w:val="single" w:sz="4" w:space="0" w:color="auto"/>
            </w:tcBorders>
            <w:shd w:val="clear" w:color="auto" w:fill="C6EFCE"/>
            <w:noWrap/>
            <w:hideMark/>
          </w:tcPr>
          <w:p w14:paraId="1090A15E" w14:textId="77777777" w:rsidR="00935FC8" w:rsidRPr="00577DC1" w:rsidRDefault="00935FC8" w:rsidP="00377F11">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0</w:t>
            </w:r>
          </w:p>
        </w:tc>
        <w:tc>
          <w:tcPr>
            <w:tcW w:w="850" w:type="dxa"/>
            <w:tcBorders>
              <w:top w:val="nil"/>
              <w:left w:val="nil"/>
              <w:bottom w:val="single" w:sz="4" w:space="0" w:color="auto"/>
              <w:right w:val="single" w:sz="4" w:space="0" w:color="auto"/>
            </w:tcBorders>
            <w:shd w:val="clear" w:color="auto" w:fill="C6EFCE"/>
            <w:noWrap/>
          </w:tcPr>
          <w:p w14:paraId="178B510B" w14:textId="77777777" w:rsidR="00935FC8" w:rsidRPr="00DA4DC4" w:rsidRDefault="00935FC8" w:rsidP="00377F11">
            <w:pPr>
              <w:spacing w:after="0" w:line="240" w:lineRule="auto"/>
              <w:jc w:val="center"/>
              <w:rPr>
                <w:rFonts w:ascii="Times New Roman" w:eastAsia="Times New Roman" w:hAnsi="Times New Roman"/>
                <w:noProof/>
                <w:sz w:val="18"/>
                <w:szCs w:val="18"/>
                <w:lang w:eastAsia="en-GB"/>
              </w:rPr>
            </w:pPr>
            <w:r w:rsidRPr="00DA4DC4">
              <w:rPr>
                <w:rFonts w:ascii="Times New Roman" w:hAnsi="Times New Roman"/>
                <w:noProof/>
                <w:sz w:val="18"/>
                <w:szCs w:val="18"/>
              </w:rPr>
              <w:t>8 665 000</w:t>
            </w:r>
          </w:p>
        </w:tc>
        <w:tc>
          <w:tcPr>
            <w:tcW w:w="851" w:type="dxa"/>
            <w:tcBorders>
              <w:top w:val="nil"/>
              <w:left w:val="nil"/>
              <w:bottom w:val="single" w:sz="4" w:space="0" w:color="auto"/>
              <w:right w:val="single" w:sz="4" w:space="0" w:color="auto"/>
            </w:tcBorders>
            <w:shd w:val="clear" w:color="auto" w:fill="C6EFCE"/>
            <w:noWrap/>
            <w:hideMark/>
          </w:tcPr>
          <w:p w14:paraId="56B0C7D2" w14:textId="77777777" w:rsidR="00935FC8" w:rsidRPr="00577DC1" w:rsidRDefault="00935FC8" w:rsidP="00377F11">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Q2</w:t>
            </w:r>
          </w:p>
        </w:tc>
        <w:tc>
          <w:tcPr>
            <w:tcW w:w="567" w:type="dxa"/>
            <w:tcBorders>
              <w:top w:val="nil"/>
              <w:left w:val="nil"/>
              <w:bottom w:val="single" w:sz="4" w:space="0" w:color="auto"/>
              <w:right w:val="single" w:sz="4" w:space="0" w:color="auto"/>
            </w:tcBorders>
            <w:shd w:val="clear" w:color="auto" w:fill="C6EFCE"/>
            <w:noWrap/>
            <w:hideMark/>
          </w:tcPr>
          <w:p w14:paraId="56EE9F4D" w14:textId="77777777" w:rsidR="00935FC8" w:rsidRPr="00577DC1" w:rsidRDefault="00935FC8" w:rsidP="00377F11">
            <w:pPr>
              <w:spacing w:after="0" w:line="240" w:lineRule="auto"/>
              <w:jc w:val="center"/>
              <w:rPr>
                <w:rFonts w:ascii="Times New Roman" w:eastAsia="Times New Roman" w:hAnsi="Times New Roman"/>
                <w:noProof/>
                <w:sz w:val="20"/>
                <w:szCs w:val="20"/>
                <w:lang w:eastAsia="en-GB"/>
              </w:rPr>
            </w:pPr>
            <w:r w:rsidRPr="00577DC1">
              <w:rPr>
                <w:rFonts w:ascii="Times New Roman" w:hAnsi="Times New Roman"/>
                <w:noProof/>
                <w:sz w:val="20"/>
                <w:szCs w:val="20"/>
              </w:rPr>
              <w:t>2025</w:t>
            </w:r>
          </w:p>
        </w:tc>
        <w:tc>
          <w:tcPr>
            <w:tcW w:w="4897" w:type="dxa"/>
            <w:tcBorders>
              <w:top w:val="nil"/>
              <w:left w:val="nil"/>
              <w:bottom w:val="single" w:sz="4" w:space="0" w:color="auto"/>
              <w:right w:val="single" w:sz="4" w:space="0" w:color="auto"/>
            </w:tcBorders>
            <w:shd w:val="clear" w:color="auto" w:fill="C6EFCE"/>
            <w:noWrap/>
            <w:hideMark/>
          </w:tcPr>
          <w:p w14:paraId="1B6228EA" w14:textId="12D31344" w:rsidR="00935FC8" w:rsidRPr="00577DC1" w:rsidRDefault="00935FC8" w:rsidP="00A7081A">
            <w:pPr>
              <w:spacing w:line="240" w:lineRule="auto"/>
              <w:rPr>
                <w:rFonts w:ascii="Times New Roman" w:eastAsia="Times New Roman" w:hAnsi="Times New Roman"/>
                <w:noProof/>
                <w:sz w:val="20"/>
                <w:szCs w:val="20"/>
                <w:lang w:eastAsia="en-GB"/>
              </w:rPr>
            </w:pPr>
            <w:r w:rsidRPr="00577DC1">
              <w:rPr>
                <w:rFonts w:ascii="Times New Roman" w:eastAsia="Times New Roman" w:hAnsi="Times New Roman"/>
                <w:noProof/>
                <w:sz w:val="20"/>
                <w:szCs w:val="20"/>
              </w:rPr>
              <w:t>At least EUR</w:t>
            </w:r>
            <w:r w:rsidR="00996B3D" w:rsidRPr="00577DC1">
              <w:rPr>
                <w:rFonts w:ascii="Times New Roman" w:hAnsi="Times New Roman"/>
                <w:noProof/>
                <w:sz w:val="20"/>
                <w:szCs w:val="20"/>
              </w:rPr>
              <w:t> </w:t>
            </w:r>
            <w:r w:rsidRPr="00577DC1">
              <w:rPr>
                <w:rFonts w:ascii="Times New Roman" w:eastAsia="Times New Roman" w:hAnsi="Times New Roman"/>
                <w:noProof/>
                <w:sz w:val="20"/>
                <w:szCs w:val="20"/>
              </w:rPr>
              <w:t>8</w:t>
            </w:r>
            <w:r w:rsidRPr="00577DC1">
              <w:rPr>
                <w:rFonts w:ascii="Times New Roman" w:hAnsi="Times New Roman"/>
                <w:noProof/>
                <w:sz w:val="20"/>
                <w:szCs w:val="20"/>
              </w:rPr>
              <w:t> </w:t>
            </w:r>
            <w:r w:rsidRPr="00577DC1">
              <w:rPr>
                <w:rFonts w:ascii="Times New Roman" w:eastAsia="Times New Roman" w:hAnsi="Times New Roman"/>
                <w:noProof/>
                <w:sz w:val="20"/>
                <w:szCs w:val="20"/>
              </w:rPr>
              <w:t>665</w:t>
            </w:r>
            <w:r w:rsidRPr="00577DC1">
              <w:rPr>
                <w:rFonts w:ascii="Times New Roman" w:hAnsi="Times New Roman"/>
                <w:noProof/>
                <w:sz w:val="20"/>
                <w:szCs w:val="20"/>
              </w:rPr>
              <w:t> </w:t>
            </w:r>
            <w:r w:rsidRPr="00577DC1">
              <w:rPr>
                <w:rFonts w:ascii="Times New Roman" w:eastAsia="Times New Roman" w:hAnsi="Times New Roman"/>
                <w:noProof/>
                <w:sz w:val="20"/>
                <w:szCs w:val="20"/>
              </w:rPr>
              <w:t>000 has been committed by the Finnish Energy Authority through funding decisions for electric vehicle charger projects.</w:t>
            </w:r>
          </w:p>
        </w:tc>
      </w:tr>
    </w:tbl>
    <w:p w14:paraId="61702B20" w14:textId="77777777" w:rsidR="00935FC8" w:rsidRDefault="00935FC8">
      <w:pPr>
        <w:rPr>
          <w:rFonts w:ascii="Times New Roman" w:hAnsi="Times New Roman"/>
          <w:noProof/>
          <w:sz w:val="24"/>
        </w:rPr>
        <w:sectPr w:rsidR="00935FC8" w:rsidSect="00A7081A">
          <w:headerReference w:type="even" r:id="rId59"/>
          <w:headerReference w:type="default" r:id="rId60"/>
          <w:footerReference w:type="even" r:id="rId61"/>
          <w:footerReference w:type="default" r:id="rId62"/>
          <w:headerReference w:type="first" r:id="rId63"/>
          <w:footerReference w:type="first" r:id="rId64"/>
          <w:pgSz w:w="16839" w:h="11907" w:orient="landscape" w:code="9"/>
          <w:pgMar w:top="1134" w:right="1134" w:bottom="1134" w:left="1134" w:header="567" w:footer="567" w:gutter="0"/>
          <w:cols w:space="720"/>
          <w:docGrid w:linePitch="360"/>
        </w:sectPr>
      </w:pPr>
    </w:p>
    <w:p w14:paraId="27334358" w14:textId="77777777" w:rsidR="00935FC8" w:rsidRPr="00693DD5" w:rsidRDefault="00935FC8">
      <w:pPr>
        <w:pStyle w:val="Heading4"/>
        <w:numPr>
          <w:ilvl w:val="0"/>
          <w:numId w:val="0"/>
        </w:numPr>
        <w:rPr>
          <w:b/>
          <w:noProof/>
        </w:rPr>
      </w:pPr>
      <w:r w:rsidRPr="00693DD5">
        <w:rPr>
          <w:b/>
          <w:noProof/>
        </w:rPr>
        <w:t xml:space="preserve">E. COMPONENT P1C5: ENVIRONMENTAL SUSTAINABILITY AND NATURE —BASED SOLUTIONS </w:t>
      </w:r>
    </w:p>
    <w:p w14:paraId="74AB3CD7" w14:textId="77777777" w:rsidR="00935FC8" w:rsidRPr="00693DD5" w:rsidRDefault="00935FC8">
      <w:pPr>
        <w:spacing w:before="120" w:after="120" w:line="240" w:lineRule="auto"/>
        <w:jc w:val="both"/>
        <w:rPr>
          <w:rFonts w:ascii="Times New Roman" w:hAnsi="Times New Roman"/>
          <w:iCs/>
          <w:noProof/>
          <w:sz w:val="24"/>
          <w:szCs w:val="24"/>
        </w:rPr>
      </w:pPr>
      <w:r w:rsidRPr="00693DD5">
        <w:rPr>
          <w:rFonts w:ascii="Times New Roman" w:hAnsi="Times New Roman"/>
          <w:iCs/>
          <w:noProof/>
          <w:sz w:val="24"/>
        </w:rPr>
        <w:t xml:space="preserve">The Finnish government has set a target of halting biodiversity loss by 2030. </w:t>
      </w:r>
      <w:r w:rsidRPr="00693DD5">
        <w:rPr>
          <w:rFonts w:ascii="Times New Roman" w:hAnsi="Times New Roman"/>
          <w:iCs/>
          <w:noProof/>
          <w:sz w:val="24"/>
          <w:szCs w:val="24"/>
        </w:rPr>
        <w:t>The overall goal of this component of the Finnish recovery and resilience plan is to contribute to halting the loss of biodiversity caused by intensive use of natural resources as well as combating pollution of the Baltic Sea.</w:t>
      </w:r>
    </w:p>
    <w:p w14:paraId="6849F4F2" w14:textId="77777777" w:rsidR="00935FC8" w:rsidRPr="00693DD5" w:rsidRDefault="00935FC8">
      <w:pPr>
        <w:spacing w:before="120" w:after="120" w:line="240" w:lineRule="auto"/>
        <w:jc w:val="both"/>
        <w:rPr>
          <w:rFonts w:ascii="Times New Roman" w:hAnsi="Times New Roman"/>
          <w:iCs/>
          <w:noProof/>
          <w:sz w:val="24"/>
        </w:rPr>
      </w:pPr>
      <w:r w:rsidRPr="00693DD5">
        <w:rPr>
          <w:rFonts w:ascii="Times New Roman" w:hAnsi="Times New Roman"/>
          <w:iCs/>
          <w:noProof/>
          <w:sz w:val="24"/>
          <w:szCs w:val="24"/>
        </w:rPr>
        <w:t xml:space="preserve">The component includes investments </w:t>
      </w:r>
      <w:r w:rsidRPr="00693DD5">
        <w:rPr>
          <w:rFonts w:ascii="Times New Roman" w:hAnsi="Times New Roman"/>
          <w:iCs/>
          <w:noProof/>
          <w:sz w:val="24"/>
        </w:rPr>
        <w:t xml:space="preserve">that aim at promoting innovative solutions to combat pollution, such as using gypsum, an industrial by-product to reduce the phosphorus concentration in the Baltic Sea, as well as at developing climate-sustainable forest management. These investments are complemented by a reform of the nature conservation act. This act shall provide a legal basis for the national biodiversity strategy and it shall aim at strengthening biodiversity. </w:t>
      </w:r>
    </w:p>
    <w:p w14:paraId="7846D708" w14:textId="77777777" w:rsidR="00935FC8" w:rsidRPr="00693DD5" w:rsidRDefault="00935FC8">
      <w:pPr>
        <w:spacing w:before="120" w:after="120" w:line="240" w:lineRule="auto"/>
        <w:jc w:val="both"/>
        <w:rPr>
          <w:rFonts w:ascii="Times New Roman" w:hAnsi="Times New Roman"/>
          <w:noProof/>
          <w:sz w:val="24"/>
          <w:szCs w:val="24"/>
        </w:rPr>
      </w:pPr>
      <w:r w:rsidRPr="00693DD5">
        <w:rPr>
          <w:rFonts w:ascii="Times New Roman" w:hAnsi="Times New Roman"/>
          <w:noProof/>
          <w:sz w:val="24"/>
          <w:szCs w:val="24"/>
        </w:rPr>
        <w:t>The component contributes to addressing Country Specific Recommendations on focusing investment on the green transition (Country Specific Recommendation 3 2020).</w:t>
      </w:r>
    </w:p>
    <w:p w14:paraId="50B4360E" w14:textId="77777777" w:rsidR="00935FC8" w:rsidRPr="00693DD5" w:rsidRDefault="00935FC8">
      <w:pPr>
        <w:spacing w:before="120" w:after="120" w:line="240" w:lineRule="auto"/>
        <w:jc w:val="both"/>
        <w:rPr>
          <w:rFonts w:ascii="Times New Roman" w:hAnsi="Times New Roman"/>
          <w:noProof/>
          <w:sz w:val="24"/>
          <w:szCs w:val="24"/>
        </w:rPr>
      </w:pPr>
      <w:r w:rsidRPr="00693DD5">
        <w:rPr>
          <w:rFonts w:ascii="Times New Roman" w:hAnsi="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2C8AA382" w14:textId="77777777" w:rsidR="00935FC8" w:rsidRPr="00693DD5" w:rsidRDefault="00935FC8">
      <w:pPr>
        <w:spacing w:before="120" w:after="120" w:line="240" w:lineRule="auto"/>
        <w:jc w:val="both"/>
        <w:rPr>
          <w:rFonts w:ascii="Times New Roman" w:hAnsi="Times New Roman"/>
          <w:b/>
          <w:i/>
          <w:noProof/>
          <w:color w:val="4F81BD"/>
          <w:sz w:val="24"/>
        </w:rPr>
      </w:pPr>
      <w:r w:rsidRPr="00693DD5">
        <w:rPr>
          <w:rFonts w:ascii="Times New Roman" w:hAnsi="Times New Roman"/>
          <w:b/>
          <w:noProof/>
          <w:sz w:val="24"/>
          <w:u w:val="single"/>
        </w:rPr>
        <w:t xml:space="preserve">E.1. </w:t>
      </w:r>
      <w:r w:rsidRPr="00693DD5">
        <w:rPr>
          <w:rFonts w:ascii="Times New Roman" w:hAnsi="Times New Roman"/>
          <w:b/>
          <w:noProof/>
          <w:sz w:val="24"/>
          <w:u w:val="single"/>
        </w:rPr>
        <w:tab/>
        <w:t>Description of the reforms and investments for non-repayable financial support</w:t>
      </w:r>
    </w:p>
    <w:p w14:paraId="5DAF85B2" w14:textId="77777777" w:rsidR="00935FC8" w:rsidRPr="00693DD5"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 xml:space="preserve">Reform 1 </w:t>
      </w:r>
      <w:bookmarkStart w:id="7" w:name="_Hlk213071768"/>
      <w:r w:rsidRPr="00D0136A">
        <w:rPr>
          <w:rFonts w:ascii="Times New Roman" w:hAnsi="Times New Roman"/>
          <w:noProof/>
          <w:sz w:val="24"/>
          <w:szCs w:val="24"/>
          <w:u w:val="single"/>
        </w:rPr>
        <w:t>(P1C5R1</w:t>
      </w:r>
      <w:bookmarkEnd w:id="7"/>
      <w:r w:rsidRPr="00D0136A">
        <w:rPr>
          <w:rFonts w:ascii="Times New Roman" w:hAnsi="Times New Roman"/>
          <w:noProof/>
          <w:sz w:val="24"/>
          <w:szCs w:val="24"/>
          <w:u w:val="single"/>
        </w:rPr>
        <w:t>):</w:t>
      </w:r>
      <w:r w:rsidRPr="00693DD5">
        <w:rPr>
          <w:rFonts w:ascii="Times New Roman" w:hAnsi="Times New Roman"/>
          <w:noProof/>
          <w:sz w:val="24"/>
          <w:szCs w:val="24"/>
          <w:u w:val="single"/>
        </w:rPr>
        <w:t xml:space="preserve"> Modernisation of nature conservation legislation</w:t>
      </w:r>
    </w:p>
    <w:p w14:paraId="31A8E4D7" w14:textId="77777777" w:rsidR="00935FC8" w:rsidRPr="00693DD5" w:rsidRDefault="00935FC8" w:rsidP="00A7081A">
      <w:pPr>
        <w:spacing w:before="120" w:after="120" w:line="240" w:lineRule="auto"/>
        <w:jc w:val="both"/>
        <w:rPr>
          <w:rFonts w:ascii="Times New Roman" w:hAnsi="Times New Roman"/>
          <w:noProof/>
          <w:sz w:val="24"/>
          <w:szCs w:val="24"/>
        </w:rPr>
      </w:pPr>
      <w:r w:rsidRPr="00693DD5">
        <w:rPr>
          <w:rFonts w:ascii="Times New Roman" w:hAnsi="Times New Roman"/>
          <w:noProof/>
          <w:sz w:val="24"/>
          <w:szCs w:val="24"/>
        </w:rPr>
        <w:t>Finland does not currently have a legal basis</w:t>
      </w:r>
      <w:r w:rsidRPr="00374BE0">
        <w:rPr>
          <w:rFonts w:ascii="Times New Roman" w:hAnsi="Times New Roman"/>
          <w:noProof/>
          <w:sz w:val="24"/>
          <w:szCs w:val="24"/>
        </w:rPr>
        <w:t xml:space="preserve"> </w:t>
      </w:r>
      <w:r w:rsidRPr="00693DD5">
        <w:rPr>
          <w:rFonts w:ascii="Times New Roman" w:hAnsi="Times New Roman"/>
          <w:noProof/>
          <w:sz w:val="24"/>
          <w:szCs w:val="24"/>
        </w:rPr>
        <w:t>for</w:t>
      </w:r>
      <w:r w:rsidRPr="00374BE0">
        <w:rPr>
          <w:rFonts w:ascii="Times New Roman" w:hAnsi="Times New Roman"/>
          <w:noProof/>
          <w:sz w:val="24"/>
          <w:szCs w:val="24"/>
        </w:rPr>
        <w:t xml:space="preserve"> </w:t>
      </w:r>
      <w:r w:rsidRPr="00693DD5">
        <w:rPr>
          <w:rFonts w:ascii="Times New Roman" w:hAnsi="Times New Roman"/>
          <w:noProof/>
          <w:sz w:val="24"/>
          <w:szCs w:val="24"/>
        </w:rPr>
        <w:t>the</w:t>
      </w:r>
      <w:r w:rsidRPr="00374BE0">
        <w:rPr>
          <w:rFonts w:ascii="Times New Roman" w:hAnsi="Times New Roman"/>
          <w:noProof/>
          <w:sz w:val="24"/>
          <w:szCs w:val="24"/>
        </w:rPr>
        <w:t xml:space="preserve"> </w:t>
      </w:r>
      <w:r w:rsidRPr="00693DD5">
        <w:rPr>
          <w:rFonts w:ascii="Times New Roman" w:hAnsi="Times New Roman"/>
          <w:noProof/>
          <w:sz w:val="24"/>
          <w:szCs w:val="24"/>
        </w:rPr>
        <w:t>national biodiversity strategy and</w:t>
      </w:r>
      <w:r w:rsidRPr="00374BE0">
        <w:rPr>
          <w:rFonts w:ascii="Times New Roman" w:hAnsi="Times New Roman"/>
          <w:noProof/>
          <w:sz w:val="24"/>
          <w:szCs w:val="24"/>
        </w:rPr>
        <w:t xml:space="preserve"> </w:t>
      </w:r>
      <w:r w:rsidRPr="00693DD5">
        <w:rPr>
          <w:rFonts w:ascii="Times New Roman" w:hAnsi="Times New Roman"/>
          <w:noProof/>
          <w:sz w:val="24"/>
          <w:szCs w:val="24"/>
        </w:rPr>
        <w:t>for</w:t>
      </w:r>
      <w:r w:rsidRPr="00374BE0">
        <w:rPr>
          <w:rFonts w:ascii="Times New Roman" w:hAnsi="Times New Roman"/>
          <w:noProof/>
          <w:sz w:val="24"/>
          <w:szCs w:val="24"/>
        </w:rPr>
        <w:t xml:space="preserve"> </w:t>
      </w:r>
      <w:r w:rsidRPr="00693DD5">
        <w:rPr>
          <w:rFonts w:ascii="Times New Roman" w:hAnsi="Times New Roman"/>
          <w:noProof/>
          <w:sz w:val="24"/>
          <w:szCs w:val="24"/>
        </w:rPr>
        <w:t>voluntary</w:t>
      </w:r>
      <w:r w:rsidRPr="00374BE0">
        <w:rPr>
          <w:rFonts w:ascii="Times New Roman" w:hAnsi="Times New Roman"/>
          <w:noProof/>
          <w:sz w:val="24"/>
          <w:szCs w:val="24"/>
        </w:rPr>
        <w:t xml:space="preserve"> </w:t>
      </w:r>
      <w:r w:rsidRPr="00693DD5">
        <w:rPr>
          <w:rFonts w:ascii="Times New Roman" w:hAnsi="Times New Roman"/>
          <w:noProof/>
          <w:sz w:val="24"/>
          <w:szCs w:val="24"/>
        </w:rPr>
        <w:t>nature conservation measures,</w:t>
      </w:r>
      <w:r w:rsidRPr="00374BE0">
        <w:rPr>
          <w:rFonts w:ascii="Times New Roman" w:hAnsi="Times New Roman"/>
          <w:noProof/>
          <w:sz w:val="24"/>
          <w:szCs w:val="24"/>
        </w:rPr>
        <w:t xml:space="preserve"> </w:t>
      </w:r>
      <w:r w:rsidRPr="00693DD5">
        <w:rPr>
          <w:rFonts w:ascii="Times New Roman" w:hAnsi="Times New Roman"/>
          <w:noProof/>
          <w:sz w:val="24"/>
          <w:szCs w:val="24"/>
        </w:rPr>
        <w:t>including</w:t>
      </w:r>
      <w:r w:rsidRPr="00374BE0">
        <w:rPr>
          <w:rFonts w:ascii="Times New Roman" w:hAnsi="Times New Roman"/>
          <w:noProof/>
          <w:sz w:val="24"/>
          <w:szCs w:val="24"/>
        </w:rPr>
        <w:t xml:space="preserve"> </w:t>
      </w:r>
      <w:r w:rsidRPr="00693DD5">
        <w:rPr>
          <w:rFonts w:ascii="Times New Roman" w:hAnsi="Times New Roman"/>
          <w:noProof/>
          <w:sz w:val="24"/>
          <w:szCs w:val="24"/>
        </w:rPr>
        <w:t>restoration</w:t>
      </w:r>
      <w:r w:rsidRPr="00374BE0">
        <w:rPr>
          <w:rFonts w:ascii="Times New Roman" w:hAnsi="Times New Roman"/>
          <w:noProof/>
          <w:sz w:val="24"/>
          <w:szCs w:val="24"/>
        </w:rPr>
        <w:t xml:space="preserve"> </w:t>
      </w:r>
      <w:r w:rsidRPr="00693DD5">
        <w:rPr>
          <w:rFonts w:ascii="Times New Roman" w:hAnsi="Times New Roman"/>
          <w:noProof/>
          <w:sz w:val="24"/>
          <w:szCs w:val="24"/>
        </w:rPr>
        <w:t>and</w:t>
      </w:r>
      <w:r w:rsidRPr="00374BE0">
        <w:rPr>
          <w:rFonts w:ascii="Times New Roman" w:hAnsi="Times New Roman"/>
          <w:noProof/>
          <w:sz w:val="24"/>
          <w:szCs w:val="24"/>
        </w:rPr>
        <w:t xml:space="preserve"> </w:t>
      </w:r>
      <w:r w:rsidRPr="00693DD5">
        <w:rPr>
          <w:rFonts w:ascii="Times New Roman" w:hAnsi="Times New Roman"/>
          <w:noProof/>
          <w:sz w:val="24"/>
          <w:szCs w:val="24"/>
        </w:rPr>
        <w:t>active natural</w:t>
      </w:r>
      <w:r w:rsidRPr="00374BE0">
        <w:rPr>
          <w:rFonts w:ascii="Times New Roman" w:hAnsi="Times New Roman"/>
          <w:noProof/>
          <w:sz w:val="24"/>
          <w:szCs w:val="24"/>
        </w:rPr>
        <w:t xml:space="preserve"> </w:t>
      </w:r>
      <w:r w:rsidRPr="00693DD5">
        <w:rPr>
          <w:rFonts w:ascii="Times New Roman" w:hAnsi="Times New Roman"/>
          <w:noProof/>
          <w:sz w:val="24"/>
          <w:szCs w:val="24"/>
        </w:rPr>
        <w:t>management</w:t>
      </w:r>
      <w:r w:rsidRPr="00374BE0">
        <w:rPr>
          <w:rFonts w:ascii="Times New Roman" w:hAnsi="Times New Roman"/>
          <w:noProof/>
          <w:sz w:val="24"/>
          <w:szCs w:val="24"/>
        </w:rPr>
        <w:t xml:space="preserve"> </w:t>
      </w:r>
      <w:r w:rsidRPr="00693DD5">
        <w:rPr>
          <w:rFonts w:ascii="Times New Roman" w:hAnsi="Times New Roman"/>
          <w:noProof/>
          <w:sz w:val="24"/>
          <w:szCs w:val="24"/>
        </w:rPr>
        <w:t xml:space="preserve">measures. Finland shall update the Nature Conservation Act (1096/1996) to respond better to current needs in order to strengthen biodiversity. Legislative amendments to the </w:t>
      </w:r>
      <w:r w:rsidRPr="00D0136A">
        <w:rPr>
          <w:rFonts w:ascii="Times New Roman" w:hAnsi="Times New Roman"/>
          <w:noProof/>
          <w:sz w:val="24"/>
          <w:szCs w:val="24"/>
        </w:rPr>
        <w:t>Act aim</w:t>
      </w:r>
      <w:r w:rsidRPr="00693DD5">
        <w:rPr>
          <w:rFonts w:ascii="Times New Roman" w:hAnsi="Times New Roman"/>
          <w:noProof/>
          <w:sz w:val="24"/>
          <w:szCs w:val="24"/>
        </w:rPr>
        <w:t xml:space="preserve"> to ensure that decision-making takes better account of the preservation of biodiversity outside nature conservation areas and the maintenance of ecosystem services. In addition, new measures shall be adopted to enhance the effectiveness of the conservation of habitats and species. </w:t>
      </w:r>
    </w:p>
    <w:p w14:paraId="375FEA84" w14:textId="3B99D1AB" w:rsidR="00935FC8" w:rsidRPr="00374BE0" w:rsidRDefault="00935FC8">
      <w:pPr>
        <w:spacing w:before="120" w:after="120" w:line="240" w:lineRule="auto"/>
        <w:jc w:val="both"/>
        <w:rPr>
          <w:rFonts w:ascii="Times New Roman" w:hAnsi="Times New Roman"/>
          <w:noProof/>
          <w:sz w:val="24"/>
          <w:szCs w:val="24"/>
        </w:rPr>
      </w:pPr>
      <w:r w:rsidRPr="00374BE0">
        <w:rPr>
          <w:rFonts w:ascii="Times New Roman" w:hAnsi="Times New Roman"/>
          <w:noProof/>
          <w:sz w:val="24"/>
          <w:szCs w:val="24"/>
        </w:rPr>
        <w:t>The government shall submit the new Nature Conservation Act to Parliament by</w:t>
      </w:r>
      <w:r w:rsidR="00377F11">
        <w:rPr>
          <w:rFonts w:ascii="Times New Roman" w:hAnsi="Times New Roman"/>
          <w:noProof/>
          <w:sz w:val="24"/>
          <w:szCs w:val="24"/>
        </w:rPr>
        <w:t xml:space="preserve"> </w:t>
      </w:r>
      <w:r w:rsidRPr="00374BE0">
        <w:rPr>
          <w:rFonts w:ascii="Times New Roman" w:hAnsi="Times New Roman"/>
          <w:noProof/>
          <w:sz w:val="24"/>
          <w:szCs w:val="24"/>
        </w:rPr>
        <w:t>31</w:t>
      </w:r>
      <w:r w:rsidR="00377F11">
        <w:rPr>
          <w:rFonts w:ascii="Times New Roman" w:hAnsi="Times New Roman"/>
          <w:noProof/>
          <w:sz w:val="24"/>
          <w:szCs w:val="24"/>
        </w:rPr>
        <w:t> </w:t>
      </w:r>
      <w:r w:rsidRPr="00374BE0">
        <w:rPr>
          <w:rFonts w:ascii="Times New Roman" w:hAnsi="Times New Roman"/>
          <w:noProof/>
          <w:sz w:val="24"/>
          <w:szCs w:val="24"/>
        </w:rPr>
        <w:t>January</w:t>
      </w:r>
      <w:r w:rsidR="00377F11">
        <w:rPr>
          <w:rFonts w:ascii="Times New Roman" w:hAnsi="Times New Roman"/>
          <w:noProof/>
          <w:sz w:val="24"/>
          <w:szCs w:val="24"/>
        </w:rPr>
        <w:t> </w:t>
      </w:r>
      <w:r w:rsidRPr="00374BE0">
        <w:rPr>
          <w:rFonts w:ascii="Times New Roman" w:hAnsi="Times New Roman"/>
          <w:noProof/>
          <w:sz w:val="24"/>
          <w:szCs w:val="24"/>
        </w:rPr>
        <w:t>2022. The new Act shall enter into force during 2022. The implementation of the Act shall be carried out by the Centres for Economic Development, Transport and the Environment, Metsähallitus and the Ministry of the Environment.</w:t>
      </w:r>
    </w:p>
    <w:p w14:paraId="75B49EB2" w14:textId="77777777" w:rsidR="00935FC8" w:rsidRPr="00693DD5" w:rsidRDefault="00935FC8">
      <w:pPr>
        <w:spacing w:before="120" w:after="120" w:line="240" w:lineRule="auto"/>
        <w:jc w:val="both"/>
        <w:rPr>
          <w:rFonts w:ascii="Times New Roman" w:hAnsi="Times New Roman"/>
          <w:noProof/>
          <w:sz w:val="24"/>
          <w:szCs w:val="24"/>
        </w:rPr>
      </w:pPr>
      <w:r w:rsidRPr="00693DD5">
        <w:rPr>
          <w:rFonts w:ascii="Times New Roman" w:hAnsi="Times New Roman"/>
          <w:noProof/>
          <w:sz w:val="24"/>
          <w:szCs w:val="24"/>
        </w:rPr>
        <w:t xml:space="preserve">Finland also aims to adopt a regulation on the financial support system for restoration and care measures, which shall support measures to rehabilitate and manage endangered habitats, species and landscape values. </w:t>
      </w:r>
    </w:p>
    <w:p w14:paraId="2D38FD37" w14:textId="2ED1F007" w:rsidR="00935FC8" w:rsidRPr="00693DD5" w:rsidRDefault="00935FC8">
      <w:pPr>
        <w:spacing w:before="120" w:after="120" w:line="240" w:lineRule="auto"/>
        <w:jc w:val="both"/>
        <w:rPr>
          <w:rFonts w:ascii="Times New Roman" w:hAnsi="Times New Roman"/>
          <w:noProof/>
        </w:rPr>
      </w:pPr>
      <w:r w:rsidRPr="00693DD5">
        <w:rPr>
          <w:rFonts w:ascii="Times New Roman" w:hAnsi="Times New Roman"/>
          <w:noProof/>
          <w:sz w:val="24"/>
          <w:szCs w:val="24"/>
        </w:rPr>
        <w:t>The implementation of the reform shall be completed by 31</w:t>
      </w:r>
      <w:r w:rsidR="00377F11">
        <w:rPr>
          <w:rFonts w:ascii="Times New Roman" w:hAnsi="Times New Roman"/>
          <w:noProof/>
          <w:sz w:val="24"/>
          <w:szCs w:val="24"/>
        </w:rPr>
        <w:t> </w:t>
      </w:r>
      <w:r w:rsidRPr="00693DD5">
        <w:rPr>
          <w:rFonts w:ascii="Times New Roman" w:hAnsi="Times New Roman"/>
          <w:noProof/>
          <w:sz w:val="24"/>
          <w:szCs w:val="24"/>
        </w:rPr>
        <w:t>December</w:t>
      </w:r>
      <w:r w:rsidR="00377F11">
        <w:rPr>
          <w:rFonts w:ascii="Times New Roman" w:hAnsi="Times New Roman"/>
          <w:noProof/>
          <w:sz w:val="24"/>
          <w:szCs w:val="24"/>
        </w:rPr>
        <w:t> </w:t>
      </w:r>
      <w:r w:rsidRPr="00693DD5">
        <w:rPr>
          <w:rFonts w:ascii="Times New Roman" w:hAnsi="Times New Roman"/>
          <w:noProof/>
          <w:sz w:val="24"/>
          <w:szCs w:val="24"/>
        </w:rPr>
        <w:t>2023.</w:t>
      </w:r>
    </w:p>
    <w:p w14:paraId="7E56E5D8" w14:textId="77777777" w:rsidR="00935FC8" w:rsidRPr="00693DD5" w:rsidRDefault="00935FC8" w:rsidP="00A7081A">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1 (P1C5I1): Gypsum treatment and nutrient recycling</w:t>
      </w:r>
      <w:r w:rsidRPr="00374BE0">
        <w:rPr>
          <w:rFonts w:ascii="Times New Roman" w:hAnsi="Times New Roman"/>
          <w:noProof/>
          <w:sz w:val="24"/>
          <w:szCs w:val="24"/>
          <w:u w:val="single"/>
        </w:rPr>
        <w:t xml:space="preserve"> </w:t>
      </w:r>
    </w:p>
    <w:p w14:paraId="66BC7884" w14:textId="77777777" w:rsidR="00935FC8" w:rsidRPr="00374BE0" w:rsidRDefault="00935FC8">
      <w:pPr>
        <w:spacing w:before="120" w:after="120" w:line="240" w:lineRule="auto"/>
        <w:jc w:val="both"/>
        <w:rPr>
          <w:rFonts w:ascii="Times New Roman" w:hAnsi="Times New Roman"/>
          <w:noProof/>
          <w:sz w:val="24"/>
          <w:szCs w:val="24"/>
        </w:rPr>
      </w:pPr>
      <w:r w:rsidRPr="00BE475E">
        <w:rPr>
          <w:rFonts w:ascii="Times New Roman" w:hAnsi="Times New Roman"/>
          <w:noProof/>
          <w:color w:val="000000" w:themeColor="text1"/>
          <w:sz w:val="24"/>
          <w:szCs w:val="24"/>
        </w:rPr>
        <w:t xml:space="preserve">The objective of this measure is to support climate and environmental objectives by treating arable land with </w:t>
      </w:r>
      <w:r w:rsidRPr="4306137A">
        <w:rPr>
          <w:rFonts w:ascii="Times New Roman" w:hAnsi="Times New Roman"/>
          <w:noProof/>
          <w:color w:val="000000" w:themeColor="text1"/>
          <w:sz w:val="24"/>
          <w:szCs w:val="24"/>
        </w:rPr>
        <w:t xml:space="preserve">gypsum </w:t>
      </w:r>
      <w:r w:rsidRPr="4306137A">
        <w:rPr>
          <w:rFonts w:ascii="Times New Roman" w:hAnsi="Times New Roman"/>
          <w:noProof/>
          <w:sz w:val="24"/>
          <w:szCs w:val="24"/>
        </w:rPr>
        <w:t>and</w:t>
      </w:r>
      <w:r w:rsidRPr="00BE475E">
        <w:rPr>
          <w:rFonts w:ascii="Times New Roman" w:hAnsi="Times New Roman"/>
          <w:noProof/>
          <w:sz w:val="24"/>
          <w:szCs w:val="24"/>
        </w:rPr>
        <w:t xml:space="preserve"> promoting nutrient recycling </w:t>
      </w:r>
      <w:r w:rsidRPr="00BE475E">
        <w:rPr>
          <w:rFonts w:ascii="Times New Roman" w:eastAsia="Times New Roman" w:hAnsi="Times New Roman"/>
          <w:noProof/>
          <w:sz w:val="24"/>
          <w:szCs w:val="24"/>
        </w:rPr>
        <w:t>from nutrient rich waste streams from</w:t>
      </w:r>
      <w:r w:rsidRPr="00BE475E">
        <w:rPr>
          <w:rFonts w:ascii="Times New Roman" w:hAnsi="Times New Roman"/>
          <w:noProof/>
          <w:sz w:val="24"/>
          <w:szCs w:val="24"/>
        </w:rPr>
        <w:t xml:space="preserve"> urban areas. The measure consists of the treatment of fields with </w:t>
      </w:r>
      <w:r w:rsidRPr="00D0136A">
        <w:rPr>
          <w:rFonts w:ascii="Times New Roman" w:hAnsi="Times New Roman"/>
          <w:noProof/>
          <w:sz w:val="24"/>
          <w:szCs w:val="24"/>
        </w:rPr>
        <w:t>gypsum, and investment and</w:t>
      </w:r>
      <w:r w:rsidRPr="00BE475E">
        <w:rPr>
          <w:rFonts w:ascii="Times New Roman" w:hAnsi="Times New Roman"/>
          <w:noProof/>
          <w:sz w:val="24"/>
          <w:szCs w:val="24"/>
        </w:rPr>
        <w:t xml:space="preserve"> R&amp;D projects on nutrient recycling.</w:t>
      </w:r>
    </w:p>
    <w:p w14:paraId="67685344" w14:textId="77777777" w:rsidR="00935FC8" w:rsidRPr="007738C7" w:rsidRDefault="00935FC8" w:rsidP="00A7081A">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2 (P1C5I2): Climate-sustainable</w:t>
      </w:r>
      <w:r w:rsidRPr="00D0136A">
        <w:rPr>
          <w:rFonts w:ascii="Times New Roman" w:hAnsi="Times New Roman"/>
          <w:noProof/>
          <w:spacing w:val="21"/>
          <w:sz w:val="24"/>
          <w:szCs w:val="24"/>
          <w:u w:val="single"/>
        </w:rPr>
        <w:t xml:space="preserve"> </w:t>
      </w:r>
      <w:r w:rsidRPr="00D0136A">
        <w:rPr>
          <w:rFonts w:ascii="Times New Roman" w:hAnsi="Times New Roman"/>
          <w:noProof/>
          <w:sz w:val="24"/>
          <w:szCs w:val="24"/>
          <w:u w:val="single"/>
        </w:rPr>
        <w:t>measures in the</w:t>
      </w:r>
      <w:r w:rsidRPr="00D0136A">
        <w:rPr>
          <w:rFonts w:ascii="Times New Roman" w:hAnsi="Times New Roman"/>
          <w:noProof/>
          <w:spacing w:val="1"/>
          <w:sz w:val="24"/>
          <w:szCs w:val="24"/>
          <w:u w:val="single"/>
        </w:rPr>
        <w:t xml:space="preserve"> land use sector</w:t>
      </w:r>
    </w:p>
    <w:p w14:paraId="284F4673" w14:textId="77777777" w:rsidR="00935FC8" w:rsidRPr="00B83B93" w:rsidRDefault="00935FC8">
      <w:pPr>
        <w:spacing w:before="120" w:after="120" w:line="240" w:lineRule="auto"/>
        <w:jc w:val="both"/>
        <w:rPr>
          <w:rFonts w:ascii="Times New Roman" w:eastAsia="Times New Roman" w:hAnsi="Times New Roman"/>
          <w:noProof/>
          <w:sz w:val="24"/>
          <w:szCs w:val="24"/>
        </w:rPr>
      </w:pPr>
      <w:r w:rsidRPr="00BE475E">
        <w:rPr>
          <w:rFonts w:ascii="Times New Roman" w:hAnsi="Times New Roman"/>
          <w:noProof/>
          <w:sz w:val="24"/>
          <w:szCs w:val="24"/>
        </w:rPr>
        <w:t xml:space="preserve">The objective of this measure is to </w:t>
      </w:r>
      <w:r w:rsidRPr="00B01564">
        <w:rPr>
          <w:rFonts w:ascii="Times New Roman" w:hAnsi="Times New Roman"/>
          <w:noProof/>
          <w:sz w:val="24"/>
          <w:szCs w:val="24"/>
        </w:rPr>
        <w:t>support</w:t>
      </w:r>
      <w:r w:rsidRPr="00BE475E">
        <w:rPr>
          <w:rFonts w:ascii="Times New Roman" w:hAnsi="Times New Roman"/>
          <w:noProof/>
          <w:sz w:val="24"/>
          <w:szCs w:val="24"/>
        </w:rPr>
        <w:t xml:space="preserve"> climate-sustainable land use </w:t>
      </w:r>
      <w:r w:rsidRPr="00B01564">
        <w:rPr>
          <w:rFonts w:ascii="Times New Roman" w:hAnsi="Times New Roman"/>
          <w:noProof/>
          <w:sz w:val="24"/>
          <w:szCs w:val="24"/>
        </w:rPr>
        <w:t xml:space="preserve">methods in the forestry sector (“precision </w:t>
      </w:r>
      <w:r w:rsidRPr="00B13E8D">
        <w:rPr>
          <w:rFonts w:ascii="Times New Roman" w:hAnsi="Times New Roman"/>
          <w:noProof/>
          <w:sz w:val="24"/>
          <w:szCs w:val="24"/>
        </w:rPr>
        <w:t xml:space="preserve">forestry”). </w:t>
      </w:r>
      <w:r w:rsidRPr="00143483">
        <w:rPr>
          <w:rFonts w:ascii="Times New Roman" w:hAnsi="Times New Roman"/>
          <w:noProof/>
          <w:sz w:val="24"/>
          <w:szCs w:val="24"/>
        </w:rPr>
        <w:t>This investment consists of projects promoting the sustainability of forests.</w:t>
      </w:r>
      <w:r w:rsidRPr="00143483">
        <w:rPr>
          <w:rFonts w:ascii="Times New Roman" w:eastAsia="Times New Roman" w:hAnsi="Times New Roman"/>
          <w:noProof/>
          <w:sz w:val="24"/>
          <w:szCs w:val="24"/>
        </w:rPr>
        <w:t xml:space="preserve"> </w:t>
      </w:r>
    </w:p>
    <w:p w14:paraId="044E6F17" w14:textId="77777777" w:rsidR="00935FC8" w:rsidRPr="00B555B3" w:rsidRDefault="00935FC8">
      <w:pPr>
        <w:spacing w:before="120" w:after="120" w:line="240" w:lineRule="auto"/>
        <w:jc w:val="both"/>
        <w:rPr>
          <w:rFonts w:ascii="Times New Roman" w:hAnsi="Times New Roman"/>
          <w:noProof/>
          <w:sz w:val="24"/>
        </w:rPr>
        <w:sectPr w:rsidR="00935FC8" w:rsidRPr="00B555B3" w:rsidSect="00A7081A">
          <w:headerReference w:type="even" r:id="rId65"/>
          <w:headerReference w:type="default" r:id="rId66"/>
          <w:footerReference w:type="even" r:id="rId67"/>
          <w:footerReference w:type="default" r:id="rId68"/>
          <w:headerReference w:type="first" r:id="rId69"/>
          <w:footerReference w:type="first" r:id="rId70"/>
          <w:pgSz w:w="11907" w:h="16839"/>
          <w:pgMar w:top="1134" w:right="1134" w:bottom="1134" w:left="1134" w:header="567" w:footer="567" w:gutter="0"/>
          <w:cols w:space="720"/>
          <w:docGrid w:linePitch="360"/>
        </w:sectPr>
      </w:pPr>
    </w:p>
    <w:p w14:paraId="50087981" w14:textId="77777777" w:rsidR="00935FC8" w:rsidRPr="00B555B3" w:rsidRDefault="00935FC8">
      <w:pPr>
        <w:spacing w:before="120" w:after="120" w:line="240" w:lineRule="auto"/>
        <w:jc w:val="both"/>
        <w:rPr>
          <w:rFonts w:ascii="Times New Roman" w:hAnsi="Times New Roman"/>
          <w:b/>
          <w:noProof/>
          <w:sz w:val="24"/>
          <w:u w:val="single"/>
        </w:rPr>
      </w:pPr>
      <w:r w:rsidRPr="00B555B3">
        <w:rPr>
          <w:rFonts w:ascii="Times New Roman" w:hAnsi="Times New Roman"/>
          <w:b/>
          <w:noProof/>
          <w:sz w:val="24"/>
          <w:u w:val="single"/>
        </w:rPr>
        <w:t xml:space="preserve">E.2. </w:t>
      </w:r>
      <w:r w:rsidRPr="00B555B3">
        <w:rPr>
          <w:rFonts w:ascii="Times New Roman" w:hAnsi="Times New Roman"/>
          <w:b/>
          <w:noProof/>
          <w:sz w:val="24"/>
          <w:u w:val="single"/>
        </w:rPr>
        <w:tab/>
        <w:t>Milestones, targets, indicators, and timetable for monitoring and implementation for non-repayable financial support</w:t>
      </w:r>
    </w:p>
    <w:tbl>
      <w:tblPr>
        <w:tblW w:w="15953" w:type="dxa"/>
        <w:jc w:val="center"/>
        <w:tblCellMar>
          <w:left w:w="28" w:type="dxa"/>
          <w:right w:w="28" w:type="dxa"/>
        </w:tblCellMar>
        <w:tblLook w:val="04A0" w:firstRow="1" w:lastRow="0" w:firstColumn="1" w:lastColumn="0" w:noHBand="0" w:noVBand="1"/>
      </w:tblPr>
      <w:tblGrid>
        <w:gridCol w:w="768"/>
        <w:gridCol w:w="1867"/>
        <w:gridCol w:w="1011"/>
        <w:gridCol w:w="1433"/>
        <w:gridCol w:w="1359"/>
        <w:gridCol w:w="756"/>
        <w:gridCol w:w="768"/>
        <w:gridCol w:w="708"/>
        <w:gridCol w:w="756"/>
        <w:gridCol w:w="567"/>
        <w:gridCol w:w="5960"/>
      </w:tblGrid>
      <w:tr w:rsidR="00A7081A" w:rsidRPr="003E1CE8" w14:paraId="3334841A" w14:textId="77777777" w:rsidTr="003E1CE8">
        <w:trPr>
          <w:trHeight w:val="632"/>
          <w:tblHeader/>
          <w:jc w:val="center"/>
        </w:trPr>
        <w:tc>
          <w:tcPr>
            <w:tcW w:w="76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156621" w14:textId="77777777" w:rsidR="00935FC8" w:rsidRPr="003E1CE8" w:rsidRDefault="00935FC8">
            <w:pPr>
              <w:spacing w:after="0" w:line="240" w:lineRule="auto"/>
              <w:jc w:val="center"/>
              <w:rPr>
                <w:rFonts w:ascii="Times New Roman" w:eastAsia="Times New Roman" w:hAnsi="Times New Roman"/>
                <w:b/>
                <w:noProof/>
                <w:sz w:val="20"/>
                <w:szCs w:val="20"/>
                <w:lang w:eastAsia="en-GB"/>
              </w:rPr>
            </w:pPr>
            <w:r w:rsidRPr="003E1CE8">
              <w:rPr>
                <w:rFonts w:ascii="Times New Roman" w:eastAsia="Times New Roman" w:hAnsi="Times New Roman"/>
                <w:b/>
                <w:noProof/>
                <w:sz w:val="20"/>
                <w:szCs w:val="20"/>
                <w:lang w:eastAsia="en-GB"/>
              </w:rPr>
              <w:t>Number</w:t>
            </w:r>
          </w:p>
        </w:tc>
        <w:tc>
          <w:tcPr>
            <w:tcW w:w="186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5FBD1BC" w14:textId="77777777" w:rsidR="00935FC8" w:rsidRPr="003E1CE8" w:rsidRDefault="00935FC8">
            <w:pPr>
              <w:spacing w:after="0" w:line="240" w:lineRule="auto"/>
              <w:jc w:val="center"/>
              <w:rPr>
                <w:rFonts w:ascii="Times New Roman" w:eastAsia="Times New Roman" w:hAnsi="Times New Roman"/>
                <w:b/>
                <w:noProof/>
                <w:sz w:val="20"/>
                <w:szCs w:val="20"/>
                <w:lang w:eastAsia="en-GB"/>
              </w:rPr>
            </w:pPr>
            <w:r w:rsidRPr="003E1CE8">
              <w:rPr>
                <w:rFonts w:ascii="Times New Roman" w:eastAsia="Times New Roman" w:hAnsi="Times New Roman"/>
                <w:b/>
                <w:noProof/>
                <w:sz w:val="20"/>
                <w:szCs w:val="20"/>
                <w:lang w:eastAsia="en-GB"/>
              </w:rPr>
              <w:t xml:space="preserve">Measure </w:t>
            </w:r>
          </w:p>
        </w:tc>
        <w:tc>
          <w:tcPr>
            <w:tcW w:w="101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8A9F9A8" w14:textId="77777777" w:rsidR="00935FC8" w:rsidRPr="003E1CE8" w:rsidRDefault="00935FC8">
            <w:pPr>
              <w:spacing w:after="0" w:line="240" w:lineRule="auto"/>
              <w:jc w:val="center"/>
              <w:rPr>
                <w:rFonts w:ascii="Times New Roman" w:eastAsia="Times New Roman" w:hAnsi="Times New Roman"/>
                <w:b/>
                <w:noProof/>
                <w:sz w:val="20"/>
                <w:szCs w:val="20"/>
                <w:lang w:eastAsia="en-GB"/>
              </w:rPr>
            </w:pPr>
            <w:r w:rsidRPr="003E1CE8">
              <w:rPr>
                <w:rFonts w:ascii="Times New Roman" w:eastAsia="Times New Roman" w:hAnsi="Times New Roman"/>
                <w:b/>
                <w:noProof/>
                <w:sz w:val="20"/>
                <w:szCs w:val="20"/>
                <w:lang w:eastAsia="en-GB"/>
              </w:rPr>
              <w:t>Milestone / Target</w:t>
            </w:r>
          </w:p>
        </w:tc>
        <w:tc>
          <w:tcPr>
            <w:tcW w:w="14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DB6C23" w14:textId="77777777" w:rsidR="00935FC8" w:rsidRPr="003E1CE8" w:rsidRDefault="00935FC8">
            <w:pPr>
              <w:spacing w:after="0" w:line="240" w:lineRule="auto"/>
              <w:jc w:val="center"/>
              <w:rPr>
                <w:rFonts w:ascii="Times New Roman" w:eastAsia="Times New Roman" w:hAnsi="Times New Roman"/>
                <w:b/>
                <w:noProof/>
                <w:sz w:val="20"/>
                <w:szCs w:val="20"/>
                <w:lang w:eastAsia="en-GB"/>
              </w:rPr>
            </w:pPr>
            <w:r w:rsidRPr="003E1CE8">
              <w:rPr>
                <w:rFonts w:ascii="Times New Roman" w:eastAsia="Times New Roman" w:hAnsi="Times New Roman"/>
                <w:b/>
                <w:noProof/>
                <w:sz w:val="20"/>
                <w:szCs w:val="20"/>
                <w:lang w:eastAsia="en-GB"/>
              </w:rPr>
              <w:t>Name</w:t>
            </w:r>
          </w:p>
        </w:tc>
        <w:tc>
          <w:tcPr>
            <w:tcW w:w="13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BD046D8" w14:textId="11D6F303" w:rsidR="00935FC8" w:rsidRPr="003E1CE8" w:rsidRDefault="00935FC8" w:rsidP="000A1841">
            <w:pPr>
              <w:spacing w:after="0" w:line="240" w:lineRule="auto"/>
              <w:jc w:val="center"/>
              <w:rPr>
                <w:rFonts w:ascii="Times New Roman" w:eastAsia="Times New Roman" w:hAnsi="Times New Roman"/>
                <w:b/>
                <w:bCs/>
                <w:noProof/>
                <w:sz w:val="20"/>
                <w:szCs w:val="20"/>
                <w:lang w:eastAsia="en-GB"/>
              </w:rPr>
            </w:pPr>
            <w:r w:rsidRPr="003E1CE8">
              <w:rPr>
                <w:rFonts w:ascii="Times New Roman" w:eastAsia="Times New Roman" w:hAnsi="Times New Roman"/>
                <w:b/>
                <w:bCs/>
                <w:noProof/>
                <w:sz w:val="20"/>
                <w:szCs w:val="20"/>
                <w:lang w:eastAsia="en-GB"/>
              </w:rPr>
              <w:t>Qualitative indicators</w:t>
            </w:r>
            <w:r w:rsidR="000A1841">
              <w:rPr>
                <w:rFonts w:ascii="Times New Roman" w:eastAsia="Times New Roman" w:hAnsi="Times New Roman"/>
                <w:b/>
                <w:bCs/>
                <w:noProof/>
                <w:sz w:val="20"/>
                <w:szCs w:val="20"/>
                <w:lang w:eastAsia="en-GB"/>
              </w:rPr>
              <w:t xml:space="preserve"> </w:t>
            </w:r>
            <w:r w:rsidRPr="003E1CE8">
              <w:rPr>
                <w:rFonts w:ascii="Times New Roman" w:eastAsia="Times New Roman" w:hAnsi="Times New Roman"/>
                <w:b/>
                <w:bCs/>
                <w:noProof/>
                <w:sz w:val="20"/>
                <w:szCs w:val="20"/>
                <w:lang w:eastAsia="en-GB"/>
              </w:rPr>
              <w:t>(for milestones)</w:t>
            </w:r>
          </w:p>
        </w:tc>
        <w:tc>
          <w:tcPr>
            <w:tcW w:w="223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03A94ED" w14:textId="77777777" w:rsidR="00935FC8" w:rsidRPr="003E1CE8" w:rsidRDefault="00935FC8">
            <w:pPr>
              <w:spacing w:after="0" w:line="240" w:lineRule="auto"/>
              <w:jc w:val="center"/>
              <w:rPr>
                <w:rFonts w:ascii="Times New Roman" w:eastAsia="Times New Roman" w:hAnsi="Times New Roman"/>
                <w:b/>
                <w:bCs/>
                <w:noProof/>
                <w:sz w:val="20"/>
                <w:szCs w:val="20"/>
                <w:lang w:eastAsia="en-GB"/>
              </w:rPr>
            </w:pPr>
            <w:r w:rsidRPr="003E1CE8">
              <w:rPr>
                <w:rFonts w:ascii="Times New Roman" w:eastAsia="Times New Roman" w:hAnsi="Times New Roman"/>
                <w:b/>
                <w:bCs/>
                <w:noProof/>
                <w:sz w:val="20"/>
                <w:szCs w:val="20"/>
                <w:lang w:eastAsia="en-GB"/>
              </w:rPr>
              <w:t>Quantitative indicators (for targets)</w:t>
            </w:r>
          </w:p>
        </w:tc>
        <w:tc>
          <w:tcPr>
            <w:tcW w:w="1323" w:type="dxa"/>
            <w:gridSpan w:val="2"/>
            <w:tcBorders>
              <w:top w:val="single" w:sz="4" w:space="0" w:color="auto"/>
              <w:left w:val="nil"/>
              <w:bottom w:val="single" w:sz="4" w:space="0" w:color="auto"/>
              <w:right w:val="single" w:sz="4" w:space="0" w:color="auto"/>
            </w:tcBorders>
            <w:shd w:val="clear" w:color="auto" w:fill="BDD7EE"/>
            <w:vAlign w:val="center"/>
            <w:hideMark/>
          </w:tcPr>
          <w:p w14:paraId="22701460" w14:textId="17E82B16" w:rsidR="00935FC8" w:rsidRPr="003E1CE8" w:rsidRDefault="00935FC8" w:rsidP="000A1841">
            <w:pPr>
              <w:spacing w:after="0" w:line="240" w:lineRule="auto"/>
              <w:jc w:val="center"/>
              <w:rPr>
                <w:rFonts w:ascii="Times New Roman" w:eastAsia="Times New Roman" w:hAnsi="Times New Roman"/>
                <w:b/>
                <w:noProof/>
                <w:sz w:val="20"/>
                <w:szCs w:val="20"/>
                <w:lang w:eastAsia="en-GB"/>
              </w:rPr>
            </w:pPr>
            <w:r w:rsidRPr="003E1CE8">
              <w:rPr>
                <w:rFonts w:ascii="Times New Roman" w:eastAsia="Times New Roman" w:hAnsi="Times New Roman"/>
                <w:b/>
                <w:bCs/>
                <w:noProof/>
                <w:sz w:val="20"/>
                <w:szCs w:val="20"/>
                <w:lang w:eastAsia="en-GB"/>
              </w:rPr>
              <w:t>Indicative timeline</w:t>
            </w:r>
            <w:r w:rsidR="000A1841">
              <w:rPr>
                <w:rFonts w:ascii="Times New Roman" w:eastAsia="Times New Roman" w:hAnsi="Times New Roman"/>
                <w:b/>
                <w:bCs/>
                <w:noProof/>
                <w:sz w:val="20"/>
                <w:szCs w:val="20"/>
                <w:lang w:eastAsia="en-GB"/>
              </w:rPr>
              <w:t xml:space="preserve"> </w:t>
            </w:r>
            <w:r w:rsidRPr="003E1CE8">
              <w:rPr>
                <w:rFonts w:ascii="Times New Roman" w:eastAsia="Times New Roman" w:hAnsi="Times New Roman"/>
                <w:b/>
                <w:bCs/>
                <w:noProof/>
                <w:sz w:val="20"/>
                <w:szCs w:val="20"/>
                <w:lang w:eastAsia="en-GB"/>
              </w:rPr>
              <w:t>for completion</w:t>
            </w:r>
          </w:p>
        </w:tc>
        <w:tc>
          <w:tcPr>
            <w:tcW w:w="59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0CA7D45" w14:textId="77777777" w:rsidR="00935FC8" w:rsidRPr="003E1CE8" w:rsidRDefault="00935FC8">
            <w:pPr>
              <w:spacing w:after="0" w:line="240" w:lineRule="auto"/>
              <w:jc w:val="center"/>
              <w:rPr>
                <w:rFonts w:ascii="Times New Roman" w:eastAsia="Times New Roman" w:hAnsi="Times New Roman"/>
                <w:b/>
                <w:noProof/>
                <w:sz w:val="20"/>
                <w:szCs w:val="20"/>
                <w:lang w:eastAsia="en-GB"/>
              </w:rPr>
            </w:pPr>
            <w:r w:rsidRPr="003E1CE8">
              <w:rPr>
                <w:rFonts w:ascii="Times New Roman" w:eastAsia="Times New Roman" w:hAnsi="Times New Roman"/>
                <w:b/>
                <w:noProof/>
                <w:sz w:val="20"/>
                <w:szCs w:val="20"/>
                <w:lang w:eastAsia="en-GB"/>
              </w:rPr>
              <w:t>Description of each milestone and target</w:t>
            </w:r>
          </w:p>
        </w:tc>
      </w:tr>
      <w:tr w:rsidR="00A7081A" w:rsidRPr="003E1CE8" w14:paraId="5CABADBC" w14:textId="77777777" w:rsidTr="003E1CE8">
        <w:trPr>
          <w:trHeight w:val="692"/>
          <w:tblHeader/>
          <w:jc w:val="center"/>
        </w:trPr>
        <w:tc>
          <w:tcPr>
            <w:tcW w:w="768" w:type="dxa"/>
            <w:vMerge/>
            <w:tcBorders>
              <w:top w:val="single" w:sz="4" w:space="0" w:color="auto"/>
              <w:left w:val="single" w:sz="4" w:space="0" w:color="auto"/>
              <w:bottom w:val="single" w:sz="4" w:space="0" w:color="auto"/>
              <w:right w:val="single" w:sz="4" w:space="0" w:color="auto"/>
            </w:tcBorders>
            <w:vAlign w:val="center"/>
            <w:hideMark/>
          </w:tcPr>
          <w:p w14:paraId="00BCB097" w14:textId="77777777" w:rsidR="00935FC8" w:rsidRPr="003E1CE8" w:rsidRDefault="00935FC8">
            <w:pPr>
              <w:spacing w:after="0" w:line="240" w:lineRule="auto"/>
              <w:rPr>
                <w:rFonts w:ascii="Times New Roman" w:eastAsia="Times New Roman" w:hAnsi="Times New Roman"/>
                <w:b/>
                <w:noProof/>
                <w:sz w:val="20"/>
                <w:szCs w:val="20"/>
                <w:lang w:eastAsia="en-GB"/>
              </w:rPr>
            </w:pPr>
          </w:p>
        </w:tc>
        <w:tc>
          <w:tcPr>
            <w:tcW w:w="1867" w:type="dxa"/>
            <w:vMerge/>
            <w:tcBorders>
              <w:top w:val="single" w:sz="4" w:space="0" w:color="auto"/>
              <w:left w:val="single" w:sz="4" w:space="0" w:color="auto"/>
              <w:bottom w:val="single" w:sz="4" w:space="0" w:color="auto"/>
              <w:right w:val="single" w:sz="4" w:space="0" w:color="auto"/>
            </w:tcBorders>
            <w:vAlign w:val="center"/>
            <w:hideMark/>
          </w:tcPr>
          <w:p w14:paraId="61CF4DD8" w14:textId="77777777" w:rsidR="00935FC8" w:rsidRPr="003E1CE8" w:rsidRDefault="00935FC8">
            <w:pPr>
              <w:spacing w:after="0" w:line="240" w:lineRule="auto"/>
              <w:rPr>
                <w:rFonts w:ascii="Times New Roman" w:eastAsia="Times New Roman" w:hAnsi="Times New Roman"/>
                <w:b/>
                <w:noProof/>
                <w:sz w:val="20"/>
                <w:szCs w:val="20"/>
                <w:lang w:eastAsia="en-GB"/>
              </w:rPr>
            </w:pPr>
          </w:p>
        </w:tc>
        <w:tc>
          <w:tcPr>
            <w:tcW w:w="1011" w:type="dxa"/>
            <w:vMerge/>
            <w:tcBorders>
              <w:top w:val="single" w:sz="4" w:space="0" w:color="auto"/>
              <w:left w:val="single" w:sz="4" w:space="0" w:color="auto"/>
              <w:bottom w:val="single" w:sz="4" w:space="0" w:color="auto"/>
              <w:right w:val="single" w:sz="4" w:space="0" w:color="auto"/>
            </w:tcBorders>
            <w:vAlign w:val="center"/>
            <w:hideMark/>
          </w:tcPr>
          <w:p w14:paraId="68EA5220" w14:textId="77777777" w:rsidR="00935FC8" w:rsidRPr="003E1CE8" w:rsidRDefault="00935FC8">
            <w:pPr>
              <w:spacing w:after="0" w:line="240" w:lineRule="auto"/>
              <w:rPr>
                <w:rFonts w:ascii="Times New Roman" w:eastAsia="Times New Roman" w:hAnsi="Times New Roman"/>
                <w:b/>
                <w:noProof/>
                <w:sz w:val="20"/>
                <w:szCs w:val="20"/>
                <w:lang w:eastAsia="en-GB"/>
              </w:rPr>
            </w:pPr>
          </w:p>
        </w:tc>
        <w:tc>
          <w:tcPr>
            <w:tcW w:w="1433" w:type="dxa"/>
            <w:vMerge/>
            <w:tcBorders>
              <w:top w:val="single" w:sz="4" w:space="0" w:color="auto"/>
              <w:left w:val="single" w:sz="4" w:space="0" w:color="auto"/>
              <w:bottom w:val="single" w:sz="4" w:space="0" w:color="auto"/>
              <w:right w:val="single" w:sz="4" w:space="0" w:color="auto"/>
            </w:tcBorders>
            <w:vAlign w:val="center"/>
            <w:hideMark/>
          </w:tcPr>
          <w:p w14:paraId="005D8832" w14:textId="77777777" w:rsidR="00935FC8" w:rsidRPr="003E1CE8" w:rsidRDefault="00935FC8">
            <w:pPr>
              <w:spacing w:after="0" w:line="240" w:lineRule="auto"/>
              <w:rPr>
                <w:rFonts w:ascii="Times New Roman" w:eastAsia="Times New Roman" w:hAnsi="Times New Roman"/>
                <w:b/>
                <w:noProof/>
                <w:sz w:val="20"/>
                <w:szCs w:val="20"/>
                <w:lang w:eastAsia="en-GB"/>
              </w:rPr>
            </w:pPr>
          </w:p>
        </w:tc>
        <w:tc>
          <w:tcPr>
            <w:tcW w:w="1359" w:type="dxa"/>
            <w:vMerge/>
            <w:tcBorders>
              <w:top w:val="single" w:sz="4" w:space="0" w:color="auto"/>
              <w:left w:val="single" w:sz="4" w:space="0" w:color="auto"/>
              <w:bottom w:val="single" w:sz="4" w:space="0" w:color="auto"/>
              <w:right w:val="single" w:sz="4" w:space="0" w:color="auto"/>
            </w:tcBorders>
            <w:vAlign w:val="center"/>
            <w:hideMark/>
          </w:tcPr>
          <w:p w14:paraId="1F3E8F3A" w14:textId="77777777" w:rsidR="00935FC8" w:rsidRPr="003E1CE8" w:rsidRDefault="00935FC8">
            <w:pPr>
              <w:spacing w:after="0" w:line="240" w:lineRule="auto"/>
              <w:rPr>
                <w:rFonts w:ascii="Times New Roman" w:eastAsia="Times New Roman" w:hAnsi="Times New Roman"/>
                <w:b/>
                <w:noProof/>
                <w:sz w:val="20"/>
                <w:szCs w:val="20"/>
                <w:lang w:eastAsia="en-GB"/>
              </w:rPr>
            </w:pPr>
          </w:p>
        </w:tc>
        <w:tc>
          <w:tcPr>
            <w:tcW w:w="7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E096C3A" w14:textId="77777777" w:rsidR="00935FC8" w:rsidRPr="003E1CE8" w:rsidRDefault="00935FC8">
            <w:pPr>
              <w:spacing w:after="0" w:line="240" w:lineRule="auto"/>
              <w:jc w:val="center"/>
              <w:rPr>
                <w:rFonts w:ascii="Times New Roman" w:eastAsia="Times New Roman" w:hAnsi="Times New Roman"/>
                <w:b/>
                <w:noProof/>
                <w:sz w:val="20"/>
                <w:szCs w:val="20"/>
                <w:lang w:eastAsia="en-GB"/>
              </w:rPr>
            </w:pPr>
            <w:r w:rsidRPr="003E1CE8">
              <w:rPr>
                <w:rFonts w:ascii="Times New Roman" w:eastAsia="Times New Roman" w:hAnsi="Times New Roman"/>
                <w:b/>
                <w:noProof/>
                <w:sz w:val="20"/>
                <w:szCs w:val="20"/>
                <w:lang w:eastAsia="en-GB"/>
              </w:rPr>
              <w:t>Unit</w:t>
            </w:r>
          </w:p>
        </w:tc>
        <w:tc>
          <w:tcPr>
            <w:tcW w:w="76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A89D23A" w14:textId="77777777" w:rsidR="00935FC8" w:rsidRPr="003E1CE8" w:rsidRDefault="00935FC8" w:rsidP="00A7081A">
            <w:pPr>
              <w:spacing w:after="0" w:line="240" w:lineRule="auto"/>
              <w:jc w:val="center"/>
              <w:rPr>
                <w:rFonts w:ascii="Times New Roman" w:eastAsia="Times New Roman" w:hAnsi="Times New Roman"/>
                <w:b/>
                <w:noProof/>
                <w:sz w:val="20"/>
                <w:szCs w:val="20"/>
                <w:lang w:eastAsia="en-GB"/>
              </w:rPr>
            </w:pPr>
            <w:r w:rsidRPr="003E1CE8">
              <w:rPr>
                <w:rFonts w:ascii="Times New Roman" w:eastAsia="Times New Roman" w:hAnsi="Times New Roman"/>
                <w:b/>
                <w:bCs/>
                <w:noProof/>
                <w:sz w:val="20"/>
                <w:szCs w:val="20"/>
                <w:lang w:eastAsia="en-GB"/>
              </w:rPr>
              <w:t xml:space="preserve">Baseline </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452B6C9" w14:textId="77777777" w:rsidR="00935FC8" w:rsidRPr="003E1CE8" w:rsidRDefault="00935FC8">
            <w:pPr>
              <w:spacing w:after="0" w:line="240" w:lineRule="auto"/>
              <w:jc w:val="center"/>
              <w:rPr>
                <w:rFonts w:ascii="Times New Roman" w:eastAsia="Times New Roman" w:hAnsi="Times New Roman"/>
                <w:b/>
                <w:noProof/>
                <w:sz w:val="20"/>
                <w:szCs w:val="20"/>
                <w:lang w:eastAsia="en-GB"/>
              </w:rPr>
            </w:pPr>
            <w:r w:rsidRPr="003E1CE8">
              <w:rPr>
                <w:rFonts w:ascii="Times New Roman" w:eastAsia="Times New Roman" w:hAnsi="Times New Roman"/>
                <w:b/>
                <w:noProof/>
                <w:sz w:val="20"/>
                <w:szCs w:val="20"/>
                <w:lang w:eastAsia="en-GB"/>
              </w:rPr>
              <w:t xml:space="preserve">Goal </w:t>
            </w:r>
          </w:p>
        </w:tc>
        <w:tc>
          <w:tcPr>
            <w:tcW w:w="75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3B344E" w14:textId="77777777" w:rsidR="00935FC8" w:rsidRPr="003E1CE8" w:rsidRDefault="00935FC8">
            <w:pPr>
              <w:spacing w:after="0" w:line="240" w:lineRule="auto"/>
              <w:jc w:val="center"/>
              <w:rPr>
                <w:rFonts w:ascii="Times New Roman" w:eastAsia="Times New Roman" w:hAnsi="Times New Roman"/>
                <w:b/>
                <w:noProof/>
                <w:sz w:val="20"/>
                <w:szCs w:val="20"/>
                <w:lang w:eastAsia="en-GB"/>
              </w:rPr>
            </w:pPr>
            <w:r w:rsidRPr="003E1CE8">
              <w:rPr>
                <w:rFonts w:ascii="Times New Roman" w:eastAsia="Times New Roman" w:hAnsi="Times New Roman"/>
                <w:b/>
                <w:noProof/>
                <w:sz w:val="20"/>
                <w:szCs w:val="20"/>
                <w:lang w:eastAsia="en-GB"/>
              </w:rPr>
              <w:t>Quarter</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5274C4" w14:textId="77777777" w:rsidR="00935FC8" w:rsidRPr="003E1CE8" w:rsidRDefault="00935FC8">
            <w:pPr>
              <w:spacing w:after="0" w:line="240" w:lineRule="auto"/>
              <w:jc w:val="center"/>
              <w:rPr>
                <w:rFonts w:ascii="Times New Roman" w:eastAsia="Times New Roman" w:hAnsi="Times New Roman"/>
                <w:b/>
                <w:noProof/>
                <w:sz w:val="20"/>
                <w:szCs w:val="20"/>
                <w:lang w:eastAsia="en-GB"/>
              </w:rPr>
            </w:pPr>
            <w:r w:rsidRPr="003E1CE8">
              <w:rPr>
                <w:rFonts w:ascii="Times New Roman" w:eastAsia="Times New Roman" w:hAnsi="Times New Roman"/>
                <w:b/>
                <w:noProof/>
                <w:sz w:val="20"/>
                <w:szCs w:val="20"/>
                <w:lang w:eastAsia="en-GB"/>
              </w:rPr>
              <w:t>Year</w:t>
            </w:r>
          </w:p>
        </w:tc>
        <w:tc>
          <w:tcPr>
            <w:tcW w:w="5960" w:type="dxa"/>
            <w:vMerge/>
            <w:tcBorders>
              <w:top w:val="single" w:sz="4" w:space="0" w:color="auto"/>
              <w:bottom w:val="single" w:sz="4" w:space="0" w:color="auto"/>
              <w:right w:val="single" w:sz="4" w:space="0" w:color="auto"/>
            </w:tcBorders>
            <w:vAlign w:val="center"/>
            <w:hideMark/>
          </w:tcPr>
          <w:p w14:paraId="3C567AA4" w14:textId="77777777" w:rsidR="00935FC8" w:rsidRPr="003E1CE8" w:rsidRDefault="00935FC8">
            <w:pPr>
              <w:spacing w:after="0" w:line="240" w:lineRule="auto"/>
              <w:rPr>
                <w:rFonts w:ascii="Times New Roman" w:eastAsia="Times New Roman" w:hAnsi="Times New Roman"/>
                <w:b/>
                <w:noProof/>
                <w:sz w:val="20"/>
                <w:szCs w:val="20"/>
                <w:lang w:eastAsia="en-GB"/>
              </w:rPr>
            </w:pPr>
          </w:p>
        </w:tc>
      </w:tr>
      <w:tr w:rsidR="00A7081A" w:rsidRPr="003E1CE8" w14:paraId="1A20CF76" w14:textId="77777777" w:rsidTr="003E1CE8">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4134DC10" w14:textId="77777777" w:rsidR="00935FC8" w:rsidRPr="003E1CE8" w:rsidRDefault="00935FC8">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47</w:t>
            </w:r>
          </w:p>
        </w:tc>
        <w:tc>
          <w:tcPr>
            <w:tcW w:w="1867" w:type="dxa"/>
            <w:tcBorders>
              <w:top w:val="single" w:sz="4" w:space="0" w:color="auto"/>
              <w:left w:val="nil"/>
              <w:bottom w:val="single" w:sz="4" w:space="0" w:color="auto"/>
              <w:right w:val="single" w:sz="4" w:space="0" w:color="auto"/>
            </w:tcBorders>
            <w:shd w:val="clear" w:color="auto" w:fill="C6EFCE"/>
            <w:noWrap/>
            <w:hideMark/>
          </w:tcPr>
          <w:p w14:paraId="11EAA0D7" w14:textId="06D5EDD3" w:rsidR="00935FC8" w:rsidRPr="003E1CE8" w:rsidRDefault="00935FC8" w:rsidP="00577DC1">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P1C5R1 -</w:t>
            </w:r>
            <w:r w:rsidR="00577DC1" w:rsidRPr="003E1CE8">
              <w:rPr>
                <w:rFonts w:ascii="Times New Roman" w:hAnsi="Times New Roman"/>
                <w:noProof/>
                <w:sz w:val="20"/>
                <w:szCs w:val="20"/>
              </w:rPr>
              <w:t xml:space="preserve"> </w:t>
            </w:r>
            <w:r w:rsidRPr="003E1CE8">
              <w:rPr>
                <w:rFonts w:ascii="Times New Roman" w:hAnsi="Times New Roman"/>
                <w:noProof/>
                <w:sz w:val="20"/>
                <w:szCs w:val="20"/>
              </w:rPr>
              <w:t>Environmental sustainability and nature-based solutions – Modernisation of nature legislation</w:t>
            </w:r>
          </w:p>
        </w:tc>
        <w:tc>
          <w:tcPr>
            <w:tcW w:w="1011" w:type="dxa"/>
            <w:tcBorders>
              <w:top w:val="single" w:sz="4" w:space="0" w:color="auto"/>
              <w:left w:val="nil"/>
              <w:bottom w:val="single" w:sz="4" w:space="0" w:color="auto"/>
              <w:right w:val="single" w:sz="4" w:space="0" w:color="auto"/>
            </w:tcBorders>
            <w:shd w:val="clear" w:color="auto" w:fill="C6EFCE"/>
            <w:noWrap/>
            <w:hideMark/>
          </w:tcPr>
          <w:p w14:paraId="712916F8"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Milestone</w:t>
            </w:r>
          </w:p>
        </w:tc>
        <w:tc>
          <w:tcPr>
            <w:tcW w:w="1433" w:type="dxa"/>
            <w:tcBorders>
              <w:top w:val="single" w:sz="4" w:space="0" w:color="auto"/>
              <w:left w:val="nil"/>
              <w:bottom w:val="single" w:sz="4" w:space="0" w:color="auto"/>
              <w:right w:val="single" w:sz="4" w:space="0" w:color="auto"/>
            </w:tcBorders>
            <w:shd w:val="clear" w:color="auto" w:fill="C6EFCE"/>
            <w:noWrap/>
            <w:hideMark/>
          </w:tcPr>
          <w:p w14:paraId="50631124"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 xml:space="preserve">Entry into force of the amended Nature Conservation Act </w:t>
            </w:r>
          </w:p>
        </w:tc>
        <w:tc>
          <w:tcPr>
            <w:tcW w:w="1359" w:type="dxa"/>
            <w:tcBorders>
              <w:top w:val="single" w:sz="4" w:space="0" w:color="auto"/>
              <w:left w:val="nil"/>
              <w:bottom w:val="single" w:sz="4" w:space="0" w:color="auto"/>
              <w:right w:val="single" w:sz="4" w:space="0" w:color="auto"/>
            </w:tcBorders>
            <w:shd w:val="clear" w:color="auto" w:fill="C6EFCE"/>
            <w:noWrap/>
            <w:hideMark/>
          </w:tcPr>
          <w:p w14:paraId="03958566"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Provision in the law indicating the entry into force of the amendments to the Nature Conservation Act</w:t>
            </w:r>
          </w:p>
        </w:tc>
        <w:tc>
          <w:tcPr>
            <w:tcW w:w="756" w:type="dxa"/>
            <w:tcBorders>
              <w:top w:val="single" w:sz="4" w:space="0" w:color="auto"/>
              <w:left w:val="nil"/>
              <w:bottom w:val="single" w:sz="4" w:space="0" w:color="auto"/>
              <w:right w:val="single" w:sz="4" w:space="0" w:color="auto"/>
            </w:tcBorders>
            <w:shd w:val="clear" w:color="auto" w:fill="C6EFCE"/>
            <w:noWrap/>
            <w:hideMark/>
          </w:tcPr>
          <w:p w14:paraId="1A2B3C13" w14:textId="4561EA1B" w:rsidR="00935FC8" w:rsidRPr="003E1CE8" w:rsidRDefault="00935FC8" w:rsidP="00377F11">
            <w:pPr>
              <w:spacing w:after="0" w:line="240" w:lineRule="auto"/>
              <w:jc w:val="center"/>
              <w:rPr>
                <w:rFonts w:ascii="Times New Roman" w:eastAsia="Times New Roman" w:hAnsi="Times New Roman"/>
                <w:noProof/>
                <w:sz w:val="20"/>
                <w:szCs w:val="20"/>
                <w:lang w:eastAsia="en-GB"/>
              </w:rPr>
            </w:pPr>
          </w:p>
        </w:tc>
        <w:tc>
          <w:tcPr>
            <w:tcW w:w="768" w:type="dxa"/>
            <w:tcBorders>
              <w:top w:val="single" w:sz="4" w:space="0" w:color="auto"/>
              <w:left w:val="nil"/>
              <w:bottom w:val="single" w:sz="4" w:space="0" w:color="auto"/>
              <w:right w:val="single" w:sz="4" w:space="0" w:color="auto"/>
            </w:tcBorders>
            <w:shd w:val="clear" w:color="auto" w:fill="C6EFCE"/>
            <w:noWrap/>
            <w:hideMark/>
          </w:tcPr>
          <w:p w14:paraId="07AC6A37" w14:textId="77777777" w:rsidR="00935FC8" w:rsidRPr="003E1CE8" w:rsidRDefault="00935FC8" w:rsidP="00377F11">
            <w:pPr>
              <w:jc w:val="center"/>
              <w:rPr>
                <w:rFonts w:ascii="Times New Roman" w:eastAsia="Times New Roman" w:hAnsi="Times New Roman"/>
                <w:noProof/>
                <w:sz w:val="20"/>
                <w:szCs w:val="20"/>
                <w:lang w:eastAsia="en-GB"/>
              </w:rPr>
            </w:pPr>
          </w:p>
        </w:tc>
        <w:tc>
          <w:tcPr>
            <w:tcW w:w="708" w:type="dxa"/>
            <w:tcBorders>
              <w:top w:val="single" w:sz="4" w:space="0" w:color="auto"/>
              <w:left w:val="nil"/>
              <w:bottom w:val="single" w:sz="4" w:space="0" w:color="auto"/>
              <w:right w:val="single" w:sz="4" w:space="0" w:color="auto"/>
            </w:tcBorders>
            <w:shd w:val="clear" w:color="auto" w:fill="C6EFCE"/>
            <w:noWrap/>
            <w:hideMark/>
          </w:tcPr>
          <w:p w14:paraId="7C737421" w14:textId="585EF416" w:rsidR="00935FC8" w:rsidRPr="003E1CE8" w:rsidRDefault="00935FC8" w:rsidP="00377F11">
            <w:pPr>
              <w:spacing w:after="0" w:line="240" w:lineRule="auto"/>
              <w:jc w:val="center"/>
              <w:rPr>
                <w:rFonts w:ascii="Times New Roman" w:eastAsia="Times New Roman" w:hAnsi="Times New Roman"/>
                <w:noProof/>
                <w:sz w:val="20"/>
                <w:szCs w:val="20"/>
                <w:lang w:eastAsia="en-GB"/>
              </w:rPr>
            </w:pPr>
          </w:p>
        </w:tc>
        <w:tc>
          <w:tcPr>
            <w:tcW w:w="756" w:type="dxa"/>
            <w:tcBorders>
              <w:top w:val="single" w:sz="4" w:space="0" w:color="auto"/>
              <w:left w:val="nil"/>
              <w:bottom w:val="single" w:sz="4" w:space="0" w:color="auto"/>
              <w:right w:val="single" w:sz="4" w:space="0" w:color="auto"/>
            </w:tcBorders>
            <w:shd w:val="clear" w:color="auto" w:fill="C6EFCE"/>
            <w:noWrap/>
            <w:hideMark/>
          </w:tcPr>
          <w:p w14:paraId="743B0002"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Q1</w:t>
            </w:r>
          </w:p>
        </w:tc>
        <w:tc>
          <w:tcPr>
            <w:tcW w:w="567" w:type="dxa"/>
            <w:tcBorders>
              <w:top w:val="single" w:sz="4" w:space="0" w:color="auto"/>
              <w:left w:val="nil"/>
              <w:bottom w:val="single" w:sz="4" w:space="0" w:color="auto"/>
              <w:right w:val="single" w:sz="4" w:space="0" w:color="auto"/>
            </w:tcBorders>
            <w:shd w:val="clear" w:color="auto" w:fill="C6EFCE"/>
            <w:noWrap/>
            <w:hideMark/>
          </w:tcPr>
          <w:p w14:paraId="167C4DD5"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2023</w:t>
            </w:r>
          </w:p>
        </w:tc>
        <w:tc>
          <w:tcPr>
            <w:tcW w:w="5960" w:type="dxa"/>
            <w:tcBorders>
              <w:top w:val="single" w:sz="4" w:space="0" w:color="auto"/>
              <w:left w:val="nil"/>
              <w:bottom w:val="single" w:sz="4" w:space="0" w:color="auto"/>
              <w:right w:val="single" w:sz="4" w:space="0" w:color="auto"/>
            </w:tcBorders>
            <w:shd w:val="clear" w:color="auto" w:fill="C6EFCE"/>
            <w:noWrap/>
          </w:tcPr>
          <w:p w14:paraId="39C296A8"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eastAsia="Times New Roman" w:hAnsi="Times New Roman"/>
                <w:noProof/>
                <w:sz w:val="20"/>
                <w:szCs w:val="20"/>
                <w:lang w:eastAsia="en-GB"/>
              </w:rPr>
              <w:t>The legislative amendment to the Nature Conservation Act (1096/1996) shall include:</w:t>
            </w:r>
          </w:p>
          <w:p w14:paraId="791A804C"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eastAsia="Times New Roman" w:hAnsi="Times New Roman"/>
                <w:noProof/>
                <w:sz w:val="20"/>
                <w:szCs w:val="20"/>
                <w:lang w:eastAsia="en-GB"/>
              </w:rPr>
              <w:t xml:space="preserve">- the preservation of biodiversity outside nature conservation areas </w:t>
            </w:r>
          </w:p>
          <w:p w14:paraId="08B8D893"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eastAsia="Times New Roman" w:hAnsi="Times New Roman"/>
                <w:noProof/>
                <w:sz w:val="20"/>
                <w:szCs w:val="20"/>
                <w:lang w:eastAsia="en-GB"/>
              </w:rPr>
              <w:t>- the maintenance of ecosystem services</w:t>
            </w:r>
          </w:p>
          <w:p w14:paraId="365947B6"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eastAsia="Times New Roman" w:hAnsi="Times New Roman"/>
                <w:noProof/>
                <w:sz w:val="20"/>
                <w:szCs w:val="20"/>
                <w:lang w:eastAsia="en-GB"/>
              </w:rPr>
              <w:t>- measures to ensure the effectiveness of the conservation of habitats and species</w:t>
            </w:r>
          </w:p>
        </w:tc>
      </w:tr>
      <w:tr w:rsidR="00A7081A" w:rsidRPr="003E1CE8" w14:paraId="4537FB14" w14:textId="77777777" w:rsidTr="003E1CE8">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77C39A23" w14:textId="77777777" w:rsidR="00935FC8" w:rsidRPr="003E1CE8" w:rsidRDefault="00935FC8">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48</w:t>
            </w:r>
          </w:p>
        </w:tc>
        <w:tc>
          <w:tcPr>
            <w:tcW w:w="1867" w:type="dxa"/>
            <w:tcBorders>
              <w:top w:val="nil"/>
              <w:left w:val="nil"/>
              <w:bottom w:val="single" w:sz="4" w:space="0" w:color="auto"/>
              <w:right w:val="single" w:sz="4" w:space="0" w:color="auto"/>
            </w:tcBorders>
            <w:shd w:val="clear" w:color="auto" w:fill="C6EFCE"/>
            <w:noWrap/>
            <w:hideMark/>
          </w:tcPr>
          <w:p w14:paraId="79E9401E" w14:textId="5811782A" w:rsidR="00935FC8" w:rsidRPr="003E1CE8" w:rsidRDefault="00935FC8" w:rsidP="00577DC1">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P1C5I1 - Environmental sustainability and nature-based solutions –Gypsum treatment and nutrient recycling</w:t>
            </w:r>
          </w:p>
        </w:tc>
        <w:tc>
          <w:tcPr>
            <w:tcW w:w="1011" w:type="dxa"/>
            <w:tcBorders>
              <w:top w:val="nil"/>
              <w:left w:val="nil"/>
              <w:bottom w:val="single" w:sz="4" w:space="0" w:color="auto"/>
              <w:right w:val="single" w:sz="4" w:space="0" w:color="auto"/>
            </w:tcBorders>
            <w:shd w:val="clear" w:color="auto" w:fill="C6EFCE"/>
            <w:noWrap/>
            <w:hideMark/>
          </w:tcPr>
          <w:p w14:paraId="044DB30B"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Milestone</w:t>
            </w:r>
          </w:p>
        </w:tc>
        <w:tc>
          <w:tcPr>
            <w:tcW w:w="1433" w:type="dxa"/>
            <w:tcBorders>
              <w:top w:val="nil"/>
              <w:left w:val="nil"/>
              <w:bottom w:val="single" w:sz="4" w:space="0" w:color="auto"/>
              <w:right w:val="single" w:sz="4" w:space="0" w:color="auto"/>
            </w:tcBorders>
            <w:shd w:val="clear" w:color="auto" w:fill="C6EFCE"/>
            <w:noWrap/>
            <w:hideMark/>
          </w:tcPr>
          <w:p w14:paraId="33DA4F17" w14:textId="77777777" w:rsidR="00935FC8" w:rsidRPr="003E1CE8" w:rsidRDefault="00935FC8" w:rsidP="00A7081A">
            <w:pPr>
              <w:spacing w:after="0" w:line="240" w:lineRule="auto"/>
              <w:rPr>
                <w:rFonts w:ascii="Times New Roman" w:eastAsia="Times New Roman" w:hAnsi="Times New Roman"/>
                <w:noProof/>
                <w:sz w:val="20"/>
                <w:szCs w:val="20"/>
              </w:rPr>
            </w:pPr>
            <w:r w:rsidRPr="003E1CE8">
              <w:rPr>
                <w:rFonts w:ascii="Times New Roman" w:eastAsia="Times New Roman" w:hAnsi="Times New Roman"/>
                <w:noProof/>
                <w:sz w:val="20"/>
                <w:szCs w:val="20"/>
              </w:rPr>
              <w:t>Projects for the supply, transport and distribution of gypsum are awarded</w:t>
            </w:r>
          </w:p>
        </w:tc>
        <w:tc>
          <w:tcPr>
            <w:tcW w:w="1359" w:type="dxa"/>
            <w:tcBorders>
              <w:top w:val="nil"/>
              <w:left w:val="nil"/>
              <w:bottom w:val="single" w:sz="4" w:space="0" w:color="auto"/>
              <w:right w:val="single" w:sz="4" w:space="0" w:color="auto"/>
            </w:tcBorders>
            <w:shd w:val="clear" w:color="auto" w:fill="C6EFCE"/>
            <w:noWrap/>
            <w:hideMark/>
          </w:tcPr>
          <w:p w14:paraId="5918F1A2"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 xml:space="preserve">Award of </w:t>
            </w:r>
            <w:r w:rsidRPr="003E1CE8">
              <w:rPr>
                <w:rFonts w:ascii="Times New Roman" w:eastAsia="Times New Roman" w:hAnsi="Times New Roman"/>
                <w:noProof/>
                <w:sz w:val="20"/>
                <w:szCs w:val="20"/>
              </w:rPr>
              <w:t xml:space="preserve">projects in line with the call for tender </w:t>
            </w:r>
            <w:r w:rsidRPr="003E1CE8">
              <w:rPr>
                <w:rFonts w:ascii="Times New Roman" w:hAnsi="Times New Roman"/>
                <w:noProof/>
                <w:sz w:val="20"/>
                <w:szCs w:val="20"/>
              </w:rPr>
              <w:t>for the supply, transport and distribution of gypsum</w:t>
            </w:r>
          </w:p>
        </w:tc>
        <w:tc>
          <w:tcPr>
            <w:tcW w:w="756" w:type="dxa"/>
            <w:tcBorders>
              <w:top w:val="nil"/>
              <w:left w:val="nil"/>
              <w:bottom w:val="single" w:sz="4" w:space="0" w:color="auto"/>
              <w:right w:val="single" w:sz="4" w:space="0" w:color="auto"/>
            </w:tcBorders>
            <w:shd w:val="clear" w:color="auto" w:fill="C6EFCE"/>
            <w:noWrap/>
            <w:hideMark/>
          </w:tcPr>
          <w:p w14:paraId="2CFAAA3F" w14:textId="4DC6C782" w:rsidR="00935FC8" w:rsidRPr="003E1CE8" w:rsidRDefault="00935FC8" w:rsidP="00377F11">
            <w:pPr>
              <w:spacing w:after="0" w:line="240" w:lineRule="auto"/>
              <w:jc w:val="center"/>
              <w:rPr>
                <w:rFonts w:ascii="Times New Roman" w:eastAsia="Times New Roman" w:hAnsi="Times New Roman"/>
                <w:noProof/>
                <w:sz w:val="20"/>
                <w:szCs w:val="20"/>
                <w:lang w:eastAsia="en-GB"/>
              </w:rPr>
            </w:pPr>
          </w:p>
        </w:tc>
        <w:tc>
          <w:tcPr>
            <w:tcW w:w="768" w:type="dxa"/>
            <w:tcBorders>
              <w:top w:val="nil"/>
              <w:left w:val="nil"/>
              <w:bottom w:val="single" w:sz="4" w:space="0" w:color="auto"/>
              <w:right w:val="single" w:sz="4" w:space="0" w:color="auto"/>
            </w:tcBorders>
            <w:shd w:val="clear" w:color="auto" w:fill="C6EFCE"/>
            <w:noWrap/>
            <w:hideMark/>
          </w:tcPr>
          <w:p w14:paraId="2761F6EC" w14:textId="5DE0A60F" w:rsidR="00935FC8" w:rsidRPr="003E1CE8" w:rsidRDefault="00935FC8" w:rsidP="00377F11">
            <w:pPr>
              <w:spacing w:after="0" w:line="240" w:lineRule="auto"/>
              <w:jc w:val="center"/>
              <w:rPr>
                <w:rFonts w:ascii="Times New Roman" w:eastAsia="Times New Roman" w:hAnsi="Times New Roman"/>
                <w:noProof/>
                <w:sz w:val="20"/>
                <w:szCs w:val="20"/>
                <w:lang w:eastAsia="en-GB"/>
              </w:rPr>
            </w:pPr>
          </w:p>
        </w:tc>
        <w:tc>
          <w:tcPr>
            <w:tcW w:w="708" w:type="dxa"/>
            <w:tcBorders>
              <w:top w:val="nil"/>
              <w:left w:val="nil"/>
              <w:bottom w:val="single" w:sz="4" w:space="0" w:color="auto"/>
              <w:right w:val="single" w:sz="4" w:space="0" w:color="auto"/>
            </w:tcBorders>
            <w:shd w:val="clear" w:color="auto" w:fill="C6EFCE"/>
            <w:noWrap/>
            <w:hideMark/>
          </w:tcPr>
          <w:p w14:paraId="744A92E0" w14:textId="0E4F7381" w:rsidR="00935FC8" w:rsidRPr="003E1CE8" w:rsidRDefault="00935FC8" w:rsidP="00377F11">
            <w:pPr>
              <w:spacing w:after="0" w:line="240" w:lineRule="auto"/>
              <w:jc w:val="center"/>
              <w:rPr>
                <w:rFonts w:ascii="Times New Roman" w:eastAsia="Times New Roman" w:hAnsi="Times New Roman"/>
                <w:noProof/>
                <w:sz w:val="20"/>
                <w:szCs w:val="20"/>
                <w:lang w:eastAsia="en-GB"/>
              </w:rPr>
            </w:pPr>
          </w:p>
        </w:tc>
        <w:tc>
          <w:tcPr>
            <w:tcW w:w="756" w:type="dxa"/>
            <w:tcBorders>
              <w:top w:val="nil"/>
              <w:left w:val="nil"/>
              <w:bottom w:val="single" w:sz="4" w:space="0" w:color="auto"/>
              <w:right w:val="single" w:sz="4" w:space="0" w:color="auto"/>
            </w:tcBorders>
            <w:shd w:val="clear" w:color="auto" w:fill="C6EFCE"/>
            <w:noWrap/>
            <w:hideMark/>
          </w:tcPr>
          <w:p w14:paraId="6BF17EBA"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Q4</w:t>
            </w:r>
          </w:p>
        </w:tc>
        <w:tc>
          <w:tcPr>
            <w:tcW w:w="567" w:type="dxa"/>
            <w:tcBorders>
              <w:top w:val="nil"/>
              <w:left w:val="nil"/>
              <w:bottom w:val="single" w:sz="4" w:space="0" w:color="auto"/>
              <w:right w:val="single" w:sz="4" w:space="0" w:color="auto"/>
            </w:tcBorders>
            <w:shd w:val="clear" w:color="auto" w:fill="C6EFCE"/>
            <w:noWrap/>
            <w:hideMark/>
          </w:tcPr>
          <w:p w14:paraId="2A97A061"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2022</w:t>
            </w:r>
          </w:p>
        </w:tc>
        <w:tc>
          <w:tcPr>
            <w:tcW w:w="5960" w:type="dxa"/>
            <w:tcBorders>
              <w:top w:val="nil"/>
              <w:left w:val="nil"/>
              <w:bottom w:val="single" w:sz="4" w:space="0" w:color="auto"/>
              <w:right w:val="single" w:sz="4" w:space="0" w:color="auto"/>
            </w:tcBorders>
            <w:shd w:val="clear" w:color="auto" w:fill="C6EFCE"/>
            <w:noWrap/>
          </w:tcPr>
          <w:p w14:paraId="15F077FE"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eastAsia="Times New Roman" w:hAnsi="Times New Roman"/>
                <w:noProof/>
                <w:sz w:val="20"/>
                <w:szCs w:val="20"/>
                <w:lang w:eastAsia="en-GB"/>
              </w:rPr>
              <w:t>Launch of the competitive call for proposals for the supply, transport and distribution of gypsum, with terms of reference including eligibility criteria that ensure that the selected contractors comply with the requirement that at least 50%, in terms of weight, of the processed separately collected non-hazardous waste into secondary raw material and in compliance with the ’Do no significant harm’ Technical Guidance (2021/C58/01) through the use of an exclusion list and the requirement of compliance with the relevant EU and national environmental legislation. Financing under this investment shall not be used to apply gypsum to grow food-based biofuel/bioenergy crops.</w:t>
            </w:r>
          </w:p>
        </w:tc>
      </w:tr>
      <w:tr w:rsidR="00A7081A" w:rsidRPr="003E1CE8" w14:paraId="6D567AFC" w14:textId="77777777" w:rsidTr="003E1CE8">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0FA803C3" w14:textId="77777777" w:rsidR="00935FC8" w:rsidRPr="003E1CE8" w:rsidRDefault="00935FC8">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49</w:t>
            </w:r>
          </w:p>
        </w:tc>
        <w:tc>
          <w:tcPr>
            <w:tcW w:w="1867" w:type="dxa"/>
            <w:tcBorders>
              <w:top w:val="nil"/>
              <w:left w:val="nil"/>
              <w:bottom w:val="single" w:sz="4" w:space="0" w:color="auto"/>
              <w:right w:val="single" w:sz="4" w:space="0" w:color="auto"/>
            </w:tcBorders>
            <w:shd w:val="clear" w:color="auto" w:fill="C6EFCE"/>
            <w:noWrap/>
            <w:hideMark/>
          </w:tcPr>
          <w:p w14:paraId="45EFDB6A" w14:textId="313BCC29" w:rsidR="00935FC8" w:rsidRPr="003E1CE8" w:rsidRDefault="00935FC8" w:rsidP="00577DC1">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P1C5I1 - Environmental sustainability and nature-based solutions – Gypsum treatment and nutrient recycling</w:t>
            </w:r>
          </w:p>
        </w:tc>
        <w:tc>
          <w:tcPr>
            <w:tcW w:w="1011" w:type="dxa"/>
            <w:tcBorders>
              <w:top w:val="nil"/>
              <w:left w:val="nil"/>
              <w:bottom w:val="single" w:sz="4" w:space="0" w:color="auto"/>
              <w:right w:val="single" w:sz="4" w:space="0" w:color="auto"/>
            </w:tcBorders>
            <w:shd w:val="clear" w:color="auto" w:fill="C6EFCE"/>
            <w:noWrap/>
            <w:hideMark/>
          </w:tcPr>
          <w:p w14:paraId="1DC1505F"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Target</w:t>
            </w:r>
          </w:p>
        </w:tc>
        <w:tc>
          <w:tcPr>
            <w:tcW w:w="1433" w:type="dxa"/>
            <w:tcBorders>
              <w:top w:val="single" w:sz="4" w:space="0" w:color="auto"/>
              <w:left w:val="nil"/>
              <w:bottom w:val="single" w:sz="4" w:space="0" w:color="auto"/>
              <w:right w:val="single" w:sz="4" w:space="0" w:color="auto"/>
            </w:tcBorders>
            <w:shd w:val="clear" w:color="auto" w:fill="C6EFCE"/>
            <w:noWrap/>
            <w:hideMark/>
          </w:tcPr>
          <w:p w14:paraId="1C34FE57" w14:textId="785F8941"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eastAsia="Times New Roman" w:hAnsi="Times New Roman"/>
                <w:noProof/>
                <w:sz w:val="20"/>
                <w:szCs w:val="20"/>
                <w:lang w:eastAsia="en-GB"/>
              </w:rPr>
              <w:t>Fields treated with gypsum</w:t>
            </w:r>
          </w:p>
        </w:tc>
        <w:tc>
          <w:tcPr>
            <w:tcW w:w="1359" w:type="dxa"/>
            <w:tcBorders>
              <w:top w:val="nil"/>
              <w:left w:val="nil"/>
              <w:bottom w:val="single" w:sz="4" w:space="0" w:color="auto"/>
              <w:right w:val="single" w:sz="4" w:space="0" w:color="auto"/>
            </w:tcBorders>
            <w:shd w:val="clear" w:color="auto" w:fill="C6EFCE"/>
            <w:noWrap/>
            <w:hideMark/>
          </w:tcPr>
          <w:p w14:paraId="380E216E" w14:textId="77777777" w:rsidR="00935FC8" w:rsidRPr="003E1CE8" w:rsidRDefault="00935FC8" w:rsidP="00A7081A">
            <w:pPr>
              <w:spacing w:after="0" w:line="240" w:lineRule="auto"/>
              <w:rPr>
                <w:rFonts w:ascii="Times New Roman" w:eastAsia="Times New Roman" w:hAnsi="Times New Roman"/>
                <w:noProof/>
                <w:sz w:val="20"/>
                <w:szCs w:val="20"/>
                <w:lang w:eastAsia="en-GB"/>
              </w:rPr>
            </w:pPr>
          </w:p>
        </w:tc>
        <w:tc>
          <w:tcPr>
            <w:tcW w:w="756" w:type="dxa"/>
            <w:tcBorders>
              <w:top w:val="nil"/>
              <w:left w:val="nil"/>
              <w:bottom w:val="single" w:sz="4" w:space="0" w:color="auto"/>
              <w:right w:val="single" w:sz="4" w:space="0" w:color="auto"/>
            </w:tcBorders>
            <w:shd w:val="clear" w:color="auto" w:fill="C6EFCE"/>
            <w:noWrap/>
            <w:hideMark/>
          </w:tcPr>
          <w:p w14:paraId="112539ED"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Hectares</w:t>
            </w:r>
          </w:p>
        </w:tc>
        <w:tc>
          <w:tcPr>
            <w:tcW w:w="768" w:type="dxa"/>
            <w:tcBorders>
              <w:top w:val="nil"/>
              <w:left w:val="nil"/>
              <w:bottom w:val="single" w:sz="4" w:space="0" w:color="auto"/>
              <w:right w:val="single" w:sz="4" w:space="0" w:color="auto"/>
            </w:tcBorders>
            <w:shd w:val="clear" w:color="auto" w:fill="C6EFCE"/>
            <w:noWrap/>
            <w:hideMark/>
          </w:tcPr>
          <w:p w14:paraId="5C2BFF14"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0</w:t>
            </w:r>
          </w:p>
        </w:tc>
        <w:tc>
          <w:tcPr>
            <w:tcW w:w="708" w:type="dxa"/>
            <w:tcBorders>
              <w:top w:val="nil"/>
              <w:left w:val="nil"/>
              <w:bottom w:val="single" w:sz="4" w:space="0" w:color="auto"/>
              <w:right w:val="single" w:sz="4" w:space="0" w:color="auto"/>
            </w:tcBorders>
            <w:shd w:val="clear" w:color="auto" w:fill="C6EFCE"/>
            <w:noWrap/>
            <w:hideMark/>
          </w:tcPr>
          <w:p w14:paraId="1EE59522"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50 000</w:t>
            </w:r>
          </w:p>
        </w:tc>
        <w:tc>
          <w:tcPr>
            <w:tcW w:w="756" w:type="dxa"/>
            <w:tcBorders>
              <w:top w:val="nil"/>
              <w:left w:val="nil"/>
              <w:bottom w:val="single" w:sz="4" w:space="0" w:color="auto"/>
              <w:right w:val="single" w:sz="4" w:space="0" w:color="auto"/>
            </w:tcBorders>
            <w:shd w:val="clear" w:color="auto" w:fill="C6EFCE"/>
            <w:noWrap/>
            <w:hideMark/>
          </w:tcPr>
          <w:p w14:paraId="6896FE49"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Q4</w:t>
            </w:r>
          </w:p>
        </w:tc>
        <w:tc>
          <w:tcPr>
            <w:tcW w:w="567" w:type="dxa"/>
            <w:tcBorders>
              <w:top w:val="nil"/>
              <w:left w:val="nil"/>
              <w:bottom w:val="single" w:sz="4" w:space="0" w:color="auto"/>
              <w:right w:val="single" w:sz="4" w:space="0" w:color="auto"/>
            </w:tcBorders>
            <w:shd w:val="clear" w:color="auto" w:fill="C6EFCE"/>
            <w:noWrap/>
            <w:hideMark/>
          </w:tcPr>
          <w:p w14:paraId="03A6148F"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2025</w:t>
            </w:r>
          </w:p>
        </w:tc>
        <w:tc>
          <w:tcPr>
            <w:tcW w:w="5960" w:type="dxa"/>
            <w:tcBorders>
              <w:top w:val="nil"/>
              <w:left w:val="nil"/>
              <w:bottom w:val="single" w:sz="4" w:space="0" w:color="auto"/>
              <w:right w:val="single" w:sz="4" w:space="0" w:color="auto"/>
            </w:tcBorders>
            <w:shd w:val="clear" w:color="auto" w:fill="C6EFCE"/>
            <w:noWrap/>
            <w:hideMark/>
          </w:tcPr>
          <w:p w14:paraId="156F63DB" w14:textId="08013FD2"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eastAsia="Times New Roman" w:hAnsi="Times New Roman"/>
                <w:noProof/>
                <w:sz w:val="20"/>
                <w:szCs w:val="20"/>
                <w:lang w:eastAsia="en-GB"/>
              </w:rPr>
              <w:t>At least 50 000</w:t>
            </w:r>
            <w:r w:rsidR="00377F11" w:rsidRPr="003E1CE8">
              <w:rPr>
                <w:rFonts w:ascii="Times New Roman" w:eastAsia="Times New Roman" w:hAnsi="Times New Roman"/>
                <w:noProof/>
                <w:sz w:val="20"/>
                <w:szCs w:val="20"/>
                <w:lang w:eastAsia="en-GB"/>
              </w:rPr>
              <w:t> </w:t>
            </w:r>
            <w:r w:rsidRPr="003E1CE8">
              <w:rPr>
                <w:rFonts w:ascii="Times New Roman" w:eastAsia="Times New Roman" w:hAnsi="Times New Roman"/>
                <w:noProof/>
                <w:sz w:val="20"/>
                <w:szCs w:val="20"/>
                <w:lang w:eastAsia="en-GB"/>
              </w:rPr>
              <w:t>hectares of fields shall be treated with gypsum.</w:t>
            </w:r>
          </w:p>
        </w:tc>
      </w:tr>
      <w:tr w:rsidR="00A7081A" w:rsidRPr="003E1CE8" w14:paraId="283ECF6D" w14:textId="77777777" w:rsidTr="003E1CE8">
        <w:trPr>
          <w:trHeight w:val="309"/>
          <w:jc w:val="center"/>
        </w:trPr>
        <w:tc>
          <w:tcPr>
            <w:tcW w:w="768" w:type="dxa"/>
            <w:tcBorders>
              <w:top w:val="nil"/>
              <w:left w:val="single" w:sz="4" w:space="0" w:color="auto"/>
              <w:bottom w:val="single" w:sz="4" w:space="0" w:color="auto"/>
              <w:right w:val="single" w:sz="4" w:space="0" w:color="auto"/>
            </w:tcBorders>
            <w:shd w:val="clear" w:color="auto" w:fill="C6EFCE"/>
            <w:noWrap/>
            <w:hideMark/>
          </w:tcPr>
          <w:p w14:paraId="29B8F8C1" w14:textId="77777777" w:rsidR="00935FC8" w:rsidRPr="003E1CE8" w:rsidRDefault="00935FC8">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50</w:t>
            </w:r>
          </w:p>
        </w:tc>
        <w:tc>
          <w:tcPr>
            <w:tcW w:w="1867" w:type="dxa"/>
            <w:tcBorders>
              <w:top w:val="nil"/>
              <w:left w:val="nil"/>
              <w:bottom w:val="single" w:sz="4" w:space="0" w:color="auto"/>
              <w:right w:val="single" w:sz="4" w:space="0" w:color="auto"/>
            </w:tcBorders>
            <w:shd w:val="clear" w:color="auto" w:fill="C6EFCE"/>
            <w:noWrap/>
            <w:hideMark/>
          </w:tcPr>
          <w:p w14:paraId="03034CF1" w14:textId="50002D00" w:rsidR="00935FC8" w:rsidRPr="003E1CE8" w:rsidRDefault="00935FC8" w:rsidP="00577DC1">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P1C5I1 - Environmental sustainability and nature-based solutions – Gypsum treatment and nutrient recycling</w:t>
            </w:r>
          </w:p>
        </w:tc>
        <w:tc>
          <w:tcPr>
            <w:tcW w:w="1011" w:type="dxa"/>
            <w:tcBorders>
              <w:top w:val="nil"/>
              <w:left w:val="nil"/>
              <w:bottom w:val="single" w:sz="4" w:space="0" w:color="auto"/>
              <w:right w:val="single" w:sz="4" w:space="0" w:color="auto"/>
            </w:tcBorders>
            <w:shd w:val="clear" w:color="auto" w:fill="C6EFCE"/>
            <w:noWrap/>
            <w:hideMark/>
          </w:tcPr>
          <w:p w14:paraId="30AB69E1"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Milestone</w:t>
            </w:r>
          </w:p>
        </w:tc>
        <w:tc>
          <w:tcPr>
            <w:tcW w:w="1433" w:type="dxa"/>
            <w:tcBorders>
              <w:top w:val="single" w:sz="4" w:space="0" w:color="auto"/>
              <w:left w:val="nil"/>
              <w:bottom w:val="single" w:sz="4" w:space="0" w:color="auto"/>
              <w:right w:val="single" w:sz="4" w:space="0" w:color="auto"/>
            </w:tcBorders>
            <w:shd w:val="clear" w:color="auto" w:fill="C6EFCE"/>
            <w:noWrap/>
            <w:hideMark/>
          </w:tcPr>
          <w:p w14:paraId="3B09BCA6"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Nutrient recycling and recovery projects are awarded</w:t>
            </w:r>
          </w:p>
        </w:tc>
        <w:tc>
          <w:tcPr>
            <w:tcW w:w="1359" w:type="dxa"/>
            <w:tcBorders>
              <w:top w:val="nil"/>
              <w:left w:val="nil"/>
              <w:bottom w:val="single" w:sz="4" w:space="0" w:color="auto"/>
              <w:right w:val="single" w:sz="4" w:space="0" w:color="auto"/>
            </w:tcBorders>
            <w:shd w:val="clear" w:color="auto" w:fill="C6EFCE"/>
            <w:noWrap/>
            <w:hideMark/>
          </w:tcPr>
          <w:p w14:paraId="7F9709F6"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 xml:space="preserve">Notification of award of all grants </w:t>
            </w:r>
          </w:p>
        </w:tc>
        <w:tc>
          <w:tcPr>
            <w:tcW w:w="756" w:type="dxa"/>
            <w:tcBorders>
              <w:top w:val="nil"/>
              <w:left w:val="nil"/>
              <w:bottom w:val="single" w:sz="4" w:space="0" w:color="auto"/>
              <w:right w:val="single" w:sz="4" w:space="0" w:color="auto"/>
            </w:tcBorders>
            <w:shd w:val="clear" w:color="auto" w:fill="C6EFCE"/>
            <w:noWrap/>
            <w:hideMark/>
          </w:tcPr>
          <w:p w14:paraId="60662484" w14:textId="190EDE7A" w:rsidR="00935FC8" w:rsidRPr="003E1CE8" w:rsidRDefault="00935FC8" w:rsidP="00377F11">
            <w:pPr>
              <w:spacing w:after="0" w:line="240" w:lineRule="auto"/>
              <w:jc w:val="center"/>
              <w:rPr>
                <w:rFonts w:ascii="Times New Roman" w:eastAsia="Times New Roman" w:hAnsi="Times New Roman"/>
                <w:noProof/>
                <w:sz w:val="20"/>
                <w:szCs w:val="20"/>
                <w:lang w:eastAsia="en-GB"/>
              </w:rPr>
            </w:pPr>
          </w:p>
        </w:tc>
        <w:tc>
          <w:tcPr>
            <w:tcW w:w="768" w:type="dxa"/>
            <w:tcBorders>
              <w:top w:val="nil"/>
              <w:left w:val="nil"/>
              <w:bottom w:val="single" w:sz="4" w:space="0" w:color="auto"/>
              <w:right w:val="single" w:sz="4" w:space="0" w:color="auto"/>
            </w:tcBorders>
            <w:shd w:val="clear" w:color="auto" w:fill="C6EFCE"/>
            <w:noWrap/>
            <w:hideMark/>
          </w:tcPr>
          <w:p w14:paraId="4993C96C" w14:textId="6A79B427" w:rsidR="00935FC8" w:rsidRPr="003E1CE8" w:rsidRDefault="00935FC8" w:rsidP="00377F11">
            <w:pPr>
              <w:spacing w:after="0" w:line="240" w:lineRule="auto"/>
              <w:jc w:val="center"/>
              <w:rPr>
                <w:rFonts w:ascii="Times New Roman" w:eastAsia="Times New Roman" w:hAnsi="Times New Roman"/>
                <w:noProof/>
                <w:sz w:val="20"/>
                <w:szCs w:val="20"/>
                <w:lang w:eastAsia="en-GB"/>
              </w:rPr>
            </w:pPr>
          </w:p>
        </w:tc>
        <w:tc>
          <w:tcPr>
            <w:tcW w:w="708" w:type="dxa"/>
            <w:tcBorders>
              <w:top w:val="nil"/>
              <w:left w:val="nil"/>
              <w:bottom w:val="single" w:sz="4" w:space="0" w:color="auto"/>
              <w:right w:val="single" w:sz="4" w:space="0" w:color="auto"/>
            </w:tcBorders>
            <w:shd w:val="clear" w:color="auto" w:fill="C6EFCE"/>
            <w:noWrap/>
            <w:hideMark/>
          </w:tcPr>
          <w:p w14:paraId="45A31C89" w14:textId="5A012118" w:rsidR="00935FC8" w:rsidRPr="003E1CE8" w:rsidRDefault="00935FC8" w:rsidP="00377F11">
            <w:pPr>
              <w:spacing w:after="0" w:line="240" w:lineRule="auto"/>
              <w:jc w:val="center"/>
              <w:rPr>
                <w:rFonts w:ascii="Times New Roman" w:eastAsia="Times New Roman" w:hAnsi="Times New Roman"/>
                <w:noProof/>
                <w:sz w:val="20"/>
                <w:szCs w:val="20"/>
                <w:lang w:eastAsia="en-GB"/>
              </w:rPr>
            </w:pPr>
          </w:p>
        </w:tc>
        <w:tc>
          <w:tcPr>
            <w:tcW w:w="756" w:type="dxa"/>
            <w:tcBorders>
              <w:top w:val="nil"/>
              <w:left w:val="nil"/>
              <w:bottom w:val="single" w:sz="4" w:space="0" w:color="auto"/>
              <w:right w:val="single" w:sz="4" w:space="0" w:color="auto"/>
            </w:tcBorders>
            <w:shd w:val="clear" w:color="auto" w:fill="C6EFCE"/>
            <w:noWrap/>
            <w:hideMark/>
          </w:tcPr>
          <w:p w14:paraId="1D8A879E"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Q4</w:t>
            </w:r>
          </w:p>
        </w:tc>
        <w:tc>
          <w:tcPr>
            <w:tcW w:w="567" w:type="dxa"/>
            <w:tcBorders>
              <w:top w:val="nil"/>
              <w:left w:val="nil"/>
              <w:bottom w:val="single" w:sz="4" w:space="0" w:color="auto"/>
              <w:right w:val="single" w:sz="4" w:space="0" w:color="auto"/>
            </w:tcBorders>
            <w:shd w:val="clear" w:color="auto" w:fill="C6EFCE"/>
            <w:noWrap/>
            <w:hideMark/>
          </w:tcPr>
          <w:p w14:paraId="668175B0"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2023</w:t>
            </w:r>
          </w:p>
        </w:tc>
        <w:tc>
          <w:tcPr>
            <w:tcW w:w="5960" w:type="dxa"/>
            <w:tcBorders>
              <w:top w:val="nil"/>
              <w:left w:val="nil"/>
              <w:bottom w:val="single" w:sz="4" w:space="0" w:color="auto"/>
              <w:right w:val="single" w:sz="4" w:space="0" w:color="auto"/>
            </w:tcBorders>
            <w:shd w:val="clear" w:color="auto" w:fill="C6EFCE"/>
            <w:noWrap/>
          </w:tcPr>
          <w:p w14:paraId="0F8CD11C"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eastAsia="Times New Roman" w:hAnsi="Times New Roman"/>
                <w:noProof/>
                <w:sz w:val="20"/>
                <w:szCs w:val="20"/>
                <w:lang w:eastAsia="en-GB"/>
              </w:rPr>
              <w:t>Notification of the award of all grants under the open calls for application for nutrient recycling and recovery, in compliance with the ’Do no significant harm’ Technical Guidance (2021/C58/01) through the use of an exclusion list and the requirement of compliance with the relevant EU and national environmental legislation.</w:t>
            </w:r>
          </w:p>
        </w:tc>
      </w:tr>
      <w:tr w:rsidR="00A7081A" w:rsidRPr="003E1CE8" w14:paraId="148757F9" w14:textId="77777777" w:rsidTr="003E1CE8">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0CA8618A" w14:textId="77777777" w:rsidR="00935FC8" w:rsidRPr="003E1CE8" w:rsidRDefault="00935FC8">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51</w:t>
            </w:r>
          </w:p>
        </w:tc>
        <w:tc>
          <w:tcPr>
            <w:tcW w:w="1867" w:type="dxa"/>
            <w:tcBorders>
              <w:top w:val="single" w:sz="4" w:space="0" w:color="auto"/>
              <w:left w:val="nil"/>
              <w:bottom w:val="single" w:sz="4" w:space="0" w:color="auto"/>
              <w:right w:val="single" w:sz="4" w:space="0" w:color="auto"/>
            </w:tcBorders>
            <w:shd w:val="clear" w:color="auto" w:fill="C6EFCE"/>
            <w:noWrap/>
            <w:hideMark/>
          </w:tcPr>
          <w:p w14:paraId="0CF99020" w14:textId="31CB3683" w:rsidR="00935FC8" w:rsidRPr="003E1CE8" w:rsidRDefault="00935FC8" w:rsidP="00577DC1">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P1C5I1 - Environmental sustainability and nature-based solutions – Gypsum treatment and nutrient recycling</w:t>
            </w:r>
          </w:p>
        </w:tc>
        <w:tc>
          <w:tcPr>
            <w:tcW w:w="1011" w:type="dxa"/>
            <w:tcBorders>
              <w:top w:val="single" w:sz="4" w:space="0" w:color="auto"/>
              <w:left w:val="nil"/>
              <w:bottom w:val="single" w:sz="4" w:space="0" w:color="auto"/>
              <w:right w:val="single" w:sz="4" w:space="0" w:color="auto"/>
            </w:tcBorders>
            <w:shd w:val="clear" w:color="auto" w:fill="C6EFCE"/>
            <w:noWrap/>
            <w:hideMark/>
          </w:tcPr>
          <w:p w14:paraId="5D1AE55A"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Target</w:t>
            </w:r>
          </w:p>
        </w:tc>
        <w:tc>
          <w:tcPr>
            <w:tcW w:w="1433" w:type="dxa"/>
            <w:tcBorders>
              <w:top w:val="single" w:sz="4" w:space="0" w:color="auto"/>
              <w:left w:val="nil"/>
              <w:bottom w:val="single" w:sz="4" w:space="0" w:color="auto"/>
              <w:right w:val="single" w:sz="4" w:space="0" w:color="auto"/>
            </w:tcBorders>
            <w:shd w:val="clear" w:color="auto" w:fill="C6EFCE"/>
            <w:noWrap/>
            <w:hideMark/>
          </w:tcPr>
          <w:p w14:paraId="6BDDA3B4"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Project reports submitted</w:t>
            </w:r>
          </w:p>
        </w:tc>
        <w:tc>
          <w:tcPr>
            <w:tcW w:w="1359" w:type="dxa"/>
            <w:tcBorders>
              <w:top w:val="single" w:sz="4" w:space="0" w:color="auto"/>
              <w:left w:val="nil"/>
              <w:bottom w:val="single" w:sz="4" w:space="0" w:color="auto"/>
              <w:right w:val="single" w:sz="4" w:space="0" w:color="auto"/>
            </w:tcBorders>
            <w:shd w:val="clear" w:color="auto" w:fill="C6EFCE"/>
            <w:noWrap/>
            <w:hideMark/>
          </w:tcPr>
          <w:p w14:paraId="30DE33D1" w14:textId="77777777" w:rsidR="00935FC8" w:rsidRPr="003E1CE8" w:rsidRDefault="00935FC8" w:rsidP="00A7081A">
            <w:pPr>
              <w:spacing w:after="0" w:line="240" w:lineRule="auto"/>
              <w:rPr>
                <w:rFonts w:ascii="Times New Roman" w:eastAsia="Times New Roman" w:hAnsi="Times New Roman"/>
                <w:noProof/>
                <w:sz w:val="20"/>
                <w:szCs w:val="20"/>
                <w:lang w:eastAsia="en-GB"/>
              </w:rPr>
            </w:pPr>
          </w:p>
        </w:tc>
        <w:tc>
          <w:tcPr>
            <w:tcW w:w="756" w:type="dxa"/>
            <w:tcBorders>
              <w:top w:val="single" w:sz="4" w:space="0" w:color="auto"/>
              <w:left w:val="nil"/>
              <w:bottom w:val="single" w:sz="4" w:space="0" w:color="auto"/>
              <w:right w:val="single" w:sz="4" w:space="0" w:color="auto"/>
            </w:tcBorders>
            <w:shd w:val="clear" w:color="auto" w:fill="C6EFCE"/>
            <w:noWrap/>
            <w:hideMark/>
          </w:tcPr>
          <w:p w14:paraId="5776A37A"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Number</w:t>
            </w:r>
          </w:p>
        </w:tc>
        <w:tc>
          <w:tcPr>
            <w:tcW w:w="768" w:type="dxa"/>
            <w:tcBorders>
              <w:top w:val="single" w:sz="4" w:space="0" w:color="auto"/>
              <w:left w:val="nil"/>
              <w:bottom w:val="single" w:sz="4" w:space="0" w:color="auto"/>
              <w:right w:val="single" w:sz="4" w:space="0" w:color="auto"/>
            </w:tcBorders>
            <w:shd w:val="clear" w:color="auto" w:fill="C6EFCE"/>
            <w:noWrap/>
            <w:hideMark/>
          </w:tcPr>
          <w:p w14:paraId="7D6A7541"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0</w:t>
            </w:r>
          </w:p>
        </w:tc>
        <w:tc>
          <w:tcPr>
            <w:tcW w:w="708" w:type="dxa"/>
            <w:tcBorders>
              <w:top w:val="single" w:sz="4" w:space="0" w:color="auto"/>
              <w:left w:val="nil"/>
              <w:bottom w:val="single" w:sz="4" w:space="0" w:color="auto"/>
              <w:right w:val="single" w:sz="4" w:space="0" w:color="auto"/>
            </w:tcBorders>
            <w:shd w:val="clear" w:color="auto" w:fill="C6EFCE"/>
            <w:noWrap/>
            <w:hideMark/>
          </w:tcPr>
          <w:p w14:paraId="78213B11"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7</w:t>
            </w:r>
          </w:p>
        </w:tc>
        <w:tc>
          <w:tcPr>
            <w:tcW w:w="756" w:type="dxa"/>
            <w:tcBorders>
              <w:top w:val="single" w:sz="4" w:space="0" w:color="auto"/>
              <w:left w:val="nil"/>
              <w:bottom w:val="single" w:sz="4" w:space="0" w:color="auto"/>
              <w:right w:val="single" w:sz="4" w:space="0" w:color="auto"/>
            </w:tcBorders>
            <w:shd w:val="clear" w:color="auto" w:fill="C6EFCE"/>
            <w:noWrap/>
            <w:hideMark/>
          </w:tcPr>
          <w:p w14:paraId="2DE3F024"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Q4</w:t>
            </w:r>
          </w:p>
        </w:tc>
        <w:tc>
          <w:tcPr>
            <w:tcW w:w="567" w:type="dxa"/>
            <w:tcBorders>
              <w:top w:val="single" w:sz="4" w:space="0" w:color="auto"/>
              <w:left w:val="nil"/>
              <w:bottom w:val="single" w:sz="4" w:space="0" w:color="auto"/>
              <w:right w:val="single" w:sz="4" w:space="0" w:color="auto"/>
            </w:tcBorders>
            <w:shd w:val="clear" w:color="auto" w:fill="C6EFCE"/>
            <w:noWrap/>
            <w:hideMark/>
          </w:tcPr>
          <w:p w14:paraId="1C805D63"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2025</w:t>
            </w:r>
          </w:p>
        </w:tc>
        <w:tc>
          <w:tcPr>
            <w:tcW w:w="5960" w:type="dxa"/>
            <w:tcBorders>
              <w:top w:val="single" w:sz="4" w:space="0" w:color="auto"/>
              <w:left w:val="nil"/>
              <w:bottom w:val="single" w:sz="4" w:space="0" w:color="auto"/>
              <w:right w:val="single" w:sz="4" w:space="0" w:color="auto"/>
            </w:tcBorders>
            <w:shd w:val="clear" w:color="auto" w:fill="C6EFCE"/>
            <w:noWrap/>
          </w:tcPr>
          <w:p w14:paraId="038B5D4F" w14:textId="77777777" w:rsidR="00935FC8" w:rsidRPr="003E1CE8" w:rsidRDefault="00935FC8" w:rsidP="00A7081A">
            <w:pPr>
              <w:spacing w:after="0" w:line="240" w:lineRule="auto"/>
              <w:rPr>
                <w:rFonts w:ascii="Times New Roman" w:hAnsi="Times New Roman"/>
                <w:noProof/>
                <w:sz w:val="20"/>
                <w:szCs w:val="20"/>
              </w:rPr>
            </w:pPr>
            <w:r w:rsidRPr="003E1CE8">
              <w:rPr>
                <w:rFonts w:ascii="Times New Roman" w:hAnsi="Times New Roman"/>
                <w:noProof/>
                <w:sz w:val="20"/>
                <w:szCs w:val="20"/>
              </w:rPr>
              <w:t xml:space="preserve">At least seven reports shall be submitted by recipient entities for projects awarded grants under the calls for application referred to in this measure reaching on average weighted enhanced nutrient recycling and recovery of at least 50% of the recoverable nutrients or biomass in wastewater. </w:t>
            </w:r>
          </w:p>
        </w:tc>
      </w:tr>
      <w:tr w:rsidR="00A7081A" w:rsidRPr="003E1CE8" w14:paraId="67CEE8CC" w14:textId="77777777" w:rsidTr="003E1CE8">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5DAA8D35" w14:textId="572B9C1C" w:rsidR="00935FC8" w:rsidRPr="003E1CE8" w:rsidRDefault="00935FC8" w:rsidP="00E654A0">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52</w:t>
            </w:r>
          </w:p>
        </w:tc>
        <w:tc>
          <w:tcPr>
            <w:tcW w:w="1867" w:type="dxa"/>
            <w:tcBorders>
              <w:top w:val="single" w:sz="4" w:space="0" w:color="auto"/>
              <w:left w:val="nil"/>
              <w:bottom w:val="single" w:sz="4" w:space="0" w:color="auto"/>
              <w:right w:val="single" w:sz="4" w:space="0" w:color="auto"/>
            </w:tcBorders>
            <w:shd w:val="clear" w:color="auto" w:fill="C6EFCE"/>
            <w:noWrap/>
          </w:tcPr>
          <w:p w14:paraId="319C290E" w14:textId="605C7CC6" w:rsidR="00935FC8" w:rsidRPr="003E1CE8" w:rsidRDefault="00935FC8" w:rsidP="00E654A0">
            <w:pPr>
              <w:spacing w:after="0" w:line="240" w:lineRule="auto"/>
              <w:rPr>
                <w:rFonts w:ascii="Times New Roman" w:hAnsi="Times New Roman"/>
                <w:noProof/>
                <w:sz w:val="20"/>
                <w:szCs w:val="20"/>
              </w:rPr>
            </w:pPr>
            <w:r w:rsidRPr="003E1CE8">
              <w:rPr>
                <w:rFonts w:ascii="Times New Roman" w:hAnsi="Times New Roman"/>
                <w:noProof/>
                <w:sz w:val="20"/>
                <w:szCs w:val="20"/>
              </w:rPr>
              <w:t>P1C5I2 -</w:t>
            </w:r>
            <w:r w:rsidR="00E654A0" w:rsidRPr="003E1CE8">
              <w:rPr>
                <w:rFonts w:ascii="Times New Roman" w:hAnsi="Times New Roman"/>
                <w:noProof/>
                <w:sz w:val="20"/>
                <w:szCs w:val="20"/>
              </w:rPr>
              <w:t xml:space="preserve"> </w:t>
            </w:r>
            <w:r w:rsidRPr="003E1CE8">
              <w:rPr>
                <w:rFonts w:ascii="Times New Roman" w:hAnsi="Times New Roman"/>
                <w:noProof/>
                <w:sz w:val="20"/>
                <w:szCs w:val="20"/>
              </w:rPr>
              <w:t>Environmental sustainability and nature-based solutions – climate-resilient measures in the land use sector</w:t>
            </w:r>
          </w:p>
        </w:tc>
        <w:tc>
          <w:tcPr>
            <w:tcW w:w="1011" w:type="dxa"/>
            <w:tcBorders>
              <w:top w:val="single" w:sz="4" w:space="0" w:color="auto"/>
              <w:left w:val="nil"/>
              <w:bottom w:val="single" w:sz="4" w:space="0" w:color="auto"/>
              <w:right w:val="single" w:sz="4" w:space="0" w:color="auto"/>
            </w:tcBorders>
            <w:shd w:val="clear" w:color="auto" w:fill="C6EFCE"/>
            <w:noWrap/>
          </w:tcPr>
          <w:p w14:paraId="4EDFBBC0"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eastAsia="Times New Roman" w:hAnsi="Times New Roman"/>
                <w:noProof/>
                <w:sz w:val="20"/>
                <w:szCs w:val="20"/>
                <w:lang w:eastAsia="en-GB"/>
              </w:rPr>
              <w:t>Milestone</w:t>
            </w:r>
          </w:p>
        </w:tc>
        <w:tc>
          <w:tcPr>
            <w:tcW w:w="1433" w:type="dxa"/>
            <w:tcBorders>
              <w:top w:val="single" w:sz="4" w:space="0" w:color="auto"/>
              <w:left w:val="nil"/>
              <w:bottom w:val="single" w:sz="4" w:space="0" w:color="auto"/>
              <w:right w:val="single" w:sz="4" w:space="0" w:color="auto"/>
            </w:tcBorders>
            <w:shd w:val="clear" w:color="auto" w:fill="C6EFCE"/>
            <w:noWrap/>
          </w:tcPr>
          <w:p w14:paraId="7832A165"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eastAsia="Times New Roman" w:hAnsi="Times New Roman"/>
                <w:noProof/>
                <w:sz w:val="20"/>
                <w:szCs w:val="20"/>
                <w:lang w:eastAsia="en-GB"/>
              </w:rPr>
              <w:t>Publication of the first call for proposals for precision forestry projects</w:t>
            </w:r>
          </w:p>
        </w:tc>
        <w:tc>
          <w:tcPr>
            <w:tcW w:w="1359" w:type="dxa"/>
            <w:tcBorders>
              <w:top w:val="single" w:sz="4" w:space="0" w:color="auto"/>
              <w:left w:val="nil"/>
              <w:bottom w:val="single" w:sz="4" w:space="0" w:color="auto"/>
              <w:right w:val="single" w:sz="4" w:space="0" w:color="auto"/>
            </w:tcBorders>
            <w:shd w:val="clear" w:color="auto" w:fill="C6EFCE"/>
            <w:noWrap/>
          </w:tcPr>
          <w:p w14:paraId="49668811"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eastAsia="Times New Roman" w:hAnsi="Times New Roman"/>
                <w:noProof/>
                <w:sz w:val="20"/>
                <w:szCs w:val="20"/>
                <w:lang w:eastAsia="en-GB"/>
              </w:rPr>
              <w:t>Publication</w:t>
            </w:r>
          </w:p>
        </w:tc>
        <w:tc>
          <w:tcPr>
            <w:tcW w:w="756" w:type="dxa"/>
            <w:tcBorders>
              <w:top w:val="single" w:sz="4" w:space="0" w:color="auto"/>
              <w:left w:val="nil"/>
              <w:bottom w:val="single" w:sz="4" w:space="0" w:color="auto"/>
              <w:right w:val="single" w:sz="4" w:space="0" w:color="auto"/>
            </w:tcBorders>
            <w:shd w:val="clear" w:color="auto" w:fill="C6EFCE"/>
            <w:noWrap/>
          </w:tcPr>
          <w:p w14:paraId="7D7ECF0F"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p>
        </w:tc>
        <w:tc>
          <w:tcPr>
            <w:tcW w:w="768" w:type="dxa"/>
            <w:tcBorders>
              <w:top w:val="single" w:sz="4" w:space="0" w:color="auto"/>
              <w:left w:val="nil"/>
              <w:bottom w:val="single" w:sz="4" w:space="0" w:color="auto"/>
              <w:right w:val="single" w:sz="4" w:space="0" w:color="auto"/>
            </w:tcBorders>
            <w:shd w:val="clear" w:color="auto" w:fill="C6EFCE"/>
            <w:noWrap/>
          </w:tcPr>
          <w:p w14:paraId="04DA7F51"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p>
        </w:tc>
        <w:tc>
          <w:tcPr>
            <w:tcW w:w="708" w:type="dxa"/>
            <w:tcBorders>
              <w:top w:val="single" w:sz="4" w:space="0" w:color="auto"/>
              <w:left w:val="nil"/>
              <w:bottom w:val="single" w:sz="4" w:space="0" w:color="auto"/>
              <w:right w:val="single" w:sz="4" w:space="0" w:color="auto"/>
            </w:tcBorders>
            <w:shd w:val="clear" w:color="auto" w:fill="C6EFCE"/>
            <w:noWrap/>
          </w:tcPr>
          <w:p w14:paraId="4D530C7C"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p>
        </w:tc>
        <w:tc>
          <w:tcPr>
            <w:tcW w:w="756" w:type="dxa"/>
            <w:tcBorders>
              <w:top w:val="single" w:sz="4" w:space="0" w:color="auto"/>
              <w:left w:val="nil"/>
              <w:bottom w:val="single" w:sz="4" w:space="0" w:color="auto"/>
              <w:right w:val="single" w:sz="4" w:space="0" w:color="auto"/>
            </w:tcBorders>
            <w:shd w:val="clear" w:color="auto" w:fill="C6EFCE"/>
            <w:noWrap/>
          </w:tcPr>
          <w:p w14:paraId="0612C485" w14:textId="77777777" w:rsidR="00935FC8" w:rsidRPr="003E1CE8" w:rsidRDefault="00935FC8" w:rsidP="00377F11">
            <w:pPr>
              <w:spacing w:after="0" w:line="240" w:lineRule="auto"/>
              <w:jc w:val="center"/>
              <w:rPr>
                <w:rFonts w:ascii="Times New Roman" w:hAnsi="Times New Roman"/>
                <w:noProof/>
                <w:sz w:val="20"/>
                <w:szCs w:val="20"/>
              </w:rPr>
            </w:pPr>
            <w:r w:rsidRPr="003E1CE8">
              <w:rPr>
                <w:rFonts w:ascii="Times New Roman" w:hAnsi="Times New Roman"/>
                <w:noProof/>
                <w:sz w:val="20"/>
                <w:szCs w:val="20"/>
              </w:rPr>
              <w:t>Q4</w:t>
            </w:r>
          </w:p>
        </w:tc>
        <w:tc>
          <w:tcPr>
            <w:tcW w:w="567" w:type="dxa"/>
            <w:tcBorders>
              <w:top w:val="single" w:sz="4" w:space="0" w:color="auto"/>
              <w:left w:val="nil"/>
              <w:bottom w:val="single" w:sz="4" w:space="0" w:color="auto"/>
              <w:right w:val="single" w:sz="4" w:space="0" w:color="auto"/>
            </w:tcBorders>
            <w:shd w:val="clear" w:color="auto" w:fill="C6EFCE"/>
            <w:noWrap/>
          </w:tcPr>
          <w:p w14:paraId="1909E322" w14:textId="77777777" w:rsidR="00935FC8" w:rsidRPr="003E1CE8" w:rsidRDefault="00935FC8" w:rsidP="00377F11">
            <w:pPr>
              <w:spacing w:after="0" w:line="240" w:lineRule="auto"/>
              <w:jc w:val="center"/>
              <w:rPr>
                <w:rFonts w:ascii="Times New Roman" w:hAnsi="Times New Roman"/>
                <w:noProof/>
                <w:sz w:val="20"/>
                <w:szCs w:val="20"/>
              </w:rPr>
            </w:pPr>
            <w:r w:rsidRPr="003E1CE8">
              <w:rPr>
                <w:rFonts w:ascii="Times New Roman" w:hAnsi="Times New Roman"/>
                <w:noProof/>
                <w:sz w:val="20"/>
                <w:szCs w:val="20"/>
              </w:rPr>
              <w:t>2021</w:t>
            </w:r>
          </w:p>
        </w:tc>
        <w:tc>
          <w:tcPr>
            <w:tcW w:w="5960" w:type="dxa"/>
            <w:tcBorders>
              <w:top w:val="single" w:sz="4" w:space="0" w:color="auto"/>
              <w:left w:val="nil"/>
              <w:bottom w:val="single" w:sz="4" w:space="0" w:color="auto"/>
              <w:right w:val="single" w:sz="4" w:space="0" w:color="auto"/>
            </w:tcBorders>
            <w:shd w:val="clear" w:color="auto" w:fill="C6EFCE"/>
            <w:noWrap/>
          </w:tcPr>
          <w:p w14:paraId="2B5B4766" w14:textId="61743A2A"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eastAsia="Times New Roman" w:hAnsi="Times New Roman"/>
                <w:noProof/>
                <w:sz w:val="20"/>
                <w:szCs w:val="20"/>
                <w:lang w:eastAsia="en-GB"/>
              </w:rPr>
              <w:t>The funding guidelines (Government Decree 5/2021 on grants for climate measures in the land use sector in 2020-2025) have entered into force, enabling the launch of the first competitive call for proposals for precision forestry projects. The terms of reference include eligibility criteria</w:t>
            </w:r>
            <w:r w:rsidR="00377F11" w:rsidRPr="003E1CE8">
              <w:rPr>
                <w:rFonts w:ascii="Times New Roman" w:eastAsia="Times New Roman" w:hAnsi="Times New Roman"/>
                <w:noProof/>
                <w:sz w:val="20"/>
                <w:szCs w:val="20"/>
                <w:lang w:eastAsia="en-GB"/>
              </w:rPr>
              <w:t xml:space="preserve"> </w:t>
            </w:r>
            <w:r w:rsidRPr="003E1CE8">
              <w:rPr>
                <w:rFonts w:ascii="Times New Roman" w:eastAsia="Times New Roman" w:hAnsi="Times New Roman"/>
                <w:noProof/>
                <w:sz w:val="20"/>
                <w:szCs w:val="20"/>
                <w:lang w:eastAsia="en-GB"/>
              </w:rPr>
              <w:t>that ensure that the selected projects comply with the ‘Do no significant harm’ Technical Guidance (2021/C58/01) through the use of an exclusion list and the requirement of compliance with the relevant EU and national environmental legislation. The first call for proposals shall be opened by 31</w:t>
            </w:r>
            <w:r w:rsidR="00377F11" w:rsidRPr="003E1CE8">
              <w:rPr>
                <w:rFonts w:ascii="Times New Roman" w:eastAsia="Times New Roman" w:hAnsi="Times New Roman"/>
                <w:noProof/>
                <w:sz w:val="20"/>
                <w:szCs w:val="20"/>
                <w:lang w:eastAsia="en-GB"/>
              </w:rPr>
              <w:t> </w:t>
            </w:r>
            <w:r w:rsidRPr="003E1CE8">
              <w:rPr>
                <w:rFonts w:ascii="Times New Roman" w:eastAsia="Times New Roman" w:hAnsi="Times New Roman"/>
                <w:noProof/>
                <w:sz w:val="20"/>
                <w:szCs w:val="20"/>
                <w:lang w:eastAsia="en-GB"/>
              </w:rPr>
              <w:t>December</w:t>
            </w:r>
            <w:r w:rsidR="00377F11" w:rsidRPr="003E1CE8">
              <w:rPr>
                <w:rFonts w:ascii="Times New Roman" w:eastAsia="Times New Roman" w:hAnsi="Times New Roman"/>
                <w:noProof/>
                <w:sz w:val="20"/>
                <w:szCs w:val="20"/>
                <w:lang w:eastAsia="en-GB"/>
              </w:rPr>
              <w:t> </w:t>
            </w:r>
            <w:r w:rsidRPr="003E1CE8">
              <w:rPr>
                <w:rFonts w:ascii="Times New Roman" w:eastAsia="Times New Roman" w:hAnsi="Times New Roman"/>
                <w:noProof/>
                <w:sz w:val="20"/>
                <w:szCs w:val="20"/>
                <w:lang w:eastAsia="en-GB"/>
              </w:rPr>
              <w:t>2021. The measure shall include additional methods, technologies and generation of information to promote the sustainability of forests, including by favouring mixed forests and strengthening forest biodiversity, inter alia through increasing the amount of dead wood in the site. In the forests where continuous forest management methods are applied, which implies that there are no clear cuts, there shall be no new or remedial ditching. Only projects that support climate adaptation and mitigation shall be eligible under this measure.</w:t>
            </w:r>
          </w:p>
        </w:tc>
      </w:tr>
      <w:tr w:rsidR="00A7081A" w:rsidRPr="003E1CE8" w14:paraId="1D9FFDF9" w14:textId="77777777" w:rsidTr="003E1CE8">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07C5C4A9" w14:textId="77777777" w:rsidR="00935FC8" w:rsidRPr="003E1CE8" w:rsidRDefault="00935FC8">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53</w:t>
            </w:r>
          </w:p>
        </w:tc>
        <w:tc>
          <w:tcPr>
            <w:tcW w:w="1867" w:type="dxa"/>
            <w:tcBorders>
              <w:top w:val="single" w:sz="4" w:space="0" w:color="auto"/>
              <w:left w:val="nil"/>
              <w:bottom w:val="single" w:sz="4" w:space="0" w:color="auto"/>
              <w:right w:val="single" w:sz="4" w:space="0" w:color="auto"/>
            </w:tcBorders>
            <w:shd w:val="clear" w:color="auto" w:fill="C6EFCE"/>
            <w:noWrap/>
          </w:tcPr>
          <w:p w14:paraId="768C7B48" w14:textId="7E988675" w:rsidR="00935FC8" w:rsidRPr="003E1CE8" w:rsidRDefault="00935FC8" w:rsidP="00E654A0">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P1C5I2 -</w:t>
            </w:r>
            <w:r w:rsidR="00E654A0" w:rsidRPr="003E1CE8">
              <w:rPr>
                <w:rFonts w:ascii="Times New Roman" w:hAnsi="Times New Roman"/>
                <w:noProof/>
                <w:sz w:val="20"/>
                <w:szCs w:val="20"/>
              </w:rPr>
              <w:t xml:space="preserve"> </w:t>
            </w:r>
            <w:r w:rsidRPr="003E1CE8">
              <w:rPr>
                <w:rFonts w:ascii="Times New Roman" w:hAnsi="Times New Roman"/>
                <w:noProof/>
                <w:sz w:val="20"/>
                <w:szCs w:val="20"/>
              </w:rPr>
              <w:t>Environmental sustainability and nature-based solutions – climate-resilient measures in the land use sector</w:t>
            </w:r>
          </w:p>
        </w:tc>
        <w:tc>
          <w:tcPr>
            <w:tcW w:w="1011" w:type="dxa"/>
            <w:tcBorders>
              <w:top w:val="single" w:sz="4" w:space="0" w:color="auto"/>
              <w:left w:val="nil"/>
              <w:bottom w:val="single" w:sz="4" w:space="0" w:color="auto"/>
              <w:right w:val="single" w:sz="4" w:space="0" w:color="auto"/>
            </w:tcBorders>
            <w:shd w:val="clear" w:color="auto" w:fill="C6EFCE"/>
            <w:noWrap/>
          </w:tcPr>
          <w:p w14:paraId="06627491"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Milestone</w:t>
            </w:r>
          </w:p>
        </w:tc>
        <w:tc>
          <w:tcPr>
            <w:tcW w:w="1433" w:type="dxa"/>
            <w:tcBorders>
              <w:top w:val="single" w:sz="4" w:space="0" w:color="auto"/>
              <w:left w:val="nil"/>
              <w:bottom w:val="single" w:sz="4" w:space="0" w:color="auto"/>
              <w:right w:val="single" w:sz="4" w:space="0" w:color="auto"/>
            </w:tcBorders>
            <w:shd w:val="clear" w:color="auto" w:fill="C6EFCE"/>
            <w:noWrap/>
          </w:tcPr>
          <w:p w14:paraId="0A1E9873"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Award of all grants for the precision forestry projects selected for funding</w:t>
            </w:r>
          </w:p>
        </w:tc>
        <w:tc>
          <w:tcPr>
            <w:tcW w:w="1359" w:type="dxa"/>
            <w:tcBorders>
              <w:top w:val="single" w:sz="4" w:space="0" w:color="auto"/>
              <w:left w:val="nil"/>
              <w:bottom w:val="single" w:sz="4" w:space="0" w:color="auto"/>
              <w:right w:val="single" w:sz="4" w:space="0" w:color="auto"/>
            </w:tcBorders>
            <w:shd w:val="clear" w:color="auto" w:fill="C6EFCE"/>
            <w:noWrap/>
          </w:tcPr>
          <w:p w14:paraId="52CB28FA" w14:textId="77AFEB6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Notification of the award of all grants</w:t>
            </w:r>
          </w:p>
        </w:tc>
        <w:tc>
          <w:tcPr>
            <w:tcW w:w="756" w:type="dxa"/>
            <w:tcBorders>
              <w:top w:val="single" w:sz="4" w:space="0" w:color="auto"/>
              <w:left w:val="nil"/>
              <w:bottom w:val="single" w:sz="4" w:space="0" w:color="auto"/>
              <w:right w:val="single" w:sz="4" w:space="0" w:color="auto"/>
            </w:tcBorders>
            <w:shd w:val="clear" w:color="auto" w:fill="C6EFCE"/>
            <w:noWrap/>
          </w:tcPr>
          <w:p w14:paraId="56EFD74F" w14:textId="32E6D97C" w:rsidR="00935FC8" w:rsidRPr="003E1CE8" w:rsidRDefault="00935FC8" w:rsidP="00377F11">
            <w:pPr>
              <w:spacing w:after="0" w:line="240" w:lineRule="auto"/>
              <w:jc w:val="center"/>
              <w:rPr>
                <w:rFonts w:ascii="Times New Roman" w:eastAsia="Times New Roman" w:hAnsi="Times New Roman"/>
                <w:noProof/>
                <w:sz w:val="20"/>
                <w:szCs w:val="20"/>
                <w:lang w:eastAsia="en-GB"/>
              </w:rPr>
            </w:pPr>
          </w:p>
        </w:tc>
        <w:tc>
          <w:tcPr>
            <w:tcW w:w="768" w:type="dxa"/>
            <w:tcBorders>
              <w:top w:val="single" w:sz="4" w:space="0" w:color="auto"/>
              <w:left w:val="nil"/>
              <w:bottom w:val="single" w:sz="4" w:space="0" w:color="auto"/>
              <w:right w:val="single" w:sz="4" w:space="0" w:color="auto"/>
            </w:tcBorders>
            <w:shd w:val="clear" w:color="auto" w:fill="C6EFCE"/>
            <w:noWrap/>
          </w:tcPr>
          <w:p w14:paraId="4A23DF65" w14:textId="5D3248AE" w:rsidR="00935FC8" w:rsidRPr="003E1CE8" w:rsidRDefault="00935FC8" w:rsidP="00377F11">
            <w:pPr>
              <w:spacing w:after="0" w:line="240" w:lineRule="auto"/>
              <w:jc w:val="center"/>
              <w:rPr>
                <w:rFonts w:ascii="Times New Roman" w:eastAsia="Times New Roman" w:hAnsi="Times New Roman"/>
                <w:noProof/>
                <w:sz w:val="20"/>
                <w:szCs w:val="20"/>
                <w:lang w:eastAsia="en-GB"/>
              </w:rPr>
            </w:pPr>
          </w:p>
        </w:tc>
        <w:tc>
          <w:tcPr>
            <w:tcW w:w="708" w:type="dxa"/>
            <w:tcBorders>
              <w:top w:val="single" w:sz="4" w:space="0" w:color="auto"/>
              <w:left w:val="nil"/>
              <w:bottom w:val="single" w:sz="4" w:space="0" w:color="auto"/>
              <w:right w:val="single" w:sz="4" w:space="0" w:color="auto"/>
            </w:tcBorders>
            <w:shd w:val="clear" w:color="auto" w:fill="C6EFCE"/>
            <w:noWrap/>
          </w:tcPr>
          <w:p w14:paraId="5D3DFC88" w14:textId="6D1B24DB" w:rsidR="00935FC8" w:rsidRPr="003E1CE8" w:rsidRDefault="00935FC8" w:rsidP="00377F11">
            <w:pPr>
              <w:spacing w:after="0" w:line="240" w:lineRule="auto"/>
              <w:jc w:val="center"/>
              <w:rPr>
                <w:rFonts w:ascii="Times New Roman" w:eastAsia="Times New Roman" w:hAnsi="Times New Roman"/>
                <w:noProof/>
                <w:sz w:val="20"/>
                <w:szCs w:val="20"/>
                <w:lang w:eastAsia="en-GB"/>
              </w:rPr>
            </w:pPr>
          </w:p>
        </w:tc>
        <w:tc>
          <w:tcPr>
            <w:tcW w:w="756" w:type="dxa"/>
            <w:tcBorders>
              <w:top w:val="single" w:sz="4" w:space="0" w:color="auto"/>
              <w:left w:val="nil"/>
              <w:bottom w:val="single" w:sz="4" w:space="0" w:color="auto"/>
              <w:right w:val="single" w:sz="4" w:space="0" w:color="auto"/>
            </w:tcBorders>
            <w:shd w:val="clear" w:color="auto" w:fill="C6EFCE"/>
            <w:noWrap/>
          </w:tcPr>
          <w:p w14:paraId="2E0DDB41"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Q4</w:t>
            </w:r>
          </w:p>
        </w:tc>
        <w:tc>
          <w:tcPr>
            <w:tcW w:w="567" w:type="dxa"/>
            <w:tcBorders>
              <w:top w:val="single" w:sz="4" w:space="0" w:color="auto"/>
              <w:left w:val="nil"/>
              <w:bottom w:val="single" w:sz="4" w:space="0" w:color="auto"/>
              <w:right w:val="single" w:sz="4" w:space="0" w:color="auto"/>
            </w:tcBorders>
            <w:shd w:val="clear" w:color="auto" w:fill="C6EFCE"/>
            <w:noWrap/>
          </w:tcPr>
          <w:p w14:paraId="64A10B07"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2023</w:t>
            </w:r>
          </w:p>
        </w:tc>
        <w:tc>
          <w:tcPr>
            <w:tcW w:w="5960" w:type="dxa"/>
            <w:tcBorders>
              <w:top w:val="single" w:sz="4" w:space="0" w:color="auto"/>
              <w:left w:val="nil"/>
              <w:bottom w:val="single" w:sz="4" w:space="0" w:color="auto"/>
              <w:right w:val="single" w:sz="4" w:space="0" w:color="auto"/>
            </w:tcBorders>
            <w:shd w:val="clear" w:color="auto" w:fill="C6EFCE"/>
            <w:noWrap/>
          </w:tcPr>
          <w:p w14:paraId="1130F126"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eastAsia="Times New Roman" w:hAnsi="Times New Roman"/>
                <w:noProof/>
                <w:sz w:val="20"/>
                <w:szCs w:val="20"/>
                <w:lang w:eastAsia="en-GB"/>
              </w:rPr>
              <w:t xml:space="preserve">Notification of the award of all grants for precision forestry projects selected under the respective calls for proposals. </w:t>
            </w:r>
            <w:r w:rsidRPr="003E1CE8">
              <w:rPr>
                <w:rFonts w:ascii="Times New Roman" w:hAnsi="Times New Roman"/>
                <w:noProof/>
                <w:sz w:val="20"/>
                <w:szCs w:val="20"/>
              </w:rPr>
              <w:t xml:space="preserve">All calls shall be based on the eligibility/selection criteria </w:t>
            </w:r>
            <w:r w:rsidRPr="003E1CE8">
              <w:rPr>
                <w:rFonts w:ascii="Times New Roman" w:eastAsia="Times New Roman" w:hAnsi="Times New Roman"/>
                <w:noProof/>
                <w:sz w:val="20"/>
                <w:szCs w:val="20"/>
                <w:lang w:eastAsia="en-GB"/>
              </w:rPr>
              <w:t>reflected in milestone 52. All funding award decisions have been awarded to the project beneficiaries/applicants selected under the competitive calls for proposals, enabling the start of the implementation of the selected projects.</w:t>
            </w:r>
          </w:p>
        </w:tc>
      </w:tr>
      <w:tr w:rsidR="00A7081A" w:rsidRPr="003E1CE8" w14:paraId="70620E5F" w14:textId="77777777" w:rsidTr="003E1CE8">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1DDEF1A8" w14:textId="77777777" w:rsidR="00935FC8" w:rsidRPr="003E1CE8" w:rsidRDefault="00935FC8">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54</w:t>
            </w:r>
          </w:p>
        </w:tc>
        <w:tc>
          <w:tcPr>
            <w:tcW w:w="1867" w:type="dxa"/>
            <w:tcBorders>
              <w:top w:val="single" w:sz="4" w:space="0" w:color="auto"/>
              <w:left w:val="nil"/>
              <w:bottom w:val="single" w:sz="4" w:space="0" w:color="auto"/>
              <w:right w:val="single" w:sz="4" w:space="0" w:color="auto"/>
            </w:tcBorders>
            <w:shd w:val="clear" w:color="auto" w:fill="C6EFCE"/>
            <w:noWrap/>
          </w:tcPr>
          <w:p w14:paraId="736E16A3" w14:textId="7860AC99" w:rsidR="00935FC8" w:rsidRPr="003E1CE8" w:rsidRDefault="00935FC8" w:rsidP="00E654A0">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P1C5I2 -</w:t>
            </w:r>
            <w:r w:rsidR="00E654A0" w:rsidRPr="003E1CE8">
              <w:rPr>
                <w:rFonts w:ascii="Times New Roman" w:hAnsi="Times New Roman"/>
                <w:noProof/>
                <w:sz w:val="20"/>
                <w:szCs w:val="20"/>
              </w:rPr>
              <w:t xml:space="preserve"> </w:t>
            </w:r>
            <w:r w:rsidRPr="003E1CE8">
              <w:rPr>
                <w:rFonts w:ascii="Times New Roman" w:hAnsi="Times New Roman"/>
                <w:noProof/>
                <w:sz w:val="20"/>
                <w:szCs w:val="20"/>
              </w:rPr>
              <w:t>Environmental sustainability and nature-based solutions – climate-resilient measures in the land use sector</w:t>
            </w:r>
          </w:p>
        </w:tc>
        <w:tc>
          <w:tcPr>
            <w:tcW w:w="1011" w:type="dxa"/>
            <w:tcBorders>
              <w:top w:val="single" w:sz="4" w:space="0" w:color="auto"/>
              <w:left w:val="nil"/>
              <w:bottom w:val="single" w:sz="4" w:space="0" w:color="auto"/>
              <w:right w:val="single" w:sz="4" w:space="0" w:color="auto"/>
            </w:tcBorders>
            <w:shd w:val="clear" w:color="auto" w:fill="C6EFCE"/>
            <w:noWrap/>
          </w:tcPr>
          <w:p w14:paraId="6167510A"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Target</w:t>
            </w:r>
          </w:p>
        </w:tc>
        <w:tc>
          <w:tcPr>
            <w:tcW w:w="1433" w:type="dxa"/>
            <w:tcBorders>
              <w:top w:val="single" w:sz="4" w:space="0" w:color="auto"/>
              <w:left w:val="nil"/>
              <w:bottom w:val="single" w:sz="4" w:space="0" w:color="auto"/>
              <w:right w:val="single" w:sz="4" w:space="0" w:color="auto"/>
            </w:tcBorders>
            <w:shd w:val="clear" w:color="auto" w:fill="C6EFCE"/>
            <w:noWrap/>
          </w:tcPr>
          <w:p w14:paraId="539CE724" w14:textId="77777777" w:rsidR="00935FC8" w:rsidRPr="003E1CE8" w:rsidRDefault="00935FC8" w:rsidP="00A7081A">
            <w:pPr>
              <w:spacing w:after="0" w:line="240" w:lineRule="auto"/>
              <w:rPr>
                <w:rFonts w:ascii="Times New Roman" w:eastAsia="Times New Roman" w:hAnsi="Times New Roman"/>
                <w:noProof/>
                <w:sz w:val="20"/>
                <w:szCs w:val="20"/>
                <w:lang w:eastAsia="en-GB"/>
              </w:rPr>
            </w:pPr>
            <w:r w:rsidRPr="003E1CE8">
              <w:rPr>
                <w:rFonts w:ascii="Times New Roman" w:hAnsi="Times New Roman"/>
                <w:noProof/>
                <w:sz w:val="20"/>
                <w:szCs w:val="20"/>
              </w:rPr>
              <w:t>Project reports submitted</w:t>
            </w:r>
          </w:p>
        </w:tc>
        <w:tc>
          <w:tcPr>
            <w:tcW w:w="1359" w:type="dxa"/>
            <w:tcBorders>
              <w:top w:val="single" w:sz="4" w:space="0" w:color="auto"/>
              <w:left w:val="nil"/>
              <w:bottom w:val="single" w:sz="4" w:space="0" w:color="auto"/>
              <w:right w:val="single" w:sz="4" w:space="0" w:color="auto"/>
            </w:tcBorders>
            <w:shd w:val="clear" w:color="auto" w:fill="C6EFCE"/>
            <w:noWrap/>
          </w:tcPr>
          <w:p w14:paraId="455C293E" w14:textId="77777777" w:rsidR="00935FC8" w:rsidRPr="003E1CE8" w:rsidRDefault="00935FC8" w:rsidP="00A7081A">
            <w:pPr>
              <w:spacing w:after="0" w:line="240" w:lineRule="auto"/>
              <w:rPr>
                <w:rFonts w:ascii="Times New Roman" w:eastAsia="Times New Roman" w:hAnsi="Times New Roman"/>
                <w:noProof/>
                <w:sz w:val="20"/>
                <w:szCs w:val="20"/>
                <w:lang w:eastAsia="en-GB"/>
              </w:rPr>
            </w:pPr>
          </w:p>
        </w:tc>
        <w:tc>
          <w:tcPr>
            <w:tcW w:w="756" w:type="dxa"/>
            <w:tcBorders>
              <w:top w:val="single" w:sz="4" w:space="0" w:color="auto"/>
              <w:left w:val="nil"/>
              <w:bottom w:val="single" w:sz="4" w:space="0" w:color="auto"/>
              <w:right w:val="single" w:sz="4" w:space="0" w:color="auto"/>
            </w:tcBorders>
            <w:shd w:val="clear" w:color="auto" w:fill="C6EFCE"/>
            <w:noWrap/>
          </w:tcPr>
          <w:p w14:paraId="7BA70F34"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Number</w:t>
            </w:r>
          </w:p>
        </w:tc>
        <w:tc>
          <w:tcPr>
            <w:tcW w:w="768" w:type="dxa"/>
            <w:tcBorders>
              <w:top w:val="single" w:sz="4" w:space="0" w:color="auto"/>
              <w:left w:val="nil"/>
              <w:bottom w:val="single" w:sz="4" w:space="0" w:color="auto"/>
              <w:right w:val="single" w:sz="4" w:space="0" w:color="auto"/>
            </w:tcBorders>
            <w:shd w:val="clear" w:color="auto" w:fill="C6EFCE"/>
            <w:noWrap/>
          </w:tcPr>
          <w:p w14:paraId="52FF3C5E"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0</w:t>
            </w:r>
          </w:p>
        </w:tc>
        <w:tc>
          <w:tcPr>
            <w:tcW w:w="708" w:type="dxa"/>
            <w:tcBorders>
              <w:top w:val="single" w:sz="4" w:space="0" w:color="auto"/>
              <w:left w:val="nil"/>
              <w:bottom w:val="single" w:sz="4" w:space="0" w:color="auto"/>
              <w:right w:val="single" w:sz="4" w:space="0" w:color="auto"/>
            </w:tcBorders>
            <w:shd w:val="clear" w:color="auto" w:fill="C6EFCE"/>
            <w:noWrap/>
          </w:tcPr>
          <w:p w14:paraId="24BBD35E"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7</w:t>
            </w:r>
          </w:p>
        </w:tc>
        <w:tc>
          <w:tcPr>
            <w:tcW w:w="756" w:type="dxa"/>
            <w:tcBorders>
              <w:top w:val="single" w:sz="4" w:space="0" w:color="auto"/>
              <w:left w:val="nil"/>
              <w:bottom w:val="single" w:sz="4" w:space="0" w:color="auto"/>
              <w:right w:val="single" w:sz="4" w:space="0" w:color="auto"/>
            </w:tcBorders>
            <w:shd w:val="clear" w:color="auto" w:fill="C6EFCE"/>
            <w:noWrap/>
          </w:tcPr>
          <w:p w14:paraId="54A8823B"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Q4</w:t>
            </w:r>
          </w:p>
        </w:tc>
        <w:tc>
          <w:tcPr>
            <w:tcW w:w="567" w:type="dxa"/>
            <w:tcBorders>
              <w:top w:val="single" w:sz="4" w:space="0" w:color="auto"/>
              <w:left w:val="nil"/>
              <w:bottom w:val="single" w:sz="4" w:space="0" w:color="auto"/>
              <w:right w:val="single" w:sz="4" w:space="0" w:color="auto"/>
            </w:tcBorders>
            <w:shd w:val="clear" w:color="auto" w:fill="C6EFCE"/>
            <w:noWrap/>
          </w:tcPr>
          <w:p w14:paraId="5F98FD67" w14:textId="77777777" w:rsidR="00935FC8" w:rsidRPr="003E1CE8" w:rsidRDefault="00935FC8" w:rsidP="00377F11">
            <w:pPr>
              <w:spacing w:after="0" w:line="240" w:lineRule="auto"/>
              <w:jc w:val="center"/>
              <w:rPr>
                <w:rFonts w:ascii="Times New Roman" w:eastAsia="Times New Roman" w:hAnsi="Times New Roman"/>
                <w:noProof/>
                <w:sz w:val="20"/>
                <w:szCs w:val="20"/>
                <w:lang w:eastAsia="en-GB"/>
              </w:rPr>
            </w:pPr>
            <w:r w:rsidRPr="003E1CE8">
              <w:rPr>
                <w:rFonts w:ascii="Times New Roman" w:hAnsi="Times New Roman"/>
                <w:noProof/>
                <w:sz w:val="20"/>
                <w:szCs w:val="20"/>
              </w:rPr>
              <w:t>2025</w:t>
            </w:r>
          </w:p>
        </w:tc>
        <w:tc>
          <w:tcPr>
            <w:tcW w:w="5960" w:type="dxa"/>
            <w:tcBorders>
              <w:top w:val="single" w:sz="4" w:space="0" w:color="auto"/>
              <w:left w:val="nil"/>
              <w:bottom w:val="single" w:sz="4" w:space="0" w:color="auto"/>
              <w:right w:val="single" w:sz="4" w:space="0" w:color="auto"/>
            </w:tcBorders>
            <w:shd w:val="clear" w:color="auto" w:fill="C6EFCE"/>
            <w:noWrap/>
          </w:tcPr>
          <w:p w14:paraId="0B3E4ECF" w14:textId="42E8597D" w:rsidR="00935FC8" w:rsidRPr="003E1CE8" w:rsidRDefault="00935FC8" w:rsidP="00A7081A">
            <w:pPr>
              <w:spacing w:after="0" w:line="240" w:lineRule="auto"/>
              <w:rPr>
                <w:rFonts w:ascii="Times New Roman" w:hAnsi="Times New Roman"/>
                <w:noProof/>
                <w:sz w:val="20"/>
                <w:szCs w:val="20"/>
              </w:rPr>
            </w:pPr>
            <w:r w:rsidRPr="003E1CE8">
              <w:rPr>
                <w:rFonts w:ascii="Times New Roman" w:hAnsi="Times New Roman"/>
                <w:noProof/>
                <w:sz w:val="20"/>
                <w:szCs w:val="20"/>
              </w:rPr>
              <w:t>At least seven project reports shall be submitted by recipient entities for projects awarded grants under the calls for applications referred to in this measure.</w:t>
            </w:r>
          </w:p>
        </w:tc>
      </w:tr>
    </w:tbl>
    <w:p w14:paraId="7CCE5509" w14:textId="77777777" w:rsidR="00935FC8" w:rsidRPr="00224AAD" w:rsidRDefault="00935FC8">
      <w:pPr>
        <w:spacing w:before="120" w:after="120" w:line="240" w:lineRule="auto"/>
        <w:jc w:val="both"/>
        <w:rPr>
          <w:rFonts w:ascii="Times New Roman" w:hAnsi="Times New Roman"/>
          <w:noProof/>
          <w:sz w:val="24"/>
        </w:rPr>
      </w:pPr>
    </w:p>
    <w:p w14:paraId="12A1244C" w14:textId="2FCA6537" w:rsidR="00935FC8" w:rsidRPr="00224AAD" w:rsidRDefault="00935FC8">
      <w:pPr>
        <w:tabs>
          <w:tab w:val="left" w:pos="2750"/>
        </w:tabs>
        <w:spacing w:before="120" w:after="120" w:line="240" w:lineRule="auto"/>
        <w:jc w:val="both"/>
        <w:rPr>
          <w:rFonts w:ascii="Times New Roman" w:hAnsi="Times New Roman"/>
          <w:noProof/>
          <w:sz w:val="24"/>
        </w:rPr>
        <w:sectPr w:rsidR="00935FC8" w:rsidRPr="00224AAD" w:rsidSect="00A7081A">
          <w:headerReference w:type="even" r:id="rId71"/>
          <w:headerReference w:type="default" r:id="rId72"/>
          <w:footerReference w:type="even" r:id="rId73"/>
          <w:footerReference w:type="default" r:id="rId74"/>
          <w:headerReference w:type="first" r:id="rId75"/>
          <w:footerReference w:type="first" r:id="rId76"/>
          <w:pgSz w:w="16839" w:h="11907" w:orient="landscape"/>
          <w:pgMar w:top="1134" w:right="1134" w:bottom="1134" w:left="1134" w:header="567" w:footer="567" w:gutter="0"/>
          <w:cols w:space="720"/>
          <w:docGrid w:linePitch="360"/>
        </w:sectPr>
      </w:pPr>
    </w:p>
    <w:p w14:paraId="4AFA2BFC" w14:textId="77777777" w:rsidR="00935FC8" w:rsidRPr="00224AAD" w:rsidRDefault="00935FC8">
      <w:pPr>
        <w:pStyle w:val="Heading3"/>
        <w:numPr>
          <w:ilvl w:val="0"/>
          <w:numId w:val="0"/>
        </w:numPr>
        <w:spacing w:after="240"/>
        <w:rPr>
          <w:b/>
          <w:i w:val="0"/>
          <w:noProof/>
        </w:rPr>
      </w:pPr>
      <w:r w:rsidRPr="00224AAD">
        <w:rPr>
          <w:b/>
          <w:i w:val="0"/>
          <w:noProof/>
        </w:rPr>
        <w:t xml:space="preserve">PILLAR 2: Digitalisation and the data economy will strengthen productivity and make services available to everyone </w:t>
      </w:r>
    </w:p>
    <w:p w14:paraId="7A763B1C" w14:textId="77777777" w:rsidR="00935FC8" w:rsidRPr="00224AAD" w:rsidRDefault="00935FC8">
      <w:pPr>
        <w:pStyle w:val="Heading4"/>
        <w:numPr>
          <w:ilvl w:val="0"/>
          <w:numId w:val="0"/>
        </w:numPr>
        <w:rPr>
          <w:b/>
          <w:noProof/>
        </w:rPr>
      </w:pPr>
      <w:r w:rsidRPr="00224AAD">
        <w:rPr>
          <w:b/>
          <w:noProof/>
        </w:rPr>
        <w:t>F. COMPONENT P2C1: DIGITAL INFRASTRUCTURE</w:t>
      </w:r>
    </w:p>
    <w:p w14:paraId="24C695D6" w14:textId="77777777" w:rsidR="00935FC8" w:rsidRPr="00224AAD" w:rsidRDefault="00935FC8">
      <w:pPr>
        <w:spacing w:before="120" w:after="120" w:line="240" w:lineRule="auto"/>
        <w:jc w:val="both"/>
        <w:rPr>
          <w:rFonts w:ascii="Times New Roman" w:hAnsi="Times New Roman"/>
          <w:noProof/>
          <w:sz w:val="24"/>
          <w:szCs w:val="24"/>
        </w:rPr>
      </w:pPr>
      <w:r w:rsidRPr="00224AAD">
        <w:rPr>
          <w:rFonts w:ascii="Times New Roman" w:hAnsi="Times New Roman"/>
          <w:noProof/>
          <w:sz w:val="24"/>
          <w:szCs w:val="24"/>
        </w:rPr>
        <w:t xml:space="preserve">This component of the Finnish recovery and resilience plan includes investments in communication and transport infrastructure to meet the needs of an increasingly digital society. </w:t>
      </w:r>
    </w:p>
    <w:p w14:paraId="716F0589" w14:textId="77777777" w:rsidR="00935FC8" w:rsidRPr="00224AAD" w:rsidRDefault="00935FC8">
      <w:pPr>
        <w:spacing w:before="120" w:after="120" w:line="240" w:lineRule="auto"/>
        <w:jc w:val="both"/>
        <w:rPr>
          <w:rFonts w:ascii="Times New Roman" w:hAnsi="Times New Roman"/>
          <w:noProof/>
          <w:sz w:val="24"/>
          <w:szCs w:val="24"/>
        </w:rPr>
      </w:pPr>
      <w:r w:rsidRPr="00224AAD">
        <w:rPr>
          <w:rFonts w:ascii="Times New Roman" w:hAnsi="Times New Roman"/>
          <w:noProof/>
          <w:sz w:val="24"/>
          <w:szCs w:val="24"/>
        </w:rPr>
        <w:t xml:space="preserve">First, Finland aims to invest in the digitalisation of rail transport, which shall help Finland meet its emission reduction targets, increase the capacity of the system, and improve service quality. In particular, the ‘Digirail’ project aims to introduce a new automatic train protection system on the entire Finnish network, as the current system will reach the end of its lifetime by the end of this decade. The implementation of the project shall help to ensure rail services that are fit for the future. </w:t>
      </w:r>
    </w:p>
    <w:p w14:paraId="4B344DF5" w14:textId="77777777" w:rsidR="00935FC8" w:rsidRPr="00224AAD" w:rsidRDefault="00935FC8">
      <w:pPr>
        <w:spacing w:before="120" w:after="120" w:line="240" w:lineRule="auto"/>
        <w:jc w:val="both"/>
        <w:rPr>
          <w:rFonts w:ascii="Times New Roman" w:hAnsi="Times New Roman"/>
          <w:noProof/>
          <w:sz w:val="24"/>
        </w:rPr>
      </w:pPr>
      <w:r w:rsidRPr="00224AAD">
        <w:rPr>
          <w:rFonts w:ascii="Times New Roman" w:hAnsi="Times New Roman"/>
          <w:noProof/>
          <w:sz w:val="24"/>
        </w:rPr>
        <w:t xml:space="preserve">Second, Finland intends to use non-repayable support to finance private investments in high-speed broadband networks in areas where access would not be provided on a commercial basis. The component aims to address the remaining gaps in high-speed broadband infrastructure across Finland, in particular in rural areas that have lower access rates. Comprehensive, high-quality and fast communication networks are needed across Finland as the digitalisation of work and industrial production increases and services are shifted to digital channels. The deployment of new digital solutions across sectors require fast and reliable communication networks, especially for critical applications. </w:t>
      </w:r>
    </w:p>
    <w:p w14:paraId="309F8D24" w14:textId="77777777" w:rsidR="00935FC8" w:rsidRPr="00224AAD" w:rsidRDefault="00935FC8">
      <w:pPr>
        <w:spacing w:before="120" w:after="120" w:line="240" w:lineRule="auto"/>
        <w:jc w:val="both"/>
        <w:rPr>
          <w:rFonts w:ascii="Times New Roman" w:hAnsi="Times New Roman"/>
          <w:noProof/>
          <w:sz w:val="24"/>
          <w:szCs w:val="24"/>
        </w:rPr>
      </w:pPr>
      <w:r w:rsidRPr="00224AAD">
        <w:rPr>
          <w:rFonts w:ascii="Times New Roman" w:hAnsi="Times New Roman"/>
          <w:noProof/>
          <w:sz w:val="24"/>
          <w:szCs w:val="24"/>
        </w:rPr>
        <w:t>The component contributes to addressing Country Specific Recommendations to focus investment on the green and digital transition, in particular on sustainable and efficient infrastructure (Country Specific Recommendation 3 2020), as well as to focus investment-related economic policy sustainable transport, taking into account regional disparities (Country Specific Recommendation 3 2019).</w:t>
      </w:r>
    </w:p>
    <w:p w14:paraId="73F66F73" w14:textId="77777777" w:rsidR="00935FC8" w:rsidRPr="00224AAD" w:rsidRDefault="00935FC8">
      <w:pPr>
        <w:spacing w:before="120" w:after="120" w:line="240" w:lineRule="auto"/>
        <w:jc w:val="both"/>
        <w:rPr>
          <w:rFonts w:ascii="Times New Roman" w:eastAsia="Times New Roman" w:hAnsi="Times New Roman"/>
          <w:noProof/>
        </w:rPr>
      </w:pPr>
      <w:r w:rsidRPr="00224AAD">
        <w:rPr>
          <w:rFonts w:ascii="Times New Roman" w:eastAsia="Times New Roman" w:hAnsi="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01E72A8" w14:textId="77777777" w:rsidR="00935FC8" w:rsidRPr="00374BE0" w:rsidRDefault="00935FC8" w:rsidP="00A7081A">
      <w:pPr>
        <w:spacing w:before="120" w:after="120" w:line="240" w:lineRule="auto"/>
        <w:jc w:val="both"/>
        <w:rPr>
          <w:rFonts w:ascii="Times New Roman" w:hAnsi="Times New Roman"/>
          <w:b/>
          <w:noProof/>
          <w:sz w:val="24"/>
          <w:szCs w:val="24"/>
          <w:u w:val="single"/>
        </w:rPr>
      </w:pPr>
      <w:r w:rsidRPr="00374BE0">
        <w:rPr>
          <w:rFonts w:ascii="Times New Roman" w:hAnsi="Times New Roman"/>
          <w:b/>
          <w:noProof/>
          <w:sz w:val="24"/>
          <w:szCs w:val="24"/>
          <w:u w:val="single"/>
        </w:rPr>
        <w:t xml:space="preserve">F.1. </w:t>
      </w:r>
      <w:r w:rsidRPr="00374BE0">
        <w:rPr>
          <w:noProof/>
        </w:rPr>
        <w:tab/>
      </w:r>
      <w:r w:rsidRPr="00374BE0">
        <w:rPr>
          <w:rFonts w:ascii="Times New Roman" w:hAnsi="Times New Roman"/>
          <w:b/>
          <w:noProof/>
          <w:sz w:val="24"/>
          <w:szCs w:val="24"/>
          <w:u w:val="single"/>
        </w:rPr>
        <w:t>Description of the reforms and investments for non-repayable financial support</w:t>
      </w:r>
    </w:p>
    <w:p w14:paraId="3B2175D1" w14:textId="77777777" w:rsidR="00935FC8" w:rsidRPr="00D0136A"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1 (P2C1I1): Digital connectivity - Developing the quality and availability of communications networks</w:t>
      </w:r>
      <w:r w:rsidRPr="00224AAD">
        <w:rPr>
          <w:rFonts w:ascii="Times New Roman" w:hAnsi="Times New Roman"/>
          <w:noProof/>
          <w:sz w:val="24"/>
          <w:szCs w:val="24"/>
          <w:u w:val="single"/>
        </w:rPr>
        <w:t xml:space="preserve"> </w:t>
      </w:r>
    </w:p>
    <w:p w14:paraId="0DB1A427" w14:textId="77777777" w:rsidR="00935FC8" w:rsidRPr="00B555B3" w:rsidRDefault="00935FC8">
      <w:pPr>
        <w:spacing w:before="120" w:after="120" w:line="240" w:lineRule="auto"/>
        <w:jc w:val="both"/>
        <w:rPr>
          <w:rFonts w:ascii="Times New Roman" w:hAnsi="Times New Roman"/>
          <w:noProof/>
          <w:sz w:val="24"/>
          <w:szCs w:val="24"/>
        </w:rPr>
      </w:pPr>
      <w:r w:rsidRPr="00224AAD">
        <w:rPr>
          <w:rFonts w:ascii="Times New Roman" w:hAnsi="Times New Roman"/>
          <w:noProof/>
          <w:sz w:val="24"/>
          <w:szCs w:val="24"/>
        </w:rPr>
        <w:t xml:space="preserve">The objective of this investment is to increase the quality and availability of communication connections in areas where such connections are not provided based on market mechanisms alone and provide </w:t>
      </w:r>
      <w:r w:rsidRPr="00D0136A">
        <w:rPr>
          <w:rFonts w:ascii="Times New Roman" w:hAnsi="Times New Roman"/>
          <w:noProof/>
          <w:sz w:val="24"/>
          <w:szCs w:val="24"/>
        </w:rPr>
        <w:t>grant support to</w:t>
      </w:r>
      <w:r w:rsidRPr="00224AAD">
        <w:rPr>
          <w:rFonts w:ascii="Times New Roman" w:hAnsi="Times New Roman"/>
          <w:noProof/>
          <w:sz w:val="24"/>
          <w:szCs w:val="24"/>
        </w:rPr>
        <w:t xml:space="preserve"> broadband providers.</w:t>
      </w:r>
      <w:r>
        <w:rPr>
          <w:rFonts w:ascii="Times New Roman" w:hAnsi="Times New Roman"/>
          <w:noProof/>
          <w:sz w:val="24"/>
          <w:szCs w:val="24"/>
        </w:rPr>
        <w:t xml:space="preserve"> </w:t>
      </w:r>
      <w:r w:rsidRPr="00D0136A">
        <w:rPr>
          <w:rFonts w:ascii="Times New Roman" w:hAnsi="Times New Roman"/>
          <w:noProof/>
          <w:sz w:val="24"/>
          <w:szCs w:val="24"/>
        </w:rPr>
        <w:t xml:space="preserve">The measure consists of the adoption of a </w:t>
      </w:r>
      <w:r w:rsidRPr="0085599B">
        <w:rPr>
          <w:rFonts w:ascii="Times New Roman" w:hAnsi="Times New Roman"/>
          <w:noProof/>
          <w:sz w:val="24"/>
          <w:szCs w:val="24"/>
        </w:rPr>
        <w:t xml:space="preserve">legal act for the </w:t>
      </w:r>
      <w:r w:rsidRPr="00D0136A">
        <w:rPr>
          <w:rFonts w:ascii="Times New Roman" w:hAnsi="Times New Roman"/>
          <w:noProof/>
          <w:sz w:val="24"/>
          <w:szCs w:val="24"/>
        </w:rPr>
        <w:t>high-speed broadband programme</w:t>
      </w:r>
      <w:r w:rsidRPr="00224AAD">
        <w:rPr>
          <w:rFonts w:ascii="Times New Roman" w:hAnsi="Times New Roman"/>
          <w:noProof/>
          <w:sz w:val="24"/>
          <w:szCs w:val="24"/>
        </w:rPr>
        <w:t xml:space="preserve"> and </w:t>
      </w:r>
      <w:r w:rsidRPr="0085599B">
        <w:rPr>
          <w:rFonts w:ascii="Times New Roman" w:hAnsi="Times New Roman"/>
          <w:noProof/>
          <w:sz w:val="24"/>
          <w:szCs w:val="24"/>
        </w:rPr>
        <w:t>of high-speed broadband projects</w:t>
      </w:r>
      <w:r w:rsidRPr="00D0136A">
        <w:rPr>
          <w:rFonts w:ascii="Times New Roman" w:hAnsi="Times New Roman"/>
          <w:noProof/>
          <w:sz w:val="24"/>
          <w:szCs w:val="24"/>
        </w:rPr>
        <w:t>.</w:t>
      </w:r>
      <w:r w:rsidRPr="00224AAD">
        <w:rPr>
          <w:rFonts w:ascii="Times New Roman" w:hAnsi="Times New Roman"/>
          <w:noProof/>
          <w:sz w:val="24"/>
          <w:szCs w:val="24"/>
        </w:rPr>
        <w:t xml:space="preserve"> </w:t>
      </w:r>
    </w:p>
    <w:p w14:paraId="72F31BBF" w14:textId="77777777" w:rsidR="00935FC8" w:rsidRDefault="00935FC8" w:rsidP="00A7081A">
      <w:pPr>
        <w:spacing w:before="120" w:after="120" w:line="240" w:lineRule="auto"/>
        <w:jc w:val="both"/>
        <w:rPr>
          <w:rFonts w:ascii="Times New Roman" w:hAnsi="Times New Roman"/>
          <w:noProof/>
          <w:sz w:val="24"/>
        </w:rPr>
      </w:pPr>
      <w:r w:rsidRPr="00D0136A">
        <w:rPr>
          <w:rFonts w:ascii="Times New Roman" w:hAnsi="Times New Roman"/>
          <w:noProof/>
          <w:sz w:val="24"/>
          <w:szCs w:val="24"/>
          <w:u w:val="single"/>
        </w:rPr>
        <w:t>Investment 2 (P2C1I2): Transport and land use - Digirail project</w:t>
      </w:r>
    </w:p>
    <w:p w14:paraId="737C5556" w14:textId="77777777" w:rsidR="00935FC8" w:rsidRPr="00374BE0" w:rsidRDefault="00935FC8" w:rsidP="00A7081A">
      <w:pPr>
        <w:spacing w:before="120" w:after="120" w:line="240" w:lineRule="auto"/>
        <w:jc w:val="both"/>
        <w:rPr>
          <w:rFonts w:ascii="Times New Roman" w:hAnsi="Times New Roman"/>
          <w:noProof/>
          <w:sz w:val="24"/>
          <w:szCs w:val="24"/>
        </w:rPr>
      </w:pPr>
      <w:r w:rsidRPr="00374BE0">
        <w:rPr>
          <w:rFonts w:ascii="Times New Roman" w:hAnsi="Times New Roman"/>
          <w:noProof/>
          <w:sz w:val="24"/>
          <w:szCs w:val="24"/>
        </w:rPr>
        <w:t xml:space="preserve">This objective of the </w:t>
      </w:r>
      <w:r w:rsidRPr="00224AAD">
        <w:rPr>
          <w:rFonts w:ascii="Times New Roman" w:hAnsi="Times New Roman"/>
          <w:noProof/>
          <w:sz w:val="24"/>
          <w:szCs w:val="24"/>
        </w:rPr>
        <w:t>investment is to test the European Rail Traffic Management System (ERTMS) in Finland’s rail networ</w:t>
      </w:r>
      <w:r w:rsidRPr="00D0136A">
        <w:rPr>
          <w:rFonts w:ascii="Times New Roman" w:hAnsi="Times New Roman"/>
          <w:noProof/>
          <w:sz w:val="24"/>
          <w:szCs w:val="24"/>
        </w:rPr>
        <w:t>k.</w:t>
      </w:r>
      <w:r>
        <w:rPr>
          <w:rFonts w:ascii="Times New Roman" w:hAnsi="Times New Roman"/>
          <w:noProof/>
          <w:sz w:val="24"/>
          <w:szCs w:val="24"/>
        </w:rPr>
        <w:t xml:space="preserve"> </w:t>
      </w:r>
      <w:r w:rsidRPr="00224AAD">
        <w:rPr>
          <w:rFonts w:ascii="Times New Roman" w:hAnsi="Times New Roman"/>
          <w:noProof/>
          <w:sz w:val="24"/>
          <w:szCs w:val="24"/>
        </w:rPr>
        <w:t xml:space="preserve">This measure consists </w:t>
      </w:r>
      <w:r w:rsidRPr="00D0136A">
        <w:rPr>
          <w:rFonts w:ascii="Times New Roman" w:hAnsi="Times New Roman"/>
          <w:noProof/>
          <w:sz w:val="24"/>
          <w:szCs w:val="24"/>
        </w:rPr>
        <w:t>of</w:t>
      </w:r>
      <w:r w:rsidRPr="00B555B3">
        <w:rPr>
          <w:rFonts w:ascii="Times New Roman" w:hAnsi="Times New Roman"/>
          <w:noProof/>
          <w:sz w:val="24"/>
          <w:szCs w:val="24"/>
        </w:rPr>
        <w:t xml:space="preserve"> the installation of the ERTMS system in a pilot track.</w:t>
      </w:r>
    </w:p>
    <w:p w14:paraId="03E2B444" w14:textId="77777777" w:rsidR="00935FC8" w:rsidRDefault="00935FC8" w:rsidP="00A7081A">
      <w:pPr>
        <w:spacing w:before="120" w:after="120" w:line="240" w:lineRule="auto"/>
        <w:rPr>
          <w:rFonts w:ascii="Times New Roman" w:hAnsi="Times New Roman"/>
          <w:noProof/>
          <w:sz w:val="24"/>
        </w:rPr>
        <w:sectPr w:rsidR="00935FC8" w:rsidSect="00A7081A">
          <w:headerReference w:type="even" r:id="rId77"/>
          <w:headerReference w:type="default" r:id="rId78"/>
          <w:footerReference w:type="even" r:id="rId79"/>
          <w:footerReference w:type="default" r:id="rId80"/>
          <w:headerReference w:type="first" r:id="rId81"/>
          <w:footerReference w:type="first" r:id="rId82"/>
          <w:pgSz w:w="11907" w:h="16839"/>
          <w:pgMar w:top="1134" w:right="1134" w:bottom="1134" w:left="1134" w:header="567" w:footer="567" w:gutter="0"/>
          <w:cols w:space="720"/>
          <w:docGrid w:linePitch="360"/>
        </w:sectPr>
      </w:pPr>
    </w:p>
    <w:p w14:paraId="2B2A3719" w14:textId="77777777" w:rsidR="00935FC8" w:rsidRPr="00224AAD" w:rsidRDefault="00935FC8">
      <w:pPr>
        <w:spacing w:before="120" w:after="120" w:line="240" w:lineRule="auto"/>
        <w:jc w:val="both"/>
        <w:rPr>
          <w:rFonts w:ascii="Times New Roman" w:hAnsi="Times New Roman"/>
          <w:b/>
          <w:noProof/>
          <w:sz w:val="24"/>
          <w:u w:val="single"/>
        </w:rPr>
      </w:pPr>
      <w:r w:rsidRPr="00224AAD">
        <w:rPr>
          <w:rFonts w:ascii="Times New Roman" w:hAnsi="Times New Roman"/>
          <w:b/>
          <w:noProof/>
          <w:sz w:val="24"/>
          <w:u w:val="single"/>
        </w:rPr>
        <w:t xml:space="preserve">F.2. </w:t>
      </w:r>
      <w:r w:rsidRPr="00224AAD">
        <w:rPr>
          <w:rFonts w:ascii="Times New Roman" w:hAnsi="Times New Roman"/>
          <w:b/>
          <w:noProof/>
          <w:sz w:val="24"/>
          <w:u w:val="single"/>
        </w:rPr>
        <w:tab/>
        <w:t>Milestones, targets, indicators, and timetable for monitoring and implementation for non-repayable financial support</w:t>
      </w:r>
    </w:p>
    <w:tbl>
      <w:tblPr>
        <w:tblW w:w="155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768"/>
        <w:gridCol w:w="1867"/>
        <w:gridCol w:w="1024"/>
        <w:gridCol w:w="2042"/>
        <w:gridCol w:w="1478"/>
        <w:gridCol w:w="856"/>
        <w:gridCol w:w="1030"/>
        <w:gridCol w:w="569"/>
        <w:gridCol w:w="756"/>
        <w:gridCol w:w="662"/>
        <w:gridCol w:w="4534"/>
      </w:tblGrid>
      <w:tr w:rsidR="00A7081A" w:rsidRPr="00E654A0" w14:paraId="6DF79E1C" w14:textId="77777777" w:rsidTr="003E1CE8">
        <w:trPr>
          <w:trHeight w:val="680"/>
          <w:tblHeader/>
          <w:jc w:val="center"/>
        </w:trPr>
        <w:tc>
          <w:tcPr>
            <w:tcW w:w="768" w:type="dxa"/>
            <w:vMerge w:val="restart"/>
            <w:shd w:val="clear" w:color="auto" w:fill="BDD7EE"/>
            <w:vAlign w:val="center"/>
            <w:hideMark/>
          </w:tcPr>
          <w:p w14:paraId="0D907BDF" w14:textId="77777777" w:rsidR="00935FC8" w:rsidRPr="00E654A0" w:rsidRDefault="00935FC8">
            <w:pPr>
              <w:spacing w:after="0" w:line="240" w:lineRule="auto"/>
              <w:jc w:val="center"/>
              <w:rPr>
                <w:rFonts w:ascii="Times New Roman" w:eastAsia="Times New Roman" w:hAnsi="Times New Roman"/>
                <w:b/>
                <w:noProof/>
                <w:sz w:val="20"/>
                <w:szCs w:val="20"/>
                <w:lang w:eastAsia="en-GB"/>
              </w:rPr>
            </w:pPr>
            <w:r w:rsidRPr="00E654A0">
              <w:rPr>
                <w:rFonts w:ascii="Times New Roman" w:eastAsia="Times New Roman" w:hAnsi="Times New Roman"/>
                <w:b/>
                <w:bCs/>
                <w:noProof/>
                <w:sz w:val="20"/>
                <w:szCs w:val="20"/>
                <w:lang w:eastAsia="en-GB"/>
              </w:rPr>
              <w:t>Number</w:t>
            </w:r>
          </w:p>
        </w:tc>
        <w:tc>
          <w:tcPr>
            <w:tcW w:w="1867" w:type="dxa"/>
            <w:vMerge w:val="restart"/>
            <w:shd w:val="clear" w:color="auto" w:fill="BDD7EE"/>
            <w:vAlign w:val="center"/>
            <w:hideMark/>
          </w:tcPr>
          <w:p w14:paraId="7AECDFEB" w14:textId="2A55A198" w:rsidR="00935FC8" w:rsidRPr="00E654A0" w:rsidRDefault="00935FC8">
            <w:pPr>
              <w:spacing w:after="0" w:line="240" w:lineRule="auto"/>
              <w:jc w:val="center"/>
              <w:rPr>
                <w:rFonts w:ascii="Times New Roman" w:eastAsia="Times New Roman" w:hAnsi="Times New Roman"/>
                <w:b/>
                <w:noProof/>
                <w:sz w:val="20"/>
                <w:szCs w:val="20"/>
                <w:lang w:eastAsia="en-GB"/>
              </w:rPr>
            </w:pPr>
            <w:r w:rsidRPr="00E654A0">
              <w:rPr>
                <w:rFonts w:ascii="Times New Roman" w:eastAsia="Times New Roman" w:hAnsi="Times New Roman"/>
                <w:b/>
                <w:bCs/>
                <w:noProof/>
                <w:sz w:val="20"/>
                <w:szCs w:val="20"/>
                <w:lang w:eastAsia="en-GB"/>
              </w:rPr>
              <w:t>Measure</w:t>
            </w:r>
          </w:p>
        </w:tc>
        <w:tc>
          <w:tcPr>
            <w:tcW w:w="1024" w:type="dxa"/>
            <w:vMerge w:val="restart"/>
            <w:shd w:val="clear" w:color="auto" w:fill="BDD7EE"/>
            <w:vAlign w:val="center"/>
            <w:hideMark/>
          </w:tcPr>
          <w:p w14:paraId="6C572644" w14:textId="77777777" w:rsidR="00935FC8" w:rsidRPr="00E654A0" w:rsidRDefault="00935FC8">
            <w:pPr>
              <w:spacing w:after="0" w:line="240" w:lineRule="auto"/>
              <w:jc w:val="center"/>
              <w:rPr>
                <w:rFonts w:ascii="Times New Roman" w:eastAsia="Times New Roman" w:hAnsi="Times New Roman"/>
                <w:b/>
                <w:noProof/>
                <w:sz w:val="20"/>
                <w:szCs w:val="20"/>
                <w:lang w:eastAsia="en-GB"/>
              </w:rPr>
            </w:pPr>
            <w:r w:rsidRPr="00E654A0">
              <w:rPr>
                <w:rFonts w:ascii="Times New Roman" w:eastAsia="Times New Roman" w:hAnsi="Times New Roman"/>
                <w:b/>
                <w:bCs/>
                <w:noProof/>
                <w:sz w:val="20"/>
                <w:szCs w:val="20"/>
                <w:lang w:eastAsia="en-GB"/>
              </w:rPr>
              <w:t>Milestone / Target</w:t>
            </w:r>
          </w:p>
        </w:tc>
        <w:tc>
          <w:tcPr>
            <w:tcW w:w="2042" w:type="dxa"/>
            <w:vMerge w:val="restart"/>
            <w:shd w:val="clear" w:color="auto" w:fill="BDD7EE"/>
            <w:vAlign w:val="center"/>
            <w:hideMark/>
          </w:tcPr>
          <w:p w14:paraId="6663EE1F" w14:textId="77777777" w:rsidR="00935FC8" w:rsidRPr="00E654A0" w:rsidRDefault="00935FC8">
            <w:pPr>
              <w:spacing w:after="0" w:line="240" w:lineRule="auto"/>
              <w:jc w:val="center"/>
              <w:rPr>
                <w:rFonts w:ascii="Times New Roman" w:eastAsia="Times New Roman" w:hAnsi="Times New Roman"/>
                <w:b/>
                <w:noProof/>
                <w:sz w:val="20"/>
                <w:szCs w:val="20"/>
                <w:lang w:eastAsia="en-GB"/>
              </w:rPr>
            </w:pPr>
            <w:r w:rsidRPr="00E654A0">
              <w:rPr>
                <w:rFonts w:ascii="Times New Roman" w:eastAsia="Times New Roman" w:hAnsi="Times New Roman"/>
                <w:b/>
                <w:bCs/>
                <w:noProof/>
                <w:sz w:val="20"/>
                <w:szCs w:val="20"/>
                <w:lang w:eastAsia="en-GB"/>
              </w:rPr>
              <w:t>Name</w:t>
            </w:r>
          </w:p>
        </w:tc>
        <w:tc>
          <w:tcPr>
            <w:tcW w:w="1478" w:type="dxa"/>
            <w:vMerge w:val="restart"/>
            <w:shd w:val="clear" w:color="auto" w:fill="BDD7EE"/>
            <w:vAlign w:val="center"/>
            <w:hideMark/>
          </w:tcPr>
          <w:p w14:paraId="22B2F900" w14:textId="616BB459" w:rsidR="00935FC8" w:rsidRPr="00E654A0" w:rsidRDefault="00935FC8" w:rsidP="000A1841">
            <w:pPr>
              <w:spacing w:after="0" w:line="240" w:lineRule="auto"/>
              <w:jc w:val="center"/>
              <w:rPr>
                <w:rFonts w:ascii="Times New Roman" w:eastAsia="Times New Roman" w:hAnsi="Times New Roman"/>
                <w:b/>
                <w:bCs/>
                <w:noProof/>
                <w:sz w:val="20"/>
                <w:szCs w:val="20"/>
                <w:lang w:eastAsia="en-GB"/>
              </w:rPr>
            </w:pPr>
            <w:r w:rsidRPr="00E654A0">
              <w:rPr>
                <w:rFonts w:ascii="Times New Roman" w:eastAsia="Times New Roman" w:hAnsi="Times New Roman"/>
                <w:b/>
                <w:bCs/>
                <w:noProof/>
                <w:sz w:val="20"/>
                <w:szCs w:val="20"/>
                <w:lang w:eastAsia="en-GB"/>
              </w:rPr>
              <w:t>Qualitative indicators</w:t>
            </w:r>
            <w:r w:rsidR="000A1841">
              <w:rPr>
                <w:rFonts w:ascii="Times New Roman" w:eastAsia="Times New Roman" w:hAnsi="Times New Roman"/>
                <w:b/>
                <w:bCs/>
                <w:noProof/>
                <w:sz w:val="20"/>
                <w:szCs w:val="20"/>
                <w:lang w:eastAsia="en-GB"/>
              </w:rPr>
              <w:t xml:space="preserve"> </w:t>
            </w:r>
            <w:r w:rsidRPr="00E654A0">
              <w:rPr>
                <w:rFonts w:ascii="Times New Roman" w:eastAsia="Times New Roman" w:hAnsi="Times New Roman"/>
                <w:b/>
                <w:bCs/>
                <w:noProof/>
                <w:sz w:val="20"/>
                <w:szCs w:val="20"/>
                <w:lang w:eastAsia="en-GB"/>
              </w:rPr>
              <w:t>(for milestones)</w:t>
            </w:r>
          </w:p>
        </w:tc>
        <w:tc>
          <w:tcPr>
            <w:tcW w:w="2455" w:type="dxa"/>
            <w:gridSpan w:val="3"/>
            <w:shd w:val="clear" w:color="auto" w:fill="BDD7EE"/>
            <w:vAlign w:val="center"/>
            <w:hideMark/>
          </w:tcPr>
          <w:p w14:paraId="47073164" w14:textId="77777777" w:rsidR="00935FC8" w:rsidRPr="00E654A0" w:rsidRDefault="00935FC8">
            <w:pPr>
              <w:spacing w:after="0" w:line="240" w:lineRule="auto"/>
              <w:jc w:val="center"/>
              <w:rPr>
                <w:rFonts w:ascii="Times New Roman" w:eastAsia="Times New Roman" w:hAnsi="Times New Roman"/>
                <w:b/>
                <w:noProof/>
                <w:sz w:val="20"/>
                <w:szCs w:val="20"/>
                <w:lang w:eastAsia="en-GB"/>
              </w:rPr>
            </w:pPr>
            <w:r w:rsidRPr="00E654A0">
              <w:rPr>
                <w:rFonts w:ascii="Times New Roman" w:eastAsia="Times New Roman" w:hAnsi="Times New Roman"/>
                <w:b/>
                <w:bCs/>
                <w:noProof/>
                <w:sz w:val="20"/>
                <w:szCs w:val="20"/>
                <w:lang w:eastAsia="en-GB"/>
              </w:rPr>
              <w:t>Quantitative indicators</w:t>
            </w:r>
            <w:r w:rsidRPr="00E654A0">
              <w:rPr>
                <w:rFonts w:ascii="Times New Roman" w:eastAsia="Times New Roman" w:hAnsi="Times New Roman"/>
                <w:b/>
                <w:bCs/>
                <w:noProof/>
                <w:sz w:val="20"/>
                <w:szCs w:val="20"/>
                <w:lang w:eastAsia="en-GB"/>
              </w:rPr>
              <w:br/>
              <w:t>(for targets)</w:t>
            </w:r>
          </w:p>
        </w:tc>
        <w:tc>
          <w:tcPr>
            <w:tcW w:w="1418" w:type="dxa"/>
            <w:gridSpan w:val="2"/>
            <w:shd w:val="clear" w:color="auto" w:fill="BDD7EE"/>
            <w:vAlign w:val="center"/>
            <w:hideMark/>
          </w:tcPr>
          <w:p w14:paraId="79FEB299" w14:textId="17535635" w:rsidR="00935FC8" w:rsidRPr="00E654A0" w:rsidRDefault="00935FC8" w:rsidP="000A1841">
            <w:pPr>
              <w:spacing w:after="0" w:line="240" w:lineRule="auto"/>
              <w:jc w:val="center"/>
              <w:rPr>
                <w:rFonts w:ascii="Times New Roman" w:eastAsia="Times New Roman" w:hAnsi="Times New Roman"/>
                <w:b/>
                <w:bCs/>
                <w:noProof/>
                <w:sz w:val="20"/>
                <w:szCs w:val="20"/>
                <w:lang w:eastAsia="en-GB"/>
              </w:rPr>
            </w:pPr>
            <w:r w:rsidRPr="00E654A0">
              <w:rPr>
                <w:rFonts w:ascii="Times New Roman" w:eastAsia="Times New Roman" w:hAnsi="Times New Roman"/>
                <w:b/>
                <w:bCs/>
                <w:noProof/>
                <w:sz w:val="20"/>
                <w:szCs w:val="20"/>
                <w:lang w:eastAsia="en-GB"/>
              </w:rPr>
              <w:t>Indicative timeline</w:t>
            </w:r>
            <w:r w:rsidR="000A1841">
              <w:rPr>
                <w:rFonts w:ascii="Times New Roman" w:eastAsia="Times New Roman" w:hAnsi="Times New Roman"/>
                <w:b/>
                <w:bCs/>
                <w:noProof/>
                <w:sz w:val="20"/>
                <w:szCs w:val="20"/>
                <w:lang w:eastAsia="en-GB"/>
              </w:rPr>
              <w:t xml:space="preserve"> </w:t>
            </w:r>
            <w:r w:rsidRPr="00E654A0">
              <w:rPr>
                <w:rFonts w:ascii="Times New Roman" w:eastAsia="Times New Roman" w:hAnsi="Times New Roman"/>
                <w:b/>
                <w:bCs/>
                <w:noProof/>
                <w:sz w:val="20"/>
                <w:szCs w:val="20"/>
                <w:lang w:eastAsia="en-GB"/>
              </w:rPr>
              <w:t xml:space="preserve">for completion </w:t>
            </w:r>
          </w:p>
        </w:tc>
        <w:tc>
          <w:tcPr>
            <w:tcW w:w="4534" w:type="dxa"/>
            <w:vMerge w:val="restart"/>
            <w:shd w:val="clear" w:color="auto" w:fill="BDD7EE"/>
            <w:vAlign w:val="center"/>
            <w:hideMark/>
          </w:tcPr>
          <w:p w14:paraId="3B169FA7" w14:textId="77777777" w:rsidR="00935FC8" w:rsidRPr="00E654A0" w:rsidRDefault="00935FC8">
            <w:pPr>
              <w:spacing w:after="0" w:line="240" w:lineRule="auto"/>
              <w:jc w:val="center"/>
              <w:rPr>
                <w:rFonts w:ascii="Times New Roman" w:eastAsia="Times New Roman" w:hAnsi="Times New Roman"/>
                <w:b/>
                <w:noProof/>
                <w:sz w:val="20"/>
                <w:szCs w:val="20"/>
                <w:lang w:eastAsia="en-GB"/>
              </w:rPr>
            </w:pPr>
            <w:r w:rsidRPr="00E654A0">
              <w:rPr>
                <w:rFonts w:ascii="Times New Roman" w:eastAsia="Times New Roman" w:hAnsi="Times New Roman"/>
                <w:b/>
                <w:bCs/>
                <w:noProof/>
                <w:sz w:val="20"/>
                <w:szCs w:val="20"/>
                <w:lang w:eastAsia="en-GB"/>
              </w:rPr>
              <w:t>Description of each milestone and target</w:t>
            </w:r>
          </w:p>
        </w:tc>
      </w:tr>
      <w:tr w:rsidR="00A7081A" w:rsidRPr="00E654A0" w14:paraId="5D0816F7" w14:textId="77777777" w:rsidTr="003E1CE8">
        <w:trPr>
          <w:trHeight w:val="404"/>
          <w:jc w:val="center"/>
        </w:trPr>
        <w:tc>
          <w:tcPr>
            <w:tcW w:w="768" w:type="dxa"/>
            <w:vMerge/>
            <w:vAlign w:val="center"/>
            <w:hideMark/>
          </w:tcPr>
          <w:p w14:paraId="4F798D36" w14:textId="77777777" w:rsidR="00935FC8" w:rsidRPr="00E654A0" w:rsidRDefault="00935FC8">
            <w:pPr>
              <w:spacing w:after="0" w:line="240" w:lineRule="auto"/>
              <w:rPr>
                <w:rFonts w:ascii="Times New Roman" w:eastAsia="Times New Roman" w:hAnsi="Times New Roman"/>
                <w:b/>
                <w:bCs/>
                <w:noProof/>
                <w:sz w:val="20"/>
                <w:szCs w:val="20"/>
                <w:lang w:eastAsia="en-GB"/>
              </w:rPr>
            </w:pPr>
          </w:p>
        </w:tc>
        <w:tc>
          <w:tcPr>
            <w:tcW w:w="1867" w:type="dxa"/>
            <w:vMerge/>
            <w:vAlign w:val="center"/>
            <w:hideMark/>
          </w:tcPr>
          <w:p w14:paraId="052B1FF8" w14:textId="77777777" w:rsidR="00935FC8" w:rsidRPr="00E654A0" w:rsidRDefault="00935FC8">
            <w:pPr>
              <w:spacing w:after="0" w:line="240" w:lineRule="auto"/>
              <w:rPr>
                <w:rFonts w:ascii="Times New Roman" w:eastAsia="Times New Roman" w:hAnsi="Times New Roman"/>
                <w:b/>
                <w:bCs/>
                <w:noProof/>
                <w:sz w:val="20"/>
                <w:szCs w:val="20"/>
                <w:lang w:eastAsia="en-GB"/>
              </w:rPr>
            </w:pPr>
          </w:p>
        </w:tc>
        <w:tc>
          <w:tcPr>
            <w:tcW w:w="1024" w:type="dxa"/>
            <w:vMerge/>
            <w:vAlign w:val="center"/>
            <w:hideMark/>
          </w:tcPr>
          <w:p w14:paraId="62762E48" w14:textId="77777777" w:rsidR="00935FC8" w:rsidRPr="00E654A0" w:rsidRDefault="00935FC8">
            <w:pPr>
              <w:spacing w:after="0" w:line="240" w:lineRule="auto"/>
              <w:rPr>
                <w:rFonts w:ascii="Times New Roman" w:eastAsia="Times New Roman" w:hAnsi="Times New Roman"/>
                <w:b/>
                <w:bCs/>
                <w:noProof/>
                <w:sz w:val="20"/>
                <w:szCs w:val="20"/>
                <w:lang w:eastAsia="en-GB"/>
              </w:rPr>
            </w:pPr>
          </w:p>
        </w:tc>
        <w:tc>
          <w:tcPr>
            <w:tcW w:w="2042" w:type="dxa"/>
            <w:vMerge/>
            <w:vAlign w:val="center"/>
            <w:hideMark/>
          </w:tcPr>
          <w:p w14:paraId="6ADA5B0B" w14:textId="77777777" w:rsidR="00935FC8" w:rsidRPr="00E654A0" w:rsidRDefault="00935FC8">
            <w:pPr>
              <w:spacing w:after="0" w:line="240" w:lineRule="auto"/>
              <w:rPr>
                <w:rFonts w:ascii="Times New Roman" w:eastAsia="Times New Roman" w:hAnsi="Times New Roman"/>
                <w:b/>
                <w:bCs/>
                <w:noProof/>
                <w:sz w:val="20"/>
                <w:szCs w:val="20"/>
                <w:lang w:eastAsia="en-GB"/>
              </w:rPr>
            </w:pPr>
          </w:p>
        </w:tc>
        <w:tc>
          <w:tcPr>
            <w:tcW w:w="1478" w:type="dxa"/>
            <w:vMerge/>
            <w:vAlign w:val="center"/>
            <w:hideMark/>
          </w:tcPr>
          <w:p w14:paraId="55E39B7F" w14:textId="77777777" w:rsidR="00935FC8" w:rsidRPr="00E654A0" w:rsidRDefault="00935FC8">
            <w:pPr>
              <w:spacing w:after="0" w:line="240" w:lineRule="auto"/>
              <w:rPr>
                <w:rFonts w:ascii="Times New Roman" w:eastAsia="Times New Roman" w:hAnsi="Times New Roman"/>
                <w:b/>
                <w:bCs/>
                <w:noProof/>
                <w:sz w:val="20"/>
                <w:szCs w:val="20"/>
                <w:lang w:eastAsia="en-GB"/>
              </w:rPr>
            </w:pPr>
          </w:p>
        </w:tc>
        <w:tc>
          <w:tcPr>
            <w:tcW w:w="856" w:type="dxa"/>
            <w:shd w:val="clear" w:color="auto" w:fill="BDD7EE"/>
            <w:vAlign w:val="center"/>
            <w:hideMark/>
          </w:tcPr>
          <w:p w14:paraId="17D14390" w14:textId="77777777" w:rsidR="00935FC8" w:rsidRPr="00E654A0" w:rsidRDefault="00935FC8">
            <w:pPr>
              <w:spacing w:after="0" w:line="240" w:lineRule="auto"/>
              <w:jc w:val="center"/>
              <w:rPr>
                <w:rFonts w:ascii="Times New Roman" w:eastAsia="Times New Roman" w:hAnsi="Times New Roman"/>
                <w:b/>
                <w:noProof/>
                <w:sz w:val="20"/>
                <w:szCs w:val="20"/>
                <w:lang w:eastAsia="en-GB"/>
              </w:rPr>
            </w:pPr>
            <w:r w:rsidRPr="00E654A0">
              <w:rPr>
                <w:rFonts w:ascii="Times New Roman" w:eastAsia="Times New Roman" w:hAnsi="Times New Roman"/>
                <w:b/>
                <w:bCs/>
                <w:noProof/>
                <w:sz w:val="20"/>
                <w:szCs w:val="20"/>
                <w:lang w:eastAsia="en-GB"/>
              </w:rPr>
              <w:t xml:space="preserve">Unit </w:t>
            </w:r>
          </w:p>
        </w:tc>
        <w:tc>
          <w:tcPr>
            <w:tcW w:w="1030" w:type="dxa"/>
            <w:shd w:val="clear" w:color="auto" w:fill="BDD7EE"/>
            <w:vAlign w:val="center"/>
            <w:hideMark/>
          </w:tcPr>
          <w:p w14:paraId="5219986B" w14:textId="77777777" w:rsidR="00935FC8" w:rsidRPr="00E654A0" w:rsidRDefault="00935FC8">
            <w:pPr>
              <w:spacing w:after="0" w:line="240" w:lineRule="auto"/>
              <w:jc w:val="center"/>
              <w:rPr>
                <w:rFonts w:ascii="Times New Roman" w:eastAsia="Times New Roman" w:hAnsi="Times New Roman"/>
                <w:b/>
                <w:noProof/>
                <w:sz w:val="20"/>
                <w:szCs w:val="20"/>
                <w:lang w:eastAsia="en-GB"/>
              </w:rPr>
            </w:pPr>
            <w:r w:rsidRPr="00E654A0">
              <w:rPr>
                <w:rFonts w:ascii="Times New Roman" w:eastAsia="Times New Roman" w:hAnsi="Times New Roman"/>
                <w:b/>
                <w:bCs/>
                <w:noProof/>
                <w:sz w:val="20"/>
                <w:szCs w:val="20"/>
                <w:lang w:eastAsia="en-GB"/>
              </w:rPr>
              <w:t xml:space="preserve">Baseline </w:t>
            </w:r>
          </w:p>
        </w:tc>
        <w:tc>
          <w:tcPr>
            <w:tcW w:w="569" w:type="dxa"/>
            <w:shd w:val="clear" w:color="auto" w:fill="BDD7EE"/>
            <w:vAlign w:val="center"/>
            <w:hideMark/>
          </w:tcPr>
          <w:p w14:paraId="3AF9280C" w14:textId="77777777" w:rsidR="00935FC8" w:rsidRPr="00E654A0" w:rsidRDefault="00935FC8">
            <w:pPr>
              <w:spacing w:after="0" w:line="240" w:lineRule="auto"/>
              <w:jc w:val="center"/>
              <w:rPr>
                <w:rFonts w:ascii="Times New Roman" w:eastAsia="Times New Roman" w:hAnsi="Times New Roman"/>
                <w:b/>
                <w:noProof/>
                <w:sz w:val="20"/>
                <w:szCs w:val="20"/>
                <w:lang w:eastAsia="en-GB"/>
              </w:rPr>
            </w:pPr>
            <w:r w:rsidRPr="00E654A0">
              <w:rPr>
                <w:rFonts w:ascii="Times New Roman" w:eastAsia="Times New Roman" w:hAnsi="Times New Roman"/>
                <w:b/>
                <w:bCs/>
                <w:noProof/>
                <w:sz w:val="20"/>
                <w:szCs w:val="20"/>
                <w:lang w:eastAsia="en-GB"/>
              </w:rPr>
              <w:t xml:space="preserve">Goal </w:t>
            </w:r>
          </w:p>
        </w:tc>
        <w:tc>
          <w:tcPr>
            <w:tcW w:w="756" w:type="dxa"/>
            <w:shd w:val="clear" w:color="auto" w:fill="BDD7EE"/>
            <w:vAlign w:val="center"/>
            <w:hideMark/>
          </w:tcPr>
          <w:p w14:paraId="038232C6" w14:textId="77777777" w:rsidR="00935FC8" w:rsidRPr="00E654A0" w:rsidRDefault="00935FC8">
            <w:pPr>
              <w:spacing w:after="0" w:line="240" w:lineRule="auto"/>
              <w:jc w:val="center"/>
              <w:rPr>
                <w:rFonts w:ascii="Times New Roman" w:eastAsia="Times New Roman" w:hAnsi="Times New Roman"/>
                <w:b/>
                <w:noProof/>
                <w:sz w:val="20"/>
                <w:szCs w:val="20"/>
                <w:lang w:eastAsia="en-GB"/>
              </w:rPr>
            </w:pPr>
            <w:r w:rsidRPr="00E654A0">
              <w:rPr>
                <w:rFonts w:ascii="Times New Roman" w:eastAsia="Times New Roman" w:hAnsi="Times New Roman"/>
                <w:b/>
                <w:bCs/>
                <w:noProof/>
                <w:sz w:val="20"/>
                <w:szCs w:val="20"/>
                <w:lang w:eastAsia="en-GB"/>
              </w:rPr>
              <w:t>Quarter</w:t>
            </w:r>
          </w:p>
        </w:tc>
        <w:tc>
          <w:tcPr>
            <w:tcW w:w="662" w:type="dxa"/>
            <w:shd w:val="clear" w:color="auto" w:fill="BDD7EE"/>
            <w:vAlign w:val="center"/>
            <w:hideMark/>
          </w:tcPr>
          <w:p w14:paraId="34E28450" w14:textId="77777777" w:rsidR="00935FC8" w:rsidRPr="00E654A0" w:rsidRDefault="00935FC8">
            <w:pPr>
              <w:spacing w:after="0" w:line="240" w:lineRule="auto"/>
              <w:jc w:val="center"/>
              <w:rPr>
                <w:rFonts w:ascii="Times New Roman" w:eastAsia="Times New Roman" w:hAnsi="Times New Roman"/>
                <w:b/>
                <w:noProof/>
                <w:sz w:val="20"/>
                <w:szCs w:val="20"/>
                <w:lang w:eastAsia="en-GB"/>
              </w:rPr>
            </w:pPr>
            <w:r w:rsidRPr="00E654A0">
              <w:rPr>
                <w:rFonts w:ascii="Times New Roman" w:eastAsia="Times New Roman" w:hAnsi="Times New Roman"/>
                <w:b/>
                <w:bCs/>
                <w:noProof/>
                <w:sz w:val="20"/>
                <w:szCs w:val="20"/>
                <w:lang w:eastAsia="en-GB"/>
              </w:rPr>
              <w:t>Year</w:t>
            </w:r>
          </w:p>
        </w:tc>
        <w:tc>
          <w:tcPr>
            <w:tcW w:w="4534" w:type="dxa"/>
            <w:vMerge/>
            <w:vAlign w:val="center"/>
            <w:hideMark/>
          </w:tcPr>
          <w:p w14:paraId="70FAB53F" w14:textId="77777777" w:rsidR="00935FC8" w:rsidRPr="00E654A0" w:rsidRDefault="00935FC8">
            <w:pPr>
              <w:spacing w:after="0" w:line="240" w:lineRule="auto"/>
              <w:jc w:val="center"/>
              <w:rPr>
                <w:rFonts w:ascii="Times New Roman" w:eastAsia="Times New Roman" w:hAnsi="Times New Roman"/>
                <w:b/>
                <w:bCs/>
                <w:noProof/>
                <w:sz w:val="20"/>
                <w:szCs w:val="20"/>
                <w:lang w:eastAsia="en-GB"/>
              </w:rPr>
            </w:pPr>
          </w:p>
        </w:tc>
      </w:tr>
      <w:tr w:rsidR="00A7081A" w:rsidRPr="00E654A0" w14:paraId="5F121F7F" w14:textId="77777777" w:rsidTr="003E1CE8">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1A65DCEC" w14:textId="77777777" w:rsidR="00935FC8" w:rsidRPr="00E654A0" w:rsidRDefault="00935FC8">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55</w:t>
            </w:r>
          </w:p>
        </w:tc>
        <w:tc>
          <w:tcPr>
            <w:tcW w:w="1867" w:type="dxa"/>
            <w:tcBorders>
              <w:top w:val="single" w:sz="4" w:space="0" w:color="auto"/>
              <w:left w:val="single" w:sz="4" w:space="0" w:color="auto"/>
              <w:bottom w:val="single" w:sz="4" w:space="0" w:color="auto"/>
              <w:right w:val="single" w:sz="4" w:space="0" w:color="auto"/>
            </w:tcBorders>
            <w:shd w:val="clear" w:color="auto" w:fill="C6EFCE"/>
            <w:noWrap/>
            <w:hideMark/>
          </w:tcPr>
          <w:p w14:paraId="50D8FF62"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P2C1I1- Digital connectivity – Developing the quality and availability of communication networks</w:t>
            </w:r>
          </w:p>
        </w:tc>
        <w:tc>
          <w:tcPr>
            <w:tcW w:w="1024" w:type="dxa"/>
            <w:tcBorders>
              <w:top w:val="single" w:sz="4" w:space="0" w:color="auto"/>
              <w:left w:val="single" w:sz="4" w:space="0" w:color="auto"/>
              <w:bottom w:val="single" w:sz="4" w:space="0" w:color="auto"/>
              <w:right w:val="single" w:sz="4" w:space="0" w:color="auto"/>
            </w:tcBorders>
            <w:shd w:val="clear" w:color="auto" w:fill="C6EFCE"/>
            <w:noWrap/>
            <w:hideMark/>
          </w:tcPr>
          <w:p w14:paraId="2FCA2E8A"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Milestone</w:t>
            </w:r>
          </w:p>
        </w:tc>
        <w:tc>
          <w:tcPr>
            <w:tcW w:w="2042" w:type="dxa"/>
            <w:tcBorders>
              <w:top w:val="single" w:sz="4" w:space="0" w:color="auto"/>
              <w:left w:val="single" w:sz="4" w:space="0" w:color="auto"/>
              <w:bottom w:val="single" w:sz="4" w:space="0" w:color="auto"/>
              <w:right w:val="single" w:sz="4" w:space="0" w:color="auto"/>
            </w:tcBorders>
            <w:shd w:val="clear" w:color="auto" w:fill="C6EFCE"/>
            <w:noWrap/>
            <w:hideMark/>
          </w:tcPr>
          <w:p w14:paraId="7A683919"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Entry into force of legislative amendments to the broadband aid legislation</w:t>
            </w:r>
          </w:p>
        </w:tc>
        <w:tc>
          <w:tcPr>
            <w:tcW w:w="1478" w:type="dxa"/>
            <w:tcBorders>
              <w:top w:val="single" w:sz="4" w:space="0" w:color="auto"/>
              <w:left w:val="single" w:sz="4" w:space="0" w:color="auto"/>
              <w:bottom w:val="single" w:sz="4" w:space="0" w:color="auto"/>
              <w:right w:val="single" w:sz="4" w:space="0" w:color="auto"/>
            </w:tcBorders>
            <w:shd w:val="clear" w:color="auto" w:fill="C6EFCE"/>
            <w:noWrap/>
            <w:hideMark/>
          </w:tcPr>
          <w:p w14:paraId="0B63738A"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Provisions in the amendments to the broadband aid legislation indicating their entry into force</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01542790"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p>
        </w:tc>
        <w:tc>
          <w:tcPr>
            <w:tcW w:w="1030" w:type="dxa"/>
            <w:tcBorders>
              <w:top w:val="single" w:sz="4" w:space="0" w:color="auto"/>
              <w:left w:val="single" w:sz="4" w:space="0" w:color="auto"/>
              <w:bottom w:val="single" w:sz="4" w:space="0" w:color="auto"/>
              <w:right w:val="single" w:sz="4" w:space="0" w:color="auto"/>
            </w:tcBorders>
            <w:shd w:val="clear" w:color="auto" w:fill="C6EFCE"/>
            <w:noWrap/>
          </w:tcPr>
          <w:p w14:paraId="147E7C28"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p>
        </w:tc>
        <w:tc>
          <w:tcPr>
            <w:tcW w:w="569" w:type="dxa"/>
            <w:tcBorders>
              <w:top w:val="single" w:sz="4" w:space="0" w:color="auto"/>
              <w:left w:val="single" w:sz="4" w:space="0" w:color="auto"/>
              <w:bottom w:val="single" w:sz="4" w:space="0" w:color="auto"/>
              <w:right w:val="single" w:sz="4" w:space="0" w:color="auto"/>
            </w:tcBorders>
            <w:shd w:val="clear" w:color="auto" w:fill="C6EFCE"/>
            <w:noWrap/>
          </w:tcPr>
          <w:p w14:paraId="536DD0E4"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p>
        </w:tc>
        <w:tc>
          <w:tcPr>
            <w:tcW w:w="756" w:type="dxa"/>
            <w:tcBorders>
              <w:top w:val="single" w:sz="4" w:space="0" w:color="auto"/>
              <w:left w:val="single" w:sz="4" w:space="0" w:color="auto"/>
              <w:bottom w:val="single" w:sz="4" w:space="0" w:color="auto"/>
              <w:right w:val="single" w:sz="4" w:space="0" w:color="auto"/>
            </w:tcBorders>
            <w:shd w:val="clear" w:color="auto" w:fill="C6EFCE"/>
            <w:noWrap/>
            <w:hideMark/>
          </w:tcPr>
          <w:p w14:paraId="36F38F50"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Q4</w:t>
            </w:r>
          </w:p>
        </w:tc>
        <w:tc>
          <w:tcPr>
            <w:tcW w:w="662" w:type="dxa"/>
            <w:tcBorders>
              <w:top w:val="single" w:sz="4" w:space="0" w:color="auto"/>
              <w:left w:val="single" w:sz="4" w:space="0" w:color="auto"/>
              <w:bottom w:val="single" w:sz="4" w:space="0" w:color="auto"/>
              <w:right w:val="single" w:sz="4" w:space="0" w:color="auto"/>
            </w:tcBorders>
            <w:shd w:val="clear" w:color="auto" w:fill="C6EFCE"/>
            <w:noWrap/>
            <w:hideMark/>
          </w:tcPr>
          <w:p w14:paraId="38CDAF01"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2022</w:t>
            </w:r>
          </w:p>
        </w:tc>
        <w:tc>
          <w:tcPr>
            <w:tcW w:w="4534" w:type="dxa"/>
            <w:tcBorders>
              <w:top w:val="single" w:sz="4" w:space="0" w:color="auto"/>
              <w:left w:val="single" w:sz="4" w:space="0" w:color="auto"/>
              <w:bottom w:val="single" w:sz="4" w:space="0" w:color="auto"/>
              <w:right w:val="single" w:sz="4" w:space="0" w:color="auto"/>
            </w:tcBorders>
            <w:shd w:val="clear" w:color="auto" w:fill="C6EFCE"/>
            <w:noWrap/>
            <w:hideMark/>
          </w:tcPr>
          <w:p w14:paraId="45BF8305"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The necessary changes to the legislation of the broadband aid legislation have entered into force. The Broadband Support Act shall lay down the provisions on the conditions for granting and disbursing funds, including targeted areas criteria, as well as on the competent support authority and its tasks. It shall take into account any necessary amendments due to the amended General Block Exemption Regulation, including the update of a government decree with the minimum speeds for the eligible connections.</w:t>
            </w:r>
          </w:p>
        </w:tc>
      </w:tr>
      <w:tr w:rsidR="00A7081A" w:rsidRPr="00E654A0" w14:paraId="361F146C" w14:textId="77777777" w:rsidTr="003E1CE8">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554F2C51" w14:textId="77777777" w:rsidR="00935FC8" w:rsidRPr="00E654A0" w:rsidRDefault="00935FC8">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57</w:t>
            </w:r>
          </w:p>
        </w:tc>
        <w:tc>
          <w:tcPr>
            <w:tcW w:w="1867" w:type="dxa"/>
            <w:tcBorders>
              <w:top w:val="single" w:sz="4" w:space="0" w:color="auto"/>
              <w:left w:val="single" w:sz="4" w:space="0" w:color="auto"/>
              <w:bottom w:val="single" w:sz="4" w:space="0" w:color="auto"/>
              <w:right w:val="single" w:sz="4" w:space="0" w:color="auto"/>
            </w:tcBorders>
            <w:shd w:val="clear" w:color="auto" w:fill="C6EFCE"/>
            <w:noWrap/>
            <w:hideMark/>
          </w:tcPr>
          <w:p w14:paraId="59640FD1"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P2C1I1- Digital connectivity – Developing the quality and availability of communication networks</w:t>
            </w:r>
          </w:p>
        </w:tc>
        <w:tc>
          <w:tcPr>
            <w:tcW w:w="1024" w:type="dxa"/>
            <w:tcBorders>
              <w:top w:val="single" w:sz="4" w:space="0" w:color="auto"/>
              <w:left w:val="single" w:sz="4" w:space="0" w:color="auto"/>
              <w:bottom w:val="single" w:sz="4" w:space="0" w:color="auto"/>
              <w:right w:val="single" w:sz="4" w:space="0" w:color="auto"/>
            </w:tcBorders>
            <w:shd w:val="clear" w:color="auto" w:fill="C6EFCE"/>
            <w:noWrap/>
            <w:hideMark/>
          </w:tcPr>
          <w:p w14:paraId="6EBFB072"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Target</w:t>
            </w:r>
          </w:p>
        </w:tc>
        <w:tc>
          <w:tcPr>
            <w:tcW w:w="2042" w:type="dxa"/>
            <w:tcBorders>
              <w:top w:val="single" w:sz="4" w:space="0" w:color="auto"/>
              <w:left w:val="single" w:sz="4" w:space="0" w:color="auto"/>
              <w:bottom w:val="single" w:sz="4" w:space="0" w:color="auto"/>
              <w:right w:val="single" w:sz="4" w:space="0" w:color="auto"/>
            </w:tcBorders>
            <w:shd w:val="clear" w:color="auto" w:fill="C6EFCE"/>
            <w:noWrap/>
            <w:hideMark/>
          </w:tcPr>
          <w:p w14:paraId="4AE0F85B"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 xml:space="preserve">High-speed (100/100 Mbit/s) broadband projects </w:t>
            </w:r>
          </w:p>
        </w:tc>
        <w:tc>
          <w:tcPr>
            <w:tcW w:w="1478" w:type="dxa"/>
            <w:tcBorders>
              <w:top w:val="single" w:sz="4" w:space="0" w:color="auto"/>
              <w:left w:val="single" w:sz="4" w:space="0" w:color="auto"/>
              <w:bottom w:val="single" w:sz="4" w:space="0" w:color="auto"/>
              <w:right w:val="single" w:sz="4" w:space="0" w:color="auto"/>
            </w:tcBorders>
            <w:shd w:val="clear" w:color="auto" w:fill="C6EFCE"/>
            <w:noWrap/>
            <w:hideMark/>
          </w:tcPr>
          <w:p w14:paraId="33A4871D" w14:textId="77777777" w:rsidR="00935FC8" w:rsidRPr="00E654A0" w:rsidRDefault="00935FC8" w:rsidP="00A7081A">
            <w:pPr>
              <w:spacing w:after="0" w:line="240" w:lineRule="auto"/>
              <w:rPr>
                <w:rFonts w:ascii="Times New Roman" w:eastAsia="Times New Roman" w:hAnsi="Times New Roman"/>
                <w:noProof/>
                <w:sz w:val="20"/>
                <w:szCs w:val="20"/>
                <w:lang w:eastAsia="en-GB"/>
              </w:rPr>
            </w:pPr>
          </w:p>
        </w:tc>
        <w:tc>
          <w:tcPr>
            <w:tcW w:w="856" w:type="dxa"/>
            <w:tcBorders>
              <w:top w:val="single" w:sz="4" w:space="0" w:color="auto"/>
              <w:left w:val="single" w:sz="4" w:space="0" w:color="auto"/>
              <w:bottom w:val="single" w:sz="4" w:space="0" w:color="auto"/>
              <w:right w:val="single" w:sz="4" w:space="0" w:color="auto"/>
            </w:tcBorders>
            <w:shd w:val="clear" w:color="auto" w:fill="C6EFCE"/>
            <w:noWrap/>
            <w:hideMark/>
          </w:tcPr>
          <w:p w14:paraId="49E02506"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Number</w:t>
            </w:r>
          </w:p>
        </w:tc>
        <w:tc>
          <w:tcPr>
            <w:tcW w:w="1030" w:type="dxa"/>
            <w:tcBorders>
              <w:top w:val="single" w:sz="4" w:space="0" w:color="auto"/>
              <w:left w:val="single" w:sz="4" w:space="0" w:color="auto"/>
              <w:bottom w:val="single" w:sz="4" w:space="0" w:color="auto"/>
              <w:right w:val="single" w:sz="4" w:space="0" w:color="auto"/>
            </w:tcBorders>
            <w:shd w:val="clear" w:color="auto" w:fill="C6EFCE"/>
            <w:noWrap/>
            <w:hideMark/>
          </w:tcPr>
          <w:p w14:paraId="36F92794"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0</w:t>
            </w:r>
          </w:p>
        </w:tc>
        <w:tc>
          <w:tcPr>
            <w:tcW w:w="569" w:type="dxa"/>
            <w:tcBorders>
              <w:top w:val="single" w:sz="4" w:space="0" w:color="auto"/>
              <w:left w:val="single" w:sz="4" w:space="0" w:color="auto"/>
              <w:bottom w:val="single" w:sz="4" w:space="0" w:color="auto"/>
              <w:right w:val="single" w:sz="4" w:space="0" w:color="auto"/>
            </w:tcBorders>
            <w:shd w:val="clear" w:color="auto" w:fill="C6EFCE"/>
            <w:noWrap/>
            <w:hideMark/>
          </w:tcPr>
          <w:p w14:paraId="0F702EC9"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35</w:t>
            </w:r>
          </w:p>
        </w:tc>
        <w:tc>
          <w:tcPr>
            <w:tcW w:w="756" w:type="dxa"/>
            <w:tcBorders>
              <w:top w:val="single" w:sz="4" w:space="0" w:color="auto"/>
              <w:left w:val="single" w:sz="4" w:space="0" w:color="auto"/>
              <w:bottom w:val="single" w:sz="4" w:space="0" w:color="auto"/>
              <w:right w:val="single" w:sz="4" w:space="0" w:color="auto"/>
            </w:tcBorders>
            <w:shd w:val="clear" w:color="auto" w:fill="C6EFCE"/>
            <w:noWrap/>
            <w:hideMark/>
          </w:tcPr>
          <w:p w14:paraId="5DBF9C93"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Q2</w:t>
            </w:r>
          </w:p>
        </w:tc>
        <w:tc>
          <w:tcPr>
            <w:tcW w:w="662" w:type="dxa"/>
            <w:tcBorders>
              <w:top w:val="single" w:sz="4" w:space="0" w:color="auto"/>
              <w:left w:val="single" w:sz="4" w:space="0" w:color="auto"/>
              <w:bottom w:val="single" w:sz="4" w:space="0" w:color="auto"/>
              <w:right w:val="single" w:sz="4" w:space="0" w:color="auto"/>
            </w:tcBorders>
            <w:shd w:val="clear" w:color="auto" w:fill="C6EFCE"/>
            <w:noWrap/>
            <w:hideMark/>
          </w:tcPr>
          <w:p w14:paraId="1AE69F27"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2026</w:t>
            </w:r>
          </w:p>
        </w:tc>
        <w:tc>
          <w:tcPr>
            <w:tcW w:w="4534" w:type="dxa"/>
            <w:tcBorders>
              <w:top w:val="single" w:sz="4" w:space="0" w:color="auto"/>
              <w:left w:val="single" w:sz="4" w:space="0" w:color="auto"/>
              <w:bottom w:val="single" w:sz="4" w:space="0" w:color="auto"/>
              <w:right w:val="single" w:sz="4" w:space="0" w:color="auto"/>
            </w:tcBorders>
            <w:shd w:val="clear" w:color="auto" w:fill="C6EFCE"/>
            <w:noWrap/>
            <w:hideMark/>
          </w:tcPr>
          <w:p w14:paraId="1C74564A" w14:textId="39E8C6D8"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35 final payments approved for high-speed broadband (at least 100/100 Mbit/s) projects.</w:t>
            </w:r>
          </w:p>
        </w:tc>
      </w:tr>
      <w:tr w:rsidR="00A7081A" w:rsidRPr="00E654A0" w14:paraId="2737452D" w14:textId="77777777" w:rsidTr="003E1CE8">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615F4E45" w14:textId="77777777" w:rsidR="00935FC8" w:rsidRPr="00E654A0" w:rsidRDefault="00935FC8">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58</w:t>
            </w:r>
          </w:p>
        </w:tc>
        <w:tc>
          <w:tcPr>
            <w:tcW w:w="1867" w:type="dxa"/>
            <w:tcBorders>
              <w:top w:val="single" w:sz="4" w:space="0" w:color="auto"/>
              <w:left w:val="single" w:sz="4" w:space="0" w:color="auto"/>
              <w:bottom w:val="single" w:sz="4" w:space="0" w:color="auto"/>
              <w:right w:val="single" w:sz="4" w:space="0" w:color="auto"/>
            </w:tcBorders>
            <w:shd w:val="clear" w:color="auto" w:fill="C6EFCE"/>
            <w:noWrap/>
            <w:hideMark/>
          </w:tcPr>
          <w:p w14:paraId="204AA182"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P2C1I2 – Transport and land use - Digirail project</w:t>
            </w:r>
          </w:p>
        </w:tc>
        <w:tc>
          <w:tcPr>
            <w:tcW w:w="1024" w:type="dxa"/>
            <w:tcBorders>
              <w:top w:val="single" w:sz="4" w:space="0" w:color="auto"/>
              <w:left w:val="single" w:sz="4" w:space="0" w:color="auto"/>
              <w:bottom w:val="single" w:sz="4" w:space="0" w:color="auto"/>
              <w:right w:val="single" w:sz="4" w:space="0" w:color="auto"/>
            </w:tcBorders>
            <w:shd w:val="clear" w:color="auto" w:fill="C6EFCE"/>
            <w:noWrap/>
            <w:hideMark/>
          </w:tcPr>
          <w:p w14:paraId="6A22B60A"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Milestone</w:t>
            </w:r>
          </w:p>
        </w:tc>
        <w:tc>
          <w:tcPr>
            <w:tcW w:w="2042" w:type="dxa"/>
            <w:tcBorders>
              <w:top w:val="single" w:sz="4" w:space="0" w:color="auto"/>
              <w:left w:val="single" w:sz="4" w:space="0" w:color="auto"/>
              <w:bottom w:val="single" w:sz="4" w:space="0" w:color="auto"/>
              <w:right w:val="single" w:sz="4" w:space="0" w:color="auto"/>
            </w:tcBorders>
            <w:shd w:val="clear" w:color="auto" w:fill="C6EFCE"/>
            <w:noWrap/>
            <w:hideMark/>
          </w:tcPr>
          <w:p w14:paraId="50AE9837"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Test laboratory on modelling equipment for the common European automatic train protection system (ERTMS) is operational</w:t>
            </w:r>
          </w:p>
        </w:tc>
        <w:tc>
          <w:tcPr>
            <w:tcW w:w="1478" w:type="dxa"/>
            <w:tcBorders>
              <w:top w:val="single" w:sz="4" w:space="0" w:color="auto"/>
              <w:left w:val="single" w:sz="4" w:space="0" w:color="auto"/>
              <w:bottom w:val="single" w:sz="4" w:space="0" w:color="auto"/>
              <w:right w:val="single" w:sz="4" w:space="0" w:color="auto"/>
            </w:tcBorders>
            <w:shd w:val="clear" w:color="auto" w:fill="C6EFCE"/>
            <w:noWrap/>
            <w:hideMark/>
          </w:tcPr>
          <w:p w14:paraId="5512561D"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The test laboratory has been set up in the Rail Training Centre, Kouvola, and is available to run the virtual simulation tests.</w:t>
            </w:r>
          </w:p>
        </w:tc>
        <w:tc>
          <w:tcPr>
            <w:tcW w:w="856" w:type="dxa"/>
            <w:tcBorders>
              <w:top w:val="single" w:sz="4" w:space="0" w:color="auto"/>
              <w:left w:val="single" w:sz="4" w:space="0" w:color="auto"/>
              <w:bottom w:val="single" w:sz="4" w:space="0" w:color="auto"/>
              <w:right w:val="single" w:sz="4" w:space="0" w:color="auto"/>
            </w:tcBorders>
            <w:shd w:val="clear" w:color="auto" w:fill="C6EFCE"/>
            <w:noWrap/>
            <w:hideMark/>
          </w:tcPr>
          <w:p w14:paraId="3B7E7219"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p>
        </w:tc>
        <w:tc>
          <w:tcPr>
            <w:tcW w:w="1030" w:type="dxa"/>
            <w:tcBorders>
              <w:top w:val="single" w:sz="4" w:space="0" w:color="auto"/>
              <w:left w:val="single" w:sz="4" w:space="0" w:color="auto"/>
              <w:bottom w:val="single" w:sz="4" w:space="0" w:color="auto"/>
              <w:right w:val="single" w:sz="4" w:space="0" w:color="auto"/>
            </w:tcBorders>
            <w:shd w:val="clear" w:color="auto" w:fill="C6EFCE"/>
            <w:noWrap/>
            <w:hideMark/>
          </w:tcPr>
          <w:p w14:paraId="7CEC0192" w14:textId="7C05B57A" w:rsidR="00935FC8" w:rsidRPr="00E654A0" w:rsidRDefault="00935FC8" w:rsidP="00377F11">
            <w:pPr>
              <w:spacing w:after="0" w:line="240" w:lineRule="auto"/>
              <w:jc w:val="center"/>
              <w:rPr>
                <w:rFonts w:ascii="Times New Roman" w:eastAsia="Times New Roman" w:hAnsi="Times New Roman"/>
                <w:noProof/>
                <w:sz w:val="20"/>
                <w:szCs w:val="20"/>
                <w:lang w:eastAsia="en-GB"/>
              </w:rPr>
            </w:pPr>
          </w:p>
        </w:tc>
        <w:tc>
          <w:tcPr>
            <w:tcW w:w="569" w:type="dxa"/>
            <w:tcBorders>
              <w:top w:val="single" w:sz="4" w:space="0" w:color="auto"/>
              <w:left w:val="single" w:sz="4" w:space="0" w:color="auto"/>
              <w:bottom w:val="single" w:sz="4" w:space="0" w:color="auto"/>
              <w:right w:val="single" w:sz="4" w:space="0" w:color="auto"/>
            </w:tcBorders>
            <w:shd w:val="clear" w:color="auto" w:fill="C6EFCE"/>
            <w:noWrap/>
            <w:hideMark/>
          </w:tcPr>
          <w:p w14:paraId="05052BBD" w14:textId="020FF9A4" w:rsidR="00935FC8" w:rsidRPr="00E654A0" w:rsidRDefault="00935FC8" w:rsidP="00377F11">
            <w:pPr>
              <w:spacing w:after="0" w:line="240" w:lineRule="auto"/>
              <w:jc w:val="center"/>
              <w:rPr>
                <w:rFonts w:ascii="Times New Roman" w:eastAsia="Times New Roman" w:hAnsi="Times New Roman"/>
                <w:noProof/>
                <w:sz w:val="20"/>
                <w:szCs w:val="20"/>
                <w:lang w:eastAsia="en-GB"/>
              </w:rPr>
            </w:pPr>
          </w:p>
        </w:tc>
        <w:tc>
          <w:tcPr>
            <w:tcW w:w="756" w:type="dxa"/>
            <w:tcBorders>
              <w:top w:val="single" w:sz="4" w:space="0" w:color="auto"/>
              <w:left w:val="single" w:sz="4" w:space="0" w:color="auto"/>
              <w:bottom w:val="single" w:sz="4" w:space="0" w:color="auto"/>
              <w:right w:val="single" w:sz="4" w:space="0" w:color="auto"/>
            </w:tcBorders>
            <w:shd w:val="clear" w:color="auto" w:fill="C6EFCE"/>
            <w:noWrap/>
            <w:hideMark/>
          </w:tcPr>
          <w:p w14:paraId="326BA224"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Q4</w:t>
            </w:r>
          </w:p>
        </w:tc>
        <w:tc>
          <w:tcPr>
            <w:tcW w:w="662" w:type="dxa"/>
            <w:tcBorders>
              <w:top w:val="single" w:sz="4" w:space="0" w:color="auto"/>
              <w:left w:val="single" w:sz="4" w:space="0" w:color="auto"/>
              <w:bottom w:val="single" w:sz="4" w:space="0" w:color="auto"/>
              <w:right w:val="single" w:sz="4" w:space="0" w:color="auto"/>
            </w:tcBorders>
            <w:shd w:val="clear" w:color="auto" w:fill="C6EFCE"/>
            <w:noWrap/>
            <w:hideMark/>
          </w:tcPr>
          <w:p w14:paraId="6638068F"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2022</w:t>
            </w:r>
          </w:p>
        </w:tc>
        <w:tc>
          <w:tcPr>
            <w:tcW w:w="4534" w:type="dxa"/>
            <w:tcBorders>
              <w:top w:val="single" w:sz="4" w:space="0" w:color="auto"/>
              <w:left w:val="single" w:sz="4" w:space="0" w:color="auto"/>
              <w:bottom w:val="single" w:sz="4" w:space="0" w:color="auto"/>
              <w:right w:val="single" w:sz="4" w:space="0" w:color="auto"/>
            </w:tcBorders>
            <w:shd w:val="clear" w:color="auto" w:fill="C6EFCE"/>
            <w:noWrap/>
            <w:hideMark/>
          </w:tcPr>
          <w:p w14:paraId="0E6080BB"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Development work shall be started by means of impact assessments carried out by the test laboratory before the development phase can be switched to tests under realistic conditions.</w:t>
            </w:r>
          </w:p>
        </w:tc>
      </w:tr>
      <w:tr w:rsidR="00A7081A" w:rsidRPr="00E654A0" w14:paraId="7E4F11A1" w14:textId="77777777" w:rsidTr="003E1CE8">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hideMark/>
          </w:tcPr>
          <w:p w14:paraId="0E658E84" w14:textId="77777777" w:rsidR="00935FC8" w:rsidRPr="00E654A0" w:rsidRDefault="00935FC8">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59</w:t>
            </w:r>
          </w:p>
        </w:tc>
        <w:tc>
          <w:tcPr>
            <w:tcW w:w="1867" w:type="dxa"/>
            <w:tcBorders>
              <w:top w:val="single" w:sz="4" w:space="0" w:color="auto"/>
              <w:left w:val="single" w:sz="4" w:space="0" w:color="auto"/>
              <w:bottom w:val="single" w:sz="4" w:space="0" w:color="auto"/>
              <w:right w:val="single" w:sz="4" w:space="0" w:color="auto"/>
            </w:tcBorders>
            <w:shd w:val="clear" w:color="auto" w:fill="C6EFCE"/>
            <w:noWrap/>
            <w:hideMark/>
          </w:tcPr>
          <w:p w14:paraId="69191626"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P2C1I2 – Transport and land use - Digirail project</w:t>
            </w:r>
          </w:p>
        </w:tc>
        <w:tc>
          <w:tcPr>
            <w:tcW w:w="1024" w:type="dxa"/>
            <w:tcBorders>
              <w:top w:val="single" w:sz="4" w:space="0" w:color="auto"/>
              <w:left w:val="single" w:sz="4" w:space="0" w:color="auto"/>
              <w:bottom w:val="single" w:sz="4" w:space="0" w:color="auto"/>
              <w:right w:val="single" w:sz="4" w:space="0" w:color="auto"/>
            </w:tcBorders>
            <w:shd w:val="clear" w:color="auto" w:fill="C6EFCE"/>
            <w:noWrap/>
            <w:hideMark/>
          </w:tcPr>
          <w:p w14:paraId="0273927D"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Milestone</w:t>
            </w:r>
          </w:p>
        </w:tc>
        <w:tc>
          <w:tcPr>
            <w:tcW w:w="2042" w:type="dxa"/>
            <w:tcBorders>
              <w:top w:val="single" w:sz="4" w:space="0" w:color="auto"/>
              <w:left w:val="single" w:sz="4" w:space="0" w:color="auto"/>
              <w:bottom w:val="single" w:sz="4" w:space="0" w:color="auto"/>
              <w:right w:val="single" w:sz="4" w:space="0" w:color="auto"/>
            </w:tcBorders>
            <w:shd w:val="clear" w:color="auto" w:fill="C6EFCE"/>
            <w:noWrap/>
            <w:hideMark/>
          </w:tcPr>
          <w:p w14:paraId="26C7815B"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Test track equipped with radio-based ERTMS</w:t>
            </w:r>
          </w:p>
        </w:tc>
        <w:tc>
          <w:tcPr>
            <w:tcW w:w="1478" w:type="dxa"/>
            <w:tcBorders>
              <w:top w:val="single" w:sz="4" w:space="0" w:color="auto"/>
              <w:left w:val="single" w:sz="4" w:space="0" w:color="auto"/>
              <w:bottom w:val="single" w:sz="4" w:space="0" w:color="auto"/>
              <w:right w:val="single" w:sz="4" w:space="0" w:color="auto"/>
            </w:tcBorders>
            <w:shd w:val="clear" w:color="auto" w:fill="C6EFCE"/>
            <w:noWrap/>
            <w:hideMark/>
          </w:tcPr>
          <w:p w14:paraId="4EBA3F86"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Test track equipped with radio-based ERTMS</w:t>
            </w:r>
          </w:p>
        </w:tc>
        <w:tc>
          <w:tcPr>
            <w:tcW w:w="856" w:type="dxa"/>
            <w:tcBorders>
              <w:top w:val="single" w:sz="4" w:space="0" w:color="auto"/>
              <w:left w:val="single" w:sz="4" w:space="0" w:color="auto"/>
              <w:bottom w:val="single" w:sz="4" w:space="0" w:color="auto"/>
              <w:right w:val="single" w:sz="4" w:space="0" w:color="auto"/>
            </w:tcBorders>
            <w:shd w:val="clear" w:color="auto" w:fill="C6EFCE"/>
            <w:noWrap/>
            <w:hideMark/>
          </w:tcPr>
          <w:p w14:paraId="5A23E2C0"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p>
        </w:tc>
        <w:tc>
          <w:tcPr>
            <w:tcW w:w="1030" w:type="dxa"/>
            <w:tcBorders>
              <w:top w:val="single" w:sz="4" w:space="0" w:color="auto"/>
              <w:left w:val="single" w:sz="4" w:space="0" w:color="auto"/>
              <w:bottom w:val="single" w:sz="4" w:space="0" w:color="auto"/>
              <w:right w:val="single" w:sz="4" w:space="0" w:color="auto"/>
            </w:tcBorders>
            <w:shd w:val="clear" w:color="auto" w:fill="C6EFCE"/>
            <w:noWrap/>
            <w:hideMark/>
          </w:tcPr>
          <w:p w14:paraId="2DBECF3F"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p>
        </w:tc>
        <w:tc>
          <w:tcPr>
            <w:tcW w:w="569" w:type="dxa"/>
            <w:tcBorders>
              <w:top w:val="single" w:sz="4" w:space="0" w:color="auto"/>
              <w:left w:val="single" w:sz="4" w:space="0" w:color="auto"/>
              <w:bottom w:val="single" w:sz="4" w:space="0" w:color="auto"/>
              <w:right w:val="single" w:sz="4" w:space="0" w:color="auto"/>
            </w:tcBorders>
            <w:shd w:val="clear" w:color="auto" w:fill="C6EFCE"/>
            <w:noWrap/>
            <w:hideMark/>
          </w:tcPr>
          <w:p w14:paraId="0C216228"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p>
        </w:tc>
        <w:tc>
          <w:tcPr>
            <w:tcW w:w="756" w:type="dxa"/>
            <w:tcBorders>
              <w:top w:val="single" w:sz="4" w:space="0" w:color="auto"/>
              <w:left w:val="single" w:sz="4" w:space="0" w:color="auto"/>
              <w:bottom w:val="single" w:sz="4" w:space="0" w:color="auto"/>
              <w:right w:val="single" w:sz="4" w:space="0" w:color="auto"/>
            </w:tcBorders>
            <w:shd w:val="clear" w:color="auto" w:fill="C6EFCE"/>
            <w:noWrap/>
            <w:hideMark/>
          </w:tcPr>
          <w:p w14:paraId="77BF49D5"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Q4</w:t>
            </w:r>
          </w:p>
        </w:tc>
        <w:tc>
          <w:tcPr>
            <w:tcW w:w="662" w:type="dxa"/>
            <w:tcBorders>
              <w:top w:val="single" w:sz="4" w:space="0" w:color="auto"/>
              <w:left w:val="single" w:sz="4" w:space="0" w:color="auto"/>
              <w:bottom w:val="single" w:sz="4" w:space="0" w:color="auto"/>
              <w:right w:val="single" w:sz="4" w:space="0" w:color="auto"/>
            </w:tcBorders>
            <w:shd w:val="clear" w:color="auto" w:fill="C6EFCE"/>
            <w:noWrap/>
            <w:hideMark/>
          </w:tcPr>
          <w:p w14:paraId="00805E27"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2024</w:t>
            </w:r>
          </w:p>
        </w:tc>
        <w:tc>
          <w:tcPr>
            <w:tcW w:w="4534" w:type="dxa"/>
            <w:tcBorders>
              <w:top w:val="single" w:sz="4" w:space="0" w:color="auto"/>
              <w:left w:val="single" w:sz="4" w:space="0" w:color="auto"/>
              <w:bottom w:val="single" w:sz="4" w:space="0" w:color="auto"/>
              <w:right w:val="single" w:sz="4" w:space="0" w:color="auto"/>
            </w:tcBorders>
            <w:shd w:val="clear" w:color="auto" w:fill="C6EFCE"/>
            <w:noWrap/>
            <w:hideMark/>
          </w:tcPr>
          <w:p w14:paraId="57A8B5B0"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The test track located between Kouvola-Kotka/Hamina shall be equipped with radio-based ERMTS.</w:t>
            </w:r>
          </w:p>
        </w:tc>
      </w:tr>
      <w:tr w:rsidR="00A7081A" w:rsidRPr="00E654A0" w14:paraId="0F5BF0C5" w14:textId="77777777" w:rsidTr="003E1CE8">
        <w:trPr>
          <w:trHeight w:val="309"/>
          <w:jc w:val="center"/>
        </w:trPr>
        <w:tc>
          <w:tcPr>
            <w:tcW w:w="768" w:type="dxa"/>
            <w:tcBorders>
              <w:top w:val="single" w:sz="4" w:space="0" w:color="auto"/>
              <w:left w:val="single" w:sz="4" w:space="0" w:color="auto"/>
              <w:bottom w:val="single" w:sz="4" w:space="0" w:color="auto"/>
              <w:right w:val="single" w:sz="4" w:space="0" w:color="auto"/>
            </w:tcBorders>
            <w:shd w:val="clear" w:color="auto" w:fill="C6EFCE"/>
            <w:noWrap/>
          </w:tcPr>
          <w:p w14:paraId="3A6439FC" w14:textId="77777777" w:rsidR="00935FC8" w:rsidRPr="00E654A0" w:rsidRDefault="00935FC8">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60</w:t>
            </w:r>
          </w:p>
        </w:tc>
        <w:tc>
          <w:tcPr>
            <w:tcW w:w="1867" w:type="dxa"/>
            <w:tcBorders>
              <w:top w:val="single" w:sz="4" w:space="0" w:color="auto"/>
              <w:left w:val="single" w:sz="4" w:space="0" w:color="auto"/>
              <w:bottom w:val="single" w:sz="4" w:space="0" w:color="auto"/>
              <w:right w:val="single" w:sz="4" w:space="0" w:color="auto"/>
            </w:tcBorders>
            <w:shd w:val="clear" w:color="auto" w:fill="C6EFCE"/>
            <w:noWrap/>
          </w:tcPr>
          <w:p w14:paraId="321152FD"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P2C1I2 – Transport and land use - Digirail project</w:t>
            </w:r>
          </w:p>
        </w:tc>
        <w:tc>
          <w:tcPr>
            <w:tcW w:w="1024" w:type="dxa"/>
            <w:tcBorders>
              <w:top w:val="single" w:sz="4" w:space="0" w:color="auto"/>
              <w:left w:val="single" w:sz="4" w:space="0" w:color="auto"/>
              <w:bottom w:val="single" w:sz="4" w:space="0" w:color="auto"/>
              <w:right w:val="single" w:sz="4" w:space="0" w:color="auto"/>
            </w:tcBorders>
            <w:shd w:val="clear" w:color="auto" w:fill="C6EFCE"/>
            <w:noWrap/>
          </w:tcPr>
          <w:p w14:paraId="5DA9709A"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Milestone</w:t>
            </w:r>
          </w:p>
        </w:tc>
        <w:tc>
          <w:tcPr>
            <w:tcW w:w="2042" w:type="dxa"/>
            <w:tcBorders>
              <w:top w:val="single" w:sz="4" w:space="0" w:color="auto"/>
              <w:left w:val="single" w:sz="4" w:space="0" w:color="auto"/>
              <w:bottom w:val="single" w:sz="4" w:space="0" w:color="auto"/>
              <w:right w:val="single" w:sz="4" w:space="0" w:color="auto"/>
            </w:tcBorders>
            <w:shd w:val="clear" w:color="auto" w:fill="C6EFCE"/>
            <w:noWrap/>
          </w:tcPr>
          <w:p w14:paraId="4851A2BB"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Commercial pilot track equipped with ERMTS</w:t>
            </w:r>
          </w:p>
        </w:tc>
        <w:tc>
          <w:tcPr>
            <w:tcW w:w="1478" w:type="dxa"/>
            <w:tcBorders>
              <w:top w:val="single" w:sz="4" w:space="0" w:color="auto"/>
              <w:left w:val="single" w:sz="4" w:space="0" w:color="auto"/>
              <w:bottom w:val="single" w:sz="4" w:space="0" w:color="auto"/>
              <w:right w:val="single" w:sz="4" w:space="0" w:color="auto"/>
            </w:tcBorders>
            <w:shd w:val="clear" w:color="auto" w:fill="C6EFCE"/>
            <w:noWrap/>
          </w:tcPr>
          <w:p w14:paraId="7EDCB127" w14:textId="77777777"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Pilot track equipped with ERTMS</w:t>
            </w:r>
          </w:p>
        </w:tc>
        <w:tc>
          <w:tcPr>
            <w:tcW w:w="856" w:type="dxa"/>
            <w:tcBorders>
              <w:top w:val="single" w:sz="4" w:space="0" w:color="auto"/>
              <w:left w:val="single" w:sz="4" w:space="0" w:color="auto"/>
              <w:bottom w:val="single" w:sz="4" w:space="0" w:color="auto"/>
              <w:right w:val="single" w:sz="4" w:space="0" w:color="auto"/>
            </w:tcBorders>
            <w:shd w:val="clear" w:color="auto" w:fill="C6EFCE"/>
            <w:noWrap/>
          </w:tcPr>
          <w:p w14:paraId="73852179"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p>
        </w:tc>
        <w:tc>
          <w:tcPr>
            <w:tcW w:w="1030" w:type="dxa"/>
            <w:tcBorders>
              <w:top w:val="single" w:sz="4" w:space="0" w:color="auto"/>
              <w:left w:val="single" w:sz="4" w:space="0" w:color="auto"/>
              <w:bottom w:val="single" w:sz="4" w:space="0" w:color="auto"/>
              <w:right w:val="single" w:sz="4" w:space="0" w:color="auto"/>
            </w:tcBorders>
            <w:shd w:val="clear" w:color="auto" w:fill="C6EFCE"/>
            <w:noWrap/>
          </w:tcPr>
          <w:p w14:paraId="556205FC"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p>
        </w:tc>
        <w:tc>
          <w:tcPr>
            <w:tcW w:w="569" w:type="dxa"/>
            <w:tcBorders>
              <w:top w:val="single" w:sz="4" w:space="0" w:color="auto"/>
              <w:left w:val="single" w:sz="4" w:space="0" w:color="auto"/>
              <w:bottom w:val="single" w:sz="4" w:space="0" w:color="auto"/>
              <w:right w:val="single" w:sz="4" w:space="0" w:color="auto"/>
            </w:tcBorders>
            <w:shd w:val="clear" w:color="auto" w:fill="C6EFCE"/>
            <w:noWrap/>
          </w:tcPr>
          <w:p w14:paraId="2C8C6519"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p>
        </w:tc>
        <w:tc>
          <w:tcPr>
            <w:tcW w:w="756" w:type="dxa"/>
            <w:tcBorders>
              <w:top w:val="single" w:sz="4" w:space="0" w:color="auto"/>
              <w:left w:val="single" w:sz="4" w:space="0" w:color="auto"/>
              <w:bottom w:val="single" w:sz="4" w:space="0" w:color="auto"/>
              <w:right w:val="single" w:sz="4" w:space="0" w:color="auto"/>
            </w:tcBorders>
            <w:shd w:val="clear" w:color="auto" w:fill="C6EFCE"/>
            <w:noWrap/>
          </w:tcPr>
          <w:p w14:paraId="210F2DAD"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Q2</w:t>
            </w:r>
          </w:p>
        </w:tc>
        <w:tc>
          <w:tcPr>
            <w:tcW w:w="662" w:type="dxa"/>
            <w:tcBorders>
              <w:top w:val="single" w:sz="4" w:space="0" w:color="auto"/>
              <w:left w:val="single" w:sz="4" w:space="0" w:color="auto"/>
              <w:bottom w:val="single" w:sz="4" w:space="0" w:color="auto"/>
              <w:right w:val="single" w:sz="4" w:space="0" w:color="auto"/>
            </w:tcBorders>
            <w:shd w:val="clear" w:color="auto" w:fill="C6EFCE"/>
            <w:noWrap/>
          </w:tcPr>
          <w:p w14:paraId="5E580529" w14:textId="77777777" w:rsidR="00935FC8" w:rsidRPr="00E654A0" w:rsidRDefault="00935FC8" w:rsidP="00377F11">
            <w:pPr>
              <w:spacing w:after="0" w:line="240" w:lineRule="auto"/>
              <w:jc w:val="center"/>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2026</w:t>
            </w:r>
          </w:p>
        </w:tc>
        <w:tc>
          <w:tcPr>
            <w:tcW w:w="4534" w:type="dxa"/>
            <w:tcBorders>
              <w:top w:val="single" w:sz="4" w:space="0" w:color="auto"/>
              <w:left w:val="single" w:sz="4" w:space="0" w:color="auto"/>
              <w:bottom w:val="single" w:sz="4" w:space="0" w:color="auto"/>
              <w:right w:val="single" w:sz="4" w:space="0" w:color="auto"/>
            </w:tcBorders>
            <w:shd w:val="clear" w:color="auto" w:fill="C6EFCE"/>
            <w:noWrap/>
          </w:tcPr>
          <w:p w14:paraId="71CAE263" w14:textId="32212423" w:rsidR="00935FC8" w:rsidRPr="00E654A0" w:rsidRDefault="00935FC8" w:rsidP="00A7081A">
            <w:pPr>
              <w:spacing w:after="0" w:line="240" w:lineRule="auto"/>
              <w:rPr>
                <w:rFonts w:ascii="Times New Roman" w:eastAsia="Times New Roman" w:hAnsi="Times New Roman"/>
                <w:noProof/>
                <w:sz w:val="20"/>
                <w:szCs w:val="20"/>
                <w:lang w:eastAsia="en-GB"/>
              </w:rPr>
            </w:pPr>
            <w:r w:rsidRPr="00E654A0">
              <w:rPr>
                <w:rFonts w:ascii="Times New Roman" w:eastAsia="Times New Roman" w:hAnsi="Times New Roman"/>
                <w:noProof/>
                <w:sz w:val="20"/>
                <w:szCs w:val="20"/>
                <w:lang w:eastAsia="en-GB"/>
              </w:rPr>
              <w:t>A radio based ERTMS system installed in a commercial pilot track.</w:t>
            </w:r>
          </w:p>
        </w:tc>
      </w:tr>
    </w:tbl>
    <w:p w14:paraId="55307255" w14:textId="77777777" w:rsidR="00935FC8" w:rsidRPr="00B555B3" w:rsidRDefault="00935FC8">
      <w:pPr>
        <w:pStyle w:val="Heading4"/>
        <w:numPr>
          <w:ilvl w:val="0"/>
          <w:numId w:val="0"/>
        </w:numPr>
        <w:spacing w:after="240"/>
        <w:rPr>
          <w:b/>
          <w:noProof/>
        </w:rPr>
        <w:sectPr w:rsidR="00935FC8" w:rsidRPr="00B555B3" w:rsidSect="00A7081A">
          <w:headerReference w:type="even" r:id="rId83"/>
          <w:headerReference w:type="default" r:id="rId84"/>
          <w:footerReference w:type="even" r:id="rId85"/>
          <w:footerReference w:type="default" r:id="rId86"/>
          <w:headerReference w:type="first" r:id="rId87"/>
          <w:footerReference w:type="first" r:id="rId88"/>
          <w:pgSz w:w="16839" w:h="11907" w:orient="landscape"/>
          <w:pgMar w:top="1134" w:right="1134" w:bottom="1134" w:left="1134" w:header="567" w:footer="567" w:gutter="0"/>
          <w:cols w:space="720"/>
          <w:docGrid w:linePitch="360"/>
        </w:sectPr>
      </w:pPr>
    </w:p>
    <w:p w14:paraId="3E9F0CA2" w14:textId="77777777" w:rsidR="00935FC8" w:rsidRPr="00B555B3" w:rsidRDefault="00935FC8">
      <w:pPr>
        <w:pStyle w:val="Heading4"/>
        <w:numPr>
          <w:ilvl w:val="0"/>
          <w:numId w:val="0"/>
        </w:numPr>
        <w:spacing w:after="240"/>
        <w:rPr>
          <w:b/>
          <w:noProof/>
        </w:rPr>
      </w:pPr>
      <w:r w:rsidRPr="00B555B3">
        <w:rPr>
          <w:b/>
          <w:noProof/>
        </w:rPr>
        <w:t xml:space="preserve">G. COMPONENT P2C2: ACCELERATING THE DATA ECONOMY AND DIGITALISATION </w:t>
      </w:r>
    </w:p>
    <w:p w14:paraId="76B46FF3" w14:textId="77777777"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 xml:space="preserve">This component of the Finnish recovery and resilience plan includes reforms and investments that shall support the digitalisation in Finland by facilitating data-driven innovation, the exchange of digital information and use of public sector data and by fostering research in key technologies in order to increase Finland’s competitiveness. By increasing the interoperability of data for multi-stakeholder use, Finland aims to exploit the full potential of the digital transformation. This requires standardisation for the exchange of digital information covering both businesses and the public sector. The component also includes the development of a repository system for monitoring the implementation of the recovery and resilience plan. </w:t>
      </w:r>
    </w:p>
    <w:p w14:paraId="0337B9F6" w14:textId="77777777"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By extending the coverage of the residential and commercial property information system with information on housing company loans, the component contributes to addressing Country Specific Recommendations to strengthen the monitoring of household debt and establish the credit registry system (Country Specific Recommendation 4 2019), as well as to focus investment on research and innovation (Country Specific Recommendation 3 2020 and Country Specific Recommendation 3 2019).</w:t>
      </w:r>
    </w:p>
    <w:p w14:paraId="0BE5CF70" w14:textId="77777777" w:rsidR="00935FC8" w:rsidRPr="00B555B3" w:rsidRDefault="00935FC8">
      <w:pPr>
        <w:spacing w:before="120" w:after="120" w:line="240" w:lineRule="auto"/>
        <w:jc w:val="both"/>
        <w:rPr>
          <w:rFonts w:ascii="Times New Roman" w:eastAsia="Times New Roman" w:hAnsi="Times New Roman"/>
          <w:noProof/>
        </w:rPr>
      </w:pPr>
      <w:r w:rsidRPr="00B555B3">
        <w:rPr>
          <w:rFonts w:ascii="Times New Roman" w:eastAsia="Times New Roman" w:hAnsi="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A53B098" w14:textId="77777777" w:rsidR="00935FC8" w:rsidRPr="00B555B3" w:rsidRDefault="00935FC8" w:rsidP="00A7081A">
      <w:pPr>
        <w:spacing w:before="120" w:after="120" w:line="240" w:lineRule="auto"/>
        <w:jc w:val="both"/>
        <w:rPr>
          <w:rFonts w:ascii="Times New Roman" w:hAnsi="Times New Roman"/>
          <w:b/>
          <w:i/>
          <w:noProof/>
          <w:color w:val="4F81BD"/>
          <w:sz w:val="24"/>
        </w:rPr>
      </w:pPr>
      <w:r w:rsidRPr="00B555B3">
        <w:rPr>
          <w:rFonts w:ascii="Times New Roman" w:hAnsi="Times New Roman"/>
          <w:b/>
          <w:noProof/>
          <w:sz w:val="24"/>
          <w:u w:val="single"/>
        </w:rPr>
        <w:t xml:space="preserve">G.1. </w:t>
      </w:r>
      <w:r w:rsidRPr="00B555B3">
        <w:rPr>
          <w:rFonts w:ascii="Times New Roman" w:hAnsi="Times New Roman"/>
          <w:b/>
          <w:noProof/>
          <w:sz w:val="24"/>
          <w:u w:val="single"/>
        </w:rPr>
        <w:tab/>
        <w:t>Description of the reforms and investments for non-repayable financial support</w:t>
      </w:r>
    </w:p>
    <w:p w14:paraId="47AA6477" w14:textId="77777777" w:rsidR="00935FC8" w:rsidRPr="00B555B3" w:rsidRDefault="00935FC8" w:rsidP="00A7081A">
      <w:pPr>
        <w:spacing w:before="120" w:after="120" w:line="240" w:lineRule="auto"/>
        <w:jc w:val="both"/>
        <w:rPr>
          <w:rFonts w:ascii="Times New Roman" w:hAnsi="Times New Roman"/>
          <w:b/>
          <w:noProof/>
          <w:color w:val="4F81BD"/>
          <w:sz w:val="24"/>
          <w:szCs w:val="24"/>
        </w:rPr>
      </w:pPr>
      <w:r w:rsidRPr="00D0136A">
        <w:rPr>
          <w:rFonts w:ascii="Times New Roman" w:hAnsi="Times New Roman"/>
          <w:noProof/>
          <w:sz w:val="24"/>
          <w:szCs w:val="24"/>
          <w:u w:val="single"/>
        </w:rPr>
        <w:t>Investment 1 (</w:t>
      </w:r>
      <w:bookmarkStart w:id="8" w:name="_Hlk214957070"/>
      <w:r w:rsidRPr="00D0136A">
        <w:rPr>
          <w:rFonts w:ascii="Times New Roman" w:hAnsi="Times New Roman"/>
          <w:noProof/>
          <w:sz w:val="24"/>
          <w:szCs w:val="24"/>
          <w:u w:val="single"/>
        </w:rPr>
        <w:t>P2C2I1): Digital economy – Real-time economy (RTE) programme</w:t>
      </w:r>
      <w:bookmarkEnd w:id="8"/>
    </w:p>
    <w:p w14:paraId="6EDD0F15" w14:textId="77777777" w:rsidR="00935FC8" w:rsidRPr="00B555B3" w:rsidRDefault="00935FC8" w:rsidP="00A7081A">
      <w:pPr>
        <w:spacing w:before="120" w:after="120" w:line="259" w:lineRule="auto"/>
        <w:jc w:val="both"/>
        <w:rPr>
          <w:rFonts w:ascii="Times New Roman" w:hAnsi="Times New Roman"/>
          <w:i/>
          <w:iCs/>
          <w:noProof/>
          <w:sz w:val="24"/>
          <w:szCs w:val="24"/>
        </w:rPr>
      </w:pPr>
      <w:r w:rsidRPr="00B555B3">
        <w:rPr>
          <w:rFonts w:ascii="Times New Roman" w:hAnsi="Times New Roman"/>
          <w:noProof/>
          <w:sz w:val="24"/>
          <w:szCs w:val="24"/>
        </w:rPr>
        <w:t xml:space="preserve">The objective of </w:t>
      </w:r>
      <w:r w:rsidRPr="00D0136A">
        <w:rPr>
          <w:rFonts w:ascii="Times New Roman" w:hAnsi="Times New Roman"/>
          <w:noProof/>
          <w:sz w:val="24"/>
          <w:szCs w:val="24"/>
        </w:rPr>
        <w:t>this</w:t>
      </w:r>
      <w:r w:rsidRPr="00B555B3">
        <w:rPr>
          <w:rFonts w:ascii="Times New Roman" w:hAnsi="Times New Roman"/>
          <w:noProof/>
          <w:sz w:val="24"/>
          <w:szCs w:val="24"/>
        </w:rPr>
        <w:t xml:space="preserve"> investment is to create common solutions and structures to facilitate the exchange of digital financial data between organisations in a structured machine-readable format (</w:t>
      </w:r>
      <w:r w:rsidRPr="00D0136A">
        <w:rPr>
          <w:rFonts w:ascii="Times New Roman" w:hAnsi="Times New Roman"/>
          <w:noProof/>
          <w:sz w:val="24"/>
          <w:szCs w:val="24"/>
        </w:rPr>
        <w:t>e-invoices, e-receipts and procurement documents). The measure consists of the establishment of a minimum viable ecosystem (MVE) for e-invoices and the publication of a report on exchanging digital business information.</w:t>
      </w:r>
    </w:p>
    <w:p w14:paraId="31989A7B" w14:textId="77777777" w:rsidR="00935FC8" w:rsidRPr="00B555B3" w:rsidRDefault="00935FC8" w:rsidP="00A7081A">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2 (P2C2I2): Acceleration of data economy and digitalisation - Virtual Finland</w:t>
      </w:r>
    </w:p>
    <w:p w14:paraId="466B3248" w14:textId="77777777" w:rsidR="00935FC8" w:rsidRPr="00B555B3" w:rsidRDefault="00935FC8">
      <w:pPr>
        <w:spacing w:before="120" w:after="120" w:line="240" w:lineRule="auto"/>
        <w:jc w:val="both"/>
        <w:rPr>
          <w:rFonts w:ascii="Times New Roman" w:hAnsi="Times New Roman"/>
          <w:noProof/>
          <w:sz w:val="24"/>
        </w:rPr>
      </w:pPr>
      <w:r w:rsidRPr="00D0136A">
        <w:rPr>
          <w:rFonts w:ascii="Times New Roman" w:hAnsi="Times New Roman"/>
          <w:noProof/>
          <w:sz w:val="24"/>
          <w:szCs w:val="24"/>
        </w:rPr>
        <w:t>The objective of this investment is</w:t>
      </w:r>
      <w:r w:rsidRPr="00B555B3">
        <w:rPr>
          <w:rFonts w:ascii="Times New Roman" w:hAnsi="Times New Roman"/>
          <w:noProof/>
          <w:sz w:val="24"/>
          <w:szCs w:val="24"/>
        </w:rPr>
        <w:t xml:space="preserve"> to </w:t>
      </w:r>
      <w:r w:rsidRPr="00D0136A">
        <w:rPr>
          <w:rFonts w:ascii="Times New Roman" w:hAnsi="Times New Roman"/>
          <w:noProof/>
          <w:sz w:val="24"/>
          <w:szCs w:val="24"/>
        </w:rPr>
        <w:t>enable</w:t>
      </w:r>
      <w:r w:rsidRPr="00B555B3">
        <w:rPr>
          <w:rFonts w:ascii="Times New Roman" w:hAnsi="Times New Roman"/>
          <w:noProof/>
          <w:sz w:val="24"/>
          <w:szCs w:val="24"/>
        </w:rPr>
        <w:t xml:space="preserve"> the delivery of digital services for different target groups coming to Finland, including employees immigrating to Finland.</w:t>
      </w:r>
      <w:r>
        <w:rPr>
          <w:rFonts w:ascii="Times New Roman" w:hAnsi="Times New Roman"/>
          <w:noProof/>
          <w:sz w:val="24"/>
          <w:szCs w:val="24"/>
        </w:rPr>
        <w:t xml:space="preserve"> </w:t>
      </w:r>
      <w:r w:rsidRPr="00B555B3">
        <w:rPr>
          <w:rFonts w:ascii="Times New Roman" w:hAnsi="Times New Roman"/>
          <w:noProof/>
          <w:sz w:val="24"/>
          <w:szCs w:val="24"/>
        </w:rPr>
        <w:t xml:space="preserve">The measure </w:t>
      </w:r>
      <w:r w:rsidRPr="00D0136A">
        <w:rPr>
          <w:rFonts w:ascii="Times New Roman" w:hAnsi="Times New Roman"/>
          <w:noProof/>
          <w:sz w:val="24"/>
          <w:szCs w:val="24"/>
        </w:rPr>
        <w:t>consists of publishing</w:t>
      </w:r>
      <w:r w:rsidRPr="00B555B3">
        <w:rPr>
          <w:rFonts w:ascii="Times New Roman" w:hAnsi="Times New Roman"/>
          <w:noProof/>
          <w:sz w:val="24"/>
          <w:szCs w:val="24"/>
        </w:rPr>
        <w:t xml:space="preserve"> the ‘Virtual Finland’ platform with at least one service </w:t>
      </w:r>
      <w:r w:rsidRPr="00D0136A">
        <w:rPr>
          <w:rFonts w:ascii="Times New Roman" w:hAnsi="Times New Roman"/>
          <w:noProof/>
          <w:sz w:val="24"/>
          <w:szCs w:val="24"/>
        </w:rPr>
        <w:t xml:space="preserve">process </w:t>
      </w:r>
      <w:r w:rsidRPr="00D0136A">
        <w:rPr>
          <w:rFonts w:ascii="Times New Roman" w:eastAsia="Times New Roman" w:hAnsi="Times New Roman"/>
          <w:noProof/>
          <w:sz w:val="24"/>
          <w:szCs w:val="24"/>
        </w:rPr>
        <w:t>integrated</w:t>
      </w:r>
      <w:r w:rsidRPr="002460D4">
        <w:rPr>
          <w:rFonts w:ascii="Times New Roman" w:hAnsi="Times New Roman"/>
          <w:noProof/>
          <w:sz w:val="24"/>
          <w:szCs w:val="24"/>
        </w:rPr>
        <w:t>.</w:t>
      </w:r>
    </w:p>
    <w:p w14:paraId="1974C694" w14:textId="77777777" w:rsidR="00935FC8" w:rsidRPr="00B555B3" w:rsidRDefault="00935FC8" w:rsidP="00A7081A">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3 (P2C2I3): Accelerating key technologies (microelectronics, 6G, artificial intelligence and quantum computing)</w:t>
      </w:r>
    </w:p>
    <w:p w14:paraId="2FF2EE1D" w14:textId="77777777" w:rsidR="00935FC8" w:rsidRPr="00B555B3" w:rsidRDefault="00935FC8" w:rsidP="00A7081A">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 xml:space="preserve">The objective of the measure is to safeguard Europe’s competitiveness, information security and sovereignty </w:t>
      </w:r>
      <w:r w:rsidRPr="00D0136A">
        <w:rPr>
          <w:rFonts w:ascii="Times New Roman" w:hAnsi="Times New Roman"/>
          <w:noProof/>
          <w:sz w:val="24"/>
          <w:szCs w:val="24"/>
        </w:rPr>
        <w:t>through</w:t>
      </w:r>
      <w:r w:rsidRPr="00B555B3">
        <w:rPr>
          <w:rFonts w:ascii="Times New Roman" w:hAnsi="Times New Roman"/>
          <w:noProof/>
          <w:sz w:val="24"/>
          <w:szCs w:val="24"/>
        </w:rPr>
        <w:t xml:space="preserve"> new technologies. The investment consists of funding applied RDI activities, and the infrastru</w:t>
      </w:r>
      <w:r w:rsidRPr="00D0136A">
        <w:rPr>
          <w:rFonts w:ascii="Times New Roman" w:hAnsi="Times New Roman"/>
          <w:noProof/>
          <w:sz w:val="24"/>
          <w:szCs w:val="24"/>
        </w:rPr>
        <w:t xml:space="preserve">cture supporting them, in the </w:t>
      </w:r>
      <w:r w:rsidRPr="00374BE0">
        <w:rPr>
          <w:rFonts w:ascii="Times New Roman" w:hAnsi="Times New Roman"/>
          <w:noProof/>
          <w:sz w:val="24"/>
          <w:szCs w:val="24"/>
        </w:rPr>
        <w:t>areas of microelectronics, 6G, artificial intelligence and quantum computing</w:t>
      </w:r>
      <w:r w:rsidRPr="00B555B3">
        <w:rPr>
          <w:rFonts w:ascii="Times New Roman" w:hAnsi="Times New Roman"/>
          <w:noProof/>
          <w:sz w:val="24"/>
          <w:szCs w:val="24"/>
        </w:rPr>
        <w:t>.</w:t>
      </w:r>
    </w:p>
    <w:p w14:paraId="15A599EA" w14:textId="77777777" w:rsidR="00935FC8" w:rsidRPr="00D0136A" w:rsidRDefault="00935FC8">
      <w:pPr>
        <w:spacing w:before="120" w:after="120" w:line="240" w:lineRule="auto"/>
        <w:jc w:val="both"/>
        <w:rPr>
          <w:rFonts w:ascii="Times New Roman" w:hAnsi="Times New Roman"/>
          <w:noProof/>
          <w:sz w:val="25"/>
          <w:szCs w:val="25"/>
        </w:rPr>
      </w:pPr>
      <w:r w:rsidRPr="00D0136A">
        <w:rPr>
          <w:rFonts w:ascii="Times New Roman" w:hAnsi="Times New Roman"/>
          <w:noProof/>
          <w:sz w:val="24"/>
          <w:szCs w:val="24"/>
          <w:u w:val="single"/>
        </w:rPr>
        <w:t>Reform 1 (P2C2R1): Development of the residential and commercial property information system</w:t>
      </w:r>
    </w:p>
    <w:p w14:paraId="0D0E7583" w14:textId="77777777" w:rsidR="00935FC8" w:rsidRDefault="00935FC8">
      <w:pPr>
        <w:spacing w:before="120" w:after="120" w:line="240" w:lineRule="auto"/>
        <w:jc w:val="both"/>
        <w:rPr>
          <w:rFonts w:ascii="Times New Roman" w:eastAsia="Arial" w:hAnsi="Times New Roman"/>
          <w:noProof/>
          <w:sz w:val="24"/>
          <w:szCs w:val="24"/>
        </w:rPr>
      </w:pPr>
      <w:r w:rsidRPr="00B555B3">
        <w:rPr>
          <w:rFonts w:ascii="Times New Roman" w:eastAsia="Arial" w:hAnsi="Times New Roman"/>
          <w:noProof/>
          <w:sz w:val="24"/>
          <w:szCs w:val="24"/>
        </w:rPr>
        <w:t>The objective of the measure is to make available information on the financial and technical condition and repair needs for residential and commercial property for the benefit of consumer protection in the housing market as well as competition in the housing sector.</w:t>
      </w:r>
      <w:r>
        <w:rPr>
          <w:rFonts w:ascii="Times New Roman" w:eastAsia="Arial" w:hAnsi="Times New Roman"/>
          <w:noProof/>
          <w:sz w:val="24"/>
          <w:szCs w:val="24"/>
        </w:rPr>
        <w:t xml:space="preserve"> </w:t>
      </w:r>
      <w:r w:rsidRPr="00D0136A">
        <w:rPr>
          <w:rFonts w:ascii="Times New Roman" w:eastAsia="Arial" w:hAnsi="Times New Roman"/>
          <w:noProof/>
          <w:sz w:val="24"/>
          <w:szCs w:val="24"/>
        </w:rPr>
        <w:t>This reform</w:t>
      </w:r>
      <w:r w:rsidRPr="00B555B3">
        <w:rPr>
          <w:rFonts w:ascii="Times New Roman" w:eastAsia="Arial" w:hAnsi="Times New Roman"/>
          <w:noProof/>
          <w:sz w:val="24"/>
          <w:szCs w:val="24"/>
        </w:rPr>
        <w:t xml:space="preserve"> consists of extending the coverage of the</w:t>
      </w:r>
      <w:r w:rsidRPr="00B555B3">
        <w:rPr>
          <w:rFonts w:ascii="Times New Roman" w:hAnsi="Times New Roman"/>
          <w:noProof/>
          <w:sz w:val="24"/>
          <w:szCs w:val="24"/>
        </w:rPr>
        <w:t xml:space="preserve"> residential and commercial property</w:t>
      </w:r>
      <w:r w:rsidRPr="00B555B3">
        <w:rPr>
          <w:rFonts w:ascii="Times New Roman" w:eastAsia="Arial" w:hAnsi="Times New Roman"/>
          <w:noProof/>
          <w:sz w:val="24"/>
          <w:szCs w:val="24"/>
        </w:rPr>
        <w:t xml:space="preserve"> information system to information on housing companies.</w:t>
      </w:r>
    </w:p>
    <w:p w14:paraId="7EBECB59" w14:textId="77777777" w:rsidR="00935FC8" w:rsidRPr="00B555B3" w:rsidRDefault="00935FC8">
      <w:pPr>
        <w:spacing w:before="120" w:after="120" w:line="240" w:lineRule="auto"/>
        <w:jc w:val="both"/>
        <w:rPr>
          <w:rFonts w:ascii="Times New Roman" w:eastAsia="Arial" w:hAnsi="Times New Roman"/>
          <w:noProof/>
          <w:sz w:val="24"/>
          <w:szCs w:val="24"/>
        </w:rPr>
      </w:pPr>
    </w:p>
    <w:p w14:paraId="788C0E57" w14:textId="77777777" w:rsidR="00935FC8" w:rsidRPr="00B555B3"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Reform 2 (P2C2R2)</w:t>
      </w:r>
      <w:r w:rsidRPr="00B555B3">
        <w:rPr>
          <w:rFonts w:ascii="Times New Roman" w:hAnsi="Times New Roman"/>
          <w:noProof/>
          <w:sz w:val="24"/>
          <w:szCs w:val="24"/>
          <w:u w:val="single"/>
        </w:rPr>
        <w:t>: Enhancing the effectiveness and transparency of RRP reforms and investments by developing information systems, administration and audit</w:t>
      </w:r>
    </w:p>
    <w:p w14:paraId="300F06EF" w14:textId="3C743120" w:rsidR="00935FC8" w:rsidRPr="00D0136A" w:rsidRDefault="00935FC8" w:rsidP="00A7081A">
      <w:pPr>
        <w:spacing w:before="120" w:after="120" w:line="240" w:lineRule="auto"/>
        <w:jc w:val="both"/>
        <w:rPr>
          <w:rFonts w:ascii="Times New Roman" w:hAnsi="Times New Roman"/>
          <w:noProof/>
          <w:sz w:val="24"/>
          <w:szCs w:val="24"/>
        </w:rPr>
      </w:pPr>
      <w:r w:rsidRPr="00D0136A">
        <w:rPr>
          <w:rFonts w:ascii="Times New Roman" w:hAnsi="Times New Roman"/>
          <w:noProof/>
          <w:sz w:val="24"/>
          <w:szCs w:val="24"/>
        </w:rPr>
        <w:t>To answer to the specific needs of the Finnish recovery and resilience plan in terms of coordination, management, control, reporting and audit, the roles and responsibilities of the relevant Finnish authorities shall be enshrined in a new legal instrument. Successful implementation of these tasks also requires additional targeted temporary investments to ensure the functioning of the management and control system, in line with regulatory needs. This shall include inter alia the setting up of the necessary administrative capacities and the creation of an IT repository system.</w:t>
      </w:r>
      <w:r w:rsidR="00377F11">
        <w:rPr>
          <w:rFonts w:ascii="Times New Roman" w:hAnsi="Times New Roman"/>
          <w:noProof/>
          <w:sz w:val="24"/>
          <w:szCs w:val="24"/>
        </w:rPr>
        <w:t xml:space="preserve"> </w:t>
      </w:r>
      <w:r w:rsidRPr="00D0136A">
        <w:rPr>
          <w:rFonts w:ascii="Times New Roman" w:hAnsi="Times New Roman"/>
          <w:noProof/>
          <w:sz w:val="24"/>
          <w:szCs w:val="24"/>
        </w:rPr>
        <w:t xml:space="preserve"> </w:t>
      </w:r>
    </w:p>
    <w:p w14:paraId="4B89C4E2" w14:textId="77777777" w:rsidR="00935FC8" w:rsidRPr="00B555B3" w:rsidRDefault="00935FC8" w:rsidP="00A7081A">
      <w:pPr>
        <w:spacing w:before="120" w:after="120" w:line="240" w:lineRule="auto"/>
        <w:jc w:val="both"/>
        <w:rPr>
          <w:rFonts w:ascii="Times New Roman" w:hAnsi="Times New Roman"/>
          <w:noProof/>
          <w:sz w:val="24"/>
          <w:szCs w:val="24"/>
        </w:rPr>
      </w:pPr>
      <w:r w:rsidRPr="00D0136A">
        <w:rPr>
          <w:rFonts w:ascii="Times New Roman" w:eastAsia="Times New Roman" w:hAnsi="Times New Roman"/>
          <w:noProof/>
          <w:sz w:val="24"/>
          <w:szCs w:val="24"/>
        </w:rPr>
        <w:t xml:space="preserve">The measure also aims at ensuring the effective protection of the financial interests of the Union and compliance with the applicable Union and national rules in Finland. For that purpose, a Decree that is binding for all implementing bodies shall enter into force setting a minimum standard for the risk management and control activities performed by them under the RRF. </w:t>
      </w:r>
      <w:r w:rsidRPr="00D0136A">
        <w:rPr>
          <w:rFonts w:ascii="Times New Roman" w:hAnsi="Times New Roman"/>
          <w:noProof/>
          <w:sz w:val="24"/>
          <w:szCs w:val="24"/>
        </w:rPr>
        <w:t>The Coordinating body additionally shall issue guidelines on adequate risk management procedures in support of the RRF which shall include, inter alia, procedures for conducting controls and audits in accordance with applicable national and EU rules, procedures for appropriate risk management, procedures for verifying conflicts of interest and procedures for verifying double funding from the Facility and other Union programmes. The risk guidelines shall set out clear and comprehensive measures corresponding to the objectives set out in the guidelines. The milestone 72bis under this measure shall be fulfilled by the time of submission of the next payment request to the Commission following the adoption of this Implementing Decision and shall be a prerequisite for any future</w:t>
      </w:r>
      <w:r w:rsidRPr="00B555B3">
        <w:rPr>
          <w:rFonts w:ascii="Times New Roman" w:hAnsi="Times New Roman"/>
          <w:noProof/>
          <w:sz w:val="24"/>
          <w:szCs w:val="24"/>
        </w:rPr>
        <w:t xml:space="preserve"> payment.</w:t>
      </w:r>
    </w:p>
    <w:p w14:paraId="7F52E591" w14:textId="762D2222" w:rsidR="00935FC8" w:rsidRPr="00B555B3" w:rsidRDefault="00935FC8" w:rsidP="00A7081A">
      <w:pPr>
        <w:spacing w:before="120" w:after="120" w:line="240" w:lineRule="auto"/>
        <w:rPr>
          <w:rFonts w:ascii="Times New Roman" w:hAnsi="Times New Roman"/>
          <w:noProof/>
          <w:sz w:val="24"/>
          <w:szCs w:val="24"/>
        </w:rPr>
        <w:sectPr w:rsidR="00935FC8" w:rsidRPr="00B555B3" w:rsidSect="00A7081A">
          <w:headerReference w:type="even" r:id="rId89"/>
          <w:headerReference w:type="default" r:id="rId90"/>
          <w:footerReference w:type="even" r:id="rId91"/>
          <w:footerReference w:type="default" r:id="rId92"/>
          <w:headerReference w:type="first" r:id="rId93"/>
          <w:footerReference w:type="first" r:id="rId94"/>
          <w:pgSz w:w="11907" w:h="16839"/>
          <w:pgMar w:top="1134" w:right="1134" w:bottom="1134" w:left="1134" w:header="567" w:footer="567" w:gutter="0"/>
          <w:cols w:space="720"/>
          <w:docGrid w:linePitch="360"/>
        </w:sectPr>
      </w:pPr>
      <w:r w:rsidRPr="00B555B3">
        <w:rPr>
          <w:rFonts w:ascii="Times New Roman" w:hAnsi="Times New Roman"/>
          <w:noProof/>
          <w:sz w:val="24"/>
          <w:szCs w:val="24"/>
        </w:rPr>
        <w:t>The implementation of the reform shall be completed by 31</w:t>
      </w:r>
      <w:r w:rsidR="00377F11">
        <w:rPr>
          <w:rFonts w:ascii="Times New Roman" w:hAnsi="Times New Roman"/>
          <w:noProof/>
          <w:sz w:val="24"/>
          <w:szCs w:val="24"/>
        </w:rPr>
        <w:t> </w:t>
      </w:r>
      <w:r w:rsidRPr="00B555B3">
        <w:rPr>
          <w:rFonts w:ascii="Times New Roman" w:hAnsi="Times New Roman"/>
          <w:noProof/>
          <w:sz w:val="24"/>
          <w:szCs w:val="24"/>
        </w:rPr>
        <w:t>March</w:t>
      </w:r>
      <w:r w:rsidR="00377F11">
        <w:rPr>
          <w:rFonts w:ascii="Times New Roman" w:hAnsi="Times New Roman"/>
          <w:noProof/>
          <w:sz w:val="24"/>
          <w:szCs w:val="24"/>
        </w:rPr>
        <w:t> </w:t>
      </w:r>
      <w:r w:rsidRPr="00B555B3">
        <w:rPr>
          <w:rFonts w:ascii="Times New Roman" w:hAnsi="Times New Roman"/>
          <w:noProof/>
          <w:sz w:val="24"/>
          <w:szCs w:val="24"/>
        </w:rPr>
        <w:t xml:space="preserve">2024. </w:t>
      </w:r>
    </w:p>
    <w:p w14:paraId="2A3DF938" w14:textId="77777777" w:rsidR="00935FC8" w:rsidRPr="00B555B3" w:rsidRDefault="00935FC8">
      <w:pPr>
        <w:spacing w:before="120" w:after="120" w:line="240" w:lineRule="auto"/>
        <w:jc w:val="both"/>
        <w:rPr>
          <w:rFonts w:ascii="Times New Roman" w:hAnsi="Times New Roman"/>
          <w:b/>
          <w:noProof/>
          <w:sz w:val="24"/>
          <w:u w:val="single"/>
        </w:rPr>
      </w:pPr>
      <w:r w:rsidRPr="00B555B3">
        <w:rPr>
          <w:rFonts w:ascii="Times New Roman" w:hAnsi="Times New Roman"/>
          <w:b/>
          <w:noProof/>
          <w:sz w:val="24"/>
          <w:u w:val="single"/>
        </w:rPr>
        <w:t xml:space="preserve">G.2. </w:t>
      </w:r>
      <w:r w:rsidRPr="00B555B3">
        <w:rPr>
          <w:rFonts w:ascii="Times New Roman" w:hAnsi="Times New Roman"/>
          <w:b/>
          <w:noProof/>
          <w:sz w:val="24"/>
          <w:u w:val="single"/>
        </w:rPr>
        <w:tab/>
        <w:t>Milestones, targets, indicators, and timetable for monitoring and implementation for non-repayable financial support</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35"/>
        <w:gridCol w:w="1680"/>
        <w:gridCol w:w="1024"/>
        <w:gridCol w:w="1561"/>
        <w:gridCol w:w="1735"/>
        <w:gridCol w:w="720"/>
        <w:gridCol w:w="804"/>
        <w:gridCol w:w="567"/>
        <w:gridCol w:w="789"/>
        <w:gridCol w:w="770"/>
        <w:gridCol w:w="4824"/>
      </w:tblGrid>
      <w:tr w:rsidR="00A7081A" w:rsidRPr="00BC6715" w14:paraId="41174CB1" w14:textId="77777777" w:rsidTr="000A1841">
        <w:trPr>
          <w:trHeight w:val="752"/>
          <w:tblHeader/>
          <w:jc w:val="center"/>
        </w:trPr>
        <w:tc>
          <w:tcPr>
            <w:tcW w:w="835" w:type="dxa"/>
            <w:vMerge w:val="restart"/>
            <w:shd w:val="clear" w:color="auto" w:fill="BDD7EE"/>
            <w:vAlign w:val="center"/>
            <w:hideMark/>
          </w:tcPr>
          <w:p w14:paraId="466F5DF1" w14:textId="77777777" w:rsidR="00935FC8" w:rsidRPr="00BC6715" w:rsidRDefault="00935FC8">
            <w:pPr>
              <w:spacing w:after="0" w:line="240" w:lineRule="auto"/>
              <w:jc w:val="center"/>
              <w:rPr>
                <w:rFonts w:ascii="Times New Roman" w:eastAsia="Times New Roman" w:hAnsi="Times New Roman"/>
                <w:b/>
                <w:noProof/>
                <w:sz w:val="20"/>
                <w:szCs w:val="20"/>
                <w:lang w:eastAsia="en-GB"/>
              </w:rPr>
            </w:pPr>
            <w:r w:rsidRPr="00BC6715">
              <w:rPr>
                <w:rFonts w:ascii="Times New Roman" w:eastAsia="Times New Roman" w:hAnsi="Times New Roman"/>
                <w:b/>
                <w:bCs/>
                <w:noProof/>
                <w:sz w:val="20"/>
                <w:szCs w:val="20"/>
                <w:lang w:eastAsia="en-GB"/>
              </w:rPr>
              <w:t>Number</w:t>
            </w:r>
          </w:p>
        </w:tc>
        <w:tc>
          <w:tcPr>
            <w:tcW w:w="1680" w:type="dxa"/>
            <w:vMerge w:val="restart"/>
            <w:shd w:val="clear" w:color="auto" w:fill="BDD7EE"/>
            <w:vAlign w:val="center"/>
            <w:hideMark/>
          </w:tcPr>
          <w:p w14:paraId="3973CCFA" w14:textId="77777777" w:rsidR="00935FC8" w:rsidRPr="00BC6715" w:rsidRDefault="00935FC8">
            <w:pPr>
              <w:spacing w:after="0" w:line="240" w:lineRule="auto"/>
              <w:jc w:val="center"/>
              <w:rPr>
                <w:rFonts w:ascii="Times New Roman" w:eastAsia="Times New Roman" w:hAnsi="Times New Roman"/>
                <w:b/>
                <w:noProof/>
                <w:sz w:val="20"/>
                <w:szCs w:val="20"/>
                <w:lang w:eastAsia="en-GB"/>
              </w:rPr>
            </w:pPr>
            <w:r w:rsidRPr="00BC6715">
              <w:rPr>
                <w:rFonts w:ascii="Times New Roman" w:eastAsia="Times New Roman" w:hAnsi="Times New Roman"/>
                <w:b/>
                <w:bCs/>
                <w:noProof/>
                <w:sz w:val="20"/>
                <w:szCs w:val="20"/>
                <w:lang w:eastAsia="en-GB"/>
              </w:rPr>
              <w:t>Measure</w:t>
            </w:r>
          </w:p>
        </w:tc>
        <w:tc>
          <w:tcPr>
            <w:tcW w:w="1024" w:type="dxa"/>
            <w:vMerge w:val="restart"/>
            <w:shd w:val="clear" w:color="auto" w:fill="BDD7EE"/>
            <w:vAlign w:val="center"/>
            <w:hideMark/>
          </w:tcPr>
          <w:p w14:paraId="2A8B7846" w14:textId="77777777" w:rsidR="00935FC8" w:rsidRPr="00BC6715" w:rsidRDefault="00935FC8">
            <w:pPr>
              <w:spacing w:after="0" w:line="240" w:lineRule="auto"/>
              <w:jc w:val="center"/>
              <w:rPr>
                <w:rFonts w:ascii="Times New Roman" w:eastAsia="Times New Roman" w:hAnsi="Times New Roman"/>
                <w:b/>
                <w:noProof/>
                <w:sz w:val="20"/>
                <w:szCs w:val="20"/>
                <w:lang w:eastAsia="en-GB"/>
              </w:rPr>
            </w:pPr>
            <w:r w:rsidRPr="00BC6715">
              <w:rPr>
                <w:rFonts w:ascii="Times New Roman" w:eastAsia="Times New Roman" w:hAnsi="Times New Roman"/>
                <w:b/>
                <w:bCs/>
                <w:noProof/>
                <w:sz w:val="20"/>
                <w:szCs w:val="20"/>
                <w:lang w:eastAsia="en-GB"/>
              </w:rPr>
              <w:t>Milestone/ Target</w:t>
            </w:r>
          </w:p>
        </w:tc>
        <w:tc>
          <w:tcPr>
            <w:tcW w:w="1561" w:type="dxa"/>
            <w:vMerge w:val="restart"/>
            <w:shd w:val="clear" w:color="auto" w:fill="BDD7EE"/>
            <w:vAlign w:val="center"/>
            <w:hideMark/>
          </w:tcPr>
          <w:p w14:paraId="4391ED05" w14:textId="77777777" w:rsidR="00935FC8" w:rsidRPr="00BC6715" w:rsidRDefault="00935FC8">
            <w:pPr>
              <w:spacing w:after="0" w:line="240" w:lineRule="auto"/>
              <w:jc w:val="center"/>
              <w:rPr>
                <w:rFonts w:ascii="Times New Roman" w:eastAsia="Times New Roman" w:hAnsi="Times New Roman"/>
                <w:b/>
                <w:noProof/>
                <w:sz w:val="20"/>
                <w:szCs w:val="20"/>
                <w:lang w:eastAsia="en-GB"/>
              </w:rPr>
            </w:pPr>
            <w:r w:rsidRPr="00BC6715">
              <w:rPr>
                <w:rFonts w:ascii="Times New Roman" w:eastAsia="Times New Roman" w:hAnsi="Times New Roman"/>
                <w:b/>
                <w:bCs/>
                <w:noProof/>
                <w:sz w:val="20"/>
                <w:szCs w:val="20"/>
                <w:lang w:eastAsia="en-GB"/>
              </w:rPr>
              <w:t>Name</w:t>
            </w:r>
          </w:p>
        </w:tc>
        <w:tc>
          <w:tcPr>
            <w:tcW w:w="1735" w:type="dxa"/>
            <w:vMerge w:val="restart"/>
            <w:shd w:val="clear" w:color="auto" w:fill="BDD7EE"/>
            <w:vAlign w:val="center"/>
            <w:hideMark/>
          </w:tcPr>
          <w:p w14:paraId="503EBF9E" w14:textId="77777777" w:rsidR="00935FC8" w:rsidRPr="00BC6715" w:rsidRDefault="00935FC8">
            <w:pPr>
              <w:spacing w:after="0" w:line="240" w:lineRule="auto"/>
              <w:jc w:val="center"/>
              <w:rPr>
                <w:rFonts w:ascii="Times New Roman" w:eastAsia="Times New Roman" w:hAnsi="Times New Roman"/>
                <w:b/>
                <w:bCs/>
                <w:noProof/>
                <w:sz w:val="20"/>
                <w:szCs w:val="20"/>
                <w:lang w:eastAsia="en-GB"/>
              </w:rPr>
            </w:pPr>
            <w:r w:rsidRPr="00BC6715">
              <w:rPr>
                <w:rFonts w:ascii="Times New Roman" w:eastAsia="Times New Roman" w:hAnsi="Times New Roman"/>
                <w:b/>
                <w:bCs/>
                <w:noProof/>
                <w:sz w:val="20"/>
                <w:szCs w:val="20"/>
                <w:lang w:eastAsia="en-GB"/>
              </w:rPr>
              <w:t>Qualitative indicators (for milestones)</w:t>
            </w:r>
          </w:p>
        </w:tc>
        <w:tc>
          <w:tcPr>
            <w:tcW w:w="2091" w:type="dxa"/>
            <w:gridSpan w:val="3"/>
            <w:shd w:val="clear" w:color="auto" w:fill="BDD7EE"/>
            <w:vAlign w:val="center"/>
            <w:hideMark/>
          </w:tcPr>
          <w:p w14:paraId="1249F255" w14:textId="04CCFC03" w:rsidR="00935FC8" w:rsidRPr="00BC6715" w:rsidRDefault="00935FC8" w:rsidP="000A1841">
            <w:pPr>
              <w:spacing w:after="0" w:line="240" w:lineRule="auto"/>
              <w:jc w:val="center"/>
              <w:rPr>
                <w:rFonts w:ascii="Times New Roman" w:eastAsia="Times New Roman" w:hAnsi="Times New Roman"/>
                <w:b/>
                <w:noProof/>
                <w:sz w:val="20"/>
                <w:szCs w:val="20"/>
                <w:lang w:eastAsia="en-GB"/>
              </w:rPr>
            </w:pPr>
            <w:r w:rsidRPr="00BC6715">
              <w:rPr>
                <w:rFonts w:ascii="Times New Roman" w:eastAsia="Times New Roman" w:hAnsi="Times New Roman"/>
                <w:b/>
                <w:bCs/>
                <w:noProof/>
                <w:sz w:val="20"/>
                <w:szCs w:val="20"/>
                <w:lang w:eastAsia="en-GB"/>
              </w:rPr>
              <w:t>Quantitative indicators</w:t>
            </w:r>
            <w:r w:rsidR="000A1841">
              <w:rPr>
                <w:rFonts w:ascii="Times New Roman" w:eastAsia="Times New Roman" w:hAnsi="Times New Roman"/>
                <w:b/>
                <w:bCs/>
                <w:noProof/>
                <w:sz w:val="20"/>
                <w:szCs w:val="20"/>
                <w:lang w:eastAsia="en-GB"/>
              </w:rPr>
              <w:t xml:space="preserve"> </w:t>
            </w:r>
            <w:r w:rsidR="00B339EE" w:rsidRPr="00BC6715">
              <w:rPr>
                <w:rFonts w:ascii="Times New Roman" w:eastAsia="Times New Roman" w:hAnsi="Times New Roman"/>
                <w:b/>
                <w:bCs/>
                <w:noProof/>
                <w:sz w:val="20"/>
                <w:szCs w:val="20"/>
                <w:lang w:eastAsia="en-GB"/>
              </w:rPr>
              <w:t>(</w:t>
            </w:r>
            <w:r w:rsidRPr="00BC6715">
              <w:rPr>
                <w:rFonts w:ascii="Times New Roman" w:eastAsia="Times New Roman" w:hAnsi="Times New Roman"/>
                <w:b/>
                <w:bCs/>
                <w:noProof/>
                <w:sz w:val="20"/>
                <w:szCs w:val="20"/>
                <w:lang w:eastAsia="en-GB"/>
              </w:rPr>
              <w:t>for targets)</w:t>
            </w:r>
          </w:p>
        </w:tc>
        <w:tc>
          <w:tcPr>
            <w:tcW w:w="1559" w:type="dxa"/>
            <w:gridSpan w:val="2"/>
            <w:shd w:val="clear" w:color="auto" w:fill="BDD7EE"/>
            <w:vAlign w:val="center"/>
            <w:hideMark/>
          </w:tcPr>
          <w:p w14:paraId="39E269DE" w14:textId="77777777" w:rsidR="00935FC8" w:rsidRPr="00BC6715" w:rsidRDefault="00935FC8">
            <w:pPr>
              <w:spacing w:after="0" w:line="240" w:lineRule="auto"/>
              <w:jc w:val="center"/>
              <w:rPr>
                <w:rFonts w:ascii="Times New Roman" w:eastAsia="Times New Roman" w:hAnsi="Times New Roman"/>
                <w:b/>
                <w:bCs/>
                <w:noProof/>
                <w:sz w:val="20"/>
                <w:szCs w:val="20"/>
                <w:lang w:eastAsia="en-GB"/>
              </w:rPr>
            </w:pPr>
            <w:r w:rsidRPr="00BC6715">
              <w:rPr>
                <w:rFonts w:ascii="Times New Roman" w:eastAsia="Times New Roman" w:hAnsi="Times New Roman"/>
                <w:b/>
                <w:bCs/>
                <w:noProof/>
                <w:sz w:val="20"/>
                <w:szCs w:val="20"/>
                <w:lang w:eastAsia="en-GB"/>
              </w:rPr>
              <w:t xml:space="preserve">Indicative timeline for completion </w:t>
            </w:r>
          </w:p>
        </w:tc>
        <w:tc>
          <w:tcPr>
            <w:tcW w:w="4824" w:type="dxa"/>
            <w:vMerge w:val="restart"/>
            <w:shd w:val="clear" w:color="auto" w:fill="BDD7EE"/>
            <w:vAlign w:val="center"/>
            <w:hideMark/>
          </w:tcPr>
          <w:p w14:paraId="3E042BF6" w14:textId="77777777" w:rsidR="00935FC8" w:rsidRPr="00BC6715" w:rsidRDefault="00935FC8">
            <w:pPr>
              <w:spacing w:after="0" w:line="240" w:lineRule="auto"/>
              <w:jc w:val="center"/>
              <w:rPr>
                <w:rFonts w:ascii="Times New Roman" w:eastAsia="Times New Roman" w:hAnsi="Times New Roman"/>
                <w:b/>
                <w:noProof/>
                <w:sz w:val="20"/>
                <w:szCs w:val="20"/>
                <w:lang w:eastAsia="en-GB"/>
              </w:rPr>
            </w:pPr>
            <w:r w:rsidRPr="00BC6715">
              <w:rPr>
                <w:rFonts w:ascii="Times New Roman" w:eastAsia="Times New Roman" w:hAnsi="Times New Roman"/>
                <w:b/>
                <w:bCs/>
                <w:noProof/>
                <w:sz w:val="20"/>
                <w:szCs w:val="20"/>
                <w:lang w:eastAsia="en-GB"/>
              </w:rPr>
              <w:t>Description of each milestone and target</w:t>
            </w:r>
          </w:p>
        </w:tc>
      </w:tr>
      <w:tr w:rsidR="00A7081A" w:rsidRPr="00BC6715" w14:paraId="6EB3CA3C" w14:textId="77777777" w:rsidTr="000A1841">
        <w:trPr>
          <w:trHeight w:val="620"/>
          <w:tblHeader/>
          <w:jc w:val="center"/>
        </w:trPr>
        <w:tc>
          <w:tcPr>
            <w:tcW w:w="835" w:type="dxa"/>
            <w:vMerge/>
            <w:vAlign w:val="center"/>
            <w:hideMark/>
          </w:tcPr>
          <w:p w14:paraId="35E5F15A" w14:textId="77777777" w:rsidR="00935FC8" w:rsidRPr="00BC6715" w:rsidRDefault="00935FC8">
            <w:pPr>
              <w:spacing w:after="0" w:line="240" w:lineRule="auto"/>
              <w:rPr>
                <w:rFonts w:ascii="Times New Roman" w:eastAsia="Times New Roman" w:hAnsi="Times New Roman"/>
                <w:b/>
                <w:bCs/>
                <w:noProof/>
                <w:sz w:val="20"/>
                <w:szCs w:val="20"/>
                <w:lang w:eastAsia="en-GB"/>
              </w:rPr>
            </w:pPr>
          </w:p>
        </w:tc>
        <w:tc>
          <w:tcPr>
            <w:tcW w:w="1680" w:type="dxa"/>
            <w:vMerge/>
            <w:vAlign w:val="center"/>
            <w:hideMark/>
          </w:tcPr>
          <w:p w14:paraId="5168D55F" w14:textId="77777777" w:rsidR="00935FC8" w:rsidRPr="00BC6715" w:rsidRDefault="00935FC8">
            <w:pPr>
              <w:spacing w:after="0" w:line="240" w:lineRule="auto"/>
              <w:rPr>
                <w:rFonts w:ascii="Times New Roman" w:eastAsia="Times New Roman" w:hAnsi="Times New Roman"/>
                <w:b/>
                <w:bCs/>
                <w:noProof/>
                <w:sz w:val="20"/>
                <w:szCs w:val="20"/>
                <w:lang w:eastAsia="en-GB"/>
              </w:rPr>
            </w:pPr>
          </w:p>
        </w:tc>
        <w:tc>
          <w:tcPr>
            <w:tcW w:w="1024" w:type="dxa"/>
            <w:vMerge/>
            <w:vAlign w:val="center"/>
            <w:hideMark/>
          </w:tcPr>
          <w:p w14:paraId="3DCE88E2" w14:textId="77777777" w:rsidR="00935FC8" w:rsidRPr="00BC6715" w:rsidRDefault="00935FC8">
            <w:pPr>
              <w:spacing w:after="0" w:line="240" w:lineRule="auto"/>
              <w:rPr>
                <w:rFonts w:ascii="Times New Roman" w:eastAsia="Times New Roman" w:hAnsi="Times New Roman"/>
                <w:b/>
                <w:bCs/>
                <w:noProof/>
                <w:sz w:val="20"/>
                <w:szCs w:val="20"/>
                <w:lang w:eastAsia="en-GB"/>
              </w:rPr>
            </w:pPr>
          </w:p>
        </w:tc>
        <w:tc>
          <w:tcPr>
            <w:tcW w:w="1561" w:type="dxa"/>
            <w:vMerge/>
            <w:vAlign w:val="center"/>
            <w:hideMark/>
          </w:tcPr>
          <w:p w14:paraId="37662B1B" w14:textId="77777777" w:rsidR="00935FC8" w:rsidRPr="00BC6715" w:rsidRDefault="00935FC8">
            <w:pPr>
              <w:spacing w:after="0" w:line="240" w:lineRule="auto"/>
              <w:rPr>
                <w:rFonts w:ascii="Times New Roman" w:eastAsia="Times New Roman" w:hAnsi="Times New Roman"/>
                <w:b/>
                <w:bCs/>
                <w:noProof/>
                <w:sz w:val="20"/>
                <w:szCs w:val="20"/>
                <w:lang w:eastAsia="en-GB"/>
              </w:rPr>
            </w:pPr>
          </w:p>
        </w:tc>
        <w:tc>
          <w:tcPr>
            <w:tcW w:w="1735" w:type="dxa"/>
            <w:vMerge/>
            <w:vAlign w:val="center"/>
            <w:hideMark/>
          </w:tcPr>
          <w:p w14:paraId="65907EF3" w14:textId="77777777" w:rsidR="00935FC8" w:rsidRPr="00BC6715" w:rsidRDefault="00935FC8">
            <w:pPr>
              <w:spacing w:after="0" w:line="240" w:lineRule="auto"/>
              <w:rPr>
                <w:rFonts w:ascii="Times New Roman" w:eastAsia="Times New Roman" w:hAnsi="Times New Roman"/>
                <w:b/>
                <w:bCs/>
                <w:noProof/>
                <w:sz w:val="20"/>
                <w:szCs w:val="20"/>
                <w:lang w:eastAsia="en-GB"/>
              </w:rPr>
            </w:pPr>
          </w:p>
        </w:tc>
        <w:tc>
          <w:tcPr>
            <w:tcW w:w="720" w:type="dxa"/>
            <w:shd w:val="clear" w:color="auto" w:fill="BDD7EE"/>
            <w:vAlign w:val="center"/>
            <w:hideMark/>
          </w:tcPr>
          <w:p w14:paraId="73632FCD" w14:textId="2A83F3B4" w:rsidR="00935FC8" w:rsidRPr="00BC6715" w:rsidRDefault="00935FC8">
            <w:pPr>
              <w:spacing w:after="0" w:line="240" w:lineRule="auto"/>
              <w:jc w:val="center"/>
              <w:rPr>
                <w:rFonts w:ascii="Times New Roman" w:eastAsia="Times New Roman" w:hAnsi="Times New Roman"/>
                <w:b/>
                <w:noProof/>
                <w:sz w:val="20"/>
                <w:szCs w:val="20"/>
                <w:lang w:eastAsia="en-GB"/>
              </w:rPr>
            </w:pPr>
            <w:r w:rsidRPr="00BC6715">
              <w:rPr>
                <w:rFonts w:ascii="Times New Roman" w:eastAsia="Times New Roman" w:hAnsi="Times New Roman"/>
                <w:b/>
                <w:bCs/>
                <w:noProof/>
                <w:sz w:val="20"/>
                <w:szCs w:val="20"/>
                <w:lang w:eastAsia="en-GB"/>
              </w:rPr>
              <w:t>Unit</w:t>
            </w:r>
          </w:p>
        </w:tc>
        <w:tc>
          <w:tcPr>
            <w:tcW w:w="804" w:type="dxa"/>
            <w:shd w:val="clear" w:color="auto" w:fill="BDD7EE"/>
            <w:vAlign w:val="center"/>
            <w:hideMark/>
          </w:tcPr>
          <w:p w14:paraId="3F2DD185" w14:textId="77777777" w:rsidR="00935FC8" w:rsidRPr="00BC6715" w:rsidRDefault="00935FC8">
            <w:pPr>
              <w:spacing w:after="0" w:line="240" w:lineRule="auto"/>
              <w:jc w:val="center"/>
              <w:rPr>
                <w:rFonts w:ascii="Times New Roman" w:eastAsia="Times New Roman" w:hAnsi="Times New Roman"/>
                <w:b/>
                <w:bCs/>
                <w:noProof/>
                <w:sz w:val="20"/>
                <w:szCs w:val="20"/>
                <w:lang w:eastAsia="en-GB"/>
              </w:rPr>
            </w:pPr>
            <w:r w:rsidRPr="00BC6715">
              <w:rPr>
                <w:rFonts w:ascii="Times New Roman" w:eastAsia="Times New Roman" w:hAnsi="Times New Roman"/>
                <w:b/>
                <w:bCs/>
                <w:noProof/>
                <w:sz w:val="20"/>
                <w:szCs w:val="20"/>
                <w:lang w:eastAsia="en-GB"/>
              </w:rPr>
              <w:t xml:space="preserve">Baseline </w:t>
            </w:r>
          </w:p>
        </w:tc>
        <w:tc>
          <w:tcPr>
            <w:tcW w:w="567" w:type="dxa"/>
            <w:shd w:val="clear" w:color="auto" w:fill="BDD7EE"/>
            <w:vAlign w:val="center"/>
            <w:hideMark/>
          </w:tcPr>
          <w:p w14:paraId="5BCBB381" w14:textId="50D7DC11" w:rsidR="00935FC8" w:rsidRPr="00BC6715" w:rsidRDefault="00935FC8">
            <w:pPr>
              <w:spacing w:after="0" w:line="240" w:lineRule="auto"/>
              <w:jc w:val="center"/>
              <w:rPr>
                <w:rFonts w:ascii="Times New Roman" w:eastAsia="Times New Roman" w:hAnsi="Times New Roman"/>
                <w:b/>
                <w:noProof/>
                <w:sz w:val="20"/>
                <w:szCs w:val="20"/>
                <w:lang w:eastAsia="en-GB"/>
              </w:rPr>
            </w:pPr>
            <w:r w:rsidRPr="00BC6715">
              <w:rPr>
                <w:rFonts w:ascii="Times New Roman" w:eastAsia="Times New Roman" w:hAnsi="Times New Roman"/>
                <w:b/>
                <w:bCs/>
                <w:noProof/>
                <w:sz w:val="20"/>
                <w:szCs w:val="20"/>
                <w:lang w:eastAsia="en-GB"/>
              </w:rPr>
              <w:t>Goal</w:t>
            </w:r>
          </w:p>
        </w:tc>
        <w:tc>
          <w:tcPr>
            <w:tcW w:w="789" w:type="dxa"/>
            <w:shd w:val="clear" w:color="auto" w:fill="BDD7EE"/>
            <w:vAlign w:val="center"/>
            <w:hideMark/>
          </w:tcPr>
          <w:p w14:paraId="30B2540D" w14:textId="77777777" w:rsidR="00935FC8" w:rsidRPr="00BC6715" w:rsidRDefault="00935FC8">
            <w:pPr>
              <w:spacing w:after="0" w:line="240" w:lineRule="auto"/>
              <w:jc w:val="center"/>
              <w:rPr>
                <w:rFonts w:ascii="Times New Roman" w:eastAsia="Times New Roman" w:hAnsi="Times New Roman"/>
                <w:b/>
                <w:noProof/>
                <w:sz w:val="20"/>
                <w:szCs w:val="20"/>
                <w:lang w:eastAsia="en-GB"/>
              </w:rPr>
            </w:pPr>
            <w:r w:rsidRPr="00BC6715">
              <w:rPr>
                <w:rFonts w:ascii="Times New Roman" w:eastAsia="Times New Roman" w:hAnsi="Times New Roman"/>
                <w:b/>
                <w:bCs/>
                <w:noProof/>
                <w:sz w:val="20"/>
                <w:szCs w:val="20"/>
                <w:lang w:eastAsia="en-GB"/>
              </w:rPr>
              <w:t>Quarter</w:t>
            </w:r>
          </w:p>
        </w:tc>
        <w:tc>
          <w:tcPr>
            <w:tcW w:w="770" w:type="dxa"/>
            <w:shd w:val="clear" w:color="auto" w:fill="BDD7EE"/>
            <w:vAlign w:val="center"/>
            <w:hideMark/>
          </w:tcPr>
          <w:p w14:paraId="444F37B0" w14:textId="77777777" w:rsidR="00935FC8" w:rsidRPr="00BC6715" w:rsidRDefault="00935FC8">
            <w:pPr>
              <w:spacing w:after="0" w:line="240" w:lineRule="auto"/>
              <w:jc w:val="center"/>
              <w:rPr>
                <w:rFonts w:ascii="Times New Roman" w:eastAsia="Times New Roman" w:hAnsi="Times New Roman"/>
                <w:b/>
                <w:noProof/>
                <w:sz w:val="20"/>
                <w:szCs w:val="20"/>
                <w:lang w:eastAsia="en-GB"/>
              </w:rPr>
            </w:pPr>
            <w:r w:rsidRPr="00BC6715">
              <w:rPr>
                <w:rFonts w:ascii="Times New Roman" w:eastAsia="Times New Roman" w:hAnsi="Times New Roman"/>
                <w:b/>
                <w:bCs/>
                <w:noProof/>
                <w:sz w:val="20"/>
                <w:szCs w:val="20"/>
                <w:lang w:eastAsia="en-GB"/>
              </w:rPr>
              <w:t>Year</w:t>
            </w:r>
          </w:p>
        </w:tc>
        <w:tc>
          <w:tcPr>
            <w:tcW w:w="4824" w:type="dxa"/>
            <w:vMerge/>
            <w:vAlign w:val="center"/>
            <w:hideMark/>
          </w:tcPr>
          <w:p w14:paraId="2E1820EC" w14:textId="77777777" w:rsidR="00935FC8" w:rsidRPr="00BC6715" w:rsidRDefault="00935FC8">
            <w:pPr>
              <w:spacing w:after="0" w:line="240" w:lineRule="auto"/>
              <w:jc w:val="center"/>
              <w:rPr>
                <w:rFonts w:ascii="Times New Roman" w:eastAsia="Times New Roman" w:hAnsi="Times New Roman"/>
                <w:b/>
                <w:bCs/>
                <w:noProof/>
                <w:sz w:val="20"/>
                <w:szCs w:val="20"/>
                <w:lang w:eastAsia="en-GB"/>
              </w:rPr>
            </w:pPr>
          </w:p>
        </w:tc>
      </w:tr>
      <w:tr w:rsidR="00A7081A" w:rsidRPr="00BC6715" w14:paraId="39B489EB" w14:textId="77777777" w:rsidTr="000A1841">
        <w:trPr>
          <w:trHeight w:val="963"/>
          <w:jc w:val="center"/>
        </w:trPr>
        <w:tc>
          <w:tcPr>
            <w:tcW w:w="835" w:type="dxa"/>
            <w:shd w:val="clear" w:color="auto" w:fill="C6EFCE"/>
            <w:noWrap/>
          </w:tcPr>
          <w:p w14:paraId="02624B19" w14:textId="77777777" w:rsidR="00935FC8" w:rsidRPr="00BC6715" w:rsidRDefault="00935FC8">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61</w:t>
            </w:r>
          </w:p>
        </w:tc>
        <w:tc>
          <w:tcPr>
            <w:tcW w:w="1680" w:type="dxa"/>
            <w:shd w:val="clear" w:color="auto" w:fill="C6EFCE"/>
            <w:noWrap/>
          </w:tcPr>
          <w:p w14:paraId="0FE7B5C2"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P2C2I1 - Digital economy – Real-time economy (RTE) programme</w:t>
            </w:r>
          </w:p>
        </w:tc>
        <w:tc>
          <w:tcPr>
            <w:tcW w:w="1024" w:type="dxa"/>
            <w:shd w:val="clear" w:color="auto" w:fill="C6EFCE"/>
            <w:noWrap/>
          </w:tcPr>
          <w:p w14:paraId="47348562"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Milestone</w:t>
            </w:r>
          </w:p>
        </w:tc>
        <w:tc>
          <w:tcPr>
            <w:tcW w:w="1561" w:type="dxa"/>
            <w:shd w:val="clear" w:color="auto" w:fill="C6EFCE"/>
            <w:noWrap/>
          </w:tcPr>
          <w:p w14:paraId="44EDCA08"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Minimum Viable Ecosystem is created and operational</w:t>
            </w:r>
          </w:p>
        </w:tc>
        <w:tc>
          <w:tcPr>
            <w:tcW w:w="1735" w:type="dxa"/>
            <w:shd w:val="clear" w:color="auto" w:fill="C6EFCE"/>
            <w:noWrap/>
          </w:tcPr>
          <w:p w14:paraId="716C6F0B"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A minimum viable ecosystem has been created, as evidenced by the publication of the common documented rules and standards on the website of the Program</w:t>
            </w:r>
          </w:p>
        </w:tc>
        <w:tc>
          <w:tcPr>
            <w:tcW w:w="720" w:type="dxa"/>
            <w:shd w:val="clear" w:color="auto" w:fill="C6EFCE"/>
            <w:noWrap/>
          </w:tcPr>
          <w:p w14:paraId="67ECE68A"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804" w:type="dxa"/>
            <w:shd w:val="clear" w:color="auto" w:fill="C6EFCE"/>
            <w:noWrap/>
          </w:tcPr>
          <w:p w14:paraId="06552B8E"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567" w:type="dxa"/>
            <w:shd w:val="clear" w:color="auto" w:fill="C6EFCE"/>
            <w:noWrap/>
          </w:tcPr>
          <w:p w14:paraId="0C749DE3"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789" w:type="dxa"/>
            <w:shd w:val="clear" w:color="auto" w:fill="C6EFCE"/>
            <w:noWrap/>
          </w:tcPr>
          <w:p w14:paraId="70D9C2E3"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Q4</w:t>
            </w:r>
          </w:p>
        </w:tc>
        <w:tc>
          <w:tcPr>
            <w:tcW w:w="770" w:type="dxa"/>
            <w:shd w:val="clear" w:color="auto" w:fill="C6EFCE"/>
            <w:noWrap/>
          </w:tcPr>
          <w:p w14:paraId="6D166BDC"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2022</w:t>
            </w:r>
          </w:p>
        </w:tc>
        <w:tc>
          <w:tcPr>
            <w:tcW w:w="4824" w:type="dxa"/>
            <w:shd w:val="clear" w:color="auto" w:fill="C6EFCE"/>
            <w:noWrap/>
          </w:tcPr>
          <w:p w14:paraId="518D6DA7" w14:textId="3C836DC2" w:rsidR="00935FC8" w:rsidRPr="00BC6715" w:rsidRDefault="00935FC8" w:rsidP="00377F11">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The Minimum Viable Ecosystem (MVE) has been successfully established in a production environment, based on common documented rules. It allows for the circulation of e-invoices in a structured machine-readable format to increase process automation.</w:t>
            </w:r>
          </w:p>
        </w:tc>
      </w:tr>
      <w:tr w:rsidR="00A7081A" w:rsidRPr="00BC6715" w14:paraId="610F1DF6" w14:textId="77777777" w:rsidTr="000A1841">
        <w:trPr>
          <w:trHeight w:val="309"/>
          <w:jc w:val="center"/>
        </w:trPr>
        <w:tc>
          <w:tcPr>
            <w:tcW w:w="835" w:type="dxa"/>
            <w:shd w:val="clear" w:color="auto" w:fill="C6EFCE"/>
            <w:noWrap/>
          </w:tcPr>
          <w:p w14:paraId="5E1BC593" w14:textId="77777777" w:rsidR="00935FC8" w:rsidRPr="00BC6715" w:rsidRDefault="00935FC8">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62</w:t>
            </w:r>
          </w:p>
        </w:tc>
        <w:tc>
          <w:tcPr>
            <w:tcW w:w="1680" w:type="dxa"/>
            <w:shd w:val="clear" w:color="auto" w:fill="C6EFCE"/>
            <w:noWrap/>
          </w:tcPr>
          <w:p w14:paraId="6A7783FF"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P2C2I1 - Digital economy – Real-time economy (RTE) programme</w:t>
            </w:r>
          </w:p>
        </w:tc>
        <w:tc>
          <w:tcPr>
            <w:tcW w:w="1024" w:type="dxa"/>
            <w:shd w:val="clear" w:color="auto" w:fill="C6EFCE"/>
            <w:noWrap/>
          </w:tcPr>
          <w:p w14:paraId="060FC78D"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Milestone</w:t>
            </w:r>
          </w:p>
        </w:tc>
        <w:tc>
          <w:tcPr>
            <w:tcW w:w="1561" w:type="dxa"/>
            <w:shd w:val="clear" w:color="auto" w:fill="C6EFCE"/>
            <w:noWrap/>
          </w:tcPr>
          <w:p w14:paraId="26670DA4" w14:textId="10F6BB3D"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Report on the exchange of digital business information</w:t>
            </w:r>
          </w:p>
        </w:tc>
        <w:tc>
          <w:tcPr>
            <w:tcW w:w="1735" w:type="dxa"/>
            <w:shd w:val="clear" w:color="auto" w:fill="C6EFCE"/>
            <w:noWrap/>
          </w:tcPr>
          <w:p w14:paraId="5A8326DE"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Publication of a report</w:t>
            </w:r>
          </w:p>
        </w:tc>
        <w:tc>
          <w:tcPr>
            <w:tcW w:w="720" w:type="dxa"/>
            <w:shd w:val="clear" w:color="auto" w:fill="C6EFCE"/>
            <w:noWrap/>
          </w:tcPr>
          <w:p w14:paraId="7476E7C4"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804" w:type="dxa"/>
            <w:shd w:val="clear" w:color="auto" w:fill="C6EFCE"/>
            <w:noWrap/>
          </w:tcPr>
          <w:p w14:paraId="10A6313C"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567" w:type="dxa"/>
            <w:shd w:val="clear" w:color="auto" w:fill="C6EFCE"/>
            <w:noWrap/>
          </w:tcPr>
          <w:p w14:paraId="52BB74FB"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789" w:type="dxa"/>
            <w:shd w:val="clear" w:color="auto" w:fill="C6EFCE"/>
            <w:noWrap/>
          </w:tcPr>
          <w:p w14:paraId="7C83A522"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Q4</w:t>
            </w:r>
          </w:p>
        </w:tc>
        <w:tc>
          <w:tcPr>
            <w:tcW w:w="770" w:type="dxa"/>
            <w:shd w:val="clear" w:color="auto" w:fill="C6EFCE"/>
            <w:noWrap/>
          </w:tcPr>
          <w:p w14:paraId="61631564"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2024</w:t>
            </w:r>
          </w:p>
        </w:tc>
        <w:tc>
          <w:tcPr>
            <w:tcW w:w="4824" w:type="dxa"/>
            <w:shd w:val="clear" w:color="auto" w:fill="C6EFCE"/>
            <w:noWrap/>
          </w:tcPr>
          <w:p w14:paraId="313889E7" w14:textId="19168B9D" w:rsidR="00935FC8" w:rsidRPr="00BC6715" w:rsidRDefault="00935FC8" w:rsidP="00A7081A">
            <w:pPr>
              <w:spacing w:after="0" w:line="259" w:lineRule="auto"/>
              <w:contextualSpacing/>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Publication of a report on the exchange of digital business information, which shall describe the pilot projects for exchanging e-receipts and procurement messages.</w:t>
            </w:r>
          </w:p>
        </w:tc>
      </w:tr>
      <w:tr w:rsidR="00A7081A" w:rsidRPr="00BC6715" w14:paraId="2898EC08" w14:textId="77777777" w:rsidTr="000A1841">
        <w:trPr>
          <w:trHeight w:val="309"/>
          <w:jc w:val="center"/>
        </w:trPr>
        <w:tc>
          <w:tcPr>
            <w:tcW w:w="835" w:type="dxa"/>
            <w:shd w:val="clear" w:color="auto" w:fill="C6EFCE"/>
            <w:noWrap/>
          </w:tcPr>
          <w:p w14:paraId="1BFD454E" w14:textId="77777777" w:rsidR="00935FC8" w:rsidRPr="00BC6715" w:rsidRDefault="00935FC8">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 xml:space="preserve">63 </w:t>
            </w:r>
          </w:p>
        </w:tc>
        <w:tc>
          <w:tcPr>
            <w:tcW w:w="1680" w:type="dxa"/>
            <w:shd w:val="clear" w:color="auto" w:fill="C6EFCE"/>
            <w:noWrap/>
          </w:tcPr>
          <w:p w14:paraId="5E587A21"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P2C2I2 - Acceleration of data economy and digitalisation – Virtual Finland</w:t>
            </w:r>
          </w:p>
        </w:tc>
        <w:tc>
          <w:tcPr>
            <w:tcW w:w="1024" w:type="dxa"/>
            <w:shd w:val="clear" w:color="auto" w:fill="C6EFCE"/>
            <w:noWrap/>
          </w:tcPr>
          <w:p w14:paraId="0352380E"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Milestone</w:t>
            </w:r>
          </w:p>
        </w:tc>
        <w:tc>
          <w:tcPr>
            <w:tcW w:w="1561" w:type="dxa"/>
            <w:shd w:val="clear" w:color="auto" w:fill="C6EFCE"/>
            <w:noWrap/>
          </w:tcPr>
          <w:p w14:paraId="043D326D"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Virtual Finland platform</w:t>
            </w:r>
          </w:p>
        </w:tc>
        <w:tc>
          <w:tcPr>
            <w:tcW w:w="1735" w:type="dxa"/>
            <w:shd w:val="clear" w:color="auto" w:fill="C6EFCE"/>
            <w:noWrap/>
          </w:tcPr>
          <w:p w14:paraId="3AC44210"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Platform published</w:t>
            </w:r>
          </w:p>
        </w:tc>
        <w:tc>
          <w:tcPr>
            <w:tcW w:w="720" w:type="dxa"/>
            <w:shd w:val="clear" w:color="auto" w:fill="C6EFCE"/>
            <w:noWrap/>
          </w:tcPr>
          <w:p w14:paraId="16272EB5" w14:textId="2328F870"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804" w:type="dxa"/>
            <w:shd w:val="clear" w:color="auto" w:fill="C6EFCE"/>
            <w:noWrap/>
          </w:tcPr>
          <w:p w14:paraId="78378435" w14:textId="75CFB56E"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567" w:type="dxa"/>
            <w:shd w:val="clear" w:color="auto" w:fill="C6EFCE"/>
            <w:noWrap/>
          </w:tcPr>
          <w:p w14:paraId="04D7D6C6" w14:textId="3C702782"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789" w:type="dxa"/>
            <w:shd w:val="clear" w:color="auto" w:fill="C6EFCE"/>
            <w:noWrap/>
          </w:tcPr>
          <w:p w14:paraId="67572499"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Q4</w:t>
            </w:r>
          </w:p>
        </w:tc>
        <w:tc>
          <w:tcPr>
            <w:tcW w:w="770" w:type="dxa"/>
            <w:shd w:val="clear" w:color="auto" w:fill="C6EFCE"/>
            <w:noWrap/>
          </w:tcPr>
          <w:p w14:paraId="1523E40A"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2025</w:t>
            </w:r>
          </w:p>
        </w:tc>
        <w:tc>
          <w:tcPr>
            <w:tcW w:w="4824" w:type="dxa"/>
            <w:shd w:val="clear" w:color="auto" w:fill="C6EFCE"/>
            <w:noWrap/>
          </w:tcPr>
          <w:p w14:paraId="43302219" w14:textId="2E926F37" w:rsidR="00935FC8" w:rsidRPr="00BC6715" w:rsidRDefault="00935FC8" w:rsidP="00377F11">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The production version of the platform has been published, and at least one service has been integrated, concerning the entry process for foreign individuals.</w:t>
            </w:r>
          </w:p>
        </w:tc>
      </w:tr>
      <w:tr w:rsidR="00A7081A" w:rsidRPr="00BC6715" w14:paraId="7CED94E3" w14:textId="77777777" w:rsidTr="000A1841">
        <w:trPr>
          <w:trHeight w:val="309"/>
          <w:jc w:val="center"/>
        </w:trPr>
        <w:tc>
          <w:tcPr>
            <w:tcW w:w="835" w:type="dxa"/>
            <w:shd w:val="clear" w:color="auto" w:fill="C6EFCE"/>
            <w:noWrap/>
          </w:tcPr>
          <w:p w14:paraId="0DA3A54F" w14:textId="77777777" w:rsidR="00935FC8" w:rsidRPr="00BC6715" w:rsidRDefault="00935FC8">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64</w:t>
            </w:r>
          </w:p>
        </w:tc>
        <w:tc>
          <w:tcPr>
            <w:tcW w:w="1680" w:type="dxa"/>
            <w:shd w:val="clear" w:color="auto" w:fill="C6EFCE"/>
            <w:noWrap/>
          </w:tcPr>
          <w:p w14:paraId="5A09763A"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P2C2I3 - Accelerating key technologies (microelectronics, 6G, artificial intelligence and quantum computing)</w:t>
            </w:r>
          </w:p>
        </w:tc>
        <w:tc>
          <w:tcPr>
            <w:tcW w:w="1024" w:type="dxa"/>
            <w:shd w:val="clear" w:color="auto" w:fill="C6EFCE"/>
            <w:noWrap/>
          </w:tcPr>
          <w:p w14:paraId="3809878E"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Target</w:t>
            </w:r>
          </w:p>
        </w:tc>
        <w:tc>
          <w:tcPr>
            <w:tcW w:w="1561" w:type="dxa"/>
            <w:shd w:val="clear" w:color="auto" w:fill="C6EFCE"/>
            <w:noWrap/>
          </w:tcPr>
          <w:p w14:paraId="60A22F6C"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Micro-electronics projects are awarded</w:t>
            </w:r>
          </w:p>
        </w:tc>
        <w:tc>
          <w:tcPr>
            <w:tcW w:w="1735" w:type="dxa"/>
            <w:shd w:val="clear" w:color="auto" w:fill="C6EFCE"/>
            <w:noWrap/>
          </w:tcPr>
          <w:p w14:paraId="49021E19" w14:textId="77777777" w:rsidR="00935FC8" w:rsidRPr="00BC6715" w:rsidRDefault="00935FC8" w:rsidP="00A7081A">
            <w:pPr>
              <w:spacing w:after="0" w:line="240" w:lineRule="auto"/>
              <w:rPr>
                <w:rFonts w:ascii="Times New Roman" w:eastAsia="Times New Roman" w:hAnsi="Times New Roman"/>
                <w:noProof/>
                <w:sz w:val="20"/>
                <w:szCs w:val="20"/>
                <w:lang w:eastAsia="en-GB"/>
              </w:rPr>
            </w:pPr>
          </w:p>
        </w:tc>
        <w:tc>
          <w:tcPr>
            <w:tcW w:w="720" w:type="dxa"/>
            <w:shd w:val="clear" w:color="auto" w:fill="C6EFCE"/>
            <w:noWrap/>
          </w:tcPr>
          <w:p w14:paraId="71497314"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Number</w:t>
            </w:r>
          </w:p>
        </w:tc>
        <w:tc>
          <w:tcPr>
            <w:tcW w:w="804" w:type="dxa"/>
            <w:shd w:val="clear" w:color="auto" w:fill="C6EFCE"/>
            <w:noWrap/>
          </w:tcPr>
          <w:p w14:paraId="29D0C9D7"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0</w:t>
            </w:r>
          </w:p>
        </w:tc>
        <w:tc>
          <w:tcPr>
            <w:tcW w:w="567" w:type="dxa"/>
            <w:shd w:val="clear" w:color="auto" w:fill="C6EFCE"/>
            <w:noWrap/>
          </w:tcPr>
          <w:p w14:paraId="49DC1572"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2</w:t>
            </w:r>
          </w:p>
        </w:tc>
        <w:tc>
          <w:tcPr>
            <w:tcW w:w="789" w:type="dxa"/>
            <w:shd w:val="clear" w:color="auto" w:fill="C6EFCE"/>
            <w:noWrap/>
          </w:tcPr>
          <w:p w14:paraId="1B2F962D"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Q4</w:t>
            </w:r>
          </w:p>
        </w:tc>
        <w:tc>
          <w:tcPr>
            <w:tcW w:w="770" w:type="dxa"/>
            <w:shd w:val="clear" w:color="auto" w:fill="C6EFCE"/>
            <w:noWrap/>
          </w:tcPr>
          <w:p w14:paraId="0BA0F512"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2022</w:t>
            </w:r>
          </w:p>
        </w:tc>
        <w:tc>
          <w:tcPr>
            <w:tcW w:w="4824" w:type="dxa"/>
            <w:shd w:val="clear" w:color="auto" w:fill="C6EFCE"/>
            <w:noWrap/>
          </w:tcPr>
          <w:p w14:paraId="38E67A46"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 xml:space="preserve"> Notification of the award of at least 2 financing decisions by Business Finland. The eligibility criteria shall ensure that the selected projects comply with the ‘Do no significant harm’ Technical Guidance (2021/C58/01) through the use of an exclusion list and the requirement of compliance with the relevant EU and national environmental legislation. The selection of projects shall assess the quality and effectiveness of RDI activities and how they promote digitalisation. The selection criteria shall include the quality and suitability of the project, the future direct and indirect business impacts of the project, the suitability of the project for the IPCEI’s core idea and national and EU strategies, and the quality of the project consortium. </w:t>
            </w:r>
          </w:p>
        </w:tc>
      </w:tr>
      <w:tr w:rsidR="00A7081A" w:rsidRPr="00BC6715" w14:paraId="5316E5B5" w14:textId="77777777" w:rsidTr="000A1841">
        <w:trPr>
          <w:trHeight w:val="309"/>
          <w:jc w:val="center"/>
        </w:trPr>
        <w:tc>
          <w:tcPr>
            <w:tcW w:w="835" w:type="dxa"/>
            <w:shd w:val="clear" w:color="auto" w:fill="C6EFCE"/>
            <w:noWrap/>
          </w:tcPr>
          <w:p w14:paraId="4175B0EA" w14:textId="77777777" w:rsidR="00935FC8" w:rsidRPr="00BC6715" w:rsidRDefault="00935FC8">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66</w:t>
            </w:r>
          </w:p>
        </w:tc>
        <w:tc>
          <w:tcPr>
            <w:tcW w:w="1680" w:type="dxa"/>
            <w:shd w:val="clear" w:color="auto" w:fill="C6EFCE"/>
            <w:noWrap/>
          </w:tcPr>
          <w:p w14:paraId="5B10E2F0"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P2C2I3 - Accelerating key technologies (microelectronics, 6G, artificial intelligence and quantum computing)</w:t>
            </w:r>
          </w:p>
        </w:tc>
        <w:tc>
          <w:tcPr>
            <w:tcW w:w="1024" w:type="dxa"/>
            <w:shd w:val="clear" w:color="auto" w:fill="C6EFCE"/>
            <w:noWrap/>
          </w:tcPr>
          <w:p w14:paraId="31DEFA8A"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Milestone</w:t>
            </w:r>
          </w:p>
        </w:tc>
        <w:tc>
          <w:tcPr>
            <w:tcW w:w="1561" w:type="dxa"/>
            <w:shd w:val="clear" w:color="auto" w:fill="C6EFCE"/>
            <w:noWrap/>
          </w:tcPr>
          <w:p w14:paraId="523E4272"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Projects developing 6G, AI and quantum computing are awarded</w:t>
            </w:r>
          </w:p>
        </w:tc>
        <w:tc>
          <w:tcPr>
            <w:tcW w:w="1735" w:type="dxa"/>
            <w:shd w:val="clear" w:color="auto" w:fill="C6EFCE"/>
            <w:noWrap/>
          </w:tcPr>
          <w:p w14:paraId="3987DFBD"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Notification of the award of all grants for projects developing 6G, AI and quantum computing</w:t>
            </w:r>
          </w:p>
        </w:tc>
        <w:tc>
          <w:tcPr>
            <w:tcW w:w="720" w:type="dxa"/>
            <w:shd w:val="clear" w:color="auto" w:fill="C6EFCE"/>
            <w:noWrap/>
          </w:tcPr>
          <w:p w14:paraId="2C9F24B6"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804" w:type="dxa"/>
            <w:shd w:val="clear" w:color="auto" w:fill="C6EFCE"/>
            <w:noWrap/>
          </w:tcPr>
          <w:p w14:paraId="705025CB"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567" w:type="dxa"/>
            <w:shd w:val="clear" w:color="auto" w:fill="C6EFCE"/>
            <w:noWrap/>
          </w:tcPr>
          <w:p w14:paraId="4DC6C81E"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789" w:type="dxa"/>
            <w:shd w:val="clear" w:color="auto" w:fill="C6EFCE"/>
            <w:noWrap/>
          </w:tcPr>
          <w:p w14:paraId="5DF80BFA"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Q4</w:t>
            </w:r>
          </w:p>
        </w:tc>
        <w:tc>
          <w:tcPr>
            <w:tcW w:w="770" w:type="dxa"/>
            <w:shd w:val="clear" w:color="auto" w:fill="C6EFCE"/>
            <w:noWrap/>
          </w:tcPr>
          <w:p w14:paraId="0FF050F0"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2022</w:t>
            </w:r>
          </w:p>
        </w:tc>
        <w:tc>
          <w:tcPr>
            <w:tcW w:w="4824" w:type="dxa"/>
            <w:shd w:val="clear" w:color="auto" w:fill="C6EFCE"/>
            <w:noWrap/>
          </w:tcPr>
          <w:p w14:paraId="115DB5DF"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In the framework of an open call for projects in which companies and research institutes develop and utilise testing and testing environments, Business Finland shall select the projects to be funded according to the criteria of the call. The eligibility criteria shall ensure that the selected projects comply with the ‘Do no significant harm’ Technical Guidance (2021/C58/01) through the use of an exclusion list and the requirement of compliance with the relevant EU and national environmental legislation. The selection criteria shall include quality and suitability of the project, the future direct and indirect business impacts of the project, the suitability of projects for national and EU strategies, and the quality of the project consortium. The selection of projects assesses the quality and effectiveness of RDI activities and how they promote digitalisation.</w:t>
            </w:r>
          </w:p>
        </w:tc>
      </w:tr>
      <w:tr w:rsidR="00A7081A" w:rsidRPr="00BC6715" w14:paraId="4C0E3853" w14:textId="77777777" w:rsidTr="000A1841">
        <w:trPr>
          <w:trHeight w:val="309"/>
          <w:jc w:val="center"/>
        </w:trPr>
        <w:tc>
          <w:tcPr>
            <w:tcW w:w="835" w:type="dxa"/>
            <w:shd w:val="clear" w:color="auto" w:fill="C6EFCE"/>
            <w:noWrap/>
          </w:tcPr>
          <w:p w14:paraId="30772559" w14:textId="77777777" w:rsidR="00935FC8" w:rsidRPr="00BC6715" w:rsidRDefault="00935FC8">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67</w:t>
            </w:r>
          </w:p>
        </w:tc>
        <w:tc>
          <w:tcPr>
            <w:tcW w:w="1680" w:type="dxa"/>
            <w:shd w:val="clear" w:color="auto" w:fill="C6EFCE"/>
            <w:noWrap/>
          </w:tcPr>
          <w:p w14:paraId="65E0A3F1"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P2C2I3 - Accelerating key technologies (microelectronics, 6G, artificial intelligence and quantum computing)</w:t>
            </w:r>
          </w:p>
        </w:tc>
        <w:tc>
          <w:tcPr>
            <w:tcW w:w="1024" w:type="dxa"/>
            <w:shd w:val="clear" w:color="auto" w:fill="C6EFCE"/>
            <w:noWrap/>
          </w:tcPr>
          <w:p w14:paraId="75FE41DE"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Milestone</w:t>
            </w:r>
          </w:p>
        </w:tc>
        <w:tc>
          <w:tcPr>
            <w:tcW w:w="1561" w:type="dxa"/>
            <w:shd w:val="clear" w:color="auto" w:fill="C6EFCE"/>
            <w:noWrap/>
          </w:tcPr>
          <w:p w14:paraId="3631E260" w14:textId="42C167D3"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Project reports submitted</w:t>
            </w:r>
          </w:p>
        </w:tc>
        <w:tc>
          <w:tcPr>
            <w:tcW w:w="1735" w:type="dxa"/>
            <w:shd w:val="clear" w:color="auto" w:fill="C6EFCE"/>
            <w:noWrap/>
          </w:tcPr>
          <w:p w14:paraId="32C6591D"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Project reports submitted</w:t>
            </w:r>
          </w:p>
        </w:tc>
        <w:tc>
          <w:tcPr>
            <w:tcW w:w="720" w:type="dxa"/>
            <w:shd w:val="clear" w:color="auto" w:fill="C6EFCE"/>
            <w:noWrap/>
          </w:tcPr>
          <w:p w14:paraId="7E557803"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804" w:type="dxa"/>
            <w:shd w:val="clear" w:color="auto" w:fill="C6EFCE"/>
            <w:noWrap/>
          </w:tcPr>
          <w:p w14:paraId="2FE9FA0F"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567" w:type="dxa"/>
            <w:shd w:val="clear" w:color="auto" w:fill="C6EFCE"/>
            <w:noWrap/>
          </w:tcPr>
          <w:p w14:paraId="3E2AEBBD"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789" w:type="dxa"/>
            <w:shd w:val="clear" w:color="auto" w:fill="C6EFCE"/>
            <w:noWrap/>
          </w:tcPr>
          <w:p w14:paraId="0FA286C8"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Q4</w:t>
            </w:r>
          </w:p>
        </w:tc>
        <w:tc>
          <w:tcPr>
            <w:tcW w:w="770" w:type="dxa"/>
            <w:shd w:val="clear" w:color="auto" w:fill="C6EFCE"/>
            <w:noWrap/>
          </w:tcPr>
          <w:p w14:paraId="69196751"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2025</w:t>
            </w:r>
          </w:p>
        </w:tc>
        <w:tc>
          <w:tcPr>
            <w:tcW w:w="4824" w:type="dxa"/>
            <w:shd w:val="clear" w:color="auto" w:fill="C6EFCE"/>
            <w:noWrap/>
          </w:tcPr>
          <w:p w14:paraId="0E9D8544"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Project reports shall be submitted by recipient entities relating to projects cumulatively awarded at least EUR</w:t>
            </w:r>
            <w:r w:rsidRPr="00BC6715">
              <w:rPr>
                <w:rFonts w:ascii="Times New Roman" w:hAnsi="Times New Roman"/>
                <w:noProof/>
                <w:sz w:val="20"/>
                <w:szCs w:val="20"/>
              </w:rPr>
              <w:t> </w:t>
            </w:r>
            <w:r w:rsidRPr="00BC6715">
              <w:rPr>
                <w:rFonts w:ascii="Times New Roman" w:eastAsia="Times New Roman" w:hAnsi="Times New Roman"/>
                <w:noProof/>
                <w:sz w:val="20"/>
                <w:szCs w:val="20"/>
                <w:lang w:eastAsia="en-GB"/>
              </w:rPr>
              <w:t>22</w:t>
            </w:r>
            <w:r w:rsidRPr="00BC6715">
              <w:rPr>
                <w:rFonts w:ascii="Times New Roman" w:hAnsi="Times New Roman"/>
                <w:noProof/>
                <w:sz w:val="20"/>
                <w:szCs w:val="20"/>
              </w:rPr>
              <w:t> </w:t>
            </w:r>
            <w:r w:rsidRPr="00BC6715">
              <w:rPr>
                <w:rFonts w:ascii="Times New Roman" w:eastAsia="Times New Roman" w:hAnsi="Times New Roman"/>
                <w:noProof/>
                <w:sz w:val="20"/>
                <w:szCs w:val="20"/>
                <w:lang w:eastAsia="en-GB"/>
              </w:rPr>
              <w:t>500</w:t>
            </w:r>
            <w:r w:rsidRPr="00BC6715">
              <w:rPr>
                <w:rFonts w:ascii="Times New Roman" w:hAnsi="Times New Roman"/>
                <w:noProof/>
                <w:sz w:val="20"/>
                <w:szCs w:val="20"/>
              </w:rPr>
              <w:t> </w:t>
            </w:r>
            <w:r w:rsidRPr="00BC6715">
              <w:rPr>
                <w:rFonts w:ascii="Times New Roman" w:eastAsia="Times New Roman" w:hAnsi="Times New Roman"/>
                <w:noProof/>
                <w:sz w:val="20"/>
                <w:szCs w:val="20"/>
                <w:lang w:eastAsia="en-GB"/>
              </w:rPr>
              <w:t>000.</w:t>
            </w:r>
          </w:p>
        </w:tc>
      </w:tr>
      <w:tr w:rsidR="00A7081A" w:rsidRPr="00BC6715" w14:paraId="53508573" w14:textId="77777777" w:rsidTr="000A1841">
        <w:trPr>
          <w:trHeight w:val="173"/>
          <w:jc w:val="center"/>
        </w:trPr>
        <w:tc>
          <w:tcPr>
            <w:tcW w:w="835" w:type="dxa"/>
            <w:shd w:val="clear" w:color="auto" w:fill="C6EFCE"/>
            <w:noWrap/>
          </w:tcPr>
          <w:p w14:paraId="5893B1F3" w14:textId="77777777" w:rsidR="00935FC8" w:rsidRPr="00BC6715" w:rsidRDefault="00935FC8">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68</w:t>
            </w:r>
          </w:p>
        </w:tc>
        <w:tc>
          <w:tcPr>
            <w:tcW w:w="1680" w:type="dxa"/>
            <w:shd w:val="clear" w:color="auto" w:fill="C6EFCE"/>
            <w:noWrap/>
          </w:tcPr>
          <w:p w14:paraId="351EA366"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P2C2R1 - Development of the residential and commercial property information system</w:t>
            </w:r>
          </w:p>
        </w:tc>
        <w:tc>
          <w:tcPr>
            <w:tcW w:w="1024" w:type="dxa"/>
            <w:shd w:val="clear" w:color="auto" w:fill="C6EFCE"/>
            <w:noWrap/>
          </w:tcPr>
          <w:p w14:paraId="736F5E03"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Milestone</w:t>
            </w:r>
          </w:p>
        </w:tc>
        <w:tc>
          <w:tcPr>
            <w:tcW w:w="1561" w:type="dxa"/>
            <w:shd w:val="clear" w:color="auto" w:fill="C6EFCE"/>
            <w:noWrap/>
          </w:tcPr>
          <w:p w14:paraId="127690C1" w14:textId="10B8D123"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Adoption of legislation on extending the coverage of the residential and commercial property information system</w:t>
            </w:r>
          </w:p>
        </w:tc>
        <w:tc>
          <w:tcPr>
            <w:tcW w:w="1735" w:type="dxa"/>
            <w:shd w:val="clear" w:color="auto" w:fill="C6EFCE"/>
            <w:noWrap/>
          </w:tcPr>
          <w:p w14:paraId="699BF2BC"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Parliament adopts the amendments to the Act on the Residential and Commercial Property Information System and the Limited Liability Housing Companies Act</w:t>
            </w:r>
          </w:p>
        </w:tc>
        <w:tc>
          <w:tcPr>
            <w:tcW w:w="720" w:type="dxa"/>
            <w:shd w:val="clear" w:color="auto" w:fill="C6EFCE"/>
            <w:noWrap/>
          </w:tcPr>
          <w:p w14:paraId="1EBC0019"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804" w:type="dxa"/>
            <w:shd w:val="clear" w:color="auto" w:fill="C6EFCE"/>
            <w:noWrap/>
          </w:tcPr>
          <w:p w14:paraId="2D5C84D7"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567" w:type="dxa"/>
            <w:shd w:val="clear" w:color="auto" w:fill="C6EFCE"/>
            <w:noWrap/>
          </w:tcPr>
          <w:p w14:paraId="51610A11"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789" w:type="dxa"/>
            <w:shd w:val="clear" w:color="auto" w:fill="C6EFCE"/>
            <w:noWrap/>
          </w:tcPr>
          <w:p w14:paraId="12CBFF7A"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Q2</w:t>
            </w:r>
          </w:p>
        </w:tc>
        <w:tc>
          <w:tcPr>
            <w:tcW w:w="770" w:type="dxa"/>
            <w:shd w:val="clear" w:color="auto" w:fill="C6EFCE"/>
            <w:noWrap/>
          </w:tcPr>
          <w:p w14:paraId="3714A1DE"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2023</w:t>
            </w:r>
          </w:p>
        </w:tc>
        <w:tc>
          <w:tcPr>
            <w:tcW w:w="4824" w:type="dxa"/>
            <w:shd w:val="clear" w:color="auto" w:fill="C6EFCE"/>
            <w:noWrap/>
          </w:tcPr>
          <w:p w14:paraId="2D92A47B"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 xml:space="preserve">To extend the coverage of the housing information system to information on housing companies, the Act on the Residential and Commercial Property Information System and the Limited Liability Housing Companies Act shall be amended. In particular, amendments shall cover: </w:t>
            </w:r>
          </w:p>
          <w:p w14:paraId="6DBCCC8F"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 obligation of housing companies to make available basic data in structured machine-readable format;</w:t>
            </w:r>
          </w:p>
          <w:p w14:paraId="7F008DE5"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 right to access the data made available in structured machine-readable format.</w:t>
            </w:r>
          </w:p>
        </w:tc>
      </w:tr>
      <w:tr w:rsidR="00A7081A" w:rsidRPr="00BC6715" w14:paraId="35115F0A" w14:textId="77777777" w:rsidTr="000A1841">
        <w:trPr>
          <w:trHeight w:val="309"/>
          <w:jc w:val="center"/>
        </w:trPr>
        <w:tc>
          <w:tcPr>
            <w:tcW w:w="835" w:type="dxa"/>
            <w:shd w:val="clear" w:color="auto" w:fill="C6EFCE"/>
            <w:noWrap/>
          </w:tcPr>
          <w:p w14:paraId="531C5EF9" w14:textId="77777777" w:rsidR="00935FC8" w:rsidRPr="00BC6715" w:rsidRDefault="00935FC8">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69</w:t>
            </w:r>
          </w:p>
        </w:tc>
        <w:tc>
          <w:tcPr>
            <w:tcW w:w="1680" w:type="dxa"/>
            <w:shd w:val="clear" w:color="auto" w:fill="C6EFCE"/>
            <w:noWrap/>
          </w:tcPr>
          <w:p w14:paraId="02745A44"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P2C2R1 - Development of the residential and commercial property information system</w:t>
            </w:r>
          </w:p>
        </w:tc>
        <w:tc>
          <w:tcPr>
            <w:tcW w:w="1024" w:type="dxa"/>
            <w:shd w:val="clear" w:color="auto" w:fill="C6EFCE"/>
            <w:noWrap/>
          </w:tcPr>
          <w:p w14:paraId="44B79415"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Milestone</w:t>
            </w:r>
          </w:p>
        </w:tc>
        <w:tc>
          <w:tcPr>
            <w:tcW w:w="1561" w:type="dxa"/>
            <w:shd w:val="clear" w:color="auto" w:fill="C6EFCE"/>
            <w:noWrap/>
          </w:tcPr>
          <w:p w14:paraId="51B8B801" w14:textId="1D3BEA22"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Entry into force of legal acts</w:t>
            </w:r>
          </w:p>
        </w:tc>
        <w:tc>
          <w:tcPr>
            <w:tcW w:w="1735" w:type="dxa"/>
            <w:shd w:val="clear" w:color="auto" w:fill="C6EFCE"/>
            <w:noWrap/>
          </w:tcPr>
          <w:p w14:paraId="3677EF0E"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Legal acts shall have entered into force</w:t>
            </w:r>
          </w:p>
        </w:tc>
        <w:tc>
          <w:tcPr>
            <w:tcW w:w="720" w:type="dxa"/>
            <w:shd w:val="clear" w:color="auto" w:fill="C6EFCE"/>
            <w:noWrap/>
          </w:tcPr>
          <w:p w14:paraId="321ACD1F"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804" w:type="dxa"/>
            <w:shd w:val="clear" w:color="auto" w:fill="C6EFCE"/>
            <w:noWrap/>
          </w:tcPr>
          <w:p w14:paraId="493BDA5B"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567" w:type="dxa"/>
            <w:shd w:val="clear" w:color="auto" w:fill="C6EFCE"/>
            <w:noWrap/>
          </w:tcPr>
          <w:p w14:paraId="1834A276"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789" w:type="dxa"/>
            <w:shd w:val="clear" w:color="auto" w:fill="C6EFCE"/>
            <w:noWrap/>
          </w:tcPr>
          <w:p w14:paraId="364954B2"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Q2</w:t>
            </w:r>
          </w:p>
        </w:tc>
        <w:tc>
          <w:tcPr>
            <w:tcW w:w="770" w:type="dxa"/>
            <w:shd w:val="clear" w:color="auto" w:fill="C6EFCE"/>
            <w:noWrap/>
          </w:tcPr>
          <w:p w14:paraId="3643039C"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2025</w:t>
            </w:r>
          </w:p>
        </w:tc>
        <w:tc>
          <w:tcPr>
            <w:tcW w:w="4824" w:type="dxa"/>
            <w:shd w:val="clear" w:color="auto" w:fill="C6EFCE"/>
            <w:noWrap/>
          </w:tcPr>
          <w:p w14:paraId="43EE546F" w14:textId="1E91D998"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Entry into force of legal acts to extend the coverage of the housing information system to information on housing companies, covering:</w:t>
            </w:r>
          </w:p>
          <w:p w14:paraId="2929FB38"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 the obligation of housing companies to make available basic data (for example housing company loans, repairs and alterations) in structured machine-readable format;</w:t>
            </w:r>
          </w:p>
          <w:p w14:paraId="2D1C6311" w14:textId="5451B9B5" w:rsidR="00935FC8" w:rsidRPr="00BC6715" w:rsidRDefault="00935FC8" w:rsidP="00377F11">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 the right to access the data made available in structured machine-readable format</w:t>
            </w:r>
            <w:r w:rsidR="00377F11" w:rsidRPr="00BC6715">
              <w:rPr>
                <w:rFonts w:ascii="Times New Roman" w:eastAsia="Times New Roman" w:hAnsi="Times New Roman"/>
                <w:noProof/>
                <w:sz w:val="20"/>
                <w:szCs w:val="20"/>
                <w:lang w:eastAsia="en-GB"/>
              </w:rPr>
              <w:t>.</w:t>
            </w:r>
          </w:p>
        </w:tc>
      </w:tr>
      <w:tr w:rsidR="00A7081A" w:rsidRPr="00BC6715" w14:paraId="3F487F06" w14:textId="77777777" w:rsidTr="000A1841">
        <w:trPr>
          <w:trHeight w:val="309"/>
          <w:jc w:val="center"/>
        </w:trPr>
        <w:tc>
          <w:tcPr>
            <w:tcW w:w="835" w:type="dxa"/>
            <w:shd w:val="clear" w:color="auto" w:fill="C6EFCE"/>
            <w:noWrap/>
          </w:tcPr>
          <w:p w14:paraId="7677D0A1" w14:textId="77777777" w:rsidR="00935FC8" w:rsidRPr="00BC6715" w:rsidRDefault="00935FC8">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70</w:t>
            </w:r>
          </w:p>
        </w:tc>
        <w:tc>
          <w:tcPr>
            <w:tcW w:w="1680" w:type="dxa"/>
            <w:shd w:val="clear" w:color="auto" w:fill="C6EFCE"/>
            <w:noWrap/>
          </w:tcPr>
          <w:p w14:paraId="6D8BB40F"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P2C2R1 - Development of the residential and commercial property information system</w:t>
            </w:r>
          </w:p>
        </w:tc>
        <w:tc>
          <w:tcPr>
            <w:tcW w:w="1024" w:type="dxa"/>
            <w:shd w:val="clear" w:color="auto" w:fill="C6EFCE"/>
            <w:noWrap/>
          </w:tcPr>
          <w:p w14:paraId="2387A228"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Milestone</w:t>
            </w:r>
          </w:p>
        </w:tc>
        <w:tc>
          <w:tcPr>
            <w:tcW w:w="1561" w:type="dxa"/>
            <w:shd w:val="clear" w:color="auto" w:fill="C6EFCE"/>
            <w:noWrap/>
          </w:tcPr>
          <w:p w14:paraId="25649201"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The extension of the coverage of the residential and commercial property information system for housing company data.</w:t>
            </w:r>
          </w:p>
        </w:tc>
        <w:tc>
          <w:tcPr>
            <w:tcW w:w="1735" w:type="dxa"/>
            <w:shd w:val="clear" w:color="auto" w:fill="C6EFCE"/>
            <w:noWrap/>
          </w:tcPr>
          <w:p w14:paraId="62A30BB2" w14:textId="4E4D4FDA" w:rsidR="00935FC8" w:rsidRPr="00BC6715" w:rsidRDefault="00935FC8" w:rsidP="00AE1489">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 xml:space="preserve">Publication of report </w:t>
            </w:r>
          </w:p>
        </w:tc>
        <w:tc>
          <w:tcPr>
            <w:tcW w:w="720" w:type="dxa"/>
            <w:shd w:val="clear" w:color="auto" w:fill="C6EFCE"/>
            <w:noWrap/>
          </w:tcPr>
          <w:p w14:paraId="240497DD"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804" w:type="dxa"/>
            <w:shd w:val="clear" w:color="auto" w:fill="C6EFCE"/>
            <w:noWrap/>
          </w:tcPr>
          <w:p w14:paraId="5F42B7D9"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567" w:type="dxa"/>
            <w:shd w:val="clear" w:color="auto" w:fill="C6EFCE"/>
            <w:noWrap/>
          </w:tcPr>
          <w:p w14:paraId="1D93F360"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789" w:type="dxa"/>
            <w:shd w:val="clear" w:color="auto" w:fill="C6EFCE"/>
            <w:noWrap/>
          </w:tcPr>
          <w:p w14:paraId="4FEC60CC"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Q2</w:t>
            </w:r>
          </w:p>
        </w:tc>
        <w:tc>
          <w:tcPr>
            <w:tcW w:w="770" w:type="dxa"/>
            <w:shd w:val="clear" w:color="auto" w:fill="C6EFCE"/>
            <w:noWrap/>
          </w:tcPr>
          <w:p w14:paraId="3A4A516B"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2026</w:t>
            </w:r>
          </w:p>
        </w:tc>
        <w:tc>
          <w:tcPr>
            <w:tcW w:w="4824" w:type="dxa"/>
            <w:shd w:val="clear" w:color="auto" w:fill="C6EFCE"/>
            <w:noWrap/>
          </w:tcPr>
          <w:p w14:paraId="50225182"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 xml:space="preserve">Publication of report confirming that: </w:t>
            </w:r>
          </w:p>
          <w:p w14:paraId="4F9DC7AF"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 data specifications have been drawn up for housing company data with the possibility to maintain basic data (including housing company loans, repairs and alterations) in the residential and commercial property information system,</w:t>
            </w:r>
          </w:p>
          <w:p w14:paraId="73026E25" w14:textId="5E4E3A94"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 procedures for accessing housing company data shall be defined and the residential and commercial property information system allows accessing housing company data in structured machine-readable format.</w:t>
            </w:r>
          </w:p>
        </w:tc>
      </w:tr>
      <w:tr w:rsidR="00A7081A" w:rsidRPr="00BC6715" w14:paraId="7E19E686" w14:textId="77777777" w:rsidTr="000A1841">
        <w:trPr>
          <w:trHeight w:val="309"/>
          <w:jc w:val="center"/>
        </w:trPr>
        <w:tc>
          <w:tcPr>
            <w:tcW w:w="835" w:type="dxa"/>
            <w:shd w:val="clear" w:color="auto" w:fill="C6EFCE"/>
            <w:noWrap/>
          </w:tcPr>
          <w:p w14:paraId="5B3DCD23" w14:textId="77777777" w:rsidR="00935FC8" w:rsidRPr="00BC6715" w:rsidRDefault="00935FC8">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71</w:t>
            </w:r>
          </w:p>
        </w:tc>
        <w:tc>
          <w:tcPr>
            <w:tcW w:w="1680" w:type="dxa"/>
            <w:shd w:val="clear" w:color="auto" w:fill="C6EFCE"/>
            <w:noWrap/>
          </w:tcPr>
          <w:p w14:paraId="6CF3AE40"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P2C2R2 - Enhancing the effectiveness and transparency of RRP reforms and investments by developing information systems, administration and audit</w:t>
            </w:r>
          </w:p>
        </w:tc>
        <w:tc>
          <w:tcPr>
            <w:tcW w:w="1024" w:type="dxa"/>
            <w:shd w:val="clear" w:color="auto" w:fill="C6EFCE"/>
            <w:noWrap/>
          </w:tcPr>
          <w:p w14:paraId="5B70B4BA"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Milestone</w:t>
            </w:r>
          </w:p>
        </w:tc>
        <w:tc>
          <w:tcPr>
            <w:tcW w:w="1561" w:type="dxa"/>
            <w:shd w:val="clear" w:color="auto" w:fill="C6EFCE"/>
            <w:noWrap/>
          </w:tcPr>
          <w:p w14:paraId="0DD21791"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Entry into force of the Law on the implementation of the RRP</w:t>
            </w:r>
          </w:p>
        </w:tc>
        <w:tc>
          <w:tcPr>
            <w:tcW w:w="1735" w:type="dxa"/>
            <w:shd w:val="clear" w:color="auto" w:fill="C6EFCE"/>
            <w:noWrap/>
          </w:tcPr>
          <w:p w14:paraId="4FDEE0E7"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Provision in the Law on the implementation of the RRP indicating its entry into force</w:t>
            </w:r>
          </w:p>
        </w:tc>
        <w:tc>
          <w:tcPr>
            <w:tcW w:w="720" w:type="dxa"/>
            <w:shd w:val="clear" w:color="auto" w:fill="C6EFCE"/>
            <w:noWrap/>
          </w:tcPr>
          <w:p w14:paraId="3466E5D8"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804" w:type="dxa"/>
            <w:shd w:val="clear" w:color="auto" w:fill="C6EFCE"/>
            <w:noWrap/>
          </w:tcPr>
          <w:p w14:paraId="6A8C66D5"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567" w:type="dxa"/>
            <w:shd w:val="clear" w:color="auto" w:fill="C6EFCE"/>
            <w:noWrap/>
          </w:tcPr>
          <w:p w14:paraId="2751F1A4"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789" w:type="dxa"/>
            <w:shd w:val="clear" w:color="auto" w:fill="C6EFCE"/>
            <w:noWrap/>
          </w:tcPr>
          <w:p w14:paraId="0DAFE883"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Q4</w:t>
            </w:r>
          </w:p>
        </w:tc>
        <w:tc>
          <w:tcPr>
            <w:tcW w:w="770" w:type="dxa"/>
            <w:shd w:val="clear" w:color="auto" w:fill="C6EFCE"/>
            <w:noWrap/>
          </w:tcPr>
          <w:p w14:paraId="3077AB74"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2021</w:t>
            </w:r>
          </w:p>
        </w:tc>
        <w:tc>
          <w:tcPr>
            <w:tcW w:w="4824" w:type="dxa"/>
            <w:shd w:val="clear" w:color="auto" w:fill="C6EFCE"/>
            <w:noWrap/>
          </w:tcPr>
          <w:p w14:paraId="79F94E04"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Entry into force of the Law on the implementation of the RRP. The Law shall establish the legal mandates for the bodies involved in the coordination, monitoring, control and audit of the implementation of the Finnish recovery and resilience plan.</w:t>
            </w:r>
          </w:p>
          <w:p w14:paraId="6C32D73A" w14:textId="77777777" w:rsidR="00935FC8" w:rsidRPr="00BC6715" w:rsidRDefault="00935FC8" w:rsidP="00A7081A">
            <w:pPr>
              <w:spacing w:after="0" w:line="240" w:lineRule="auto"/>
              <w:rPr>
                <w:rFonts w:ascii="Times New Roman" w:eastAsia="Times New Roman" w:hAnsi="Times New Roman"/>
                <w:noProof/>
                <w:sz w:val="20"/>
                <w:szCs w:val="20"/>
                <w:lang w:eastAsia="en-GB"/>
              </w:rPr>
            </w:pPr>
          </w:p>
          <w:p w14:paraId="7577BBEF"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The Law shall at least set out the roles and responsibilities of those bodies ensuring: (a) the collection and reliability of data linked to and monitoring of the achievement of milestones and targets; (b) that procedures are in place for the drawing up of management declarations, audit summaries and payment requests; (c) that the necessary principles underlying the collection and storing of data on beneficiaries, contractors, subcontractors, and beneficial owners in accordance with Article 22 of Regulation (EU) 2021/241 establishing the Recovery and Resilience Facility are in place.</w:t>
            </w:r>
          </w:p>
          <w:p w14:paraId="0D71C75F" w14:textId="77777777" w:rsidR="00935FC8" w:rsidRPr="00BC6715" w:rsidRDefault="00935FC8" w:rsidP="00A7081A">
            <w:pPr>
              <w:spacing w:after="0" w:line="240" w:lineRule="auto"/>
              <w:rPr>
                <w:rFonts w:ascii="Times New Roman" w:eastAsia="Times New Roman" w:hAnsi="Times New Roman"/>
                <w:noProof/>
                <w:sz w:val="20"/>
                <w:szCs w:val="20"/>
                <w:lang w:eastAsia="en-GB"/>
              </w:rPr>
            </w:pPr>
          </w:p>
          <w:p w14:paraId="60FA519D"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The law shall enter into force before the submission of the first payment request under the recovery and resilience plan.</w:t>
            </w:r>
          </w:p>
        </w:tc>
      </w:tr>
      <w:tr w:rsidR="00A7081A" w:rsidRPr="00BC6715" w14:paraId="69D5A570" w14:textId="77777777" w:rsidTr="000A1841">
        <w:trPr>
          <w:trHeight w:val="309"/>
          <w:jc w:val="center"/>
        </w:trPr>
        <w:tc>
          <w:tcPr>
            <w:tcW w:w="835" w:type="dxa"/>
            <w:shd w:val="clear" w:color="auto" w:fill="C6EFCE"/>
            <w:noWrap/>
          </w:tcPr>
          <w:p w14:paraId="42AD9180" w14:textId="77777777" w:rsidR="00935FC8" w:rsidRPr="00BC6715" w:rsidRDefault="00935FC8">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72</w:t>
            </w:r>
          </w:p>
        </w:tc>
        <w:tc>
          <w:tcPr>
            <w:tcW w:w="1680" w:type="dxa"/>
            <w:shd w:val="clear" w:color="auto" w:fill="C6EFCE"/>
            <w:noWrap/>
          </w:tcPr>
          <w:p w14:paraId="17B3A7DB"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P2C2R2 - Enhancing the effectiveness and transparency of RRP reforms and investments by developing information systems, administration and audit</w:t>
            </w:r>
          </w:p>
        </w:tc>
        <w:tc>
          <w:tcPr>
            <w:tcW w:w="1024" w:type="dxa"/>
            <w:shd w:val="clear" w:color="auto" w:fill="C6EFCE"/>
            <w:noWrap/>
          </w:tcPr>
          <w:p w14:paraId="623B338E"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Milestone</w:t>
            </w:r>
          </w:p>
        </w:tc>
        <w:tc>
          <w:tcPr>
            <w:tcW w:w="1561" w:type="dxa"/>
            <w:shd w:val="clear" w:color="auto" w:fill="C6EFCE"/>
            <w:noWrap/>
          </w:tcPr>
          <w:p w14:paraId="1435B4DE"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Repository system for Audit and Controls: information for monitoring implementation of RRF</w:t>
            </w:r>
          </w:p>
        </w:tc>
        <w:tc>
          <w:tcPr>
            <w:tcW w:w="1735" w:type="dxa"/>
            <w:shd w:val="clear" w:color="auto" w:fill="C6EFCE"/>
            <w:noWrap/>
          </w:tcPr>
          <w:p w14:paraId="6B6859CD"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Audit report prepared by the audit function</w:t>
            </w:r>
            <w:r w:rsidRPr="00BC6715">
              <w:rPr>
                <w:rFonts w:ascii="Times New Roman" w:hAnsi="Times New Roman"/>
                <w:noProof/>
                <w:color w:val="1F497D"/>
                <w:sz w:val="20"/>
                <w:szCs w:val="20"/>
                <w:u w:val="single"/>
              </w:rPr>
              <w:t xml:space="preserve"> </w:t>
            </w:r>
            <w:r w:rsidRPr="00BC6715">
              <w:rPr>
                <w:rFonts w:ascii="Times New Roman" w:eastAsia="Times New Roman" w:hAnsi="Times New Roman"/>
                <w:noProof/>
                <w:sz w:val="20"/>
                <w:szCs w:val="20"/>
                <w:lang w:eastAsia="en-GB"/>
              </w:rPr>
              <w:t>confirming repository system functionalities</w:t>
            </w:r>
          </w:p>
        </w:tc>
        <w:tc>
          <w:tcPr>
            <w:tcW w:w="720" w:type="dxa"/>
            <w:shd w:val="clear" w:color="auto" w:fill="C6EFCE"/>
            <w:noWrap/>
          </w:tcPr>
          <w:p w14:paraId="1D49ED4F"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804" w:type="dxa"/>
            <w:shd w:val="clear" w:color="auto" w:fill="C6EFCE"/>
            <w:noWrap/>
          </w:tcPr>
          <w:p w14:paraId="3821AF77"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567" w:type="dxa"/>
            <w:shd w:val="clear" w:color="auto" w:fill="C6EFCE"/>
            <w:noWrap/>
          </w:tcPr>
          <w:p w14:paraId="7F5531CE"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789" w:type="dxa"/>
            <w:shd w:val="clear" w:color="auto" w:fill="C6EFCE"/>
            <w:noWrap/>
          </w:tcPr>
          <w:p w14:paraId="0264BA47"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Q4</w:t>
            </w:r>
          </w:p>
        </w:tc>
        <w:tc>
          <w:tcPr>
            <w:tcW w:w="770" w:type="dxa"/>
            <w:shd w:val="clear" w:color="auto" w:fill="C6EFCE"/>
            <w:noWrap/>
          </w:tcPr>
          <w:p w14:paraId="6D4AF4CE"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2021</w:t>
            </w:r>
          </w:p>
        </w:tc>
        <w:tc>
          <w:tcPr>
            <w:tcW w:w="4824" w:type="dxa"/>
            <w:shd w:val="clear" w:color="auto" w:fill="C6EFCE"/>
            <w:noWrap/>
          </w:tcPr>
          <w:p w14:paraId="6F9E79D2"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 xml:space="preserve">A repository system for monitoring the implementation of the recovery and resilience facility shall be in place and operational before the submission of the first payment request. </w:t>
            </w:r>
          </w:p>
          <w:p w14:paraId="2DB46F4B" w14:textId="77777777" w:rsidR="00935FC8" w:rsidRPr="00BC6715" w:rsidRDefault="00935FC8" w:rsidP="00A7081A">
            <w:pPr>
              <w:spacing w:after="0" w:line="240" w:lineRule="auto"/>
              <w:rPr>
                <w:rFonts w:ascii="Times New Roman" w:eastAsia="Times New Roman" w:hAnsi="Times New Roman"/>
                <w:noProof/>
                <w:sz w:val="20"/>
                <w:szCs w:val="20"/>
                <w:lang w:eastAsia="en-GB"/>
              </w:rPr>
            </w:pPr>
          </w:p>
          <w:p w14:paraId="7E1E496A"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The system shall be based on existing systems and include, as a minimum, the following functionalities:</w:t>
            </w:r>
          </w:p>
          <w:p w14:paraId="6AF3580C"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(a) collection of data and monitoring of the achievement of milestones and targets;</w:t>
            </w:r>
          </w:p>
          <w:p w14:paraId="1485BDF9"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eastAsia="Times New Roman" w:hAnsi="Times New Roman"/>
                <w:noProof/>
                <w:sz w:val="20"/>
                <w:szCs w:val="20"/>
                <w:lang w:eastAsia="en-GB"/>
              </w:rPr>
              <w:t>(b) collect, store and ensure access to the data required by Article 22(2)(d) (i) to (iii) of the RRF Regulation.</w:t>
            </w:r>
          </w:p>
        </w:tc>
      </w:tr>
      <w:tr w:rsidR="00A7081A" w:rsidRPr="00BC6715" w14:paraId="61509326" w14:textId="77777777" w:rsidTr="000A1841">
        <w:trPr>
          <w:trHeight w:val="309"/>
          <w:jc w:val="center"/>
        </w:trPr>
        <w:tc>
          <w:tcPr>
            <w:tcW w:w="835" w:type="dxa"/>
            <w:shd w:val="clear" w:color="auto" w:fill="C6EFCE"/>
            <w:noWrap/>
          </w:tcPr>
          <w:p w14:paraId="4438AB6E" w14:textId="77777777" w:rsidR="00935FC8" w:rsidRPr="00BC6715" w:rsidRDefault="00935FC8" w:rsidP="00A7081A">
            <w:pPr>
              <w:spacing w:after="0" w:line="240" w:lineRule="auto"/>
              <w:jc w:val="center"/>
              <w:rPr>
                <w:rFonts w:ascii="Times New Roman" w:eastAsia="Times New Roman" w:hAnsi="Times New Roman"/>
                <w:noProof/>
                <w:sz w:val="20"/>
                <w:szCs w:val="20"/>
                <w:lang w:eastAsia="en-GB"/>
              </w:rPr>
            </w:pPr>
            <w:r w:rsidRPr="00BC6715">
              <w:rPr>
                <w:rFonts w:ascii="Times New Roman" w:hAnsi="Times New Roman"/>
                <w:noProof/>
                <w:sz w:val="20"/>
                <w:szCs w:val="20"/>
                <w:lang w:eastAsia="en-GB"/>
              </w:rPr>
              <w:t>72bis</w:t>
            </w:r>
          </w:p>
        </w:tc>
        <w:tc>
          <w:tcPr>
            <w:tcW w:w="1680" w:type="dxa"/>
            <w:shd w:val="clear" w:color="auto" w:fill="C6EFCE"/>
            <w:noWrap/>
          </w:tcPr>
          <w:p w14:paraId="4D156A76" w14:textId="59150516"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hAnsi="Times New Roman"/>
                <w:noProof/>
                <w:sz w:val="20"/>
                <w:szCs w:val="20"/>
                <w:lang w:eastAsia="en-GB"/>
              </w:rPr>
              <w:t>P2C2R2: Enhancing the effectiveness and transparency of RRP reforms and investments by developing information systems, administration and audit</w:t>
            </w:r>
          </w:p>
        </w:tc>
        <w:tc>
          <w:tcPr>
            <w:tcW w:w="1024" w:type="dxa"/>
            <w:shd w:val="clear" w:color="auto" w:fill="C6EFCE"/>
            <w:noWrap/>
          </w:tcPr>
          <w:p w14:paraId="49A1FFFE"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hAnsi="Times New Roman"/>
                <w:noProof/>
                <w:sz w:val="20"/>
                <w:szCs w:val="20"/>
                <w:lang w:eastAsia="en-GB"/>
              </w:rPr>
              <w:t>Milestone</w:t>
            </w:r>
          </w:p>
        </w:tc>
        <w:tc>
          <w:tcPr>
            <w:tcW w:w="1561" w:type="dxa"/>
            <w:shd w:val="clear" w:color="auto" w:fill="C6EFCE"/>
            <w:noWrap/>
          </w:tcPr>
          <w:p w14:paraId="34AC6FA0" w14:textId="410788B9" w:rsidR="00935FC8" w:rsidRPr="00BC6715" w:rsidRDefault="00935FC8" w:rsidP="00AE1489">
            <w:pPr>
              <w:spacing w:after="0" w:line="240" w:lineRule="auto"/>
              <w:rPr>
                <w:rFonts w:ascii="Times New Roman" w:eastAsia="Times New Roman" w:hAnsi="Times New Roman"/>
                <w:noProof/>
                <w:sz w:val="20"/>
                <w:szCs w:val="20"/>
                <w:lang w:eastAsia="en-GB"/>
              </w:rPr>
            </w:pPr>
            <w:r w:rsidRPr="00BC6715">
              <w:rPr>
                <w:rFonts w:ascii="Times New Roman" w:hAnsi="Times New Roman"/>
                <w:noProof/>
                <w:sz w:val="20"/>
                <w:szCs w:val="20"/>
                <w:lang w:eastAsia="en-GB"/>
              </w:rPr>
              <w:t>Entry into force of the Decree of the Ministry of Finance on risk management and</w:t>
            </w:r>
            <w:r w:rsidR="00EE67C5" w:rsidRPr="00BC6715">
              <w:rPr>
                <w:rFonts w:ascii="Times New Roman" w:hAnsi="Times New Roman"/>
                <w:noProof/>
                <w:sz w:val="20"/>
                <w:szCs w:val="20"/>
                <w:lang w:eastAsia="en-GB"/>
              </w:rPr>
              <w:t xml:space="preserve"> </w:t>
            </w:r>
            <w:r w:rsidRPr="00BC6715">
              <w:rPr>
                <w:rFonts w:ascii="Times New Roman" w:hAnsi="Times New Roman"/>
                <w:noProof/>
                <w:sz w:val="20"/>
                <w:szCs w:val="20"/>
                <w:lang w:eastAsia="en-GB"/>
              </w:rPr>
              <w:t>controls to ensure protection of the financial interests of the Union and compliance with applicable Union and national legislation and the publication of Guidelines of the coordinating body for the RRF implementing bodies</w:t>
            </w:r>
          </w:p>
        </w:tc>
        <w:tc>
          <w:tcPr>
            <w:tcW w:w="1735" w:type="dxa"/>
            <w:shd w:val="clear" w:color="auto" w:fill="C6EFCE"/>
            <w:noWrap/>
          </w:tcPr>
          <w:p w14:paraId="653591B3" w14:textId="7A2A3A32" w:rsidR="00935FC8" w:rsidRPr="00BC6715" w:rsidRDefault="00935FC8" w:rsidP="00377F11">
            <w:pPr>
              <w:spacing w:after="0" w:line="240" w:lineRule="auto"/>
              <w:rPr>
                <w:rFonts w:ascii="Times New Roman" w:eastAsia="Times New Roman" w:hAnsi="Times New Roman"/>
                <w:noProof/>
                <w:sz w:val="20"/>
                <w:szCs w:val="20"/>
                <w:lang w:eastAsia="en-GB"/>
              </w:rPr>
            </w:pPr>
            <w:r w:rsidRPr="00BC6715">
              <w:rPr>
                <w:rFonts w:ascii="Times New Roman" w:hAnsi="Times New Roman"/>
                <w:noProof/>
                <w:sz w:val="20"/>
                <w:szCs w:val="20"/>
                <w:lang w:eastAsia="en-GB"/>
              </w:rPr>
              <w:t>Provisions in the decree on risk management and controls indicating its entry into force and publication of the Guidelines of the coordinating body</w:t>
            </w:r>
          </w:p>
        </w:tc>
        <w:tc>
          <w:tcPr>
            <w:tcW w:w="720" w:type="dxa"/>
            <w:shd w:val="clear" w:color="auto" w:fill="C6EFCE"/>
            <w:noWrap/>
          </w:tcPr>
          <w:p w14:paraId="53236AF3"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804" w:type="dxa"/>
            <w:shd w:val="clear" w:color="auto" w:fill="C6EFCE"/>
            <w:noWrap/>
          </w:tcPr>
          <w:p w14:paraId="10CACDD6"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567" w:type="dxa"/>
            <w:shd w:val="clear" w:color="auto" w:fill="C6EFCE"/>
            <w:noWrap/>
          </w:tcPr>
          <w:p w14:paraId="4F475140"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p>
        </w:tc>
        <w:tc>
          <w:tcPr>
            <w:tcW w:w="789" w:type="dxa"/>
            <w:shd w:val="clear" w:color="auto" w:fill="C6EFCE"/>
            <w:noWrap/>
          </w:tcPr>
          <w:p w14:paraId="7E04DB2A"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hAnsi="Times New Roman"/>
                <w:noProof/>
                <w:sz w:val="20"/>
                <w:szCs w:val="20"/>
                <w:lang w:eastAsia="en-GB"/>
              </w:rPr>
              <w:t>Q1</w:t>
            </w:r>
          </w:p>
        </w:tc>
        <w:tc>
          <w:tcPr>
            <w:tcW w:w="770" w:type="dxa"/>
            <w:shd w:val="clear" w:color="auto" w:fill="C6EFCE"/>
            <w:noWrap/>
          </w:tcPr>
          <w:p w14:paraId="1B58CF13" w14:textId="77777777" w:rsidR="00935FC8" w:rsidRPr="00BC6715" w:rsidRDefault="00935FC8" w:rsidP="00B339EE">
            <w:pPr>
              <w:spacing w:after="0" w:line="240" w:lineRule="auto"/>
              <w:jc w:val="center"/>
              <w:rPr>
                <w:rFonts w:ascii="Times New Roman" w:eastAsia="Times New Roman" w:hAnsi="Times New Roman"/>
                <w:noProof/>
                <w:sz w:val="20"/>
                <w:szCs w:val="20"/>
                <w:lang w:eastAsia="en-GB"/>
              </w:rPr>
            </w:pPr>
            <w:r w:rsidRPr="00BC6715">
              <w:rPr>
                <w:rFonts w:ascii="Times New Roman" w:hAnsi="Times New Roman"/>
                <w:noProof/>
                <w:sz w:val="20"/>
                <w:szCs w:val="20"/>
                <w:lang w:eastAsia="en-GB"/>
              </w:rPr>
              <w:t>2024</w:t>
            </w:r>
          </w:p>
        </w:tc>
        <w:tc>
          <w:tcPr>
            <w:tcW w:w="4824" w:type="dxa"/>
            <w:shd w:val="clear" w:color="auto" w:fill="C6EFCE"/>
            <w:noWrap/>
          </w:tcPr>
          <w:p w14:paraId="390CC646" w14:textId="1670FBB4" w:rsidR="00935FC8" w:rsidRPr="00BC6715" w:rsidRDefault="00935FC8" w:rsidP="00A7081A">
            <w:pPr>
              <w:spacing w:after="0" w:line="240" w:lineRule="auto"/>
              <w:rPr>
                <w:rFonts w:ascii="Times New Roman" w:hAnsi="Times New Roman"/>
                <w:noProof/>
                <w:sz w:val="20"/>
                <w:szCs w:val="20"/>
                <w:lang w:eastAsia="en-GB"/>
              </w:rPr>
            </w:pPr>
            <w:r w:rsidRPr="00BC6715">
              <w:rPr>
                <w:rFonts w:ascii="Times New Roman" w:hAnsi="Times New Roman"/>
                <w:noProof/>
                <w:sz w:val="20"/>
                <w:szCs w:val="20"/>
                <w:lang w:eastAsia="en-GB"/>
              </w:rPr>
              <w:t>The decree of the Ministry of Finance on risk management and controls to ensure protection of the financial interests of the Union and compliance with applicable Union and national rules for the RRF shall enter into force. The decree shall be binding for all implementing bodies and provide a minimum standard for, respectively, the risk management and control activities performed by the implementing bodies under the RRF</w:t>
            </w:r>
          </w:p>
          <w:p w14:paraId="3A1F3203" w14:textId="77777777" w:rsidR="00935FC8" w:rsidRPr="00BC6715" w:rsidRDefault="00935FC8" w:rsidP="00A7081A">
            <w:pPr>
              <w:spacing w:after="0" w:line="240" w:lineRule="auto"/>
              <w:rPr>
                <w:rFonts w:ascii="Times New Roman" w:hAnsi="Times New Roman"/>
                <w:noProof/>
                <w:sz w:val="20"/>
                <w:szCs w:val="20"/>
                <w:lang w:eastAsia="en-GB"/>
              </w:rPr>
            </w:pPr>
          </w:p>
          <w:p w14:paraId="59CE7AF9" w14:textId="77777777" w:rsidR="00935FC8" w:rsidRPr="00BC6715" w:rsidRDefault="00935FC8" w:rsidP="00A7081A">
            <w:pPr>
              <w:spacing w:after="0" w:line="240" w:lineRule="auto"/>
              <w:rPr>
                <w:rFonts w:ascii="Times New Roman" w:eastAsia="Times New Roman" w:hAnsi="Times New Roman"/>
                <w:noProof/>
                <w:sz w:val="20"/>
                <w:szCs w:val="20"/>
                <w:lang w:eastAsia="en-GB"/>
              </w:rPr>
            </w:pPr>
            <w:r w:rsidRPr="00BC6715">
              <w:rPr>
                <w:rFonts w:ascii="Times New Roman" w:hAnsi="Times New Roman"/>
                <w:noProof/>
                <w:sz w:val="20"/>
                <w:szCs w:val="20"/>
                <w:lang w:eastAsia="en-GB"/>
              </w:rPr>
              <w:t>The coordinating body shall additionally issue guidelines on adequate risk management procedures to support the RRF, which shall include (i) assessing the key risks, factors and practises of fraud, conflict of interest and corruption and ensuring effective prevention, detection and correction of fraud and corruption; (ii) fraud risk assessment framework, which shall comply with the tool annexed to the Guidance Note on Fraud Risk Assessment and Effective and Proportionate Anti-Fraud Measures for ESIF 2014-2020, for their respective RRF measures. In addition, the guidelines shall include adequate procedures on a) verification of conflict of interests; b) verifications of double funding; c) verifications of the compliance with the EU and national rules; and d) the use of data for the purposes of detecting fraud, corruption, conflict of interest and double funding.</w:t>
            </w:r>
          </w:p>
        </w:tc>
      </w:tr>
    </w:tbl>
    <w:p w14:paraId="6B29F9D6" w14:textId="77777777" w:rsidR="00935FC8" w:rsidRPr="00B555B3" w:rsidRDefault="00935FC8">
      <w:pPr>
        <w:spacing w:before="120" w:after="120" w:line="240" w:lineRule="auto"/>
        <w:jc w:val="both"/>
        <w:rPr>
          <w:rFonts w:ascii="Times New Roman" w:hAnsi="Times New Roman"/>
          <w:noProof/>
          <w:sz w:val="24"/>
          <w:szCs w:val="24"/>
        </w:rPr>
      </w:pPr>
    </w:p>
    <w:p w14:paraId="44626933" w14:textId="77777777" w:rsidR="00935FC8" w:rsidRPr="00B555B3" w:rsidRDefault="00935FC8">
      <w:pPr>
        <w:spacing w:before="120" w:after="120" w:line="240" w:lineRule="auto"/>
        <w:ind w:left="709"/>
        <w:jc w:val="both"/>
        <w:rPr>
          <w:rFonts w:ascii="Times New Roman" w:hAnsi="Times New Roman"/>
          <w:noProof/>
          <w:sz w:val="24"/>
        </w:rPr>
        <w:sectPr w:rsidR="00935FC8" w:rsidRPr="00B555B3" w:rsidSect="00A7081A">
          <w:headerReference w:type="even" r:id="rId95"/>
          <w:headerReference w:type="default" r:id="rId96"/>
          <w:footerReference w:type="even" r:id="rId97"/>
          <w:footerReference w:type="default" r:id="rId98"/>
          <w:headerReference w:type="first" r:id="rId99"/>
          <w:footerReference w:type="first" r:id="rId100"/>
          <w:pgSz w:w="16839" w:h="11907" w:orient="landscape"/>
          <w:pgMar w:top="1134" w:right="1134" w:bottom="1134" w:left="1134" w:header="567" w:footer="567" w:gutter="0"/>
          <w:cols w:space="720"/>
          <w:docGrid w:linePitch="360"/>
        </w:sectPr>
      </w:pPr>
    </w:p>
    <w:p w14:paraId="0E6A9715" w14:textId="77777777" w:rsidR="00935FC8" w:rsidRPr="00B555B3" w:rsidRDefault="00935FC8">
      <w:pPr>
        <w:pStyle w:val="Heading4"/>
        <w:numPr>
          <w:ilvl w:val="0"/>
          <w:numId w:val="0"/>
        </w:numPr>
        <w:rPr>
          <w:b/>
          <w:noProof/>
        </w:rPr>
      </w:pPr>
      <w:r w:rsidRPr="00B555B3">
        <w:rPr>
          <w:b/>
          <w:noProof/>
        </w:rPr>
        <w:t>H. COMPONENT P2C3: DIGITAL SECURITY</w:t>
      </w:r>
    </w:p>
    <w:p w14:paraId="2A32B408" w14:textId="77777777"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 xml:space="preserve">This component of the Finnish recovery and resilience plan aims to help create a comprehensive framework for addressing cyber and information security issues, which is a prerequisite for a successful digital transition. Through a cyber-security development programme, Finland shall invest into civil cyber security skills. Finland also aims to reinforce anti-money laundering measures by creating a digital system that shall ensure better exchange of information between different actors involved in anti-money laundering tasks, both nationally and internationally, in conjunction with the necessary legislative amendments. </w:t>
      </w:r>
    </w:p>
    <w:p w14:paraId="7631619B" w14:textId="77777777"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The component contributes to addressing Country Specific Recommendation 4 2020 on ensuring effective supervision and enforcement of the anti-money laundering framework as well as to Country Specific Recommendation 3 2020 on focusing investments on the green and digital transition, in particular research and innovation.</w:t>
      </w:r>
    </w:p>
    <w:p w14:paraId="5F7A7B2E" w14:textId="77777777" w:rsidR="00935FC8" w:rsidRPr="00B555B3" w:rsidRDefault="00935FC8">
      <w:pPr>
        <w:spacing w:before="120" w:after="120" w:line="240" w:lineRule="auto"/>
        <w:jc w:val="both"/>
        <w:rPr>
          <w:rFonts w:ascii="Times New Roman" w:eastAsia="Times New Roman" w:hAnsi="Times New Roman"/>
          <w:noProof/>
        </w:rPr>
      </w:pPr>
      <w:r w:rsidRPr="00B555B3">
        <w:rPr>
          <w:rFonts w:ascii="Times New Roman" w:eastAsia="Times New Roman" w:hAnsi="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8D487EC" w14:textId="77777777" w:rsidR="00935FC8" w:rsidRPr="00B555B3" w:rsidRDefault="00935FC8">
      <w:pPr>
        <w:spacing w:before="120" w:after="120" w:line="240" w:lineRule="auto"/>
        <w:jc w:val="both"/>
        <w:rPr>
          <w:rFonts w:ascii="Times New Roman" w:hAnsi="Times New Roman"/>
          <w:b/>
          <w:noProof/>
          <w:sz w:val="24"/>
          <w:u w:val="single"/>
        </w:rPr>
      </w:pPr>
      <w:r w:rsidRPr="00B555B3">
        <w:rPr>
          <w:rFonts w:ascii="Times New Roman" w:hAnsi="Times New Roman"/>
          <w:b/>
          <w:noProof/>
          <w:sz w:val="24"/>
          <w:u w:val="single"/>
        </w:rPr>
        <w:t xml:space="preserve">H.1. </w:t>
      </w:r>
      <w:r w:rsidRPr="00B555B3">
        <w:rPr>
          <w:rFonts w:ascii="Times New Roman" w:hAnsi="Times New Roman"/>
          <w:b/>
          <w:noProof/>
          <w:sz w:val="24"/>
          <w:u w:val="single"/>
        </w:rPr>
        <w:tab/>
        <w:t>Description of the reforms and investments for non-repayable financial support</w:t>
      </w:r>
    </w:p>
    <w:p w14:paraId="0C6F5E60" w14:textId="77777777" w:rsidR="00935FC8" w:rsidRPr="00D0136A" w:rsidRDefault="00935FC8">
      <w:pPr>
        <w:spacing w:before="120" w:after="120" w:line="240" w:lineRule="auto"/>
        <w:jc w:val="both"/>
        <w:rPr>
          <w:rFonts w:ascii="Times New Roman" w:hAnsi="Times New Roman"/>
          <w:noProof/>
          <w:sz w:val="24"/>
          <w:szCs w:val="24"/>
          <w:u w:val="single"/>
          <w:lang w:eastAsia="en-GB"/>
        </w:rPr>
      </w:pPr>
      <w:r w:rsidRPr="00D0136A">
        <w:rPr>
          <w:rFonts w:ascii="Times New Roman" w:hAnsi="Times New Roman"/>
          <w:noProof/>
          <w:sz w:val="24"/>
          <w:szCs w:val="24"/>
          <w:u w:val="single"/>
        </w:rPr>
        <w:t xml:space="preserve">Reform 1 (P2C3R1): </w:t>
      </w:r>
      <w:r w:rsidRPr="00D0136A">
        <w:rPr>
          <w:rFonts w:ascii="Times New Roman" w:hAnsi="Times New Roman"/>
          <w:noProof/>
          <w:sz w:val="24"/>
          <w:szCs w:val="24"/>
          <w:u w:val="single"/>
          <w:lang w:eastAsia="en-GB"/>
        </w:rPr>
        <w:t>Ensuring effective supervision and enforcement of the prevention of money laundering</w:t>
      </w:r>
      <w:r w:rsidRPr="00D0136A">
        <w:rPr>
          <w:rFonts w:ascii="Times New Roman" w:hAnsi="Times New Roman"/>
          <w:noProof/>
          <w:sz w:val="24"/>
          <w:u w:val="single"/>
        </w:rPr>
        <w:softHyphen/>
      </w:r>
    </w:p>
    <w:p w14:paraId="2784433F" w14:textId="77777777"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 xml:space="preserve">The objective of the reform is to facilitate the collection and exchange of information of each competent authority for the prevention and detection of money-laundering, including through the automation of data processing and analysis. The measure consists </w:t>
      </w:r>
      <w:r w:rsidRPr="00D0136A">
        <w:rPr>
          <w:rFonts w:ascii="Times New Roman" w:hAnsi="Times New Roman"/>
          <w:noProof/>
          <w:sz w:val="24"/>
          <w:szCs w:val="24"/>
        </w:rPr>
        <w:t xml:space="preserve">of entry into force of legal acts, </w:t>
      </w:r>
      <w:r w:rsidRPr="006E0BC1">
        <w:rPr>
          <w:rFonts w:ascii="Times New Roman" w:hAnsi="Times New Roman"/>
          <w:noProof/>
          <w:sz w:val="24"/>
          <w:szCs w:val="24"/>
        </w:rPr>
        <w:t>and a report on</w:t>
      </w:r>
      <w:r w:rsidRPr="00B555B3">
        <w:rPr>
          <w:rFonts w:ascii="Times New Roman" w:hAnsi="Times New Roman"/>
          <w:noProof/>
          <w:sz w:val="24"/>
          <w:szCs w:val="24"/>
        </w:rPr>
        <w:t xml:space="preserve"> increasing the degree of automation in data processing </w:t>
      </w:r>
      <w:r w:rsidRPr="002C1C02">
        <w:rPr>
          <w:rFonts w:ascii="Times New Roman" w:hAnsi="Times New Roman"/>
          <w:noProof/>
          <w:sz w:val="24"/>
          <w:szCs w:val="24"/>
        </w:rPr>
        <w:t>and exchange of each authority.</w:t>
      </w:r>
      <w:r w:rsidRPr="00B555B3">
        <w:rPr>
          <w:rFonts w:ascii="Times New Roman" w:hAnsi="Times New Roman"/>
          <w:noProof/>
          <w:sz w:val="24"/>
          <w:szCs w:val="24"/>
        </w:rPr>
        <w:t xml:space="preserve"> </w:t>
      </w:r>
    </w:p>
    <w:p w14:paraId="18148E79" w14:textId="77777777" w:rsidR="00935FC8" w:rsidRPr="00B555B3"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1 (P2C3I1): Civilian cybersecurity skills</w:t>
      </w:r>
    </w:p>
    <w:p w14:paraId="67AA6F7A" w14:textId="77777777"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 xml:space="preserve">The objective of the investment is to increase basic cybersecurity skills of the general population to ensure that citizens can use digital services safely and identify the risks associated with the use of different devices, products and </w:t>
      </w:r>
      <w:r w:rsidRPr="008369FE">
        <w:rPr>
          <w:rFonts w:ascii="Times New Roman" w:hAnsi="Times New Roman"/>
          <w:noProof/>
          <w:sz w:val="24"/>
          <w:szCs w:val="24"/>
        </w:rPr>
        <w:t xml:space="preserve">services. </w:t>
      </w:r>
      <w:r w:rsidRPr="00D0136A">
        <w:rPr>
          <w:rFonts w:ascii="Times New Roman" w:hAnsi="Times New Roman"/>
          <w:noProof/>
          <w:sz w:val="24"/>
          <w:szCs w:val="24"/>
        </w:rPr>
        <w:t>The investment consists of a research report on how EU Member States train citizens in basic cybersecurity, and making publicly available a digital platform for cybersecurity training.</w:t>
      </w:r>
      <w:r w:rsidRPr="00B555B3">
        <w:rPr>
          <w:rFonts w:ascii="Times New Roman" w:hAnsi="Times New Roman"/>
          <w:noProof/>
          <w:sz w:val="24"/>
          <w:szCs w:val="24"/>
        </w:rPr>
        <w:t xml:space="preserve"> </w:t>
      </w:r>
    </w:p>
    <w:p w14:paraId="10838C04" w14:textId="77777777" w:rsidR="00935FC8" w:rsidRPr="00B555B3"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2 (P2C3I2): Cybersecurity exercises</w:t>
      </w:r>
    </w:p>
    <w:p w14:paraId="7305F7B7" w14:textId="0F3C0EA0" w:rsidR="00FF5517" w:rsidRDefault="00935FC8" w:rsidP="00B339EE">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The aim of this investment is to provide cyber security exercises, to develop the society’s resilience and preparedness for cyber security incidents</w:t>
      </w:r>
      <w:r w:rsidRPr="00B555B3" w:rsidDel="008C1EB9">
        <w:rPr>
          <w:rFonts w:ascii="Times New Roman" w:hAnsi="Times New Roman"/>
          <w:noProof/>
          <w:sz w:val="24"/>
          <w:szCs w:val="24"/>
        </w:rPr>
        <w:t>.</w:t>
      </w:r>
      <w:r>
        <w:rPr>
          <w:rFonts w:ascii="Times New Roman" w:hAnsi="Times New Roman"/>
          <w:noProof/>
          <w:sz w:val="24"/>
          <w:szCs w:val="24"/>
        </w:rPr>
        <w:t xml:space="preserve"> </w:t>
      </w:r>
      <w:r w:rsidRPr="00B555B3">
        <w:rPr>
          <w:rFonts w:ascii="Times New Roman" w:hAnsi="Times New Roman"/>
          <w:noProof/>
          <w:sz w:val="24"/>
          <w:szCs w:val="24"/>
        </w:rPr>
        <w:t xml:space="preserve">This measure consists of the provision of 19 </w:t>
      </w:r>
      <w:r>
        <w:rPr>
          <w:rFonts w:ascii="Times New Roman" w:hAnsi="Times New Roman"/>
          <w:noProof/>
          <w:sz w:val="24"/>
          <w:szCs w:val="24"/>
        </w:rPr>
        <w:t>cybersecurity</w:t>
      </w:r>
      <w:r w:rsidRPr="00E73E13">
        <w:rPr>
          <w:rFonts w:ascii="Times New Roman" w:hAnsi="Times New Roman"/>
          <w:noProof/>
          <w:sz w:val="24"/>
          <w:szCs w:val="24"/>
        </w:rPr>
        <w:t xml:space="preserve"> exercises</w:t>
      </w:r>
      <w:r>
        <w:rPr>
          <w:rFonts w:ascii="Times New Roman" w:hAnsi="Times New Roman"/>
          <w:noProof/>
          <w:sz w:val="24"/>
          <w:szCs w:val="24"/>
        </w:rPr>
        <w:t>.</w:t>
      </w:r>
    </w:p>
    <w:p w14:paraId="0E09C94C" w14:textId="5B1BC61A" w:rsidR="00FF5517" w:rsidRDefault="00FF5517">
      <w:pPr>
        <w:spacing w:after="0" w:line="240" w:lineRule="auto"/>
        <w:rPr>
          <w:rFonts w:ascii="Times New Roman" w:hAnsi="Times New Roman"/>
          <w:noProof/>
          <w:sz w:val="24"/>
          <w:szCs w:val="24"/>
        </w:rPr>
      </w:pPr>
    </w:p>
    <w:p w14:paraId="16D5481C" w14:textId="77777777" w:rsidR="00935FC8" w:rsidRPr="00B339EE" w:rsidRDefault="00935FC8" w:rsidP="00B339EE">
      <w:pPr>
        <w:spacing w:before="120" w:after="120" w:line="240" w:lineRule="auto"/>
        <w:jc w:val="both"/>
        <w:rPr>
          <w:rFonts w:ascii="Times New Roman" w:hAnsi="Times New Roman"/>
          <w:noProof/>
          <w:sz w:val="24"/>
          <w:szCs w:val="24"/>
        </w:rPr>
        <w:sectPr w:rsidR="00935FC8" w:rsidRPr="00B339EE" w:rsidSect="00A7081A">
          <w:headerReference w:type="even" r:id="rId101"/>
          <w:headerReference w:type="default" r:id="rId102"/>
          <w:footerReference w:type="even" r:id="rId103"/>
          <w:footerReference w:type="default" r:id="rId104"/>
          <w:headerReference w:type="first" r:id="rId105"/>
          <w:footerReference w:type="first" r:id="rId106"/>
          <w:pgSz w:w="11907" w:h="16839" w:code="9"/>
          <w:pgMar w:top="1134" w:right="1134" w:bottom="1134" w:left="1134" w:header="567" w:footer="567" w:gutter="0"/>
          <w:cols w:space="720"/>
          <w:docGrid w:linePitch="360"/>
        </w:sectPr>
      </w:pPr>
    </w:p>
    <w:p w14:paraId="46FD1B3F" w14:textId="37629A5D" w:rsidR="00935FC8" w:rsidRPr="00B555B3" w:rsidRDefault="00935FC8">
      <w:pPr>
        <w:spacing w:before="120" w:after="120" w:line="240" w:lineRule="auto"/>
        <w:jc w:val="both"/>
        <w:rPr>
          <w:rFonts w:ascii="Times New Roman" w:hAnsi="Times New Roman"/>
          <w:b/>
          <w:noProof/>
          <w:sz w:val="24"/>
          <w:u w:val="single"/>
        </w:rPr>
      </w:pPr>
      <w:r w:rsidRPr="00B555B3">
        <w:rPr>
          <w:rFonts w:ascii="Times New Roman" w:hAnsi="Times New Roman"/>
          <w:b/>
          <w:noProof/>
          <w:sz w:val="24"/>
          <w:u w:val="single"/>
        </w:rPr>
        <w:t xml:space="preserve">H.2. </w:t>
      </w:r>
      <w:r w:rsidRPr="00B555B3">
        <w:rPr>
          <w:rFonts w:ascii="Times New Roman" w:hAnsi="Times New Roman"/>
          <w:b/>
          <w:noProof/>
          <w:sz w:val="24"/>
          <w:u w:val="single"/>
        </w:rPr>
        <w:tab/>
        <w:t>Milestones, targets, indicators, and timetable for monitoring and implementation for non-repayable financial support</w:t>
      </w:r>
    </w:p>
    <w:tbl>
      <w:tblPr>
        <w:tblW w:w="152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46"/>
        <w:gridCol w:w="1309"/>
        <w:gridCol w:w="1007"/>
        <w:gridCol w:w="1511"/>
        <w:gridCol w:w="1701"/>
        <w:gridCol w:w="709"/>
        <w:gridCol w:w="850"/>
        <w:gridCol w:w="567"/>
        <w:gridCol w:w="1196"/>
        <w:gridCol w:w="567"/>
        <w:gridCol w:w="4961"/>
      </w:tblGrid>
      <w:tr w:rsidR="00FF5517" w:rsidRPr="00D44988" w14:paraId="26FCD46E" w14:textId="77777777" w:rsidTr="00BC6715">
        <w:trPr>
          <w:trHeight w:val="927"/>
          <w:tblHeader/>
          <w:jc w:val="center"/>
        </w:trPr>
        <w:tc>
          <w:tcPr>
            <w:tcW w:w="846" w:type="dxa"/>
            <w:vMerge w:val="restart"/>
            <w:shd w:val="clear" w:color="auto" w:fill="BDD7EE"/>
            <w:vAlign w:val="center"/>
            <w:hideMark/>
          </w:tcPr>
          <w:p w14:paraId="7DD01E4B" w14:textId="77777777" w:rsidR="00935FC8" w:rsidRPr="00D44988" w:rsidRDefault="00935FC8">
            <w:pPr>
              <w:spacing w:after="0" w:line="240" w:lineRule="auto"/>
              <w:jc w:val="center"/>
              <w:rPr>
                <w:rFonts w:ascii="Times New Roman" w:eastAsia="Times New Roman" w:hAnsi="Times New Roman"/>
                <w:b/>
                <w:noProof/>
                <w:sz w:val="20"/>
                <w:szCs w:val="20"/>
                <w:lang w:eastAsia="en-GB"/>
              </w:rPr>
            </w:pPr>
            <w:r w:rsidRPr="00D44988">
              <w:rPr>
                <w:rFonts w:ascii="Times New Roman" w:eastAsia="Times New Roman" w:hAnsi="Times New Roman"/>
                <w:b/>
                <w:bCs/>
                <w:noProof/>
                <w:sz w:val="20"/>
                <w:szCs w:val="20"/>
                <w:lang w:eastAsia="en-GB"/>
              </w:rPr>
              <w:t>Number</w:t>
            </w:r>
          </w:p>
        </w:tc>
        <w:tc>
          <w:tcPr>
            <w:tcW w:w="1309" w:type="dxa"/>
            <w:vMerge w:val="restart"/>
            <w:shd w:val="clear" w:color="auto" w:fill="BDD7EE"/>
            <w:vAlign w:val="center"/>
            <w:hideMark/>
          </w:tcPr>
          <w:p w14:paraId="34272240" w14:textId="24457554" w:rsidR="00935FC8" w:rsidRPr="00D44988" w:rsidRDefault="00935FC8">
            <w:pPr>
              <w:spacing w:after="0" w:line="240" w:lineRule="auto"/>
              <w:jc w:val="center"/>
              <w:rPr>
                <w:rFonts w:ascii="Times New Roman" w:eastAsia="Times New Roman" w:hAnsi="Times New Roman"/>
                <w:b/>
                <w:noProof/>
                <w:sz w:val="20"/>
                <w:szCs w:val="20"/>
                <w:lang w:eastAsia="en-GB"/>
              </w:rPr>
            </w:pPr>
            <w:r w:rsidRPr="00D44988">
              <w:rPr>
                <w:rFonts w:ascii="Times New Roman" w:eastAsia="Times New Roman" w:hAnsi="Times New Roman"/>
                <w:b/>
                <w:bCs/>
                <w:noProof/>
                <w:sz w:val="20"/>
                <w:szCs w:val="20"/>
                <w:lang w:eastAsia="en-GB"/>
              </w:rPr>
              <w:t>Measure</w:t>
            </w:r>
          </w:p>
        </w:tc>
        <w:tc>
          <w:tcPr>
            <w:tcW w:w="1007" w:type="dxa"/>
            <w:vMerge w:val="restart"/>
            <w:shd w:val="clear" w:color="auto" w:fill="BDD7EE"/>
            <w:vAlign w:val="center"/>
            <w:hideMark/>
          </w:tcPr>
          <w:p w14:paraId="5C59C698" w14:textId="77777777" w:rsidR="00935FC8" w:rsidRPr="00D44988" w:rsidRDefault="00935FC8">
            <w:pPr>
              <w:spacing w:after="0" w:line="240" w:lineRule="auto"/>
              <w:jc w:val="center"/>
              <w:rPr>
                <w:rFonts w:ascii="Times New Roman" w:eastAsia="Times New Roman" w:hAnsi="Times New Roman"/>
                <w:b/>
                <w:noProof/>
                <w:sz w:val="20"/>
                <w:szCs w:val="20"/>
                <w:lang w:eastAsia="en-GB"/>
              </w:rPr>
            </w:pPr>
            <w:r w:rsidRPr="00D44988">
              <w:rPr>
                <w:rFonts w:ascii="Times New Roman" w:eastAsia="Times New Roman" w:hAnsi="Times New Roman"/>
                <w:b/>
                <w:bCs/>
                <w:noProof/>
                <w:sz w:val="20"/>
                <w:szCs w:val="20"/>
                <w:lang w:eastAsia="en-GB"/>
              </w:rPr>
              <w:t>Milestone / Target</w:t>
            </w:r>
          </w:p>
        </w:tc>
        <w:tc>
          <w:tcPr>
            <w:tcW w:w="1511" w:type="dxa"/>
            <w:vMerge w:val="restart"/>
            <w:shd w:val="clear" w:color="auto" w:fill="BDD7EE"/>
            <w:vAlign w:val="center"/>
            <w:hideMark/>
          </w:tcPr>
          <w:p w14:paraId="7B248AC9" w14:textId="77777777" w:rsidR="00935FC8" w:rsidRPr="00D44988" w:rsidRDefault="00935FC8">
            <w:pPr>
              <w:spacing w:after="0" w:line="240" w:lineRule="auto"/>
              <w:jc w:val="center"/>
              <w:rPr>
                <w:rFonts w:ascii="Times New Roman" w:eastAsia="Times New Roman" w:hAnsi="Times New Roman"/>
                <w:b/>
                <w:noProof/>
                <w:sz w:val="20"/>
                <w:szCs w:val="20"/>
                <w:lang w:eastAsia="en-GB"/>
              </w:rPr>
            </w:pPr>
            <w:r w:rsidRPr="00D44988">
              <w:rPr>
                <w:rFonts w:ascii="Times New Roman" w:eastAsia="Times New Roman" w:hAnsi="Times New Roman"/>
                <w:b/>
                <w:bCs/>
                <w:noProof/>
                <w:sz w:val="20"/>
                <w:szCs w:val="20"/>
                <w:lang w:eastAsia="en-GB"/>
              </w:rPr>
              <w:t>Name</w:t>
            </w:r>
          </w:p>
        </w:tc>
        <w:tc>
          <w:tcPr>
            <w:tcW w:w="1701" w:type="dxa"/>
            <w:vMerge w:val="restart"/>
            <w:shd w:val="clear" w:color="auto" w:fill="BDD7EE"/>
            <w:vAlign w:val="center"/>
            <w:hideMark/>
          </w:tcPr>
          <w:p w14:paraId="43ED2B7E" w14:textId="77777777" w:rsidR="00935FC8" w:rsidRPr="00D44988" w:rsidRDefault="00935FC8">
            <w:pPr>
              <w:spacing w:after="0" w:line="240" w:lineRule="auto"/>
              <w:jc w:val="center"/>
              <w:rPr>
                <w:rFonts w:ascii="Times New Roman" w:eastAsia="Times New Roman" w:hAnsi="Times New Roman"/>
                <w:b/>
                <w:noProof/>
                <w:sz w:val="20"/>
                <w:szCs w:val="20"/>
                <w:lang w:eastAsia="en-GB"/>
              </w:rPr>
            </w:pPr>
            <w:r w:rsidRPr="00D44988">
              <w:rPr>
                <w:rFonts w:ascii="Times New Roman" w:eastAsia="Times New Roman" w:hAnsi="Times New Roman"/>
                <w:b/>
                <w:bCs/>
                <w:noProof/>
                <w:sz w:val="20"/>
                <w:szCs w:val="20"/>
                <w:lang w:eastAsia="en-GB"/>
              </w:rPr>
              <w:t>Qualitative indicators</w:t>
            </w:r>
            <w:r w:rsidRPr="00D44988">
              <w:rPr>
                <w:rFonts w:ascii="Times New Roman" w:eastAsia="Times New Roman" w:hAnsi="Times New Roman"/>
                <w:b/>
                <w:bCs/>
                <w:noProof/>
                <w:sz w:val="20"/>
                <w:szCs w:val="20"/>
                <w:lang w:eastAsia="en-GB"/>
              </w:rPr>
              <w:br/>
              <w:t>(for milestones)</w:t>
            </w:r>
          </w:p>
        </w:tc>
        <w:tc>
          <w:tcPr>
            <w:tcW w:w="2126" w:type="dxa"/>
            <w:gridSpan w:val="3"/>
            <w:shd w:val="clear" w:color="auto" w:fill="BDD7EE"/>
            <w:vAlign w:val="center"/>
            <w:hideMark/>
          </w:tcPr>
          <w:p w14:paraId="7CAA5EF4" w14:textId="77777777" w:rsidR="00935FC8" w:rsidRPr="00D44988" w:rsidRDefault="00935FC8">
            <w:pPr>
              <w:spacing w:after="0" w:line="240" w:lineRule="auto"/>
              <w:jc w:val="center"/>
              <w:rPr>
                <w:rFonts w:ascii="Times New Roman" w:eastAsia="Times New Roman" w:hAnsi="Times New Roman"/>
                <w:b/>
                <w:bCs/>
                <w:noProof/>
                <w:sz w:val="20"/>
                <w:szCs w:val="20"/>
                <w:lang w:eastAsia="en-GB"/>
              </w:rPr>
            </w:pPr>
            <w:r w:rsidRPr="00D44988">
              <w:rPr>
                <w:rFonts w:ascii="Times New Roman" w:eastAsia="Times New Roman" w:hAnsi="Times New Roman"/>
                <w:b/>
                <w:bCs/>
                <w:noProof/>
                <w:sz w:val="20"/>
                <w:szCs w:val="20"/>
                <w:lang w:eastAsia="en-GB"/>
              </w:rPr>
              <w:t>Quantitative indicators (for targets)</w:t>
            </w:r>
          </w:p>
        </w:tc>
        <w:tc>
          <w:tcPr>
            <w:tcW w:w="1763" w:type="dxa"/>
            <w:gridSpan w:val="2"/>
            <w:shd w:val="clear" w:color="auto" w:fill="BDD7EE"/>
            <w:vAlign w:val="center"/>
            <w:hideMark/>
          </w:tcPr>
          <w:p w14:paraId="2F09C335" w14:textId="77777777" w:rsidR="00935FC8" w:rsidRPr="00D44988" w:rsidRDefault="00935FC8">
            <w:pPr>
              <w:spacing w:after="0" w:line="240" w:lineRule="auto"/>
              <w:jc w:val="center"/>
              <w:rPr>
                <w:rFonts w:ascii="Times New Roman" w:eastAsia="Times New Roman" w:hAnsi="Times New Roman"/>
                <w:b/>
                <w:bCs/>
                <w:noProof/>
                <w:sz w:val="20"/>
                <w:szCs w:val="20"/>
                <w:lang w:eastAsia="en-GB"/>
              </w:rPr>
            </w:pPr>
            <w:r w:rsidRPr="00D44988">
              <w:rPr>
                <w:rFonts w:ascii="Times New Roman" w:eastAsia="Times New Roman" w:hAnsi="Times New Roman"/>
                <w:b/>
                <w:bCs/>
                <w:noProof/>
                <w:sz w:val="20"/>
                <w:szCs w:val="20"/>
                <w:lang w:eastAsia="en-GB"/>
              </w:rPr>
              <w:t xml:space="preserve">Indicative timeline for completion </w:t>
            </w:r>
          </w:p>
        </w:tc>
        <w:tc>
          <w:tcPr>
            <w:tcW w:w="4961" w:type="dxa"/>
            <w:vMerge w:val="restart"/>
            <w:shd w:val="clear" w:color="auto" w:fill="BDD7EE"/>
            <w:vAlign w:val="center"/>
            <w:hideMark/>
          </w:tcPr>
          <w:p w14:paraId="249298CE" w14:textId="77777777" w:rsidR="00935FC8" w:rsidRPr="00D44988" w:rsidRDefault="00935FC8">
            <w:pPr>
              <w:spacing w:after="0" w:line="240" w:lineRule="auto"/>
              <w:jc w:val="center"/>
              <w:rPr>
                <w:rFonts w:ascii="Times New Roman" w:eastAsia="Times New Roman" w:hAnsi="Times New Roman"/>
                <w:b/>
                <w:bCs/>
                <w:noProof/>
                <w:sz w:val="20"/>
                <w:szCs w:val="20"/>
                <w:lang w:eastAsia="en-GB"/>
              </w:rPr>
            </w:pPr>
            <w:r w:rsidRPr="00D44988">
              <w:rPr>
                <w:rFonts w:ascii="Times New Roman" w:eastAsia="Times New Roman" w:hAnsi="Times New Roman"/>
                <w:b/>
                <w:bCs/>
                <w:noProof/>
                <w:sz w:val="20"/>
                <w:szCs w:val="20"/>
                <w:lang w:eastAsia="en-GB"/>
              </w:rPr>
              <w:t>Description of each milestone and target</w:t>
            </w:r>
          </w:p>
        </w:tc>
      </w:tr>
      <w:tr w:rsidR="00B339EE" w:rsidRPr="00D44988" w14:paraId="0AA242AC" w14:textId="77777777" w:rsidTr="00BC6715">
        <w:trPr>
          <w:trHeight w:val="612"/>
          <w:tblHeader/>
          <w:jc w:val="center"/>
        </w:trPr>
        <w:tc>
          <w:tcPr>
            <w:tcW w:w="846" w:type="dxa"/>
            <w:vMerge/>
            <w:vAlign w:val="center"/>
            <w:hideMark/>
          </w:tcPr>
          <w:p w14:paraId="4C6E3F46" w14:textId="77777777" w:rsidR="00935FC8" w:rsidRPr="00D44988" w:rsidRDefault="00935FC8">
            <w:pPr>
              <w:spacing w:after="0" w:line="240" w:lineRule="auto"/>
              <w:rPr>
                <w:rFonts w:ascii="Times New Roman" w:eastAsia="Times New Roman" w:hAnsi="Times New Roman"/>
                <w:b/>
                <w:bCs/>
                <w:noProof/>
                <w:sz w:val="20"/>
                <w:szCs w:val="20"/>
                <w:lang w:eastAsia="en-GB"/>
              </w:rPr>
            </w:pPr>
          </w:p>
        </w:tc>
        <w:tc>
          <w:tcPr>
            <w:tcW w:w="1309" w:type="dxa"/>
            <w:vMerge/>
            <w:vAlign w:val="center"/>
            <w:hideMark/>
          </w:tcPr>
          <w:p w14:paraId="3C7E4CED" w14:textId="77777777" w:rsidR="00935FC8" w:rsidRPr="00D44988" w:rsidRDefault="00935FC8">
            <w:pPr>
              <w:spacing w:after="0" w:line="240" w:lineRule="auto"/>
              <w:rPr>
                <w:rFonts w:ascii="Times New Roman" w:eastAsia="Times New Roman" w:hAnsi="Times New Roman"/>
                <w:b/>
                <w:bCs/>
                <w:noProof/>
                <w:sz w:val="20"/>
                <w:szCs w:val="20"/>
                <w:lang w:eastAsia="en-GB"/>
              </w:rPr>
            </w:pPr>
          </w:p>
        </w:tc>
        <w:tc>
          <w:tcPr>
            <w:tcW w:w="1007" w:type="dxa"/>
            <w:vMerge/>
            <w:vAlign w:val="center"/>
            <w:hideMark/>
          </w:tcPr>
          <w:p w14:paraId="5459FA89" w14:textId="77777777" w:rsidR="00935FC8" w:rsidRPr="00D44988" w:rsidRDefault="00935FC8">
            <w:pPr>
              <w:spacing w:after="0" w:line="240" w:lineRule="auto"/>
              <w:rPr>
                <w:rFonts w:ascii="Times New Roman" w:eastAsia="Times New Roman" w:hAnsi="Times New Roman"/>
                <w:b/>
                <w:bCs/>
                <w:noProof/>
                <w:sz w:val="20"/>
                <w:szCs w:val="20"/>
                <w:lang w:eastAsia="en-GB"/>
              </w:rPr>
            </w:pPr>
          </w:p>
        </w:tc>
        <w:tc>
          <w:tcPr>
            <w:tcW w:w="1511" w:type="dxa"/>
            <w:vMerge/>
            <w:vAlign w:val="center"/>
            <w:hideMark/>
          </w:tcPr>
          <w:p w14:paraId="1AED3CD4" w14:textId="77777777" w:rsidR="00935FC8" w:rsidRPr="00D44988" w:rsidRDefault="00935FC8">
            <w:pPr>
              <w:spacing w:after="0" w:line="240" w:lineRule="auto"/>
              <w:rPr>
                <w:rFonts w:ascii="Times New Roman" w:eastAsia="Times New Roman" w:hAnsi="Times New Roman"/>
                <w:b/>
                <w:bCs/>
                <w:noProof/>
                <w:sz w:val="20"/>
                <w:szCs w:val="20"/>
                <w:lang w:eastAsia="en-GB"/>
              </w:rPr>
            </w:pPr>
          </w:p>
        </w:tc>
        <w:tc>
          <w:tcPr>
            <w:tcW w:w="1701" w:type="dxa"/>
            <w:vMerge/>
            <w:vAlign w:val="center"/>
            <w:hideMark/>
          </w:tcPr>
          <w:p w14:paraId="1A434970" w14:textId="77777777" w:rsidR="00935FC8" w:rsidRPr="00D44988" w:rsidRDefault="00935FC8">
            <w:pPr>
              <w:spacing w:after="0" w:line="240" w:lineRule="auto"/>
              <w:rPr>
                <w:rFonts w:ascii="Times New Roman" w:eastAsia="Times New Roman" w:hAnsi="Times New Roman"/>
                <w:b/>
                <w:bCs/>
                <w:noProof/>
                <w:sz w:val="20"/>
                <w:szCs w:val="20"/>
                <w:lang w:eastAsia="en-GB"/>
              </w:rPr>
            </w:pPr>
          </w:p>
        </w:tc>
        <w:tc>
          <w:tcPr>
            <w:tcW w:w="709" w:type="dxa"/>
            <w:shd w:val="clear" w:color="auto" w:fill="BDD7EE"/>
            <w:vAlign w:val="center"/>
            <w:hideMark/>
          </w:tcPr>
          <w:p w14:paraId="22651EE9" w14:textId="424D9D37" w:rsidR="00935FC8" w:rsidRPr="00D44988" w:rsidRDefault="00935FC8" w:rsidP="00B339EE">
            <w:pPr>
              <w:spacing w:after="0" w:line="240" w:lineRule="auto"/>
              <w:jc w:val="center"/>
              <w:rPr>
                <w:rFonts w:ascii="Times New Roman" w:eastAsia="Times New Roman" w:hAnsi="Times New Roman"/>
                <w:b/>
                <w:noProof/>
                <w:sz w:val="20"/>
                <w:szCs w:val="20"/>
                <w:lang w:eastAsia="en-GB"/>
              </w:rPr>
            </w:pPr>
            <w:r w:rsidRPr="00D44988">
              <w:rPr>
                <w:rFonts w:ascii="Times New Roman" w:eastAsia="Times New Roman" w:hAnsi="Times New Roman"/>
                <w:b/>
                <w:bCs/>
                <w:noProof/>
                <w:sz w:val="20"/>
                <w:szCs w:val="20"/>
                <w:lang w:eastAsia="en-GB"/>
              </w:rPr>
              <w:t>Unit</w:t>
            </w:r>
          </w:p>
        </w:tc>
        <w:tc>
          <w:tcPr>
            <w:tcW w:w="850" w:type="dxa"/>
            <w:shd w:val="clear" w:color="auto" w:fill="BDD7EE"/>
            <w:vAlign w:val="center"/>
            <w:hideMark/>
          </w:tcPr>
          <w:p w14:paraId="1C5FA697" w14:textId="36951C79" w:rsidR="00935FC8" w:rsidRPr="00D44988" w:rsidRDefault="00935FC8" w:rsidP="00B339EE">
            <w:pPr>
              <w:spacing w:after="0" w:line="240" w:lineRule="auto"/>
              <w:jc w:val="center"/>
              <w:rPr>
                <w:rFonts w:ascii="Times New Roman" w:eastAsia="Times New Roman" w:hAnsi="Times New Roman"/>
                <w:b/>
                <w:noProof/>
                <w:sz w:val="20"/>
                <w:szCs w:val="20"/>
                <w:lang w:eastAsia="en-GB"/>
              </w:rPr>
            </w:pPr>
            <w:r w:rsidRPr="00D44988">
              <w:rPr>
                <w:rFonts w:ascii="Times New Roman" w:eastAsia="Times New Roman" w:hAnsi="Times New Roman"/>
                <w:b/>
                <w:bCs/>
                <w:noProof/>
                <w:sz w:val="20"/>
                <w:szCs w:val="20"/>
                <w:lang w:eastAsia="en-GB"/>
              </w:rPr>
              <w:t>Baseline</w:t>
            </w:r>
          </w:p>
        </w:tc>
        <w:tc>
          <w:tcPr>
            <w:tcW w:w="567" w:type="dxa"/>
            <w:shd w:val="clear" w:color="auto" w:fill="BDD7EE"/>
            <w:vAlign w:val="center"/>
            <w:hideMark/>
          </w:tcPr>
          <w:p w14:paraId="1C86AF72" w14:textId="198D510C" w:rsidR="00935FC8" w:rsidRPr="00D44988" w:rsidRDefault="00935FC8" w:rsidP="00B339EE">
            <w:pPr>
              <w:spacing w:after="0" w:line="240" w:lineRule="auto"/>
              <w:jc w:val="center"/>
              <w:rPr>
                <w:rFonts w:ascii="Times New Roman" w:eastAsia="Times New Roman" w:hAnsi="Times New Roman"/>
                <w:b/>
                <w:noProof/>
                <w:sz w:val="20"/>
                <w:szCs w:val="20"/>
                <w:lang w:eastAsia="en-GB"/>
              </w:rPr>
            </w:pPr>
            <w:r w:rsidRPr="00D44988">
              <w:rPr>
                <w:rFonts w:ascii="Times New Roman" w:eastAsia="Times New Roman" w:hAnsi="Times New Roman"/>
                <w:b/>
                <w:bCs/>
                <w:noProof/>
                <w:sz w:val="20"/>
                <w:szCs w:val="20"/>
                <w:lang w:eastAsia="en-GB"/>
              </w:rPr>
              <w:t>Goal</w:t>
            </w:r>
          </w:p>
        </w:tc>
        <w:tc>
          <w:tcPr>
            <w:tcW w:w="1196" w:type="dxa"/>
            <w:shd w:val="clear" w:color="auto" w:fill="BDD7EE"/>
            <w:vAlign w:val="center"/>
            <w:hideMark/>
          </w:tcPr>
          <w:p w14:paraId="760571EA" w14:textId="77777777" w:rsidR="00935FC8" w:rsidRPr="00D44988" w:rsidRDefault="00935FC8" w:rsidP="00B339EE">
            <w:pPr>
              <w:spacing w:after="0" w:line="240" w:lineRule="auto"/>
              <w:jc w:val="center"/>
              <w:rPr>
                <w:rFonts w:ascii="Times New Roman" w:eastAsia="Times New Roman" w:hAnsi="Times New Roman"/>
                <w:b/>
                <w:noProof/>
                <w:sz w:val="20"/>
                <w:szCs w:val="20"/>
                <w:lang w:eastAsia="en-GB"/>
              </w:rPr>
            </w:pPr>
            <w:r w:rsidRPr="00D44988">
              <w:rPr>
                <w:rFonts w:ascii="Times New Roman" w:eastAsia="Times New Roman" w:hAnsi="Times New Roman"/>
                <w:b/>
                <w:bCs/>
                <w:noProof/>
                <w:sz w:val="20"/>
                <w:szCs w:val="20"/>
                <w:lang w:eastAsia="en-GB"/>
              </w:rPr>
              <w:t>Quarter</w:t>
            </w:r>
          </w:p>
        </w:tc>
        <w:tc>
          <w:tcPr>
            <w:tcW w:w="567" w:type="dxa"/>
            <w:shd w:val="clear" w:color="auto" w:fill="BDD7EE"/>
            <w:vAlign w:val="center"/>
            <w:hideMark/>
          </w:tcPr>
          <w:p w14:paraId="49F0257A" w14:textId="77777777" w:rsidR="00935FC8" w:rsidRPr="00D44988" w:rsidRDefault="00935FC8" w:rsidP="00B339EE">
            <w:pPr>
              <w:spacing w:after="0" w:line="240" w:lineRule="auto"/>
              <w:jc w:val="center"/>
              <w:rPr>
                <w:rFonts w:ascii="Times New Roman" w:eastAsia="Times New Roman" w:hAnsi="Times New Roman"/>
                <w:b/>
                <w:noProof/>
                <w:sz w:val="20"/>
                <w:szCs w:val="20"/>
                <w:lang w:eastAsia="en-GB"/>
              </w:rPr>
            </w:pPr>
            <w:r w:rsidRPr="00D44988">
              <w:rPr>
                <w:rFonts w:ascii="Times New Roman" w:eastAsia="Times New Roman" w:hAnsi="Times New Roman"/>
                <w:b/>
                <w:bCs/>
                <w:noProof/>
                <w:sz w:val="20"/>
                <w:szCs w:val="20"/>
                <w:lang w:eastAsia="en-GB"/>
              </w:rPr>
              <w:t>Year</w:t>
            </w:r>
          </w:p>
        </w:tc>
        <w:tc>
          <w:tcPr>
            <w:tcW w:w="4961" w:type="dxa"/>
            <w:vMerge/>
            <w:vAlign w:val="center"/>
            <w:hideMark/>
          </w:tcPr>
          <w:p w14:paraId="1CDAA2BF" w14:textId="77777777" w:rsidR="00935FC8" w:rsidRPr="00D44988" w:rsidRDefault="00935FC8">
            <w:pPr>
              <w:spacing w:after="0" w:line="240" w:lineRule="auto"/>
              <w:jc w:val="center"/>
              <w:rPr>
                <w:rFonts w:ascii="Times New Roman" w:eastAsia="Times New Roman" w:hAnsi="Times New Roman"/>
                <w:b/>
                <w:bCs/>
                <w:noProof/>
                <w:sz w:val="20"/>
                <w:szCs w:val="20"/>
                <w:lang w:eastAsia="en-GB"/>
              </w:rPr>
            </w:pPr>
          </w:p>
        </w:tc>
      </w:tr>
      <w:tr w:rsidR="00B339EE" w:rsidRPr="00D44988" w14:paraId="76E7BFCC" w14:textId="77777777" w:rsidTr="00BC6715">
        <w:trPr>
          <w:trHeight w:val="2460"/>
          <w:jc w:val="center"/>
        </w:trPr>
        <w:tc>
          <w:tcPr>
            <w:tcW w:w="846" w:type="dxa"/>
            <w:shd w:val="clear" w:color="auto" w:fill="C6EFCE"/>
            <w:noWrap/>
            <w:hideMark/>
          </w:tcPr>
          <w:p w14:paraId="0DE46654" w14:textId="77777777" w:rsidR="00935FC8" w:rsidRPr="00D44988" w:rsidRDefault="00935FC8">
            <w:pPr>
              <w:spacing w:after="0" w:line="240" w:lineRule="auto"/>
              <w:jc w:val="center"/>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73</w:t>
            </w:r>
          </w:p>
        </w:tc>
        <w:tc>
          <w:tcPr>
            <w:tcW w:w="1309" w:type="dxa"/>
            <w:shd w:val="clear" w:color="auto" w:fill="C6EFCE"/>
            <w:noWrap/>
            <w:hideMark/>
          </w:tcPr>
          <w:p w14:paraId="0E364D94"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P2C3R1 - Ensuring effective supervision and enforcement of the prevention of money laundering</w:t>
            </w:r>
          </w:p>
        </w:tc>
        <w:tc>
          <w:tcPr>
            <w:tcW w:w="1007" w:type="dxa"/>
            <w:shd w:val="clear" w:color="auto" w:fill="C6EFCE"/>
            <w:noWrap/>
            <w:hideMark/>
          </w:tcPr>
          <w:p w14:paraId="544AEEEC"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Milestone</w:t>
            </w:r>
          </w:p>
        </w:tc>
        <w:tc>
          <w:tcPr>
            <w:tcW w:w="1511" w:type="dxa"/>
            <w:shd w:val="clear" w:color="auto" w:fill="C6EFCE"/>
            <w:noWrap/>
            <w:hideMark/>
          </w:tcPr>
          <w:p w14:paraId="59BCAA80"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Entry into force of legal acts</w:t>
            </w:r>
          </w:p>
        </w:tc>
        <w:tc>
          <w:tcPr>
            <w:tcW w:w="1701" w:type="dxa"/>
            <w:shd w:val="clear" w:color="auto" w:fill="C6EFCE"/>
            <w:noWrap/>
            <w:hideMark/>
          </w:tcPr>
          <w:p w14:paraId="35E5D761"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Legal acts shall have entered into force</w:t>
            </w:r>
          </w:p>
        </w:tc>
        <w:tc>
          <w:tcPr>
            <w:tcW w:w="709" w:type="dxa"/>
            <w:shd w:val="clear" w:color="auto" w:fill="C6EFCE"/>
            <w:noWrap/>
            <w:hideMark/>
          </w:tcPr>
          <w:p w14:paraId="4D8466C6"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p>
        </w:tc>
        <w:tc>
          <w:tcPr>
            <w:tcW w:w="850" w:type="dxa"/>
            <w:shd w:val="clear" w:color="auto" w:fill="C6EFCE"/>
            <w:noWrap/>
            <w:hideMark/>
          </w:tcPr>
          <w:p w14:paraId="6B679F28"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p>
        </w:tc>
        <w:tc>
          <w:tcPr>
            <w:tcW w:w="567" w:type="dxa"/>
            <w:shd w:val="clear" w:color="auto" w:fill="C6EFCE"/>
            <w:noWrap/>
            <w:hideMark/>
          </w:tcPr>
          <w:p w14:paraId="0151AA96"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p>
        </w:tc>
        <w:tc>
          <w:tcPr>
            <w:tcW w:w="1196" w:type="dxa"/>
            <w:shd w:val="clear" w:color="auto" w:fill="C6EFCE"/>
            <w:noWrap/>
            <w:hideMark/>
          </w:tcPr>
          <w:p w14:paraId="3509E315"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Q4</w:t>
            </w:r>
          </w:p>
        </w:tc>
        <w:tc>
          <w:tcPr>
            <w:tcW w:w="567" w:type="dxa"/>
            <w:shd w:val="clear" w:color="auto" w:fill="C6EFCE"/>
            <w:noWrap/>
            <w:hideMark/>
          </w:tcPr>
          <w:p w14:paraId="57596502"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2025</w:t>
            </w:r>
          </w:p>
        </w:tc>
        <w:tc>
          <w:tcPr>
            <w:tcW w:w="4961" w:type="dxa"/>
            <w:shd w:val="clear" w:color="auto" w:fill="C6EFCE"/>
            <w:noWrap/>
            <w:hideMark/>
          </w:tcPr>
          <w:p w14:paraId="1B84F4E7" w14:textId="5FC08B31"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The legal acts shall enter into force and include:</w:t>
            </w:r>
          </w:p>
          <w:p w14:paraId="56B404C1" w14:textId="64546E5D" w:rsidR="00935FC8" w:rsidRPr="00D44988" w:rsidRDefault="00935FC8" w:rsidP="00A7081A">
            <w:pPr>
              <w:numPr>
                <w:ilvl w:val="0"/>
                <w:numId w:val="24"/>
              </w:numPr>
              <w:spacing w:after="0" w:line="240" w:lineRule="auto"/>
              <w:ind w:left="112" w:hanging="141"/>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 xml:space="preserve">Possibility </w:t>
            </w:r>
            <w:r w:rsidR="00A77B4B" w:rsidRPr="00D44988">
              <w:rPr>
                <w:rFonts w:ascii="Times New Roman" w:eastAsia="Times New Roman" w:hAnsi="Times New Roman"/>
                <w:noProof/>
                <w:sz w:val="20"/>
                <w:szCs w:val="20"/>
                <w:lang w:eastAsia="en-GB"/>
              </w:rPr>
              <w:t xml:space="preserve">for the </w:t>
            </w:r>
            <w:r w:rsidR="00DC077A" w:rsidRPr="00D44988">
              <w:rPr>
                <w:rFonts w:ascii="Times New Roman" w:eastAsia="Times New Roman" w:hAnsi="Times New Roman"/>
                <w:noProof/>
                <w:sz w:val="20"/>
                <w:szCs w:val="20"/>
                <w:lang w:eastAsia="en-GB"/>
              </w:rPr>
              <w:t xml:space="preserve">Finnish Patent and Registration Office </w:t>
            </w:r>
            <w:r w:rsidRPr="00D44988">
              <w:rPr>
                <w:rFonts w:ascii="Times New Roman" w:eastAsia="Times New Roman" w:hAnsi="Times New Roman"/>
                <w:noProof/>
                <w:sz w:val="20"/>
                <w:szCs w:val="20"/>
                <w:lang w:eastAsia="en-GB"/>
              </w:rPr>
              <w:t xml:space="preserve">to </w:t>
            </w:r>
            <w:r w:rsidR="00FB5251" w:rsidRPr="00D44988">
              <w:rPr>
                <w:rFonts w:ascii="Times New Roman" w:eastAsia="Times New Roman" w:hAnsi="Times New Roman"/>
                <w:noProof/>
                <w:sz w:val="20"/>
                <w:szCs w:val="20"/>
                <w:lang w:eastAsia="en-GB"/>
              </w:rPr>
              <w:t xml:space="preserve">impose negligence fees </w:t>
            </w:r>
            <w:r w:rsidRPr="00D44988">
              <w:rPr>
                <w:rFonts w:ascii="Times New Roman" w:eastAsia="Times New Roman" w:hAnsi="Times New Roman"/>
                <w:noProof/>
                <w:sz w:val="20"/>
                <w:szCs w:val="20"/>
                <w:lang w:eastAsia="en-GB"/>
              </w:rPr>
              <w:t>to ensure accuracy of beneficial ownership information</w:t>
            </w:r>
          </w:p>
          <w:p w14:paraId="53273ADA" w14:textId="161AC9E4" w:rsidR="00935FC8" w:rsidRPr="00D44988" w:rsidRDefault="00A7081A" w:rsidP="00A7081A">
            <w:pPr>
              <w:numPr>
                <w:ilvl w:val="0"/>
                <w:numId w:val="24"/>
              </w:numPr>
              <w:spacing w:after="0" w:line="240" w:lineRule="auto"/>
              <w:ind w:left="112" w:hanging="142"/>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Possibility to order liquidation or deregistration of an obliged entity for negligence of notification of beneficial owners</w:t>
            </w:r>
          </w:p>
          <w:p w14:paraId="230995C3" w14:textId="77777777" w:rsidR="00935FC8" w:rsidRPr="00D44988" w:rsidRDefault="00935FC8" w:rsidP="00A7081A">
            <w:pPr>
              <w:numPr>
                <w:ilvl w:val="0"/>
                <w:numId w:val="24"/>
              </w:numPr>
              <w:spacing w:after="0" w:line="240" w:lineRule="auto"/>
              <w:ind w:left="112" w:hanging="142"/>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 xml:space="preserve">An application through which Law Enforcement Agencies can make and receive replies to information requests is maintained by Customs. </w:t>
            </w:r>
          </w:p>
          <w:p w14:paraId="41C32824" w14:textId="1CE368CF" w:rsidR="00935FC8" w:rsidRPr="00D44988" w:rsidRDefault="00935FC8" w:rsidP="00A7081A">
            <w:pPr>
              <w:numPr>
                <w:ilvl w:val="0"/>
                <w:numId w:val="24"/>
              </w:numPr>
              <w:spacing w:after="0" w:line="240" w:lineRule="auto"/>
              <w:ind w:left="112" w:hanging="142"/>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Authorities competent to obtain account transaction information shall be defined based on their existing jurisdiction.</w:t>
            </w:r>
          </w:p>
        </w:tc>
      </w:tr>
      <w:tr w:rsidR="00B339EE" w:rsidRPr="00D44988" w14:paraId="6ED201B2" w14:textId="77777777" w:rsidTr="00BC6715">
        <w:trPr>
          <w:trHeight w:val="309"/>
          <w:jc w:val="center"/>
        </w:trPr>
        <w:tc>
          <w:tcPr>
            <w:tcW w:w="846" w:type="dxa"/>
            <w:shd w:val="clear" w:color="auto" w:fill="C6EFCE"/>
            <w:noWrap/>
          </w:tcPr>
          <w:p w14:paraId="33B5E354" w14:textId="77777777" w:rsidR="00935FC8" w:rsidRPr="00D44988" w:rsidRDefault="00935FC8">
            <w:pPr>
              <w:spacing w:after="0" w:line="240" w:lineRule="auto"/>
              <w:jc w:val="center"/>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 xml:space="preserve">74 </w:t>
            </w:r>
          </w:p>
        </w:tc>
        <w:tc>
          <w:tcPr>
            <w:tcW w:w="1309" w:type="dxa"/>
            <w:shd w:val="clear" w:color="auto" w:fill="C6EFCE"/>
            <w:noWrap/>
          </w:tcPr>
          <w:p w14:paraId="63DEEED8"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P2C3R1 - Ensuring effective supervision and enforcement of the prevention of money laundering</w:t>
            </w:r>
          </w:p>
        </w:tc>
        <w:tc>
          <w:tcPr>
            <w:tcW w:w="1007" w:type="dxa"/>
            <w:shd w:val="clear" w:color="auto" w:fill="C6EFCE"/>
            <w:noWrap/>
          </w:tcPr>
          <w:p w14:paraId="7A7DD2CB"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Milestone</w:t>
            </w:r>
          </w:p>
        </w:tc>
        <w:tc>
          <w:tcPr>
            <w:tcW w:w="1511" w:type="dxa"/>
            <w:shd w:val="clear" w:color="auto" w:fill="C6EFCE"/>
            <w:noWrap/>
          </w:tcPr>
          <w:p w14:paraId="480CBF64"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Final report by the Steering group</w:t>
            </w:r>
          </w:p>
        </w:tc>
        <w:tc>
          <w:tcPr>
            <w:tcW w:w="1701" w:type="dxa"/>
            <w:shd w:val="clear" w:color="auto" w:fill="C6EFCE"/>
            <w:noWrap/>
          </w:tcPr>
          <w:p w14:paraId="2C172CBB"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Final report by the Steering group</w:t>
            </w:r>
          </w:p>
        </w:tc>
        <w:tc>
          <w:tcPr>
            <w:tcW w:w="709" w:type="dxa"/>
            <w:shd w:val="clear" w:color="auto" w:fill="C6EFCE"/>
            <w:noWrap/>
          </w:tcPr>
          <w:p w14:paraId="101BCDC4"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p>
        </w:tc>
        <w:tc>
          <w:tcPr>
            <w:tcW w:w="850" w:type="dxa"/>
            <w:shd w:val="clear" w:color="auto" w:fill="C6EFCE"/>
            <w:noWrap/>
          </w:tcPr>
          <w:p w14:paraId="15B184CA"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p>
        </w:tc>
        <w:tc>
          <w:tcPr>
            <w:tcW w:w="567" w:type="dxa"/>
            <w:shd w:val="clear" w:color="auto" w:fill="C6EFCE"/>
            <w:noWrap/>
          </w:tcPr>
          <w:p w14:paraId="563FEFC8"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p>
        </w:tc>
        <w:tc>
          <w:tcPr>
            <w:tcW w:w="1196" w:type="dxa"/>
            <w:shd w:val="clear" w:color="auto" w:fill="C6EFCE"/>
            <w:noWrap/>
          </w:tcPr>
          <w:p w14:paraId="6DDEA08C"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Q2</w:t>
            </w:r>
          </w:p>
        </w:tc>
        <w:tc>
          <w:tcPr>
            <w:tcW w:w="567" w:type="dxa"/>
            <w:shd w:val="clear" w:color="auto" w:fill="C6EFCE"/>
            <w:noWrap/>
          </w:tcPr>
          <w:p w14:paraId="10C21359"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2026</w:t>
            </w:r>
          </w:p>
        </w:tc>
        <w:tc>
          <w:tcPr>
            <w:tcW w:w="4961" w:type="dxa"/>
            <w:shd w:val="clear" w:color="auto" w:fill="C6EFCE"/>
            <w:noWrap/>
          </w:tcPr>
          <w:p w14:paraId="006CF3CF"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Final report by the Steering group on: (i) an aggregating application and adding account transaction information to the bank and payment account control system, (ii) increasing the timeliness, completeness and accuracy of the register of beneficial owners, (iii) digitalisation of money laundering clearance process by the Financial Intelligence Unit.</w:t>
            </w:r>
          </w:p>
        </w:tc>
      </w:tr>
      <w:tr w:rsidR="00B339EE" w:rsidRPr="00D44988" w14:paraId="6647EE22" w14:textId="77777777" w:rsidTr="00BC6715">
        <w:trPr>
          <w:trHeight w:val="309"/>
          <w:jc w:val="center"/>
        </w:trPr>
        <w:tc>
          <w:tcPr>
            <w:tcW w:w="846" w:type="dxa"/>
            <w:shd w:val="clear" w:color="auto" w:fill="C6EFCE"/>
            <w:noWrap/>
          </w:tcPr>
          <w:p w14:paraId="0997FE08" w14:textId="77777777" w:rsidR="00935FC8" w:rsidRPr="00D44988" w:rsidRDefault="00935FC8">
            <w:pPr>
              <w:spacing w:after="0" w:line="240" w:lineRule="auto"/>
              <w:jc w:val="center"/>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75</w:t>
            </w:r>
          </w:p>
        </w:tc>
        <w:tc>
          <w:tcPr>
            <w:tcW w:w="1309" w:type="dxa"/>
            <w:shd w:val="clear" w:color="auto" w:fill="C6EFCE"/>
            <w:noWrap/>
          </w:tcPr>
          <w:p w14:paraId="26F93B5F"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P2C3I1 – Civilian cybersecurity skills</w:t>
            </w:r>
          </w:p>
        </w:tc>
        <w:tc>
          <w:tcPr>
            <w:tcW w:w="1007" w:type="dxa"/>
            <w:shd w:val="clear" w:color="auto" w:fill="C6EFCE"/>
            <w:noWrap/>
          </w:tcPr>
          <w:p w14:paraId="42676369"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Milestone</w:t>
            </w:r>
          </w:p>
        </w:tc>
        <w:tc>
          <w:tcPr>
            <w:tcW w:w="1511" w:type="dxa"/>
            <w:shd w:val="clear" w:color="auto" w:fill="C6EFCE"/>
            <w:noWrap/>
          </w:tcPr>
          <w:p w14:paraId="135D79F4"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 xml:space="preserve">A digital platform for cybersecurity training </w:t>
            </w:r>
          </w:p>
        </w:tc>
        <w:tc>
          <w:tcPr>
            <w:tcW w:w="1701" w:type="dxa"/>
            <w:shd w:val="clear" w:color="auto" w:fill="C6EFCE"/>
            <w:noWrap/>
          </w:tcPr>
          <w:p w14:paraId="041C5212"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Training platform publicly available</w:t>
            </w:r>
          </w:p>
        </w:tc>
        <w:tc>
          <w:tcPr>
            <w:tcW w:w="709" w:type="dxa"/>
            <w:shd w:val="clear" w:color="auto" w:fill="C6EFCE"/>
            <w:noWrap/>
          </w:tcPr>
          <w:p w14:paraId="4D853A81"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p>
        </w:tc>
        <w:tc>
          <w:tcPr>
            <w:tcW w:w="850" w:type="dxa"/>
            <w:shd w:val="clear" w:color="auto" w:fill="C6EFCE"/>
            <w:noWrap/>
          </w:tcPr>
          <w:p w14:paraId="0B224906"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p>
        </w:tc>
        <w:tc>
          <w:tcPr>
            <w:tcW w:w="567" w:type="dxa"/>
            <w:shd w:val="clear" w:color="auto" w:fill="C6EFCE"/>
            <w:noWrap/>
          </w:tcPr>
          <w:p w14:paraId="3D581CB5"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p>
        </w:tc>
        <w:tc>
          <w:tcPr>
            <w:tcW w:w="1196" w:type="dxa"/>
            <w:shd w:val="clear" w:color="auto" w:fill="C6EFCE"/>
            <w:noWrap/>
          </w:tcPr>
          <w:p w14:paraId="78522810"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Q4</w:t>
            </w:r>
          </w:p>
        </w:tc>
        <w:tc>
          <w:tcPr>
            <w:tcW w:w="567" w:type="dxa"/>
            <w:shd w:val="clear" w:color="auto" w:fill="C6EFCE"/>
            <w:noWrap/>
          </w:tcPr>
          <w:p w14:paraId="02D7E5A0"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2024</w:t>
            </w:r>
          </w:p>
        </w:tc>
        <w:tc>
          <w:tcPr>
            <w:tcW w:w="4961" w:type="dxa"/>
            <w:shd w:val="clear" w:color="auto" w:fill="C6EFCE"/>
            <w:noWrap/>
          </w:tcPr>
          <w:p w14:paraId="2F90EFB0"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A research report on how EU Member States train citizens in basic cybersecurity shall be accessible online. A digital platform for cybersecurity training shall be accessible online in 24 EU languages.</w:t>
            </w:r>
          </w:p>
        </w:tc>
      </w:tr>
      <w:tr w:rsidR="00B339EE" w:rsidRPr="00D44988" w14:paraId="4001D631" w14:textId="77777777" w:rsidTr="00BC6715">
        <w:trPr>
          <w:trHeight w:val="309"/>
          <w:jc w:val="center"/>
        </w:trPr>
        <w:tc>
          <w:tcPr>
            <w:tcW w:w="846" w:type="dxa"/>
            <w:shd w:val="clear" w:color="auto" w:fill="C6EFCE"/>
            <w:noWrap/>
          </w:tcPr>
          <w:p w14:paraId="70876BDC" w14:textId="77777777" w:rsidR="00935FC8" w:rsidRPr="00D44988" w:rsidRDefault="00935FC8">
            <w:pPr>
              <w:spacing w:after="0" w:line="240" w:lineRule="auto"/>
              <w:jc w:val="center"/>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76</w:t>
            </w:r>
          </w:p>
        </w:tc>
        <w:tc>
          <w:tcPr>
            <w:tcW w:w="1309" w:type="dxa"/>
            <w:shd w:val="clear" w:color="auto" w:fill="C6EFCE"/>
            <w:noWrap/>
          </w:tcPr>
          <w:p w14:paraId="1641CB23"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P2C3I2 – Cybersecurity exercises</w:t>
            </w:r>
          </w:p>
        </w:tc>
        <w:tc>
          <w:tcPr>
            <w:tcW w:w="1007" w:type="dxa"/>
            <w:shd w:val="clear" w:color="auto" w:fill="C6EFCE"/>
            <w:noWrap/>
          </w:tcPr>
          <w:p w14:paraId="751ACD10"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Target</w:t>
            </w:r>
          </w:p>
        </w:tc>
        <w:tc>
          <w:tcPr>
            <w:tcW w:w="1511" w:type="dxa"/>
            <w:shd w:val="clear" w:color="auto" w:fill="C6EFCE"/>
            <w:noWrap/>
          </w:tcPr>
          <w:p w14:paraId="2039C65E" w14:textId="77777777"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Number of cybersecurity exercises</w:t>
            </w:r>
          </w:p>
        </w:tc>
        <w:tc>
          <w:tcPr>
            <w:tcW w:w="1701" w:type="dxa"/>
            <w:shd w:val="clear" w:color="auto" w:fill="C6EFCE"/>
            <w:noWrap/>
          </w:tcPr>
          <w:p w14:paraId="637BB8D2" w14:textId="77777777" w:rsidR="00935FC8" w:rsidRPr="00D44988" w:rsidRDefault="00935FC8" w:rsidP="00A7081A">
            <w:pPr>
              <w:spacing w:after="0" w:line="240" w:lineRule="auto"/>
              <w:rPr>
                <w:rFonts w:ascii="Times New Roman" w:eastAsia="Times New Roman" w:hAnsi="Times New Roman"/>
                <w:noProof/>
                <w:sz w:val="20"/>
                <w:szCs w:val="20"/>
                <w:lang w:eastAsia="en-GB"/>
              </w:rPr>
            </w:pPr>
          </w:p>
        </w:tc>
        <w:tc>
          <w:tcPr>
            <w:tcW w:w="709" w:type="dxa"/>
            <w:shd w:val="clear" w:color="auto" w:fill="C6EFCE"/>
            <w:noWrap/>
          </w:tcPr>
          <w:p w14:paraId="1C6E44BB" w14:textId="77777777" w:rsidR="00935FC8" w:rsidRPr="00B339EE" w:rsidRDefault="00935FC8" w:rsidP="00B339EE">
            <w:pPr>
              <w:spacing w:after="0" w:line="240" w:lineRule="auto"/>
              <w:jc w:val="center"/>
              <w:rPr>
                <w:rFonts w:ascii="Times New Roman" w:eastAsia="Times New Roman" w:hAnsi="Times New Roman"/>
                <w:noProof/>
                <w:sz w:val="18"/>
                <w:szCs w:val="18"/>
                <w:lang w:eastAsia="en-GB"/>
              </w:rPr>
            </w:pPr>
            <w:r w:rsidRPr="00B339EE">
              <w:rPr>
                <w:rFonts w:ascii="Times New Roman" w:eastAsia="Times New Roman" w:hAnsi="Times New Roman"/>
                <w:noProof/>
                <w:sz w:val="18"/>
                <w:szCs w:val="18"/>
                <w:lang w:eastAsia="en-GB"/>
              </w:rPr>
              <w:t>Number</w:t>
            </w:r>
          </w:p>
        </w:tc>
        <w:tc>
          <w:tcPr>
            <w:tcW w:w="850" w:type="dxa"/>
            <w:shd w:val="clear" w:color="auto" w:fill="C6EFCE"/>
            <w:noWrap/>
          </w:tcPr>
          <w:p w14:paraId="4D4F77C0"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0</w:t>
            </w:r>
          </w:p>
        </w:tc>
        <w:tc>
          <w:tcPr>
            <w:tcW w:w="567" w:type="dxa"/>
            <w:shd w:val="clear" w:color="auto" w:fill="C6EFCE"/>
            <w:noWrap/>
          </w:tcPr>
          <w:p w14:paraId="7CB1D4F7"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19</w:t>
            </w:r>
          </w:p>
        </w:tc>
        <w:tc>
          <w:tcPr>
            <w:tcW w:w="1196" w:type="dxa"/>
            <w:shd w:val="clear" w:color="auto" w:fill="C6EFCE"/>
            <w:noWrap/>
          </w:tcPr>
          <w:p w14:paraId="4D440E3A"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Q4</w:t>
            </w:r>
          </w:p>
        </w:tc>
        <w:tc>
          <w:tcPr>
            <w:tcW w:w="567" w:type="dxa"/>
            <w:shd w:val="clear" w:color="auto" w:fill="C6EFCE"/>
            <w:noWrap/>
          </w:tcPr>
          <w:p w14:paraId="46E2A2B5" w14:textId="77777777" w:rsidR="00935FC8" w:rsidRPr="00D44988" w:rsidRDefault="00935FC8" w:rsidP="00B339EE">
            <w:pPr>
              <w:spacing w:after="0" w:line="240" w:lineRule="auto"/>
              <w:jc w:val="center"/>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2025</w:t>
            </w:r>
          </w:p>
        </w:tc>
        <w:tc>
          <w:tcPr>
            <w:tcW w:w="4961" w:type="dxa"/>
            <w:shd w:val="clear" w:color="auto" w:fill="C6EFCE"/>
            <w:noWrap/>
          </w:tcPr>
          <w:p w14:paraId="7F88D936" w14:textId="5B3888C4" w:rsidR="00935FC8" w:rsidRPr="00D44988" w:rsidRDefault="00935FC8" w:rsidP="00A7081A">
            <w:pPr>
              <w:spacing w:after="0" w:line="240" w:lineRule="auto"/>
              <w:rPr>
                <w:rFonts w:ascii="Times New Roman" w:eastAsia="Times New Roman" w:hAnsi="Times New Roman"/>
                <w:noProof/>
                <w:sz w:val="20"/>
                <w:szCs w:val="20"/>
                <w:lang w:eastAsia="en-GB"/>
              </w:rPr>
            </w:pPr>
            <w:r w:rsidRPr="00D44988">
              <w:rPr>
                <w:rFonts w:ascii="Times New Roman" w:eastAsia="Times New Roman" w:hAnsi="Times New Roman"/>
                <w:noProof/>
                <w:sz w:val="20"/>
                <w:szCs w:val="20"/>
                <w:lang w:eastAsia="en-GB"/>
              </w:rPr>
              <w:t>At least 19 cybersecurity exercises shall take place.</w:t>
            </w:r>
          </w:p>
        </w:tc>
      </w:tr>
    </w:tbl>
    <w:p w14:paraId="3D489CD3" w14:textId="77777777" w:rsidR="00A70B17" w:rsidRDefault="00A70B17" w:rsidP="00FF5517">
      <w:pPr>
        <w:tabs>
          <w:tab w:val="left" w:pos="4334"/>
        </w:tabs>
        <w:spacing w:before="120" w:after="120" w:line="240" w:lineRule="auto"/>
        <w:jc w:val="both"/>
        <w:rPr>
          <w:rFonts w:ascii="Times New Roman" w:hAnsi="Times New Roman"/>
          <w:noProof/>
          <w:sz w:val="24"/>
        </w:rPr>
        <w:sectPr w:rsidR="00A70B17" w:rsidSect="00FF5517">
          <w:headerReference w:type="even" r:id="rId107"/>
          <w:headerReference w:type="default" r:id="rId108"/>
          <w:footerReference w:type="even" r:id="rId109"/>
          <w:footerReference w:type="default" r:id="rId110"/>
          <w:headerReference w:type="first" r:id="rId111"/>
          <w:footerReference w:type="first" r:id="rId112"/>
          <w:pgSz w:w="16839" w:h="11907" w:orient="landscape" w:code="9"/>
          <w:pgMar w:top="1134" w:right="1134" w:bottom="1134" w:left="1134" w:header="567" w:footer="567" w:gutter="0"/>
          <w:cols w:space="720"/>
          <w:docGrid w:linePitch="360"/>
        </w:sectPr>
      </w:pPr>
    </w:p>
    <w:p w14:paraId="2A90B85C" w14:textId="61E06A2B" w:rsidR="00935FC8" w:rsidRPr="00A70B17" w:rsidRDefault="00935FC8" w:rsidP="00FF5517">
      <w:pPr>
        <w:spacing w:after="0" w:line="240" w:lineRule="auto"/>
        <w:rPr>
          <w:rFonts w:ascii="Times New Roman" w:hAnsi="Times New Roman"/>
          <w:b/>
          <w:i/>
          <w:noProof/>
          <w:sz w:val="24"/>
          <w:szCs w:val="24"/>
        </w:rPr>
      </w:pPr>
      <w:r w:rsidRPr="00A70B17">
        <w:rPr>
          <w:rFonts w:ascii="Times New Roman" w:hAnsi="Times New Roman"/>
          <w:b/>
          <w:noProof/>
          <w:sz w:val="24"/>
          <w:szCs w:val="24"/>
        </w:rPr>
        <w:t>PILLAR 3: Raising the employment rate and skills level to boost sustainable growth</w:t>
      </w:r>
    </w:p>
    <w:p w14:paraId="0CFD62EA" w14:textId="77777777" w:rsidR="00935FC8" w:rsidRPr="00B555B3" w:rsidRDefault="00935FC8">
      <w:pPr>
        <w:pStyle w:val="Heading4"/>
        <w:numPr>
          <w:ilvl w:val="0"/>
          <w:numId w:val="0"/>
        </w:numPr>
        <w:rPr>
          <w:noProof/>
          <w:color w:val="000000"/>
          <w:szCs w:val="24"/>
        </w:rPr>
      </w:pPr>
      <w:r w:rsidRPr="00B555B3">
        <w:rPr>
          <w:b/>
          <w:noProof/>
          <w:color w:val="000000"/>
          <w:szCs w:val="24"/>
        </w:rPr>
        <w:t>I.</w:t>
      </w:r>
      <w:r w:rsidRPr="00B555B3">
        <w:rPr>
          <w:noProof/>
          <w:color w:val="000000"/>
          <w:szCs w:val="24"/>
        </w:rPr>
        <w:t xml:space="preserve"> </w:t>
      </w:r>
      <w:r w:rsidRPr="00B555B3">
        <w:rPr>
          <w:rStyle w:val="Heading1Char"/>
          <w:rFonts w:eastAsia="Calibri"/>
          <w:noProof/>
        </w:rPr>
        <w:t>COMPONENT P3C1: EMPLOYMENT AND LABOUR MARKET</w:t>
      </w:r>
    </w:p>
    <w:p w14:paraId="6FC8550A" w14:textId="15586603" w:rsidR="00935FC8" w:rsidRPr="00B555B3" w:rsidRDefault="00935FC8">
      <w:pPr>
        <w:pStyle w:val="PILLAR"/>
        <w:rPr>
          <w:b/>
          <w:bCs/>
          <w:smallCaps/>
          <w:noProof/>
        </w:rPr>
      </w:pPr>
      <w:r w:rsidRPr="00B555B3">
        <w:rPr>
          <w:noProof/>
        </w:rPr>
        <w:t xml:space="preserve">This component of the Finnish recovery and resilience plan addresses challenges related to employment and labour market. Finland’s </w:t>
      </w:r>
      <w:r w:rsidRPr="00B555B3">
        <w:rPr>
          <w:rFonts w:eastAsia="Times New Roman"/>
          <w:noProof/>
        </w:rPr>
        <w:t>workforce is shrinking, affecting the country's growth potential, while high structural unemployment when compared to other Nordic countries persists, aggravated by the COVID-19 crisis.</w:t>
      </w:r>
    </w:p>
    <w:p w14:paraId="73735D03" w14:textId="77777777" w:rsidR="00935FC8" w:rsidRPr="00B555B3" w:rsidRDefault="00935FC8">
      <w:pPr>
        <w:spacing w:before="120" w:after="120" w:line="240" w:lineRule="auto"/>
        <w:jc w:val="both"/>
        <w:rPr>
          <w:rFonts w:ascii="Times New Roman" w:hAnsi="Times New Roman"/>
          <w:noProof/>
          <w:color w:val="000000"/>
          <w:sz w:val="24"/>
          <w:szCs w:val="24"/>
        </w:rPr>
      </w:pPr>
      <w:r w:rsidRPr="00B555B3">
        <w:rPr>
          <w:rFonts w:ascii="Times New Roman" w:hAnsi="Times New Roman"/>
          <w:noProof/>
          <w:color w:val="000000"/>
          <w:sz w:val="24"/>
          <w:szCs w:val="24"/>
        </w:rPr>
        <w:t>The objective of the component is to raise the employment rate and strengthen the functioning of the labour market. This shall be done through a structural reform and digitalisation of the public employment services ("Nordic Employment model"). Employment shall also be fostered by phasing out the extended unemployment benefit to older people ahead of the statutory retirement age, the so-called "unemployment tunnel". A third element to raise employment is by facilitating work- and education-based immigration. Finally, promoting labour market integration of young people and people with partial work capacity are also proposed interventions.</w:t>
      </w:r>
    </w:p>
    <w:p w14:paraId="2BC42A03" w14:textId="77777777" w:rsidR="00935FC8" w:rsidRPr="00B555B3" w:rsidRDefault="00935FC8">
      <w:pPr>
        <w:spacing w:before="120" w:after="120" w:line="240" w:lineRule="auto"/>
        <w:jc w:val="both"/>
        <w:rPr>
          <w:rFonts w:ascii="Times New Roman" w:hAnsi="Times New Roman"/>
          <w:noProof/>
          <w:color w:val="000000"/>
          <w:sz w:val="24"/>
          <w:szCs w:val="24"/>
        </w:rPr>
      </w:pPr>
      <w:r w:rsidRPr="00B555B3">
        <w:rPr>
          <w:rFonts w:ascii="Times New Roman" w:hAnsi="Times New Roman"/>
          <w:noProof/>
          <w:sz w:val="24"/>
          <w:szCs w:val="24"/>
        </w:rPr>
        <w:t>The component contributes to addressing Country Specific Recommendations on improving incentives to accept work and enhance skills and active inclusion, notably through well-integrated services for the unemployed and the inactive (Country Specific Recommendation 2 2019) and on strengthening measures to support employment and bolster active labour market policies (Country Specific Recommendation 2 2020). The component aims also to contribute to relevant principles of the European Pillar of Social Rights.</w:t>
      </w:r>
    </w:p>
    <w:p w14:paraId="1F8C7A8D" w14:textId="77777777" w:rsidR="00935FC8" w:rsidRPr="00B555B3" w:rsidRDefault="00935FC8">
      <w:pPr>
        <w:spacing w:before="120" w:after="120" w:line="240" w:lineRule="auto"/>
        <w:jc w:val="both"/>
        <w:rPr>
          <w:rFonts w:ascii="Times New Roman" w:eastAsia="Times New Roman" w:hAnsi="Times New Roman"/>
          <w:noProof/>
        </w:rPr>
      </w:pPr>
      <w:r w:rsidRPr="00B555B3">
        <w:rPr>
          <w:rFonts w:ascii="Times New Roman" w:eastAsia="Times New Roman" w:hAnsi="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6B46354F" w14:textId="77777777" w:rsidR="00935FC8" w:rsidRPr="00B555B3" w:rsidRDefault="00935FC8">
      <w:pPr>
        <w:spacing w:before="120" w:after="120" w:line="240" w:lineRule="auto"/>
        <w:jc w:val="both"/>
        <w:rPr>
          <w:rFonts w:ascii="Times New Roman" w:hAnsi="Times New Roman"/>
          <w:b/>
          <w:bCs/>
          <w:noProof/>
          <w:color w:val="000000"/>
          <w:sz w:val="24"/>
          <w:u w:val="single"/>
        </w:rPr>
      </w:pPr>
      <w:r w:rsidRPr="00B555B3">
        <w:rPr>
          <w:rFonts w:ascii="Times New Roman" w:hAnsi="Times New Roman"/>
          <w:b/>
          <w:bCs/>
          <w:noProof/>
          <w:color w:val="000000"/>
          <w:sz w:val="24"/>
          <w:u w:val="single"/>
        </w:rPr>
        <w:t xml:space="preserve">I.1. </w:t>
      </w:r>
      <w:r w:rsidRPr="00B555B3">
        <w:rPr>
          <w:rFonts w:ascii="Times New Roman" w:hAnsi="Times New Roman"/>
          <w:b/>
          <w:noProof/>
          <w:sz w:val="24"/>
          <w:u w:val="single"/>
        </w:rPr>
        <w:tab/>
      </w:r>
      <w:r w:rsidRPr="00B555B3">
        <w:rPr>
          <w:rFonts w:ascii="Times New Roman" w:hAnsi="Times New Roman"/>
          <w:b/>
          <w:bCs/>
          <w:noProof/>
          <w:color w:val="000000"/>
          <w:sz w:val="24"/>
          <w:u w:val="single"/>
        </w:rPr>
        <w:t>Description of the reforms and investments for non-repayable financial support</w:t>
      </w:r>
    </w:p>
    <w:p w14:paraId="7F77F97A" w14:textId="7B4E445F" w:rsidR="00935FC8" w:rsidRPr="00531DEC" w:rsidRDefault="00935FC8">
      <w:pPr>
        <w:spacing w:before="120" w:after="120" w:line="240" w:lineRule="auto"/>
        <w:jc w:val="both"/>
        <w:rPr>
          <w:rFonts w:ascii="Times New Roman" w:hAnsi="Times New Roman"/>
          <w:noProof/>
          <w:color w:val="000000"/>
          <w:sz w:val="24"/>
          <w:szCs w:val="24"/>
          <w:u w:val="single"/>
        </w:rPr>
      </w:pPr>
      <w:r w:rsidRPr="00D0136A">
        <w:rPr>
          <w:rFonts w:ascii="Times New Roman" w:hAnsi="Times New Roman"/>
          <w:noProof/>
          <w:color w:val="000000" w:themeColor="text1"/>
          <w:sz w:val="24"/>
          <w:szCs w:val="24"/>
          <w:u w:val="single"/>
        </w:rPr>
        <w:t>Reform 1 (P3C1R1): Nordic Model of Employment Services</w:t>
      </w:r>
    </w:p>
    <w:p w14:paraId="38AABF2C" w14:textId="77777777" w:rsidR="00935FC8" w:rsidRPr="00D0136A" w:rsidRDefault="00935FC8">
      <w:pPr>
        <w:spacing w:before="120" w:after="120" w:line="240" w:lineRule="auto"/>
        <w:jc w:val="both"/>
        <w:rPr>
          <w:rFonts w:ascii="Times New Roman" w:hAnsi="Times New Roman"/>
          <w:noProof/>
          <w:color w:val="000000"/>
          <w:sz w:val="24"/>
          <w:szCs w:val="24"/>
        </w:rPr>
      </w:pPr>
      <w:r w:rsidRPr="00D0136A">
        <w:rPr>
          <w:rFonts w:ascii="Times New Roman" w:hAnsi="Times New Roman"/>
          <w:noProof/>
          <w:color w:val="000000"/>
          <w:sz w:val="24"/>
          <w:szCs w:val="24"/>
        </w:rPr>
        <w:t>The objective of the measure is to reform the public employment services process.</w:t>
      </w:r>
      <w:r>
        <w:rPr>
          <w:rFonts w:ascii="Times New Roman" w:hAnsi="Times New Roman"/>
          <w:noProof/>
          <w:color w:val="000000" w:themeColor="text1"/>
          <w:sz w:val="24"/>
          <w:szCs w:val="24"/>
        </w:rPr>
        <w:t xml:space="preserve"> </w:t>
      </w:r>
      <w:r w:rsidRPr="00D0136A">
        <w:rPr>
          <w:rFonts w:ascii="Times New Roman" w:hAnsi="Times New Roman"/>
          <w:noProof/>
          <w:color w:val="000000" w:themeColor="text1"/>
          <w:sz w:val="24"/>
          <w:szCs w:val="24"/>
        </w:rPr>
        <w:t>The reform consists of transitioning towards a new Nordic model of employment services</w:t>
      </w:r>
      <w:r w:rsidRPr="007B7BCE">
        <w:rPr>
          <w:rFonts w:ascii="Times New Roman" w:hAnsi="Times New Roman"/>
          <w:noProof/>
          <w:color w:val="000000" w:themeColor="text1"/>
          <w:sz w:val="24"/>
          <w:szCs w:val="24"/>
        </w:rPr>
        <w:t xml:space="preserve"> </w:t>
      </w:r>
      <w:r w:rsidRPr="00D0136A">
        <w:rPr>
          <w:rFonts w:ascii="Times New Roman" w:hAnsi="Times New Roman"/>
          <w:noProof/>
          <w:color w:val="000000" w:themeColor="text1"/>
          <w:sz w:val="24"/>
          <w:szCs w:val="24"/>
        </w:rPr>
        <w:t>involving personalised and integrated services for job-seekers and</w:t>
      </w:r>
      <w:r>
        <w:rPr>
          <w:rFonts w:ascii="Times New Roman" w:hAnsi="Times New Roman"/>
          <w:noProof/>
          <w:color w:val="000000" w:themeColor="text1"/>
          <w:sz w:val="24"/>
          <w:szCs w:val="24"/>
        </w:rPr>
        <w:t xml:space="preserve"> </w:t>
      </w:r>
      <w:r w:rsidRPr="00D0136A">
        <w:rPr>
          <w:rFonts w:ascii="Times New Roman" w:hAnsi="Times New Roman"/>
          <w:noProof/>
          <w:color w:val="000000" w:themeColor="text1"/>
          <w:sz w:val="24"/>
          <w:szCs w:val="24"/>
        </w:rPr>
        <w:t>an active search obligation for job-seekers, as well as a digital information system for public employment services</w:t>
      </w:r>
      <w:r>
        <w:rPr>
          <w:rFonts w:ascii="Times New Roman" w:hAnsi="Times New Roman"/>
          <w:noProof/>
          <w:color w:val="000000" w:themeColor="text1"/>
          <w:sz w:val="24"/>
          <w:szCs w:val="24"/>
        </w:rPr>
        <w:t>.</w:t>
      </w:r>
    </w:p>
    <w:p w14:paraId="0974CC96" w14:textId="77777777" w:rsidR="00935FC8" w:rsidRPr="00531DEC" w:rsidRDefault="00935FC8">
      <w:pPr>
        <w:spacing w:before="120" w:after="120" w:line="240" w:lineRule="auto"/>
        <w:jc w:val="both"/>
        <w:rPr>
          <w:rFonts w:ascii="Times New Roman" w:hAnsi="Times New Roman"/>
          <w:noProof/>
          <w:color w:val="000000"/>
          <w:sz w:val="24"/>
          <w:szCs w:val="24"/>
          <w:u w:val="single"/>
        </w:rPr>
      </w:pPr>
      <w:r w:rsidRPr="00D0136A">
        <w:rPr>
          <w:rFonts w:ascii="Times New Roman" w:hAnsi="Times New Roman"/>
          <w:noProof/>
          <w:color w:val="000000"/>
          <w:sz w:val="24"/>
          <w:szCs w:val="24"/>
          <w:u w:val="single"/>
        </w:rPr>
        <w:t>Reform 2 (P3C1R2)</w:t>
      </w:r>
      <w:r w:rsidRPr="00531DEC">
        <w:rPr>
          <w:rFonts w:ascii="Times New Roman" w:hAnsi="Times New Roman"/>
          <w:noProof/>
          <w:color w:val="000000"/>
          <w:sz w:val="24"/>
          <w:szCs w:val="24"/>
          <w:u w:val="single"/>
        </w:rPr>
        <w:t>: Removal of additional days of unemployment allowance</w:t>
      </w:r>
    </w:p>
    <w:p w14:paraId="60D9428C" w14:textId="77777777" w:rsidR="00935FC8" w:rsidRPr="00D0136A" w:rsidRDefault="00935FC8">
      <w:pPr>
        <w:spacing w:before="120" w:after="120" w:line="240" w:lineRule="auto"/>
        <w:jc w:val="both"/>
        <w:rPr>
          <w:rFonts w:ascii="Times New Roman" w:hAnsi="Times New Roman"/>
          <w:noProof/>
        </w:rPr>
      </w:pPr>
      <w:r w:rsidRPr="00D0136A">
        <w:rPr>
          <w:rFonts w:ascii="Times New Roman" w:hAnsi="Times New Roman"/>
          <w:noProof/>
          <w:sz w:val="24"/>
          <w:szCs w:val="24"/>
        </w:rPr>
        <w:t>The objective of the reform is to foster employment by removing disincentives to work for older people and attenuating a targeting of redundancies on older employees. The need to introduce such a reform stems from the fact that the right to additional days of earnings-related unemployment benefits results in extending periods of unemployment among older people approaching their statutory retirement age.</w:t>
      </w:r>
    </w:p>
    <w:p w14:paraId="09DAED93" w14:textId="04A1F510" w:rsidR="00935FC8" w:rsidRPr="00D0136A" w:rsidRDefault="00935FC8">
      <w:pPr>
        <w:spacing w:before="120" w:after="120" w:line="240" w:lineRule="auto"/>
        <w:jc w:val="both"/>
        <w:rPr>
          <w:rFonts w:ascii="Times New Roman" w:hAnsi="Times New Roman"/>
          <w:noProof/>
          <w:sz w:val="24"/>
          <w:szCs w:val="24"/>
        </w:rPr>
      </w:pPr>
      <w:r w:rsidRPr="00D0136A">
        <w:rPr>
          <w:rFonts w:ascii="Times New Roman" w:hAnsi="Times New Roman"/>
          <w:noProof/>
          <w:sz w:val="24"/>
          <w:szCs w:val="24"/>
        </w:rPr>
        <w:t>The measure consists of amending the Unemployment Security Act in order to phase out the age limit for additional days of earnings-related unemployment benefits. The expected impact is an increase in employment of about 7 900 workers by the end of 2029, i.e. beyond the timeframe of the Recovery and Resilience Facility.</w:t>
      </w:r>
    </w:p>
    <w:p w14:paraId="2ED8C56B" w14:textId="2E8090B5" w:rsidR="00935FC8" w:rsidRPr="00531DEC" w:rsidRDefault="00935FC8">
      <w:pPr>
        <w:spacing w:before="120" w:after="120" w:line="240" w:lineRule="auto"/>
        <w:jc w:val="both"/>
        <w:rPr>
          <w:rFonts w:ascii="Times New Roman" w:hAnsi="Times New Roman"/>
          <w:noProof/>
          <w:sz w:val="24"/>
          <w:szCs w:val="24"/>
        </w:rPr>
      </w:pPr>
      <w:r w:rsidRPr="00D0136A">
        <w:rPr>
          <w:rFonts w:ascii="Times New Roman" w:hAnsi="Times New Roman"/>
          <w:noProof/>
          <w:sz w:val="24"/>
          <w:szCs w:val="24"/>
        </w:rPr>
        <w:t>The implementation of the reform shall be completed by 30</w:t>
      </w:r>
      <w:r w:rsidR="00445985">
        <w:rPr>
          <w:rFonts w:ascii="Times New Roman" w:hAnsi="Times New Roman"/>
          <w:noProof/>
          <w:sz w:val="24"/>
          <w:szCs w:val="24"/>
        </w:rPr>
        <w:t> </w:t>
      </w:r>
      <w:r w:rsidRPr="00D0136A">
        <w:rPr>
          <w:rFonts w:ascii="Times New Roman" w:hAnsi="Times New Roman"/>
          <w:noProof/>
          <w:sz w:val="24"/>
          <w:szCs w:val="24"/>
        </w:rPr>
        <w:t>June</w:t>
      </w:r>
      <w:r w:rsidR="00445985">
        <w:rPr>
          <w:rFonts w:ascii="Times New Roman" w:hAnsi="Times New Roman"/>
          <w:noProof/>
          <w:sz w:val="24"/>
          <w:szCs w:val="24"/>
        </w:rPr>
        <w:t> </w:t>
      </w:r>
      <w:r w:rsidRPr="00D0136A">
        <w:rPr>
          <w:rFonts w:ascii="Times New Roman" w:hAnsi="Times New Roman"/>
          <w:noProof/>
          <w:sz w:val="24"/>
          <w:szCs w:val="24"/>
        </w:rPr>
        <w:t>2023.</w:t>
      </w:r>
    </w:p>
    <w:p w14:paraId="4D1A695F" w14:textId="77777777" w:rsidR="00935FC8" w:rsidRPr="00531DEC"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Reform 3 (P3C1R3): Streamlining the work- and education-based immigration process</w:t>
      </w:r>
      <w:r w:rsidRPr="00531DEC">
        <w:rPr>
          <w:rFonts w:ascii="Times New Roman" w:hAnsi="Times New Roman"/>
          <w:noProof/>
          <w:sz w:val="24"/>
          <w:szCs w:val="24"/>
          <w:u w:val="single"/>
        </w:rPr>
        <w:t xml:space="preserve"> </w:t>
      </w:r>
    </w:p>
    <w:p w14:paraId="094930A4" w14:textId="153C325E" w:rsidR="00935FC8" w:rsidRPr="00D0136A"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rPr>
        <w:t xml:space="preserve">The objective of the reform is to streamline the administrative procedures for granting residence permits based on work and education. The measure consists of </w:t>
      </w:r>
      <w:r w:rsidRPr="005C1181">
        <w:rPr>
          <w:rFonts w:ascii="Times New Roman" w:hAnsi="Times New Roman"/>
          <w:noProof/>
          <w:sz w:val="24"/>
          <w:szCs w:val="24"/>
        </w:rPr>
        <w:t xml:space="preserve">a </w:t>
      </w:r>
      <w:r w:rsidRPr="00D0136A">
        <w:rPr>
          <w:rFonts w:ascii="Times New Roman" w:hAnsi="Times New Roman"/>
          <w:noProof/>
          <w:sz w:val="24"/>
          <w:szCs w:val="24"/>
        </w:rPr>
        <w:t>cross-administrative project on (i) streamlining relevant immigration legal acts</w:t>
      </w:r>
      <w:r w:rsidRPr="004D1218">
        <w:rPr>
          <w:rFonts w:ascii="Times New Roman" w:hAnsi="Times New Roman"/>
          <w:noProof/>
          <w:sz w:val="24"/>
          <w:szCs w:val="24"/>
        </w:rPr>
        <w:t>, (ii)</w:t>
      </w:r>
      <w:r w:rsidRPr="00531DEC">
        <w:rPr>
          <w:rFonts w:ascii="Times New Roman" w:hAnsi="Times New Roman"/>
          <w:noProof/>
          <w:sz w:val="24"/>
          <w:szCs w:val="24"/>
        </w:rPr>
        <w:t xml:space="preserve"> creating </w:t>
      </w:r>
      <w:r w:rsidRPr="00D0136A">
        <w:rPr>
          <w:rFonts w:ascii="Times New Roman" w:hAnsi="Times New Roman"/>
          <w:noProof/>
          <w:sz w:val="24"/>
          <w:szCs w:val="24"/>
        </w:rPr>
        <w:t>a “fast-track” for growth entrepreneurs, specialists and their accompanying family members,</w:t>
      </w:r>
      <w:r w:rsidRPr="00531DEC">
        <w:rPr>
          <w:rFonts w:ascii="Times New Roman" w:hAnsi="Times New Roman"/>
          <w:noProof/>
          <w:sz w:val="24"/>
          <w:szCs w:val="24"/>
        </w:rPr>
        <w:t xml:space="preserve"> and (iii) </w:t>
      </w:r>
      <w:r w:rsidRPr="00BE475E">
        <w:rPr>
          <w:rFonts w:ascii="Times New Roman" w:hAnsi="Times New Roman"/>
          <w:noProof/>
          <w:sz w:val="24"/>
          <w:szCs w:val="24"/>
        </w:rPr>
        <w:t>investing in</w:t>
      </w:r>
      <w:r w:rsidRPr="00531DEC">
        <w:rPr>
          <w:rFonts w:ascii="Times New Roman" w:hAnsi="Times New Roman"/>
          <w:noProof/>
          <w:sz w:val="24"/>
          <w:szCs w:val="24"/>
        </w:rPr>
        <w:t xml:space="preserve"> digital infrastructure</w:t>
      </w:r>
      <w:r>
        <w:rPr>
          <w:rFonts w:ascii="Times New Roman" w:hAnsi="Times New Roman"/>
          <w:noProof/>
          <w:sz w:val="24"/>
          <w:szCs w:val="24"/>
        </w:rPr>
        <w:t>.</w:t>
      </w:r>
    </w:p>
    <w:p w14:paraId="57DBAFDC" w14:textId="77777777" w:rsidR="00935FC8" w:rsidRPr="00531DEC"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Reform 4 (P3C1R4): Multidisciplinary services for young people (Ohjaamo services)</w:t>
      </w:r>
    </w:p>
    <w:p w14:paraId="21F6722D" w14:textId="416505FB" w:rsidR="00935FC8" w:rsidRPr="00531DEC" w:rsidRDefault="00935FC8">
      <w:pPr>
        <w:spacing w:before="120" w:after="120" w:line="240" w:lineRule="auto"/>
        <w:jc w:val="both"/>
        <w:rPr>
          <w:rFonts w:ascii="Times New Roman" w:hAnsi="Times New Roman"/>
          <w:noProof/>
          <w:sz w:val="24"/>
          <w:szCs w:val="24"/>
        </w:rPr>
      </w:pPr>
      <w:r w:rsidRPr="00531DEC">
        <w:rPr>
          <w:rFonts w:ascii="Times New Roman" w:hAnsi="Times New Roman"/>
          <w:noProof/>
          <w:sz w:val="24"/>
          <w:szCs w:val="24"/>
        </w:rPr>
        <w:t xml:space="preserve">The objective of the reform is </w:t>
      </w:r>
      <w:r w:rsidRPr="00D0136A">
        <w:rPr>
          <w:rFonts w:ascii="Times New Roman" w:hAnsi="Times New Roman"/>
          <w:noProof/>
          <w:sz w:val="24"/>
          <w:szCs w:val="24"/>
        </w:rPr>
        <w:t>the</w:t>
      </w:r>
      <w:r w:rsidRPr="00531DEC">
        <w:rPr>
          <w:rFonts w:ascii="Times New Roman" w:hAnsi="Times New Roman"/>
          <w:noProof/>
          <w:sz w:val="24"/>
          <w:szCs w:val="24"/>
        </w:rPr>
        <w:t xml:space="preserve"> </w:t>
      </w:r>
      <w:r w:rsidRPr="00D0136A">
        <w:rPr>
          <w:rFonts w:ascii="Times New Roman" w:hAnsi="Times New Roman"/>
          <w:noProof/>
          <w:sz w:val="24"/>
          <w:szCs w:val="24"/>
        </w:rPr>
        <w:t>provision of</w:t>
      </w:r>
      <w:r w:rsidR="00EE67C5">
        <w:rPr>
          <w:rFonts w:ascii="Times New Roman" w:hAnsi="Times New Roman"/>
          <w:noProof/>
          <w:sz w:val="24"/>
          <w:szCs w:val="24"/>
        </w:rPr>
        <w:t xml:space="preserve"> </w:t>
      </w:r>
      <w:r w:rsidRPr="004A1685">
        <w:rPr>
          <w:rFonts w:ascii="Times New Roman" w:hAnsi="Times New Roman"/>
          <w:noProof/>
          <w:sz w:val="24"/>
          <w:szCs w:val="24"/>
        </w:rPr>
        <w:t xml:space="preserve"> multidisciplinary services for the youth.</w:t>
      </w:r>
      <w:r w:rsidRPr="00531DEC">
        <w:rPr>
          <w:rFonts w:ascii="Times New Roman" w:hAnsi="Times New Roman"/>
          <w:noProof/>
          <w:sz w:val="24"/>
          <w:szCs w:val="24"/>
        </w:rPr>
        <w:t xml:space="preserve"> The measure </w:t>
      </w:r>
      <w:r w:rsidRPr="00982478">
        <w:rPr>
          <w:rFonts w:ascii="Times New Roman" w:hAnsi="Times New Roman"/>
          <w:noProof/>
          <w:sz w:val="24"/>
          <w:szCs w:val="24"/>
        </w:rPr>
        <w:t>consists of providing work force to the</w:t>
      </w:r>
      <w:r w:rsidRPr="00531DEC">
        <w:rPr>
          <w:rFonts w:ascii="Times New Roman" w:hAnsi="Times New Roman"/>
          <w:noProof/>
          <w:sz w:val="24"/>
          <w:szCs w:val="24"/>
        </w:rPr>
        <w:t xml:space="preserve"> one-stop youth centres (</w:t>
      </w:r>
      <w:r w:rsidRPr="00D0136A">
        <w:rPr>
          <w:rFonts w:ascii="Times New Roman" w:hAnsi="Times New Roman"/>
          <w:noProof/>
          <w:sz w:val="24"/>
          <w:szCs w:val="24"/>
        </w:rPr>
        <w:t>Ohjaamo) to</w:t>
      </w:r>
      <w:r w:rsidRPr="00D41D04">
        <w:rPr>
          <w:rFonts w:ascii="Times New Roman" w:hAnsi="Times New Roman"/>
          <w:noProof/>
          <w:sz w:val="24"/>
          <w:szCs w:val="24"/>
        </w:rPr>
        <w:t xml:space="preserve"> offer educational, health and/or social services.</w:t>
      </w:r>
    </w:p>
    <w:p w14:paraId="0686E75E" w14:textId="68391D3B" w:rsidR="00935FC8" w:rsidRPr="00531DEC"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1 (P3C1I1):</w:t>
      </w:r>
      <w:r w:rsidR="00EE67C5">
        <w:rPr>
          <w:rFonts w:ascii="Times New Roman" w:hAnsi="Times New Roman"/>
          <w:noProof/>
          <w:sz w:val="24"/>
          <w:szCs w:val="24"/>
          <w:u w:val="single"/>
        </w:rPr>
        <w:t xml:space="preserve"> </w:t>
      </w:r>
      <w:r w:rsidRPr="00D0136A">
        <w:rPr>
          <w:rFonts w:ascii="Times New Roman" w:hAnsi="Times New Roman"/>
          <w:noProof/>
          <w:sz w:val="24"/>
          <w:szCs w:val="24"/>
          <w:u w:val="single"/>
        </w:rPr>
        <w:t>Work ability, productivity and well-being at work</w:t>
      </w:r>
      <w:r w:rsidRPr="00531DEC">
        <w:rPr>
          <w:rFonts w:ascii="Times New Roman" w:hAnsi="Times New Roman"/>
          <w:noProof/>
          <w:sz w:val="24"/>
          <w:szCs w:val="24"/>
          <w:u w:val="single"/>
        </w:rPr>
        <w:t xml:space="preserve"> </w:t>
      </w:r>
    </w:p>
    <w:p w14:paraId="0066AB6A" w14:textId="5BA3531C" w:rsidR="00935FC8" w:rsidRPr="00531DEC" w:rsidRDefault="00935FC8">
      <w:pPr>
        <w:spacing w:before="120" w:after="120" w:line="240" w:lineRule="auto"/>
        <w:jc w:val="both"/>
        <w:rPr>
          <w:rFonts w:ascii="Times New Roman" w:hAnsi="Times New Roman"/>
          <w:noProof/>
          <w:sz w:val="24"/>
          <w:szCs w:val="24"/>
        </w:rPr>
      </w:pPr>
      <w:r w:rsidRPr="00531DEC">
        <w:rPr>
          <w:rFonts w:ascii="Times New Roman" w:hAnsi="Times New Roman"/>
          <w:noProof/>
          <w:sz w:val="24"/>
          <w:szCs w:val="24"/>
        </w:rPr>
        <w:t xml:space="preserve">The objective of the investment is </w:t>
      </w:r>
      <w:r w:rsidRPr="00640AF4">
        <w:rPr>
          <w:rFonts w:ascii="Times New Roman" w:hAnsi="Times New Roman"/>
          <w:noProof/>
          <w:sz w:val="24"/>
          <w:szCs w:val="24"/>
        </w:rPr>
        <w:t xml:space="preserve">to </w:t>
      </w:r>
      <w:r w:rsidRPr="000558C3">
        <w:rPr>
          <w:rFonts w:ascii="Times New Roman" w:hAnsi="Times New Roman"/>
          <w:noProof/>
          <w:sz w:val="24"/>
          <w:szCs w:val="24"/>
        </w:rPr>
        <w:t>increase the participation in the labour market of people with partial work ability</w:t>
      </w:r>
      <w:r w:rsidRPr="00D0136A">
        <w:rPr>
          <w:rFonts w:ascii="Times New Roman" w:hAnsi="Times New Roman"/>
          <w:noProof/>
          <w:sz w:val="24"/>
          <w:szCs w:val="24"/>
        </w:rPr>
        <w:t>.</w:t>
      </w:r>
      <w:r w:rsidRPr="00B555B3">
        <w:rPr>
          <w:rFonts w:ascii="Times New Roman" w:hAnsi="Times New Roman"/>
          <w:noProof/>
          <w:sz w:val="24"/>
          <w:szCs w:val="24"/>
        </w:rPr>
        <w:t xml:space="preserve"> </w:t>
      </w:r>
      <w:r w:rsidRPr="00531DEC">
        <w:rPr>
          <w:rFonts w:ascii="Times New Roman" w:hAnsi="Times New Roman"/>
          <w:noProof/>
          <w:sz w:val="24"/>
          <w:szCs w:val="24"/>
        </w:rPr>
        <w:t xml:space="preserve">The investment consists </w:t>
      </w:r>
      <w:r w:rsidRPr="00080F9F">
        <w:rPr>
          <w:rFonts w:ascii="Times New Roman" w:hAnsi="Times New Roman"/>
          <w:noProof/>
          <w:sz w:val="24"/>
          <w:szCs w:val="24"/>
        </w:rPr>
        <w:t xml:space="preserve">of an extension of the Work Ability programme to new municipalities </w:t>
      </w:r>
      <w:r w:rsidRPr="00E75265">
        <w:rPr>
          <w:rFonts w:ascii="Times New Roman" w:hAnsi="Times New Roman"/>
          <w:noProof/>
          <w:sz w:val="24"/>
          <w:szCs w:val="24"/>
        </w:rPr>
        <w:t>and</w:t>
      </w:r>
      <w:r w:rsidRPr="00531DEC">
        <w:rPr>
          <w:rFonts w:ascii="Times New Roman" w:hAnsi="Times New Roman"/>
          <w:noProof/>
          <w:sz w:val="24"/>
          <w:szCs w:val="24"/>
        </w:rPr>
        <w:t xml:space="preserve"> the Individual Placement and Support Model to new</w:t>
      </w:r>
      <w:r w:rsidRPr="00B555B3">
        <w:rPr>
          <w:rFonts w:ascii="Times New Roman" w:hAnsi="Times New Roman"/>
          <w:noProof/>
          <w:sz w:val="24"/>
          <w:szCs w:val="24"/>
        </w:rPr>
        <w:t xml:space="preserve"> welfare areas, and an increase in the number of </w:t>
      </w:r>
      <w:r w:rsidRPr="007A2C52">
        <w:rPr>
          <w:rFonts w:ascii="Times New Roman" w:hAnsi="Times New Roman"/>
          <w:noProof/>
          <w:sz w:val="24"/>
          <w:szCs w:val="24"/>
        </w:rPr>
        <w:t>workplaces or occupational healthcare units participating in</w:t>
      </w:r>
      <w:r w:rsidR="00EE67C5">
        <w:rPr>
          <w:rFonts w:ascii="Times New Roman" w:hAnsi="Times New Roman"/>
          <w:noProof/>
          <w:sz w:val="24"/>
          <w:szCs w:val="24"/>
        </w:rPr>
        <w:t xml:space="preserve"> </w:t>
      </w:r>
      <w:r w:rsidRPr="007A2C52">
        <w:rPr>
          <w:rFonts w:ascii="Times New Roman" w:hAnsi="Times New Roman"/>
          <w:noProof/>
          <w:sz w:val="24"/>
          <w:szCs w:val="24"/>
        </w:rPr>
        <w:t xml:space="preserve">work ability </w:t>
      </w:r>
      <w:r w:rsidRPr="00D0136A">
        <w:rPr>
          <w:rFonts w:ascii="Times New Roman" w:hAnsi="Times New Roman"/>
          <w:noProof/>
          <w:sz w:val="24"/>
          <w:szCs w:val="24"/>
        </w:rPr>
        <w:t>promotion measures.</w:t>
      </w:r>
    </w:p>
    <w:p w14:paraId="7DCA9FB3" w14:textId="77777777" w:rsidR="00935FC8" w:rsidRPr="00531DEC" w:rsidRDefault="00935FC8">
      <w:pPr>
        <w:spacing w:before="120" w:after="120" w:line="240" w:lineRule="auto"/>
        <w:jc w:val="both"/>
        <w:rPr>
          <w:rFonts w:ascii="Times New Roman" w:hAnsi="Times New Roman"/>
          <w:noProof/>
          <w:sz w:val="24"/>
          <w:szCs w:val="24"/>
        </w:rPr>
        <w:sectPr w:rsidR="00935FC8" w:rsidRPr="00531DEC" w:rsidSect="00A70B17">
          <w:pgSz w:w="11907" w:h="16839" w:code="9"/>
          <w:pgMar w:top="1134" w:right="1134" w:bottom="1134" w:left="1134" w:header="567" w:footer="567" w:gutter="0"/>
          <w:cols w:space="720"/>
          <w:docGrid w:linePitch="360"/>
        </w:sectPr>
      </w:pPr>
    </w:p>
    <w:p w14:paraId="615D9DF2" w14:textId="77777777" w:rsidR="00935FC8" w:rsidRPr="00531DEC" w:rsidRDefault="00935FC8">
      <w:pPr>
        <w:spacing w:before="120" w:after="120" w:line="240" w:lineRule="auto"/>
        <w:jc w:val="both"/>
        <w:rPr>
          <w:rFonts w:ascii="Times New Roman" w:hAnsi="Times New Roman"/>
          <w:b/>
          <w:noProof/>
          <w:sz w:val="24"/>
          <w:u w:val="single"/>
        </w:rPr>
      </w:pPr>
      <w:r w:rsidRPr="00531DEC">
        <w:rPr>
          <w:rFonts w:ascii="Times New Roman" w:hAnsi="Times New Roman"/>
          <w:b/>
          <w:noProof/>
          <w:sz w:val="24"/>
          <w:u w:val="single"/>
        </w:rPr>
        <w:t xml:space="preserve">I.2. </w:t>
      </w:r>
      <w:r w:rsidRPr="00531DEC">
        <w:rPr>
          <w:rFonts w:ascii="Times New Roman" w:hAnsi="Times New Roman"/>
          <w:b/>
          <w:noProof/>
          <w:sz w:val="24"/>
          <w:u w:val="single"/>
        </w:rPr>
        <w:tab/>
        <w:t>Milestones, targets, indicators, and timetable for monitoring and implementation for non-repayable financial support</w:t>
      </w:r>
    </w:p>
    <w:tbl>
      <w:tblPr>
        <w:tblW w:w="15593" w:type="dxa"/>
        <w:jc w:val="center"/>
        <w:tblLayout w:type="fixed"/>
        <w:tblCellMar>
          <w:left w:w="28" w:type="dxa"/>
          <w:right w:w="28" w:type="dxa"/>
        </w:tblCellMar>
        <w:tblLook w:val="0600" w:firstRow="0" w:lastRow="0" w:firstColumn="0" w:lastColumn="0" w:noHBand="1" w:noVBand="1"/>
      </w:tblPr>
      <w:tblGrid>
        <w:gridCol w:w="846"/>
        <w:gridCol w:w="1669"/>
        <w:gridCol w:w="1024"/>
        <w:gridCol w:w="1676"/>
        <w:gridCol w:w="1473"/>
        <w:gridCol w:w="1104"/>
        <w:gridCol w:w="850"/>
        <w:gridCol w:w="992"/>
        <w:gridCol w:w="851"/>
        <w:gridCol w:w="709"/>
        <w:gridCol w:w="4399"/>
      </w:tblGrid>
      <w:tr w:rsidR="00A7081A" w:rsidRPr="009E7709" w14:paraId="763DB869" w14:textId="77777777" w:rsidTr="00BC6715">
        <w:trPr>
          <w:trHeight w:val="699"/>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DBA921A" w14:textId="77777777" w:rsidR="00935FC8" w:rsidRPr="009E7709" w:rsidRDefault="00935FC8">
            <w:pPr>
              <w:spacing w:after="0" w:line="240" w:lineRule="auto"/>
              <w:jc w:val="center"/>
              <w:rPr>
                <w:rFonts w:ascii="Times New Roman" w:eastAsia="Times New Roman" w:hAnsi="Times New Roman"/>
                <w:b/>
                <w:noProof/>
                <w:sz w:val="20"/>
                <w:szCs w:val="20"/>
                <w:lang w:eastAsia="en-GB"/>
              </w:rPr>
            </w:pPr>
            <w:r w:rsidRPr="009E7709">
              <w:rPr>
                <w:rFonts w:ascii="Times New Roman" w:eastAsia="Times New Roman" w:hAnsi="Times New Roman"/>
                <w:b/>
                <w:noProof/>
                <w:sz w:val="20"/>
                <w:szCs w:val="20"/>
                <w:lang w:eastAsia="en-GB"/>
              </w:rPr>
              <w:t>Number</w:t>
            </w:r>
          </w:p>
        </w:tc>
        <w:tc>
          <w:tcPr>
            <w:tcW w:w="16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983F2A4" w14:textId="77777777" w:rsidR="00935FC8" w:rsidRPr="009E7709" w:rsidRDefault="00935FC8">
            <w:pPr>
              <w:spacing w:after="0" w:line="240" w:lineRule="auto"/>
              <w:jc w:val="center"/>
              <w:rPr>
                <w:rFonts w:ascii="Times New Roman" w:eastAsia="Times New Roman" w:hAnsi="Times New Roman"/>
                <w:b/>
                <w:noProof/>
                <w:sz w:val="20"/>
                <w:szCs w:val="20"/>
                <w:lang w:eastAsia="en-GB"/>
              </w:rPr>
            </w:pPr>
            <w:r w:rsidRPr="009E7709">
              <w:rPr>
                <w:rFonts w:ascii="Times New Roman" w:eastAsia="Times New Roman" w:hAnsi="Times New Roman"/>
                <w:b/>
                <w:noProof/>
                <w:sz w:val="20"/>
                <w:szCs w:val="20"/>
                <w:lang w:eastAsia="en-GB"/>
              </w:rPr>
              <w:t xml:space="preserve">Measure </w:t>
            </w:r>
          </w:p>
        </w:tc>
        <w:tc>
          <w:tcPr>
            <w:tcW w:w="10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6007FE1" w14:textId="77777777" w:rsidR="00935FC8" w:rsidRPr="009E7709" w:rsidRDefault="00935FC8">
            <w:pPr>
              <w:spacing w:after="0" w:line="240" w:lineRule="auto"/>
              <w:jc w:val="center"/>
              <w:rPr>
                <w:rFonts w:ascii="Times New Roman" w:eastAsia="Times New Roman" w:hAnsi="Times New Roman"/>
                <w:b/>
                <w:noProof/>
                <w:sz w:val="20"/>
                <w:szCs w:val="20"/>
                <w:lang w:eastAsia="en-GB"/>
              </w:rPr>
            </w:pPr>
            <w:r w:rsidRPr="009E7709">
              <w:rPr>
                <w:rFonts w:ascii="Times New Roman" w:eastAsia="Times New Roman" w:hAnsi="Times New Roman"/>
                <w:b/>
                <w:noProof/>
                <w:sz w:val="20"/>
                <w:szCs w:val="20"/>
                <w:lang w:eastAsia="en-GB"/>
              </w:rPr>
              <w:t>Milestone / Target</w:t>
            </w:r>
          </w:p>
        </w:tc>
        <w:tc>
          <w:tcPr>
            <w:tcW w:w="16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36AFC8" w14:textId="77777777" w:rsidR="00935FC8" w:rsidRPr="009E7709" w:rsidRDefault="00935FC8">
            <w:pPr>
              <w:spacing w:after="0" w:line="240" w:lineRule="auto"/>
              <w:jc w:val="center"/>
              <w:rPr>
                <w:rFonts w:ascii="Times New Roman" w:eastAsia="Times New Roman" w:hAnsi="Times New Roman"/>
                <w:b/>
                <w:noProof/>
                <w:sz w:val="20"/>
                <w:szCs w:val="20"/>
                <w:lang w:eastAsia="en-GB"/>
              </w:rPr>
            </w:pPr>
            <w:r w:rsidRPr="009E7709">
              <w:rPr>
                <w:rFonts w:ascii="Times New Roman" w:eastAsia="Times New Roman" w:hAnsi="Times New Roman"/>
                <w:b/>
                <w:noProof/>
                <w:sz w:val="20"/>
                <w:szCs w:val="20"/>
                <w:lang w:eastAsia="en-GB"/>
              </w:rPr>
              <w:t>Name</w:t>
            </w:r>
          </w:p>
        </w:tc>
        <w:tc>
          <w:tcPr>
            <w:tcW w:w="14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9026BB8" w14:textId="77777777" w:rsidR="00935FC8" w:rsidRPr="009E7709" w:rsidRDefault="00935FC8">
            <w:pPr>
              <w:spacing w:after="0" w:line="240" w:lineRule="auto"/>
              <w:jc w:val="center"/>
              <w:rPr>
                <w:rFonts w:ascii="Times New Roman" w:eastAsia="Times New Roman" w:hAnsi="Times New Roman"/>
                <w:b/>
                <w:noProof/>
                <w:sz w:val="20"/>
                <w:szCs w:val="20"/>
                <w:lang w:eastAsia="en-GB"/>
              </w:rPr>
            </w:pPr>
            <w:r w:rsidRPr="009E7709">
              <w:rPr>
                <w:rFonts w:ascii="Times New Roman" w:eastAsia="Times New Roman" w:hAnsi="Times New Roman"/>
                <w:b/>
                <w:noProof/>
                <w:sz w:val="20"/>
                <w:szCs w:val="20"/>
                <w:lang w:eastAsia="en-GB"/>
              </w:rPr>
              <w:t xml:space="preserve">Qualitative indicators </w:t>
            </w:r>
            <w:r w:rsidRPr="009E7709">
              <w:rPr>
                <w:rFonts w:ascii="Times New Roman" w:eastAsia="Times New Roman" w:hAnsi="Times New Roman"/>
                <w:b/>
                <w:noProof/>
                <w:sz w:val="20"/>
                <w:szCs w:val="20"/>
                <w:lang w:eastAsia="en-GB"/>
              </w:rPr>
              <w:br/>
              <w:t>(for milestones)</w:t>
            </w:r>
          </w:p>
        </w:tc>
        <w:tc>
          <w:tcPr>
            <w:tcW w:w="294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CEB203A" w14:textId="77777777" w:rsidR="00935FC8" w:rsidRPr="009E7709" w:rsidRDefault="00935FC8">
            <w:pPr>
              <w:spacing w:after="0" w:line="240" w:lineRule="auto"/>
              <w:jc w:val="center"/>
              <w:rPr>
                <w:rFonts w:ascii="Times New Roman" w:eastAsia="Times New Roman" w:hAnsi="Times New Roman"/>
                <w:b/>
                <w:noProof/>
                <w:sz w:val="20"/>
                <w:szCs w:val="20"/>
                <w:lang w:eastAsia="en-GB"/>
              </w:rPr>
            </w:pPr>
            <w:r w:rsidRPr="009E7709">
              <w:rPr>
                <w:rFonts w:ascii="Times New Roman" w:eastAsia="Times New Roman" w:hAnsi="Times New Roman"/>
                <w:b/>
                <w:noProof/>
                <w:sz w:val="20"/>
                <w:szCs w:val="20"/>
                <w:lang w:eastAsia="en-GB"/>
              </w:rPr>
              <w:t>Quantitative indicators</w:t>
            </w:r>
            <w:r w:rsidRPr="009E7709">
              <w:rPr>
                <w:rFonts w:ascii="Times New Roman" w:eastAsia="Times New Roman" w:hAnsi="Times New Roman"/>
                <w:b/>
                <w:noProof/>
                <w:sz w:val="20"/>
                <w:szCs w:val="20"/>
                <w:lang w:eastAsia="en-GB"/>
              </w:rPr>
              <w:br/>
              <w:t>(for targets)</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23401542" w14:textId="370CF306" w:rsidR="00935FC8" w:rsidRPr="009E7709" w:rsidRDefault="00935FC8" w:rsidP="000F3161">
            <w:pPr>
              <w:spacing w:after="0" w:line="240" w:lineRule="auto"/>
              <w:jc w:val="center"/>
              <w:rPr>
                <w:rFonts w:ascii="Times New Roman" w:eastAsia="Times New Roman" w:hAnsi="Times New Roman"/>
                <w:b/>
                <w:noProof/>
                <w:sz w:val="20"/>
                <w:szCs w:val="20"/>
                <w:lang w:eastAsia="en-GB"/>
              </w:rPr>
            </w:pPr>
            <w:r w:rsidRPr="009E7709">
              <w:rPr>
                <w:rFonts w:ascii="Times New Roman" w:eastAsia="Times New Roman" w:hAnsi="Times New Roman"/>
                <w:b/>
                <w:noProof/>
                <w:sz w:val="20"/>
                <w:szCs w:val="20"/>
                <w:lang w:eastAsia="en-GB"/>
              </w:rPr>
              <w:t>Indicative timeline</w:t>
            </w:r>
            <w:r w:rsidR="000F3161">
              <w:rPr>
                <w:rFonts w:ascii="Times New Roman" w:eastAsia="Times New Roman" w:hAnsi="Times New Roman"/>
                <w:b/>
                <w:noProof/>
                <w:sz w:val="20"/>
                <w:szCs w:val="20"/>
                <w:lang w:eastAsia="en-GB"/>
              </w:rPr>
              <w:t xml:space="preserve"> </w:t>
            </w:r>
            <w:r w:rsidRPr="009E7709">
              <w:rPr>
                <w:rFonts w:ascii="Times New Roman" w:eastAsia="Times New Roman" w:hAnsi="Times New Roman"/>
                <w:b/>
                <w:noProof/>
                <w:sz w:val="20"/>
                <w:szCs w:val="20"/>
                <w:lang w:eastAsia="en-GB"/>
              </w:rPr>
              <w:t>for completion</w:t>
            </w:r>
          </w:p>
        </w:tc>
        <w:tc>
          <w:tcPr>
            <w:tcW w:w="43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7C43B0" w14:textId="77777777" w:rsidR="00935FC8" w:rsidRPr="009E7709" w:rsidRDefault="00935FC8">
            <w:pPr>
              <w:spacing w:after="0" w:line="240" w:lineRule="auto"/>
              <w:jc w:val="center"/>
              <w:rPr>
                <w:rFonts w:ascii="Times New Roman" w:eastAsia="Times New Roman" w:hAnsi="Times New Roman"/>
                <w:b/>
                <w:noProof/>
                <w:sz w:val="20"/>
                <w:szCs w:val="20"/>
                <w:lang w:eastAsia="en-GB"/>
              </w:rPr>
            </w:pPr>
            <w:r w:rsidRPr="009E7709">
              <w:rPr>
                <w:rFonts w:ascii="Times New Roman" w:eastAsia="Times New Roman" w:hAnsi="Times New Roman"/>
                <w:b/>
                <w:noProof/>
                <w:sz w:val="20"/>
                <w:szCs w:val="20"/>
                <w:lang w:eastAsia="en-GB"/>
              </w:rPr>
              <w:t>Description of each milestone and target</w:t>
            </w:r>
          </w:p>
        </w:tc>
      </w:tr>
      <w:tr w:rsidR="00A7081A" w:rsidRPr="009E7709" w14:paraId="4C3933C9" w14:textId="77777777" w:rsidTr="00BC6715">
        <w:trPr>
          <w:trHeight w:val="552"/>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38D88F8D" w14:textId="77777777" w:rsidR="00935FC8" w:rsidRPr="009E7709" w:rsidRDefault="00935FC8">
            <w:pPr>
              <w:spacing w:after="0" w:line="240" w:lineRule="auto"/>
              <w:jc w:val="center"/>
              <w:rPr>
                <w:rFonts w:ascii="Times New Roman" w:eastAsia="Times New Roman" w:hAnsi="Times New Roman"/>
                <w:b/>
                <w:noProof/>
                <w:sz w:val="20"/>
                <w:szCs w:val="20"/>
                <w:lang w:eastAsia="en-GB"/>
              </w:rPr>
            </w:pPr>
          </w:p>
        </w:tc>
        <w:tc>
          <w:tcPr>
            <w:tcW w:w="1669" w:type="dxa"/>
            <w:vMerge/>
            <w:tcBorders>
              <w:top w:val="single" w:sz="4" w:space="0" w:color="auto"/>
              <w:left w:val="single" w:sz="4" w:space="0" w:color="auto"/>
              <w:bottom w:val="single" w:sz="4" w:space="0" w:color="auto"/>
              <w:right w:val="single" w:sz="4" w:space="0" w:color="auto"/>
            </w:tcBorders>
            <w:vAlign w:val="center"/>
            <w:hideMark/>
          </w:tcPr>
          <w:p w14:paraId="6707F45B" w14:textId="77777777" w:rsidR="00935FC8" w:rsidRPr="009E7709" w:rsidRDefault="00935FC8">
            <w:pPr>
              <w:spacing w:after="0" w:line="240" w:lineRule="auto"/>
              <w:jc w:val="center"/>
              <w:rPr>
                <w:rFonts w:ascii="Times New Roman" w:eastAsia="Times New Roman" w:hAnsi="Times New Roman"/>
                <w:b/>
                <w:noProof/>
                <w:sz w:val="20"/>
                <w:szCs w:val="20"/>
                <w:lang w:eastAsia="en-GB"/>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3736229F" w14:textId="77777777" w:rsidR="00935FC8" w:rsidRPr="009E7709" w:rsidRDefault="00935FC8">
            <w:pPr>
              <w:spacing w:after="0" w:line="240" w:lineRule="auto"/>
              <w:jc w:val="center"/>
              <w:rPr>
                <w:rFonts w:ascii="Times New Roman" w:eastAsia="Times New Roman" w:hAnsi="Times New Roman"/>
                <w:b/>
                <w:noProof/>
                <w:sz w:val="20"/>
                <w:szCs w:val="20"/>
                <w:lang w:eastAsia="en-GB"/>
              </w:rPr>
            </w:pPr>
          </w:p>
        </w:tc>
        <w:tc>
          <w:tcPr>
            <w:tcW w:w="1676" w:type="dxa"/>
            <w:vMerge/>
            <w:tcBorders>
              <w:top w:val="single" w:sz="4" w:space="0" w:color="auto"/>
              <w:left w:val="single" w:sz="4" w:space="0" w:color="auto"/>
              <w:bottom w:val="single" w:sz="4" w:space="0" w:color="auto"/>
              <w:right w:val="single" w:sz="4" w:space="0" w:color="auto"/>
            </w:tcBorders>
            <w:vAlign w:val="center"/>
            <w:hideMark/>
          </w:tcPr>
          <w:p w14:paraId="32DB0641" w14:textId="77777777" w:rsidR="00935FC8" w:rsidRPr="009E7709" w:rsidRDefault="00935FC8">
            <w:pPr>
              <w:spacing w:after="0" w:line="240" w:lineRule="auto"/>
              <w:jc w:val="center"/>
              <w:rPr>
                <w:rFonts w:ascii="Times New Roman" w:eastAsia="Times New Roman" w:hAnsi="Times New Roman"/>
                <w:b/>
                <w:noProof/>
                <w:sz w:val="20"/>
                <w:szCs w:val="20"/>
                <w:lang w:eastAsia="en-GB"/>
              </w:rPr>
            </w:pPr>
          </w:p>
        </w:tc>
        <w:tc>
          <w:tcPr>
            <w:tcW w:w="1473" w:type="dxa"/>
            <w:vMerge/>
            <w:tcBorders>
              <w:top w:val="single" w:sz="4" w:space="0" w:color="auto"/>
              <w:left w:val="single" w:sz="4" w:space="0" w:color="auto"/>
              <w:bottom w:val="single" w:sz="4" w:space="0" w:color="auto"/>
              <w:right w:val="single" w:sz="4" w:space="0" w:color="auto"/>
            </w:tcBorders>
            <w:vAlign w:val="center"/>
            <w:hideMark/>
          </w:tcPr>
          <w:p w14:paraId="178BB2F3" w14:textId="77777777" w:rsidR="00935FC8" w:rsidRPr="009E7709" w:rsidRDefault="00935FC8">
            <w:pPr>
              <w:spacing w:after="0" w:line="240" w:lineRule="auto"/>
              <w:jc w:val="center"/>
              <w:rPr>
                <w:rFonts w:ascii="Times New Roman" w:eastAsia="Times New Roman" w:hAnsi="Times New Roman"/>
                <w:b/>
                <w:noProof/>
                <w:sz w:val="20"/>
                <w:szCs w:val="20"/>
                <w:lang w:eastAsia="en-GB"/>
              </w:rPr>
            </w:pPr>
          </w:p>
        </w:tc>
        <w:tc>
          <w:tcPr>
            <w:tcW w:w="110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55CC4C1" w14:textId="23B84CB7" w:rsidR="00935FC8" w:rsidRPr="009E7709" w:rsidRDefault="00935FC8" w:rsidP="00445985">
            <w:pPr>
              <w:spacing w:after="0" w:line="240" w:lineRule="auto"/>
              <w:jc w:val="center"/>
              <w:rPr>
                <w:rFonts w:ascii="Times New Roman" w:eastAsia="Times New Roman" w:hAnsi="Times New Roman"/>
                <w:b/>
                <w:noProof/>
                <w:sz w:val="20"/>
                <w:szCs w:val="20"/>
                <w:lang w:eastAsia="en-GB"/>
              </w:rPr>
            </w:pPr>
            <w:r w:rsidRPr="009E7709">
              <w:rPr>
                <w:rFonts w:ascii="Times New Roman" w:eastAsia="Times New Roman" w:hAnsi="Times New Roman"/>
                <w:b/>
                <w:noProof/>
                <w:sz w:val="20"/>
                <w:szCs w:val="20"/>
                <w:lang w:eastAsia="en-GB"/>
              </w:rPr>
              <w:t>Unit</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2F50DF6" w14:textId="7063BF66" w:rsidR="00935FC8" w:rsidRPr="009E7709" w:rsidRDefault="00935FC8" w:rsidP="00445985">
            <w:pPr>
              <w:spacing w:after="0" w:line="240" w:lineRule="auto"/>
              <w:jc w:val="center"/>
              <w:rPr>
                <w:rFonts w:ascii="Times New Roman" w:eastAsia="Times New Roman" w:hAnsi="Times New Roman"/>
                <w:b/>
                <w:bCs/>
                <w:noProof/>
                <w:sz w:val="20"/>
                <w:szCs w:val="20"/>
                <w:lang w:eastAsia="en-GB"/>
              </w:rPr>
            </w:pPr>
            <w:r w:rsidRPr="009E7709">
              <w:rPr>
                <w:rFonts w:ascii="Times New Roman" w:eastAsia="Times New Roman" w:hAnsi="Times New Roman"/>
                <w:b/>
                <w:bCs/>
                <w:noProof/>
                <w:sz w:val="20"/>
                <w:szCs w:val="20"/>
                <w:lang w:eastAsia="en-GB"/>
              </w:rPr>
              <w:t>Baseline</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E2554C7" w14:textId="77777777" w:rsidR="00935FC8" w:rsidRPr="009E7709" w:rsidRDefault="00935FC8" w:rsidP="00445985">
            <w:pPr>
              <w:spacing w:after="0" w:line="240" w:lineRule="auto"/>
              <w:jc w:val="center"/>
              <w:rPr>
                <w:rFonts w:ascii="Times New Roman" w:eastAsia="Times New Roman" w:hAnsi="Times New Roman"/>
                <w:b/>
                <w:noProof/>
                <w:sz w:val="20"/>
                <w:szCs w:val="20"/>
                <w:lang w:eastAsia="en-GB"/>
              </w:rPr>
            </w:pPr>
            <w:r w:rsidRPr="009E7709">
              <w:rPr>
                <w:rFonts w:ascii="Times New Roman" w:eastAsia="Times New Roman" w:hAnsi="Times New Roman"/>
                <w:b/>
                <w:noProof/>
                <w:sz w:val="20"/>
                <w:szCs w:val="20"/>
                <w:lang w:eastAsia="en-GB"/>
              </w:rPr>
              <w:t>Goal</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9326241" w14:textId="77777777" w:rsidR="00935FC8" w:rsidRPr="009E7709" w:rsidRDefault="00935FC8" w:rsidP="00445985">
            <w:pPr>
              <w:spacing w:after="0" w:line="240" w:lineRule="auto"/>
              <w:jc w:val="center"/>
              <w:rPr>
                <w:rFonts w:ascii="Times New Roman" w:eastAsia="Times New Roman" w:hAnsi="Times New Roman"/>
                <w:b/>
                <w:noProof/>
                <w:sz w:val="20"/>
                <w:szCs w:val="20"/>
                <w:lang w:eastAsia="en-GB"/>
              </w:rPr>
            </w:pPr>
            <w:r w:rsidRPr="009E7709">
              <w:rPr>
                <w:rFonts w:ascii="Times New Roman" w:eastAsia="Times New Roman" w:hAnsi="Times New Roman"/>
                <w:b/>
                <w:noProof/>
                <w:sz w:val="20"/>
                <w:szCs w:val="20"/>
                <w:lang w:eastAsia="en-GB"/>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F06382" w14:textId="77777777" w:rsidR="00935FC8" w:rsidRPr="009E7709" w:rsidRDefault="00935FC8" w:rsidP="00445985">
            <w:pPr>
              <w:spacing w:after="0" w:line="240" w:lineRule="auto"/>
              <w:jc w:val="center"/>
              <w:rPr>
                <w:rFonts w:ascii="Times New Roman" w:eastAsia="Times New Roman" w:hAnsi="Times New Roman"/>
                <w:b/>
                <w:noProof/>
                <w:sz w:val="20"/>
                <w:szCs w:val="20"/>
                <w:lang w:eastAsia="en-GB"/>
              </w:rPr>
            </w:pPr>
            <w:r w:rsidRPr="009E7709">
              <w:rPr>
                <w:rFonts w:ascii="Times New Roman" w:eastAsia="Times New Roman" w:hAnsi="Times New Roman"/>
                <w:b/>
                <w:noProof/>
                <w:sz w:val="20"/>
                <w:szCs w:val="20"/>
                <w:lang w:eastAsia="en-GB"/>
              </w:rPr>
              <w:t>Year</w:t>
            </w:r>
          </w:p>
        </w:tc>
        <w:tc>
          <w:tcPr>
            <w:tcW w:w="4399" w:type="dxa"/>
            <w:vMerge/>
            <w:tcBorders>
              <w:top w:val="single" w:sz="4" w:space="0" w:color="auto"/>
              <w:bottom w:val="single" w:sz="4" w:space="0" w:color="auto"/>
              <w:right w:val="single" w:sz="4" w:space="0" w:color="auto"/>
            </w:tcBorders>
            <w:vAlign w:val="center"/>
            <w:hideMark/>
          </w:tcPr>
          <w:p w14:paraId="4D262A7F" w14:textId="77777777" w:rsidR="00935FC8" w:rsidRPr="009E7709" w:rsidRDefault="00935FC8">
            <w:pPr>
              <w:spacing w:after="0" w:line="240" w:lineRule="auto"/>
              <w:jc w:val="center"/>
              <w:rPr>
                <w:rFonts w:ascii="Times New Roman" w:eastAsia="Times New Roman" w:hAnsi="Times New Roman"/>
                <w:b/>
                <w:noProof/>
                <w:sz w:val="20"/>
                <w:szCs w:val="20"/>
                <w:lang w:eastAsia="en-GB"/>
              </w:rPr>
            </w:pPr>
          </w:p>
        </w:tc>
      </w:tr>
      <w:tr w:rsidR="00A7081A" w:rsidRPr="009E7709" w14:paraId="52B55DFA" w14:textId="77777777" w:rsidTr="00BC6715">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49848434" w14:textId="77777777" w:rsidR="00935FC8" w:rsidRPr="009E7709" w:rsidRDefault="00935FC8">
            <w:pPr>
              <w:spacing w:after="0" w:line="240" w:lineRule="auto"/>
              <w:jc w:val="center"/>
              <w:rPr>
                <w:rFonts w:ascii="Times New Roman" w:eastAsia="Times New Roman" w:hAnsi="Times New Roman"/>
                <w:noProof/>
                <w:sz w:val="20"/>
                <w:szCs w:val="20"/>
                <w:u w:val="single"/>
                <w:lang w:eastAsia="en-GB"/>
              </w:rPr>
            </w:pPr>
            <w:r w:rsidRPr="009E7709">
              <w:rPr>
                <w:rFonts w:ascii="Times New Roman" w:eastAsia="Times New Roman" w:hAnsi="Times New Roman"/>
                <w:noProof/>
                <w:sz w:val="20"/>
                <w:szCs w:val="20"/>
                <w:lang w:eastAsia="en-GB"/>
              </w:rPr>
              <w:t>77</w:t>
            </w:r>
          </w:p>
        </w:tc>
        <w:tc>
          <w:tcPr>
            <w:tcW w:w="1669" w:type="dxa"/>
            <w:tcBorders>
              <w:top w:val="single" w:sz="4" w:space="0" w:color="auto"/>
              <w:left w:val="nil"/>
              <w:bottom w:val="single" w:sz="4" w:space="0" w:color="auto"/>
              <w:right w:val="single" w:sz="4" w:space="0" w:color="auto"/>
            </w:tcBorders>
            <w:shd w:val="clear" w:color="auto" w:fill="C6EFCE"/>
            <w:noWrap/>
            <w:hideMark/>
          </w:tcPr>
          <w:p w14:paraId="7BD0A517"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P3C1R1 - Employment and labour market – Nordic model of employment services</w:t>
            </w:r>
          </w:p>
        </w:tc>
        <w:tc>
          <w:tcPr>
            <w:tcW w:w="1024" w:type="dxa"/>
            <w:tcBorders>
              <w:top w:val="single" w:sz="4" w:space="0" w:color="auto"/>
              <w:left w:val="nil"/>
              <w:bottom w:val="single" w:sz="4" w:space="0" w:color="auto"/>
              <w:right w:val="single" w:sz="4" w:space="0" w:color="auto"/>
            </w:tcBorders>
            <w:shd w:val="clear" w:color="auto" w:fill="C6EFCE"/>
            <w:noWrap/>
            <w:hideMark/>
          </w:tcPr>
          <w:p w14:paraId="0E5A5A45"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Milestone</w:t>
            </w:r>
          </w:p>
        </w:tc>
        <w:tc>
          <w:tcPr>
            <w:tcW w:w="1676" w:type="dxa"/>
            <w:tcBorders>
              <w:top w:val="single" w:sz="4" w:space="0" w:color="auto"/>
              <w:left w:val="nil"/>
              <w:bottom w:val="single" w:sz="4" w:space="0" w:color="auto"/>
              <w:right w:val="single" w:sz="4" w:space="0" w:color="auto"/>
            </w:tcBorders>
            <w:shd w:val="clear" w:color="auto" w:fill="C6EFCE"/>
            <w:noWrap/>
            <w:hideMark/>
          </w:tcPr>
          <w:p w14:paraId="3B45C6BC"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Entry into force of the Law on Public Employment and Business Services regulating the Nordic Employment Service Model for the jobseeker’s service process</w:t>
            </w:r>
          </w:p>
        </w:tc>
        <w:tc>
          <w:tcPr>
            <w:tcW w:w="1473" w:type="dxa"/>
            <w:tcBorders>
              <w:top w:val="single" w:sz="4" w:space="0" w:color="auto"/>
              <w:left w:val="nil"/>
              <w:bottom w:val="single" w:sz="4" w:space="0" w:color="auto"/>
              <w:right w:val="single" w:sz="4" w:space="0" w:color="auto"/>
            </w:tcBorders>
            <w:shd w:val="clear" w:color="auto" w:fill="C6EFCE"/>
            <w:noWrap/>
            <w:hideMark/>
          </w:tcPr>
          <w:p w14:paraId="7EE5E093"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Provision in the Act on Public Employment and Business Service, indicating its entry into force</w:t>
            </w:r>
          </w:p>
        </w:tc>
        <w:tc>
          <w:tcPr>
            <w:tcW w:w="1104" w:type="dxa"/>
            <w:tcBorders>
              <w:top w:val="single" w:sz="4" w:space="0" w:color="auto"/>
              <w:left w:val="nil"/>
              <w:bottom w:val="single" w:sz="4" w:space="0" w:color="auto"/>
              <w:right w:val="single" w:sz="4" w:space="0" w:color="auto"/>
            </w:tcBorders>
            <w:shd w:val="clear" w:color="auto" w:fill="C6EFCE"/>
            <w:noWrap/>
            <w:hideMark/>
          </w:tcPr>
          <w:p w14:paraId="53E57624"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850" w:type="dxa"/>
            <w:tcBorders>
              <w:top w:val="single" w:sz="4" w:space="0" w:color="auto"/>
              <w:left w:val="nil"/>
              <w:bottom w:val="single" w:sz="4" w:space="0" w:color="auto"/>
              <w:right w:val="single" w:sz="4" w:space="0" w:color="auto"/>
            </w:tcBorders>
            <w:shd w:val="clear" w:color="auto" w:fill="C6EFCE"/>
            <w:noWrap/>
            <w:hideMark/>
          </w:tcPr>
          <w:p w14:paraId="24F21DF8"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992" w:type="dxa"/>
            <w:tcBorders>
              <w:top w:val="single" w:sz="4" w:space="0" w:color="auto"/>
              <w:left w:val="nil"/>
              <w:bottom w:val="single" w:sz="4" w:space="0" w:color="auto"/>
              <w:right w:val="single" w:sz="4" w:space="0" w:color="auto"/>
            </w:tcBorders>
            <w:shd w:val="clear" w:color="auto" w:fill="C6EFCE"/>
            <w:noWrap/>
            <w:hideMark/>
          </w:tcPr>
          <w:p w14:paraId="7774733B"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851" w:type="dxa"/>
            <w:tcBorders>
              <w:top w:val="single" w:sz="4" w:space="0" w:color="auto"/>
              <w:left w:val="nil"/>
              <w:bottom w:val="single" w:sz="4" w:space="0" w:color="auto"/>
              <w:right w:val="single" w:sz="4" w:space="0" w:color="auto"/>
            </w:tcBorders>
            <w:shd w:val="clear" w:color="auto" w:fill="C6EFCE"/>
            <w:noWrap/>
            <w:hideMark/>
          </w:tcPr>
          <w:p w14:paraId="49758ADB"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Q2</w:t>
            </w:r>
          </w:p>
        </w:tc>
        <w:tc>
          <w:tcPr>
            <w:tcW w:w="709" w:type="dxa"/>
            <w:tcBorders>
              <w:top w:val="single" w:sz="4" w:space="0" w:color="auto"/>
              <w:left w:val="nil"/>
              <w:bottom w:val="single" w:sz="4" w:space="0" w:color="auto"/>
              <w:right w:val="single" w:sz="4" w:space="0" w:color="auto"/>
            </w:tcBorders>
            <w:shd w:val="clear" w:color="auto" w:fill="C6EFCE"/>
            <w:noWrap/>
            <w:hideMark/>
          </w:tcPr>
          <w:p w14:paraId="3D5CC71B"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2022</w:t>
            </w:r>
          </w:p>
        </w:tc>
        <w:tc>
          <w:tcPr>
            <w:tcW w:w="4399" w:type="dxa"/>
            <w:tcBorders>
              <w:top w:val="single" w:sz="4" w:space="0" w:color="auto"/>
              <w:left w:val="nil"/>
              <w:bottom w:val="single" w:sz="4" w:space="0" w:color="auto"/>
              <w:right w:val="single" w:sz="4" w:space="0" w:color="auto"/>
            </w:tcBorders>
            <w:shd w:val="clear" w:color="auto" w:fill="C6EFCE"/>
            <w:noWrap/>
            <w:hideMark/>
          </w:tcPr>
          <w:p w14:paraId="077C9D90" w14:textId="1913A89D" w:rsidR="00935FC8" w:rsidRPr="009E7709" w:rsidRDefault="00935FC8" w:rsidP="00445985">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 xml:space="preserve">Entry into force of the Law on Public Employment and Business Services </w:t>
            </w:r>
            <w:r w:rsidRPr="009E7709">
              <w:rPr>
                <w:rFonts w:ascii="Times New Roman" w:eastAsia="Times New Roman" w:hAnsi="Times New Roman"/>
                <w:noProof/>
                <w:color w:val="000000"/>
                <w:sz w:val="20"/>
                <w:szCs w:val="20"/>
              </w:rPr>
              <w:t>regulating the Nordic model of employment service for the jobseeker’s service process</w:t>
            </w:r>
            <w:r w:rsidRPr="009E7709">
              <w:rPr>
                <w:rFonts w:ascii="Times New Roman" w:eastAsia="Times New Roman" w:hAnsi="Times New Roman"/>
                <w:noProof/>
                <w:sz w:val="20"/>
                <w:szCs w:val="20"/>
                <w:lang w:eastAsia="en-GB"/>
              </w:rPr>
              <w:t>. The model involves personalised and integrated services for job-seekers and obligation for active job search by job-seekers.</w:t>
            </w:r>
          </w:p>
        </w:tc>
      </w:tr>
      <w:tr w:rsidR="00A7081A" w:rsidRPr="009E7709" w14:paraId="25A14DD2" w14:textId="77777777" w:rsidTr="00BC6715">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12E3104C" w14:textId="77777777" w:rsidR="00935FC8" w:rsidRPr="009E7709" w:rsidRDefault="00935FC8">
            <w:pPr>
              <w:spacing w:after="0" w:line="240" w:lineRule="auto"/>
              <w:jc w:val="center"/>
              <w:rPr>
                <w:rFonts w:ascii="Times New Roman" w:eastAsia="Times New Roman" w:hAnsi="Times New Roman"/>
                <w:noProof/>
                <w:sz w:val="20"/>
                <w:szCs w:val="20"/>
                <w:u w:val="single"/>
                <w:lang w:eastAsia="en-GB"/>
              </w:rPr>
            </w:pPr>
            <w:r w:rsidRPr="009E7709">
              <w:rPr>
                <w:rFonts w:ascii="Times New Roman" w:eastAsia="Times New Roman" w:hAnsi="Times New Roman"/>
                <w:noProof/>
                <w:sz w:val="20"/>
                <w:szCs w:val="20"/>
                <w:lang w:eastAsia="en-GB"/>
              </w:rPr>
              <w:t>78</w:t>
            </w:r>
          </w:p>
        </w:tc>
        <w:tc>
          <w:tcPr>
            <w:tcW w:w="1669" w:type="dxa"/>
            <w:tcBorders>
              <w:top w:val="nil"/>
              <w:left w:val="nil"/>
              <w:bottom w:val="single" w:sz="4" w:space="0" w:color="auto"/>
              <w:right w:val="single" w:sz="4" w:space="0" w:color="auto"/>
            </w:tcBorders>
            <w:shd w:val="clear" w:color="auto" w:fill="C6EFCE"/>
            <w:noWrap/>
          </w:tcPr>
          <w:p w14:paraId="2BF4EA3C"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P3C1R1 - Employment and labour market – Nordic model of employment services</w:t>
            </w:r>
          </w:p>
        </w:tc>
        <w:tc>
          <w:tcPr>
            <w:tcW w:w="1024" w:type="dxa"/>
            <w:tcBorders>
              <w:top w:val="nil"/>
              <w:left w:val="nil"/>
              <w:bottom w:val="single" w:sz="4" w:space="0" w:color="auto"/>
              <w:right w:val="single" w:sz="4" w:space="0" w:color="auto"/>
            </w:tcBorders>
            <w:shd w:val="clear" w:color="auto" w:fill="C6EFCE"/>
            <w:noWrap/>
          </w:tcPr>
          <w:p w14:paraId="6DCAC33B"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Target</w:t>
            </w:r>
          </w:p>
        </w:tc>
        <w:tc>
          <w:tcPr>
            <w:tcW w:w="1676" w:type="dxa"/>
            <w:tcBorders>
              <w:top w:val="nil"/>
              <w:left w:val="nil"/>
              <w:bottom w:val="single" w:sz="4" w:space="0" w:color="auto"/>
              <w:right w:val="single" w:sz="4" w:space="0" w:color="auto"/>
            </w:tcBorders>
            <w:shd w:val="clear" w:color="auto" w:fill="C6EFCE"/>
            <w:noWrap/>
          </w:tcPr>
          <w:p w14:paraId="16B09A8F"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 xml:space="preserve">Number of job search interviews conducted by public employment services </w:t>
            </w:r>
          </w:p>
        </w:tc>
        <w:tc>
          <w:tcPr>
            <w:tcW w:w="1473" w:type="dxa"/>
            <w:tcBorders>
              <w:top w:val="nil"/>
              <w:left w:val="nil"/>
              <w:bottom w:val="single" w:sz="4" w:space="0" w:color="auto"/>
              <w:right w:val="single" w:sz="4" w:space="0" w:color="auto"/>
            </w:tcBorders>
            <w:shd w:val="clear" w:color="auto" w:fill="C6EFCE"/>
            <w:noWrap/>
          </w:tcPr>
          <w:p w14:paraId="102617A0" w14:textId="77777777" w:rsidR="00935FC8" w:rsidRPr="009E7709" w:rsidRDefault="00935FC8" w:rsidP="00A7081A">
            <w:pPr>
              <w:spacing w:after="0" w:line="240" w:lineRule="auto"/>
              <w:rPr>
                <w:rFonts w:ascii="Times New Roman" w:eastAsia="Times New Roman" w:hAnsi="Times New Roman"/>
                <w:noProof/>
                <w:sz w:val="20"/>
                <w:szCs w:val="20"/>
                <w:lang w:eastAsia="en-GB"/>
              </w:rPr>
            </w:pPr>
          </w:p>
        </w:tc>
        <w:tc>
          <w:tcPr>
            <w:tcW w:w="1104" w:type="dxa"/>
            <w:tcBorders>
              <w:top w:val="nil"/>
              <w:left w:val="nil"/>
              <w:bottom w:val="single" w:sz="4" w:space="0" w:color="auto"/>
              <w:right w:val="single" w:sz="4" w:space="0" w:color="auto"/>
            </w:tcBorders>
            <w:shd w:val="clear" w:color="auto" w:fill="C6EFCE"/>
            <w:noWrap/>
          </w:tcPr>
          <w:p w14:paraId="20650708"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Number</w:t>
            </w:r>
          </w:p>
        </w:tc>
        <w:tc>
          <w:tcPr>
            <w:tcW w:w="850" w:type="dxa"/>
            <w:tcBorders>
              <w:top w:val="nil"/>
              <w:left w:val="nil"/>
              <w:bottom w:val="single" w:sz="4" w:space="0" w:color="auto"/>
              <w:right w:val="single" w:sz="4" w:space="0" w:color="auto"/>
            </w:tcBorders>
            <w:shd w:val="clear" w:color="auto" w:fill="C6EFCE"/>
            <w:noWrap/>
          </w:tcPr>
          <w:p w14:paraId="3DA15016"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992" w:type="dxa"/>
            <w:tcBorders>
              <w:top w:val="nil"/>
              <w:left w:val="nil"/>
              <w:bottom w:val="single" w:sz="4" w:space="0" w:color="auto"/>
              <w:right w:val="single" w:sz="4" w:space="0" w:color="auto"/>
            </w:tcBorders>
            <w:shd w:val="clear" w:color="auto" w:fill="C6EFCE"/>
            <w:noWrap/>
          </w:tcPr>
          <w:p w14:paraId="708A2259" w14:textId="77777777" w:rsidR="00935FC8" w:rsidRPr="009E7709" w:rsidRDefault="00935FC8" w:rsidP="00445985">
            <w:pPr>
              <w:spacing w:after="0" w:line="240" w:lineRule="auto"/>
              <w:jc w:val="center"/>
              <w:rPr>
                <w:rFonts w:ascii="Times New Roman" w:eastAsia="Times New Roman" w:hAnsi="Times New Roman"/>
                <w:strike/>
                <w:noProof/>
                <w:sz w:val="20"/>
                <w:szCs w:val="20"/>
                <w:u w:val="single"/>
                <w:lang w:eastAsia="en-GB"/>
              </w:rPr>
            </w:pPr>
            <w:r w:rsidRPr="009E7709">
              <w:rPr>
                <w:rFonts w:ascii="Times New Roman" w:eastAsia="Times New Roman" w:hAnsi="Times New Roman"/>
                <w:noProof/>
                <w:sz w:val="20"/>
                <w:szCs w:val="20"/>
                <w:lang w:eastAsia="en-GB"/>
              </w:rPr>
              <w:t>2</w:t>
            </w:r>
            <w:r w:rsidRPr="009E7709">
              <w:rPr>
                <w:rFonts w:ascii="Times New Roman" w:hAnsi="Times New Roman"/>
                <w:noProof/>
                <w:sz w:val="20"/>
                <w:szCs w:val="20"/>
              </w:rPr>
              <w:t> </w:t>
            </w:r>
            <w:r w:rsidRPr="009E7709">
              <w:rPr>
                <w:rFonts w:ascii="Times New Roman" w:eastAsia="Times New Roman" w:hAnsi="Times New Roman"/>
                <w:noProof/>
                <w:sz w:val="20"/>
                <w:szCs w:val="20"/>
                <w:lang w:eastAsia="en-GB"/>
              </w:rPr>
              <w:t>200</w:t>
            </w:r>
            <w:r w:rsidRPr="009E7709">
              <w:rPr>
                <w:rFonts w:ascii="Times New Roman" w:hAnsi="Times New Roman"/>
                <w:noProof/>
                <w:sz w:val="20"/>
                <w:szCs w:val="20"/>
              </w:rPr>
              <w:t> </w:t>
            </w:r>
            <w:r w:rsidRPr="009E7709">
              <w:rPr>
                <w:rFonts w:ascii="Times New Roman" w:eastAsia="Times New Roman" w:hAnsi="Times New Roman"/>
                <w:noProof/>
                <w:sz w:val="20"/>
                <w:szCs w:val="20"/>
                <w:lang w:eastAsia="en-GB"/>
              </w:rPr>
              <w:t>000</w:t>
            </w:r>
          </w:p>
        </w:tc>
        <w:tc>
          <w:tcPr>
            <w:tcW w:w="851" w:type="dxa"/>
            <w:tcBorders>
              <w:top w:val="nil"/>
              <w:left w:val="nil"/>
              <w:bottom w:val="single" w:sz="4" w:space="0" w:color="auto"/>
              <w:right w:val="single" w:sz="4" w:space="0" w:color="auto"/>
            </w:tcBorders>
            <w:shd w:val="clear" w:color="auto" w:fill="C6EFCE"/>
            <w:noWrap/>
          </w:tcPr>
          <w:p w14:paraId="7E549FAC"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Q2</w:t>
            </w:r>
          </w:p>
        </w:tc>
        <w:tc>
          <w:tcPr>
            <w:tcW w:w="709" w:type="dxa"/>
            <w:tcBorders>
              <w:top w:val="nil"/>
              <w:left w:val="nil"/>
              <w:bottom w:val="single" w:sz="4" w:space="0" w:color="auto"/>
              <w:right w:val="single" w:sz="4" w:space="0" w:color="auto"/>
            </w:tcBorders>
            <w:shd w:val="clear" w:color="auto" w:fill="C6EFCE"/>
            <w:noWrap/>
          </w:tcPr>
          <w:p w14:paraId="0401FBDC" w14:textId="06D40526" w:rsidR="00935FC8" w:rsidRPr="009E7709" w:rsidRDefault="00935FC8" w:rsidP="000F3161">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2024</w:t>
            </w:r>
          </w:p>
        </w:tc>
        <w:tc>
          <w:tcPr>
            <w:tcW w:w="4399" w:type="dxa"/>
            <w:tcBorders>
              <w:top w:val="nil"/>
              <w:left w:val="nil"/>
              <w:bottom w:val="single" w:sz="4" w:space="0" w:color="auto"/>
              <w:right w:val="single" w:sz="4" w:space="0" w:color="auto"/>
            </w:tcBorders>
            <w:shd w:val="clear" w:color="auto" w:fill="C6EFCE"/>
            <w:noWrap/>
          </w:tcPr>
          <w:p w14:paraId="5B27EC4E" w14:textId="77777777" w:rsidR="00935FC8" w:rsidRPr="009E7709" w:rsidRDefault="00935FC8" w:rsidP="00A7081A">
            <w:pPr>
              <w:spacing w:after="0" w:line="240" w:lineRule="auto"/>
              <w:rPr>
                <w:rFonts w:ascii="Times New Roman" w:eastAsia="Times New Roman" w:hAnsi="Times New Roman"/>
                <w:b/>
                <w:noProof/>
                <w:sz w:val="20"/>
                <w:szCs w:val="20"/>
                <w:lang w:eastAsia="en-GB"/>
              </w:rPr>
            </w:pPr>
            <w:r w:rsidRPr="009E7709">
              <w:rPr>
                <w:rFonts w:ascii="Times New Roman" w:eastAsia="Times New Roman" w:hAnsi="Times New Roman"/>
                <w:noProof/>
                <w:sz w:val="20"/>
                <w:szCs w:val="20"/>
                <w:lang w:eastAsia="en-GB"/>
              </w:rPr>
              <w:t>The number of job search interviews by public employment services between 1 January 2023 and 30 June 2024 shall be at least 2</w:t>
            </w:r>
            <w:r w:rsidRPr="009E7709">
              <w:rPr>
                <w:rFonts w:ascii="Times New Roman" w:hAnsi="Times New Roman"/>
                <w:noProof/>
                <w:sz w:val="20"/>
                <w:szCs w:val="20"/>
              </w:rPr>
              <w:t> </w:t>
            </w:r>
            <w:r w:rsidRPr="009E7709">
              <w:rPr>
                <w:rFonts w:ascii="Times New Roman" w:eastAsia="Times New Roman" w:hAnsi="Times New Roman"/>
                <w:noProof/>
                <w:sz w:val="20"/>
                <w:szCs w:val="20"/>
                <w:lang w:eastAsia="en-GB"/>
              </w:rPr>
              <w:t>200</w:t>
            </w:r>
            <w:r w:rsidRPr="009E7709">
              <w:rPr>
                <w:rFonts w:ascii="Times New Roman" w:hAnsi="Times New Roman"/>
                <w:noProof/>
                <w:sz w:val="20"/>
                <w:szCs w:val="20"/>
              </w:rPr>
              <w:t> </w:t>
            </w:r>
            <w:r w:rsidRPr="009E7709">
              <w:rPr>
                <w:rFonts w:ascii="Times New Roman" w:eastAsia="Times New Roman" w:hAnsi="Times New Roman"/>
                <w:noProof/>
                <w:sz w:val="20"/>
                <w:szCs w:val="20"/>
                <w:lang w:eastAsia="en-GB"/>
              </w:rPr>
              <w:t>000.</w:t>
            </w:r>
          </w:p>
        </w:tc>
      </w:tr>
      <w:tr w:rsidR="00A7081A" w:rsidRPr="009E7709" w14:paraId="2F073FC3" w14:textId="77777777" w:rsidTr="00BC6715">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383330D4" w14:textId="77777777" w:rsidR="00935FC8" w:rsidRPr="009E7709" w:rsidRDefault="00935FC8">
            <w:pPr>
              <w:spacing w:after="0" w:line="240" w:lineRule="auto"/>
              <w:jc w:val="center"/>
              <w:rPr>
                <w:rFonts w:ascii="Times New Roman" w:eastAsia="Times New Roman" w:hAnsi="Times New Roman"/>
                <w:noProof/>
                <w:sz w:val="20"/>
                <w:szCs w:val="20"/>
                <w:u w:val="single"/>
                <w:lang w:eastAsia="en-GB"/>
              </w:rPr>
            </w:pPr>
            <w:r w:rsidRPr="009E7709">
              <w:rPr>
                <w:rFonts w:ascii="Times New Roman" w:eastAsia="Times New Roman" w:hAnsi="Times New Roman"/>
                <w:noProof/>
                <w:sz w:val="20"/>
                <w:szCs w:val="20"/>
                <w:lang w:eastAsia="en-GB"/>
              </w:rPr>
              <w:t>79</w:t>
            </w:r>
          </w:p>
        </w:tc>
        <w:tc>
          <w:tcPr>
            <w:tcW w:w="1669" w:type="dxa"/>
            <w:tcBorders>
              <w:top w:val="nil"/>
              <w:left w:val="nil"/>
              <w:bottom w:val="single" w:sz="4" w:space="0" w:color="auto"/>
              <w:right w:val="single" w:sz="4" w:space="0" w:color="auto"/>
            </w:tcBorders>
            <w:shd w:val="clear" w:color="auto" w:fill="C6EFCE"/>
            <w:noWrap/>
          </w:tcPr>
          <w:p w14:paraId="1EE5100E"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P3C1R1 - Employment and labour market – Nordic model of employment services</w:t>
            </w:r>
          </w:p>
        </w:tc>
        <w:tc>
          <w:tcPr>
            <w:tcW w:w="1024" w:type="dxa"/>
            <w:tcBorders>
              <w:top w:val="nil"/>
              <w:left w:val="nil"/>
              <w:bottom w:val="single" w:sz="4" w:space="0" w:color="auto"/>
              <w:right w:val="single" w:sz="4" w:space="0" w:color="auto"/>
            </w:tcBorders>
            <w:shd w:val="clear" w:color="auto" w:fill="C6EFCE"/>
            <w:noWrap/>
          </w:tcPr>
          <w:p w14:paraId="54A5B729" w14:textId="77777777" w:rsidR="00935FC8" w:rsidRPr="009E7709" w:rsidRDefault="00935FC8" w:rsidP="00A7081A">
            <w:pPr>
              <w:spacing w:after="0" w:line="240" w:lineRule="auto"/>
              <w:rPr>
                <w:rFonts w:ascii="Times New Roman" w:eastAsia="Times New Roman" w:hAnsi="Times New Roman"/>
                <w:noProof/>
                <w:sz w:val="20"/>
                <w:szCs w:val="20"/>
              </w:rPr>
            </w:pPr>
            <w:r w:rsidRPr="009E7709">
              <w:rPr>
                <w:rFonts w:ascii="Times New Roman" w:eastAsia="Times New Roman" w:hAnsi="Times New Roman"/>
                <w:noProof/>
                <w:sz w:val="20"/>
                <w:szCs w:val="20"/>
                <w:lang w:eastAsia="en-GB"/>
              </w:rPr>
              <w:t>Milestone</w:t>
            </w:r>
          </w:p>
        </w:tc>
        <w:tc>
          <w:tcPr>
            <w:tcW w:w="1676" w:type="dxa"/>
            <w:tcBorders>
              <w:top w:val="nil"/>
              <w:left w:val="nil"/>
              <w:bottom w:val="single" w:sz="4" w:space="0" w:color="auto"/>
              <w:right w:val="single" w:sz="4" w:space="0" w:color="auto"/>
            </w:tcBorders>
            <w:shd w:val="clear" w:color="auto" w:fill="C6EFCE"/>
            <w:noWrap/>
          </w:tcPr>
          <w:p w14:paraId="74708412"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All five digital functionalities required by the Nordic employment service model are integrated into the public employment services’ (TE-PES) information system and are operational</w:t>
            </w:r>
          </w:p>
        </w:tc>
        <w:tc>
          <w:tcPr>
            <w:tcW w:w="1473" w:type="dxa"/>
            <w:tcBorders>
              <w:top w:val="nil"/>
              <w:left w:val="nil"/>
              <w:bottom w:val="single" w:sz="4" w:space="0" w:color="auto"/>
              <w:right w:val="single" w:sz="4" w:space="0" w:color="auto"/>
            </w:tcBorders>
            <w:shd w:val="clear" w:color="auto" w:fill="C6EFCE"/>
            <w:noWrap/>
          </w:tcPr>
          <w:p w14:paraId="1B87A120"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Digital functionalities integrated into the public employment services’ (TE-PES) information system and operational</w:t>
            </w:r>
          </w:p>
        </w:tc>
        <w:tc>
          <w:tcPr>
            <w:tcW w:w="1104" w:type="dxa"/>
            <w:tcBorders>
              <w:top w:val="nil"/>
              <w:left w:val="nil"/>
              <w:bottom w:val="single" w:sz="4" w:space="0" w:color="auto"/>
              <w:right w:val="single" w:sz="4" w:space="0" w:color="auto"/>
            </w:tcBorders>
            <w:shd w:val="clear" w:color="auto" w:fill="C6EFCE"/>
            <w:noWrap/>
          </w:tcPr>
          <w:p w14:paraId="3D3D0265"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tcPr>
          <w:p w14:paraId="6891B840"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992" w:type="dxa"/>
            <w:tcBorders>
              <w:top w:val="nil"/>
              <w:left w:val="nil"/>
              <w:bottom w:val="single" w:sz="4" w:space="0" w:color="auto"/>
              <w:right w:val="single" w:sz="4" w:space="0" w:color="auto"/>
            </w:tcBorders>
            <w:shd w:val="clear" w:color="auto" w:fill="C6EFCE"/>
            <w:noWrap/>
          </w:tcPr>
          <w:p w14:paraId="39566E1B"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43CAC924"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Q4</w:t>
            </w:r>
          </w:p>
        </w:tc>
        <w:tc>
          <w:tcPr>
            <w:tcW w:w="709" w:type="dxa"/>
            <w:tcBorders>
              <w:top w:val="nil"/>
              <w:left w:val="nil"/>
              <w:bottom w:val="single" w:sz="4" w:space="0" w:color="auto"/>
              <w:right w:val="single" w:sz="4" w:space="0" w:color="auto"/>
            </w:tcBorders>
            <w:shd w:val="clear" w:color="auto" w:fill="C6EFCE"/>
            <w:noWrap/>
          </w:tcPr>
          <w:p w14:paraId="559340EB"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2023</w:t>
            </w:r>
          </w:p>
        </w:tc>
        <w:tc>
          <w:tcPr>
            <w:tcW w:w="4399" w:type="dxa"/>
            <w:tcBorders>
              <w:top w:val="nil"/>
              <w:left w:val="nil"/>
              <w:bottom w:val="single" w:sz="4" w:space="0" w:color="auto"/>
              <w:right w:val="single" w:sz="4" w:space="0" w:color="auto"/>
            </w:tcBorders>
            <w:shd w:val="clear" w:color="auto" w:fill="C6EFCE"/>
            <w:noWrap/>
          </w:tcPr>
          <w:p w14:paraId="0D2E6538"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All five functionalities of the digital infrastructure shall be developed and integrated into the public employment services’ (TE-PES) information system and shall be fully operational to enable the implementation of the Nordic employment service model. The five functionalities concerned are:</w:t>
            </w:r>
          </w:p>
          <w:p w14:paraId="47EDD3C2" w14:textId="77777777" w:rsidR="00935FC8" w:rsidRPr="009E7709" w:rsidRDefault="00935FC8" w:rsidP="00A7081A">
            <w:pPr>
              <w:pStyle w:val="ListParagraph"/>
              <w:numPr>
                <w:ilvl w:val="0"/>
                <w:numId w:val="25"/>
              </w:numPr>
              <w:spacing w:after="0" w:line="240" w:lineRule="auto"/>
              <w:rPr>
                <w:rFonts w:ascii="Times New Roman" w:eastAsia="Times New Roman" w:hAnsi="Times New Roman"/>
                <w:noProof/>
                <w:sz w:val="20"/>
                <w:szCs w:val="20"/>
                <w:lang w:val="en-GB" w:eastAsia="en-GB"/>
              </w:rPr>
            </w:pPr>
            <w:r w:rsidRPr="009E7709">
              <w:rPr>
                <w:rFonts w:ascii="Times New Roman" w:eastAsia="Times New Roman" w:hAnsi="Times New Roman"/>
                <w:noProof/>
                <w:sz w:val="20"/>
                <w:szCs w:val="20"/>
                <w:lang w:val="en-GB" w:eastAsia="en-GB"/>
              </w:rPr>
              <w:t>expanding the assessment tools of customer service needs;</w:t>
            </w:r>
          </w:p>
          <w:p w14:paraId="09E19F15" w14:textId="77777777" w:rsidR="00935FC8" w:rsidRPr="009E7709" w:rsidRDefault="00935FC8" w:rsidP="00A7081A">
            <w:pPr>
              <w:pStyle w:val="ListParagraph"/>
              <w:numPr>
                <w:ilvl w:val="0"/>
                <w:numId w:val="25"/>
              </w:numPr>
              <w:spacing w:after="0" w:line="240" w:lineRule="auto"/>
              <w:rPr>
                <w:rFonts w:ascii="Times New Roman" w:eastAsia="Times New Roman" w:hAnsi="Times New Roman"/>
                <w:noProof/>
                <w:sz w:val="20"/>
                <w:szCs w:val="20"/>
                <w:lang w:val="en-GB" w:eastAsia="en-GB"/>
              </w:rPr>
            </w:pPr>
            <w:r w:rsidRPr="009E7709">
              <w:rPr>
                <w:rFonts w:ascii="Times New Roman" w:eastAsia="Times New Roman" w:hAnsi="Times New Roman"/>
                <w:noProof/>
                <w:sz w:val="20"/>
                <w:szCs w:val="20"/>
                <w:lang w:val="en-GB" w:eastAsia="en-GB"/>
              </w:rPr>
              <w:t>complementing the automatic job search profile;</w:t>
            </w:r>
          </w:p>
          <w:p w14:paraId="2FA0A7CB" w14:textId="77777777" w:rsidR="00935FC8" w:rsidRPr="009E7709" w:rsidRDefault="00935FC8" w:rsidP="00A7081A">
            <w:pPr>
              <w:pStyle w:val="ListParagraph"/>
              <w:numPr>
                <w:ilvl w:val="0"/>
                <w:numId w:val="25"/>
              </w:numPr>
              <w:spacing w:after="0" w:line="240" w:lineRule="auto"/>
              <w:rPr>
                <w:rFonts w:ascii="Times New Roman" w:eastAsia="Times New Roman" w:hAnsi="Times New Roman"/>
                <w:noProof/>
                <w:sz w:val="20"/>
                <w:szCs w:val="20"/>
                <w:lang w:val="en-GB" w:eastAsia="en-GB"/>
              </w:rPr>
            </w:pPr>
            <w:r w:rsidRPr="009E7709">
              <w:rPr>
                <w:rFonts w:ascii="Times New Roman" w:eastAsia="Times New Roman" w:hAnsi="Times New Roman"/>
                <w:noProof/>
                <w:sz w:val="20"/>
                <w:szCs w:val="20"/>
                <w:lang w:val="en-GB" w:eastAsia="en-GB"/>
              </w:rPr>
              <w:t xml:space="preserve">job search self-reporting system for jobseekers (message service); </w:t>
            </w:r>
          </w:p>
          <w:p w14:paraId="4151F54E" w14:textId="77777777" w:rsidR="00935FC8" w:rsidRPr="009E7709" w:rsidRDefault="00935FC8" w:rsidP="00A7081A">
            <w:pPr>
              <w:pStyle w:val="ListParagraph"/>
              <w:numPr>
                <w:ilvl w:val="0"/>
                <w:numId w:val="25"/>
              </w:numPr>
              <w:spacing w:after="0" w:line="240" w:lineRule="auto"/>
              <w:rPr>
                <w:rFonts w:ascii="Times New Roman" w:eastAsia="Times New Roman" w:hAnsi="Times New Roman"/>
                <w:noProof/>
                <w:sz w:val="20"/>
                <w:szCs w:val="20"/>
                <w:lang w:val="en-GB" w:eastAsia="en-GB"/>
              </w:rPr>
            </w:pPr>
            <w:r w:rsidRPr="009E7709">
              <w:rPr>
                <w:rFonts w:ascii="Times New Roman" w:eastAsia="Times New Roman" w:hAnsi="Times New Roman"/>
                <w:noProof/>
                <w:sz w:val="20"/>
                <w:szCs w:val="20"/>
                <w:lang w:val="en-GB" w:eastAsia="en-GB"/>
              </w:rPr>
              <w:t>electronic appointment system for job search interviews;</w:t>
            </w:r>
          </w:p>
          <w:p w14:paraId="003C9405" w14:textId="77777777" w:rsidR="00935FC8" w:rsidRPr="009E7709" w:rsidRDefault="00935FC8" w:rsidP="00A7081A">
            <w:pPr>
              <w:pStyle w:val="ListParagraph"/>
              <w:numPr>
                <w:ilvl w:val="0"/>
                <w:numId w:val="25"/>
              </w:numPr>
              <w:spacing w:after="0" w:line="240" w:lineRule="auto"/>
              <w:rPr>
                <w:rFonts w:ascii="Times New Roman" w:eastAsia="Times New Roman" w:hAnsi="Times New Roman"/>
                <w:noProof/>
                <w:sz w:val="20"/>
                <w:szCs w:val="20"/>
                <w:lang w:val="en-GB" w:eastAsia="en-GB"/>
              </w:rPr>
            </w:pPr>
            <w:r w:rsidRPr="009E7709">
              <w:rPr>
                <w:rFonts w:ascii="Times New Roman" w:eastAsia="Times New Roman" w:hAnsi="Times New Roman"/>
                <w:noProof/>
                <w:sz w:val="20"/>
                <w:szCs w:val="20"/>
                <w:lang w:val="en-GB" w:eastAsia="en-GB"/>
              </w:rPr>
              <w:t>customer online guidance.</w:t>
            </w:r>
          </w:p>
        </w:tc>
      </w:tr>
      <w:tr w:rsidR="00A7081A" w:rsidRPr="009E7709" w14:paraId="3D52EFA0" w14:textId="77777777" w:rsidTr="00BC6715">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4425DB4E" w14:textId="77777777" w:rsidR="00935FC8" w:rsidRPr="009E7709" w:rsidRDefault="00935FC8">
            <w:pPr>
              <w:spacing w:after="0" w:line="240" w:lineRule="auto"/>
              <w:jc w:val="center"/>
              <w:rPr>
                <w:rFonts w:ascii="Times New Roman" w:eastAsia="Times New Roman" w:hAnsi="Times New Roman"/>
                <w:noProof/>
                <w:sz w:val="20"/>
                <w:szCs w:val="20"/>
                <w:u w:val="single"/>
                <w:lang w:eastAsia="en-GB"/>
              </w:rPr>
            </w:pPr>
            <w:r w:rsidRPr="009E7709">
              <w:rPr>
                <w:rFonts w:ascii="Times New Roman" w:eastAsia="Times New Roman" w:hAnsi="Times New Roman"/>
                <w:noProof/>
                <w:sz w:val="20"/>
                <w:szCs w:val="20"/>
                <w:lang w:eastAsia="en-GB"/>
              </w:rPr>
              <w:t>80</w:t>
            </w:r>
          </w:p>
        </w:tc>
        <w:tc>
          <w:tcPr>
            <w:tcW w:w="1669" w:type="dxa"/>
            <w:tcBorders>
              <w:top w:val="nil"/>
              <w:left w:val="nil"/>
              <w:bottom w:val="single" w:sz="4" w:space="0" w:color="auto"/>
              <w:right w:val="single" w:sz="4" w:space="0" w:color="auto"/>
            </w:tcBorders>
            <w:shd w:val="clear" w:color="auto" w:fill="C6EFCE"/>
            <w:noWrap/>
            <w:hideMark/>
          </w:tcPr>
          <w:p w14:paraId="7B5B21CA"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 P3C1R2 - Employment and labour market – Removal of additional days of unemployment allowance</w:t>
            </w:r>
          </w:p>
        </w:tc>
        <w:tc>
          <w:tcPr>
            <w:tcW w:w="1024" w:type="dxa"/>
            <w:tcBorders>
              <w:top w:val="nil"/>
              <w:left w:val="nil"/>
              <w:bottom w:val="single" w:sz="4" w:space="0" w:color="auto"/>
              <w:right w:val="single" w:sz="4" w:space="0" w:color="auto"/>
            </w:tcBorders>
            <w:shd w:val="clear" w:color="auto" w:fill="C6EFCE"/>
            <w:noWrap/>
            <w:hideMark/>
          </w:tcPr>
          <w:p w14:paraId="722C3625"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Milestone</w:t>
            </w:r>
          </w:p>
        </w:tc>
        <w:tc>
          <w:tcPr>
            <w:tcW w:w="1676" w:type="dxa"/>
            <w:tcBorders>
              <w:top w:val="nil"/>
              <w:left w:val="nil"/>
              <w:bottom w:val="single" w:sz="4" w:space="0" w:color="auto"/>
              <w:right w:val="single" w:sz="4" w:space="0" w:color="auto"/>
            </w:tcBorders>
            <w:shd w:val="clear" w:color="auto" w:fill="C6EFCE"/>
            <w:noWrap/>
            <w:hideMark/>
          </w:tcPr>
          <w:p w14:paraId="25261BB6"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Entry into force of legislative amendments to the Unemployment Security Act concerning the phasing out of additional days of unemployment security</w:t>
            </w:r>
          </w:p>
        </w:tc>
        <w:tc>
          <w:tcPr>
            <w:tcW w:w="1473" w:type="dxa"/>
            <w:tcBorders>
              <w:top w:val="nil"/>
              <w:left w:val="nil"/>
              <w:bottom w:val="single" w:sz="4" w:space="0" w:color="auto"/>
              <w:right w:val="single" w:sz="4" w:space="0" w:color="auto"/>
            </w:tcBorders>
            <w:shd w:val="clear" w:color="auto" w:fill="C6EFCE"/>
            <w:noWrap/>
            <w:hideMark/>
          </w:tcPr>
          <w:p w14:paraId="597F00A1" w14:textId="0ED63FBA" w:rsidR="00935FC8" w:rsidRPr="009E7709" w:rsidRDefault="00935FC8" w:rsidP="000F3161">
            <w:pPr>
              <w:spacing w:after="0" w:line="240" w:lineRule="auto"/>
              <w:rPr>
                <w:rFonts w:ascii="Times New Roman" w:eastAsia="Times New Roman" w:hAnsi="Times New Roman"/>
                <w:strike/>
                <w:noProof/>
                <w:sz w:val="20"/>
                <w:szCs w:val="20"/>
                <w:u w:val="single"/>
                <w:lang w:eastAsia="en-GB"/>
              </w:rPr>
            </w:pPr>
            <w:r w:rsidRPr="009E7709">
              <w:rPr>
                <w:rFonts w:ascii="Times New Roman" w:eastAsia="Times New Roman" w:hAnsi="Times New Roman"/>
                <w:noProof/>
                <w:sz w:val="20"/>
                <w:szCs w:val="20"/>
                <w:lang w:eastAsia="en-GB"/>
              </w:rPr>
              <w:t>Provisions in the amendments to the Unemployment Security Act, indicating their entry into force</w:t>
            </w:r>
          </w:p>
        </w:tc>
        <w:tc>
          <w:tcPr>
            <w:tcW w:w="1104" w:type="dxa"/>
            <w:tcBorders>
              <w:top w:val="nil"/>
              <w:left w:val="nil"/>
              <w:bottom w:val="single" w:sz="4" w:space="0" w:color="auto"/>
              <w:right w:val="single" w:sz="4" w:space="0" w:color="auto"/>
            </w:tcBorders>
            <w:shd w:val="clear" w:color="auto" w:fill="C6EFCE"/>
            <w:noWrap/>
            <w:hideMark/>
          </w:tcPr>
          <w:p w14:paraId="784817FF" w14:textId="3DB2B1BA"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hideMark/>
          </w:tcPr>
          <w:p w14:paraId="00CD86FB" w14:textId="0B590836"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992" w:type="dxa"/>
            <w:tcBorders>
              <w:top w:val="nil"/>
              <w:left w:val="nil"/>
              <w:bottom w:val="single" w:sz="4" w:space="0" w:color="auto"/>
              <w:right w:val="single" w:sz="4" w:space="0" w:color="auto"/>
            </w:tcBorders>
            <w:shd w:val="clear" w:color="auto" w:fill="C6EFCE"/>
            <w:noWrap/>
            <w:hideMark/>
          </w:tcPr>
          <w:p w14:paraId="67BFE9AD" w14:textId="719CB8B6"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hideMark/>
          </w:tcPr>
          <w:p w14:paraId="48748F47"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Q2</w:t>
            </w:r>
          </w:p>
        </w:tc>
        <w:tc>
          <w:tcPr>
            <w:tcW w:w="709" w:type="dxa"/>
            <w:tcBorders>
              <w:top w:val="nil"/>
              <w:left w:val="nil"/>
              <w:bottom w:val="single" w:sz="4" w:space="0" w:color="auto"/>
              <w:right w:val="single" w:sz="4" w:space="0" w:color="auto"/>
            </w:tcBorders>
            <w:shd w:val="clear" w:color="auto" w:fill="C6EFCE"/>
            <w:noWrap/>
            <w:hideMark/>
          </w:tcPr>
          <w:p w14:paraId="3AA97EA5"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2023</w:t>
            </w:r>
          </w:p>
        </w:tc>
        <w:tc>
          <w:tcPr>
            <w:tcW w:w="4399" w:type="dxa"/>
            <w:tcBorders>
              <w:top w:val="nil"/>
              <w:left w:val="nil"/>
              <w:bottom w:val="single" w:sz="4" w:space="0" w:color="auto"/>
              <w:right w:val="single" w:sz="4" w:space="0" w:color="auto"/>
            </w:tcBorders>
            <w:shd w:val="clear" w:color="auto" w:fill="C6EFCE"/>
            <w:noWrap/>
            <w:hideMark/>
          </w:tcPr>
          <w:p w14:paraId="136C5058" w14:textId="77777777" w:rsidR="00935FC8" w:rsidRPr="009E7709" w:rsidRDefault="00935FC8" w:rsidP="00A7081A">
            <w:pPr>
              <w:spacing w:after="12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Entry into force of amendments to the Unemployment Security Act. The legislative amendments shall include the gradual abolition of additional days of unemployment security so that the minimum age of additional days shall rise by one year/age group from the birth of 1963 onwards and the possibility of an additional day shall be abolished completely for those born in 1965 and thereafter.</w:t>
            </w:r>
          </w:p>
        </w:tc>
      </w:tr>
      <w:tr w:rsidR="00A7081A" w:rsidRPr="009E7709" w14:paraId="538023C2" w14:textId="77777777" w:rsidTr="00BC6715">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31BF94AF" w14:textId="77777777" w:rsidR="00935FC8" w:rsidRPr="009E7709" w:rsidRDefault="00935FC8">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81</w:t>
            </w:r>
          </w:p>
        </w:tc>
        <w:tc>
          <w:tcPr>
            <w:tcW w:w="1669" w:type="dxa"/>
            <w:tcBorders>
              <w:top w:val="nil"/>
              <w:left w:val="nil"/>
              <w:bottom w:val="single" w:sz="4" w:space="0" w:color="auto"/>
              <w:right w:val="single" w:sz="4" w:space="0" w:color="auto"/>
            </w:tcBorders>
            <w:shd w:val="clear" w:color="auto" w:fill="C6EFCE"/>
            <w:noWrap/>
          </w:tcPr>
          <w:p w14:paraId="1DB7C2F6"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P3C1R3 - Employment and labour market – Streamlining the work and education-based immigration process</w:t>
            </w:r>
          </w:p>
        </w:tc>
        <w:tc>
          <w:tcPr>
            <w:tcW w:w="1024" w:type="dxa"/>
            <w:tcBorders>
              <w:top w:val="nil"/>
              <w:left w:val="nil"/>
              <w:bottom w:val="single" w:sz="4" w:space="0" w:color="auto"/>
              <w:right w:val="single" w:sz="4" w:space="0" w:color="auto"/>
            </w:tcBorders>
            <w:shd w:val="clear" w:color="auto" w:fill="C6EFCE"/>
            <w:noWrap/>
          </w:tcPr>
          <w:p w14:paraId="2DBF127D"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Milestone</w:t>
            </w:r>
          </w:p>
        </w:tc>
        <w:tc>
          <w:tcPr>
            <w:tcW w:w="1676" w:type="dxa"/>
            <w:tcBorders>
              <w:top w:val="nil"/>
              <w:left w:val="nil"/>
              <w:bottom w:val="single" w:sz="4" w:space="0" w:color="auto"/>
              <w:right w:val="single" w:sz="4" w:space="0" w:color="auto"/>
            </w:tcBorders>
            <w:shd w:val="clear" w:color="auto" w:fill="C6EFCE"/>
            <w:noWrap/>
          </w:tcPr>
          <w:p w14:paraId="0B0BB952" w14:textId="7F18A423" w:rsidR="00935FC8" w:rsidRPr="009E7709" w:rsidRDefault="00935FC8" w:rsidP="00BC6715">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Entry into force of legislative amendments to the Act related to students, researchers and trainees (719/2018)</w:t>
            </w:r>
          </w:p>
        </w:tc>
        <w:tc>
          <w:tcPr>
            <w:tcW w:w="1473" w:type="dxa"/>
            <w:tcBorders>
              <w:top w:val="nil"/>
              <w:left w:val="nil"/>
              <w:bottom w:val="single" w:sz="4" w:space="0" w:color="auto"/>
              <w:right w:val="single" w:sz="4" w:space="0" w:color="auto"/>
            </w:tcBorders>
            <w:shd w:val="clear" w:color="auto" w:fill="C6EFCE"/>
            <w:noWrap/>
          </w:tcPr>
          <w:p w14:paraId="5BD12680"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Provisions in the amendments to the Act 719/2018 related to students, researchers and trainees, indicating their entry into force</w:t>
            </w:r>
          </w:p>
        </w:tc>
        <w:tc>
          <w:tcPr>
            <w:tcW w:w="1104" w:type="dxa"/>
            <w:tcBorders>
              <w:top w:val="nil"/>
              <w:left w:val="nil"/>
              <w:bottom w:val="single" w:sz="4" w:space="0" w:color="auto"/>
              <w:right w:val="single" w:sz="4" w:space="0" w:color="auto"/>
            </w:tcBorders>
            <w:shd w:val="clear" w:color="auto" w:fill="C6EFCE"/>
            <w:noWrap/>
          </w:tcPr>
          <w:p w14:paraId="01BEE0AF"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tcPr>
          <w:p w14:paraId="12BE476F"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992" w:type="dxa"/>
            <w:tcBorders>
              <w:top w:val="nil"/>
              <w:left w:val="nil"/>
              <w:bottom w:val="single" w:sz="4" w:space="0" w:color="auto"/>
              <w:right w:val="single" w:sz="4" w:space="0" w:color="auto"/>
            </w:tcBorders>
            <w:shd w:val="clear" w:color="auto" w:fill="C6EFCE"/>
            <w:noWrap/>
          </w:tcPr>
          <w:p w14:paraId="28C72719"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7B33B648"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Q2</w:t>
            </w:r>
          </w:p>
        </w:tc>
        <w:tc>
          <w:tcPr>
            <w:tcW w:w="709" w:type="dxa"/>
            <w:tcBorders>
              <w:top w:val="nil"/>
              <w:left w:val="nil"/>
              <w:bottom w:val="single" w:sz="4" w:space="0" w:color="auto"/>
              <w:right w:val="single" w:sz="4" w:space="0" w:color="auto"/>
            </w:tcBorders>
            <w:shd w:val="clear" w:color="auto" w:fill="C6EFCE"/>
            <w:noWrap/>
          </w:tcPr>
          <w:p w14:paraId="09E4DDF2"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2022</w:t>
            </w:r>
          </w:p>
        </w:tc>
        <w:tc>
          <w:tcPr>
            <w:tcW w:w="4399" w:type="dxa"/>
            <w:tcBorders>
              <w:top w:val="nil"/>
              <w:left w:val="nil"/>
              <w:bottom w:val="single" w:sz="4" w:space="0" w:color="auto"/>
              <w:right w:val="single" w:sz="4" w:space="0" w:color="auto"/>
            </w:tcBorders>
            <w:shd w:val="clear" w:color="auto" w:fill="C6EFCE"/>
            <w:noWrap/>
          </w:tcPr>
          <w:p w14:paraId="2C235512"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Entry into force of a legislative amendment concerning students, researchers and trainees (719/2018).</w:t>
            </w:r>
          </w:p>
          <w:p w14:paraId="62836A4E"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The amendment shall include at least the following:</w:t>
            </w:r>
          </w:p>
          <w:p w14:paraId="66921936" w14:textId="77777777" w:rsidR="00935FC8" w:rsidRPr="009E7709" w:rsidRDefault="00935FC8" w:rsidP="00A7081A">
            <w:pPr>
              <w:pStyle w:val="ListParagraph"/>
              <w:numPr>
                <w:ilvl w:val="0"/>
                <w:numId w:val="25"/>
              </w:numPr>
              <w:spacing w:after="0" w:line="240" w:lineRule="auto"/>
              <w:rPr>
                <w:rFonts w:ascii="Times New Roman" w:eastAsia="Times New Roman" w:hAnsi="Times New Roman"/>
                <w:noProof/>
                <w:sz w:val="20"/>
                <w:szCs w:val="20"/>
                <w:lang w:val="en-GB" w:eastAsia="en-GB"/>
              </w:rPr>
            </w:pPr>
            <w:r w:rsidRPr="009E7709">
              <w:rPr>
                <w:rFonts w:ascii="Times New Roman" w:eastAsia="Times New Roman" w:hAnsi="Times New Roman"/>
                <w:noProof/>
                <w:sz w:val="20"/>
                <w:szCs w:val="20"/>
                <w:lang w:val="en-GB" w:eastAsia="en-GB"/>
              </w:rPr>
              <w:t xml:space="preserve">changing the residence permit type for higher education studies leading to a degree from temporary (B) to continuous (A). This shall result in the possibility of a permanent residence permit being granted more quickly; </w:t>
            </w:r>
          </w:p>
          <w:p w14:paraId="0DDE1585" w14:textId="77777777" w:rsidR="00935FC8" w:rsidRPr="009E7709" w:rsidRDefault="00935FC8" w:rsidP="00A7081A">
            <w:pPr>
              <w:pStyle w:val="ListParagraph"/>
              <w:numPr>
                <w:ilvl w:val="0"/>
                <w:numId w:val="25"/>
              </w:numPr>
              <w:spacing w:after="0" w:line="240" w:lineRule="auto"/>
              <w:rPr>
                <w:rFonts w:ascii="Times New Roman" w:eastAsia="Times New Roman" w:hAnsi="Times New Roman"/>
                <w:noProof/>
                <w:sz w:val="20"/>
                <w:szCs w:val="20"/>
                <w:lang w:val="en-GB" w:eastAsia="en-GB"/>
              </w:rPr>
            </w:pPr>
            <w:r w:rsidRPr="009E7709">
              <w:rPr>
                <w:rFonts w:ascii="Times New Roman" w:eastAsia="Times New Roman" w:hAnsi="Times New Roman"/>
                <w:noProof/>
                <w:sz w:val="20"/>
                <w:szCs w:val="20"/>
                <w:lang w:val="en-GB" w:eastAsia="en-GB"/>
              </w:rPr>
              <w:t>extending the duration of a residence permit based on studies from one year to cover the entire duration of the studies when these studies lead to a degree;</w:t>
            </w:r>
          </w:p>
          <w:p w14:paraId="1BEC4E2F" w14:textId="77777777" w:rsidR="00935FC8" w:rsidRPr="009E7709" w:rsidRDefault="00935FC8" w:rsidP="00A7081A">
            <w:pPr>
              <w:pStyle w:val="ListParagraph"/>
              <w:numPr>
                <w:ilvl w:val="0"/>
                <w:numId w:val="25"/>
              </w:numPr>
              <w:spacing w:after="0" w:line="240" w:lineRule="auto"/>
              <w:rPr>
                <w:rFonts w:ascii="Times New Roman" w:eastAsia="Times New Roman" w:hAnsi="Times New Roman"/>
                <w:noProof/>
                <w:sz w:val="20"/>
                <w:szCs w:val="20"/>
                <w:lang w:val="en-GB" w:eastAsia="en-GB"/>
              </w:rPr>
            </w:pPr>
            <w:r w:rsidRPr="009E7709">
              <w:rPr>
                <w:rFonts w:ascii="Times New Roman" w:eastAsia="Times New Roman" w:hAnsi="Times New Roman"/>
                <w:noProof/>
                <w:sz w:val="20"/>
                <w:szCs w:val="20"/>
                <w:lang w:val="en-GB" w:eastAsia="en-GB"/>
              </w:rPr>
              <w:t>centralising and clarifying the regulation related to the right to work.</w:t>
            </w:r>
          </w:p>
        </w:tc>
      </w:tr>
      <w:tr w:rsidR="00A7081A" w:rsidRPr="009E7709" w14:paraId="78D52CA6" w14:textId="77777777" w:rsidTr="00BC6715">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75E8BCA3" w14:textId="77777777" w:rsidR="00935FC8" w:rsidRPr="009E7709" w:rsidRDefault="00935FC8">
            <w:pPr>
              <w:spacing w:after="0" w:line="240" w:lineRule="auto"/>
              <w:jc w:val="center"/>
              <w:rPr>
                <w:rFonts w:ascii="Times New Roman" w:eastAsia="Times New Roman" w:hAnsi="Times New Roman"/>
                <w:noProof/>
                <w:sz w:val="20"/>
                <w:szCs w:val="20"/>
                <w:u w:val="single"/>
                <w:lang w:eastAsia="en-GB"/>
              </w:rPr>
            </w:pPr>
            <w:r w:rsidRPr="009E7709">
              <w:rPr>
                <w:rFonts w:ascii="Times New Roman" w:eastAsia="Times New Roman" w:hAnsi="Times New Roman"/>
                <w:noProof/>
                <w:sz w:val="20"/>
                <w:szCs w:val="20"/>
                <w:lang w:eastAsia="en-GB"/>
              </w:rPr>
              <w:t>82</w:t>
            </w:r>
          </w:p>
        </w:tc>
        <w:tc>
          <w:tcPr>
            <w:tcW w:w="1669" w:type="dxa"/>
            <w:tcBorders>
              <w:top w:val="nil"/>
              <w:left w:val="nil"/>
              <w:bottom w:val="single" w:sz="4" w:space="0" w:color="auto"/>
              <w:right w:val="single" w:sz="4" w:space="0" w:color="auto"/>
            </w:tcBorders>
            <w:shd w:val="clear" w:color="auto" w:fill="C6EFCE"/>
            <w:noWrap/>
            <w:hideMark/>
          </w:tcPr>
          <w:p w14:paraId="7C99C062"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 P3C1R3 - Employment and labour market – Streamlining the work and education-based immigration process</w:t>
            </w:r>
          </w:p>
        </w:tc>
        <w:tc>
          <w:tcPr>
            <w:tcW w:w="1024" w:type="dxa"/>
            <w:tcBorders>
              <w:top w:val="nil"/>
              <w:left w:val="nil"/>
              <w:bottom w:val="single" w:sz="4" w:space="0" w:color="auto"/>
              <w:right w:val="single" w:sz="4" w:space="0" w:color="auto"/>
            </w:tcBorders>
            <w:shd w:val="clear" w:color="auto" w:fill="C6EFCE"/>
            <w:noWrap/>
            <w:hideMark/>
          </w:tcPr>
          <w:p w14:paraId="31766384"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Milestone</w:t>
            </w:r>
          </w:p>
        </w:tc>
        <w:tc>
          <w:tcPr>
            <w:tcW w:w="1676" w:type="dxa"/>
            <w:tcBorders>
              <w:top w:val="nil"/>
              <w:left w:val="nil"/>
              <w:bottom w:val="single" w:sz="4" w:space="0" w:color="auto"/>
              <w:right w:val="single" w:sz="4" w:space="0" w:color="auto"/>
            </w:tcBorders>
            <w:shd w:val="clear" w:color="auto" w:fill="C6EFCE"/>
            <w:noWrap/>
            <w:hideMark/>
          </w:tcPr>
          <w:p w14:paraId="25D498CB"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Entry into force of legislative amendments to the Aliens Act (301/2004)</w:t>
            </w:r>
          </w:p>
        </w:tc>
        <w:tc>
          <w:tcPr>
            <w:tcW w:w="1473" w:type="dxa"/>
            <w:tcBorders>
              <w:top w:val="nil"/>
              <w:left w:val="nil"/>
              <w:bottom w:val="single" w:sz="4" w:space="0" w:color="auto"/>
              <w:right w:val="single" w:sz="4" w:space="0" w:color="auto"/>
            </w:tcBorders>
            <w:shd w:val="clear" w:color="auto" w:fill="C6EFCE"/>
            <w:noWrap/>
            <w:hideMark/>
          </w:tcPr>
          <w:p w14:paraId="67F6756A"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Provisions in the amendments to the Aliens Act, indicating their entry into force</w:t>
            </w:r>
          </w:p>
        </w:tc>
        <w:tc>
          <w:tcPr>
            <w:tcW w:w="1104" w:type="dxa"/>
            <w:tcBorders>
              <w:top w:val="nil"/>
              <w:left w:val="nil"/>
              <w:bottom w:val="single" w:sz="4" w:space="0" w:color="auto"/>
              <w:right w:val="single" w:sz="4" w:space="0" w:color="auto"/>
            </w:tcBorders>
            <w:shd w:val="clear" w:color="auto" w:fill="C6EFCE"/>
            <w:noWrap/>
            <w:hideMark/>
          </w:tcPr>
          <w:p w14:paraId="75036342" w14:textId="246707B1"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hideMark/>
          </w:tcPr>
          <w:p w14:paraId="1E03CF91" w14:textId="1F9EE898"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992" w:type="dxa"/>
            <w:tcBorders>
              <w:top w:val="nil"/>
              <w:left w:val="nil"/>
              <w:bottom w:val="single" w:sz="4" w:space="0" w:color="auto"/>
              <w:right w:val="single" w:sz="4" w:space="0" w:color="auto"/>
            </w:tcBorders>
            <w:shd w:val="clear" w:color="auto" w:fill="C6EFCE"/>
            <w:noWrap/>
            <w:hideMark/>
          </w:tcPr>
          <w:p w14:paraId="133EB96E" w14:textId="2E4DDA26"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hideMark/>
          </w:tcPr>
          <w:p w14:paraId="685C7CF0"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Q2</w:t>
            </w:r>
          </w:p>
        </w:tc>
        <w:tc>
          <w:tcPr>
            <w:tcW w:w="709" w:type="dxa"/>
            <w:tcBorders>
              <w:top w:val="nil"/>
              <w:left w:val="nil"/>
              <w:bottom w:val="single" w:sz="4" w:space="0" w:color="auto"/>
              <w:right w:val="single" w:sz="4" w:space="0" w:color="auto"/>
            </w:tcBorders>
            <w:shd w:val="clear" w:color="auto" w:fill="C6EFCE"/>
            <w:noWrap/>
            <w:hideMark/>
          </w:tcPr>
          <w:p w14:paraId="3F31E412"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2023</w:t>
            </w:r>
          </w:p>
        </w:tc>
        <w:tc>
          <w:tcPr>
            <w:tcW w:w="4399" w:type="dxa"/>
            <w:tcBorders>
              <w:top w:val="nil"/>
              <w:left w:val="nil"/>
              <w:bottom w:val="single" w:sz="4" w:space="0" w:color="auto"/>
              <w:right w:val="single" w:sz="4" w:space="0" w:color="auto"/>
            </w:tcBorders>
            <w:shd w:val="clear" w:color="auto" w:fill="C6EFCE"/>
            <w:noWrap/>
            <w:hideMark/>
          </w:tcPr>
          <w:p w14:paraId="78075B0E"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The Aliens Act (301/2004) shall be amended with the objective of streamlining the permit processes for work- and education-based immigration. The legislative amendments shall include:</w:t>
            </w:r>
          </w:p>
          <w:p w14:paraId="4D3D2417" w14:textId="77777777" w:rsidR="00935FC8" w:rsidRPr="009E7709" w:rsidRDefault="00935FC8" w:rsidP="00A7081A">
            <w:pPr>
              <w:numPr>
                <w:ilvl w:val="0"/>
                <w:numId w:val="25"/>
              </w:num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refining the responsibilities of the employer and the applicant in the application process</w:t>
            </w:r>
          </w:p>
          <w:p w14:paraId="3D9E77DF" w14:textId="77777777" w:rsidR="00935FC8" w:rsidRPr="009E7709" w:rsidRDefault="00935FC8" w:rsidP="00A7081A">
            <w:pPr>
              <w:numPr>
                <w:ilvl w:val="0"/>
                <w:numId w:val="25"/>
              </w:numPr>
              <w:spacing w:after="0" w:line="240" w:lineRule="auto"/>
              <w:rPr>
                <w:rFonts w:ascii="Times New Roman" w:hAnsi="Times New Roman"/>
                <w:noProof/>
                <w:sz w:val="20"/>
                <w:szCs w:val="20"/>
                <w:lang w:eastAsia="en-GB"/>
              </w:rPr>
            </w:pPr>
            <w:r w:rsidRPr="009E7709">
              <w:rPr>
                <w:rFonts w:ascii="Times New Roman" w:eastAsia="Times New Roman" w:hAnsi="Times New Roman"/>
                <w:noProof/>
                <w:sz w:val="20"/>
                <w:szCs w:val="20"/>
                <w:lang w:eastAsia="en-GB"/>
              </w:rPr>
              <w:t>differentiating the specialist’s residence permit into its own category with revised conditions for granting the permit</w:t>
            </w:r>
          </w:p>
          <w:p w14:paraId="036986F9" w14:textId="77777777" w:rsidR="00935FC8" w:rsidRPr="009E7709" w:rsidRDefault="00935FC8" w:rsidP="00A7081A">
            <w:pPr>
              <w:numPr>
                <w:ilvl w:val="0"/>
                <w:numId w:val="25"/>
              </w:num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changes to the regulations governing the activities of the Finnish diplomatic missions abroad and</w:t>
            </w:r>
          </w:p>
          <w:p w14:paraId="026BB396" w14:textId="77777777" w:rsidR="00935FC8" w:rsidRPr="009E7709" w:rsidRDefault="00935FC8" w:rsidP="00A7081A">
            <w:pPr>
              <w:numPr>
                <w:ilvl w:val="0"/>
                <w:numId w:val="25"/>
              </w:num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revised conditions for issuing residence permits.</w:t>
            </w:r>
          </w:p>
        </w:tc>
      </w:tr>
      <w:tr w:rsidR="00A7081A" w:rsidRPr="009E7709" w14:paraId="5E794367" w14:textId="77777777" w:rsidTr="00BC6715">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251ECE20" w14:textId="77777777" w:rsidR="00935FC8" w:rsidRPr="009E7709" w:rsidRDefault="00935FC8">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83</w:t>
            </w:r>
          </w:p>
        </w:tc>
        <w:tc>
          <w:tcPr>
            <w:tcW w:w="1669" w:type="dxa"/>
            <w:tcBorders>
              <w:top w:val="nil"/>
              <w:left w:val="nil"/>
              <w:bottom w:val="single" w:sz="4" w:space="0" w:color="auto"/>
              <w:right w:val="single" w:sz="4" w:space="0" w:color="auto"/>
            </w:tcBorders>
            <w:shd w:val="clear" w:color="auto" w:fill="C6EFCE"/>
            <w:noWrap/>
          </w:tcPr>
          <w:p w14:paraId="29D668BC"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P3C1R3 - Employment and labour market - Streamlining the work and education-based immigration process</w:t>
            </w:r>
          </w:p>
        </w:tc>
        <w:tc>
          <w:tcPr>
            <w:tcW w:w="1024" w:type="dxa"/>
            <w:tcBorders>
              <w:top w:val="single" w:sz="4" w:space="0" w:color="auto"/>
              <w:left w:val="nil"/>
              <w:bottom w:val="single" w:sz="4" w:space="0" w:color="auto"/>
              <w:right w:val="single" w:sz="4" w:space="0" w:color="auto"/>
            </w:tcBorders>
            <w:shd w:val="clear" w:color="auto" w:fill="C6EFCE"/>
            <w:noWrap/>
          </w:tcPr>
          <w:p w14:paraId="4867EFA4" w14:textId="4C576988" w:rsidR="00935FC8" w:rsidRPr="009E7709" w:rsidRDefault="00935FC8" w:rsidP="000F3161">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Milestone</w:t>
            </w:r>
          </w:p>
        </w:tc>
        <w:tc>
          <w:tcPr>
            <w:tcW w:w="1676" w:type="dxa"/>
            <w:tcBorders>
              <w:top w:val="nil"/>
              <w:left w:val="nil"/>
              <w:bottom w:val="single" w:sz="4" w:space="0" w:color="auto"/>
              <w:right w:val="single" w:sz="4" w:space="0" w:color="auto"/>
            </w:tcBorders>
            <w:shd w:val="clear" w:color="auto" w:fill="C6EFCE"/>
            <w:noWrap/>
          </w:tcPr>
          <w:p w14:paraId="56614A3B"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Establishing a fast-track process for specialists, growth entrepreneurs and their accompanying family members</w:t>
            </w:r>
          </w:p>
        </w:tc>
        <w:tc>
          <w:tcPr>
            <w:tcW w:w="1473" w:type="dxa"/>
            <w:tcBorders>
              <w:top w:val="single" w:sz="4" w:space="0" w:color="auto"/>
              <w:left w:val="nil"/>
              <w:bottom w:val="single" w:sz="4" w:space="0" w:color="auto"/>
              <w:right w:val="single" w:sz="4" w:space="0" w:color="auto"/>
            </w:tcBorders>
            <w:shd w:val="clear" w:color="auto" w:fill="C6EFCE"/>
            <w:noWrap/>
          </w:tcPr>
          <w:p w14:paraId="6D69A999" w14:textId="77777777" w:rsidR="00935FC8" w:rsidRPr="009E7709" w:rsidRDefault="00935FC8" w:rsidP="00A7081A">
            <w:pPr>
              <w:spacing w:after="0"/>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The implementation of a fast-track residence permit process for specialists, growth entrepreneurs and their accompanying family members.</w:t>
            </w:r>
          </w:p>
        </w:tc>
        <w:tc>
          <w:tcPr>
            <w:tcW w:w="1104" w:type="dxa"/>
            <w:tcBorders>
              <w:top w:val="nil"/>
              <w:left w:val="nil"/>
              <w:bottom w:val="single" w:sz="4" w:space="0" w:color="auto"/>
              <w:right w:val="single" w:sz="4" w:space="0" w:color="auto"/>
            </w:tcBorders>
            <w:shd w:val="clear" w:color="auto" w:fill="C6EFCE"/>
            <w:noWrap/>
          </w:tcPr>
          <w:p w14:paraId="099C4F91"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tcPr>
          <w:p w14:paraId="4CA52040"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992" w:type="dxa"/>
            <w:tcBorders>
              <w:top w:val="nil"/>
              <w:left w:val="nil"/>
              <w:bottom w:val="single" w:sz="4" w:space="0" w:color="auto"/>
              <w:right w:val="single" w:sz="4" w:space="0" w:color="auto"/>
            </w:tcBorders>
            <w:shd w:val="clear" w:color="auto" w:fill="C6EFCE"/>
            <w:noWrap/>
          </w:tcPr>
          <w:p w14:paraId="75D32864"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40C168CF"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Q4</w:t>
            </w:r>
          </w:p>
        </w:tc>
        <w:tc>
          <w:tcPr>
            <w:tcW w:w="709" w:type="dxa"/>
            <w:tcBorders>
              <w:top w:val="nil"/>
              <w:left w:val="nil"/>
              <w:bottom w:val="single" w:sz="4" w:space="0" w:color="auto"/>
              <w:right w:val="single" w:sz="4" w:space="0" w:color="auto"/>
            </w:tcBorders>
            <w:shd w:val="clear" w:color="auto" w:fill="C6EFCE"/>
            <w:noWrap/>
          </w:tcPr>
          <w:p w14:paraId="56DE9701"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2022</w:t>
            </w:r>
          </w:p>
        </w:tc>
        <w:tc>
          <w:tcPr>
            <w:tcW w:w="4399" w:type="dxa"/>
            <w:tcBorders>
              <w:top w:val="single" w:sz="4" w:space="0" w:color="auto"/>
              <w:left w:val="nil"/>
              <w:bottom w:val="single" w:sz="4" w:space="0" w:color="auto"/>
              <w:right w:val="single" w:sz="4" w:space="0" w:color="auto"/>
            </w:tcBorders>
            <w:shd w:val="clear" w:color="auto" w:fill="C6EFCE"/>
            <w:noWrap/>
          </w:tcPr>
          <w:p w14:paraId="3453D7FB" w14:textId="45447B7E"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A fast-track for processing residence permits shall be created and implemented for specialists (working in the middle or top management of a company or in jobs that require special expertise, and EU Blue Card specialists), growth entrepreneurs and their accompanying family members, in which the target group opting for the fast track shall be given a service pledge that includes a processing time of 14 days. The fast track-service pledge applies to electronic applications that fill the requirements set out for the fast-track process.</w:t>
            </w:r>
            <w:r w:rsidR="00EE67C5">
              <w:rPr>
                <w:rFonts w:ascii="Times New Roman" w:eastAsia="Times New Roman" w:hAnsi="Times New Roman"/>
                <w:noProof/>
                <w:sz w:val="20"/>
                <w:szCs w:val="20"/>
                <w:lang w:eastAsia="en-GB"/>
              </w:rPr>
              <w:t xml:space="preserve"> </w:t>
            </w:r>
          </w:p>
          <w:p w14:paraId="0F919120"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The definition of a growth entrepreneur and of a specialist and the criteria for granting them a residence permit are those set out in the Aliens Act (301/2004).</w:t>
            </w:r>
          </w:p>
        </w:tc>
      </w:tr>
      <w:tr w:rsidR="00A7081A" w:rsidRPr="009E7709" w14:paraId="72E62CCE" w14:textId="77777777" w:rsidTr="00BC6715">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6D1BAAE5" w14:textId="77777777" w:rsidR="00935FC8" w:rsidRPr="009E7709" w:rsidRDefault="00935FC8">
            <w:pPr>
              <w:spacing w:after="0" w:line="240" w:lineRule="auto"/>
              <w:jc w:val="center"/>
              <w:rPr>
                <w:rFonts w:ascii="Times New Roman" w:eastAsia="Times New Roman" w:hAnsi="Times New Roman"/>
                <w:noProof/>
                <w:sz w:val="20"/>
                <w:szCs w:val="20"/>
                <w:u w:val="single"/>
                <w:lang w:eastAsia="en-GB"/>
              </w:rPr>
            </w:pPr>
            <w:r w:rsidRPr="009E7709">
              <w:rPr>
                <w:rFonts w:ascii="Times New Roman" w:eastAsia="Times New Roman" w:hAnsi="Times New Roman"/>
                <w:noProof/>
                <w:sz w:val="20"/>
                <w:szCs w:val="20"/>
                <w:lang w:eastAsia="en-GB"/>
              </w:rPr>
              <w:t>84</w:t>
            </w:r>
          </w:p>
        </w:tc>
        <w:tc>
          <w:tcPr>
            <w:tcW w:w="1669" w:type="dxa"/>
            <w:tcBorders>
              <w:top w:val="nil"/>
              <w:left w:val="nil"/>
              <w:bottom w:val="single" w:sz="4" w:space="0" w:color="auto"/>
              <w:right w:val="single" w:sz="4" w:space="0" w:color="auto"/>
            </w:tcBorders>
            <w:shd w:val="clear" w:color="auto" w:fill="C6EFCE"/>
            <w:noWrap/>
          </w:tcPr>
          <w:p w14:paraId="59780348"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P3C1R3 - Employment and labour market –Streamlining the work and education-based immigration process</w:t>
            </w:r>
          </w:p>
        </w:tc>
        <w:tc>
          <w:tcPr>
            <w:tcW w:w="1024" w:type="dxa"/>
            <w:tcBorders>
              <w:top w:val="single" w:sz="4" w:space="0" w:color="auto"/>
              <w:left w:val="nil"/>
              <w:bottom w:val="single" w:sz="4" w:space="0" w:color="auto"/>
              <w:right w:val="single" w:sz="4" w:space="0" w:color="auto"/>
            </w:tcBorders>
            <w:shd w:val="clear" w:color="auto" w:fill="C6EFCE"/>
            <w:noWrap/>
          </w:tcPr>
          <w:p w14:paraId="6C22D72A"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Target</w:t>
            </w:r>
          </w:p>
        </w:tc>
        <w:tc>
          <w:tcPr>
            <w:tcW w:w="1676" w:type="dxa"/>
            <w:tcBorders>
              <w:top w:val="nil"/>
              <w:left w:val="nil"/>
              <w:bottom w:val="single" w:sz="4" w:space="0" w:color="auto"/>
              <w:right w:val="single" w:sz="4" w:space="0" w:color="auto"/>
            </w:tcBorders>
            <w:shd w:val="clear" w:color="auto" w:fill="C6EFCE"/>
            <w:noWrap/>
          </w:tcPr>
          <w:p w14:paraId="0FA569AF"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Decrease in the average number of days for processing residence permit applications based on work and education</w:t>
            </w:r>
          </w:p>
        </w:tc>
        <w:tc>
          <w:tcPr>
            <w:tcW w:w="1473" w:type="dxa"/>
            <w:tcBorders>
              <w:top w:val="single" w:sz="4" w:space="0" w:color="auto"/>
              <w:left w:val="nil"/>
              <w:bottom w:val="single" w:sz="4" w:space="0" w:color="auto"/>
              <w:right w:val="single" w:sz="4" w:space="0" w:color="auto"/>
            </w:tcBorders>
            <w:shd w:val="clear" w:color="auto" w:fill="C6EFCE"/>
            <w:noWrap/>
          </w:tcPr>
          <w:p w14:paraId="57D42920" w14:textId="77777777" w:rsidR="00935FC8" w:rsidRPr="009E7709" w:rsidRDefault="00935FC8" w:rsidP="00A7081A">
            <w:pPr>
              <w:spacing w:after="0" w:line="240" w:lineRule="auto"/>
              <w:rPr>
                <w:rFonts w:ascii="Times New Roman" w:eastAsia="Times New Roman" w:hAnsi="Times New Roman"/>
                <w:strike/>
                <w:noProof/>
                <w:sz w:val="20"/>
                <w:szCs w:val="20"/>
                <w:u w:val="single"/>
                <w:lang w:eastAsia="en-GB"/>
              </w:rPr>
            </w:pPr>
          </w:p>
        </w:tc>
        <w:tc>
          <w:tcPr>
            <w:tcW w:w="1104" w:type="dxa"/>
            <w:tcBorders>
              <w:top w:val="nil"/>
              <w:left w:val="nil"/>
              <w:bottom w:val="single" w:sz="4" w:space="0" w:color="auto"/>
              <w:right w:val="single" w:sz="4" w:space="0" w:color="auto"/>
            </w:tcBorders>
            <w:shd w:val="clear" w:color="auto" w:fill="C6EFCE"/>
            <w:noWrap/>
          </w:tcPr>
          <w:p w14:paraId="013AA691"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Number</w:t>
            </w:r>
          </w:p>
        </w:tc>
        <w:tc>
          <w:tcPr>
            <w:tcW w:w="850" w:type="dxa"/>
            <w:tcBorders>
              <w:top w:val="nil"/>
              <w:left w:val="nil"/>
              <w:bottom w:val="single" w:sz="4" w:space="0" w:color="auto"/>
              <w:right w:val="single" w:sz="4" w:space="0" w:color="auto"/>
            </w:tcBorders>
            <w:shd w:val="clear" w:color="auto" w:fill="C6EFCE"/>
            <w:noWrap/>
          </w:tcPr>
          <w:p w14:paraId="4214B868"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52.6</w:t>
            </w:r>
          </w:p>
        </w:tc>
        <w:tc>
          <w:tcPr>
            <w:tcW w:w="992" w:type="dxa"/>
            <w:tcBorders>
              <w:top w:val="nil"/>
              <w:left w:val="nil"/>
              <w:bottom w:val="single" w:sz="4" w:space="0" w:color="auto"/>
              <w:right w:val="single" w:sz="4" w:space="0" w:color="auto"/>
            </w:tcBorders>
            <w:shd w:val="clear" w:color="auto" w:fill="C6EFCE"/>
            <w:noWrap/>
          </w:tcPr>
          <w:p w14:paraId="2FF33C4F"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30</w:t>
            </w:r>
          </w:p>
        </w:tc>
        <w:tc>
          <w:tcPr>
            <w:tcW w:w="851" w:type="dxa"/>
            <w:tcBorders>
              <w:top w:val="nil"/>
              <w:left w:val="nil"/>
              <w:bottom w:val="single" w:sz="4" w:space="0" w:color="auto"/>
              <w:right w:val="single" w:sz="4" w:space="0" w:color="auto"/>
            </w:tcBorders>
            <w:shd w:val="clear" w:color="auto" w:fill="C6EFCE"/>
            <w:noWrap/>
          </w:tcPr>
          <w:p w14:paraId="215D6F6E"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Q4</w:t>
            </w:r>
          </w:p>
        </w:tc>
        <w:tc>
          <w:tcPr>
            <w:tcW w:w="709" w:type="dxa"/>
            <w:tcBorders>
              <w:top w:val="nil"/>
              <w:left w:val="nil"/>
              <w:bottom w:val="single" w:sz="4" w:space="0" w:color="auto"/>
              <w:right w:val="single" w:sz="4" w:space="0" w:color="auto"/>
            </w:tcBorders>
            <w:shd w:val="clear" w:color="auto" w:fill="C6EFCE"/>
            <w:noWrap/>
          </w:tcPr>
          <w:p w14:paraId="18888270"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2024</w:t>
            </w:r>
          </w:p>
        </w:tc>
        <w:tc>
          <w:tcPr>
            <w:tcW w:w="4399" w:type="dxa"/>
            <w:tcBorders>
              <w:top w:val="single" w:sz="4" w:space="0" w:color="auto"/>
              <w:left w:val="nil"/>
              <w:bottom w:val="single" w:sz="4" w:space="0" w:color="auto"/>
              <w:right w:val="single" w:sz="4" w:space="0" w:color="auto"/>
            </w:tcBorders>
            <w:shd w:val="clear" w:color="auto" w:fill="C6EFCE"/>
            <w:noWrap/>
          </w:tcPr>
          <w:p w14:paraId="4800D45C" w14:textId="5FEFF280" w:rsidR="00935FC8" w:rsidRPr="009E7709" w:rsidRDefault="00935FC8" w:rsidP="00A7081A">
            <w:pPr>
              <w:spacing w:before="120" w:after="120" w:line="240" w:lineRule="auto"/>
              <w:rPr>
                <w:rFonts w:ascii="Times New Roman" w:eastAsia="Times New Roman" w:hAnsi="Times New Roman"/>
                <w:noProof/>
                <w:sz w:val="20"/>
                <w:szCs w:val="20"/>
                <w:lang w:eastAsia="en-GB"/>
              </w:rPr>
            </w:pPr>
            <w:bookmarkStart w:id="9" w:name="_Hlk216109079"/>
            <w:r w:rsidRPr="009E7709">
              <w:rPr>
                <w:rFonts w:ascii="Times New Roman" w:eastAsia="Times New Roman" w:hAnsi="Times New Roman"/>
                <w:noProof/>
                <w:sz w:val="20"/>
                <w:szCs w:val="20"/>
                <w:lang w:eastAsia="en-GB"/>
              </w:rPr>
              <w:t xml:space="preserve">The processing time for granting electronic work- and education-based residence permits shall be shortened to 30 days as an </w:t>
            </w:r>
            <w:r w:rsidRPr="009E7709">
              <w:rPr>
                <w:rFonts w:ascii="Times New Roman" w:eastAsia="Times New Roman" w:hAnsi="Times New Roman"/>
                <w:noProof/>
                <w:color w:val="000000" w:themeColor="text1"/>
                <w:sz w:val="20"/>
                <w:szCs w:val="20"/>
                <w:lang w:eastAsia="en-GB"/>
              </w:rPr>
              <w:t>average during a six month period in 2024</w:t>
            </w:r>
            <w:r w:rsidRPr="009E7709">
              <w:rPr>
                <w:rFonts w:ascii="Times New Roman" w:eastAsia="Times New Roman" w:hAnsi="Times New Roman"/>
                <w:noProof/>
                <w:sz w:val="20"/>
                <w:szCs w:val="20"/>
                <w:lang w:eastAsia="en-GB"/>
              </w:rPr>
              <w:t>.</w:t>
            </w:r>
            <w:r w:rsidR="00EE67C5">
              <w:rPr>
                <w:rFonts w:ascii="Times New Roman" w:eastAsia="Times New Roman" w:hAnsi="Times New Roman"/>
                <w:noProof/>
                <w:sz w:val="20"/>
                <w:szCs w:val="20"/>
                <w:lang w:eastAsia="en-GB"/>
              </w:rPr>
              <w:t xml:space="preserve"> </w:t>
            </w:r>
            <w:r w:rsidRPr="009E7709">
              <w:rPr>
                <w:rFonts w:ascii="Times New Roman" w:eastAsia="Times New Roman" w:hAnsi="Times New Roman"/>
                <w:noProof/>
                <w:sz w:val="20"/>
                <w:szCs w:val="20"/>
                <w:lang w:eastAsia="en-GB"/>
              </w:rPr>
              <w:t>In addition, new features of the digital infrastructure managed by the Finnish Immigration Services (Migri) may include, but is not limited to:</w:t>
            </w:r>
          </w:p>
          <w:p w14:paraId="62DFA6CF" w14:textId="77777777" w:rsidR="00935FC8" w:rsidRPr="009E7709" w:rsidRDefault="00935FC8" w:rsidP="00A7081A">
            <w:pPr>
              <w:pStyle w:val="ListParagraph"/>
              <w:numPr>
                <w:ilvl w:val="0"/>
                <w:numId w:val="26"/>
              </w:numPr>
              <w:spacing w:before="120" w:after="120" w:line="276" w:lineRule="auto"/>
              <w:rPr>
                <w:rFonts w:ascii="Times New Roman" w:eastAsia="Times New Roman" w:hAnsi="Times New Roman"/>
                <w:noProof/>
                <w:sz w:val="20"/>
                <w:szCs w:val="20"/>
                <w:lang w:val="en-GB" w:eastAsia="en-GB"/>
              </w:rPr>
            </w:pPr>
            <w:r w:rsidRPr="009E7709">
              <w:rPr>
                <w:rFonts w:ascii="Times New Roman" w:eastAsia="Times New Roman" w:hAnsi="Times New Roman"/>
                <w:noProof/>
                <w:sz w:val="20"/>
                <w:szCs w:val="20"/>
                <w:lang w:val="en-GB" w:eastAsia="en-GB"/>
              </w:rPr>
              <w:t>new digital functionalities;</w:t>
            </w:r>
          </w:p>
          <w:p w14:paraId="390F47CA" w14:textId="77777777" w:rsidR="00935FC8" w:rsidRPr="009E7709" w:rsidRDefault="00935FC8" w:rsidP="00A7081A">
            <w:pPr>
              <w:pStyle w:val="ListParagraph"/>
              <w:numPr>
                <w:ilvl w:val="0"/>
                <w:numId w:val="26"/>
              </w:numPr>
              <w:spacing w:before="120" w:after="120" w:line="276" w:lineRule="auto"/>
              <w:rPr>
                <w:rFonts w:ascii="Times New Roman" w:eastAsia="Times New Roman" w:hAnsi="Times New Roman"/>
                <w:noProof/>
                <w:sz w:val="20"/>
                <w:szCs w:val="20"/>
                <w:lang w:val="en-GB" w:eastAsia="en-GB"/>
              </w:rPr>
            </w:pPr>
            <w:r w:rsidRPr="009E7709">
              <w:rPr>
                <w:rFonts w:ascii="Times New Roman" w:eastAsia="Times New Roman" w:hAnsi="Times New Roman"/>
                <w:noProof/>
                <w:sz w:val="20"/>
                <w:szCs w:val="20"/>
                <w:lang w:val="en-GB" w:eastAsia="en-GB"/>
              </w:rPr>
              <w:t>system integration and data transfer;</w:t>
            </w:r>
          </w:p>
          <w:p w14:paraId="1A41DC23" w14:textId="77777777" w:rsidR="00935FC8" w:rsidRPr="009E7709" w:rsidRDefault="00935FC8" w:rsidP="00A7081A">
            <w:pPr>
              <w:pStyle w:val="ListParagraph"/>
              <w:numPr>
                <w:ilvl w:val="0"/>
                <w:numId w:val="26"/>
              </w:numPr>
              <w:spacing w:before="120" w:after="120" w:line="276" w:lineRule="auto"/>
              <w:rPr>
                <w:rFonts w:ascii="Times New Roman" w:eastAsia="Times New Roman" w:hAnsi="Times New Roman"/>
                <w:noProof/>
                <w:sz w:val="20"/>
                <w:szCs w:val="20"/>
                <w:lang w:val="en-GB" w:eastAsia="en-GB"/>
              </w:rPr>
            </w:pPr>
            <w:r w:rsidRPr="009E7709">
              <w:rPr>
                <w:rFonts w:ascii="Times New Roman" w:eastAsia="Times New Roman" w:hAnsi="Times New Roman"/>
                <w:noProof/>
                <w:sz w:val="20"/>
                <w:szCs w:val="20"/>
                <w:lang w:val="en-GB" w:eastAsia="en-GB"/>
              </w:rPr>
              <w:t>registration and processing of applications;</w:t>
            </w:r>
          </w:p>
          <w:p w14:paraId="6BA6F6B1" w14:textId="77777777" w:rsidR="00935FC8" w:rsidRPr="009E7709" w:rsidRDefault="00935FC8" w:rsidP="00A7081A">
            <w:pPr>
              <w:pStyle w:val="ListParagraph"/>
              <w:numPr>
                <w:ilvl w:val="0"/>
                <w:numId w:val="26"/>
              </w:numPr>
              <w:spacing w:before="120" w:after="120" w:line="276" w:lineRule="auto"/>
              <w:rPr>
                <w:rFonts w:ascii="Times New Roman" w:eastAsia="Times New Roman" w:hAnsi="Times New Roman"/>
                <w:noProof/>
                <w:sz w:val="20"/>
                <w:szCs w:val="20"/>
                <w:lang w:val="en-GB" w:eastAsia="en-GB"/>
              </w:rPr>
            </w:pPr>
            <w:r w:rsidRPr="009E7709">
              <w:rPr>
                <w:rFonts w:ascii="Times New Roman" w:eastAsia="Times New Roman" w:hAnsi="Times New Roman"/>
                <w:noProof/>
                <w:sz w:val="20"/>
                <w:szCs w:val="20"/>
                <w:lang w:val="en-GB" w:eastAsia="en-GB"/>
              </w:rPr>
              <w:t>inter-sectoral knowledge-based management;</w:t>
            </w:r>
          </w:p>
          <w:p w14:paraId="7F52C52E" w14:textId="77777777" w:rsidR="00935FC8" w:rsidRPr="009E7709" w:rsidRDefault="00935FC8" w:rsidP="00A7081A">
            <w:pPr>
              <w:pStyle w:val="ListParagraph"/>
              <w:numPr>
                <w:ilvl w:val="0"/>
                <w:numId w:val="26"/>
              </w:numPr>
              <w:spacing w:before="120" w:after="120" w:line="276" w:lineRule="auto"/>
              <w:rPr>
                <w:rFonts w:ascii="Times New Roman" w:eastAsia="Times New Roman" w:hAnsi="Times New Roman"/>
                <w:noProof/>
                <w:sz w:val="20"/>
                <w:szCs w:val="20"/>
                <w:lang w:val="en-GB" w:eastAsia="en-GB"/>
              </w:rPr>
            </w:pPr>
            <w:r w:rsidRPr="009E7709">
              <w:rPr>
                <w:rFonts w:ascii="Times New Roman" w:eastAsia="Times New Roman" w:hAnsi="Times New Roman"/>
                <w:noProof/>
                <w:sz w:val="20"/>
                <w:szCs w:val="20"/>
                <w:lang w:val="en-GB" w:eastAsia="en-GB"/>
              </w:rPr>
              <w:t>customer guidance and communications;</w:t>
            </w:r>
          </w:p>
          <w:p w14:paraId="256370AC" w14:textId="77777777" w:rsidR="00935FC8" w:rsidRPr="009E7709" w:rsidRDefault="00935FC8" w:rsidP="00A7081A">
            <w:pPr>
              <w:pStyle w:val="ListParagraph"/>
              <w:numPr>
                <w:ilvl w:val="0"/>
                <w:numId w:val="26"/>
              </w:numPr>
              <w:spacing w:before="120" w:after="120" w:line="276"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val="en-GB" w:eastAsia="en-GB"/>
              </w:rPr>
              <w:t>usability, performance and automation.</w:t>
            </w:r>
            <w:bookmarkEnd w:id="9"/>
          </w:p>
        </w:tc>
      </w:tr>
      <w:tr w:rsidR="00A7081A" w:rsidRPr="009E7709" w14:paraId="4C165070" w14:textId="77777777" w:rsidTr="00BC6715">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0351CF21" w14:textId="77777777" w:rsidR="00935FC8" w:rsidRPr="009E7709" w:rsidRDefault="00935FC8">
            <w:pPr>
              <w:spacing w:after="0" w:line="240" w:lineRule="auto"/>
              <w:jc w:val="center"/>
              <w:rPr>
                <w:rFonts w:ascii="Times New Roman" w:eastAsia="Times New Roman" w:hAnsi="Times New Roman"/>
                <w:noProof/>
                <w:sz w:val="20"/>
                <w:szCs w:val="20"/>
                <w:u w:val="single"/>
                <w:lang w:eastAsia="en-GB"/>
              </w:rPr>
            </w:pPr>
            <w:r w:rsidRPr="009E7709">
              <w:rPr>
                <w:rFonts w:ascii="Times New Roman" w:eastAsia="Times New Roman" w:hAnsi="Times New Roman"/>
                <w:noProof/>
                <w:sz w:val="20"/>
                <w:szCs w:val="20"/>
                <w:lang w:eastAsia="en-GB"/>
              </w:rPr>
              <w:t>85</w:t>
            </w:r>
          </w:p>
        </w:tc>
        <w:tc>
          <w:tcPr>
            <w:tcW w:w="1669" w:type="dxa"/>
            <w:tcBorders>
              <w:top w:val="nil"/>
              <w:left w:val="nil"/>
              <w:bottom w:val="single" w:sz="4" w:space="0" w:color="auto"/>
              <w:right w:val="single" w:sz="4" w:space="0" w:color="auto"/>
            </w:tcBorders>
            <w:shd w:val="clear" w:color="auto" w:fill="C6EFCE"/>
            <w:noWrap/>
          </w:tcPr>
          <w:p w14:paraId="7483D4DD"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P3C1R4 - Employment and labour market –Multi-disciplinary services for young people (Ohjaamo services)</w:t>
            </w:r>
          </w:p>
        </w:tc>
        <w:tc>
          <w:tcPr>
            <w:tcW w:w="1024" w:type="dxa"/>
            <w:tcBorders>
              <w:top w:val="nil"/>
              <w:left w:val="nil"/>
              <w:bottom w:val="single" w:sz="4" w:space="0" w:color="auto"/>
              <w:right w:val="single" w:sz="4" w:space="0" w:color="auto"/>
            </w:tcBorders>
            <w:shd w:val="clear" w:color="auto" w:fill="C6EFCE"/>
            <w:noWrap/>
          </w:tcPr>
          <w:p w14:paraId="008A251E"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Target</w:t>
            </w:r>
          </w:p>
        </w:tc>
        <w:tc>
          <w:tcPr>
            <w:tcW w:w="1676" w:type="dxa"/>
            <w:tcBorders>
              <w:top w:val="nil"/>
              <w:left w:val="nil"/>
              <w:bottom w:val="single" w:sz="4" w:space="0" w:color="auto"/>
              <w:right w:val="single" w:sz="4" w:space="0" w:color="auto"/>
            </w:tcBorders>
            <w:shd w:val="clear" w:color="auto" w:fill="C6EFCE"/>
            <w:noWrap/>
          </w:tcPr>
          <w:p w14:paraId="4EBE99A2" w14:textId="42571319"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Number of persons</w:t>
            </w:r>
            <w:r w:rsidR="00EE67C5">
              <w:rPr>
                <w:rFonts w:ascii="Times New Roman" w:eastAsia="Times New Roman" w:hAnsi="Times New Roman"/>
                <w:noProof/>
                <w:sz w:val="20"/>
                <w:szCs w:val="20"/>
                <w:lang w:eastAsia="en-GB"/>
              </w:rPr>
              <w:t xml:space="preserve"> </w:t>
            </w:r>
            <w:r w:rsidRPr="009E7709">
              <w:rPr>
                <w:rFonts w:ascii="Times New Roman" w:eastAsia="Times New Roman" w:hAnsi="Times New Roman"/>
                <w:noProof/>
                <w:sz w:val="20"/>
                <w:szCs w:val="20"/>
                <w:lang w:eastAsia="en-GB"/>
              </w:rPr>
              <w:t xml:space="preserve"> assigned for</w:t>
            </w:r>
            <w:r w:rsidRPr="009E7709" w:rsidDel="00FF2F71">
              <w:rPr>
                <w:rFonts w:ascii="Times New Roman" w:eastAsia="Times New Roman" w:hAnsi="Times New Roman"/>
                <w:noProof/>
                <w:sz w:val="20"/>
                <w:szCs w:val="20"/>
                <w:lang w:eastAsia="en-GB"/>
              </w:rPr>
              <w:t xml:space="preserve"> </w:t>
            </w:r>
            <w:r w:rsidRPr="009E7709">
              <w:rPr>
                <w:rFonts w:ascii="Times New Roman" w:eastAsia="Times New Roman" w:hAnsi="Times New Roman"/>
                <w:noProof/>
                <w:sz w:val="20"/>
                <w:szCs w:val="20"/>
                <w:lang w:eastAsia="en-GB"/>
              </w:rPr>
              <w:t>offering health, social and/or education services in the Ohjaamo One-Stop-Guidance centres</w:t>
            </w:r>
          </w:p>
        </w:tc>
        <w:tc>
          <w:tcPr>
            <w:tcW w:w="1473" w:type="dxa"/>
            <w:tcBorders>
              <w:top w:val="nil"/>
              <w:left w:val="nil"/>
              <w:bottom w:val="single" w:sz="4" w:space="0" w:color="auto"/>
              <w:right w:val="single" w:sz="4" w:space="0" w:color="auto"/>
            </w:tcBorders>
            <w:shd w:val="clear" w:color="auto" w:fill="C6EFCE"/>
            <w:noWrap/>
          </w:tcPr>
          <w:p w14:paraId="0118BC5D" w14:textId="77777777" w:rsidR="00935FC8" w:rsidRPr="009E7709" w:rsidRDefault="00935FC8" w:rsidP="00A7081A">
            <w:pPr>
              <w:spacing w:after="0" w:line="240" w:lineRule="auto"/>
              <w:rPr>
                <w:rFonts w:ascii="Times New Roman" w:eastAsia="Times New Roman" w:hAnsi="Times New Roman"/>
                <w:strike/>
                <w:noProof/>
                <w:sz w:val="20"/>
                <w:szCs w:val="20"/>
                <w:u w:val="single"/>
                <w:lang w:eastAsia="en-GB"/>
              </w:rPr>
            </w:pPr>
            <w:r w:rsidRPr="009E7709">
              <w:rPr>
                <w:rFonts w:ascii="Times New Roman" w:eastAsia="Times New Roman" w:hAnsi="Times New Roman"/>
                <w:noProof/>
                <w:sz w:val="20"/>
                <w:szCs w:val="20"/>
                <w:lang w:eastAsia="en-GB"/>
              </w:rPr>
              <w:t>Number of persons assigned for offering health, social and/or education services in the Ohjaamo One-Stop-Guidance centres</w:t>
            </w:r>
          </w:p>
        </w:tc>
        <w:tc>
          <w:tcPr>
            <w:tcW w:w="1104" w:type="dxa"/>
            <w:tcBorders>
              <w:top w:val="nil"/>
              <w:left w:val="nil"/>
              <w:bottom w:val="single" w:sz="4" w:space="0" w:color="auto"/>
              <w:right w:val="single" w:sz="4" w:space="0" w:color="auto"/>
            </w:tcBorders>
            <w:shd w:val="clear" w:color="auto" w:fill="C6EFCE"/>
            <w:noWrap/>
          </w:tcPr>
          <w:p w14:paraId="2CFEF8EE" w14:textId="74F27DF8" w:rsidR="00935FC8" w:rsidRPr="00445985" w:rsidRDefault="00935FC8" w:rsidP="00445985">
            <w:pPr>
              <w:spacing w:after="0" w:line="240" w:lineRule="auto"/>
              <w:jc w:val="center"/>
              <w:rPr>
                <w:rFonts w:ascii="Times New Roman" w:eastAsia="Times New Roman" w:hAnsi="Times New Roman"/>
                <w:noProof/>
                <w:sz w:val="18"/>
                <w:szCs w:val="18"/>
                <w:lang w:eastAsia="en-GB"/>
              </w:rPr>
            </w:pPr>
            <w:r w:rsidRPr="00445985">
              <w:rPr>
                <w:rFonts w:ascii="Times New Roman" w:eastAsia="Times New Roman" w:hAnsi="Times New Roman"/>
                <w:noProof/>
                <w:sz w:val="18"/>
                <w:szCs w:val="18"/>
                <w:lang w:eastAsia="en-GB"/>
              </w:rPr>
              <w:t>Number of</w:t>
            </w:r>
            <w:r w:rsidR="00EE67C5" w:rsidRPr="00445985">
              <w:rPr>
                <w:rFonts w:ascii="Times New Roman" w:eastAsia="Times New Roman" w:hAnsi="Times New Roman"/>
                <w:noProof/>
                <w:sz w:val="18"/>
                <w:szCs w:val="18"/>
                <w:lang w:eastAsia="en-GB"/>
              </w:rPr>
              <w:t xml:space="preserve"> </w:t>
            </w:r>
            <w:r w:rsidR="00242527" w:rsidRPr="00445985">
              <w:rPr>
                <w:rFonts w:ascii="Times New Roman" w:eastAsia="Times New Roman" w:hAnsi="Times New Roman"/>
                <w:noProof/>
                <w:sz w:val="18"/>
                <w:szCs w:val="18"/>
                <w:lang w:eastAsia="en-GB"/>
              </w:rPr>
              <w:t>person-years</w:t>
            </w:r>
          </w:p>
        </w:tc>
        <w:tc>
          <w:tcPr>
            <w:tcW w:w="850" w:type="dxa"/>
            <w:tcBorders>
              <w:top w:val="nil"/>
              <w:left w:val="nil"/>
              <w:bottom w:val="single" w:sz="4" w:space="0" w:color="auto"/>
              <w:right w:val="single" w:sz="4" w:space="0" w:color="auto"/>
            </w:tcBorders>
            <w:shd w:val="clear" w:color="auto" w:fill="C6EFCE"/>
            <w:noWrap/>
          </w:tcPr>
          <w:p w14:paraId="4CA07E54"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0</w:t>
            </w:r>
          </w:p>
        </w:tc>
        <w:tc>
          <w:tcPr>
            <w:tcW w:w="992" w:type="dxa"/>
            <w:tcBorders>
              <w:top w:val="nil"/>
              <w:left w:val="nil"/>
              <w:bottom w:val="single" w:sz="4" w:space="0" w:color="auto"/>
              <w:right w:val="single" w:sz="4" w:space="0" w:color="auto"/>
            </w:tcBorders>
            <w:shd w:val="clear" w:color="auto" w:fill="C6EFCE"/>
            <w:noWrap/>
          </w:tcPr>
          <w:p w14:paraId="441B46E0"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100</w:t>
            </w:r>
          </w:p>
        </w:tc>
        <w:tc>
          <w:tcPr>
            <w:tcW w:w="851" w:type="dxa"/>
            <w:tcBorders>
              <w:top w:val="nil"/>
              <w:left w:val="nil"/>
              <w:bottom w:val="single" w:sz="4" w:space="0" w:color="auto"/>
              <w:right w:val="single" w:sz="4" w:space="0" w:color="auto"/>
            </w:tcBorders>
            <w:shd w:val="clear" w:color="auto" w:fill="C6EFCE"/>
            <w:noWrap/>
          </w:tcPr>
          <w:p w14:paraId="657AE62D"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Q4</w:t>
            </w:r>
          </w:p>
        </w:tc>
        <w:tc>
          <w:tcPr>
            <w:tcW w:w="709" w:type="dxa"/>
            <w:tcBorders>
              <w:top w:val="nil"/>
              <w:left w:val="nil"/>
              <w:bottom w:val="single" w:sz="4" w:space="0" w:color="auto"/>
              <w:right w:val="single" w:sz="4" w:space="0" w:color="auto"/>
            </w:tcBorders>
            <w:shd w:val="clear" w:color="auto" w:fill="C6EFCE"/>
            <w:noWrap/>
          </w:tcPr>
          <w:p w14:paraId="36DD2E48"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2025</w:t>
            </w:r>
          </w:p>
        </w:tc>
        <w:tc>
          <w:tcPr>
            <w:tcW w:w="4399" w:type="dxa"/>
            <w:tcBorders>
              <w:top w:val="nil"/>
              <w:left w:val="nil"/>
              <w:bottom w:val="single" w:sz="4" w:space="0" w:color="auto"/>
              <w:right w:val="single" w:sz="4" w:space="0" w:color="auto"/>
            </w:tcBorders>
            <w:shd w:val="clear" w:color="auto" w:fill="C6EFCE"/>
            <w:noWrap/>
          </w:tcPr>
          <w:p w14:paraId="222DA4C1" w14:textId="22385672" w:rsidR="00935FC8" w:rsidRPr="009E7709" w:rsidRDefault="00935FC8" w:rsidP="00445985">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At least</w:t>
            </w:r>
            <w:r w:rsidRPr="009E7709">
              <w:rPr>
                <w:rFonts w:ascii="Times New Roman" w:hAnsi="Times New Roman"/>
                <w:noProof/>
                <w:sz w:val="20"/>
                <w:szCs w:val="20"/>
              </w:rPr>
              <w:t xml:space="preserve"> </w:t>
            </w:r>
            <w:r w:rsidRPr="009E7709">
              <w:rPr>
                <w:rFonts w:ascii="Times New Roman" w:eastAsia="Times New Roman" w:hAnsi="Times New Roman"/>
                <w:noProof/>
                <w:sz w:val="20"/>
                <w:szCs w:val="20"/>
                <w:lang w:eastAsia="en-GB"/>
              </w:rPr>
              <w:t>100 persons (</w:t>
            </w:r>
            <w:r w:rsidR="00242527" w:rsidRPr="009E7709">
              <w:rPr>
                <w:rFonts w:ascii="Times New Roman" w:eastAsia="Times New Roman" w:hAnsi="Times New Roman"/>
                <w:noProof/>
                <w:sz w:val="20"/>
                <w:szCs w:val="20"/>
                <w:lang w:eastAsia="en-GB"/>
              </w:rPr>
              <w:t>person-years</w:t>
            </w:r>
            <w:r w:rsidRPr="009E7709">
              <w:rPr>
                <w:rFonts w:ascii="Times New Roman" w:eastAsia="Times New Roman" w:hAnsi="Times New Roman"/>
                <w:noProof/>
                <w:sz w:val="20"/>
                <w:szCs w:val="20"/>
                <w:lang w:eastAsia="en-GB"/>
              </w:rPr>
              <w:t xml:space="preserve">) are assigned for offering health, social and/or education services in the Ohjaamo One-Stop-Guidance centres. </w:t>
            </w:r>
          </w:p>
        </w:tc>
      </w:tr>
      <w:tr w:rsidR="00A7081A" w:rsidRPr="009E7709" w14:paraId="276637EB" w14:textId="77777777" w:rsidTr="00BC6715">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0F18A7BD" w14:textId="77777777" w:rsidR="00935FC8" w:rsidRPr="009E7709" w:rsidRDefault="00935FC8">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89</w:t>
            </w:r>
          </w:p>
        </w:tc>
        <w:tc>
          <w:tcPr>
            <w:tcW w:w="1669" w:type="dxa"/>
            <w:tcBorders>
              <w:top w:val="nil"/>
              <w:left w:val="nil"/>
              <w:bottom w:val="single" w:sz="4" w:space="0" w:color="auto"/>
              <w:right w:val="single" w:sz="4" w:space="0" w:color="auto"/>
            </w:tcBorders>
            <w:shd w:val="clear" w:color="auto" w:fill="C6EFCE"/>
            <w:noWrap/>
          </w:tcPr>
          <w:p w14:paraId="3FE7C957"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P3C1I1 - Employment and labour market –Work ability, productivity and well-being at work</w:t>
            </w:r>
          </w:p>
        </w:tc>
        <w:tc>
          <w:tcPr>
            <w:tcW w:w="1024" w:type="dxa"/>
            <w:tcBorders>
              <w:top w:val="nil"/>
              <w:left w:val="nil"/>
              <w:bottom w:val="single" w:sz="4" w:space="0" w:color="auto"/>
              <w:right w:val="single" w:sz="4" w:space="0" w:color="auto"/>
            </w:tcBorders>
            <w:shd w:val="clear" w:color="auto" w:fill="C6EFCE"/>
            <w:noWrap/>
          </w:tcPr>
          <w:p w14:paraId="3A23D39D"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Milestone</w:t>
            </w:r>
          </w:p>
        </w:tc>
        <w:tc>
          <w:tcPr>
            <w:tcW w:w="1676" w:type="dxa"/>
            <w:tcBorders>
              <w:top w:val="nil"/>
              <w:left w:val="nil"/>
              <w:bottom w:val="single" w:sz="4" w:space="0" w:color="auto"/>
              <w:right w:val="single" w:sz="4" w:space="0" w:color="auto"/>
            </w:tcBorders>
            <w:shd w:val="clear" w:color="auto" w:fill="C6EFCE"/>
            <w:noWrap/>
          </w:tcPr>
          <w:p w14:paraId="0B7A130B"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Work ability teams for the provision of Work Ability Programme offered in new municipalities and the Individual Placement and Support model service offered in new welfare areas</w:t>
            </w:r>
          </w:p>
        </w:tc>
        <w:tc>
          <w:tcPr>
            <w:tcW w:w="1473" w:type="dxa"/>
            <w:tcBorders>
              <w:top w:val="nil"/>
              <w:left w:val="nil"/>
              <w:bottom w:val="single" w:sz="4" w:space="0" w:color="auto"/>
              <w:right w:val="single" w:sz="4" w:space="0" w:color="auto"/>
            </w:tcBorders>
            <w:shd w:val="clear" w:color="auto" w:fill="C6EFCE"/>
            <w:noWrap/>
          </w:tcPr>
          <w:p w14:paraId="65393AC6"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Work ability teams for the provision of Work Ability Programme offered in new municipalities and the Individual Placement and Support model service offered in new welfare areas</w:t>
            </w:r>
          </w:p>
        </w:tc>
        <w:tc>
          <w:tcPr>
            <w:tcW w:w="1104" w:type="dxa"/>
            <w:tcBorders>
              <w:top w:val="nil"/>
              <w:left w:val="nil"/>
              <w:bottom w:val="single" w:sz="4" w:space="0" w:color="auto"/>
              <w:right w:val="single" w:sz="4" w:space="0" w:color="auto"/>
            </w:tcBorders>
            <w:shd w:val="clear" w:color="auto" w:fill="C6EFCE"/>
            <w:noWrap/>
          </w:tcPr>
          <w:p w14:paraId="5F90BD75"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tcPr>
          <w:p w14:paraId="4EC11130"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p>
        </w:tc>
        <w:tc>
          <w:tcPr>
            <w:tcW w:w="992" w:type="dxa"/>
            <w:tcBorders>
              <w:top w:val="nil"/>
              <w:left w:val="nil"/>
              <w:bottom w:val="single" w:sz="4" w:space="0" w:color="auto"/>
              <w:right w:val="single" w:sz="4" w:space="0" w:color="auto"/>
            </w:tcBorders>
            <w:shd w:val="clear" w:color="auto" w:fill="C6EFCE"/>
            <w:noWrap/>
          </w:tcPr>
          <w:p w14:paraId="5FBD368D" w14:textId="77777777" w:rsidR="00935FC8" w:rsidRPr="009E7709" w:rsidRDefault="00935FC8" w:rsidP="00445985">
            <w:pPr>
              <w:spacing w:after="0" w:line="240" w:lineRule="auto"/>
              <w:jc w:val="center"/>
              <w:rPr>
                <w:rFonts w:ascii="Times New Roman" w:eastAsia="Times New Roman" w:hAnsi="Times New Roman"/>
                <w:noProof/>
                <w:sz w:val="20"/>
                <w:szCs w:val="20"/>
                <w:u w:val="single"/>
                <w:lang w:eastAsia="en-GB"/>
              </w:rPr>
            </w:pPr>
          </w:p>
        </w:tc>
        <w:tc>
          <w:tcPr>
            <w:tcW w:w="851" w:type="dxa"/>
            <w:tcBorders>
              <w:top w:val="nil"/>
              <w:left w:val="nil"/>
              <w:bottom w:val="single" w:sz="4" w:space="0" w:color="auto"/>
              <w:right w:val="single" w:sz="4" w:space="0" w:color="auto"/>
            </w:tcBorders>
            <w:shd w:val="clear" w:color="auto" w:fill="C6EFCE"/>
            <w:noWrap/>
          </w:tcPr>
          <w:p w14:paraId="78E2B070"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Q4</w:t>
            </w:r>
          </w:p>
        </w:tc>
        <w:tc>
          <w:tcPr>
            <w:tcW w:w="709" w:type="dxa"/>
            <w:tcBorders>
              <w:top w:val="nil"/>
              <w:left w:val="nil"/>
              <w:bottom w:val="single" w:sz="4" w:space="0" w:color="auto"/>
              <w:right w:val="single" w:sz="4" w:space="0" w:color="auto"/>
            </w:tcBorders>
            <w:shd w:val="clear" w:color="auto" w:fill="C6EFCE"/>
            <w:noWrap/>
          </w:tcPr>
          <w:p w14:paraId="2B97A423"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2024</w:t>
            </w:r>
          </w:p>
        </w:tc>
        <w:tc>
          <w:tcPr>
            <w:tcW w:w="4399" w:type="dxa"/>
            <w:tcBorders>
              <w:top w:val="nil"/>
              <w:left w:val="nil"/>
              <w:bottom w:val="single" w:sz="4" w:space="0" w:color="auto"/>
              <w:right w:val="single" w:sz="4" w:space="0" w:color="auto"/>
            </w:tcBorders>
            <w:shd w:val="clear" w:color="auto" w:fill="C6EFCE"/>
            <w:noWrap/>
          </w:tcPr>
          <w:p w14:paraId="73809878" w14:textId="66590ADC" w:rsidR="00935FC8" w:rsidRPr="009E7709" w:rsidRDefault="00935FC8" w:rsidP="00A7081A">
            <w:pPr>
              <w:spacing w:before="120" w:after="120" w:line="240" w:lineRule="auto"/>
              <w:jc w:val="both"/>
              <w:rPr>
                <w:rFonts w:ascii="Times New Roman" w:eastAsia="Times New Roman" w:hAnsi="Times New Roman"/>
                <w:noProof/>
                <w:sz w:val="20"/>
                <w:szCs w:val="20"/>
                <w:u w:val="single"/>
                <w:lang w:eastAsia="en-GB"/>
              </w:rPr>
            </w:pPr>
            <w:r w:rsidRPr="009E7709">
              <w:rPr>
                <w:rFonts w:ascii="Times New Roman" w:eastAsia="Times New Roman" w:hAnsi="Times New Roman"/>
                <w:noProof/>
                <w:sz w:val="20"/>
                <w:szCs w:val="20"/>
                <w:lang w:eastAsia="en-GB"/>
              </w:rPr>
              <w:t>Work ability teams for the provision of the Work Ability Programme shall be offered in five new municipalities, and the Individual Placement and Support model service shall be offered in six new welfare areas.</w:t>
            </w:r>
          </w:p>
        </w:tc>
      </w:tr>
      <w:tr w:rsidR="00A7081A" w:rsidRPr="009E7709" w14:paraId="4D845463" w14:textId="77777777" w:rsidTr="00BC6715">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77C03D2" w14:textId="77777777" w:rsidR="00935FC8" w:rsidRPr="009E7709" w:rsidRDefault="00935FC8">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90</w:t>
            </w:r>
          </w:p>
        </w:tc>
        <w:tc>
          <w:tcPr>
            <w:tcW w:w="1669" w:type="dxa"/>
            <w:tcBorders>
              <w:top w:val="single" w:sz="4" w:space="0" w:color="auto"/>
              <w:left w:val="nil"/>
              <w:bottom w:val="single" w:sz="4" w:space="0" w:color="auto"/>
              <w:right w:val="single" w:sz="4" w:space="0" w:color="auto"/>
            </w:tcBorders>
            <w:shd w:val="clear" w:color="auto" w:fill="C6EFCE"/>
            <w:noWrap/>
          </w:tcPr>
          <w:p w14:paraId="0BAB53C7"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P3C1I1 - Employment and labour market – Work ability, productivity and well-being at work</w:t>
            </w:r>
          </w:p>
        </w:tc>
        <w:tc>
          <w:tcPr>
            <w:tcW w:w="1024" w:type="dxa"/>
            <w:tcBorders>
              <w:top w:val="single" w:sz="4" w:space="0" w:color="auto"/>
              <w:left w:val="nil"/>
              <w:bottom w:val="single" w:sz="4" w:space="0" w:color="auto"/>
              <w:right w:val="single" w:sz="4" w:space="0" w:color="auto"/>
            </w:tcBorders>
            <w:shd w:val="clear" w:color="auto" w:fill="C6EFCE"/>
            <w:noWrap/>
          </w:tcPr>
          <w:p w14:paraId="46B9AD85"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Target</w:t>
            </w:r>
          </w:p>
        </w:tc>
        <w:tc>
          <w:tcPr>
            <w:tcW w:w="1676" w:type="dxa"/>
            <w:tcBorders>
              <w:top w:val="single" w:sz="4" w:space="0" w:color="auto"/>
              <w:left w:val="nil"/>
              <w:bottom w:val="single" w:sz="4" w:space="0" w:color="auto"/>
              <w:right w:val="single" w:sz="4" w:space="0" w:color="auto"/>
            </w:tcBorders>
            <w:shd w:val="clear" w:color="auto" w:fill="C6EFCE"/>
            <w:noWrap/>
          </w:tcPr>
          <w:p w14:paraId="5C4291F2" w14:textId="77777777" w:rsidR="00935FC8" w:rsidRPr="009E7709" w:rsidRDefault="00935FC8" w:rsidP="00A7081A">
            <w:pPr>
              <w:spacing w:after="0" w:line="240" w:lineRule="auto"/>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Number of workplaces or occupational health care units having participated in work ability promotion measures</w:t>
            </w:r>
          </w:p>
        </w:tc>
        <w:tc>
          <w:tcPr>
            <w:tcW w:w="1473" w:type="dxa"/>
            <w:tcBorders>
              <w:top w:val="single" w:sz="4" w:space="0" w:color="auto"/>
              <w:left w:val="nil"/>
              <w:bottom w:val="single" w:sz="4" w:space="0" w:color="auto"/>
              <w:right w:val="single" w:sz="4" w:space="0" w:color="auto"/>
            </w:tcBorders>
            <w:shd w:val="clear" w:color="auto" w:fill="C6EFCE"/>
            <w:noWrap/>
          </w:tcPr>
          <w:p w14:paraId="00E5C776" w14:textId="77777777" w:rsidR="00935FC8" w:rsidRPr="009E7709" w:rsidRDefault="00935FC8" w:rsidP="00A7081A">
            <w:pPr>
              <w:spacing w:after="0" w:line="240" w:lineRule="auto"/>
              <w:rPr>
                <w:rFonts w:ascii="Times New Roman" w:eastAsia="Times New Roman" w:hAnsi="Times New Roman"/>
                <w:noProof/>
                <w:sz w:val="20"/>
                <w:szCs w:val="20"/>
                <w:lang w:eastAsia="en-GB"/>
              </w:rPr>
            </w:pPr>
          </w:p>
        </w:tc>
        <w:tc>
          <w:tcPr>
            <w:tcW w:w="1104" w:type="dxa"/>
            <w:tcBorders>
              <w:top w:val="single" w:sz="4" w:space="0" w:color="auto"/>
              <w:left w:val="nil"/>
              <w:bottom w:val="single" w:sz="4" w:space="0" w:color="auto"/>
              <w:right w:val="single" w:sz="4" w:space="0" w:color="auto"/>
            </w:tcBorders>
            <w:shd w:val="clear" w:color="auto" w:fill="C6EFCE"/>
            <w:noWrap/>
          </w:tcPr>
          <w:p w14:paraId="0A21A57B"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Number</w:t>
            </w:r>
          </w:p>
        </w:tc>
        <w:tc>
          <w:tcPr>
            <w:tcW w:w="850" w:type="dxa"/>
            <w:tcBorders>
              <w:top w:val="single" w:sz="4" w:space="0" w:color="auto"/>
              <w:left w:val="nil"/>
              <w:bottom w:val="single" w:sz="4" w:space="0" w:color="auto"/>
              <w:right w:val="single" w:sz="4" w:space="0" w:color="auto"/>
            </w:tcBorders>
            <w:shd w:val="clear" w:color="auto" w:fill="C6EFCE"/>
            <w:noWrap/>
          </w:tcPr>
          <w:p w14:paraId="47D60839"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0</w:t>
            </w:r>
          </w:p>
        </w:tc>
        <w:tc>
          <w:tcPr>
            <w:tcW w:w="992" w:type="dxa"/>
            <w:tcBorders>
              <w:top w:val="single" w:sz="4" w:space="0" w:color="auto"/>
              <w:left w:val="nil"/>
              <w:bottom w:val="single" w:sz="4" w:space="0" w:color="auto"/>
              <w:right w:val="single" w:sz="4" w:space="0" w:color="auto"/>
            </w:tcBorders>
            <w:shd w:val="clear" w:color="auto" w:fill="C6EFCE"/>
            <w:noWrap/>
          </w:tcPr>
          <w:p w14:paraId="79063BF2"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2 000</w:t>
            </w:r>
          </w:p>
        </w:tc>
        <w:tc>
          <w:tcPr>
            <w:tcW w:w="851" w:type="dxa"/>
            <w:tcBorders>
              <w:top w:val="single" w:sz="4" w:space="0" w:color="auto"/>
              <w:left w:val="nil"/>
              <w:bottom w:val="single" w:sz="4" w:space="0" w:color="auto"/>
              <w:right w:val="single" w:sz="4" w:space="0" w:color="auto"/>
            </w:tcBorders>
            <w:shd w:val="clear" w:color="auto" w:fill="C6EFCE"/>
            <w:noWrap/>
          </w:tcPr>
          <w:p w14:paraId="7F36B523" w14:textId="77777777" w:rsidR="00935FC8" w:rsidRPr="009E7709" w:rsidRDefault="00935FC8" w:rsidP="00445985">
            <w:pPr>
              <w:spacing w:after="0" w:line="240" w:lineRule="auto"/>
              <w:jc w:val="center"/>
              <w:rPr>
                <w:rFonts w:ascii="Times New Roman" w:hAnsi="Times New Roman"/>
                <w:noProof/>
                <w:sz w:val="20"/>
                <w:szCs w:val="20"/>
              </w:rPr>
            </w:pPr>
            <w:r w:rsidRPr="009E7709">
              <w:rPr>
                <w:rFonts w:ascii="Times New Roman" w:eastAsia="Times New Roman" w:hAnsi="Times New Roman"/>
                <w:noProof/>
                <w:sz w:val="20"/>
                <w:szCs w:val="20"/>
                <w:lang w:eastAsia="en-GB"/>
              </w:rPr>
              <w:t>Q3</w:t>
            </w:r>
          </w:p>
        </w:tc>
        <w:tc>
          <w:tcPr>
            <w:tcW w:w="709" w:type="dxa"/>
            <w:tcBorders>
              <w:top w:val="single" w:sz="4" w:space="0" w:color="auto"/>
              <w:left w:val="nil"/>
              <w:bottom w:val="single" w:sz="4" w:space="0" w:color="auto"/>
              <w:right w:val="single" w:sz="4" w:space="0" w:color="auto"/>
            </w:tcBorders>
            <w:shd w:val="clear" w:color="auto" w:fill="C6EFCE"/>
            <w:noWrap/>
          </w:tcPr>
          <w:p w14:paraId="70CFF43A" w14:textId="77777777" w:rsidR="00935FC8" w:rsidRPr="009E7709" w:rsidRDefault="00935FC8" w:rsidP="00445985">
            <w:pPr>
              <w:spacing w:after="0" w:line="240" w:lineRule="auto"/>
              <w:jc w:val="center"/>
              <w:rPr>
                <w:rFonts w:ascii="Times New Roman" w:eastAsia="Times New Roman" w:hAnsi="Times New Roman"/>
                <w:noProof/>
                <w:sz w:val="20"/>
                <w:szCs w:val="20"/>
                <w:lang w:eastAsia="en-GB"/>
              </w:rPr>
            </w:pPr>
            <w:r w:rsidRPr="009E7709">
              <w:rPr>
                <w:rFonts w:ascii="Times New Roman" w:eastAsia="Times New Roman" w:hAnsi="Times New Roman"/>
                <w:noProof/>
                <w:sz w:val="20"/>
                <w:szCs w:val="20"/>
                <w:lang w:eastAsia="en-GB"/>
              </w:rPr>
              <w:t>2025</w:t>
            </w:r>
          </w:p>
        </w:tc>
        <w:tc>
          <w:tcPr>
            <w:tcW w:w="4399" w:type="dxa"/>
            <w:tcBorders>
              <w:top w:val="single" w:sz="4" w:space="0" w:color="auto"/>
              <w:left w:val="nil"/>
              <w:bottom w:val="single" w:sz="4" w:space="0" w:color="auto"/>
              <w:right w:val="single" w:sz="4" w:space="0" w:color="auto"/>
            </w:tcBorders>
            <w:shd w:val="clear" w:color="auto" w:fill="C6EFCE"/>
            <w:noWrap/>
          </w:tcPr>
          <w:p w14:paraId="74D9404A" w14:textId="77777777" w:rsidR="00935FC8" w:rsidRPr="009E7709" w:rsidRDefault="00935FC8" w:rsidP="00A7081A">
            <w:pPr>
              <w:spacing w:after="0" w:line="240" w:lineRule="auto"/>
              <w:rPr>
                <w:rFonts w:ascii="Times New Roman" w:hAnsi="Times New Roman"/>
                <w:noProof/>
                <w:sz w:val="20"/>
                <w:szCs w:val="20"/>
              </w:rPr>
            </w:pPr>
            <w:r w:rsidRPr="009E7709">
              <w:rPr>
                <w:rFonts w:ascii="Times New Roman" w:eastAsia="Times New Roman" w:hAnsi="Times New Roman"/>
                <w:noProof/>
                <w:sz w:val="20"/>
                <w:szCs w:val="20"/>
                <w:lang w:eastAsia="en-GB"/>
              </w:rPr>
              <w:t>At least 2</w:t>
            </w:r>
            <w:r w:rsidRPr="009E7709">
              <w:rPr>
                <w:rFonts w:ascii="Times New Roman" w:hAnsi="Times New Roman"/>
                <w:noProof/>
                <w:sz w:val="20"/>
                <w:szCs w:val="20"/>
              </w:rPr>
              <w:t> </w:t>
            </w:r>
            <w:r w:rsidRPr="009E7709">
              <w:rPr>
                <w:rFonts w:ascii="Times New Roman" w:eastAsia="Times New Roman" w:hAnsi="Times New Roman"/>
                <w:noProof/>
                <w:sz w:val="20"/>
                <w:szCs w:val="20"/>
                <w:lang w:eastAsia="en-GB"/>
              </w:rPr>
              <w:t xml:space="preserve">000 workplaces or occupational healthcare units shall participate </w:t>
            </w:r>
            <w:r w:rsidRPr="009E7709" w:rsidDel="009013DB">
              <w:rPr>
                <w:rFonts w:ascii="Times New Roman" w:eastAsia="Times New Roman" w:hAnsi="Times New Roman"/>
                <w:noProof/>
                <w:sz w:val="20"/>
                <w:szCs w:val="20"/>
                <w:lang w:eastAsia="en-GB"/>
              </w:rPr>
              <w:t>in</w:t>
            </w:r>
            <w:r w:rsidRPr="009E7709">
              <w:rPr>
                <w:rFonts w:ascii="Times New Roman" w:eastAsia="Times New Roman" w:hAnsi="Times New Roman"/>
                <w:noProof/>
                <w:sz w:val="20"/>
                <w:szCs w:val="20"/>
                <w:lang w:eastAsia="en-GB"/>
              </w:rPr>
              <w:t xml:space="preserve"> work ability promotion measures.</w:t>
            </w:r>
          </w:p>
        </w:tc>
      </w:tr>
    </w:tbl>
    <w:p w14:paraId="68A63D64" w14:textId="77777777" w:rsidR="00935FC8" w:rsidRPr="00374BE0" w:rsidRDefault="00935FC8">
      <w:pPr>
        <w:spacing w:before="120" w:after="120" w:line="240" w:lineRule="auto"/>
        <w:ind w:left="709"/>
        <w:jc w:val="both"/>
        <w:rPr>
          <w:rFonts w:ascii="Times New Roman" w:hAnsi="Times New Roman"/>
          <w:noProof/>
          <w:sz w:val="24"/>
          <w:szCs w:val="24"/>
        </w:rPr>
        <w:sectPr w:rsidR="00935FC8" w:rsidRPr="00374BE0" w:rsidSect="00A7081A">
          <w:headerReference w:type="even" r:id="rId113"/>
          <w:headerReference w:type="default" r:id="rId114"/>
          <w:footerReference w:type="even" r:id="rId115"/>
          <w:footerReference w:type="default" r:id="rId116"/>
          <w:headerReference w:type="first" r:id="rId117"/>
          <w:footerReference w:type="first" r:id="rId118"/>
          <w:pgSz w:w="16839" w:h="11907" w:orient="landscape" w:code="9"/>
          <w:pgMar w:top="1134" w:right="1134" w:bottom="1134" w:left="1134" w:header="567" w:footer="567" w:gutter="0"/>
          <w:cols w:space="720"/>
          <w:docGrid w:linePitch="360"/>
        </w:sectPr>
      </w:pPr>
    </w:p>
    <w:p w14:paraId="4C8E26F4" w14:textId="77777777" w:rsidR="00935FC8" w:rsidRPr="00B555B3" w:rsidRDefault="00935FC8">
      <w:pPr>
        <w:spacing w:after="0" w:line="240" w:lineRule="auto"/>
        <w:jc w:val="both"/>
        <w:rPr>
          <w:rFonts w:ascii="Times New Roman" w:eastAsia="Times New Roman" w:hAnsi="Times New Roman"/>
          <w:noProof/>
        </w:rPr>
      </w:pPr>
      <w:r w:rsidRPr="00B555B3">
        <w:rPr>
          <w:rFonts w:ascii="Times New Roman" w:eastAsia="Times New Roman" w:hAnsi="Times New Roman"/>
          <w:b/>
          <w:bCs/>
          <w:noProof/>
        </w:rPr>
        <w:t xml:space="preserve">J. </w:t>
      </w:r>
      <w:r w:rsidRPr="00B555B3">
        <w:rPr>
          <w:rStyle w:val="Heading1Char"/>
          <w:rFonts w:eastAsia="Calibri"/>
          <w:noProof/>
        </w:rPr>
        <w:t>COMPONENT P3C2: RAISING THE COMPETENCE LEVEL AND REFORM OF CONTINUOUS LEARNING</w:t>
      </w:r>
      <w:r w:rsidRPr="00B555B3">
        <w:rPr>
          <w:rFonts w:ascii="Times New Roman" w:eastAsia="Times New Roman" w:hAnsi="Times New Roman"/>
          <w:noProof/>
        </w:rPr>
        <w:t xml:space="preserve"> </w:t>
      </w:r>
    </w:p>
    <w:p w14:paraId="047941A0" w14:textId="77777777"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This component of the Finnish recovery and resilience plan addresses challenges arising from globalisation, technological and demographic changes, which affect the Finnish economy and threaten employment’s level. Developing skills of working age people (through reskilling and upskilling), including the low-skilled, in areas relevant to the labour market is key to strengthening workforce’s employability in an increasingly digital and greener economy.</w:t>
      </w:r>
    </w:p>
    <w:p w14:paraId="3AD74894" w14:textId="77777777"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 xml:space="preserve">The overall objective of this component is to raise Finland’s level of competences and increase the effectiveness of the higher education system. To achieve this goal, the component includes the following activities: (i) a reform of continuous learning to meet the competence needs of the future; (ii) investing in the digitalisation of continuous learning; (iii) increasing the number of student places in higher education; and (iv) investing in the digitalisation and modernisation of higher education in Åland. </w:t>
      </w:r>
    </w:p>
    <w:p w14:paraId="70082B1B" w14:textId="77777777"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 xml:space="preserve">The component shall support smoother transitions between working life and education. It shall also contribute to improving the conditions for employment, especially among under-represented groups, and to enabling people in key economic sectors to take on new tasks. </w:t>
      </w:r>
    </w:p>
    <w:p w14:paraId="046AA6BE" w14:textId="77777777"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The component contributes to addressing Country Specific Recommendations on improving incentives to accept work and enhancing skills and active inclusion, notably through well-integrated services for the unemployed and the inactive (Country Specific Recommendation 2 2019), as well as on strengthening measures to support employment and bolster active labour market policies (Country Specific Recommendation 2 2020).</w:t>
      </w:r>
    </w:p>
    <w:p w14:paraId="0A8B8B49" w14:textId="77777777"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 xml:space="preserve">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 </w:t>
      </w:r>
    </w:p>
    <w:p w14:paraId="266B3534" w14:textId="77777777"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b/>
          <w:bCs/>
          <w:noProof/>
          <w:sz w:val="24"/>
          <w:szCs w:val="24"/>
        </w:rPr>
        <w:t>J.1. Description of the reforms and investments for non-repayable financial support</w:t>
      </w:r>
      <w:r w:rsidRPr="00B555B3">
        <w:rPr>
          <w:rFonts w:ascii="Times New Roman" w:eastAsia="Times New Roman" w:hAnsi="Times New Roman"/>
          <w:noProof/>
          <w:sz w:val="24"/>
          <w:szCs w:val="24"/>
        </w:rPr>
        <w:t xml:space="preserve"> </w:t>
      </w:r>
    </w:p>
    <w:p w14:paraId="79E4E2E1" w14:textId="77777777" w:rsidR="00935FC8" w:rsidRPr="00B555B3"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Reform 1 (P3C2R1): Reform of continuous learning</w:t>
      </w:r>
      <w:r w:rsidRPr="00B555B3">
        <w:rPr>
          <w:rFonts w:ascii="Times New Roman" w:hAnsi="Times New Roman"/>
          <w:noProof/>
          <w:sz w:val="24"/>
          <w:szCs w:val="24"/>
          <w:u w:val="single"/>
        </w:rPr>
        <w:t xml:space="preserve"> </w:t>
      </w:r>
    </w:p>
    <w:p w14:paraId="5CE0CD85" w14:textId="0A519B53"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 xml:space="preserve">The objective of this reform is to </w:t>
      </w:r>
      <w:r>
        <w:rPr>
          <w:rFonts w:ascii="Times New Roman" w:eastAsia="Times New Roman" w:hAnsi="Times New Roman"/>
          <w:noProof/>
          <w:sz w:val="24"/>
          <w:szCs w:val="24"/>
        </w:rPr>
        <w:t>support continuous learning</w:t>
      </w:r>
      <w:r w:rsidRPr="00B555B3">
        <w:rPr>
          <w:rFonts w:ascii="Times New Roman" w:eastAsia="Times New Roman" w:hAnsi="Times New Roman"/>
          <w:noProof/>
          <w:sz w:val="24"/>
          <w:szCs w:val="24"/>
        </w:rPr>
        <w:t>.</w:t>
      </w:r>
      <w:r>
        <w:rPr>
          <w:rFonts w:ascii="Times New Roman" w:eastAsia="Times New Roman" w:hAnsi="Times New Roman"/>
          <w:noProof/>
          <w:sz w:val="24"/>
          <w:szCs w:val="24"/>
        </w:rPr>
        <w:t xml:space="preserve"> </w:t>
      </w:r>
      <w:r w:rsidRPr="00B555B3">
        <w:rPr>
          <w:rFonts w:ascii="Times New Roman" w:eastAsia="Times New Roman" w:hAnsi="Times New Roman"/>
          <w:noProof/>
          <w:sz w:val="24"/>
          <w:szCs w:val="24"/>
        </w:rPr>
        <w:t>The measure consists of: (i) creating a service centre for continuous learning and employment to promote the reform’s implementation; (ii) creating a system for anticipating labour and competence needs; (iii) carrying out training programmes which support the digital transition, the understanding of new ways of working, as well as a just transition to a carbon-neutral society; and (iv) carrying out training</w:t>
      </w:r>
      <w:r w:rsidR="00EE67C5">
        <w:rPr>
          <w:rFonts w:ascii="Times New Roman" w:eastAsia="Times New Roman" w:hAnsi="Times New Roman"/>
          <w:noProof/>
          <w:sz w:val="24"/>
          <w:szCs w:val="24"/>
        </w:rPr>
        <w:t xml:space="preserve"> </w:t>
      </w:r>
      <w:r w:rsidRPr="00B555B3">
        <w:rPr>
          <w:rFonts w:ascii="Times New Roman" w:eastAsia="Times New Roman" w:hAnsi="Times New Roman"/>
          <w:noProof/>
          <w:sz w:val="24"/>
          <w:szCs w:val="24"/>
        </w:rPr>
        <w:t xml:space="preserve">for career guidance services. </w:t>
      </w:r>
    </w:p>
    <w:p w14:paraId="373943DB" w14:textId="77777777" w:rsidR="00935FC8" w:rsidRPr="00B555B3"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1 (P3C2I1): Digitalisation programme for continuous learning</w:t>
      </w:r>
      <w:r w:rsidRPr="00B555B3">
        <w:rPr>
          <w:rFonts w:ascii="Times New Roman" w:hAnsi="Times New Roman"/>
          <w:noProof/>
          <w:sz w:val="24"/>
          <w:szCs w:val="24"/>
          <w:u w:val="single"/>
        </w:rPr>
        <w:t xml:space="preserve"> </w:t>
      </w:r>
    </w:p>
    <w:p w14:paraId="2AECE88D" w14:textId="77777777"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The objective of this investment i</w:t>
      </w:r>
      <w:r w:rsidRPr="00D0136A">
        <w:rPr>
          <w:rFonts w:ascii="Times New Roman" w:eastAsia="Times New Roman" w:hAnsi="Times New Roman"/>
          <w:noProof/>
          <w:sz w:val="24"/>
          <w:szCs w:val="24"/>
        </w:rPr>
        <w:t>s to carry</w:t>
      </w:r>
      <w:r w:rsidRPr="00B555B3">
        <w:rPr>
          <w:rFonts w:ascii="Times New Roman" w:eastAsia="Times New Roman" w:hAnsi="Times New Roman"/>
          <w:noProof/>
          <w:sz w:val="24"/>
          <w:szCs w:val="24"/>
        </w:rPr>
        <w:t xml:space="preserve"> out an extensive digitalisation programme to develop digital services and information resources that support continuous learning. The measure consists </w:t>
      </w:r>
      <w:r w:rsidRPr="00D0136A">
        <w:rPr>
          <w:rFonts w:ascii="Times New Roman" w:eastAsia="Times New Roman" w:hAnsi="Times New Roman"/>
          <w:noProof/>
          <w:sz w:val="24"/>
          <w:szCs w:val="24"/>
        </w:rPr>
        <w:t>of creating digital services</w:t>
      </w:r>
      <w:r w:rsidRPr="00B555B3">
        <w:rPr>
          <w:rFonts w:ascii="Times New Roman" w:eastAsia="Times New Roman" w:hAnsi="Times New Roman"/>
          <w:noProof/>
          <w:sz w:val="24"/>
          <w:szCs w:val="24"/>
        </w:rPr>
        <w:t xml:space="preserve"> for continuous </w:t>
      </w:r>
      <w:r w:rsidRPr="00D0136A">
        <w:rPr>
          <w:rFonts w:ascii="Times New Roman" w:eastAsia="Times New Roman" w:hAnsi="Times New Roman"/>
          <w:noProof/>
          <w:sz w:val="24"/>
          <w:szCs w:val="24"/>
        </w:rPr>
        <w:t>learning.</w:t>
      </w:r>
      <w:r w:rsidRPr="00B555B3">
        <w:rPr>
          <w:rFonts w:ascii="Times New Roman" w:eastAsia="Times New Roman" w:hAnsi="Times New Roman"/>
          <w:noProof/>
          <w:sz w:val="24"/>
          <w:szCs w:val="24"/>
        </w:rPr>
        <w:t xml:space="preserve"> </w:t>
      </w:r>
    </w:p>
    <w:p w14:paraId="5DA22158" w14:textId="77777777" w:rsidR="00935FC8" w:rsidRPr="00B555B3"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2 (P3C2I2):</w:t>
      </w:r>
      <w:r w:rsidRPr="00B555B3">
        <w:rPr>
          <w:rFonts w:ascii="Times New Roman" w:hAnsi="Times New Roman"/>
          <w:noProof/>
          <w:sz w:val="24"/>
          <w:szCs w:val="24"/>
          <w:u w:val="single"/>
        </w:rPr>
        <w:t xml:space="preserve"> Improving the level of education by increasing student places in higher education</w:t>
      </w:r>
    </w:p>
    <w:p w14:paraId="2FE608AF" w14:textId="77777777"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 xml:space="preserve">The objective of this investment is to raise the level of education by increasing the number of people with a higher education degree. This aims to contribute to the economic recovery and to mitigate the negative effects of the COVID-19 pandemic by accelerating young people’s access to higher education. </w:t>
      </w:r>
    </w:p>
    <w:p w14:paraId="26E7E1A4" w14:textId="77777777"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 xml:space="preserve">The measure consists </w:t>
      </w:r>
      <w:r w:rsidRPr="00D0136A">
        <w:rPr>
          <w:rFonts w:ascii="Times New Roman" w:eastAsia="Times New Roman" w:hAnsi="Times New Roman"/>
          <w:noProof/>
          <w:sz w:val="24"/>
          <w:szCs w:val="24"/>
        </w:rPr>
        <w:t>in</w:t>
      </w:r>
      <w:r w:rsidRPr="00B555B3">
        <w:rPr>
          <w:rFonts w:ascii="Times New Roman" w:eastAsia="Times New Roman" w:hAnsi="Times New Roman"/>
          <w:noProof/>
          <w:sz w:val="24"/>
          <w:szCs w:val="24"/>
        </w:rPr>
        <w:t xml:space="preserve"> increasing by at least 600 the number of places allocated to higher education institutions offering degree studies targeted at professional sectors experiencing labour shortages. Such sectors include social and health care, education, technology and ICT sectors. All professional sectors chosen shall contribute to a successful implementation of the recovery and resilience plan. The investment shall cover the costs of students’ education to the higher education institution for the entire duration of the studies.</w:t>
      </w:r>
    </w:p>
    <w:p w14:paraId="28C80FAB" w14:textId="27F5E5D7"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The implementation of the investment shall be completed by 31</w:t>
      </w:r>
      <w:r w:rsidR="00445985">
        <w:rPr>
          <w:rFonts w:ascii="Times New Roman" w:eastAsia="Times New Roman" w:hAnsi="Times New Roman"/>
          <w:noProof/>
          <w:sz w:val="24"/>
          <w:szCs w:val="24"/>
        </w:rPr>
        <w:t> </w:t>
      </w:r>
      <w:r w:rsidRPr="00B555B3">
        <w:rPr>
          <w:rFonts w:ascii="Times New Roman" w:eastAsia="Times New Roman" w:hAnsi="Times New Roman"/>
          <w:noProof/>
          <w:sz w:val="24"/>
          <w:szCs w:val="24"/>
        </w:rPr>
        <w:t>December</w:t>
      </w:r>
      <w:r w:rsidR="00445985">
        <w:rPr>
          <w:rFonts w:ascii="Times New Roman" w:eastAsia="Times New Roman" w:hAnsi="Times New Roman"/>
          <w:noProof/>
          <w:sz w:val="24"/>
          <w:szCs w:val="24"/>
        </w:rPr>
        <w:t> </w:t>
      </w:r>
      <w:r w:rsidRPr="00B555B3">
        <w:rPr>
          <w:rFonts w:ascii="Times New Roman" w:eastAsia="Times New Roman" w:hAnsi="Times New Roman"/>
          <w:noProof/>
          <w:sz w:val="24"/>
          <w:szCs w:val="24"/>
        </w:rPr>
        <w:t>2022.</w:t>
      </w:r>
    </w:p>
    <w:p w14:paraId="1E0DEAB7" w14:textId="77777777" w:rsidR="00935FC8" w:rsidRPr="00B555B3"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3 (P3C2I3): Digitalisation of education in Åland</w:t>
      </w:r>
      <w:r w:rsidRPr="00B555B3">
        <w:rPr>
          <w:rFonts w:ascii="Times New Roman" w:hAnsi="Times New Roman"/>
          <w:noProof/>
          <w:sz w:val="24"/>
          <w:szCs w:val="24"/>
          <w:u w:val="single"/>
        </w:rPr>
        <w:t xml:space="preserve"> </w:t>
      </w:r>
    </w:p>
    <w:p w14:paraId="16F22EEC" w14:textId="010283A6" w:rsidR="00935FC8"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 xml:space="preserve">The objectives of this investment are to increase the quality of skills delivered by the educational </w:t>
      </w:r>
      <w:r w:rsidRPr="003E3174">
        <w:rPr>
          <w:rFonts w:ascii="Times New Roman" w:eastAsia="Times New Roman" w:hAnsi="Times New Roman"/>
          <w:noProof/>
          <w:sz w:val="24"/>
          <w:szCs w:val="24"/>
        </w:rPr>
        <w:t xml:space="preserve">system, </w:t>
      </w:r>
      <w:r w:rsidRPr="00D0136A">
        <w:rPr>
          <w:rFonts w:ascii="Times New Roman" w:eastAsia="Times New Roman" w:hAnsi="Times New Roman"/>
          <w:noProof/>
          <w:sz w:val="24"/>
          <w:szCs w:val="24"/>
        </w:rPr>
        <w:t>provid</w:t>
      </w:r>
      <w:r>
        <w:rPr>
          <w:rFonts w:ascii="Times New Roman" w:eastAsia="Times New Roman" w:hAnsi="Times New Roman"/>
          <w:noProof/>
          <w:sz w:val="24"/>
          <w:szCs w:val="24"/>
        </w:rPr>
        <w:t>e</w:t>
      </w:r>
      <w:r w:rsidRPr="00B555B3">
        <w:rPr>
          <w:rFonts w:ascii="Times New Roman" w:eastAsia="Times New Roman" w:hAnsi="Times New Roman"/>
          <w:noProof/>
          <w:sz w:val="24"/>
          <w:szCs w:val="24"/>
        </w:rPr>
        <w:t xml:space="preserve"> opportunities for lifelong learning</w:t>
      </w:r>
      <w:r>
        <w:rPr>
          <w:rFonts w:ascii="Times New Roman" w:eastAsia="Times New Roman" w:hAnsi="Times New Roman"/>
          <w:noProof/>
          <w:sz w:val="24"/>
          <w:szCs w:val="24"/>
        </w:rPr>
        <w:t xml:space="preserve"> as well as to</w:t>
      </w:r>
      <w:r w:rsidRPr="00B555B3">
        <w:rPr>
          <w:rFonts w:ascii="Times New Roman" w:eastAsia="Times New Roman" w:hAnsi="Times New Roman"/>
          <w:noProof/>
          <w:sz w:val="24"/>
          <w:szCs w:val="24"/>
        </w:rPr>
        <w:t xml:space="preserve"> support job creation and entrepreneurship in Åland.</w:t>
      </w:r>
      <w:r>
        <w:rPr>
          <w:rFonts w:ascii="Times New Roman" w:eastAsia="Times New Roman" w:hAnsi="Times New Roman"/>
          <w:noProof/>
          <w:sz w:val="24"/>
          <w:szCs w:val="24"/>
        </w:rPr>
        <w:t xml:space="preserve"> </w:t>
      </w:r>
      <w:r w:rsidRPr="00B555B3">
        <w:rPr>
          <w:rFonts w:ascii="Times New Roman" w:eastAsia="Times New Roman" w:hAnsi="Times New Roman"/>
          <w:noProof/>
          <w:sz w:val="24"/>
          <w:szCs w:val="24"/>
        </w:rPr>
        <w:t xml:space="preserve">The measure </w:t>
      </w:r>
      <w:r w:rsidRPr="00D0136A">
        <w:rPr>
          <w:rFonts w:ascii="Times New Roman" w:eastAsia="Times New Roman" w:hAnsi="Times New Roman"/>
          <w:noProof/>
          <w:sz w:val="24"/>
          <w:szCs w:val="24"/>
        </w:rPr>
        <w:t>consists of digitalising higher education studies and in creating tw</w:t>
      </w:r>
      <w:r w:rsidRPr="00B555B3">
        <w:rPr>
          <w:rFonts w:ascii="Times New Roman" w:eastAsia="Times New Roman" w:hAnsi="Times New Roman"/>
          <w:noProof/>
          <w:sz w:val="24"/>
          <w:szCs w:val="24"/>
        </w:rPr>
        <w:t xml:space="preserve">o new bachelor’s and </w:t>
      </w:r>
      <w:r>
        <w:rPr>
          <w:rFonts w:ascii="Times New Roman" w:eastAsia="Times New Roman" w:hAnsi="Times New Roman"/>
          <w:noProof/>
          <w:sz w:val="24"/>
          <w:szCs w:val="24"/>
        </w:rPr>
        <w:t xml:space="preserve">a </w:t>
      </w:r>
      <w:r w:rsidRPr="00B555B3">
        <w:rPr>
          <w:rFonts w:ascii="Times New Roman" w:eastAsia="Times New Roman" w:hAnsi="Times New Roman"/>
          <w:noProof/>
          <w:sz w:val="24"/>
          <w:szCs w:val="24"/>
        </w:rPr>
        <w:t>master’s programme in the fields of digitalisation, automation and renewable energy.</w:t>
      </w:r>
    </w:p>
    <w:p w14:paraId="63FECF4D" w14:textId="77777777" w:rsidR="00935FC8" w:rsidRDefault="00935FC8">
      <w:pPr>
        <w:spacing w:after="0" w:line="240" w:lineRule="auto"/>
        <w:rPr>
          <w:rFonts w:ascii="Times New Roman" w:eastAsia="Times New Roman" w:hAnsi="Times New Roman"/>
          <w:noProof/>
          <w:sz w:val="24"/>
          <w:szCs w:val="24"/>
        </w:rPr>
        <w:sectPr w:rsidR="00935FC8" w:rsidSect="00A7081A">
          <w:headerReference w:type="even" r:id="rId119"/>
          <w:headerReference w:type="default" r:id="rId120"/>
          <w:footerReference w:type="even" r:id="rId121"/>
          <w:footerReference w:type="default" r:id="rId122"/>
          <w:headerReference w:type="first" r:id="rId123"/>
          <w:footerReference w:type="first" r:id="rId124"/>
          <w:pgSz w:w="11907" w:h="16839" w:code="9"/>
          <w:pgMar w:top="1134" w:right="1134" w:bottom="1134" w:left="1134" w:header="567" w:footer="567" w:gutter="0"/>
          <w:cols w:space="720"/>
          <w:docGrid w:linePitch="360"/>
        </w:sectPr>
      </w:pPr>
    </w:p>
    <w:p w14:paraId="4163A652" w14:textId="77777777" w:rsidR="00935FC8" w:rsidRPr="00B555B3" w:rsidRDefault="00935FC8">
      <w:pPr>
        <w:spacing w:before="120" w:after="120" w:line="240" w:lineRule="auto"/>
        <w:jc w:val="both"/>
        <w:rPr>
          <w:rFonts w:ascii="Times New Roman" w:hAnsi="Times New Roman"/>
          <w:b/>
          <w:bCs/>
          <w:noProof/>
          <w:sz w:val="24"/>
          <w:u w:val="single"/>
        </w:rPr>
      </w:pPr>
      <w:r w:rsidRPr="00B555B3">
        <w:rPr>
          <w:rFonts w:ascii="Times New Roman" w:hAnsi="Times New Roman"/>
          <w:b/>
          <w:bCs/>
          <w:noProof/>
          <w:sz w:val="24"/>
          <w:u w:val="single"/>
        </w:rPr>
        <w:t xml:space="preserve">J.2. </w:t>
      </w:r>
      <w:r w:rsidRPr="00B555B3">
        <w:rPr>
          <w:rFonts w:ascii="Times New Roman" w:hAnsi="Times New Roman"/>
          <w:b/>
          <w:noProof/>
          <w:sz w:val="24"/>
          <w:u w:val="single"/>
        </w:rPr>
        <w:tab/>
      </w:r>
      <w:r w:rsidRPr="00B555B3">
        <w:rPr>
          <w:rFonts w:ascii="Times New Roman" w:hAnsi="Times New Roman"/>
          <w:b/>
          <w:bCs/>
          <w:noProof/>
          <w:sz w:val="24"/>
          <w:u w:val="single"/>
        </w:rPr>
        <w:t>Milestones, targets, indicators, and timetable for monitoring and implementation for non-repayable financial support</w:t>
      </w:r>
    </w:p>
    <w:tbl>
      <w:tblPr>
        <w:tblW w:w="15593" w:type="dxa"/>
        <w:jc w:val="center"/>
        <w:tblLayout w:type="fixed"/>
        <w:tblCellMar>
          <w:left w:w="28" w:type="dxa"/>
          <w:right w:w="28" w:type="dxa"/>
        </w:tblCellMar>
        <w:tblLook w:val="04A0" w:firstRow="1" w:lastRow="0" w:firstColumn="1" w:lastColumn="0" w:noHBand="0" w:noVBand="1"/>
      </w:tblPr>
      <w:tblGrid>
        <w:gridCol w:w="867"/>
        <w:gridCol w:w="1528"/>
        <w:gridCol w:w="1002"/>
        <w:gridCol w:w="1580"/>
        <w:gridCol w:w="1417"/>
        <w:gridCol w:w="972"/>
        <w:gridCol w:w="851"/>
        <w:gridCol w:w="567"/>
        <w:gridCol w:w="850"/>
        <w:gridCol w:w="709"/>
        <w:gridCol w:w="5250"/>
      </w:tblGrid>
      <w:tr w:rsidR="00A7081A" w:rsidRPr="000318C2" w14:paraId="1FBD4EBA" w14:textId="77777777" w:rsidTr="000318C2">
        <w:trPr>
          <w:trHeight w:val="741"/>
          <w:tblHeader/>
          <w:jc w:val="center"/>
        </w:trPr>
        <w:tc>
          <w:tcPr>
            <w:tcW w:w="86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37D258D" w14:textId="77777777" w:rsidR="00935FC8" w:rsidRPr="000318C2" w:rsidRDefault="00935FC8">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Number</w:t>
            </w:r>
          </w:p>
        </w:tc>
        <w:tc>
          <w:tcPr>
            <w:tcW w:w="15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31687A3" w14:textId="77777777" w:rsidR="00935FC8" w:rsidRPr="000318C2" w:rsidRDefault="00935FC8">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Measure</w:t>
            </w:r>
          </w:p>
        </w:tc>
        <w:tc>
          <w:tcPr>
            <w:tcW w:w="10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25E43F8" w14:textId="77777777" w:rsidR="00935FC8" w:rsidRPr="000318C2" w:rsidRDefault="00935FC8">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Milestone / Target</w:t>
            </w:r>
          </w:p>
        </w:tc>
        <w:tc>
          <w:tcPr>
            <w:tcW w:w="15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5624D12" w14:textId="77777777" w:rsidR="00935FC8" w:rsidRPr="000318C2" w:rsidRDefault="00935FC8">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Name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7338C6D" w14:textId="77777777" w:rsidR="00935FC8" w:rsidRPr="000318C2" w:rsidRDefault="00935FC8">
            <w:pPr>
              <w:spacing w:after="0" w:line="240" w:lineRule="auto"/>
              <w:jc w:val="center"/>
              <w:rPr>
                <w:rFonts w:ascii="Times New Roman" w:eastAsia="Times New Roman" w:hAnsi="Times New Roman"/>
                <w:b/>
                <w:bCs/>
                <w:noProof/>
                <w:sz w:val="20"/>
                <w:szCs w:val="20"/>
                <w:lang w:eastAsia="en-GB"/>
              </w:rPr>
            </w:pPr>
            <w:r w:rsidRPr="000318C2">
              <w:rPr>
                <w:rFonts w:ascii="Times New Roman" w:eastAsia="Times New Roman" w:hAnsi="Times New Roman"/>
                <w:b/>
                <w:bCs/>
                <w:noProof/>
                <w:sz w:val="20"/>
                <w:szCs w:val="20"/>
                <w:lang w:eastAsia="en-GB"/>
              </w:rPr>
              <w:t>Qualitative indicators (for milestones)</w:t>
            </w:r>
          </w:p>
        </w:tc>
        <w:tc>
          <w:tcPr>
            <w:tcW w:w="239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5F9EDFC0" w14:textId="77777777" w:rsidR="00935FC8" w:rsidRPr="000318C2" w:rsidRDefault="00935FC8">
            <w:pPr>
              <w:spacing w:after="0" w:line="240" w:lineRule="auto"/>
              <w:jc w:val="center"/>
              <w:rPr>
                <w:rFonts w:ascii="Times New Roman" w:eastAsia="Times New Roman" w:hAnsi="Times New Roman"/>
                <w:b/>
                <w:bCs/>
                <w:noProof/>
                <w:sz w:val="20"/>
                <w:szCs w:val="20"/>
                <w:lang w:eastAsia="en-GB"/>
              </w:rPr>
            </w:pPr>
            <w:r w:rsidRPr="000318C2">
              <w:rPr>
                <w:rFonts w:ascii="Times New Roman" w:eastAsia="Times New Roman" w:hAnsi="Times New Roman"/>
                <w:b/>
                <w:bCs/>
                <w:noProof/>
                <w:sz w:val="20"/>
                <w:szCs w:val="20"/>
                <w:lang w:eastAsia="en-GB"/>
              </w:rPr>
              <w:t>Quantitative indicators (for targets)</w:t>
            </w:r>
          </w:p>
        </w:tc>
        <w:tc>
          <w:tcPr>
            <w:tcW w:w="1559" w:type="dxa"/>
            <w:gridSpan w:val="2"/>
            <w:tcBorders>
              <w:top w:val="single" w:sz="4" w:space="0" w:color="auto"/>
              <w:left w:val="nil"/>
              <w:bottom w:val="single" w:sz="4" w:space="0" w:color="auto"/>
              <w:right w:val="single" w:sz="4" w:space="0" w:color="auto"/>
            </w:tcBorders>
            <w:shd w:val="clear" w:color="auto" w:fill="BDD7EE"/>
            <w:vAlign w:val="center"/>
            <w:hideMark/>
          </w:tcPr>
          <w:p w14:paraId="6CFAC4C1" w14:textId="37AC048E" w:rsidR="00935FC8" w:rsidRPr="000318C2" w:rsidRDefault="00935FC8" w:rsidP="000F3161">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Indicative timeline</w:t>
            </w:r>
            <w:r w:rsidR="000F3161">
              <w:rPr>
                <w:rFonts w:ascii="Times New Roman" w:eastAsia="Times New Roman" w:hAnsi="Times New Roman"/>
                <w:b/>
                <w:noProof/>
                <w:sz w:val="20"/>
                <w:szCs w:val="20"/>
                <w:lang w:eastAsia="en-GB"/>
              </w:rPr>
              <w:t xml:space="preserve"> </w:t>
            </w:r>
            <w:r w:rsidRPr="000318C2">
              <w:rPr>
                <w:rFonts w:ascii="Times New Roman" w:eastAsia="Times New Roman" w:hAnsi="Times New Roman"/>
                <w:b/>
                <w:noProof/>
                <w:sz w:val="20"/>
                <w:szCs w:val="20"/>
                <w:lang w:eastAsia="en-GB"/>
              </w:rPr>
              <w:t>for completion</w:t>
            </w:r>
          </w:p>
        </w:tc>
        <w:tc>
          <w:tcPr>
            <w:tcW w:w="52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B5B118D" w14:textId="77777777" w:rsidR="00935FC8" w:rsidRPr="000318C2" w:rsidRDefault="00935FC8">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Description of each milestone and target</w:t>
            </w:r>
          </w:p>
        </w:tc>
      </w:tr>
      <w:tr w:rsidR="00A7081A" w:rsidRPr="000318C2" w14:paraId="5AD281D8" w14:textId="77777777" w:rsidTr="000318C2">
        <w:trPr>
          <w:trHeight w:val="512"/>
          <w:tblHeader/>
          <w:jc w:val="center"/>
        </w:trPr>
        <w:tc>
          <w:tcPr>
            <w:tcW w:w="867" w:type="dxa"/>
            <w:vMerge/>
            <w:tcBorders>
              <w:top w:val="single" w:sz="4" w:space="0" w:color="auto"/>
              <w:left w:val="single" w:sz="4" w:space="0" w:color="auto"/>
              <w:bottom w:val="single" w:sz="4" w:space="0" w:color="auto"/>
              <w:right w:val="single" w:sz="4" w:space="0" w:color="auto"/>
            </w:tcBorders>
            <w:vAlign w:val="center"/>
            <w:hideMark/>
          </w:tcPr>
          <w:p w14:paraId="3C81FCD4" w14:textId="77777777" w:rsidR="00935FC8" w:rsidRPr="000318C2" w:rsidRDefault="00935FC8">
            <w:pPr>
              <w:spacing w:after="0" w:line="240" w:lineRule="auto"/>
              <w:rPr>
                <w:rFonts w:ascii="Times New Roman" w:eastAsia="Times New Roman" w:hAnsi="Times New Roman"/>
                <w:b/>
                <w:noProof/>
                <w:sz w:val="20"/>
                <w:szCs w:val="20"/>
                <w:lang w:eastAsia="en-GB"/>
              </w:rPr>
            </w:pP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61CD20E3" w14:textId="77777777" w:rsidR="00935FC8" w:rsidRPr="000318C2" w:rsidRDefault="00935FC8">
            <w:pPr>
              <w:spacing w:after="0" w:line="240" w:lineRule="auto"/>
              <w:rPr>
                <w:rFonts w:ascii="Times New Roman" w:eastAsia="Times New Roman" w:hAnsi="Times New Roman"/>
                <w:b/>
                <w:noProof/>
                <w:sz w:val="20"/>
                <w:szCs w:val="20"/>
                <w:lang w:eastAsia="en-GB"/>
              </w:rPr>
            </w:pPr>
          </w:p>
        </w:tc>
        <w:tc>
          <w:tcPr>
            <w:tcW w:w="1002" w:type="dxa"/>
            <w:vMerge/>
            <w:tcBorders>
              <w:top w:val="single" w:sz="4" w:space="0" w:color="auto"/>
              <w:left w:val="single" w:sz="4" w:space="0" w:color="auto"/>
              <w:bottom w:val="single" w:sz="4" w:space="0" w:color="auto"/>
              <w:right w:val="single" w:sz="4" w:space="0" w:color="auto"/>
            </w:tcBorders>
            <w:vAlign w:val="center"/>
            <w:hideMark/>
          </w:tcPr>
          <w:p w14:paraId="1573966F" w14:textId="77777777" w:rsidR="00935FC8" w:rsidRPr="000318C2" w:rsidRDefault="00935FC8">
            <w:pPr>
              <w:spacing w:after="0" w:line="240" w:lineRule="auto"/>
              <w:rPr>
                <w:rFonts w:ascii="Times New Roman" w:eastAsia="Times New Roman" w:hAnsi="Times New Roman"/>
                <w:b/>
                <w:noProof/>
                <w:sz w:val="20"/>
                <w:szCs w:val="20"/>
                <w:lang w:eastAsia="en-GB"/>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14:paraId="0E5EDE5E" w14:textId="77777777" w:rsidR="00935FC8" w:rsidRPr="000318C2" w:rsidRDefault="00935FC8">
            <w:pPr>
              <w:spacing w:after="0" w:line="240" w:lineRule="auto"/>
              <w:rPr>
                <w:rFonts w:ascii="Times New Roman" w:eastAsia="Times New Roman" w:hAnsi="Times New Roman"/>
                <w:b/>
                <w:noProof/>
                <w:sz w:val="20"/>
                <w:szCs w:val="20"/>
                <w:lang w:eastAsia="en-GB"/>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8857EE8" w14:textId="77777777" w:rsidR="00935FC8" w:rsidRPr="000318C2" w:rsidRDefault="00935FC8">
            <w:pPr>
              <w:spacing w:after="0" w:line="240" w:lineRule="auto"/>
              <w:rPr>
                <w:rFonts w:ascii="Times New Roman" w:eastAsia="Times New Roman" w:hAnsi="Times New Roman"/>
                <w:b/>
                <w:noProof/>
                <w:sz w:val="20"/>
                <w:szCs w:val="20"/>
                <w:lang w:eastAsia="en-GB"/>
              </w:rPr>
            </w:pPr>
          </w:p>
        </w:tc>
        <w:tc>
          <w:tcPr>
            <w:tcW w:w="97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462846A" w14:textId="77777777" w:rsidR="00935FC8" w:rsidRPr="000318C2" w:rsidRDefault="00935FC8">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Unit</w:t>
            </w:r>
          </w:p>
        </w:tc>
        <w:tc>
          <w:tcPr>
            <w:tcW w:w="851" w:type="dxa"/>
            <w:tcBorders>
              <w:top w:val="single" w:sz="4" w:space="0" w:color="auto"/>
              <w:left w:val="nil"/>
              <w:bottom w:val="single" w:sz="4" w:space="0" w:color="auto"/>
              <w:right w:val="single" w:sz="4" w:space="0" w:color="auto"/>
            </w:tcBorders>
            <w:shd w:val="clear" w:color="auto" w:fill="BDD7EE"/>
            <w:vAlign w:val="center"/>
            <w:hideMark/>
          </w:tcPr>
          <w:p w14:paraId="327EB332" w14:textId="77777777" w:rsidR="00935FC8" w:rsidRPr="000318C2" w:rsidRDefault="00935FC8">
            <w:pPr>
              <w:spacing w:after="0" w:line="240" w:lineRule="auto"/>
              <w:jc w:val="center"/>
              <w:rPr>
                <w:rFonts w:ascii="Times New Roman" w:eastAsia="Times New Roman" w:hAnsi="Times New Roman"/>
                <w:b/>
                <w:bCs/>
                <w:noProof/>
                <w:sz w:val="20"/>
                <w:szCs w:val="20"/>
                <w:lang w:eastAsia="en-GB"/>
              </w:rPr>
            </w:pPr>
            <w:r w:rsidRPr="000318C2">
              <w:rPr>
                <w:rFonts w:ascii="Times New Roman" w:eastAsia="Times New Roman" w:hAnsi="Times New Roman"/>
                <w:b/>
                <w:bCs/>
                <w:noProof/>
                <w:sz w:val="20"/>
                <w:szCs w:val="20"/>
                <w:lang w:eastAsia="en-GB"/>
              </w:rPr>
              <w:t xml:space="preserve">Baseline </w:t>
            </w:r>
          </w:p>
        </w:tc>
        <w:tc>
          <w:tcPr>
            <w:tcW w:w="567" w:type="dxa"/>
            <w:tcBorders>
              <w:top w:val="single" w:sz="4" w:space="0" w:color="auto"/>
              <w:left w:val="nil"/>
              <w:bottom w:val="single" w:sz="4" w:space="0" w:color="auto"/>
              <w:right w:val="single" w:sz="4" w:space="0" w:color="auto"/>
            </w:tcBorders>
            <w:shd w:val="clear" w:color="auto" w:fill="BDD7EE"/>
            <w:vAlign w:val="center"/>
            <w:hideMark/>
          </w:tcPr>
          <w:p w14:paraId="41AD5317" w14:textId="77777777" w:rsidR="00935FC8" w:rsidRPr="000318C2" w:rsidRDefault="00935FC8">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 xml:space="preserve">Goal </w:t>
            </w:r>
          </w:p>
        </w:tc>
        <w:tc>
          <w:tcPr>
            <w:tcW w:w="850" w:type="dxa"/>
            <w:tcBorders>
              <w:top w:val="single" w:sz="4" w:space="0" w:color="auto"/>
              <w:left w:val="nil"/>
              <w:bottom w:val="single" w:sz="4" w:space="0" w:color="auto"/>
              <w:right w:val="single" w:sz="4" w:space="0" w:color="auto"/>
            </w:tcBorders>
            <w:shd w:val="clear" w:color="auto" w:fill="BDD7EE"/>
            <w:vAlign w:val="center"/>
            <w:hideMark/>
          </w:tcPr>
          <w:p w14:paraId="31596F99" w14:textId="77777777" w:rsidR="00935FC8" w:rsidRPr="000318C2" w:rsidRDefault="00935FC8">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Quarter</w:t>
            </w:r>
          </w:p>
        </w:tc>
        <w:tc>
          <w:tcPr>
            <w:tcW w:w="709" w:type="dxa"/>
            <w:tcBorders>
              <w:top w:val="single" w:sz="4" w:space="0" w:color="auto"/>
              <w:left w:val="nil"/>
              <w:bottom w:val="single" w:sz="4" w:space="0" w:color="auto"/>
              <w:right w:val="single" w:sz="4" w:space="0" w:color="auto"/>
            </w:tcBorders>
            <w:shd w:val="clear" w:color="auto" w:fill="BDD7EE"/>
            <w:vAlign w:val="center"/>
            <w:hideMark/>
          </w:tcPr>
          <w:p w14:paraId="4F1B1D0B" w14:textId="77777777" w:rsidR="00935FC8" w:rsidRPr="000318C2" w:rsidRDefault="00935FC8">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Year</w:t>
            </w:r>
          </w:p>
        </w:tc>
        <w:tc>
          <w:tcPr>
            <w:tcW w:w="5250" w:type="dxa"/>
            <w:vMerge/>
            <w:tcBorders>
              <w:top w:val="single" w:sz="4" w:space="0" w:color="auto"/>
              <w:bottom w:val="single" w:sz="4" w:space="0" w:color="auto"/>
              <w:right w:val="single" w:sz="4" w:space="0" w:color="auto"/>
            </w:tcBorders>
            <w:vAlign w:val="center"/>
            <w:hideMark/>
          </w:tcPr>
          <w:p w14:paraId="5E360E61" w14:textId="77777777" w:rsidR="00935FC8" w:rsidRPr="000318C2" w:rsidRDefault="00935FC8">
            <w:pPr>
              <w:spacing w:after="0" w:line="240" w:lineRule="auto"/>
              <w:rPr>
                <w:rFonts w:ascii="Times New Roman" w:eastAsia="Times New Roman" w:hAnsi="Times New Roman"/>
                <w:b/>
                <w:noProof/>
                <w:sz w:val="20"/>
                <w:szCs w:val="20"/>
                <w:lang w:eastAsia="en-GB"/>
              </w:rPr>
            </w:pPr>
          </w:p>
        </w:tc>
      </w:tr>
      <w:tr w:rsidR="00A7081A" w:rsidRPr="000318C2" w14:paraId="5643B4ED" w14:textId="77777777" w:rsidTr="000318C2">
        <w:trPr>
          <w:trHeight w:val="309"/>
          <w:jc w:val="center"/>
        </w:trPr>
        <w:tc>
          <w:tcPr>
            <w:tcW w:w="867" w:type="dxa"/>
            <w:tcBorders>
              <w:top w:val="single" w:sz="4" w:space="0" w:color="auto"/>
              <w:left w:val="single" w:sz="4" w:space="0" w:color="auto"/>
              <w:bottom w:val="single" w:sz="4" w:space="0" w:color="auto"/>
              <w:right w:val="single" w:sz="4" w:space="0" w:color="auto"/>
            </w:tcBorders>
            <w:shd w:val="clear" w:color="auto" w:fill="C6EFCE"/>
            <w:noWrap/>
            <w:hideMark/>
          </w:tcPr>
          <w:p w14:paraId="58CC16CE" w14:textId="77777777" w:rsidR="00935FC8" w:rsidRPr="000318C2" w:rsidRDefault="00935FC8">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91</w:t>
            </w:r>
          </w:p>
        </w:tc>
        <w:tc>
          <w:tcPr>
            <w:tcW w:w="1528" w:type="dxa"/>
            <w:tcBorders>
              <w:top w:val="single" w:sz="4" w:space="0" w:color="auto"/>
              <w:left w:val="nil"/>
              <w:bottom w:val="single" w:sz="4" w:space="0" w:color="auto"/>
              <w:right w:val="single" w:sz="4" w:space="0" w:color="auto"/>
            </w:tcBorders>
            <w:shd w:val="clear" w:color="auto" w:fill="C6EFCE"/>
            <w:noWrap/>
            <w:hideMark/>
          </w:tcPr>
          <w:p w14:paraId="2893C6C9"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rPr>
              <w:t>P3C2R1- Reform of continuous learning</w:t>
            </w:r>
          </w:p>
        </w:tc>
        <w:tc>
          <w:tcPr>
            <w:tcW w:w="1002" w:type="dxa"/>
            <w:tcBorders>
              <w:top w:val="single" w:sz="4" w:space="0" w:color="auto"/>
              <w:left w:val="nil"/>
              <w:bottom w:val="single" w:sz="4" w:space="0" w:color="auto"/>
              <w:right w:val="single" w:sz="4" w:space="0" w:color="auto"/>
            </w:tcBorders>
            <w:shd w:val="clear" w:color="auto" w:fill="C6EFCE"/>
            <w:noWrap/>
            <w:hideMark/>
          </w:tcPr>
          <w:p w14:paraId="483DE0B7"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Milestone</w:t>
            </w:r>
          </w:p>
        </w:tc>
        <w:tc>
          <w:tcPr>
            <w:tcW w:w="1580" w:type="dxa"/>
            <w:tcBorders>
              <w:top w:val="single" w:sz="4" w:space="0" w:color="auto"/>
              <w:left w:val="nil"/>
              <w:bottom w:val="single" w:sz="4" w:space="0" w:color="auto"/>
              <w:right w:val="single" w:sz="4" w:space="0" w:color="auto"/>
            </w:tcBorders>
            <w:shd w:val="clear" w:color="auto" w:fill="C6EFCE"/>
            <w:noWrap/>
            <w:hideMark/>
          </w:tcPr>
          <w:p w14:paraId="08E2A234" w14:textId="76BA3B41"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Entry into force of the Act on the Service Centre for Continuous Learning and Employment</w:t>
            </w:r>
          </w:p>
        </w:tc>
        <w:tc>
          <w:tcPr>
            <w:tcW w:w="1417" w:type="dxa"/>
            <w:tcBorders>
              <w:top w:val="single" w:sz="4" w:space="0" w:color="auto"/>
              <w:left w:val="nil"/>
              <w:bottom w:val="single" w:sz="4" w:space="0" w:color="auto"/>
              <w:right w:val="single" w:sz="4" w:space="0" w:color="auto"/>
            </w:tcBorders>
            <w:shd w:val="clear" w:color="auto" w:fill="C6EFCE"/>
            <w:noWrap/>
            <w:hideMark/>
          </w:tcPr>
          <w:p w14:paraId="79755092" w14:textId="6FC514C2"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Provision in the Act on the Service Centre for Continuous Learning and Employment indicating its entry into force</w:t>
            </w:r>
          </w:p>
        </w:tc>
        <w:tc>
          <w:tcPr>
            <w:tcW w:w="972" w:type="dxa"/>
            <w:tcBorders>
              <w:top w:val="nil"/>
              <w:left w:val="nil"/>
              <w:bottom w:val="single" w:sz="4" w:space="0" w:color="auto"/>
              <w:right w:val="single" w:sz="4" w:space="0" w:color="auto"/>
            </w:tcBorders>
            <w:shd w:val="clear" w:color="auto" w:fill="C6EFCE"/>
            <w:noWrap/>
            <w:hideMark/>
          </w:tcPr>
          <w:p w14:paraId="24A0ED46"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hideMark/>
          </w:tcPr>
          <w:p w14:paraId="4CBB5033"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p>
        </w:tc>
        <w:tc>
          <w:tcPr>
            <w:tcW w:w="567" w:type="dxa"/>
            <w:tcBorders>
              <w:top w:val="nil"/>
              <w:left w:val="nil"/>
              <w:bottom w:val="single" w:sz="4" w:space="0" w:color="auto"/>
              <w:right w:val="single" w:sz="4" w:space="0" w:color="auto"/>
            </w:tcBorders>
            <w:shd w:val="clear" w:color="auto" w:fill="C6EFCE"/>
            <w:noWrap/>
            <w:hideMark/>
          </w:tcPr>
          <w:p w14:paraId="49009017"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hideMark/>
          </w:tcPr>
          <w:p w14:paraId="35A49AD9"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Q4</w:t>
            </w:r>
          </w:p>
        </w:tc>
        <w:tc>
          <w:tcPr>
            <w:tcW w:w="709" w:type="dxa"/>
            <w:tcBorders>
              <w:top w:val="nil"/>
              <w:left w:val="nil"/>
              <w:bottom w:val="single" w:sz="4" w:space="0" w:color="auto"/>
              <w:right w:val="single" w:sz="4" w:space="0" w:color="auto"/>
            </w:tcBorders>
            <w:shd w:val="clear" w:color="auto" w:fill="C6EFCE"/>
            <w:noWrap/>
            <w:hideMark/>
          </w:tcPr>
          <w:p w14:paraId="06D53E2B"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2021</w:t>
            </w:r>
          </w:p>
        </w:tc>
        <w:tc>
          <w:tcPr>
            <w:tcW w:w="5250" w:type="dxa"/>
            <w:tcBorders>
              <w:top w:val="single" w:sz="4" w:space="0" w:color="auto"/>
              <w:left w:val="nil"/>
              <w:bottom w:val="single" w:sz="4" w:space="0" w:color="auto"/>
              <w:right w:val="single" w:sz="4" w:space="0" w:color="auto"/>
            </w:tcBorders>
            <w:shd w:val="clear" w:color="auto" w:fill="C6EFCE"/>
            <w:noWrap/>
            <w:hideMark/>
          </w:tcPr>
          <w:p w14:paraId="3DBEA81A" w14:textId="77777777" w:rsidR="00935FC8" w:rsidRPr="000318C2" w:rsidRDefault="00935FC8" w:rsidP="00A7081A">
            <w:pPr>
              <w:spacing w:after="0" w:line="240" w:lineRule="auto"/>
              <w:rPr>
                <w:rFonts w:ascii="Times New Roman" w:hAnsi="Times New Roman"/>
                <w:noProof/>
                <w:sz w:val="20"/>
                <w:szCs w:val="20"/>
                <w:lang w:eastAsia="en-GB"/>
              </w:rPr>
            </w:pPr>
            <w:r w:rsidRPr="000318C2">
              <w:rPr>
                <w:rFonts w:ascii="Times New Roman" w:hAnsi="Times New Roman"/>
                <w:noProof/>
                <w:sz w:val="20"/>
                <w:szCs w:val="20"/>
                <w:lang w:eastAsia="en-GB"/>
              </w:rPr>
              <w:t>Entry into force of the Act on the Finnish Service Centre for Continuous Learning and Employment. The Act shall contain at least the following information: (i) the organisation and structure of the service centre; (ii) the mission and objectives; (iii) funding of education and skills services. The aim of the establishment of the service centre is to reform the service system so that the development of the skills of the working-age population is more closely connected to the needs of working life and to the development and renewal of regional industries.</w:t>
            </w:r>
            <w:r w:rsidRPr="000318C2">
              <w:rPr>
                <w:rFonts w:ascii="Times New Roman" w:hAnsi="Times New Roman"/>
                <w:noProof/>
                <w:sz w:val="20"/>
                <w:szCs w:val="20"/>
              </w:rPr>
              <w:t xml:space="preserve"> </w:t>
            </w:r>
            <w:r w:rsidRPr="000318C2">
              <w:rPr>
                <w:rFonts w:ascii="Times New Roman" w:hAnsi="Times New Roman"/>
                <w:noProof/>
                <w:sz w:val="20"/>
                <w:szCs w:val="20"/>
                <w:lang w:eastAsia="en-GB"/>
              </w:rPr>
              <w:t>The service centre for continuous learning and employment shall be designed to promote the development of skills among the working-age population and the availability of skilled labour.</w:t>
            </w:r>
          </w:p>
        </w:tc>
      </w:tr>
      <w:tr w:rsidR="00A7081A" w:rsidRPr="000318C2" w14:paraId="4FB8E534" w14:textId="77777777" w:rsidTr="000318C2">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7E80CCDF" w14:textId="77777777" w:rsidR="00935FC8" w:rsidRPr="000318C2" w:rsidRDefault="00935FC8">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92</w:t>
            </w:r>
          </w:p>
        </w:tc>
        <w:tc>
          <w:tcPr>
            <w:tcW w:w="1528" w:type="dxa"/>
            <w:tcBorders>
              <w:top w:val="nil"/>
              <w:left w:val="nil"/>
              <w:bottom w:val="single" w:sz="4" w:space="0" w:color="auto"/>
              <w:right w:val="single" w:sz="4" w:space="0" w:color="auto"/>
            </w:tcBorders>
            <w:shd w:val="clear" w:color="auto" w:fill="C6EFCE"/>
            <w:noWrap/>
            <w:hideMark/>
          </w:tcPr>
          <w:p w14:paraId="2E4092FB"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rPr>
              <w:t>P3C2R1- Reform of continuous learning</w:t>
            </w:r>
            <w:r w:rsidRPr="000318C2">
              <w:rPr>
                <w:rFonts w:ascii="Times New Roman" w:eastAsia="Times New Roman" w:hAnsi="Times New Roman"/>
                <w:noProof/>
                <w:sz w:val="20"/>
                <w:szCs w:val="20"/>
                <w:lang w:eastAsia="en-GB"/>
              </w:rPr>
              <w:t xml:space="preserve"> </w:t>
            </w:r>
          </w:p>
        </w:tc>
        <w:tc>
          <w:tcPr>
            <w:tcW w:w="1002" w:type="dxa"/>
            <w:tcBorders>
              <w:top w:val="nil"/>
              <w:left w:val="nil"/>
              <w:bottom w:val="single" w:sz="4" w:space="0" w:color="auto"/>
              <w:right w:val="single" w:sz="4" w:space="0" w:color="auto"/>
            </w:tcBorders>
            <w:shd w:val="clear" w:color="auto" w:fill="C6EFCE"/>
            <w:noWrap/>
            <w:hideMark/>
          </w:tcPr>
          <w:p w14:paraId="7E536658"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Milestone</w:t>
            </w:r>
          </w:p>
        </w:tc>
        <w:tc>
          <w:tcPr>
            <w:tcW w:w="1580" w:type="dxa"/>
            <w:tcBorders>
              <w:top w:val="nil"/>
              <w:left w:val="nil"/>
              <w:bottom w:val="single" w:sz="4" w:space="0" w:color="auto"/>
              <w:right w:val="single" w:sz="4" w:space="0" w:color="auto"/>
            </w:tcBorders>
            <w:shd w:val="clear" w:color="auto" w:fill="C6EFCE"/>
            <w:noWrap/>
            <w:hideMark/>
          </w:tcPr>
          <w:p w14:paraId="608A42E4"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Completion of a medium-term foresight model for labour and competence needs</w:t>
            </w:r>
          </w:p>
        </w:tc>
        <w:tc>
          <w:tcPr>
            <w:tcW w:w="1417" w:type="dxa"/>
            <w:tcBorders>
              <w:top w:val="nil"/>
              <w:left w:val="nil"/>
              <w:bottom w:val="single" w:sz="4" w:space="0" w:color="auto"/>
              <w:right w:val="single" w:sz="4" w:space="0" w:color="auto"/>
            </w:tcBorders>
            <w:shd w:val="clear" w:color="auto" w:fill="C6EFCE"/>
            <w:noWrap/>
            <w:hideMark/>
          </w:tcPr>
          <w:p w14:paraId="333507A9"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Medium-term foresight model is operational</w:t>
            </w:r>
          </w:p>
        </w:tc>
        <w:tc>
          <w:tcPr>
            <w:tcW w:w="972" w:type="dxa"/>
            <w:tcBorders>
              <w:top w:val="nil"/>
              <w:left w:val="nil"/>
              <w:bottom w:val="single" w:sz="4" w:space="0" w:color="auto"/>
              <w:right w:val="single" w:sz="4" w:space="0" w:color="auto"/>
            </w:tcBorders>
            <w:shd w:val="clear" w:color="auto" w:fill="C6EFCE"/>
            <w:noWrap/>
            <w:hideMark/>
          </w:tcPr>
          <w:p w14:paraId="1473A847"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hideMark/>
          </w:tcPr>
          <w:p w14:paraId="340B6304"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p>
        </w:tc>
        <w:tc>
          <w:tcPr>
            <w:tcW w:w="567" w:type="dxa"/>
            <w:tcBorders>
              <w:top w:val="nil"/>
              <w:left w:val="nil"/>
              <w:bottom w:val="single" w:sz="4" w:space="0" w:color="auto"/>
              <w:right w:val="single" w:sz="4" w:space="0" w:color="auto"/>
            </w:tcBorders>
            <w:shd w:val="clear" w:color="auto" w:fill="C6EFCE"/>
            <w:noWrap/>
            <w:hideMark/>
          </w:tcPr>
          <w:p w14:paraId="33E26546"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hideMark/>
          </w:tcPr>
          <w:p w14:paraId="0F53F996"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Q4</w:t>
            </w:r>
          </w:p>
        </w:tc>
        <w:tc>
          <w:tcPr>
            <w:tcW w:w="709" w:type="dxa"/>
            <w:tcBorders>
              <w:top w:val="nil"/>
              <w:left w:val="nil"/>
              <w:bottom w:val="single" w:sz="4" w:space="0" w:color="auto"/>
              <w:right w:val="single" w:sz="4" w:space="0" w:color="auto"/>
            </w:tcBorders>
            <w:shd w:val="clear" w:color="auto" w:fill="C6EFCE"/>
            <w:noWrap/>
            <w:hideMark/>
          </w:tcPr>
          <w:p w14:paraId="239AAA17"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2023</w:t>
            </w:r>
          </w:p>
        </w:tc>
        <w:tc>
          <w:tcPr>
            <w:tcW w:w="5250" w:type="dxa"/>
            <w:tcBorders>
              <w:top w:val="nil"/>
              <w:left w:val="nil"/>
              <w:bottom w:val="single" w:sz="4" w:space="0" w:color="auto"/>
              <w:right w:val="single" w:sz="4" w:space="0" w:color="auto"/>
            </w:tcBorders>
            <w:shd w:val="clear" w:color="auto" w:fill="C6EFCE"/>
            <w:noWrap/>
            <w:hideMark/>
          </w:tcPr>
          <w:p w14:paraId="7F7BE97A" w14:textId="77777777" w:rsidR="00935FC8" w:rsidRPr="000318C2" w:rsidRDefault="00935FC8" w:rsidP="00A7081A">
            <w:pPr>
              <w:spacing w:after="0" w:line="240" w:lineRule="auto"/>
              <w:rPr>
                <w:rFonts w:ascii="Times New Roman" w:hAnsi="Times New Roman"/>
                <w:noProof/>
                <w:sz w:val="20"/>
                <w:szCs w:val="20"/>
                <w:lang w:eastAsia="en-GB"/>
              </w:rPr>
            </w:pPr>
            <w:r w:rsidRPr="000318C2">
              <w:rPr>
                <w:rFonts w:ascii="Times New Roman" w:hAnsi="Times New Roman"/>
                <w:noProof/>
                <w:sz w:val="20"/>
                <w:szCs w:val="20"/>
                <w:lang w:eastAsia="en-GB"/>
              </w:rPr>
              <w:t>A forecasting system for labour and competence needs shall be completed and operational. The model shall strengthen the capacity to anticipate the skills needed by the working age population. The model shall include the forecasting of medium-term demand for labour, education and skills needs as well as an assessment of the development of various labour supply flows (predicting the number of qualifications completed at different levels of education, assessing the development of vocational transitions, and assessing the labour potential of the unemployed and those outside the labour force).</w:t>
            </w:r>
          </w:p>
        </w:tc>
      </w:tr>
      <w:tr w:rsidR="00A7081A" w:rsidRPr="000318C2" w14:paraId="46B2C320" w14:textId="77777777" w:rsidTr="000318C2">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033DEDB6" w14:textId="77777777" w:rsidR="00935FC8" w:rsidRPr="000318C2" w:rsidRDefault="00935FC8">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93</w:t>
            </w:r>
          </w:p>
        </w:tc>
        <w:tc>
          <w:tcPr>
            <w:tcW w:w="1528" w:type="dxa"/>
            <w:tcBorders>
              <w:top w:val="nil"/>
              <w:left w:val="nil"/>
              <w:bottom w:val="single" w:sz="4" w:space="0" w:color="auto"/>
              <w:right w:val="single" w:sz="4" w:space="0" w:color="auto"/>
            </w:tcBorders>
            <w:shd w:val="clear" w:color="auto" w:fill="C6EFCE"/>
            <w:noWrap/>
          </w:tcPr>
          <w:p w14:paraId="79D50F38"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rPr>
              <w:t xml:space="preserve">P3C2R1- </w:t>
            </w:r>
            <w:r w:rsidRPr="000318C2">
              <w:rPr>
                <w:rFonts w:ascii="Times New Roman" w:eastAsia="Times New Roman" w:hAnsi="Times New Roman"/>
                <w:noProof/>
                <w:sz w:val="20"/>
                <w:szCs w:val="20"/>
                <w:lang w:eastAsia="en-GB"/>
              </w:rPr>
              <w:t>Reform of continuous learning</w:t>
            </w:r>
          </w:p>
        </w:tc>
        <w:tc>
          <w:tcPr>
            <w:tcW w:w="1002" w:type="dxa"/>
            <w:tcBorders>
              <w:top w:val="nil"/>
              <w:left w:val="nil"/>
              <w:bottom w:val="single" w:sz="4" w:space="0" w:color="auto"/>
              <w:right w:val="single" w:sz="4" w:space="0" w:color="auto"/>
            </w:tcBorders>
            <w:shd w:val="clear" w:color="auto" w:fill="C6EFCE"/>
            <w:noWrap/>
          </w:tcPr>
          <w:p w14:paraId="7DB5C8B6"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Milestone</w:t>
            </w:r>
          </w:p>
        </w:tc>
        <w:tc>
          <w:tcPr>
            <w:tcW w:w="1580" w:type="dxa"/>
            <w:tcBorders>
              <w:top w:val="nil"/>
              <w:left w:val="nil"/>
              <w:bottom w:val="single" w:sz="4" w:space="0" w:color="auto"/>
              <w:right w:val="single" w:sz="4" w:space="0" w:color="auto"/>
            </w:tcBorders>
            <w:shd w:val="clear" w:color="auto" w:fill="C6EFCE"/>
            <w:noWrap/>
          </w:tcPr>
          <w:p w14:paraId="41E1D824"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Publication of the first call for applications to provide training to strengthen digital and green skills</w:t>
            </w:r>
          </w:p>
        </w:tc>
        <w:tc>
          <w:tcPr>
            <w:tcW w:w="1417" w:type="dxa"/>
            <w:tcBorders>
              <w:top w:val="single" w:sz="4" w:space="0" w:color="auto"/>
              <w:left w:val="nil"/>
              <w:bottom w:val="single" w:sz="4" w:space="0" w:color="auto"/>
              <w:right w:val="single" w:sz="4" w:space="0" w:color="auto"/>
            </w:tcBorders>
            <w:shd w:val="clear" w:color="auto" w:fill="C6EFCE"/>
            <w:noWrap/>
          </w:tcPr>
          <w:p w14:paraId="102DB7D2" w14:textId="1F7F3FF3"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Publication of the first call for applications</w:t>
            </w:r>
          </w:p>
        </w:tc>
        <w:tc>
          <w:tcPr>
            <w:tcW w:w="972" w:type="dxa"/>
            <w:tcBorders>
              <w:top w:val="nil"/>
              <w:left w:val="nil"/>
              <w:bottom w:val="single" w:sz="4" w:space="0" w:color="auto"/>
              <w:right w:val="single" w:sz="4" w:space="0" w:color="auto"/>
            </w:tcBorders>
            <w:shd w:val="clear" w:color="auto" w:fill="C6EFCE"/>
            <w:noWrap/>
          </w:tcPr>
          <w:p w14:paraId="44F1A57E"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0566A114"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p>
        </w:tc>
        <w:tc>
          <w:tcPr>
            <w:tcW w:w="567" w:type="dxa"/>
            <w:tcBorders>
              <w:top w:val="nil"/>
              <w:left w:val="nil"/>
              <w:bottom w:val="single" w:sz="4" w:space="0" w:color="auto"/>
              <w:right w:val="single" w:sz="4" w:space="0" w:color="auto"/>
            </w:tcBorders>
            <w:shd w:val="clear" w:color="auto" w:fill="C6EFCE"/>
            <w:noWrap/>
          </w:tcPr>
          <w:p w14:paraId="4D3E289F"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tcPr>
          <w:p w14:paraId="64A949FB"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Q2</w:t>
            </w:r>
          </w:p>
        </w:tc>
        <w:tc>
          <w:tcPr>
            <w:tcW w:w="709" w:type="dxa"/>
            <w:tcBorders>
              <w:top w:val="nil"/>
              <w:left w:val="nil"/>
              <w:bottom w:val="single" w:sz="4" w:space="0" w:color="auto"/>
              <w:right w:val="single" w:sz="4" w:space="0" w:color="auto"/>
            </w:tcBorders>
            <w:shd w:val="clear" w:color="auto" w:fill="C6EFCE"/>
            <w:noWrap/>
          </w:tcPr>
          <w:p w14:paraId="4D880371"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2022</w:t>
            </w:r>
          </w:p>
        </w:tc>
        <w:tc>
          <w:tcPr>
            <w:tcW w:w="5250" w:type="dxa"/>
            <w:tcBorders>
              <w:top w:val="nil"/>
              <w:left w:val="nil"/>
              <w:bottom w:val="single" w:sz="4" w:space="0" w:color="auto"/>
              <w:right w:val="single" w:sz="4" w:space="0" w:color="auto"/>
            </w:tcBorders>
            <w:shd w:val="clear" w:color="auto" w:fill="C6EFCE"/>
            <w:noWrap/>
          </w:tcPr>
          <w:p w14:paraId="665ECEC2" w14:textId="54BCCEB5"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hAnsi="Times New Roman"/>
                <w:noProof/>
                <w:sz w:val="20"/>
                <w:szCs w:val="20"/>
                <w:lang w:eastAsia="en-GB"/>
              </w:rPr>
              <w:t xml:space="preserve">Launch of the first </w:t>
            </w:r>
            <w:r w:rsidRPr="000318C2">
              <w:rPr>
                <w:rFonts w:ascii="Times New Roman" w:eastAsia="Times New Roman" w:hAnsi="Times New Roman"/>
                <w:noProof/>
                <w:sz w:val="20"/>
                <w:szCs w:val="20"/>
              </w:rPr>
              <w:t>call for applications for the provision of training to respond to changes in working life, including digitalisation and the green transition.</w:t>
            </w:r>
          </w:p>
          <w:p w14:paraId="077F4DAD" w14:textId="77777777" w:rsidR="00445985" w:rsidRPr="000318C2" w:rsidRDefault="00445985" w:rsidP="00A7081A">
            <w:pPr>
              <w:spacing w:after="0" w:line="240" w:lineRule="auto"/>
              <w:rPr>
                <w:rFonts w:ascii="Times New Roman" w:hAnsi="Times New Roman"/>
                <w:noProof/>
                <w:sz w:val="20"/>
                <w:szCs w:val="20"/>
                <w:lang w:eastAsia="en-GB"/>
              </w:rPr>
            </w:pPr>
          </w:p>
          <w:p w14:paraId="5E2EDBCA" w14:textId="60DB483C" w:rsidR="00935FC8" w:rsidRPr="000318C2" w:rsidRDefault="00935FC8" w:rsidP="00A7081A">
            <w:pPr>
              <w:spacing w:after="0" w:line="240" w:lineRule="auto"/>
              <w:rPr>
                <w:rFonts w:ascii="Times New Roman" w:hAnsi="Times New Roman"/>
                <w:noProof/>
                <w:sz w:val="20"/>
                <w:szCs w:val="20"/>
                <w:lang w:eastAsia="en-GB"/>
              </w:rPr>
            </w:pPr>
            <w:r w:rsidRPr="000318C2">
              <w:rPr>
                <w:rFonts w:ascii="Times New Roman" w:hAnsi="Times New Roman"/>
                <w:noProof/>
                <w:sz w:val="20"/>
                <w:szCs w:val="20"/>
                <w:lang w:eastAsia="en-GB"/>
              </w:rPr>
              <w:t>At least 20% of the training shall be targeted to support in particular the digital transition (15%) and a just transition to a carbon-neutral society (5%). To this end, the terms of reference for the calls for applications or competitive bidding shall include selection/eligibility criteria corresponding to the applicable intervention fields set out in Annexes VI and VII to the Recovery and Resilience Facility Regulation, namely “Contributing to green skills and jobs and green economy (01)” and “Support for the development of digital skills (108)”.</w:t>
            </w:r>
          </w:p>
        </w:tc>
      </w:tr>
      <w:tr w:rsidR="00A7081A" w:rsidRPr="000318C2" w14:paraId="255EB0A4" w14:textId="77777777" w:rsidTr="000318C2">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52F48E4C" w14:textId="77777777" w:rsidR="00935FC8" w:rsidRPr="000318C2" w:rsidRDefault="00935FC8">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94</w:t>
            </w:r>
          </w:p>
        </w:tc>
        <w:tc>
          <w:tcPr>
            <w:tcW w:w="1528" w:type="dxa"/>
            <w:tcBorders>
              <w:top w:val="single" w:sz="4" w:space="0" w:color="auto"/>
              <w:left w:val="nil"/>
              <w:bottom w:val="single" w:sz="4" w:space="0" w:color="auto"/>
              <w:right w:val="single" w:sz="4" w:space="0" w:color="auto"/>
            </w:tcBorders>
            <w:shd w:val="clear" w:color="auto" w:fill="C6EFCE"/>
            <w:noWrap/>
          </w:tcPr>
          <w:p w14:paraId="0B03D420"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rPr>
              <w:t xml:space="preserve">P3C2R1- </w:t>
            </w:r>
            <w:r w:rsidRPr="000318C2">
              <w:rPr>
                <w:rFonts w:ascii="Times New Roman" w:eastAsia="Times New Roman" w:hAnsi="Times New Roman"/>
                <w:noProof/>
                <w:sz w:val="20"/>
                <w:szCs w:val="20"/>
                <w:lang w:eastAsia="en-GB"/>
              </w:rPr>
              <w:t>Reform of continuous learning</w:t>
            </w:r>
          </w:p>
        </w:tc>
        <w:tc>
          <w:tcPr>
            <w:tcW w:w="1002" w:type="dxa"/>
            <w:tcBorders>
              <w:top w:val="nil"/>
              <w:left w:val="nil"/>
              <w:bottom w:val="single" w:sz="4" w:space="0" w:color="auto"/>
              <w:right w:val="single" w:sz="4" w:space="0" w:color="auto"/>
            </w:tcBorders>
            <w:shd w:val="clear" w:color="auto" w:fill="C6EFCE"/>
            <w:noWrap/>
          </w:tcPr>
          <w:p w14:paraId="2CED9349"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Target</w:t>
            </w:r>
          </w:p>
        </w:tc>
        <w:tc>
          <w:tcPr>
            <w:tcW w:w="1580" w:type="dxa"/>
            <w:tcBorders>
              <w:top w:val="single" w:sz="4" w:space="0" w:color="auto"/>
              <w:left w:val="nil"/>
              <w:bottom w:val="single" w:sz="4" w:space="0" w:color="auto"/>
              <w:right w:val="single" w:sz="4" w:space="0" w:color="auto"/>
            </w:tcBorders>
            <w:shd w:val="clear" w:color="auto" w:fill="C6EFCE"/>
            <w:noWrap/>
          </w:tcPr>
          <w:p w14:paraId="3138322F"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 xml:space="preserve">Number of persons having participated in training to respond to changes in working life, including digitalisation and the green transition </w:t>
            </w:r>
          </w:p>
        </w:tc>
        <w:tc>
          <w:tcPr>
            <w:tcW w:w="1417" w:type="dxa"/>
            <w:tcBorders>
              <w:top w:val="single" w:sz="4" w:space="0" w:color="auto"/>
              <w:left w:val="nil"/>
              <w:bottom w:val="single" w:sz="4" w:space="0" w:color="auto"/>
              <w:right w:val="single" w:sz="4" w:space="0" w:color="auto"/>
            </w:tcBorders>
            <w:shd w:val="clear" w:color="auto" w:fill="C6EFCE"/>
            <w:noWrap/>
          </w:tcPr>
          <w:p w14:paraId="53EA06AC" w14:textId="77777777" w:rsidR="00935FC8" w:rsidRPr="000318C2" w:rsidRDefault="00935FC8" w:rsidP="00A7081A">
            <w:pPr>
              <w:spacing w:after="0" w:line="240" w:lineRule="auto"/>
              <w:rPr>
                <w:rFonts w:ascii="Times New Roman" w:eastAsia="Times New Roman" w:hAnsi="Times New Roman"/>
                <w:noProof/>
                <w:sz w:val="20"/>
                <w:szCs w:val="20"/>
                <w:lang w:eastAsia="en-GB"/>
              </w:rPr>
            </w:pPr>
          </w:p>
        </w:tc>
        <w:tc>
          <w:tcPr>
            <w:tcW w:w="972" w:type="dxa"/>
            <w:tcBorders>
              <w:top w:val="single" w:sz="4" w:space="0" w:color="auto"/>
              <w:left w:val="nil"/>
              <w:bottom w:val="single" w:sz="4" w:space="0" w:color="auto"/>
              <w:right w:val="single" w:sz="4" w:space="0" w:color="auto"/>
            </w:tcBorders>
            <w:shd w:val="clear" w:color="auto" w:fill="C6EFCE"/>
            <w:noWrap/>
          </w:tcPr>
          <w:p w14:paraId="540EC6E8"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Number</w:t>
            </w:r>
          </w:p>
        </w:tc>
        <w:tc>
          <w:tcPr>
            <w:tcW w:w="851" w:type="dxa"/>
            <w:tcBorders>
              <w:top w:val="nil"/>
              <w:left w:val="nil"/>
              <w:bottom w:val="single" w:sz="4" w:space="0" w:color="auto"/>
              <w:right w:val="single" w:sz="4" w:space="0" w:color="auto"/>
            </w:tcBorders>
            <w:shd w:val="clear" w:color="auto" w:fill="C6EFCE"/>
            <w:noWrap/>
          </w:tcPr>
          <w:p w14:paraId="55F184A0"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0</w:t>
            </w:r>
          </w:p>
        </w:tc>
        <w:tc>
          <w:tcPr>
            <w:tcW w:w="567" w:type="dxa"/>
            <w:tcBorders>
              <w:top w:val="nil"/>
              <w:left w:val="nil"/>
              <w:bottom w:val="single" w:sz="4" w:space="0" w:color="auto"/>
              <w:right w:val="single" w:sz="4" w:space="0" w:color="auto"/>
            </w:tcBorders>
            <w:shd w:val="clear" w:color="auto" w:fill="C6EFCE"/>
            <w:noWrap/>
          </w:tcPr>
          <w:p w14:paraId="2D79DFDE"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7 800</w:t>
            </w:r>
          </w:p>
        </w:tc>
        <w:tc>
          <w:tcPr>
            <w:tcW w:w="850" w:type="dxa"/>
            <w:tcBorders>
              <w:top w:val="nil"/>
              <w:left w:val="nil"/>
              <w:bottom w:val="single" w:sz="4" w:space="0" w:color="auto"/>
              <w:right w:val="single" w:sz="4" w:space="0" w:color="auto"/>
            </w:tcBorders>
            <w:shd w:val="clear" w:color="auto" w:fill="C6EFCE"/>
            <w:noWrap/>
          </w:tcPr>
          <w:p w14:paraId="378E1726"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Q2</w:t>
            </w:r>
          </w:p>
        </w:tc>
        <w:tc>
          <w:tcPr>
            <w:tcW w:w="709" w:type="dxa"/>
            <w:tcBorders>
              <w:top w:val="nil"/>
              <w:left w:val="nil"/>
              <w:bottom w:val="single" w:sz="4" w:space="0" w:color="auto"/>
              <w:right w:val="single" w:sz="4" w:space="0" w:color="auto"/>
            </w:tcBorders>
            <w:shd w:val="clear" w:color="auto" w:fill="C6EFCE"/>
            <w:noWrap/>
          </w:tcPr>
          <w:p w14:paraId="611ADBED"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2026</w:t>
            </w:r>
          </w:p>
        </w:tc>
        <w:tc>
          <w:tcPr>
            <w:tcW w:w="5250" w:type="dxa"/>
            <w:tcBorders>
              <w:top w:val="nil"/>
              <w:left w:val="nil"/>
              <w:bottom w:val="single" w:sz="4" w:space="0" w:color="auto"/>
              <w:right w:val="single" w:sz="4" w:space="0" w:color="auto"/>
            </w:tcBorders>
            <w:shd w:val="clear" w:color="auto" w:fill="C6EFCE"/>
            <w:noWrap/>
          </w:tcPr>
          <w:p w14:paraId="5E740C1B" w14:textId="6A52D4C3" w:rsidR="00935FC8" w:rsidRPr="000318C2" w:rsidRDefault="00935FC8" w:rsidP="00A7081A">
            <w:pPr>
              <w:spacing w:after="0" w:line="240" w:lineRule="auto"/>
              <w:rPr>
                <w:rFonts w:ascii="Times New Roman" w:hAnsi="Times New Roman"/>
                <w:noProof/>
                <w:sz w:val="20"/>
                <w:szCs w:val="20"/>
                <w:lang w:eastAsia="en-GB"/>
              </w:rPr>
            </w:pPr>
            <w:r w:rsidRPr="000318C2">
              <w:rPr>
                <w:rFonts w:ascii="Times New Roman" w:hAnsi="Times New Roman"/>
                <w:noProof/>
                <w:sz w:val="20"/>
                <w:szCs w:val="20"/>
                <w:lang w:eastAsia="en-GB"/>
              </w:rPr>
              <w:t>At least 7 800 people, of whom 1 500 are members of under-represented groups, shall have participated in the training programmes.</w:t>
            </w:r>
          </w:p>
          <w:p w14:paraId="25014F10" w14:textId="77777777" w:rsidR="00935FC8" w:rsidRPr="000318C2" w:rsidRDefault="00935FC8" w:rsidP="00A7081A">
            <w:pPr>
              <w:spacing w:after="0" w:line="240" w:lineRule="auto"/>
              <w:rPr>
                <w:rFonts w:ascii="Times New Roman" w:hAnsi="Times New Roman"/>
                <w:noProof/>
                <w:sz w:val="20"/>
                <w:szCs w:val="20"/>
                <w:lang w:eastAsia="en-GB"/>
              </w:rPr>
            </w:pPr>
          </w:p>
          <w:p w14:paraId="3E42D7D4" w14:textId="588AD35C" w:rsidR="00935FC8" w:rsidRPr="000318C2" w:rsidRDefault="00935FC8" w:rsidP="00A7081A">
            <w:pPr>
              <w:spacing w:after="0" w:line="240" w:lineRule="auto"/>
              <w:rPr>
                <w:rFonts w:ascii="Times New Roman" w:eastAsia="Times New Roman" w:hAnsi="Times New Roman"/>
                <w:noProof/>
                <w:sz w:val="20"/>
                <w:szCs w:val="20"/>
              </w:rPr>
            </w:pPr>
            <w:r w:rsidRPr="000318C2">
              <w:rPr>
                <w:rFonts w:ascii="Times New Roman" w:hAnsi="Times New Roman"/>
                <w:noProof/>
                <w:sz w:val="20"/>
                <w:szCs w:val="20"/>
                <w:lang w:eastAsia="en-GB"/>
              </w:rPr>
              <w:t>At least 20% of the training shall be targeted to support in particular the digital transition and a just transition to a carbon-neutral society.</w:t>
            </w:r>
          </w:p>
        </w:tc>
      </w:tr>
      <w:tr w:rsidR="00A7081A" w:rsidRPr="000318C2" w14:paraId="5E6E498D" w14:textId="77777777" w:rsidTr="000318C2">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3CAB4823" w14:textId="77777777" w:rsidR="00935FC8" w:rsidRPr="000318C2" w:rsidRDefault="00935FC8">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 95</w:t>
            </w:r>
          </w:p>
        </w:tc>
        <w:tc>
          <w:tcPr>
            <w:tcW w:w="1528" w:type="dxa"/>
            <w:tcBorders>
              <w:top w:val="nil"/>
              <w:left w:val="nil"/>
              <w:bottom w:val="single" w:sz="4" w:space="0" w:color="auto"/>
              <w:right w:val="single" w:sz="4" w:space="0" w:color="auto"/>
            </w:tcBorders>
            <w:shd w:val="clear" w:color="auto" w:fill="C6EFCE"/>
            <w:noWrap/>
            <w:hideMark/>
          </w:tcPr>
          <w:p w14:paraId="11FB4846"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rPr>
              <w:t xml:space="preserve">P3C2R1- </w:t>
            </w:r>
            <w:r w:rsidRPr="000318C2">
              <w:rPr>
                <w:rFonts w:ascii="Times New Roman" w:eastAsia="Times New Roman" w:hAnsi="Times New Roman"/>
                <w:noProof/>
                <w:sz w:val="20"/>
                <w:szCs w:val="20"/>
                <w:lang w:eastAsia="en-GB"/>
              </w:rPr>
              <w:t>Reform of continuous learning</w:t>
            </w:r>
          </w:p>
        </w:tc>
        <w:tc>
          <w:tcPr>
            <w:tcW w:w="1002" w:type="dxa"/>
            <w:tcBorders>
              <w:top w:val="nil"/>
              <w:left w:val="nil"/>
              <w:bottom w:val="single" w:sz="4" w:space="0" w:color="auto"/>
              <w:right w:val="single" w:sz="4" w:space="0" w:color="auto"/>
            </w:tcBorders>
            <w:shd w:val="clear" w:color="auto" w:fill="C6EFCE"/>
            <w:noWrap/>
            <w:hideMark/>
          </w:tcPr>
          <w:p w14:paraId="70106BEF" w14:textId="6BE92C31"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Targe</w:t>
            </w:r>
            <w:r w:rsidR="00BB026E" w:rsidRPr="000318C2">
              <w:rPr>
                <w:rFonts w:ascii="Times New Roman" w:eastAsia="Times New Roman" w:hAnsi="Times New Roman"/>
                <w:noProof/>
                <w:sz w:val="20"/>
                <w:szCs w:val="20"/>
                <w:lang w:eastAsia="en-GB"/>
              </w:rPr>
              <w:t>t</w:t>
            </w:r>
          </w:p>
        </w:tc>
        <w:tc>
          <w:tcPr>
            <w:tcW w:w="1580" w:type="dxa"/>
            <w:tcBorders>
              <w:top w:val="nil"/>
              <w:left w:val="nil"/>
              <w:bottom w:val="single" w:sz="4" w:space="0" w:color="auto"/>
              <w:right w:val="single" w:sz="4" w:space="0" w:color="auto"/>
            </w:tcBorders>
            <w:shd w:val="clear" w:color="auto" w:fill="C6EFCE"/>
            <w:noWrap/>
            <w:hideMark/>
          </w:tcPr>
          <w:p w14:paraId="4109AD1B"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Number of participants in further training in career guidance</w:t>
            </w:r>
          </w:p>
        </w:tc>
        <w:tc>
          <w:tcPr>
            <w:tcW w:w="1417" w:type="dxa"/>
            <w:tcBorders>
              <w:top w:val="nil"/>
              <w:left w:val="nil"/>
              <w:bottom w:val="single" w:sz="4" w:space="0" w:color="auto"/>
              <w:right w:val="single" w:sz="4" w:space="0" w:color="auto"/>
            </w:tcBorders>
            <w:shd w:val="clear" w:color="auto" w:fill="C6EFCE"/>
            <w:noWrap/>
            <w:hideMark/>
          </w:tcPr>
          <w:p w14:paraId="2B42B343" w14:textId="77777777" w:rsidR="00935FC8" w:rsidRPr="000318C2" w:rsidRDefault="00935FC8" w:rsidP="00A7081A">
            <w:pPr>
              <w:spacing w:after="0" w:line="240" w:lineRule="auto"/>
              <w:rPr>
                <w:rFonts w:ascii="Times New Roman" w:eastAsia="Times New Roman" w:hAnsi="Times New Roman"/>
                <w:noProof/>
                <w:sz w:val="20"/>
                <w:szCs w:val="20"/>
                <w:lang w:eastAsia="en-GB"/>
              </w:rPr>
            </w:pPr>
          </w:p>
        </w:tc>
        <w:tc>
          <w:tcPr>
            <w:tcW w:w="972" w:type="dxa"/>
            <w:tcBorders>
              <w:top w:val="nil"/>
              <w:left w:val="nil"/>
              <w:bottom w:val="single" w:sz="4" w:space="0" w:color="auto"/>
              <w:right w:val="single" w:sz="4" w:space="0" w:color="auto"/>
            </w:tcBorders>
            <w:shd w:val="clear" w:color="auto" w:fill="C6EFCE"/>
            <w:noWrap/>
            <w:hideMark/>
          </w:tcPr>
          <w:p w14:paraId="38E3CBA3"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Number</w:t>
            </w:r>
          </w:p>
        </w:tc>
        <w:tc>
          <w:tcPr>
            <w:tcW w:w="851" w:type="dxa"/>
            <w:tcBorders>
              <w:top w:val="nil"/>
              <w:left w:val="nil"/>
              <w:bottom w:val="single" w:sz="4" w:space="0" w:color="auto"/>
              <w:right w:val="single" w:sz="4" w:space="0" w:color="auto"/>
            </w:tcBorders>
            <w:shd w:val="clear" w:color="auto" w:fill="C6EFCE"/>
            <w:noWrap/>
            <w:hideMark/>
          </w:tcPr>
          <w:p w14:paraId="1607EBD5"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0</w:t>
            </w:r>
          </w:p>
        </w:tc>
        <w:tc>
          <w:tcPr>
            <w:tcW w:w="567" w:type="dxa"/>
            <w:tcBorders>
              <w:top w:val="nil"/>
              <w:left w:val="nil"/>
              <w:bottom w:val="single" w:sz="4" w:space="0" w:color="auto"/>
              <w:right w:val="single" w:sz="4" w:space="0" w:color="auto"/>
            </w:tcBorders>
            <w:shd w:val="clear" w:color="auto" w:fill="C6EFCE"/>
            <w:noWrap/>
            <w:hideMark/>
          </w:tcPr>
          <w:p w14:paraId="48EF0606"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300</w:t>
            </w:r>
          </w:p>
        </w:tc>
        <w:tc>
          <w:tcPr>
            <w:tcW w:w="850" w:type="dxa"/>
            <w:tcBorders>
              <w:top w:val="nil"/>
              <w:left w:val="nil"/>
              <w:bottom w:val="single" w:sz="4" w:space="0" w:color="auto"/>
              <w:right w:val="single" w:sz="4" w:space="0" w:color="auto"/>
            </w:tcBorders>
            <w:shd w:val="clear" w:color="auto" w:fill="C6EFCE"/>
            <w:noWrap/>
            <w:hideMark/>
          </w:tcPr>
          <w:p w14:paraId="14C6DE23"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Q4</w:t>
            </w:r>
          </w:p>
        </w:tc>
        <w:tc>
          <w:tcPr>
            <w:tcW w:w="709" w:type="dxa"/>
            <w:tcBorders>
              <w:top w:val="nil"/>
              <w:left w:val="nil"/>
              <w:bottom w:val="single" w:sz="4" w:space="0" w:color="auto"/>
              <w:right w:val="single" w:sz="4" w:space="0" w:color="auto"/>
            </w:tcBorders>
            <w:shd w:val="clear" w:color="auto" w:fill="C6EFCE"/>
            <w:noWrap/>
            <w:hideMark/>
          </w:tcPr>
          <w:p w14:paraId="2C44A2E8"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2024</w:t>
            </w:r>
          </w:p>
        </w:tc>
        <w:tc>
          <w:tcPr>
            <w:tcW w:w="5250" w:type="dxa"/>
            <w:tcBorders>
              <w:top w:val="nil"/>
              <w:left w:val="nil"/>
              <w:bottom w:val="single" w:sz="4" w:space="0" w:color="auto"/>
              <w:right w:val="single" w:sz="4" w:space="0" w:color="auto"/>
            </w:tcBorders>
            <w:shd w:val="clear" w:color="auto" w:fill="C6EFCE"/>
            <w:noWrap/>
            <w:hideMark/>
          </w:tcPr>
          <w:p w14:paraId="602A6EFA" w14:textId="4A4BC9D5" w:rsidR="00935FC8" w:rsidRPr="000318C2" w:rsidRDefault="00935FC8" w:rsidP="00A7081A">
            <w:pPr>
              <w:spacing w:after="0" w:line="240" w:lineRule="auto"/>
              <w:rPr>
                <w:rFonts w:ascii="Times New Roman" w:hAnsi="Times New Roman"/>
                <w:noProof/>
                <w:sz w:val="20"/>
                <w:szCs w:val="20"/>
                <w:lang w:eastAsia="en-GB"/>
              </w:rPr>
            </w:pPr>
            <w:r w:rsidRPr="000318C2">
              <w:rPr>
                <w:rFonts w:ascii="Times New Roman" w:hAnsi="Times New Roman"/>
                <w:noProof/>
                <w:sz w:val="20"/>
                <w:szCs w:val="20"/>
                <w:lang w:eastAsia="en-GB"/>
              </w:rPr>
              <w:t>At least 300 persons shall receive further training in career guidance, specialised in either one of the following: the digital skills of instructors, language and cultural awareness, the green transition or the promotion of gender equality.</w:t>
            </w:r>
          </w:p>
          <w:p w14:paraId="56F05EB6" w14:textId="77777777" w:rsidR="00935FC8" w:rsidRPr="000318C2" w:rsidRDefault="00935FC8" w:rsidP="00A7081A">
            <w:pPr>
              <w:spacing w:after="0" w:line="240" w:lineRule="auto"/>
              <w:rPr>
                <w:rFonts w:ascii="Times New Roman" w:hAnsi="Times New Roman"/>
                <w:noProof/>
                <w:sz w:val="20"/>
                <w:szCs w:val="20"/>
                <w:lang w:eastAsia="en-GB"/>
              </w:rPr>
            </w:pPr>
          </w:p>
        </w:tc>
      </w:tr>
      <w:tr w:rsidR="00A7081A" w:rsidRPr="000318C2" w14:paraId="4D6AC2C8" w14:textId="77777777" w:rsidTr="000318C2">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48089378" w14:textId="77777777" w:rsidR="00935FC8" w:rsidRPr="000318C2" w:rsidRDefault="00935FC8">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 96</w:t>
            </w:r>
          </w:p>
        </w:tc>
        <w:tc>
          <w:tcPr>
            <w:tcW w:w="1528" w:type="dxa"/>
            <w:tcBorders>
              <w:top w:val="nil"/>
              <w:left w:val="nil"/>
              <w:bottom w:val="single" w:sz="4" w:space="0" w:color="auto"/>
              <w:right w:val="single" w:sz="4" w:space="0" w:color="auto"/>
            </w:tcBorders>
            <w:shd w:val="clear" w:color="auto" w:fill="C6EFCE"/>
            <w:noWrap/>
            <w:hideMark/>
          </w:tcPr>
          <w:p w14:paraId="0C0E35FE"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P3C2I1 - Digitalisation programme for</w:t>
            </w:r>
            <w:r w:rsidRPr="000318C2">
              <w:rPr>
                <w:rFonts w:ascii="Times New Roman" w:eastAsia="Times New Roman" w:hAnsi="Times New Roman"/>
                <w:noProof/>
                <w:sz w:val="20"/>
                <w:szCs w:val="20"/>
              </w:rPr>
              <w:t xml:space="preserve"> </w:t>
            </w:r>
            <w:r w:rsidRPr="000318C2">
              <w:rPr>
                <w:rFonts w:ascii="Times New Roman" w:eastAsia="Times New Roman" w:hAnsi="Times New Roman"/>
                <w:noProof/>
                <w:sz w:val="20"/>
                <w:szCs w:val="20"/>
                <w:lang w:eastAsia="en-GB"/>
              </w:rPr>
              <w:t>continuous</w:t>
            </w:r>
            <w:r w:rsidRPr="000318C2">
              <w:rPr>
                <w:rFonts w:ascii="Times New Roman" w:eastAsia="Times New Roman" w:hAnsi="Times New Roman"/>
                <w:noProof/>
                <w:sz w:val="20"/>
                <w:szCs w:val="20"/>
              </w:rPr>
              <w:t xml:space="preserve"> </w:t>
            </w:r>
            <w:r w:rsidRPr="000318C2">
              <w:rPr>
                <w:rFonts w:ascii="Times New Roman" w:eastAsia="Times New Roman" w:hAnsi="Times New Roman"/>
                <w:noProof/>
                <w:sz w:val="20"/>
                <w:szCs w:val="20"/>
                <w:lang w:eastAsia="en-GB"/>
              </w:rPr>
              <w:t>learning</w:t>
            </w:r>
          </w:p>
        </w:tc>
        <w:tc>
          <w:tcPr>
            <w:tcW w:w="1002" w:type="dxa"/>
            <w:tcBorders>
              <w:top w:val="nil"/>
              <w:left w:val="nil"/>
              <w:bottom w:val="single" w:sz="4" w:space="0" w:color="auto"/>
              <w:right w:val="single" w:sz="4" w:space="0" w:color="auto"/>
            </w:tcBorders>
            <w:shd w:val="clear" w:color="auto" w:fill="C6EFCE"/>
            <w:noWrap/>
            <w:hideMark/>
          </w:tcPr>
          <w:p w14:paraId="183A0B1F" w14:textId="6B515067" w:rsidR="00935FC8" w:rsidRPr="000318C2" w:rsidRDefault="00935FC8" w:rsidP="00A7081A">
            <w:pPr>
              <w:spacing w:after="0" w:line="240" w:lineRule="auto"/>
              <w:rPr>
                <w:rFonts w:ascii="Times New Roman" w:eastAsia="Times New Roman" w:hAnsi="Times New Roman"/>
                <w:noProof/>
                <w:sz w:val="20"/>
                <w:szCs w:val="20"/>
              </w:rPr>
            </w:pPr>
            <w:r w:rsidRPr="000318C2">
              <w:rPr>
                <w:rFonts w:ascii="Times New Roman" w:eastAsia="Times New Roman" w:hAnsi="Times New Roman"/>
                <w:noProof/>
                <w:sz w:val="20"/>
                <w:szCs w:val="20"/>
                <w:lang w:eastAsia="en-GB"/>
              </w:rPr>
              <w:t>Milestone</w:t>
            </w:r>
          </w:p>
        </w:tc>
        <w:tc>
          <w:tcPr>
            <w:tcW w:w="1580" w:type="dxa"/>
            <w:tcBorders>
              <w:top w:val="nil"/>
              <w:left w:val="nil"/>
              <w:bottom w:val="single" w:sz="4" w:space="0" w:color="auto"/>
              <w:right w:val="single" w:sz="4" w:space="0" w:color="auto"/>
            </w:tcBorders>
            <w:shd w:val="clear" w:color="auto" w:fill="C6EFCE"/>
            <w:noWrap/>
            <w:hideMark/>
          </w:tcPr>
          <w:p w14:paraId="05C9606F" w14:textId="77777777" w:rsidR="00935FC8" w:rsidRPr="000318C2" w:rsidRDefault="00935FC8" w:rsidP="00A7081A">
            <w:pPr>
              <w:spacing w:after="0" w:line="240" w:lineRule="auto"/>
              <w:rPr>
                <w:rFonts w:ascii="Times New Roman" w:eastAsia="Times New Roman" w:hAnsi="Times New Roman"/>
                <w:noProof/>
                <w:sz w:val="20"/>
                <w:szCs w:val="20"/>
              </w:rPr>
            </w:pPr>
            <w:r w:rsidRPr="000318C2">
              <w:rPr>
                <w:rFonts w:ascii="Times New Roman" w:eastAsia="Times New Roman" w:hAnsi="Times New Roman"/>
                <w:noProof/>
                <w:sz w:val="20"/>
                <w:szCs w:val="20"/>
                <w:lang w:eastAsia="en-GB"/>
              </w:rPr>
              <w:t>Completion o</w:t>
            </w:r>
            <w:r w:rsidRPr="000318C2">
              <w:rPr>
                <w:rFonts w:ascii="Times New Roman" w:eastAsia="Times New Roman" w:hAnsi="Times New Roman"/>
                <w:noProof/>
                <w:sz w:val="20"/>
                <w:szCs w:val="20"/>
              </w:rPr>
              <w:t>f t</w:t>
            </w:r>
            <w:r w:rsidRPr="000318C2">
              <w:rPr>
                <w:rFonts w:ascii="Times New Roman" w:eastAsia="Times New Roman" w:hAnsi="Times New Roman"/>
                <w:noProof/>
                <w:sz w:val="20"/>
                <w:szCs w:val="20"/>
                <w:lang w:eastAsia="en-GB"/>
              </w:rPr>
              <w:t>he IT architecture for digit</w:t>
            </w:r>
            <w:r w:rsidRPr="000318C2">
              <w:rPr>
                <w:rFonts w:ascii="Times New Roman" w:eastAsia="Times New Roman" w:hAnsi="Times New Roman"/>
                <w:noProof/>
                <w:sz w:val="20"/>
                <w:szCs w:val="20"/>
              </w:rPr>
              <w:t xml:space="preserve">al </w:t>
            </w:r>
            <w:r w:rsidRPr="000318C2">
              <w:rPr>
                <w:rFonts w:ascii="Times New Roman" w:eastAsia="Times New Roman" w:hAnsi="Times New Roman"/>
                <w:noProof/>
                <w:sz w:val="20"/>
                <w:szCs w:val="20"/>
                <w:lang w:eastAsia="en-GB"/>
              </w:rPr>
              <w:t>continuous</w:t>
            </w:r>
            <w:r w:rsidRPr="000318C2">
              <w:rPr>
                <w:rFonts w:ascii="Times New Roman" w:eastAsia="Times New Roman" w:hAnsi="Times New Roman"/>
                <w:noProof/>
                <w:sz w:val="20"/>
                <w:szCs w:val="20"/>
              </w:rPr>
              <w:t xml:space="preserve"> </w:t>
            </w:r>
            <w:r w:rsidRPr="000318C2">
              <w:rPr>
                <w:rFonts w:ascii="Times New Roman" w:eastAsia="Times New Roman" w:hAnsi="Times New Roman"/>
                <w:noProof/>
                <w:sz w:val="20"/>
                <w:szCs w:val="20"/>
                <w:lang w:eastAsia="en-GB"/>
              </w:rPr>
              <w:t>learning services</w:t>
            </w:r>
          </w:p>
          <w:p w14:paraId="19853055" w14:textId="77777777" w:rsidR="00935FC8" w:rsidRPr="000318C2" w:rsidRDefault="00935FC8" w:rsidP="00A7081A">
            <w:pPr>
              <w:spacing w:after="0" w:line="240" w:lineRule="auto"/>
              <w:rPr>
                <w:rFonts w:ascii="Times New Roman" w:eastAsia="Times New Roman" w:hAnsi="Times New Roman"/>
                <w:noProof/>
                <w:sz w:val="20"/>
                <w:szCs w:val="20"/>
              </w:rPr>
            </w:pPr>
          </w:p>
        </w:tc>
        <w:tc>
          <w:tcPr>
            <w:tcW w:w="1417" w:type="dxa"/>
            <w:tcBorders>
              <w:top w:val="nil"/>
              <w:left w:val="nil"/>
              <w:bottom w:val="single" w:sz="4" w:space="0" w:color="auto"/>
              <w:right w:val="single" w:sz="4" w:space="0" w:color="auto"/>
            </w:tcBorders>
            <w:shd w:val="clear" w:color="auto" w:fill="C6EFCE"/>
            <w:noWrap/>
            <w:hideMark/>
          </w:tcPr>
          <w:p w14:paraId="259BF496"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IT architecture is completed and operational</w:t>
            </w:r>
          </w:p>
          <w:p w14:paraId="6B02F1CF" w14:textId="77777777" w:rsidR="00935FC8" w:rsidRPr="000318C2" w:rsidRDefault="00935FC8" w:rsidP="00A7081A">
            <w:pPr>
              <w:spacing w:after="0" w:line="240" w:lineRule="auto"/>
              <w:rPr>
                <w:rFonts w:ascii="Times New Roman" w:eastAsia="Times New Roman" w:hAnsi="Times New Roman"/>
                <w:noProof/>
                <w:sz w:val="20"/>
                <w:szCs w:val="20"/>
                <w:lang w:eastAsia="en-GB"/>
              </w:rPr>
            </w:pPr>
          </w:p>
        </w:tc>
        <w:tc>
          <w:tcPr>
            <w:tcW w:w="972" w:type="dxa"/>
            <w:tcBorders>
              <w:top w:val="nil"/>
              <w:left w:val="nil"/>
              <w:bottom w:val="single" w:sz="4" w:space="0" w:color="auto"/>
              <w:right w:val="single" w:sz="4" w:space="0" w:color="auto"/>
            </w:tcBorders>
            <w:shd w:val="clear" w:color="auto" w:fill="C6EFCE"/>
            <w:noWrap/>
          </w:tcPr>
          <w:p w14:paraId="6B0391CD"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02FD4C34"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p>
        </w:tc>
        <w:tc>
          <w:tcPr>
            <w:tcW w:w="567" w:type="dxa"/>
            <w:tcBorders>
              <w:top w:val="nil"/>
              <w:left w:val="nil"/>
              <w:bottom w:val="single" w:sz="4" w:space="0" w:color="auto"/>
              <w:right w:val="single" w:sz="4" w:space="0" w:color="auto"/>
            </w:tcBorders>
            <w:shd w:val="clear" w:color="auto" w:fill="C6EFCE"/>
            <w:noWrap/>
          </w:tcPr>
          <w:p w14:paraId="4A611B91"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hideMark/>
          </w:tcPr>
          <w:p w14:paraId="0A6B57C2" w14:textId="7D2498BE"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Q4</w:t>
            </w:r>
          </w:p>
        </w:tc>
        <w:tc>
          <w:tcPr>
            <w:tcW w:w="709" w:type="dxa"/>
            <w:tcBorders>
              <w:top w:val="nil"/>
              <w:left w:val="nil"/>
              <w:bottom w:val="single" w:sz="4" w:space="0" w:color="auto"/>
              <w:right w:val="single" w:sz="4" w:space="0" w:color="auto"/>
            </w:tcBorders>
            <w:shd w:val="clear" w:color="auto" w:fill="C6EFCE"/>
            <w:noWrap/>
            <w:hideMark/>
          </w:tcPr>
          <w:p w14:paraId="53125BEE"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2021</w:t>
            </w:r>
          </w:p>
        </w:tc>
        <w:tc>
          <w:tcPr>
            <w:tcW w:w="5250" w:type="dxa"/>
            <w:tcBorders>
              <w:top w:val="nil"/>
              <w:left w:val="nil"/>
              <w:bottom w:val="single" w:sz="4" w:space="0" w:color="auto"/>
              <w:right w:val="single" w:sz="4" w:space="0" w:color="auto"/>
            </w:tcBorders>
            <w:shd w:val="clear" w:color="auto" w:fill="C6EFCE"/>
            <w:noWrap/>
            <w:hideMark/>
          </w:tcPr>
          <w:p w14:paraId="025DAAFB" w14:textId="77777777" w:rsidR="00935FC8" w:rsidRPr="000318C2" w:rsidRDefault="00935FC8" w:rsidP="00A7081A">
            <w:pPr>
              <w:spacing w:after="0" w:line="240" w:lineRule="auto"/>
              <w:rPr>
                <w:rFonts w:ascii="Times New Roman" w:hAnsi="Times New Roman"/>
                <w:noProof/>
                <w:sz w:val="20"/>
                <w:szCs w:val="20"/>
                <w:lang w:eastAsia="en-GB"/>
              </w:rPr>
            </w:pPr>
            <w:r w:rsidRPr="000318C2">
              <w:rPr>
                <w:rFonts w:ascii="Times New Roman" w:hAnsi="Times New Roman"/>
                <w:noProof/>
                <w:sz w:val="20"/>
                <w:szCs w:val="20"/>
                <w:lang w:eastAsia="en-GB"/>
              </w:rPr>
              <w:t>An IT architecture for digital continuous learning services shall be developed and fully operational. It shall set the framework for planning resource allocation and streamlining current practices in the provision of services, so as to create customer-oriented digital services for continuous learning. To this end, it shall take into account all necessary aspects of IT development, including business capabilities, components, applications, user groups, data objects.</w:t>
            </w:r>
          </w:p>
          <w:p w14:paraId="5E7519C7" w14:textId="07CFFE42" w:rsidR="00935FC8" w:rsidRPr="000318C2" w:rsidRDefault="00935FC8" w:rsidP="00A7081A">
            <w:pPr>
              <w:spacing w:after="0" w:line="240" w:lineRule="auto"/>
              <w:rPr>
                <w:rFonts w:ascii="Times New Roman" w:hAnsi="Times New Roman"/>
                <w:noProof/>
                <w:sz w:val="20"/>
                <w:szCs w:val="20"/>
                <w:lang w:eastAsia="en-GB"/>
              </w:rPr>
            </w:pPr>
            <w:r w:rsidRPr="000318C2">
              <w:rPr>
                <w:rFonts w:ascii="Times New Roman" w:eastAsia="Times New Roman" w:hAnsi="Times New Roman"/>
                <w:noProof/>
                <w:sz w:val="20"/>
                <w:szCs w:val="20"/>
              </w:rPr>
              <w:t>The IT architecture is the basis for updating existing digital services and developing new digital services and shall include the list of services to be developed.</w:t>
            </w:r>
          </w:p>
        </w:tc>
      </w:tr>
      <w:tr w:rsidR="00A7081A" w:rsidRPr="000318C2" w14:paraId="166FF34B" w14:textId="77777777" w:rsidTr="000318C2">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13BF5B2F" w14:textId="77777777" w:rsidR="00935FC8" w:rsidRPr="000318C2" w:rsidRDefault="00935FC8">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97</w:t>
            </w:r>
          </w:p>
        </w:tc>
        <w:tc>
          <w:tcPr>
            <w:tcW w:w="1528" w:type="dxa"/>
            <w:tcBorders>
              <w:top w:val="single" w:sz="4" w:space="0" w:color="auto"/>
              <w:left w:val="nil"/>
              <w:bottom w:val="single" w:sz="4" w:space="0" w:color="auto"/>
              <w:right w:val="single" w:sz="4" w:space="0" w:color="auto"/>
            </w:tcBorders>
            <w:shd w:val="clear" w:color="auto" w:fill="C6EFCE"/>
            <w:noWrap/>
          </w:tcPr>
          <w:p w14:paraId="2F19DC76"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P3C2I1 - Digitalisation programme for continuous learning</w:t>
            </w:r>
          </w:p>
        </w:tc>
        <w:tc>
          <w:tcPr>
            <w:tcW w:w="1002" w:type="dxa"/>
            <w:tcBorders>
              <w:top w:val="nil"/>
              <w:left w:val="nil"/>
              <w:bottom w:val="single" w:sz="4" w:space="0" w:color="auto"/>
              <w:right w:val="single" w:sz="4" w:space="0" w:color="auto"/>
            </w:tcBorders>
            <w:shd w:val="clear" w:color="auto" w:fill="C6EFCE"/>
            <w:noWrap/>
          </w:tcPr>
          <w:p w14:paraId="0E2B7229"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Target</w:t>
            </w:r>
          </w:p>
        </w:tc>
        <w:tc>
          <w:tcPr>
            <w:tcW w:w="1580" w:type="dxa"/>
            <w:tcBorders>
              <w:top w:val="single" w:sz="4" w:space="0" w:color="auto"/>
              <w:left w:val="nil"/>
              <w:bottom w:val="single" w:sz="4" w:space="0" w:color="auto"/>
              <w:right w:val="single" w:sz="4" w:space="0" w:color="auto"/>
            </w:tcBorders>
            <w:shd w:val="clear" w:color="auto" w:fill="C6EFCE"/>
            <w:noWrap/>
          </w:tcPr>
          <w:p w14:paraId="33C759D3"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Digital services for continuous learning</w:t>
            </w:r>
          </w:p>
          <w:p w14:paraId="01CDBFB5" w14:textId="77777777" w:rsidR="00935FC8" w:rsidRPr="000318C2" w:rsidRDefault="00935FC8" w:rsidP="00A7081A">
            <w:pPr>
              <w:spacing w:after="0" w:line="240" w:lineRule="auto"/>
              <w:rPr>
                <w:rFonts w:ascii="Times New Roman" w:eastAsia="Times New Roman" w:hAnsi="Times New Roman"/>
                <w:noProof/>
                <w:sz w:val="20"/>
                <w:szCs w:val="20"/>
                <w:lang w:eastAsia="en-GB"/>
              </w:rPr>
            </w:pPr>
          </w:p>
        </w:tc>
        <w:tc>
          <w:tcPr>
            <w:tcW w:w="1417" w:type="dxa"/>
            <w:tcBorders>
              <w:top w:val="single" w:sz="4" w:space="0" w:color="auto"/>
              <w:left w:val="nil"/>
              <w:bottom w:val="single" w:sz="4" w:space="0" w:color="auto"/>
              <w:right w:val="single" w:sz="4" w:space="0" w:color="auto"/>
            </w:tcBorders>
            <w:shd w:val="clear" w:color="auto" w:fill="C6EFCE"/>
            <w:noWrap/>
          </w:tcPr>
          <w:p w14:paraId="4D40443E" w14:textId="77777777" w:rsidR="00935FC8" w:rsidRPr="000318C2" w:rsidRDefault="00935FC8" w:rsidP="00A7081A">
            <w:pPr>
              <w:spacing w:after="0" w:line="240" w:lineRule="auto"/>
              <w:rPr>
                <w:rFonts w:ascii="Times New Roman" w:eastAsia="Times New Roman" w:hAnsi="Times New Roman"/>
                <w:noProof/>
                <w:sz w:val="20"/>
                <w:szCs w:val="20"/>
                <w:lang w:eastAsia="en-GB"/>
              </w:rPr>
            </w:pPr>
          </w:p>
        </w:tc>
        <w:tc>
          <w:tcPr>
            <w:tcW w:w="972" w:type="dxa"/>
            <w:tcBorders>
              <w:top w:val="nil"/>
              <w:left w:val="nil"/>
              <w:bottom w:val="single" w:sz="4" w:space="0" w:color="auto"/>
              <w:right w:val="single" w:sz="4" w:space="0" w:color="auto"/>
            </w:tcBorders>
            <w:shd w:val="clear" w:color="auto" w:fill="C6EFCE"/>
            <w:noWrap/>
          </w:tcPr>
          <w:p w14:paraId="3586CEED"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Number</w:t>
            </w:r>
          </w:p>
        </w:tc>
        <w:tc>
          <w:tcPr>
            <w:tcW w:w="851" w:type="dxa"/>
            <w:tcBorders>
              <w:top w:val="nil"/>
              <w:left w:val="nil"/>
              <w:bottom w:val="single" w:sz="4" w:space="0" w:color="auto"/>
              <w:right w:val="single" w:sz="4" w:space="0" w:color="auto"/>
            </w:tcBorders>
            <w:shd w:val="clear" w:color="auto" w:fill="C6EFCE"/>
            <w:noWrap/>
          </w:tcPr>
          <w:p w14:paraId="0FBD20C2"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0</w:t>
            </w:r>
          </w:p>
        </w:tc>
        <w:tc>
          <w:tcPr>
            <w:tcW w:w="567" w:type="dxa"/>
            <w:tcBorders>
              <w:top w:val="nil"/>
              <w:left w:val="nil"/>
              <w:bottom w:val="single" w:sz="4" w:space="0" w:color="auto"/>
              <w:right w:val="single" w:sz="4" w:space="0" w:color="auto"/>
            </w:tcBorders>
            <w:shd w:val="clear" w:color="auto" w:fill="C6EFCE"/>
            <w:noWrap/>
          </w:tcPr>
          <w:p w14:paraId="659E70F7"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15</w:t>
            </w:r>
          </w:p>
        </w:tc>
        <w:tc>
          <w:tcPr>
            <w:tcW w:w="850" w:type="dxa"/>
            <w:tcBorders>
              <w:top w:val="nil"/>
              <w:left w:val="nil"/>
              <w:bottom w:val="single" w:sz="4" w:space="0" w:color="auto"/>
              <w:right w:val="single" w:sz="4" w:space="0" w:color="auto"/>
            </w:tcBorders>
            <w:shd w:val="clear" w:color="auto" w:fill="C6EFCE"/>
            <w:noWrap/>
          </w:tcPr>
          <w:p w14:paraId="0A60A04E"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Q4</w:t>
            </w:r>
          </w:p>
        </w:tc>
        <w:tc>
          <w:tcPr>
            <w:tcW w:w="709" w:type="dxa"/>
            <w:tcBorders>
              <w:top w:val="nil"/>
              <w:left w:val="nil"/>
              <w:bottom w:val="single" w:sz="4" w:space="0" w:color="auto"/>
              <w:right w:val="single" w:sz="4" w:space="0" w:color="auto"/>
            </w:tcBorders>
            <w:shd w:val="clear" w:color="auto" w:fill="C6EFCE"/>
            <w:noWrap/>
          </w:tcPr>
          <w:p w14:paraId="37F28B61"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2025</w:t>
            </w:r>
          </w:p>
        </w:tc>
        <w:tc>
          <w:tcPr>
            <w:tcW w:w="5250" w:type="dxa"/>
            <w:tcBorders>
              <w:top w:val="nil"/>
              <w:left w:val="nil"/>
              <w:bottom w:val="single" w:sz="4" w:space="0" w:color="auto"/>
              <w:right w:val="single" w:sz="4" w:space="0" w:color="auto"/>
            </w:tcBorders>
            <w:shd w:val="clear" w:color="auto" w:fill="C6EFCE"/>
            <w:noWrap/>
          </w:tcPr>
          <w:p w14:paraId="38866225" w14:textId="39D3A78F" w:rsidR="00935FC8" w:rsidRPr="000318C2" w:rsidRDefault="00935FC8" w:rsidP="00445985">
            <w:pPr>
              <w:spacing w:after="0" w:line="240" w:lineRule="auto"/>
              <w:rPr>
                <w:rFonts w:ascii="Times New Roman" w:hAnsi="Times New Roman"/>
                <w:noProof/>
                <w:sz w:val="20"/>
                <w:szCs w:val="20"/>
                <w:lang w:eastAsia="en-GB"/>
              </w:rPr>
            </w:pPr>
            <w:r w:rsidRPr="000318C2">
              <w:rPr>
                <w:rFonts w:ascii="Times New Roman" w:hAnsi="Times New Roman"/>
                <w:noProof/>
                <w:sz w:val="20"/>
                <w:szCs w:val="20"/>
                <w:lang w:eastAsia="en-GB"/>
              </w:rPr>
              <w:t>At least 15 digital services defined and listed within the IT architecture referred to in milestone 96 shall be available.</w:t>
            </w:r>
          </w:p>
        </w:tc>
      </w:tr>
      <w:tr w:rsidR="00A7081A" w:rsidRPr="000318C2" w14:paraId="3C735C72" w14:textId="77777777" w:rsidTr="000318C2">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5FD55385" w14:textId="77777777" w:rsidR="00935FC8" w:rsidRPr="000318C2" w:rsidRDefault="00935FC8">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98</w:t>
            </w:r>
          </w:p>
        </w:tc>
        <w:tc>
          <w:tcPr>
            <w:tcW w:w="1528" w:type="dxa"/>
            <w:tcBorders>
              <w:top w:val="single" w:sz="4" w:space="0" w:color="auto"/>
              <w:left w:val="nil"/>
              <w:bottom w:val="single" w:sz="4" w:space="0" w:color="auto"/>
              <w:right w:val="single" w:sz="4" w:space="0" w:color="auto"/>
            </w:tcBorders>
            <w:shd w:val="clear" w:color="auto" w:fill="C6EFCE"/>
            <w:noWrap/>
          </w:tcPr>
          <w:p w14:paraId="15F1F5E7"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P3C2I2 - Improving the level of education by increasing student places in higher education</w:t>
            </w:r>
          </w:p>
        </w:tc>
        <w:tc>
          <w:tcPr>
            <w:tcW w:w="1002" w:type="dxa"/>
            <w:tcBorders>
              <w:top w:val="nil"/>
              <w:left w:val="nil"/>
              <w:bottom w:val="single" w:sz="4" w:space="0" w:color="auto"/>
              <w:right w:val="single" w:sz="4" w:space="0" w:color="auto"/>
            </w:tcBorders>
            <w:shd w:val="clear" w:color="auto" w:fill="C6EFCE"/>
            <w:noWrap/>
          </w:tcPr>
          <w:p w14:paraId="7E73578F"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Target</w:t>
            </w:r>
          </w:p>
        </w:tc>
        <w:tc>
          <w:tcPr>
            <w:tcW w:w="1580" w:type="dxa"/>
            <w:tcBorders>
              <w:top w:val="single" w:sz="4" w:space="0" w:color="auto"/>
              <w:left w:val="nil"/>
              <w:bottom w:val="single" w:sz="4" w:space="0" w:color="auto"/>
              <w:right w:val="single" w:sz="4" w:space="0" w:color="auto"/>
            </w:tcBorders>
            <w:shd w:val="clear" w:color="auto" w:fill="C6EFCE"/>
            <w:noWrap/>
          </w:tcPr>
          <w:p w14:paraId="29F31571"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 xml:space="preserve">Increase of students’ admissions in higher education institutions </w:t>
            </w:r>
          </w:p>
        </w:tc>
        <w:tc>
          <w:tcPr>
            <w:tcW w:w="1417" w:type="dxa"/>
            <w:tcBorders>
              <w:top w:val="nil"/>
              <w:left w:val="nil"/>
              <w:bottom w:val="single" w:sz="4" w:space="0" w:color="auto"/>
              <w:right w:val="single" w:sz="4" w:space="0" w:color="auto"/>
            </w:tcBorders>
            <w:shd w:val="clear" w:color="auto" w:fill="C6EFCE"/>
            <w:noWrap/>
          </w:tcPr>
          <w:p w14:paraId="6D8A59B4" w14:textId="77777777" w:rsidR="00935FC8" w:rsidRPr="000318C2" w:rsidRDefault="00935FC8" w:rsidP="00A7081A">
            <w:pPr>
              <w:spacing w:after="0" w:line="240" w:lineRule="auto"/>
              <w:rPr>
                <w:rFonts w:ascii="Times New Roman" w:eastAsia="Times New Roman" w:hAnsi="Times New Roman"/>
                <w:noProof/>
                <w:sz w:val="20"/>
                <w:szCs w:val="20"/>
                <w:lang w:eastAsia="en-GB"/>
              </w:rPr>
            </w:pPr>
          </w:p>
        </w:tc>
        <w:tc>
          <w:tcPr>
            <w:tcW w:w="972" w:type="dxa"/>
            <w:tcBorders>
              <w:top w:val="nil"/>
              <w:left w:val="nil"/>
              <w:bottom w:val="single" w:sz="4" w:space="0" w:color="auto"/>
              <w:right w:val="single" w:sz="4" w:space="0" w:color="auto"/>
            </w:tcBorders>
            <w:shd w:val="clear" w:color="auto" w:fill="C6EFCE"/>
            <w:noWrap/>
          </w:tcPr>
          <w:p w14:paraId="6FA03D6F"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Number</w:t>
            </w:r>
          </w:p>
        </w:tc>
        <w:tc>
          <w:tcPr>
            <w:tcW w:w="851" w:type="dxa"/>
            <w:tcBorders>
              <w:top w:val="nil"/>
              <w:left w:val="nil"/>
              <w:bottom w:val="single" w:sz="4" w:space="0" w:color="auto"/>
              <w:right w:val="single" w:sz="4" w:space="0" w:color="auto"/>
            </w:tcBorders>
            <w:shd w:val="clear" w:color="auto" w:fill="C6EFCE"/>
            <w:noWrap/>
          </w:tcPr>
          <w:p w14:paraId="7161ACA7"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0</w:t>
            </w:r>
          </w:p>
        </w:tc>
        <w:tc>
          <w:tcPr>
            <w:tcW w:w="567" w:type="dxa"/>
            <w:tcBorders>
              <w:top w:val="nil"/>
              <w:left w:val="nil"/>
              <w:bottom w:val="single" w:sz="4" w:space="0" w:color="auto"/>
              <w:right w:val="single" w:sz="4" w:space="0" w:color="auto"/>
            </w:tcBorders>
            <w:shd w:val="clear" w:color="auto" w:fill="C6EFCE"/>
            <w:noWrap/>
          </w:tcPr>
          <w:p w14:paraId="4B298112"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600</w:t>
            </w:r>
          </w:p>
        </w:tc>
        <w:tc>
          <w:tcPr>
            <w:tcW w:w="850" w:type="dxa"/>
            <w:tcBorders>
              <w:top w:val="nil"/>
              <w:left w:val="nil"/>
              <w:bottom w:val="single" w:sz="4" w:space="0" w:color="auto"/>
              <w:right w:val="single" w:sz="4" w:space="0" w:color="auto"/>
            </w:tcBorders>
            <w:shd w:val="clear" w:color="auto" w:fill="C6EFCE"/>
            <w:noWrap/>
          </w:tcPr>
          <w:p w14:paraId="124979DE"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Q4</w:t>
            </w:r>
          </w:p>
        </w:tc>
        <w:tc>
          <w:tcPr>
            <w:tcW w:w="709" w:type="dxa"/>
            <w:tcBorders>
              <w:top w:val="nil"/>
              <w:left w:val="nil"/>
              <w:bottom w:val="single" w:sz="4" w:space="0" w:color="auto"/>
              <w:right w:val="single" w:sz="4" w:space="0" w:color="auto"/>
            </w:tcBorders>
            <w:shd w:val="clear" w:color="auto" w:fill="C6EFCE"/>
            <w:noWrap/>
          </w:tcPr>
          <w:p w14:paraId="27D4E376"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2022</w:t>
            </w:r>
          </w:p>
        </w:tc>
        <w:tc>
          <w:tcPr>
            <w:tcW w:w="5250" w:type="dxa"/>
            <w:tcBorders>
              <w:top w:val="nil"/>
              <w:left w:val="nil"/>
              <w:bottom w:val="single" w:sz="4" w:space="0" w:color="auto"/>
              <w:right w:val="single" w:sz="4" w:space="0" w:color="auto"/>
            </w:tcBorders>
            <w:shd w:val="clear" w:color="auto" w:fill="C6EFCE"/>
            <w:noWrap/>
          </w:tcPr>
          <w:p w14:paraId="2D26E6FB" w14:textId="6C566ACA" w:rsidR="00935FC8" w:rsidRPr="000318C2" w:rsidRDefault="00935FC8" w:rsidP="00A7081A">
            <w:pPr>
              <w:spacing w:after="0" w:line="240" w:lineRule="auto"/>
              <w:rPr>
                <w:rFonts w:ascii="Times New Roman" w:hAnsi="Times New Roman"/>
                <w:noProof/>
                <w:sz w:val="20"/>
                <w:szCs w:val="20"/>
                <w:lang w:eastAsia="en-GB"/>
              </w:rPr>
            </w:pPr>
            <w:r w:rsidRPr="000318C2">
              <w:rPr>
                <w:rFonts w:ascii="Times New Roman" w:hAnsi="Times New Roman"/>
                <w:noProof/>
                <w:sz w:val="20"/>
                <w:szCs w:val="20"/>
                <w:lang w:eastAsia="en-GB"/>
              </w:rPr>
              <w:t>Higher education institutions shall expand their intake with at least 600 study places in 2022 on the 1st cycle degree programmes aimed at supporting the implementation of Finland’s sustainable growth programme and to address labour shortages. This is expected to complement national funding that has already been allocated to expand the intake of higher education institutions from 2020 onwards.</w:t>
            </w:r>
          </w:p>
          <w:p w14:paraId="4877FF1A" w14:textId="77777777" w:rsidR="00935FC8" w:rsidRPr="000318C2" w:rsidRDefault="00935FC8" w:rsidP="00A7081A">
            <w:pPr>
              <w:spacing w:after="0" w:line="240" w:lineRule="auto"/>
              <w:rPr>
                <w:rFonts w:ascii="Times New Roman" w:hAnsi="Times New Roman"/>
                <w:noProof/>
                <w:sz w:val="20"/>
                <w:szCs w:val="20"/>
                <w:lang w:eastAsia="en-GB"/>
              </w:rPr>
            </w:pPr>
          </w:p>
          <w:p w14:paraId="3E827312" w14:textId="77777777" w:rsidR="00935FC8" w:rsidRPr="000318C2" w:rsidRDefault="00935FC8" w:rsidP="00A7081A">
            <w:pPr>
              <w:spacing w:after="0" w:line="240" w:lineRule="auto"/>
              <w:rPr>
                <w:rFonts w:ascii="Times New Roman" w:hAnsi="Times New Roman"/>
                <w:noProof/>
                <w:sz w:val="20"/>
                <w:szCs w:val="20"/>
                <w:lang w:eastAsia="en-GB"/>
              </w:rPr>
            </w:pPr>
            <w:r w:rsidRPr="000318C2">
              <w:rPr>
                <w:rFonts w:ascii="Times New Roman" w:hAnsi="Times New Roman"/>
                <w:noProof/>
                <w:sz w:val="20"/>
                <w:szCs w:val="20"/>
                <w:lang w:eastAsia="en-GB"/>
              </w:rPr>
              <w:t>By end-2021 the Ministry of Education and Culture and the higher education institutions are expected to agree on which fields of study and which higher education institutions to target. Increase of study places shall be targeted at areas where there is the greatest demand for education and a shortage of skills. The selection criteria shall include regional and national labour demand, demand for education and how effectively programmes support new skills demands for the future, including a focus on the health sector, on advanced technologies and ICT sectors. New students are expected to enrol in degree programmes in autumn 2022 at the latest (academic year 2022/2023).</w:t>
            </w:r>
          </w:p>
          <w:p w14:paraId="2D853F39" w14:textId="77777777" w:rsidR="00935FC8" w:rsidRPr="000318C2" w:rsidRDefault="00935FC8" w:rsidP="00A7081A">
            <w:pPr>
              <w:spacing w:after="0" w:line="240" w:lineRule="auto"/>
              <w:rPr>
                <w:rFonts w:ascii="Times New Roman" w:hAnsi="Times New Roman"/>
                <w:noProof/>
                <w:sz w:val="20"/>
                <w:szCs w:val="20"/>
                <w:lang w:eastAsia="en-GB"/>
              </w:rPr>
            </w:pPr>
          </w:p>
          <w:p w14:paraId="6BD744B2" w14:textId="77777777" w:rsidR="00935FC8" w:rsidRPr="000318C2" w:rsidRDefault="00935FC8" w:rsidP="00A7081A">
            <w:pPr>
              <w:spacing w:after="0" w:line="240" w:lineRule="auto"/>
              <w:rPr>
                <w:rFonts w:ascii="Times New Roman" w:hAnsi="Times New Roman"/>
                <w:noProof/>
                <w:sz w:val="20"/>
                <w:szCs w:val="20"/>
                <w:lang w:eastAsia="en-GB"/>
              </w:rPr>
            </w:pPr>
            <w:r w:rsidRPr="000318C2">
              <w:rPr>
                <w:rFonts w:ascii="Times New Roman" w:hAnsi="Times New Roman"/>
                <w:noProof/>
                <w:sz w:val="20"/>
                <w:szCs w:val="20"/>
                <w:lang w:eastAsia="en-GB"/>
              </w:rPr>
              <w:t>The Ministry of Education and Culture shall monitor that the increase in student intake has taken place by comparing the intake of students in 2022 to the baseline defined as the maximum yearly intake in years 2017-2019.</w:t>
            </w:r>
          </w:p>
        </w:tc>
      </w:tr>
      <w:tr w:rsidR="00A7081A" w:rsidRPr="000318C2" w14:paraId="52D54823" w14:textId="77777777" w:rsidTr="000318C2">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30AE5DF4" w14:textId="77777777" w:rsidR="00935FC8" w:rsidRPr="000318C2" w:rsidRDefault="00935FC8">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99</w:t>
            </w:r>
          </w:p>
        </w:tc>
        <w:tc>
          <w:tcPr>
            <w:tcW w:w="1528" w:type="dxa"/>
            <w:tcBorders>
              <w:top w:val="single" w:sz="4" w:space="0" w:color="auto"/>
              <w:left w:val="nil"/>
              <w:bottom w:val="single" w:sz="4" w:space="0" w:color="auto"/>
              <w:right w:val="single" w:sz="4" w:space="0" w:color="auto"/>
            </w:tcBorders>
            <w:shd w:val="clear" w:color="auto" w:fill="C6EFCE"/>
            <w:noWrap/>
          </w:tcPr>
          <w:p w14:paraId="2C5719A2"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hAnsi="Times New Roman"/>
                <w:noProof/>
                <w:sz w:val="20"/>
                <w:szCs w:val="20"/>
              </w:rPr>
              <w:t>P3C2I3 - Digitalisation of education in Åland</w:t>
            </w:r>
          </w:p>
        </w:tc>
        <w:tc>
          <w:tcPr>
            <w:tcW w:w="1002" w:type="dxa"/>
            <w:tcBorders>
              <w:top w:val="nil"/>
              <w:left w:val="nil"/>
              <w:bottom w:val="single" w:sz="4" w:space="0" w:color="auto"/>
              <w:right w:val="single" w:sz="4" w:space="0" w:color="auto"/>
            </w:tcBorders>
            <w:shd w:val="clear" w:color="auto" w:fill="C6EFCE"/>
            <w:noWrap/>
          </w:tcPr>
          <w:p w14:paraId="247F13FA"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Milestone</w:t>
            </w:r>
          </w:p>
        </w:tc>
        <w:tc>
          <w:tcPr>
            <w:tcW w:w="1580" w:type="dxa"/>
            <w:tcBorders>
              <w:top w:val="single" w:sz="4" w:space="0" w:color="auto"/>
              <w:left w:val="nil"/>
              <w:bottom w:val="single" w:sz="4" w:space="0" w:color="auto"/>
              <w:right w:val="single" w:sz="4" w:space="0" w:color="auto"/>
            </w:tcBorders>
            <w:shd w:val="clear" w:color="auto" w:fill="C6EFCE"/>
            <w:noWrap/>
          </w:tcPr>
          <w:p w14:paraId="3A2E132C" w14:textId="77777777" w:rsidR="00935FC8" w:rsidRPr="000318C2" w:rsidRDefault="00935FC8" w:rsidP="00A7081A">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 xml:space="preserve">Digitalisation in tertiary education in </w:t>
            </w:r>
            <w:r w:rsidRPr="000318C2">
              <w:rPr>
                <w:rFonts w:ascii="Times New Roman" w:hAnsi="Times New Roman"/>
                <w:noProof/>
                <w:sz w:val="20"/>
                <w:szCs w:val="20"/>
              </w:rPr>
              <w:t>Åland</w:t>
            </w:r>
          </w:p>
        </w:tc>
        <w:tc>
          <w:tcPr>
            <w:tcW w:w="1417" w:type="dxa"/>
            <w:tcBorders>
              <w:top w:val="single" w:sz="4" w:space="0" w:color="auto"/>
              <w:left w:val="nil"/>
              <w:bottom w:val="single" w:sz="4" w:space="0" w:color="auto"/>
              <w:right w:val="single" w:sz="4" w:space="0" w:color="auto"/>
            </w:tcBorders>
            <w:shd w:val="clear" w:color="auto" w:fill="C6EFCE"/>
            <w:noWrap/>
          </w:tcPr>
          <w:p w14:paraId="1AAEC728" w14:textId="5E79AEB9" w:rsidR="00935FC8" w:rsidRPr="000318C2" w:rsidRDefault="00935FC8" w:rsidP="009673EC">
            <w:pPr>
              <w:spacing w:after="0" w:line="240" w:lineRule="auto"/>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Higher offer of online or hybrid studies</w:t>
            </w:r>
          </w:p>
        </w:tc>
        <w:tc>
          <w:tcPr>
            <w:tcW w:w="972" w:type="dxa"/>
            <w:tcBorders>
              <w:top w:val="nil"/>
              <w:left w:val="nil"/>
              <w:bottom w:val="single" w:sz="4" w:space="0" w:color="auto"/>
              <w:right w:val="single" w:sz="4" w:space="0" w:color="auto"/>
            </w:tcBorders>
            <w:shd w:val="clear" w:color="auto" w:fill="C6EFCE"/>
            <w:noWrap/>
          </w:tcPr>
          <w:p w14:paraId="3E1B09F8" w14:textId="5159CD44" w:rsidR="00935FC8" w:rsidRPr="000318C2" w:rsidRDefault="00935FC8" w:rsidP="00445985">
            <w:pPr>
              <w:spacing w:after="0" w:line="240" w:lineRule="auto"/>
              <w:jc w:val="center"/>
              <w:rPr>
                <w:rFonts w:ascii="Times New Roman" w:eastAsia="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2E5A5107"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p>
        </w:tc>
        <w:tc>
          <w:tcPr>
            <w:tcW w:w="567" w:type="dxa"/>
            <w:tcBorders>
              <w:top w:val="nil"/>
              <w:left w:val="nil"/>
              <w:bottom w:val="single" w:sz="4" w:space="0" w:color="auto"/>
              <w:right w:val="single" w:sz="4" w:space="0" w:color="auto"/>
            </w:tcBorders>
            <w:shd w:val="clear" w:color="auto" w:fill="C6EFCE"/>
            <w:noWrap/>
          </w:tcPr>
          <w:p w14:paraId="59E33C87"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tcPr>
          <w:p w14:paraId="7D95EFB7"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Q4</w:t>
            </w:r>
          </w:p>
        </w:tc>
        <w:tc>
          <w:tcPr>
            <w:tcW w:w="709" w:type="dxa"/>
            <w:tcBorders>
              <w:top w:val="nil"/>
              <w:left w:val="nil"/>
              <w:bottom w:val="single" w:sz="4" w:space="0" w:color="auto"/>
              <w:right w:val="single" w:sz="4" w:space="0" w:color="auto"/>
            </w:tcBorders>
            <w:shd w:val="clear" w:color="auto" w:fill="C6EFCE"/>
            <w:noWrap/>
          </w:tcPr>
          <w:p w14:paraId="7C1A362A" w14:textId="77777777" w:rsidR="00935FC8" w:rsidRPr="000318C2" w:rsidRDefault="00935FC8" w:rsidP="00445985">
            <w:pPr>
              <w:spacing w:after="0" w:line="240" w:lineRule="auto"/>
              <w:jc w:val="center"/>
              <w:rPr>
                <w:rFonts w:ascii="Times New Roman" w:eastAsia="Times New Roman" w:hAnsi="Times New Roman"/>
                <w:noProof/>
                <w:sz w:val="20"/>
                <w:szCs w:val="20"/>
                <w:lang w:eastAsia="en-GB"/>
              </w:rPr>
            </w:pPr>
            <w:r w:rsidRPr="000318C2">
              <w:rPr>
                <w:rFonts w:ascii="Times New Roman" w:eastAsia="Times New Roman" w:hAnsi="Times New Roman"/>
                <w:noProof/>
                <w:sz w:val="20"/>
                <w:szCs w:val="20"/>
                <w:lang w:eastAsia="en-GB"/>
              </w:rPr>
              <w:t>2025</w:t>
            </w:r>
          </w:p>
        </w:tc>
        <w:tc>
          <w:tcPr>
            <w:tcW w:w="5250" w:type="dxa"/>
            <w:tcBorders>
              <w:top w:val="nil"/>
              <w:left w:val="nil"/>
              <w:bottom w:val="single" w:sz="4" w:space="0" w:color="auto"/>
              <w:right w:val="single" w:sz="4" w:space="0" w:color="auto"/>
            </w:tcBorders>
            <w:shd w:val="clear" w:color="auto" w:fill="C6EFCE"/>
            <w:noWrap/>
          </w:tcPr>
          <w:p w14:paraId="6117383C" w14:textId="67C42F45" w:rsidR="00935FC8" w:rsidRPr="000318C2" w:rsidRDefault="00935FC8" w:rsidP="001B782A">
            <w:pPr>
              <w:spacing w:after="0" w:line="240" w:lineRule="auto"/>
              <w:rPr>
                <w:rFonts w:ascii="Times New Roman" w:hAnsi="Times New Roman"/>
                <w:noProof/>
                <w:sz w:val="20"/>
                <w:szCs w:val="20"/>
                <w:lang w:eastAsia="en-GB"/>
              </w:rPr>
            </w:pPr>
            <w:r w:rsidRPr="000318C2">
              <w:rPr>
                <w:rFonts w:ascii="Times New Roman" w:hAnsi="Times New Roman"/>
                <w:noProof/>
                <w:sz w:val="20"/>
                <w:szCs w:val="20"/>
                <w:lang w:val="en-IE" w:eastAsia="en-GB"/>
              </w:rPr>
              <w:t>One new master’s programme and two new bachelor’s programmes are introduced at the University of Åland offering online or hybrid studies. In addition, the degrees of Business Administration and Nursing are offered for distance learning</w:t>
            </w:r>
            <w:r w:rsidR="001B782A" w:rsidRPr="000318C2">
              <w:rPr>
                <w:rFonts w:ascii="Times New Roman" w:hAnsi="Times New Roman"/>
                <w:noProof/>
                <w:sz w:val="20"/>
                <w:szCs w:val="20"/>
                <w:lang w:val="en-IE" w:eastAsia="en-GB"/>
              </w:rPr>
              <w:t>.</w:t>
            </w:r>
          </w:p>
        </w:tc>
      </w:tr>
    </w:tbl>
    <w:p w14:paraId="5B3D4799" w14:textId="77777777" w:rsidR="00935FC8" w:rsidRPr="00B555B3" w:rsidRDefault="00935FC8">
      <w:pPr>
        <w:spacing w:before="120" w:after="120" w:line="240" w:lineRule="auto"/>
        <w:ind w:left="709"/>
        <w:jc w:val="both"/>
        <w:rPr>
          <w:rFonts w:ascii="Times New Roman" w:hAnsi="Times New Roman"/>
          <w:noProof/>
          <w:sz w:val="24"/>
        </w:rPr>
        <w:sectPr w:rsidR="00935FC8" w:rsidRPr="00B555B3" w:rsidSect="00A7081A">
          <w:headerReference w:type="even" r:id="rId125"/>
          <w:headerReference w:type="default" r:id="rId126"/>
          <w:footerReference w:type="even" r:id="rId127"/>
          <w:footerReference w:type="default" r:id="rId128"/>
          <w:headerReference w:type="first" r:id="rId129"/>
          <w:footerReference w:type="first" r:id="rId130"/>
          <w:pgSz w:w="16839" w:h="11907" w:orient="landscape" w:code="9"/>
          <w:pgMar w:top="1134" w:right="1134" w:bottom="1134" w:left="1134" w:header="567" w:footer="567" w:gutter="0"/>
          <w:cols w:space="720"/>
          <w:docGrid w:linePitch="360"/>
        </w:sectPr>
      </w:pPr>
    </w:p>
    <w:p w14:paraId="58F08D1A" w14:textId="77777777" w:rsidR="00935FC8" w:rsidRPr="00B555B3" w:rsidRDefault="00935FC8">
      <w:pPr>
        <w:pStyle w:val="Heading4"/>
        <w:numPr>
          <w:ilvl w:val="0"/>
          <w:numId w:val="0"/>
        </w:numPr>
        <w:rPr>
          <w:b/>
          <w:noProof/>
        </w:rPr>
      </w:pPr>
      <w:r w:rsidRPr="00B555B3">
        <w:rPr>
          <w:b/>
          <w:noProof/>
        </w:rPr>
        <w:t>K. COMPONENT P3C3: RDI, RESEARCH INFRASTRUCTURE AND PILOTING</w:t>
      </w:r>
    </w:p>
    <w:p w14:paraId="1F61F417" w14:textId="7207CE41" w:rsidR="00935FC8" w:rsidRPr="00B555B3" w:rsidRDefault="00935FC8">
      <w:pPr>
        <w:spacing w:before="120" w:after="120" w:line="240" w:lineRule="auto"/>
        <w:jc w:val="both"/>
        <w:rPr>
          <w:rFonts w:ascii="Times New Roman" w:hAnsi="Times New Roman"/>
          <w:b/>
          <w:bCs/>
          <w:smallCaps/>
          <w:noProof/>
          <w:sz w:val="24"/>
          <w:szCs w:val="24"/>
        </w:rPr>
      </w:pPr>
      <w:r w:rsidRPr="00B555B3">
        <w:rPr>
          <w:rFonts w:ascii="Times New Roman" w:hAnsi="Times New Roman"/>
          <w:noProof/>
          <w:sz w:val="24"/>
          <w:szCs w:val="24"/>
        </w:rPr>
        <w:t>This component of the Finnish Recovery and Resilience Plan addresses challenges in the area of research, development and innovation (RDI). Despite being among Innovation Leaders according to the European Innovation Scoreboard for years, Finland has suffered a setback in 2010s as regards investments in RDI activities, in particular in terms of private sector investments in RDI activities. Another challenge faced by Finland is the need to step up cooperation within public RDI entities and between public and private entities involved in RDI, including at international level.</w:t>
      </w:r>
    </w:p>
    <w:p w14:paraId="0BDDE170" w14:textId="77777777"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 xml:space="preserve">The objective of the component is to contribute to strengthening RDI intensity, raising the share of RDI expenditure in Finland from 2,9% (2019) to 4% of GDP by 2030 and increasing the ambition level of RDI activities, in line with National Roadmap for Research, Development and Innovation adopted in spring 2020. To this end, the component proposes two investment packages that aim at promoting green transition and investing in research and innovation infrastructure supporting sustainable growth and digitalisation. </w:t>
      </w:r>
    </w:p>
    <w:p w14:paraId="5A1E3950" w14:textId="30807792"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The package promoting green transition includes investments for supporting projects of leading companies, accelerating key sectors and strengthening competence in key sectors, and for supporting innovative growth companies (investments 1-4 below).</w:t>
      </w:r>
    </w:p>
    <w:p w14:paraId="548991AC" w14:textId="77777777"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In order to ensure that the investments under this component comply with the ‘Do no significant harm’ Technical Guidance (2021/C58/01), the eligibility criteria contained in terms of reference for upcoming calls for projects shall exclude the following list of activities:</w:t>
      </w:r>
      <w:r w:rsidRPr="00B555B3">
        <w:rPr>
          <w:rFonts w:ascii="Times New Roman" w:hAnsi="Times New Roman"/>
          <w:noProof/>
          <w:color w:val="FF0000"/>
          <w:sz w:val="24"/>
          <w:szCs w:val="24"/>
        </w:rPr>
        <w:t xml:space="preserve"> </w:t>
      </w:r>
      <w:r w:rsidRPr="00B555B3">
        <w:rPr>
          <w:rFonts w:ascii="Times New Roman" w:hAnsi="Times New Roman"/>
          <w:noProof/>
          <w:sz w:val="24"/>
          <w:szCs w:val="24"/>
        </w:rPr>
        <w:t>(i) activities related to fossil fuels, including downstream use</w:t>
      </w:r>
      <w:r w:rsidRPr="00B555B3">
        <w:rPr>
          <w:rFonts w:ascii="Times New Roman" w:hAnsi="Times New Roman"/>
          <w:noProof/>
          <w:sz w:val="24"/>
          <w:szCs w:val="24"/>
          <w:vertAlign w:val="superscript"/>
        </w:rPr>
        <w:footnoteReference w:id="6"/>
      </w:r>
      <w:r w:rsidRPr="00B555B3">
        <w:rPr>
          <w:rFonts w:ascii="Times New Roman" w:hAnsi="Times New Roman"/>
          <w:noProof/>
          <w:sz w:val="24"/>
          <w:szCs w:val="24"/>
        </w:rPr>
        <w:t>; (ii) activities under the EU Emission Trading System (ETS) achieving projected greenhouse gas emissions that are not lower than the relevant benchmarks</w:t>
      </w:r>
      <w:r w:rsidRPr="00B555B3">
        <w:rPr>
          <w:rFonts w:ascii="Times New Roman" w:hAnsi="Times New Roman"/>
          <w:noProof/>
          <w:sz w:val="24"/>
          <w:szCs w:val="24"/>
          <w:vertAlign w:val="superscript"/>
        </w:rPr>
        <w:footnoteReference w:id="7"/>
      </w:r>
      <w:r w:rsidRPr="00B555B3">
        <w:rPr>
          <w:rFonts w:ascii="Times New Roman" w:hAnsi="Times New Roman"/>
          <w:noProof/>
          <w:sz w:val="24"/>
          <w:szCs w:val="24"/>
        </w:rPr>
        <w:t>; (iii) activities related to waste landfills, incinerators</w:t>
      </w:r>
      <w:r w:rsidRPr="00B555B3">
        <w:rPr>
          <w:rStyle w:val="FootnoteReference"/>
          <w:rFonts w:ascii="Times New Roman" w:hAnsi="Times New Roman"/>
          <w:noProof/>
          <w:sz w:val="24"/>
          <w:szCs w:val="24"/>
        </w:rPr>
        <w:footnoteReference w:id="8"/>
      </w:r>
      <w:r w:rsidRPr="00B555B3">
        <w:rPr>
          <w:rFonts w:ascii="Times New Roman" w:hAnsi="Times New Roman"/>
          <w:noProof/>
          <w:sz w:val="24"/>
          <w:szCs w:val="24"/>
        </w:rPr>
        <w:t xml:space="preserve"> and mechanical biological treatment plants</w:t>
      </w:r>
      <w:r w:rsidRPr="00B555B3">
        <w:rPr>
          <w:rStyle w:val="FootnoteReference"/>
          <w:rFonts w:ascii="Times New Roman" w:hAnsi="Times New Roman"/>
          <w:noProof/>
          <w:sz w:val="24"/>
          <w:szCs w:val="24"/>
        </w:rPr>
        <w:footnoteReference w:id="9"/>
      </w:r>
      <w:r w:rsidRPr="00B555B3">
        <w:rPr>
          <w:rFonts w:ascii="Times New Roman" w:hAnsi="Times New Roman"/>
          <w:noProof/>
          <w:sz w:val="24"/>
          <w:szCs w:val="24"/>
        </w:rPr>
        <w:t>; and (iv) activities where the long-term disposal of waste may cause harm to the environment. The terms of reference shall additionally require that only activities that comply with relevant EU and national environmental legislation can be selected. The following R&amp;D&amp;I actions shall be considered compliant with the ‘Do no significant harm’ Technical Guidance (2021/C58/01): (i) those R&amp;D&amp;I actions resulting in technologically neutral outcomes at the level of their application; (ii) those R&amp;D&amp;I actions supporting alternatives with low environmental impacts for which these exist; or (iii) those R&amp;D&amp;I actions that are primarily focused on developing alternatives with the lowest possible environmental impacts in the sector for those activities for which no technologically and economically feasible low-impact alternative exists.</w:t>
      </w:r>
    </w:p>
    <w:p w14:paraId="3CA644A2" w14:textId="77777777"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The package promoting innovation and research infrastructures includes investments for the development of local research infrastructures, national research infrastructures and innovation infrastructures.</w:t>
      </w:r>
    </w:p>
    <w:p w14:paraId="51A3C9D3" w14:textId="4B77DB81"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The component contributes to addressing Country Specific Recommendations to focus investment-related economic policy on research and innovation, low carbon and energy transition and sustainable transport (Country Specific Recommendation 3 2019), as well as to focus investment on the green and digital transition, in particular on clean and efficient production and use of energy, sustainable and efficient infrastructure as well as research and innovation (Country Specific Recommendation 3 2020).</w:t>
      </w:r>
    </w:p>
    <w:p w14:paraId="13828EBA" w14:textId="77777777" w:rsidR="00935FC8" w:rsidRPr="00B555B3" w:rsidRDefault="00935FC8">
      <w:pPr>
        <w:spacing w:before="120" w:after="120" w:line="240" w:lineRule="auto"/>
        <w:jc w:val="both"/>
        <w:rPr>
          <w:rFonts w:ascii="Times New Roman" w:hAnsi="Times New Roman"/>
          <w:b/>
          <w:bCs/>
          <w:noProof/>
          <w:sz w:val="24"/>
          <w:u w:val="single"/>
        </w:rPr>
      </w:pPr>
      <w:r w:rsidRPr="00B555B3">
        <w:rPr>
          <w:rFonts w:ascii="Times New Roman" w:hAnsi="Times New Roman"/>
          <w:b/>
          <w:bCs/>
          <w:noProof/>
          <w:sz w:val="24"/>
          <w:u w:val="single"/>
        </w:rPr>
        <w:t xml:space="preserve">K.1. </w:t>
      </w:r>
      <w:r w:rsidRPr="00B555B3">
        <w:rPr>
          <w:rFonts w:ascii="Times New Roman" w:hAnsi="Times New Roman"/>
          <w:b/>
          <w:noProof/>
          <w:sz w:val="24"/>
          <w:u w:val="single"/>
        </w:rPr>
        <w:tab/>
      </w:r>
      <w:r w:rsidRPr="00B555B3">
        <w:rPr>
          <w:rFonts w:ascii="Times New Roman" w:hAnsi="Times New Roman"/>
          <w:b/>
          <w:bCs/>
          <w:noProof/>
          <w:sz w:val="24"/>
          <w:u w:val="single"/>
        </w:rPr>
        <w:t>Description of the reforms and investments for non-repayable financial support</w:t>
      </w:r>
    </w:p>
    <w:p w14:paraId="12AA3EB4" w14:textId="77777777" w:rsidR="00935FC8" w:rsidRPr="00B555B3"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1 (P3C3I1): RDI funding package promoting the green transition – Leading companies</w:t>
      </w:r>
      <w:r w:rsidRPr="00B555B3">
        <w:rPr>
          <w:rFonts w:ascii="Times New Roman" w:hAnsi="Times New Roman"/>
          <w:noProof/>
          <w:sz w:val="24"/>
          <w:szCs w:val="24"/>
          <w:u w:val="single"/>
        </w:rPr>
        <w:t xml:space="preserve"> </w:t>
      </w:r>
    </w:p>
    <w:p w14:paraId="28343DA8" w14:textId="502CB7EF"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 xml:space="preserve">The objective of the investment is to support – via a scheme managed by Business Finland </w:t>
      </w:r>
      <w:r w:rsidRPr="002C1A9E">
        <w:rPr>
          <w:rFonts w:ascii="Times New Roman" w:hAnsi="Times New Roman"/>
          <w:noProof/>
          <w:sz w:val="24"/>
          <w:szCs w:val="24"/>
        </w:rPr>
        <w:t>–</w:t>
      </w:r>
      <w:r>
        <w:rPr>
          <w:rFonts w:ascii="Times New Roman" w:hAnsi="Times New Roman"/>
          <w:noProof/>
          <w:sz w:val="24"/>
          <w:szCs w:val="24"/>
        </w:rPr>
        <w:t xml:space="preserve"> </w:t>
      </w:r>
      <w:r w:rsidRPr="00B555B3">
        <w:rPr>
          <w:rFonts w:ascii="Times New Roman" w:hAnsi="Times New Roman"/>
          <w:noProof/>
          <w:sz w:val="24"/>
          <w:szCs w:val="24"/>
        </w:rPr>
        <w:t xml:space="preserve">partnerships between companies and other research organisations to </w:t>
      </w:r>
      <w:r w:rsidRPr="00D0136A">
        <w:rPr>
          <w:rFonts w:ascii="Times New Roman" w:hAnsi="Times New Roman"/>
          <w:noProof/>
          <w:sz w:val="24"/>
          <w:szCs w:val="24"/>
        </w:rPr>
        <w:t>support the</w:t>
      </w:r>
      <w:r w:rsidRPr="00B555B3">
        <w:rPr>
          <w:rFonts w:ascii="Times New Roman" w:hAnsi="Times New Roman"/>
          <w:noProof/>
          <w:sz w:val="24"/>
          <w:szCs w:val="24"/>
        </w:rPr>
        <w:t xml:space="preserve"> competitiveness of business and the effectiveness of Research &amp; Development activities. </w:t>
      </w:r>
      <w:r w:rsidRPr="00D0136A">
        <w:rPr>
          <w:rFonts w:ascii="Times New Roman" w:hAnsi="Times New Roman"/>
          <w:noProof/>
          <w:sz w:val="24"/>
          <w:szCs w:val="24"/>
        </w:rPr>
        <w:t>The investment consists of supporting the creation of new sectors, products, businesses and operating models as well as the use of research results from universities, universities of applied sciences and research institutes for the needs of companies, with a focus on areas that support the green transition.</w:t>
      </w:r>
    </w:p>
    <w:p w14:paraId="772E2DB2" w14:textId="77777777" w:rsidR="00935FC8" w:rsidRPr="00B555B3"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2 (P3C3I2): RDI funding package promoting the green transition – accelerating key sectors and strengthening competence (Academy of Finland)</w:t>
      </w:r>
    </w:p>
    <w:p w14:paraId="419BF36F" w14:textId="77777777" w:rsidR="00935FC8" w:rsidRPr="00B555B3" w:rsidRDefault="00935FC8">
      <w:pPr>
        <w:spacing w:before="120" w:after="120" w:line="240" w:lineRule="auto"/>
        <w:jc w:val="both"/>
        <w:rPr>
          <w:rFonts w:ascii="Times New Roman" w:hAnsi="Times New Roman"/>
          <w:noProof/>
        </w:rPr>
      </w:pPr>
      <w:r w:rsidRPr="00B555B3">
        <w:rPr>
          <w:rFonts w:ascii="Times New Roman" w:hAnsi="Times New Roman"/>
          <w:noProof/>
          <w:sz w:val="24"/>
          <w:szCs w:val="24"/>
        </w:rPr>
        <w:t xml:space="preserve">The objective of this investment is to boost – via a scheme managed by the Academy of Finland </w:t>
      </w:r>
      <w:r w:rsidRPr="002C1A9E">
        <w:rPr>
          <w:rFonts w:ascii="Times New Roman" w:hAnsi="Times New Roman"/>
          <w:noProof/>
          <w:sz w:val="24"/>
          <w:szCs w:val="24"/>
        </w:rPr>
        <w:t>–</w:t>
      </w:r>
      <w:r w:rsidRPr="00B555B3">
        <w:rPr>
          <w:rFonts w:ascii="Times New Roman" w:hAnsi="Times New Roman"/>
          <w:noProof/>
          <w:sz w:val="24"/>
          <w:szCs w:val="24"/>
        </w:rPr>
        <w:t xml:space="preserve"> RDI activities supporting the green transition.</w:t>
      </w:r>
      <w:r>
        <w:rPr>
          <w:rFonts w:ascii="Times New Roman" w:hAnsi="Times New Roman"/>
          <w:noProof/>
          <w:sz w:val="24"/>
          <w:szCs w:val="24"/>
        </w:rPr>
        <w:t xml:space="preserve"> </w:t>
      </w:r>
      <w:r w:rsidRPr="00D0136A">
        <w:rPr>
          <w:rFonts w:ascii="Times New Roman" w:hAnsi="Times New Roman"/>
          <w:noProof/>
          <w:sz w:val="24"/>
          <w:szCs w:val="24"/>
        </w:rPr>
        <w:t>The measure consists of supporting research clusters, increase the level of expertise, and supporting the renewal of business activities through RDI investments, with support provided to research organisations and the promotion of partnerships of RDI actors.</w:t>
      </w:r>
    </w:p>
    <w:p w14:paraId="16D6C736" w14:textId="77777777" w:rsidR="00935FC8" w:rsidRPr="00B555B3"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3 (P3C3I3): RDI funding package promoting the green transition – accelerating key sectors and strengthening competence (Business Finland)</w:t>
      </w:r>
    </w:p>
    <w:p w14:paraId="48A52CF2" w14:textId="77777777"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 xml:space="preserve">The objective of this investment is to boost – via scheme managed by Business Finland </w:t>
      </w:r>
      <w:r w:rsidRPr="002C1A9E">
        <w:rPr>
          <w:rFonts w:ascii="Times New Roman" w:hAnsi="Times New Roman"/>
          <w:noProof/>
          <w:sz w:val="24"/>
          <w:szCs w:val="24"/>
        </w:rPr>
        <w:t>–</w:t>
      </w:r>
      <w:r w:rsidRPr="00B555B3">
        <w:rPr>
          <w:rFonts w:ascii="Times New Roman" w:hAnsi="Times New Roman"/>
          <w:noProof/>
          <w:sz w:val="24"/>
          <w:szCs w:val="24"/>
        </w:rPr>
        <w:t xml:space="preserve"> RDI activities supporting the green transition.</w:t>
      </w:r>
      <w:r>
        <w:rPr>
          <w:rFonts w:ascii="Times New Roman" w:hAnsi="Times New Roman"/>
          <w:noProof/>
          <w:sz w:val="24"/>
          <w:szCs w:val="24"/>
        </w:rPr>
        <w:t xml:space="preserve"> </w:t>
      </w:r>
      <w:r w:rsidRPr="00D0136A">
        <w:rPr>
          <w:rFonts w:ascii="Times New Roman" w:hAnsi="Times New Roman"/>
          <w:noProof/>
          <w:sz w:val="24"/>
          <w:szCs w:val="24"/>
        </w:rPr>
        <w:t xml:space="preserve">The measure consists of supporting research clusters and the renewal of business activities through RDI investments, with support provided to research organisations and companies, and the promotion of partnerships of RDI actors. </w:t>
      </w:r>
    </w:p>
    <w:p w14:paraId="03BA20F3" w14:textId="5E991E05" w:rsidR="00935FC8" w:rsidRPr="00B555B3"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4 (P3C3I4): RDI funding package supporting the green transition – Supporting innovative growth companies</w:t>
      </w:r>
    </w:p>
    <w:p w14:paraId="168EC65F" w14:textId="77777777"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 xml:space="preserve">The objective of the investment is to increase small and medium enterprises’ investments in RDI to support their preparedness for the digital and green transition. </w:t>
      </w:r>
      <w:r w:rsidRPr="00D0136A">
        <w:rPr>
          <w:rFonts w:ascii="Times New Roman" w:hAnsi="Times New Roman"/>
          <w:noProof/>
          <w:sz w:val="24"/>
          <w:szCs w:val="24"/>
        </w:rPr>
        <w:t>The measure consists of providing targeted support to companies with high growth potential that develop solutions for the green transition.</w:t>
      </w:r>
    </w:p>
    <w:p w14:paraId="7E5CF7E9" w14:textId="77777777" w:rsidR="00935FC8" w:rsidRPr="00B555B3"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5 (P3C3I5): Promoting innovation and research infrastructure – Local research infrastructures</w:t>
      </w:r>
    </w:p>
    <w:p w14:paraId="4F9F97D6" w14:textId="77777777" w:rsidR="00935FC8" w:rsidRPr="00B555B3" w:rsidRDefault="00935FC8" w:rsidP="00A7081A">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 xml:space="preserve">The objective of this investment is to </w:t>
      </w:r>
      <w:r w:rsidRPr="00D0136A">
        <w:rPr>
          <w:rFonts w:ascii="Times New Roman" w:hAnsi="Times New Roman"/>
          <w:noProof/>
          <w:sz w:val="24"/>
          <w:szCs w:val="24"/>
        </w:rPr>
        <w:t xml:space="preserve">finance </w:t>
      </w:r>
      <w:bookmarkStart w:id="10" w:name="_Hlk212889528"/>
      <w:r w:rsidRPr="00D0136A">
        <w:rPr>
          <w:rFonts w:ascii="Times New Roman" w:hAnsi="Times New Roman"/>
          <w:noProof/>
          <w:sz w:val="24"/>
          <w:szCs w:val="24"/>
        </w:rPr>
        <w:t xml:space="preserve">the renewal </w:t>
      </w:r>
      <w:bookmarkEnd w:id="10"/>
      <w:r w:rsidRPr="00D0136A">
        <w:rPr>
          <w:rFonts w:ascii="Times New Roman" w:hAnsi="Times New Roman"/>
          <w:noProof/>
          <w:sz w:val="24"/>
          <w:szCs w:val="24"/>
        </w:rPr>
        <w:t>or construction</w:t>
      </w:r>
      <w:r w:rsidRPr="00B555B3">
        <w:rPr>
          <w:rFonts w:ascii="Times New Roman" w:hAnsi="Times New Roman"/>
          <w:noProof/>
          <w:sz w:val="24"/>
          <w:szCs w:val="24"/>
        </w:rPr>
        <w:t xml:space="preserve"> of local research infrastructures, with an </w:t>
      </w:r>
      <w:r w:rsidRPr="00D0136A">
        <w:rPr>
          <w:rFonts w:ascii="Times New Roman" w:hAnsi="Times New Roman"/>
          <w:noProof/>
          <w:sz w:val="24"/>
          <w:szCs w:val="24"/>
        </w:rPr>
        <w:t>emphasis on the green and digital transition.</w:t>
      </w:r>
      <w:r>
        <w:rPr>
          <w:rFonts w:ascii="Times New Roman" w:hAnsi="Times New Roman"/>
          <w:noProof/>
          <w:sz w:val="24"/>
          <w:szCs w:val="24"/>
        </w:rPr>
        <w:t xml:space="preserve"> </w:t>
      </w:r>
      <w:r w:rsidRPr="00D0136A">
        <w:rPr>
          <w:rFonts w:ascii="Times New Roman" w:hAnsi="Times New Roman"/>
          <w:noProof/>
          <w:sz w:val="24"/>
          <w:szCs w:val="24"/>
        </w:rPr>
        <w:t xml:space="preserve">The measure consists of providing financial support for the local research infrastructures. </w:t>
      </w:r>
    </w:p>
    <w:p w14:paraId="3890BFB0" w14:textId="3321899F" w:rsidR="00935FC8" w:rsidRPr="00B555B3"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6 (P3C3I6): Promoting innovation and research infrastructure – National research infrastructures</w:t>
      </w:r>
    </w:p>
    <w:p w14:paraId="24169FB3" w14:textId="77777777"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 xml:space="preserve">The objective of this investment is to </w:t>
      </w:r>
      <w:r w:rsidRPr="00D0136A">
        <w:rPr>
          <w:rFonts w:ascii="Times New Roman" w:hAnsi="Times New Roman"/>
          <w:noProof/>
          <w:sz w:val="24"/>
          <w:szCs w:val="24"/>
        </w:rPr>
        <w:t>finance the renewal or construction of</w:t>
      </w:r>
      <w:r w:rsidRPr="00B555B3">
        <w:rPr>
          <w:rFonts w:ascii="Times New Roman" w:hAnsi="Times New Roman"/>
          <w:noProof/>
          <w:sz w:val="24"/>
          <w:szCs w:val="24"/>
        </w:rPr>
        <w:t xml:space="preserve"> national research infrastructures with an emphasis on the green and digital transition.</w:t>
      </w:r>
      <w:r>
        <w:rPr>
          <w:rFonts w:ascii="Times New Roman" w:hAnsi="Times New Roman"/>
          <w:noProof/>
          <w:sz w:val="24"/>
          <w:szCs w:val="24"/>
        </w:rPr>
        <w:t xml:space="preserve"> </w:t>
      </w:r>
      <w:r w:rsidRPr="00D0136A">
        <w:rPr>
          <w:rFonts w:ascii="Times New Roman" w:hAnsi="Times New Roman"/>
          <w:noProof/>
          <w:sz w:val="24"/>
          <w:szCs w:val="24"/>
        </w:rPr>
        <w:t>The measure consists of providing financial support for the construction of national research infrastructures with a significant share allocated to digitalisation.</w:t>
      </w:r>
      <w:r w:rsidRPr="00B555B3">
        <w:rPr>
          <w:rFonts w:ascii="Times New Roman" w:hAnsi="Times New Roman"/>
          <w:noProof/>
          <w:sz w:val="24"/>
          <w:szCs w:val="24"/>
        </w:rPr>
        <w:t xml:space="preserve"> </w:t>
      </w:r>
    </w:p>
    <w:p w14:paraId="12F96AED" w14:textId="28A97081" w:rsidR="00935FC8" w:rsidRPr="00B555B3"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7 (P3C3I7): Promoting innovation and research infrastructure – competitive funding for innovation infrastructures</w:t>
      </w:r>
    </w:p>
    <w:p w14:paraId="0587B1DC" w14:textId="77777777" w:rsidR="00935FC8"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 xml:space="preserve">The objective of the investment is to support </w:t>
      </w:r>
      <w:r w:rsidRPr="00D0136A">
        <w:rPr>
          <w:rFonts w:ascii="Times New Roman" w:hAnsi="Times New Roman"/>
          <w:noProof/>
          <w:sz w:val="24"/>
          <w:szCs w:val="24"/>
        </w:rPr>
        <w:t>the creation of testing</w:t>
      </w:r>
      <w:r w:rsidRPr="00B555B3">
        <w:rPr>
          <w:rFonts w:ascii="Times New Roman" w:hAnsi="Times New Roman"/>
          <w:noProof/>
          <w:sz w:val="24"/>
          <w:szCs w:val="24"/>
        </w:rPr>
        <w:t xml:space="preserve"> environments for innovation with a focus on the green and digital transition. </w:t>
      </w:r>
      <w:r w:rsidRPr="00D0136A">
        <w:rPr>
          <w:rFonts w:ascii="Times New Roman" w:hAnsi="Times New Roman"/>
          <w:noProof/>
          <w:sz w:val="24"/>
          <w:szCs w:val="24"/>
        </w:rPr>
        <w:t xml:space="preserve">The measure consists of supporting the creation of environments for and testing of solutions </w:t>
      </w:r>
      <w:r w:rsidRPr="00D0136A">
        <w:rPr>
          <w:rFonts w:ascii="Times New Roman" w:eastAsia="Times New Roman" w:hAnsi="Times New Roman"/>
          <w:noProof/>
          <w:color w:val="000000"/>
          <w:sz w:val="24"/>
          <w:szCs w:val="24"/>
        </w:rPr>
        <w:t xml:space="preserve">that promote carbon neutrality and digitalisation </w:t>
      </w:r>
      <w:r w:rsidRPr="00D0136A">
        <w:rPr>
          <w:rFonts w:ascii="Times New Roman" w:hAnsi="Times New Roman"/>
          <w:noProof/>
          <w:sz w:val="24"/>
          <w:szCs w:val="24"/>
        </w:rPr>
        <w:t>in genuine user conditions</w:t>
      </w:r>
      <w:r>
        <w:rPr>
          <w:rFonts w:ascii="Times New Roman" w:hAnsi="Times New Roman"/>
          <w:noProof/>
          <w:sz w:val="24"/>
          <w:szCs w:val="24"/>
        </w:rPr>
        <w:t xml:space="preserve">. </w:t>
      </w:r>
      <w:r w:rsidRPr="00D0136A">
        <w:rPr>
          <w:rFonts w:ascii="Times New Roman" w:hAnsi="Times New Roman"/>
          <w:noProof/>
          <w:sz w:val="24"/>
          <w:szCs w:val="24"/>
        </w:rPr>
        <w:t>Such environments may include but are not limited to</w:t>
      </w:r>
      <w:r w:rsidRPr="00B555B3">
        <w:rPr>
          <w:rFonts w:ascii="Times New Roman" w:hAnsi="Times New Roman"/>
          <w:noProof/>
          <w:sz w:val="24"/>
          <w:szCs w:val="24"/>
        </w:rPr>
        <w:t xml:space="preserve"> different research infrastructures of cities, municipalities and other public actors, or innovation environments jointly built by companies and other actors.</w:t>
      </w:r>
    </w:p>
    <w:p w14:paraId="41BEFB65" w14:textId="77777777" w:rsidR="00935FC8" w:rsidRDefault="00935FC8">
      <w:pPr>
        <w:spacing w:after="0" w:line="240" w:lineRule="auto"/>
        <w:rPr>
          <w:rFonts w:ascii="Times New Roman" w:hAnsi="Times New Roman"/>
          <w:noProof/>
          <w:sz w:val="24"/>
        </w:rPr>
        <w:sectPr w:rsidR="00935FC8" w:rsidSect="00A7081A">
          <w:headerReference w:type="even" r:id="rId131"/>
          <w:headerReference w:type="default" r:id="rId132"/>
          <w:footerReference w:type="even" r:id="rId133"/>
          <w:footerReference w:type="default" r:id="rId134"/>
          <w:headerReference w:type="first" r:id="rId135"/>
          <w:footerReference w:type="first" r:id="rId136"/>
          <w:pgSz w:w="11907" w:h="16839" w:code="9"/>
          <w:pgMar w:top="1134" w:right="1134" w:bottom="1134" w:left="1134" w:header="567" w:footer="567" w:gutter="0"/>
          <w:cols w:space="720"/>
          <w:docGrid w:linePitch="360"/>
        </w:sectPr>
      </w:pPr>
    </w:p>
    <w:p w14:paraId="56BF2D8D" w14:textId="77777777" w:rsidR="00935FC8" w:rsidRPr="00B555B3" w:rsidRDefault="00935FC8" w:rsidP="00A7081A">
      <w:pPr>
        <w:spacing w:before="120" w:after="120" w:line="240" w:lineRule="auto"/>
        <w:rPr>
          <w:rFonts w:ascii="Times New Roman" w:hAnsi="Times New Roman"/>
          <w:b/>
          <w:bCs/>
          <w:noProof/>
          <w:sz w:val="24"/>
          <w:u w:val="single"/>
        </w:rPr>
      </w:pPr>
      <w:r w:rsidRPr="00B555B3">
        <w:rPr>
          <w:rFonts w:ascii="Times New Roman" w:hAnsi="Times New Roman"/>
          <w:b/>
          <w:bCs/>
          <w:noProof/>
          <w:sz w:val="24"/>
          <w:u w:val="single"/>
        </w:rPr>
        <w:t xml:space="preserve">K.2. </w:t>
      </w:r>
      <w:r w:rsidRPr="00B555B3">
        <w:rPr>
          <w:rFonts w:ascii="Times New Roman" w:hAnsi="Times New Roman"/>
          <w:b/>
          <w:noProof/>
          <w:sz w:val="24"/>
          <w:u w:val="single"/>
        </w:rPr>
        <w:tab/>
      </w:r>
      <w:r w:rsidRPr="00B555B3">
        <w:rPr>
          <w:rFonts w:ascii="Times New Roman" w:hAnsi="Times New Roman"/>
          <w:b/>
          <w:bCs/>
          <w:noProof/>
          <w:sz w:val="24"/>
          <w:u w:val="single"/>
        </w:rPr>
        <w:t>Milestones, targets, indicators, and timetable for monitoring and implementation for non-repayable financial support</w:t>
      </w:r>
    </w:p>
    <w:tbl>
      <w:tblPr>
        <w:tblW w:w="15701" w:type="dxa"/>
        <w:jc w:val="center"/>
        <w:tblLayout w:type="fixed"/>
        <w:tblLook w:val="04A0" w:firstRow="1" w:lastRow="0" w:firstColumn="1" w:lastColumn="0" w:noHBand="0" w:noVBand="1"/>
      </w:tblPr>
      <w:tblGrid>
        <w:gridCol w:w="988"/>
        <w:gridCol w:w="1804"/>
        <w:gridCol w:w="1163"/>
        <w:gridCol w:w="1662"/>
        <w:gridCol w:w="1891"/>
        <w:gridCol w:w="992"/>
        <w:gridCol w:w="993"/>
        <w:gridCol w:w="708"/>
        <w:gridCol w:w="993"/>
        <w:gridCol w:w="708"/>
        <w:gridCol w:w="3799"/>
      </w:tblGrid>
      <w:tr w:rsidR="00A7081A" w:rsidRPr="000318C2" w14:paraId="0002DA17" w14:textId="77777777" w:rsidTr="001B782A">
        <w:trPr>
          <w:trHeight w:val="740"/>
          <w:tblHeader/>
          <w:jc w:val="center"/>
        </w:trPr>
        <w:tc>
          <w:tcPr>
            <w:tcW w:w="98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F64DB4" w14:textId="77777777" w:rsidR="00935FC8" w:rsidRPr="000318C2" w:rsidRDefault="00935FC8" w:rsidP="00A7081A">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Number</w:t>
            </w:r>
          </w:p>
        </w:tc>
        <w:tc>
          <w:tcPr>
            <w:tcW w:w="18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0FCABA" w14:textId="288C49DC" w:rsidR="00935FC8" w:rsidRPr="000318C2" w:rsidRDefault="00935FC8" w:rsidP="00A7081A">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Measure</w:t>
            </w:r>
          </w:p>
        </w:tc>
        <w:tc>
          <w:tcPr>
            <w:tcW w:w="116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4E147B2" w14:textId="77777777" w:rsidR="00935FC8" w:rsidRPr="000318C2" w:rsidRDefault="00935FC8" w:rsidP="00A7081A">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Milestone / Target</w:t>
            </w:r>
          </w:p>
        </w:tc>
        <w:tc>
          <w:tcPr>
            <w:tcW w:w="16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883089" w14:textId="77777777" w:rsidR="00935FC8" w:rsidRPr="000318C2" w:rsidRDefault="00935FC8" w:rsidP="00A7081A">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Name</w:t>
            </w:r>
          </w:p>
        </w:tc>
        <w:tc>
          <w:tcPr>
            <w:tcW w:w="189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0BACC70" w14:textId="527768BD" w:rsidR="00935FC8" w:rsidRPr="000318C2" w:rsidRDefault="00935FC8" w:rsidP="000F3161">
            <w:pPr>
              <w:spacing w:after="0" w:line="240" w:lineRule="auto"/>
              <w:jc w:val="center"/>
              <w:rPr>
                <w:rFonts w:ascii="Times New Roman" w:eastAsia="Times New Roman" w:hAnsi="Times New Roman"/>
                <w:b/>
                <w:bCs/>
                <w:noProof/>
                <w:sz w:val="20"/>
                <w:szCs w:val="20"/>
                <w:lang w:eastAsia="en-GB"/>
              </w:rPr>
            </w:pPr>
            <w:r w:rsidRPr="000318C2">
              <w:rPr>
                <w:rFonts w:ascii="Times New Roman" w:eastAsia="Times New Roman" w:hAnsi="Times New Roman"/>
                <w:b/>
                <w:bCs/>
                <w:noProof/>
                <w:sz w:val="20"/>
                <w:szCs w:val="20"/>
                <w:lang w:eastAsia="en-GB"/>
              </w:rPr>
              <w:t>Qualitative indicators (for milestones)</w:t>
            </w:r>
          </w:p>
        </w:tc>
        <w:tc>
          <w:tcPr>
            <w:tcW w:w="269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BACC1F9" w14:textId="49F9F59F" w:rsidR="00935FC8" w:rsidRPr="000318C2" w:rsidRDefault="00935FC8" w:rsidP="000F3161">
            <w:pPr>
              <w:spacing w:after="0" w:line="240" w:lineRule="auto"/>
              <w:jc w:val="center"/>
              <w:rPr>
                <w:rFonts w:ascii="Times New Roman" w:eastAsia="Times New Roman" w:hAnsi="Times New Roman"/>
                <w:b/>
                <w:bCs/>
                <w:noProof/>
                <w:sz w:val="20"/>
                <w:szCs w:val="20"/>
                <w:lang w:eastAsia="en-GB"/>
              </w:rPr>
            </w:pPr>
            <w:r w:rsidRPr="000318C2">
              <w:rPr>
                <w:rFonts w:ascii="Times New Roman" w:eastAsia="Times New Roman" w:hAnsi="Times New Roman"/>
                <w:b/>
                <w:bCs/>
                <w:noProof/>
                <w:sz w:val="20"/>
                <w:szCs w:val="20"/>
                <w:lang w:eastAsia="en-GB"/>
              </w:rPr>
              <w:t>Quantitative indicators (for targets)</w:t>
            </w:r>
          </w:p>
        </w:tc>
        <w:tc>
          <w:tcPr>
            <w:tcW w:w="1701" w:type="dxa"/>
            <w:gridSpan w:val="2"/>
            <w:tcBorders>
              <w:top w:val="single" w:sz="4" w:space="0" w:color="auto"/>
              <w:left w:val="nil"/>
              <w:bottom w:val="single" w:sz="4" w:space="0" w:color="auto"/>
              <w:right w:val="single" w:sz="4" w:space="0" w:color="auto"/>
            </w:tcBorders>
            <w:shd w:val="clear" w:color="auto" w:fill="BDD7EE"/>
            <w:vAlign w:val="center"/>
            <w:hideMark/>
          </w:tcPr>
          <w:p w14:paraId="2D9A7587" w14:textId="563839BC" w:rsidR="00935FC8" w:rsidRPr="000318C2" w:rsidRDefault="00935FC8" w:rsidP="000F3161">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Indicative timeline</w:t>
            </w:r>
            <w:r w:rsidR="000F3161">
              <w:rPr>
                <w:rFonts w:ascii="Times New Roman" w:eastAsia="Times New Roman" w:hAnsi="Times New Roman"/>
                <w:b/>
                <w:noProof/>
                <w:sz w:val="20"/>
                <w:szCs w:val="20"/>
                <w:lang w:eastAsia="en-GB"/>
              </w:rPr>
              <w:t xml:space="preserve"> </w:t>
            </w:r>
            <w:r w:rsidRPr="000318C2">
              <w:rPr>
                <w:rFonts w:ascii="Times New Roman" w:eastAsia="Times New Roman" w:hAnsi="Times New Roman"/>
                <w:b/>
                <w:noProof/>
                <w:sz w:val="20"/>
                <w:szCs w:val="20"/>
                <w:lang w:eastAsia="en-GB"/>
              </w:rPr>
              <w:t>for completion</w:t>
            </w:r>
          </w:p>
        </w:tc>
        <w:tc>
          <w:tcPr>
            <w:tcW w:w="379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99B907D" w14:textId="77777777" w:rsidR="00935FC8" w:rsidRPr="000318C2" w:rsidRDefault="00935FC8" w:rsidP="00A7081A">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Description of each milestone and target</w:t>
            </w:r>
          </w:p>
        </w:tc>
      </w:tr>
      <w:tr w:rsidR="00A7081A" w:rsidRPr="000318C2" w14:paraId="7FD0A971" w14:textId="77777777" w:rsidTr="001B782A">
        <w:trPr>
          <w:trHeight w:val="519"/>
          <w:tblHeader/>
          <w:jc w:val="center"/>
        </w:trPr>
        <w:tc>
          <w:tcPr>
            <w:tcW w:w="988" w:type="dxa"/>
            <w:vMerge/>
            <w:tcBorders>
              <w:top w:val="single" w:sz="4" w:space="0" w:color="auto"/>
              <w:left w:val="single" w:sz="4" w:space="0" w:color="auto"/>
              <w:bottom w:val="single" w:sz="4" w:space="0" w:color="auto"/>
              <w:right w:val="single" w:sz="4" w:space="0" w:color="auto"/>
            </w:tcBorders>
            <w:vAlign w:val="center"/>
            <w:hideMark/>
          </w:tcPr>
          <w:p w14:paraId="08754D32" w14:textId="77777777" w:rsidR="00935FC8" w:rsidRPr="000318C2" w:rsidRDefault="00935FC8" w:rsidP="00A7081A">
            <w:pPr>
              <w:spacing w:after="0" w:line="240" w:lineRule="auto"/>
              <w:rPr>
                <w:rFonts w:ascii="Times New Roman" w:eastAsia="Times New Roman" w:hAnsi="Times New Roman"/>
                <w:b/>
                <w:noProof/>
                <w:sz w:val="20"/>
                <w:szCs w:val="20"/>
                <w:lang w:eastAsia="en-GB"/>
              </w:rPr>
            </w:pPr>
          </w:p>
        </w:tc>
        <w:tc>
          <w:tcPr>
            <w:tcW w:w="1804" w:type="dxa"/>
            <w:vMerge/>
            <w:tcBorders>
              <w:top w:val="single" w:sz="4" w:space="0" w:color="auto"/>
              <w:left w:val="single" w:sz="4" w:space="0" w:color="auto"/>
              <w:bottom w:val="single" w:sz="4" w:space="0" w:color="auto"/>
              <w:right w:val="single" w:sz="4" w:space="0" w:color="auto"/>
            </w:tcBorders>
            <w:vAlign w:val="center"/>
            <w:hideMark/>
          </w:tcPr>
          <w:p w14:paraId="171F2A6B" w14:textId="77777777" w:rsidR="00935FC8" w:rsidRPr="000318C2" w:rsidRDefault="00935FC8" w:rsidP="00A7081A">
            <w:pPr>
              <w:spacing w:after="0" w:line="240" w:lineRule="auto"/>
              <w:rPr>
                <w:rFonts w:ascii="Times New Roman" w:eastAsia="Times New Roman" w:hAnsi="Times New Roman"/>
                <w:b/>
                <w:noProof/>
                <w:sz w:val="20"/>
                <w:szCs w:val="20"/>
                <w:lang w:eastAsia="en-GB"/>
              </w:rPr>
            </w:pPr>
          </w:p>
        </w:tc>
        <w:tc>
          <w:tcPr>
            <w:tcW w:w="1163" w:type="dxa"/>
            <w:vMerge/>
            <w:tcBorders>
              <w:top w:val="single" w:sz="4" w:space="0" w:color="auto"/>
              <w:left w:val="single" w:sz="4" w:space="0" w:color="auto"/>
              <w:bottom w:val="single" w:sz="4" w:space="0" w:color="auto"/>
              <w:right w:val="single" w:sz="4" w:space="0" w:color="auto"/>
            </w:tcBorders>
            <w:vAlign w:val="center"/>
            <w:hideMark/>
          </w:tcPr>
          <w:p w14:paraId="21AB1579" w14:textId="77777777" w:rsidR="00935FC8" w:rsidRPr="000318C2" w:rsidRDefault="00935FC8" w:rsidP="00A7081A">
            <w:pPr>
              <w:spacing w:after="0" w:line="240" w:lineRule="auto"/>
              <w:rPr>
                <w:rFonts w:ascii="Times New Roman" w:eastAsia="Times New Roman" w:hAnsi="Times New Roman"/>
                <w:b/>
                <w:noProof/>
                <w:sz w:val="20"/>
                <w:szCs w:val="20"/>
                <w:lang w:eastAsia="en-GB"/>
              </w:rPr>
            </w:pPr>
          </w:p>
        </w:tc>
        <w:tc>
          <w:tcPr>
            <w:tcW w:w="1662" w:type="dxa"/>
            <w:vMerge/>
            <w:tcBorders>
              <w:top w:val="single" w:sz="4" w:space="0" w:color="auto"/>
              <w:left w:val="single" w:sz="4" w:space="0" w:color="auto"/>
              <w:bottom w:val="single" w:sz="4" w:space="0" w:color="auto"/>
              <w:right w:val="single" w:sz="4" w:space="0" w:color="auto"/>
            </w:tcBorders>
            <w:vAlign w:val="center"/>
            <w:hideMark/>
          </w:tcPr>
          <w:p w14:paraId="3B639215" w14:textId="77777777" w:rsidR="00935FC8" w:rsidRPr="000318C2" w:rsidRDefault="00935FC8" w:rsidP="00A7081A">
            <w:pPr>
              <w:spacing w:after="0" w:line="240" w:lineRule="auto"/>
              <w:rPr>
                <w:rFonts w:ascii="Times New Roman" w:eastAsia="Times New Roman" w:hAnsi="Times New Roman"/>
                <w:b/>
                <w:noProof/>
                <w:sz w:val="20"/>
                <w:szCs w:val="20"/>
                <w:lang w:eastAsia="en-GB"/>
              </w:rPr>
            </w:pPr>
          </w:p>
        </w:tc>
        <w:tc>
          <w:tcPr>
            <w:tcW w:w="1891" w:type="dxa"/>
            <w:vMerge/>
            <w:tcBorders>
              <w:top w:val="single" w:sz="4" w:space="0" w:color="auto"/>
              <w:left w:val="single" w:sz="4" w:space="0" w:color="auto"/>
              <w:bottom w:val="single" w:sz="4" w:space="0" w:color="auto"/>
              <w:right w:val="single" w:sz="4" w:space="0" w:color="auto"/>
            </w:tcBorders>
            <w:vAlign w:val="center"/>
            <w:hideMark/>
          </w:tcPr>
          <w:p w14:paraId="75E80246" w14:textId="77777777" w:rsidR="00935FC8" w:rsidRPr="000318C2" w:rsidRDefault="00935FC8" w:rsidP="00A7081A">
            <w:pPr>
              <w:spacing w:after="0" w:line="240" w:lineRule="auto"/>
              <w:rPr>
                <w:rFonts w:ascii="Times New Roman" w:eastAsia="Times New Roman" w:hAnsi="Times New Roman"/>
                <w:b/>
                <w:noProof/>
                <w:sz w:val="20"/>
                <w:szCs w:val="20"/>
                <w:lang w:eastAsia="en-GB"/>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0AC1EAE" w14:textId="77777777" w:rsidR="00935FC8" w:rsidRPr="000318C2" w:rsidRDefault="00935FC8" w:rsidP="00A7081A">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Unit</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621DEBD" w14:textId="77777777" w:rsidR="00935FC8" w:rsidRPr="000318C2" w:rsidRDefault="00935FC8" w:rsidP="00A7081A">
            <w:pPr>
              <w:spacing w:after="0" w:line="240" w:lineRule="auto"/>
              <w:jc w:val="center"/>
              <w:rPr>
                <w:rFonts w:ascii="Times New Roman" w:eastAsia="Times New Roman" w:hAnsi="Times New Roman"/>
                <w:b/>
                <w:bCs/>
                <w:noProof/>
                <w:sz w:val="20"/>
                <w:szCs w:val="20"/>
                <w:lang w:eastAsia="en-GB"/>
              </w:rPr>
            </w:pPr>
            <w:r w:rsidRPr="000318C2">
              <w:rPr>
                <w:rFonts w:ascii="Times New Roman" w:eastAsia="Times New Roman" w:hAnsi="Times New Roman"/>
                <w:b/>
                <w:bCs/>
                <w:noProof/>
                <w:sz w:val="20"/>
                <w:szCs w:val="20"/>
                <w:lang w:eastAsia="en-GB"/>
              </w:rPr>
              <w:t xml:space="preserve">Baseline </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6AD739" w14:textId="77777777" w:rsidR="00935FC8" w:rsidRPr="000318C2" w:rsidRDefault="00935FC8" w:rsidP="00A7081A">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 xml:space="preserve">Goal </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9CF6206" w14:textId="77777777" w:rsidR="00935FC8" w:rsidRPr="000318C2" w:rsidRDefault="00935FC8" w:rsidP="00A7081A">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Quarter</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3F0627D" w14:textId="77777777" w:rsidR="00935FC8" w:rsidRPr="000318C2" w:rsidRDefault="00935FC8" w:rsidP="00A7081A">
            <w:pPr>
              <w:spacing w:after="0" w:line="240" w:lineRule="auto"/>
              <w:jc w:val="center"/>
              <w:rPr>
                <w:rFonts w:ascii="Times New Roman" w:eastAsia="Times New Roman" w:hAnsi="Times New Roman"/>
                <w:b/>
                <w:noProof/>
                <w:sz w:val="20"/>
                <w:szCs w:val="20"/>
                <w:lang w:eastAsia="en-GB"/>
              </w:rPr>
            </w:pPr>
            <w:r w:rsidRPr="000318C2">
              <w:rPr>
                <w:rFonts w:ascii="Times New Roman" w:eastAsia="Times New Roman" w:hAnsi="Times New Roman"/>
                <w:b/>
                <w:noProof/>
                <w:sz w:val="20"/>
                <w:szCs w:val="20"/>
                <w:lang w:eastAsia="en-GB"/>
              </w:rPr>
              <w:t>Year</w:t>
            </w:r>
          </w:p>
        </w:tc>
        <w:tc>
          <w:tcPr>
            <w:tcW w:w="3799" w:type="dxa"/>
            <w:vMerge/>
            <w:tcBorders>
              <w:top w:val="single" w:sz="4" w:space="0" w:color="auto"/>
              <w:bottom w:val="single" w:sz="4" w:space="0" w:color="auto"/>
              <w:right w:val="single" w:sz="4" w:space="0" w:color="auto"/>
            </w:tcBorders>
            <w:vAlign w:val="center"/>
            <w:hideMark/>
          </w:tcPr>
          <w:p w14:paraId="27FF14E0" w14:textId="77777777" w:rsidR="00935FC8" w:rsidRPr="000318C2" w:rsidRDefault="00935FC8" w:rsidP="00A7081A">
            <w:pPr>
              <w:spacing w:after="0" w:line="240" w:lineRule="auto"/>
              <w:rPr>
                <w:rFonts w:ascii="Times New Roman" w:eastAsia="Times New Roman" w:hAnsi="Times New Roman"/>
                <w:b/>
                <w:noProof/>
                <w:sz w:val="20"/>
                <w:szCs w:val="20"/>
                <w:lang w:eastAsia="en-GB"/>
              </w:rPr>
            </w:pPr>
          </w:p>
        </w:tc>
      </w:tr>
      <w:tr w:rsidR="00A7081A" w:rsidRPr="000318C2" w14:paraId="4C2DE153" w14:textId="77777777" w:rsidTr="001B782A">
        <w:trPr>
          <w:trHeight w:val="309"/>
          <w:jc w:val="center"/>
        </w:trPr>
        <w:tc>
          <w:tcPr>
            <w:tcW w:w="988" w:type="dxa"/>
            <w:tcBorders>
              <w:top w:val="single" w:sz="4" w:space="0" w:color="auto"/>
              <w:left w:val="single" w:sz="4" w:space="0" w:color="auto"/>
              <w:bottom w:val="single" w:sz="4" w:space="0" w:color="auto"/>
              <w:right w:val="single" w:sz="4" w:space="0" w:color="auto"/>
            </w:tcBorders>
            <w:shd w:val="clear" w:color="auto" w:fill="C6EFCE"/>
            <w:noWrap/>
          </w:tcPr>
          <w:p w14:paraId="03014C9D"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100</w:t>
            </w:r>
          </w:p>
        </w:tc>
        <w:tc>
          <w:tcPr>
            <w:tcW w:w="1804" w:type="dxa"/>
            <w:tcBorders>
              <w:top w:val="single" w:sz="4" w:space="0" w:color="auto"/>
              <w:left w:val="nil"/>
              <w:bottom w:val="single" w:sz="4" w:space="0" w:color="auto"/>
              <w:right w:val="single" w:sz="4" w:space="0" w:color="auto"/>
            </w:tcBorders>
            <w:shd w:val="clear" w:color="auto" w:fill="C6EFCE"/>
            <w:noWrap/>
          </w:tcPr>
          <w:p w14:paraId="63E4E08D"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P3C3I1 - RDI, research infrastructure and piloting – RDI funding package promoting the green transition – Leading companies</w:t>
            </w:r>
          </w:p>
        </w:tc>
        <w:tc>
          <w:tcPr>
            <w:tcW w:w="1163" w:type="dxa"/>
            <w:tcBorders>
              <w:top w:val="single" w:sz="4" w:space="0" w:color="auto"/>
              <w:left w:val="nil"/>
              <w:bottom w:val="single" w:sz="4" w:space="0" w:color="auto"/>
              <w:right w:val="single" w:sz="4" w:space="0" w:color="auto"/>
            </w:tcBorders>
            <w:shd w:val="clear" w:color="auto" w:fill="C6EFCE"/>
            <w:noWrap/>
          </w:tcPr>
          <w:p w14:paraId="5E875FEF"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Milestone</w:t>
            </w:r>
          </w:p>
        </w:tc>
        <w:tc>
          <w:tcPr>
            <w:tcW w:w="1662" w:type="dxa"/>
            <w:tcBorders>
              <w:top w:val="single" w:sz="4" w:space="0" w:color="auto"/>
              <w:left w:val="nil"/>
              <w:bottom w:val="single" w:sz="4" w:space="0" w:color="auto"/>
              <w:right w:val="single" w:sz="4" w:space="0" w:color="auto"/>
            </w:tcBorders>
            <w:shd w:val="clear" w:color="auto" w:fill="C6EFCE"/>
            <w:noWrap/>
          </w:tcPr>
          <w:p w14:paraId="0A783516"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Publication of a call for applications for leading companies’ projects</w:t>
            </w:r>
          </w:p>
        </w:tc>
        <w:tc>
          <w:tcPr>
            <w:tcW w:w="1891" w:type="dxa"/>
            <w:tcBorders>
              <w:top w:val="single" w:sz="4" w:space="0" w:color="auto"/>
              <w:left w:val="nil"/>
              <w:bottom w:val="single" w:sz="4" w:space="0" w:color="auto"/>
              <w:right w:val="single" w:sz="4" w:space="0" w:color="auto"/>
            </w:tcBorders>
            <w:shd w:val="clear" w:color="auto" w:fill="C6EFCE"/>
            <w:noWrap/>
          </w:tcPr>
          <w:p w14:paraId="409937A0"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Publication of the call for applications by Business Finland</w:t>
            </w:r>
          </w:p>
        </w:tc>
        <w:tc>
          <w:tcPr>
            <w:tcW w:w="992" w:type="dxa"/>
            <w:tcBorders>
              <w:top w:val="single" w:sz="4" w:space="0" w:color="auto"/>
              <w:left w:val="nil"/>
              <w:bottom w:val="single" w:sz="4" w:space="0" w:color="auto"/>
              <w:right w:val="single" w:sz="4" w:space="0" w:color="auto"/>
            </w:tcBorders>
            <w:shd w:val="clear" w:color="auto" w:fill="C6EFCE"/>
            <w:noWrap/>
          </w:tcPr>
          <w:p w14:paraId="50F7DC86" w14:textId="5D129FAA"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tcPr>
          <w:p w14:paraId="4FD3F3FE" w14:textId="2E84127A" w:rsidR="00935FC8" w:rsidRPr="000318C2" w:rsidRDefault="00935FC8" w:rsidP="001B782A">
            <w:pPr>
              <w:spacing w:after="0" w:line="240" w:lineRule="auto"/>
              <w:jc w:val="center"/>
              <w:rPr>
                <w:rFonts w:ascii="Times New Roman" w:hAnsi="Times New Roman"/>
                <w:noProof/>
                <w:sz w:val="20"/>
                <w:szCs w:val="20"/>
              </w:rPr>
            </w:pPr>
          </w:p>
        </w:tc>
        <w:tc>
          <w:tcPr>
            <w:tcW w:w="708" w:type="dxa"/>
            <w:tcBorders>
              <w:top w:val="single" w:sz="4" w:space="0" w:color="auto"/>
              <w:left w:val="nil"/>
              <w:bottom w:val="single" w:sz="4" w:space="0" w:color="auto"/>
              <w:right w:val="single" w:sz="4" w:space="0" w:color="auto"/>
            </w:tcBorders>
            <w:shd w:val="clear" w:color="auto" w:fill="C6EFCE"/>
            <w:noWrap/>
          </w:tcPr>
          <w:p w14:paraId="11444605" w14:textId="1BC5A45F"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single" w:sz="4" w:space="0" w:color="auto"/>
              <w:left w:val="nil"/>
              <w:bottom w:val="single" w:sz="4" w:space="0" w:color="auto"/>
              <w:right w:val="single" w:sz="4" w:space="0" w:color="auto"/>
            </w:tcBorders>
            <w:shd w:val="clear" w:color="auto" w:fill="C6EFCE"/>
            <w:noWrap/>
          </w:tcPr>
          <w:p w14:paraId="033EF321"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Q2</w:t>
            </w:r>
          </w:p>
        </w:tc>
        <w:tc>
          <w:tcPr>
            <w:tcW w:w="708" w:type="dxa"/>
            <w:tcBorders>
              <w:top w:val="single" w:sz="4" w:space="0" w:color="auto"/>
              <w:left w:val="nil"/>
              <w:bottom w:val="single" w:sz="4" w:space="0" w:color="auto"/>
              <w:right w:val="single" w:sz="4" w:space="0" w:color="auto"/>
            </w:tcBorders>
            <w:shd w:val="clear" w:color="auto" w:fill="C6EFCE"/>
            <w:noWrap/>
          </w:tcPr>
          <w:p w14:paraId="2101ED24"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2022</w:t>
            </w:r>
          </w:p>
        </w:tc>
        <w:tc>
          <w:tcPr>
            <w:tcW w:w="3799" w:type="dxa"/>
            <w:tcBorders>
              <w:top w:val="single" w:sz="4" w:space="0" w:color="auto"/>
              <w:left w:val="nil"/>
              <w:bottom w:val="single" w:sz="4" w:space="0" w:color="auto"/>
              <w:right w:val="single" w:sz="4" w:space="0" w:color="auto"/>
            </w:tcBorders>
            <w:shd w:val="clear" w:color="auto" w:fill="C6EFCE"/>
            <w:noWrap/>
          </w:tcPr>
          <w:p w14:paraId="61F341BD"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Business Finland shall launch a call for applications for leading companies’ projects. The eligibility/selection criteria shall require that research is targeted at the low-carbon economy and climate change adaptation and resilience according to intervention field 022 in Annex VI of the RRF Regulation. The eligibility criteria shall also ensure that the selected projects comply with the ‘Do no significant harm’ Technical Guidance (2021/C58/01) through the use of an exclusion list and the requirement of compliance with the relevant EU and national environmental legislation. Projects promoting the use of fossil fuels shall not be funded. A project proposed by a company covered by the EU Emissions Trading System (ETS) may only be financed if it significantly reduces greenhouse gas emissions.</w:t>
            </w:r>
          </w:p>
        </w:tc>
      </w:tr>
      <w:tr w:rsidR="00A7081A" w:rsidRPr="000318C2" w14:paraId="56735237"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172A1C0D"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101</w:t>
            </w:r>
          </w:p>
        </w:tc>
        <w:tc>
          <w:tcPr>
            <w:tcW w:w="1804" w:type="dxa"/>
            <w:tcBorders>
              <w:top w:val="nil"/>
              <w:left w:val="nil"/>
              <w:bottom w:val="single" w:sz="4" w:space="0" w:color="auto"/>
              <w:right w:val="single" w:sz="4" w:space="0" w:color="auto"/>
            </w:tcBorders>
            <w:shd w:val="clear" w:color="auto" w:fill="C6EFCE"/>
            <w:noWrap/>
          </w:tcPr>
          <w:p w14:paraId="4582CB9B"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w:t>
            </w:r>
            <w:r w:rsidRPr="000318C2">
              <w:rPr>
                <w:rFonts w:ascii="Times New Roman" w:eastAsia="Times New Roman" w:hAnsi="Times New Roman"/>
                <w:noProof/>
                <w:sz w:val="20"/>
                <w:szCs w:val="20"/>
              </w:rPr>
              <w:t xml:space="preserve">1 - </w:t>
            </w:r>
            <w:r w:rsidRPr="000318C2">
              <w:rPr>
                <w:rFonts w:ascii="Times New Roman" w:hAnsi="Times New Roman"/>
                <w:noProof/>
                <w:sz w:val="20"/>
                <w:szCs w:val="20"/>
              </w:rPr>
              <w:t>RDI, research infrastructure and piloting – RDI funding package promoting the green transition – Leading companies</w:t>
            </w:r>
          </w:p>
        </w:tc>
        <w:tc>
          <w:tcPr>
            <w:tcW w:w="1163" w:type="dxa"/>
            <w:tcBorders>
              <w:top w:val="nil"/>
              <w:left w:val="nil"/>
              <w:bottom w:val="single" w:sz="4" w:space="0" w:color="auto"/>
              <w:right w:val="single" w:sz="4" w:space="0" w:color="auto"/>
            </w:tcBorders>
            <w:shd w:val="clear" w:color="auto" w:fill="C6EFCE"/>
            <w:noWrap/>
          </w:tcPr>
          <w:p w14:paraId="45C9CB94"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Target</w:t>
            </w:r>
          </w:p>
        </w:tc>
        <w:tc>
          <w:tcPr>
            <w:tcW w:w="1662" w:type="dxa"/>
            <w:tcBorders>
              <w:top w:val="nil"/>
              <w:left w:val="nil"/>
              <w:bottom w:val="single" w:sz="4" w:space="0" w:color="auto"/>
              <w:right w:val="single" w:sz="4" w:space="0" w:color="auto"/>
            </w:tcBorders>
            <w:shd w:val="clear" w:color="auto" w:fill="C6EFCE"/>
            <w:noWrap/>
          </w:tcPr>
          <w:p w14:paraId="6993D789"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Award of grants for leading companies’ projects</w:t>
            </w:r>
          </w:p>
        </w:tc>
        <w:tc>
          <w:tcPr>
            <w:tcW w:w="1891" w:type="dxa"/>
            <w:tcBorders>
              <w:top w:val="nil"/>
              <w:left w:val="nil"/>
              <w:bottom w:val="single" w:sz="4" w:space="0" w:color="auto"/>
              <w:right w:val="single" w:sz="4" w:space="0" w:color="auto"/>
            </w:tcBorders>
            <w:shd w:val="clear" w:color="auto" w:fill="C6EFCE"/>
            <w:noWrap/>
          </w:tcPr>
          <w:p w14:paraId="67C09CC0"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w:t>
            </w:r>
          </w:p>
        </w:tc>
        <w:tc>
          <w:tcPr>
            <w:tcW w:w="992" w:type="dxa"/>
            <w:tcBorders>
              <w:top w:val="nil"/>
              <w:left w:val="nil"/>
              <w:bottom w:val="single" w:sz="4" w:space="0" w:color="auto"/>
              <w:right w:val="single" w:sz="4" w:space="0" w:color="auto"/>
            </w:tcBorders>
            <w:shd w:val="clear" w:color="auto" w:fill="C6EFCE"/>
            <w:noWrap/>
          </w:tcPr>
          <w:p w14:paraId="634A66DC"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Number</w:t>
            </w:r>
          </w:p>
        </w:tc>
        <w:tc>
          <w:tcPr>
            <w:tcW w:w="993" w:type="dxa"/>
            <w:tcBorders>
              <w:top w:val="nil"/>
              <w:left w:val="nil"/>
              <w:bottom w:val="single" w:sz="4" w:space="0" w:color="auto"/>
              <w:right w:val="single" w:sz="4" w:space="0" w:color="auto"/>
            </w:tcBorders>
            <w:shd w:val="clear" w:color="auto" w:fill="C6EFCE"/>
            <w:noWrap/>
          </w:tcPr>
          <w:p w14:paraId="38590274"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0</w:t>
            </w:r>
          </w:p>
        </w:tc>
        <w:tc>
          <w:tcPr>
            <w:tcW w:w="708" w:type="dxa"/>
            <w:tcBorders>
              <w:top w:val="nil"/>
              <w:left w:val="nil"/>
              <w:bottom w:val="single" w:sz="4" w:space="0" w:color="auto"/>
              <w:right w:val="single" w:sz="4" w:space="0" w:color="auto"/>
            </w:tcBorders>
            <w:shd w:val="clear" w:color="auto" w:fill="C6EFCE"/>
            <w:noWrap/>
          </w:tcPr>
          <w:p w14:paraId="49BFF1A2"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5</w:t>
            </w:r>
          </w:p>
        </w:tc>
        <w:tc>
          <w:tcPr>
            <w:tcW w:w="993" w:type="dxa"/>
            <w:tcBorders>
              <w:top w:val="nil"/>
              <w:left w:val="nil"/>
              <w:bottom w:val="single" w:sz="4" w:space="0" w:color="auto"/>
              <w:right w:val="single" w:sz="4" w:space="0" w:color="auto"/>
            </w:tcBorders>
            <w:shd w:val="clear" w:color="auto" w:fill="C6EFCE"/>
            <w:noWrap/>
          </w:tcPr>
          <w:p w14:paraId="63A5B75B"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Q4</w:t>
            </w:r>
          </w:p>
        </w:tc>
        <w:tc>
          <w:tcPr>
            <w:tcW w:w="708" w:type="dxa"/>
            <w:tcBorders>
              <w:top w:val="nil"/>
              <w:left w:val="nil"/>
              <w:bottom w:val="single" w:sz="4" w:space="0" w:color="auto"/>
              <w:right w:val="single" w:sz="4" w:space="0" w:color="auto"/>
            </w:tcBorders>
            <w:shd w:val="clear" w:color="auto" w:fill="C6EFCE"/>
            <w:noWrap/>
          </w:tcPr>
          <w:p w14:paraId="6778004A"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2023</w:t>
            </w:r>
          </w:p>
        </w:tc>
        <w:tc>
          <w:tcPr>
            <w:tcW w:w="3799" w:type="dxa"/>
            <w:tcBorders>
              <w:top w:val="nil"/>
              <w:left w:val="nil"/>
              <w:bottom w:val="single" w:sz="4" w:space="0" w:color="auto"/>
              <w:right w:val="single" w:sz="4" w:space="0" w:color="auto"/>
            </w:tcBorders>
            <w:shd w:val="clear" w:color="auto" w:fill="C6EFCE"/>
            <w:noWrap/>
          </w:tcPr>
          <w:p w14:paraId="01AFF5BF"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xml:space="preserve">Notification by Business Finland of the award of at least 5 grants for leading companies’ projects selected in accordance with the eligibility/selection criteria specified in milestone 100. </w:t>
            </w:r>
          </w:p>
        </w:tc>
      </w:tr>
      <w:tr w:rsidR="00A7081A" w:rsidRPr="000318C2" w14:paraId="2E627287"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125D9CF"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102</w:t>
            </w:r>
          </w:p>
        </w:tc>
        <w:tc>
          <w:tcPr>
            <w:tcW w:w="1804" w:type="dxa"/>
            <w:tcBorders>
              <w:top w:val="single" w:sz="4" w:space="0" w:color="auto"/>
              <w:left w:val="nil"/>
              <w:bottom w:val="single" w:sz="4" w:space="0" w:color="auto"/>
              <w:right w:val="single" w:sz="4" w:space="0" w:color="auto"/>
            </w:tcBorders>
            <w:shd w:val="clear" w:color="auto" w:fill="C6EFCE"/>
            <w:noWrap/>
          </w:tcPr>
          <w:p w14:paraId="44218BCD"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w:t>
            </w:r>
            <w:r w:rsidRPr="000318C2">
              <w:rPr>
                <w:rFonts w:ascii="Times New Roman" w:eastAsia="Times New Roman" w:hAnsi="Times New Roman"/>
                <w:noProof/>
                <w:sz w:val="20"/>
                <w:szCs w:val="20"/>
              </w:rPr>
              <w:t xml:space="preserve">1 - </w:t>
            </w:r>
            <w:r w:rsidRPr="000318C2">
              <w:rPr>
                <w:rFonts w:ascii="Times New Roman" w:hAnsi="Times New Roman"/>
                <w:noProof/>
                <w:sz w:val="20"/>
                <w:szCs w:val="20"/>
              </w:rPr>
              <w:t>RDI, research infrastructure and piloting – RDI funding package promoting the green transition – Leading companies</w:t>
            </w:r>
          </w:p>
        </w:tc>
        <w:tc>
          <w:tcPr>
            <w:tcW w:w="1163" w:type="dxa"/>
            <w:tcBorders>
              <w:top w:val="nil"/>
              <w:left w:val="nil"/>
              <w:bottom w:val="single" w:sz="4" w:space="0" w:color="auto"/>
              <w:right w:val="single" w:sz="4" w:space="0" w:color="auto"/>
            </w:tcBorders>
            <w:shd w:val="clear" w:color="auto" w:fill="C6EFCE"/>
            <w:noWrap/>
          </w:tcPr>
          <w:p w14:paraId="55FD1AC0"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Milestone</w:t>
            </w:r>
          </w:p>
        </w:tc>
        <w:tc>
          <w:tcPr>
            <w:tcW w:w="1662" w:type="dxa"/>
            <w:tcBorders>
              <w:top w:val="nil"/>
              <w:left w:val="nil"/>
              <w:bottom w:val="single" w:sz="4" w:space="0" w:color="auto"/>
              <w:right w:val="single" w:sz="4" w:space="0" w:color="auto"/>
            </w:tcBorders>
            <w:shd w:val="clear" w:color="auto" w:fill="C6EFCE"/>
            <w:noWrap/>
          </w:tcPr>
          <w:p w14:paraId="69F82B70"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submitted</w:t>
            </w:r>
          </w:p>
        </w:tc>
        <w:tc>
          <w:tcPr>
            <w:tcW w:w="1891" w:type="dxa"/>
            <w:tcBorders>
              <w:top w:val="nil"/>
              <w:left w:val="nil"/>
              <w:bottom w:val="single" w:sz="4" w:space="0" w:color="auto"/>
              <w:right w:val="single" w:sz="4" w:space="0" w:color="auto"/>
            </w:tcBorders>
            <w:shd w:val="clear" w:color="auto" w:fill="C6EFCE"/>
            <w:noWrap/>
          </w:tcPr>
          <w:p w14:paraId="70A752E8" w14:textId="77777777" w:rsidR="00935FC8" w:rsidRPr="000318C2" w:rsidRDefault="00935FC8" w:rsidP="00A7081A">
            <w:pPr>
              <w:spacing w:after="0" w:line="240" w:lineRule="auto"/>
              <w:rPr>
                <w:rFonts w:ascii="Times New Roman" w:hAnsi="Times New Roman"/>
                <w:noProof/>
                <w:sz w:val="20"/>
                <w:szCs w:val="20"/>
              </w:rPr>
            </w:pPr>
          </w:p>
        </w:tc>
        <w:tc>
          <w:tcPr>
            <w:tcW w:w="992" w:type="dxa"/>
            <w:tcBorders>
              <w:top w:val="nil"/>
              <w:left w:val="nil"/>
              <w:bottom w:val="single" w:sz="4" w:space="0" w:color="auto"/>
              <w:right w:val="single" w:sz="4" w:space="0" w:color="auto"/>
            </w:tcBorders>
            <w:shd w:val="clear" w:color="auto" w:fill="C6EFCE"/>
            <w:noWrap/>
          </w:tcPr>
          <w:p w14:paraId="5E248BB6"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3B10A1A7" w14:textId="77777777" w:rsidR="00935FC8" w:rsidRPr="000318C2" w:rsidRDefault="00935FC8" w:rsidP="001B782A">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08166A06"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5EEE204D"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Q2</w:t>
            </w:r>
          </w:p>
        </w:tc>
        <w:tc>
          <w:tcPr>
            <w:tcW w:w="708" w:type="dxa"/>
            <w:tcBorders>
              <w:top w:val="nil"/>
              <w:left w:val="nil"/>
              <w:bottom w:val="single" w:sz="4" w:space="0" w:color="auto"/>
              <w:right w:val="single" w:sz="4" w:space="0" w:color="auto"/>
            </w:tcBorders>
            <w:shd w:val="clear" w:color="auto" w:fill="C6EFCE"/>
            <w:noWrap/>
          </w:tcPr>
          <w:p w14:paraId="705A05AF"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2026</w:t>
            </w:r>
          </w:p>
        </w:tc>
        <w:tc>
          <w:tcPr>
            <w:tcW w:w="3799" w:type="dxa"/>
            <w:tcBorders>
              <w:top w:val="nil"/>
              <w:left w:val="nil"/>
              <w:bottom w:val="single" w:sz="4" w:space="0" w:color="auto"/>
              <w:right w:val="single" w:sz="4" w:space="0" w:color="auto"/>
            </w:tcBorders>
            <w:shd w:val="clear" w:color="auto" w:fill="C6EFCE"/>
            <w:noWrap/>
          </w:tcPr>
          <w:p w14:paraId="4898F100" w14:textId="77777777" w:rsidR="00935FC8" w:rsidRPr="000318C2" w:rsidRDefault="00935FC8" w:rsidP="00A7081A">
            <w:pPr>
              <w:spacing w:after="0" w:line="240" w:lineRule="auto"/>
              <w:rPr>
                <w:rFonts w:ascii="Times New Roman" w:hAnsi="Times New Roman"/>
                <w:noProof/>
                <w:sz w:val="20"/>
                <w:szCs w:val="20"/>
              </w:rPr>
            </w:pPr>
            <w:bookmarkStart w:id="11" w:name="_Hlk212116058"/>
            <w:r w:rsidRPr="000318C2">
              <w:rPr>
                <w:rFonts w:ascii="Times New Roman" w:hAnsi="Times New Roman"/>
                <w:noProof/>
                <w:sz w:val="20"/>
                <w:szCs w:val="20"/>
              </w:rPr>
              <w:t>Project reports shall be submitted by recipient entities relating to projects cumulatively awarded at least EUR 90 000 000</w:t>
            </w:r>
            <w:bookmarkEnd w:id="11"/>
            <w:r w:rsidRPr="000318C2">
              <w:rPr>
                <w:rFonts w:ascii="Times New Roman" w:hAnsi="Times New Roman"/>
                <w:noProof/>
                <w:sz w:val="20"/>
                <w:szCs w:val="20"/>
              </w:rPr>
              <w:t>.</w:t>
            </w:r>
          </w:p>
        </w:tc>
      </w:tr>
      <w:tr w:rsidR="00A7081A" w:rsidRPr="000318C2" w14:paraId="6ED43FEC"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11D0839B"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103</w:t>
            </w:r>
          </w:p>
        </w:tc>
        <w:tc>
          <w:tcPr>
            <w:tcW w:w="1804" w:type="dxa"/>
            <w:tcBorders>
              <w:top w:val="single" w:sz="4" w:space="0" w:color="auto"/>
              <w:left w:val="nil"/>
              <w:bottom w:val="single" w:sz="4" w:space="0" w:color="auto"/>
              <w:right w:val="single" w:sz="4" w:space="0" w:color="auto"/>
            </w:tcBorders>
            <w:shd w:val="clear" w:color="auto" w:fill="C6EFCE"/>
            <w:noWrap/>
          </w:tcPr>
          <w:p w14:paraId="07558DA1"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themeColor="text1"/>
                <w:sz w:val="20"/>
                <w:szCs w:val="20"/>
              </w:rPr>
              <w:t>P3C3I</w:t>
            </w:r>
            <w:r w:rsidRPr="000318C2">
              <w:rPr>
                <w:rFonts w:ascii="Times New Roman" w:eastAsia="Times New Roman" w:hAnsi="Times New Roman"/>
                <w:noProof/>
                <w:sz w:val="20"/>
                <w:szCs w:val="20"/>
              </w:rPr>
              <w:t xml:space="preserve">2 - </w:t>
            </w:r>
            <w:r w:rsidRPr="000318C2">
              <w:rPr>
                <w:rFonts w:ascii="Times New Roman" w:hAnsi="Times New Roman"/>
                <w:noProof/>
                <w:sz w:val="20"/>
                <w:szCs w:val="20"/>
              </w:rPr>
              <w:t>RDI, research infrastructure and piloting – RDI funding package supporting the green transition – accelerating key sectors and strengthening competence (Academy of Finland)</w:t>
            </w:r>
          </w:p>
        </w:tc>
        <w:tc>
          <w:tcPr>
            <w:tcW w:w="1163" w:type="dxa"/>
            <w:tcBorders>
              <w:top w:val="nil"/>
              <w:left w:val="nil"/>
              <w:bottom w:val="single" w:sz="4" w:space="0" w:color="auto"/>
              <w:right w:val="single" w:sz="4" w:space="0" w:color="auto"/>
            </w:tcBorders>
            <w:shd w:val="clear" w:color="auto" w:fill="C6EFCE"/>
            <w:noWrap/>
          </w:tcPr>
          <w:p w14:paraId="7827156E"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Milestone</w:t>
            </w:r>
          </w:p>
        </w:tc>
        <w:tc>
          <w:tcPr>
            <w:tcW w:w="1662" w:type="dxa"/>
            <w:tcBorders>
              <w:top w:val="single" w:sz="4" w:space="0" w:color="auto"/>
              <w:left w:val="nil"/>
              <w:bottom w:val="single" w:sz="4" w:space="0" w:color="auto"/>
              <w:right w:val="single" w:sz="4" w:space="0" w:color="auto"/>
            </w:tcBorders>
            <w:shd w:val="clear" w:color="auto" w:fill="C6EFCE"/>
            <w:noWrap/>
          </w:tcPr>
          <w:p w14:paraId="0E6E02CB"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xml:space="preserve">Publication by the Academy of Finland of a first call for applications for research projects aiming to increase competences in key sectors </w:t>
            </w:r>
          </w:p>
        </w:tc>
        <w:tc>
          <w:tcPr>
            <w:tcW w:w="1891" w:type="dxa"/>
            <w:tcBorders>
              <w:top w:val="nil"/>
              <w:left w:val="nil"/>
              <w:bottom w:val="single" w:sz="4" w:space="0" w:color="auto"/>
              <w:right w:val="single" w:sz="4" w:space="0" w:color="auto"/>
            </w:tcBorders>
            <w:shd w:val="clear" w:color="auto" w:fill="C6EFCE"/>
            <w:noWrap/>
          </w:tcPr>
          <w:p w14:paraId="2D6DD387"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Publication of the first call for applications by the Academy of Finland</w:t>
            </w:r>
          </w:p>
        </w:tc>
        <w:tc>
          <w:tcPr>
            <w:tcW w:w="992" w:type="dxa"/>
            <w:tcBorders>
              <w:top w:val="nil"/>
              <w:left w:val="nil"/>
              <w:bottom w:val="single" w:sz="4" w:space="0" w:color="auto"/>
              <w:right w:val="single" w:sz="4" w:space="0" w:color="auto"/>
            </w:tcBorders>
            <w:shd w:val="clear" w:color="auto" w:fill="C6EFCE"/>
            <w:noWrap/>
          </w:tcPr>
          <w:p w14:paraId="6958BB35" w14:textId="7F86F809"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0C12BFF1" w14:textId="77E66ABA" w:rsidR="00935FC8" w:rsidRPr="000318C2" w:rsidRDefault="00935FC8" w:rsidP="001B782A">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465A324E" w14:textId="5D994C5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0D48A531"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Q4</w:t>
            </w:r>
          </w:p>
        </w:tc>
        <w:tc>
          <w:tcPr>
            <w:tcW w:w="708" w:type="dxa"/>
            <w:tcBorders>
              <w:top w:val="nil"/>
              <w:left w:val="nil"/>
              <w:bottom w:val="single" w:sz="4" w:space="0" w:color="auto"/>
              <w:right w:val="single" w:sz="4" w:space="0" w:color="auto"/>
            </w:tcBorders>
            <w:shd w:val="clear" w:color="auto" w:fill="C6EFCE"/>
            <w:noWrap/>
          </w:tcPr>
          <w:p w14:paraId="36F60DE3"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2021</w:t>
            </w:r>
          </w:p>
        </w:tc>
        <w:tc>
          <w:tcPr>
            <w:tcW w:w="3799" w:type="dxa"/>
            <w:tcBorders>
              <w:top w:val="nil"/>
              <w:left w:val="nil"/>
              <w:bottom w:val="single" w:sz="4" w:space="0" w:color="auto"/>
              <w:right w:val="single" w:sz="4" w:space="0" w:color="auto"/>
            </w:tcBorders>
            <w:shd w:val="clear" w:color="auto" w:fill="C6EFCE"/>
            <w:noWrap/>
          </w:tcPr>
          <w:p w14:paraId="187F8313"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xml:space="preserve">Academy of Finland shall launch a first call for applications for research funding </w:t>
            </w:r>
            <w:r w:rsidRPr="000318C2">
              <w:rPr>
                <w:rFonts w:ascii="Times New Roman" w:eastAsia="Times New Roman" w:hAnsi="Times New Roman"/>
                <w:noProof/>
                <w:sz w:val="20"/>
                <w:szCs w:val="20"/>
              </w:rPr>
              <w:t>focusing on the key sectors and technologies of the green transition in order to promote use and sharing of know-how and to improve the quality and effectiveness of partnerships and ecosystems. The eligibility/selection criteria shall require that research is targeted at the low-carbon economy and climate change adaptation and resilience according to intervention field 022 in Annex VI of the RRF Regulation. The scheme shall be cutting across all branches of science and sectors including hydrogen economy, high-value bioproducts and emission-free energy systems and competences in data analysis and social sciences. The eligibility criteria shall also ensure that the selected projects comply with the ‘Do no significant harm’ Technical Guidance (2021/C58/01) through the use of an exclusion list and the requirement of compliance with the relevant EU and national environmental legislation.</w:t>
            </w:r>
          </w:p>
        </w:tc>
      </w:tr>
      <w:tr w:rsidR="00A7081A" w:rsidRPr="000318C2" w14:paraId="3CBD19ED"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5FA540A3"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104</w:t>
            </w:r>
          </w:p>
        </w:tc>
        <w:tc>
          <w:tcPr>
            <w:tcW w:w="1804" w:type="dxa"/>
            <w:tcBorders>
              <w:top w:val="nil"/>
              <w:left w:val="nil"/>
              <w:bottom w:val="single" w:sz="4" w:space="0" w:color="auto"/>
              <w:right w:val="single" w:sz="4" w:space="0" w:color="auto"/>
            </w:tcBorders>
            <w:shd w:val="clear" w:color="auto" w:fill="C6EFCE"/>
            <w:noWrap/>
          </w:tcPr>
          <w:p w14:paraId="61AD8973"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w:t>
            </w:r>
            <w:r w:rsidRPr="000318C2">
              <w:rPr>
                <w:rFonts w:ascii="Times New Roman" w:eastAsia="Times New Roman" w:hAnsi="Times New Roman"/>
                <w:noProof/>
                <w:sz w:val="20"/>
                <w:szCs w:val="20"/>
              </w:rPr>
              <w:t>2 -</w:t>
            </w:r>
            <w:r w:rsidRPr="000318C2">
              <w:rPr>
                <w:rFonts w:ascii="Times New Roman" w:hAnsi="Times New Roman"/>
                <w:noProof/>
                <w:sz w:val="20"/>
                <w:szCs w:val="20"/>
              </w:rPr>
              <w:t xml:space="preserve"> RDI, research infrastructure and piloting – RDI funding package supporting the green transition – accelerating key sectors and strengthening competence (Academy of Finland)</w:t>
            </w:r>
          </w:p>
        </w:tc>
        <w:tc>
          <w:tcPr>
            <w:tcW w:w="1163" w:type="dxa"/>
            <w:tcBorders>
              <w:top w:val="nil"/>
              <w:left w:val="nil"/>
              <w:bottom w:val="single" w:sz="4" w:space="0" w:color="auto"/>
              <w:right w:val="single" w:sz="4" w:space="0" w:color="auto"/>
            </w:tcBorders>
            <w:shd w:val="clear" w:color="auto" w:fill="C6EFCE"/>
            <w:noWrap/>
          </w:tcPr>
          <w:p w14:paraId="597EF19E"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Target</w:t>
            </w:r>
          </w:p>
        </w:tc>
        <w:tc>
          <w:tcPr>
            <w:tcW w:w="1662" w:type="dxa"/>
            <w:tcBorders>
              <w:top w:val="nil"/>
              <w:left w:val="nil"/>
              <w:bottom w:val="single" w:sz="4" w:space="0" w:color="auto"/>
              <w:right w:val="single" w:sz="4" w:space="0" w:color="auto"/>
            </w:tcBorders>
            <w:shd w:val="clear" w:color="auto" w:fill="C6EFCE"/>
            <w:noWrap/>
          </w:tcPr>
          <w:p w14:paraId="7608295D"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Award by the Academy of Finland of grants for research projects aiming at increasing competences in key sectors</w:t>
            </w:r>
          </w:p>
        </w:tc>
        <w:tc>
          <w:tcPr>
            <w:tcW w:w="1891" w:type="dxa"/>
            <w:tcBorders>
              <w:top w:val="nil"/>
              <w:left w:val="nil"/>
              <w:bottom w:val="single" w:sz="4" w:space="0" w:color="auto"/>
              <w:right w:val="single" w:sz="4" w:space="0" w:color="auto"/>
            </w:tcBorders>
            <w:shd w:val="clear" w:color="auto" w:fill="C6EFCE"/>
            <w:noWrap/>
          </w:tcPr>
          <w:p w14:paraId="3227D55D"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w:t>
            </w:r>
          </w:p>
        </w:tc>
        <w:tc>
          <w:tcPr>
            <w:tcW w:w="992" w:type="dxa"/>
            <w:tcBorders>
              <w:top w:val="nil"/>
              <w:left w:val="nil"/>
              <w:bottom w:val="single" w:sz="4" w:space="0" w:color="auto"/>
              <w:right w:val="single" w:sz="4" w:space="0" w:color="auto"/>
            </w:tcBorders>
            <w:shd w:val="clear" w:color="auto" w:fill="C6EFCE"/>
            <w:noWrap/>
          </w:tcPr>
          <w:p w14:paraId="3D311EF0"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Number</w:t>
            </w:r>
          </w:p>
        </w:tc>
        <w:tc>
          <w:tcPr>
            <w:tcW w:w="993" w:type="dxa"/>
            <w:tcBorders>
              <w:top w:val="nil"/>
              <w:left w:val="nil"/>
              <w:bottom w:val="single" w:sz="4" w:space="0" w:color="auto"/>
              <w:right w:val="single" w:sz="4" w:space="0" w:color="auto"/>
            </w:tcBorders>
            <w:shd w:val="clear" w:color="auto" w:fill="C6EFCE"/>
            <w:noWrap/>
          </w:tcPr>
          <w:p w14:paraId="207CA1F9"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0</w:t>
            </w:r>
          </w:p>
        </w:tc>
        <w:tc>
          <w:tcPr>
            <w:tcW w:w="708" w:type="dxa"/>
            <w:tcBorders>
              <w:top w:val="nil"/>
              <w:left w:val="nil"/>
              <w:bottom w:val="single" w:sz="4" w:space="0" w:color="auto"/>
              <w:right w:val="single" w:sz="4" w:space="0" w:color="auto"/>
            </w:tcBorders>
            <w:shd w:val="clear" w:color="auto" w:fill="C6EFCE"/>
            <w:noWrap/>
          </w:tcPr>
          <w:p w14:paraId="685E9D8E"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25</w:t>
            </w:r>
          </w:p>
        </w:tc>
        <w:tc>
          <w:tcPr>
            <w:tcW w:w="993" w:type="dxa"/>
            <w:tcBorders>
              <w:top w:val="nil"/>
              <w:left w:val="nil"/>
              <w:bottom w:val="single" w:sz="4" w:space="0" w:color="auto"/>
              <w:right w:val="single" w:sz="4" w:space="0" w:color="auto"/>
            </w:tcBorders>
            <w:shd w:val="clear" w:color="auto" w:fill="C6EFCE"/>
            <w:noWrap/>
          </w:tcPr>
          <w:p w14:paraId="10CF3119"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Q2</w:t>
            </w:r>
          </w:p>
        </w:tc>
        <w:tc>
          <w:tcPr>
            <w:tcW w:w="708" w:type="dxa"/>
            <w:tcBorders>
              <w:top w:val="nil"/>
              <w:left w:val="nil"/>
              <w:bottom w:val="single" w:sz="4" w:space="0" w:color="auto"/>
              <w:right w:val="single" w:sz="4" w:space="0" w:color="auto"/>
            </w:tcBorders>
            <w:shd w:val="clear" w:color="auto" w:fill="C6EFCE"/>
            <w:noWrap/>
          </w:tcPr>
          <w:p w14:paraId="779B3DC2"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2023</w:t>
            </w:r>
          </w:p>
        </w:tc>
        <w:tc>
          <w:tcPr>
            <w:tcW w:w="3799" w:type="dxa"/>
            <w:tcBorders>
              <w:top w:val="nil"/>
              <w:left w:val="nil"/>
              <w:bottom w:val="single" w:sz="4" w:space="0" w:color="auto"/>
              <w:right w:val="single" w:sz="4" w:space="0" w:color="auto"/>
            </w:tcBorders>
            <w:shd w:val="clear" w:color="auto" w:fill="C6EFCE"/>
            <w:noWrap/>
          </w:tcPr>
          <w:p w14:paraId="199D25BA"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Notification by the Academy of Finland of the award of at least 25 grants for research projects selected in accordance with the criteria specified in milestone 103. All calls shall be based on the eligibility/selection criteria indicated in milestone 103.</w:t>
            </w:r>
          </w:p>
        </w:tc>
      </w:tr>
      <w:tr w:rsidR="00A7081A" w:rsidRPr="000318C2" w14:paraId="67DE3B42"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3D986C45"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105</w:t>
            </w:r>
          </w:p>
        </w:tc>
        <w:tc>
          <w:tcPr>
            <w:tcW w:w="1804" w:type="dxa"/>
            <w:tcBorders>
              <w:top w:val="single" w:sz="4" w:space="0" w:color="auto"/>
              <w:left w:val="nil"/>
              <w:bottom w:val="single" w:sz="4" w:space="0" w:color="auto"/>
              <w:right w:val="single" w:sz="4" w:space="0" w:color="auto"/>
            </w:tcBorders>
            <w:shd w:val="clear" w:color="auto" w:fill="C6EFCE"/>
            <w:noWrap/>
          </w:tcPr>
          <w:p w14:paraId="1B7E5E5F"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themeColor="text1"/>
                <w:sz w:val="20"/>
                <w:szCs w:val="20"/>
              </w:rPr>
              <w:t>P3C3I</w:t>
            </w:r>
            <w:r w:rsidRPr="000318C2">
              <w:rPr>
                <w:rFonts w:ascii="Times New Roman" w:eastAsia="Times New Roman" w:hAnsi="Times New Roman"/>
                <w:noProof/>
                <w:sz w:val="20"/>
                <w:szCs w:val="20"/>
              </w:rPr>
              <w:t>2 -</w:t>
            </w:r>
            <w:r w:rsidRPr="000318C2">
              <w:rPr>
                <w:rFonts w:ascii="Times New Roman" w:hAnsi="Times New Roman"/>
                <w:noProof/>
                <w:sz w:val="20"/>
                <w:szCs w:val="20"/>
              </w:rPr>
              <w:t xml:space="preserve"> RDI, research infrastructure and piloting – RDI funding package supporting the green transition – accelerating key sectors and strengthening competence (Academy of Finland)</w:t>
            </w:r>
          </w:p>
        </w:tc>
        <w:tc>
          <w:tcPr>
            <w:tcW w:w="1163" w:type="dxa"/>
            <w:tcBorders>
              <w:top w:val="nil"/>
              <w:left w:val="nil"/>
              <w:bottom w:val="single" w:sz="4" w:space="0" w:color="auto"/>
              <w:right w:val="single" w:sz="4" w:space="0" w:color="auto"/>
            </w:tcBorders>
            <w:shd w:val="clear" w:color="auto" w:fill="C6EFCE"/>
            <w:noWrap/>
          </w:tcPr>
          <w:p w14:paraId="59F72B0B"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Milestone</w:t>
            </w:r>
          </w:p>
        </w:tc>
        <w:tc>
          <w:tcPr>
            <w:tcW w:w="1662" w:type="dxa"/>
            <w:tcBorders>
              <w:top w:val="single" w:sz="4" w:space="0" w:color="auto"/>
              <w:left w:val="nil"/>
              <w:bottom w:val="single" w:sz="4" w:space="0" w:color="auto"/>
              <w:right w:val="single" w:sz="4" w:space="0" w:color="auto"/>
            </w:tcBorders>
            <w:shd w:val="clear" w:color="auto" w:fill="C6EFCE"/>
            <w:noWrap/>
          </w:tcPr>
          <w:p w14:paraId="7A3B183D"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xml:space="preserve">Project reports submitted </w:t>
            </w:r>
          </w:p>
        </w:tc>
        <w:tc>
          <w:tcPr>
            <w:tcW w:w="1891" w:type="dxa"/>
            <w:tcBorders>
              <w:top w:val="single" w:sz="4" w:space="0" w:color="auto"/>
              <w:left w:val="nil"/>
              <w:bottom w:val="single" w:sz="4" w:space="0" w:color="auto"/>
              <w:right w:val="single" w:sz="4" w:space="0" w:color="auto"/>
            </w:tcBorders>
            <w:shd w:val="clear" w:color="auto" w:fill="C6EFCE"/>
            <w:noWrap/>
          </w:tcPr>
          <w:p w14:paraId="481DD4CB" w14:textId="29868252"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submitted</w:t>
            </w:r>
          </w:p>
        </w:tc>
        <w:tc>
          <w:tcPr>
            <w:tcW w:w="992" w:type="dxa"/>
            <w:tcBorders>
              <w:top w:val="nil"/>
              <w:left w:val="nil"/>
              <w:bottom w:val="single" w:sz="4" w:space="0" w:color="auto"/>
              <w:right w:val="single" w:sz="4" w:space="0" w:color="auto"/>
            </w:tcBorders>
            <w:shd w:val="clear" w:color="auto" w:fill="C6EFCE"/>
            <w:noWrap/>
          </w:tcPr>
          <w:p w14:paraId="3B795AAB"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399833AE" w14:textId="77777777" w:rsidR="00935FC8" w:rsidRPr="000318C2" w:rsidRDefault="00935FC8" w:rsidP="001B782A">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1F0360B9"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5FA249C2"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Q2</w:t>
            </w:r>
          </w:p>
        </w:tc>
        <w:tc>
          <w:tcPr>
            <w:tcW w:w="708" w:type="dxa"/>
            <w:tcBorders>
              <w:top w:val="nil"/>
              <w:left w:val="nil"/>
              <w:bottom w:val="single" w:sz="4" w:space="0" w:color="auto"/>
              <w:right w:val="single" w:sz="4" w:space="0" w:color="auto"/>
            </w:tcBorders>
            <w:shd w:val="clear" w:color="auto" w:fill="C6EFCE"/>
            <w:noWrap/>
          </w:tcPr>
          <w:p w14:paraId="6FF48C4A"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2026</w:t>
            </w:r>
          </w:p>
        </w:tc>
        <w:tc>
          <w:tcPr>
            <w:tcW w:w="3799" w:type="dxa"/>
            <w:tcBorders>
              <w:top w:val="nil"/>
              <w:left w:val="nil"/>
              <w:bottom w:val="single" w:sz="4" w:space="0" w:color="auto"/>
              <w:right w:val="single" w:sz="4" w:space="0" w:color="auto"/>
            </w:tcBorders>
            <w:shd w:val="clear" w:color="auto" w:fill="C6EFCE"/>
            <w:noWrap/>
          </w:tcPr>
          <w:p w14:paraId="13B6D38B" w14:textId="074DD33E"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shall be submitted by recipient entities relating to projects cumulatively awarded at least EUR 40 500 000.</w:t>
            </w:r>
          </w:p>
        </w:tc>
      </w:tr>
      <w:tr w:rsidR="00A7081A" w:rsidRPr="000318C2" w14:paraId="0E1FED94"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539442EB"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106</w:t>
            </w:r>
          </w:p>
        </w:tc>
        <w:tc>
          <w:tcPr>
            <w:tcW w:w="1804" w:type="dxa"/>
            <w:tcBorders>
              <w:top w:val="single" w:sz="4" w:space="0" w:color="auto"/>
              <w:left w:val="nil"/>
              <w:bottom w:val="single" w:sz="4" w:space="0" w:color="auto"/>
              <w:right w:val="single" w:sz="4" w:space="0" w:color="auto"/>
            </w:tcBorders>
            <w:shd w:val="clear" w:color="auto" w:fill="C6EFCE"/>
            <w:noWrap/>
          </w:tcPr>
          <w:p w14:paraId="79D81971"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P3C3I3</w:t>
            </w:r>
            <w:r w:rsidRPr="000318C2">
              <w:rPr>
                <w:rFonts w:ascii="Times New Roman" w:eastAsia="Times New Roman" w:hAnsi="Times New Roman"/>
                <w:noProof/>
                <w:sz w:val="20"/>
                <w:szCs w:val="20"/>
              </w:rPr>
              <w:t xml:space="preserve"> -</w:t>
            </w:r>
            <w:r w:rsidRPr="000318C2">
              <w:rPr>
                <w:rFonts w:ascii="Times New Roman" w:hAnsi="Times New Roman"/>
                <w:noProof/>
                <w:sz w:val="20"/>
                <w:szCs w:val="20"/>
              </w:rPr>
              <w:t xml:space="preserve"> RDI, research infrastructure and piloting –RDI funding package supporting the green transition – accelerating key sectors and strengthening competence (Business Finland)</w:t>
            </w:r>
          </w:p>
        </w:tc>
        <w:tc>
          <w:tcPr>
            <w:tcW w:w="1163" w:type="dxa"/>
            <w:tcBorders>
              <w:top w:val="nil"/>
              <w:left w:val="nil"/>
              <w:bottom w:val="single" w:sz="4" w:space="0" w:color="auto"/>
              <w:right w:val="single" w:sz="4" w:space="0" w:color="auto"/>
            </w:tcBorders>
            <w:shd w:val="clear" w:color="auto" w:fill="C6EFCE"/>
            <w:noWrap/>
          </w:tcPr>
          <w:p w14:paraId="72550FB7"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Milestone</w:t>
            </w:r>
          </w:p>
        </w:tc>
        <w:tc>
          <w:tcPr>
            <w:tcW w:w="1662" w:type="dxa"/>
            <w:tcBorders>
              <w:top w:val="single" w:sz="4" w:space="0" w:color="auto"/>
              <w:left w:val="nil"/>
              <w:bottom w:val="single" w:sz="4" w:space="0" w:color="auto"/>
              <w:right w:val="single" w:sz="4" w:space="0" w:color="auto"/>
            </w:tcBorders>
            <w:shd w:val="clear" w:color="auto" w:fill="C6EFCE"/>
            <w:noWrap/>
          </w:tcPr>
          <w:p w14:paraId="4448CF80"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xml:space="preserve">Publication by Business Finland of a call for applications for RDI projects aiming at increasing competences in key sectors </w:t>
            </w:r>
          </w:p>
        </w:tc>
        <w:tc>
          <w:tcPr>
            <w:tcW w:w="1891" w:type="dxa"/>
            <w:tcBorders>
              <w:top w:val="nil"/>
              <w:left w:val="nil"/>
              <w:bottom w:val="single" w:sz="4" w:space="0" w:color="auto"/>
              <w:right w:val="single" w:sz="4" w:space="0" w:color="auto"/>
            </w:tcBorders>
            <w:shd w:val="clear" w:color="auto" w:fill="C6EFCE"/>
            <w:noWrap/>
          </w:tcPr>
          <w:p w14:paraId="384D2A42"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xml:space="preserve">Publication of the call for applications by Business Finland </w:t>
            </w:r>
          </w:p>
        </w:tc>
        <w:tc>
          <w:tcPr>
            <w:tcW w:w="992" w:type="dxa"/>
            <w:tcBorders>
              <w:top w:val="nil"/>
              <w:left w:val="nil"/>
              <w:bottom w:val="single" w:sz="4" w:space="0" w:color="auto"/>
              <w:right w:val="single" w:sz="4" w:space="0" w:color="auto"/>
            </w:tcBorders>
            <w:shd w:val="clear" w:color="auto" w:fill="C6EFCE"/>
            <w:noWrap/>
          </w:tcPr>
          <w:p w14:paraId="035AE7C5"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517A101C" w14:textId="77777777" w:rsidR="00935FC8" w:rsidRPr="000318C2" w:rsidRDefault="00935FC8" w:rsidP="001B782A">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52C8EE11"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0161F199"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Q2</w:t>
            </w:r>
          </w:p>
        </w:tc>
        <w:tc>
          <w:tcPr>
            <w:tcW w:w="708" w:type="dxa"/>
            <w:tcBorders>
              <w:top w:val="nil"/>
              <w:left w:val="nil"/>
              <w:bottom w:val="single" w:sz="4" w:space="0" w:color="auto"/>
              <w:right w:val="single" w:sz="4" w:space="0" w:color="auto"/>
            </w:tcBorders>
            <w:shd w:val="clear" w:color="auto" w:fill="C6EFCE"/>
            <w:noWrap/>
          </w:tcPr>
          <w:p w14:paraId="257E31E2"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2022</w:t>
            </w:r>
          </w:p>
        </w:tc>
        <w:tc>
          <w:tcPr>
            <w:tcW w:w="3799" w:type="dxa"/>
            <w:tcBorders>
              <w:top w:val="nil"/>
              <w:left w:val="nil"/>
              <w:bottom w:val="single" w:sz="4" w:space="0" w:color="auto"/>
              <w:right w:val="single" w:sz="4" w:space="0" w:color="auto"/>
            </w:tcBorders>
            <w:shd w:val="clear" w:color="auto" w:fill="C6EFCE"/>
            <w:noWrap/>
          </w:tcPr>
          <w:p w14:paraId="754C6086"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Business Finland shall launch a call for applications for RDI projects aiming to increase competences in key sectors of the green transition, such as the hydrogen economy, high-value bioproducts and emission-free energy systems and competences in e.g. data-analysis and social sciences related to resilience and adaptation to climate change. The eligibility/selection criteria shall require that research is targeted at the low-carbon economy and climate change adaptation and resilience according to intervention field 022 in Annex VI to the RRF Regulation. The eligibility criteria shall also ensure that the selected projects comply with the ‘Do no significant harm’ Technical Guidance (2021/C58/01) through the use of an exclusion list and the requirement of compliance with the relevant EU and national environmental legislation. Projects promoting the use of fossil fuels shall not be funded. A project proposed by a company covered by the EU Emissions Trading System (ETS) may only be financed if it significantly reduces greenhouse gas emissions.</w:t>
            </w:r>
          </w:p>
        </w:tc>
      </w:tr>
      <w:tr w:rsidR="00A7081A" w:rsidRPr="000318C2" w14:paraId="359F679B"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79EA106B"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107</w:t>
            </w:r>
          </w:p>
        </w:tc>
        <w:tc>
          <w:tcPr>
            <w:tcW w:w="1804" w:type="dxa"/>
            <w:tcBorders>
              <w:top w:val="single" w:sz="4" w:space="0" w:color="auto"/>
              <w:left w:val="nil"/>
              <w:bottom w:val="single" w:sz="4" w:space="0" w:color="auto"/>
              <w:right w:val="single" w:sz="4" w:space="0" w:color="auto"/>
            </w:tcBorders>
            <w:shd w:val="clear" w:color="auto" w:fill="C6EFCE"/>
            <w:noWrap/>
          </w:tcPr>
          <w:p w14:paraId="2384C7EB"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P3C3I3</w:t>
            </w:r>
            <w:r w:rsidRPr="000318C2">
              <w:rPr>
                <w:rFonts w:ascii="Times New Roman" w:eastAsia="Times New Roman" w:hAnsi="Times New Roman"/>
                <w:noProof/>
                <w:sz w:val="20"/>
                <w:szCs w:val="20"/>
              </w:rPr>
              <w:t xml:space="preserve"> -</w:t>
            </w:r>
            <w:r w:rsidRPr="000318C2">
              <w:rPr>
                <w:rFonts w:ascii="Times New Roman" w:hAnsi="Times New Roman"/>
                <w:noProof/>
                <w:sz w:val="20"/>
                <w:szCs w:val="20"/>
              </w:rPr>
              <w:t xml:space="preserve"> RDI, research infrastructure and piloting –RDI funding package supporting the green transition – accelerating key sectors and strengthening competence (Business Finland)</w:t>
            </w:r>
          </w:p>
        </w:tc>
        <w:tc>
          <w:tcPr>
            <w:tcW w:w="1163" w:type="dxa"/>
            <w:tcBorders>
              <w:top w:val="nil"/>
              <w:left w:val="nil"/>
              <w:bottom w:val="single" w:sz="4" w:space="0" w:color="auto"/>
              <w:right w:val="single" w:sz="4" w:space="0" w:color="auto"/>
            </w:tcBorders>
            <w:shd w:val="clear" w:color="auto" w:fill="C6EFCE"/>
            <w:noWrap/>
          </w:tcPr>
          <w:p w14:paraId="37F63D57"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Target</w:t>
            </w:r>
          </w:p>
        </w:tc>
        <w:tc>
          <w:tcPr>
            <w:tcW w:w="1662" w:type="dxa"/>
            <w:tcBorders>
              <w:top w:val="single" w:sz="4" w:space="0" w:color="auto"/>
              <w:left w:val="nil"/>
              <w:bottom w:val="single" w:sz="4" w:space="0" w:color="auto"/>
              <w:right w:val="single" w:sz="4" w:space="0" w:color="auto"/>
            </w:tcBorders>
            <w:shd w:val="clear" w:color="auto" w:fill="C6EFCE"/>
            <w:noWrap/>
          </w:tcPr>
          <w:p w14:paraId="7C9C0A91"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xml:space="preserve">Award by Business Finland of grants for RDI projects aiming at increasing competences in key sectors </w:t>
            </w:r>
          </w:p>
        </w:tc>
        <w:tc>
          <w:tcPr>
            <w:tcW w:w="1891" w:type="dxa"/>
            <w:tcBorders>
              <w:top w:val="single" w:sz="4" w:space="0" w:color="auto"/>
              <w:left w:val="nil"/>
              <w:bottom w:val="single" w:sz="4" w:space="0" w:color="auto"/>
              <w:right w:val="single" w:sz="4" w:space="0" w:color="auto"/>
            </w:tcBorders>
            <w:shd w:val="clear" w:color="auto" w:fill="C6EFCE"/>
            <w:noWrap/>
          </w:tcPr>
          <w:p w14:paraId="094E6653"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w:t>
            </w:r>
          </w:p>
        </w:tc>
        <w:tc>
          <w:tcPr>
            <w:tcW w:w="992" w:type="dxa"/>
            <w:tcBorders>
              <w:top w:val="nil"/>
              <w:left w:val="nil"/>
              <w:bottom w:val="single" w:sz="4" w:space="0" w:color="auto"/>
              <w:right w:val="single" w:sz="4" w:space="0" w:color="auto"/>
            </w:tcBorders>
            <w:shd w:val="clear" w:color="auto" w:fill="C6EFCE"/>
            <w:noWrap/>
          </w:tcPr>
          <w:p w14:paraId="1FB82531"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Number</w:t>
            </w:r>
          </w:p>
        </w:tc>
        <w:tc>
          <w:tcPr>
            <w:tcW w:w="993" w:type="dxa"/>
            <w:tcBorders>
              <w:top w:val="nil"/>
              <w:left w:val="nil"/>
              <w:bottom w:val="single" w:sz="4" w:space="0" w:color="auto"/>
              <w:right w:val="single" w:sz="4" w:space="0" w:color="auto"/>
            </w:tcBorders>
            <w:shd w:val="clear" w:color="auto" w:fill="C6EFCE"/>
            <w:noWrap/>
          </w:tcPr>
          <w:p w14:paraId="767794A0"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0</w:t>
            </w:r>
          </w:p>
        </w:tc>
        <w:tc>
          <w:tcPr>
            <w:tcW w:w="708" w:type="dxa"/>
            <w:tcBorders>
              <w:top w:val="nil"/>
              <w:left w:val="nil"/>
              <w:bottom w:val="single" w:sz="4" w:space="0" w:color="auto"/>
              <w:right w:val="single" w:sz="4" w:space="0" w:color="auto"/>
            </w:tcBorders>
            <w:shd w:val="clear" w:color="auto" w:fill="C6EFCE"/>
            <w:noWrap/>
          </w:tcPr>
          <w:p w14:paraId="648DB76F"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10</w:t>
            </w:r>
          </w:p>
        </w:tc>
        <w:tc>
          <w:tcPr>
            <w:tcW w:w="993" w:type="dxa"/>
            <w:tcBorders>
              <w:top w:val="nil"/>
              <w:left w:val="nil"/>
              <w:bottom w:val="single" w:sz="4" w:space="0" w:color="auto"/>
              <w:right w:val="single" w:sz="4" w:space="0" w:color="auto"/>
            </w:tcBorders>
            <w:shd w:val="clear" w:color="auto" w:fill="C6EFCE"/>
            <w:noWrap/>
          </w:tcPr>
          <w:p w14:paraId="2BC2FA29"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Q4</w:t>
            </w:r>
          </w:p>
        </w:tc>
        <w:tc>
          <w:tcPr>
            <w:tcW w:w="708" w:type="dxa"/>
            <w:tcBorders>
              <w:top w:val="nil"/>
              <w:left w:val="nil"/>
              <w:bottom w:val="single" w:sz="4" w:space="0" w:color="auto"/>
              <w:right w:val="single" w:sz="4" w:space="0" w:color="auto"/>
            </w:tcBorders>
            <w:shd w:val="clear" w:color="auto" w:fill="C6EFCE"/>
            <w:noWrap/>
          </w:tcPr>
          <w:p w14:paraId="7203D2C1"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2023</w:t>
            </w:r>
          </w:p>
        </w:tc>
        <w:tc>
          <w:tcPr>
            <w:tcW w:w="3799" w:type="dxa"/>
            <w:tcBorders>
              <w:top w:val="nil"/>
              <w:left w:val="nil"/>
              <w:bottom w:val="single" w:sz="4" w:space="0" w:color="auto"/>
              <w:right w:val="single" w:sz="4" w:space="0" w:color="auto"/>
            </w:tcBorders>
            <w:shd w:val="clear" w:color="auto" w:fill="C6EFCE"/>
            <w:noWrap/>
          </w:tcPr>
          <w:p w14:paraId="17B92A7B"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Notification by Business Finland of the award of at least 10 grants for RDI projects selected in accordance with the eligibility/selection criteria specified in milestone 106.</w:t>
            </w:r>
          </w:p>
        </w:tc>
      </w:tr>
      <w:tr w:rsidR="00A7081A" w:rsidRPr="000318C2" w14:paraId="2DDC8E86"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3F56849E"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108</w:t>
            </w:r>
          </w:p>
        </w:tc>
        <w:tc>
          <w:tcPr>
            <w:tcW w:w="1804" w:type="dxa"/>
            <w:tcBorders>
              <w:top w:val="single" w:sz="4" w:space="0" w:color="auto"/>
              <w:left w:val="nil"/>
              <w:bottom w:val="single" w:sz="4" w:space="0" w:color="auto"/>
              <w:right w:val="single" w:sz="4" w:space="0" w:color="auto"/>
            </w:tcBorders>
            <w:shd w:val="clear" w:color="auto" w:fill="C6EFCE"/>
            <w:noWrap/>
          </w:tcPr>
          <w:p w14:paraId="752A7D08"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P3C3I3</w:t>
            </w:r>
            <w:r w:rsidRPr="000318C2">
              <w:rPr>
                <w:rFonts w:ascii="Times New Roman" w:eastAsia="Times New Roman" w:hAnsi="Times New Roman"/>
                <w:noProof/>
                <w:sz w:val="20"/>
                <w:szCs w:val="20"/>
              </w:rPr>
              <w:t xml:space="preserve"> -</w:t>
            </w:r>
            <w:r w:rsidRPr="000318C2">
              <w:rPr>
                <w:rFonts w:ascii="Times New Roman" w:hAnsi="Times New Roman"/>
                <w:noProof/>
                <w:sz w:val="20"/>
                <w:szCs w:val="20"/>
              </w:rPr>
              <w:t xml:space="preserve"> RDI, research infrastructure and piloting –RDI funding package supporting the green transition – accelerating key sectors and strengthening competence (Business Finland)</w:t>
            </w:r>
          </w:p>
        </w:tc>
        <w:tc>
          <w:tcPr>
            <w:tcW w:w="1163" w:type="dxa"/>
            <w:tcBorders>
              <w:top w:val="nil"/>
              <w:left w:val="nil"/>
              <w:bottom w:val="single" w:sz="4" w:space="0" w:color="auto"/>
              <w:right w:val="single" w:sz="4" w:space="0" w:color="auto"/>
            </w:tcBorders>
            <w:shd w:val="clear" w:color="auto" w:fill="C6EFCE"/>
            <w:noWrap/>
          </w:tcPr>
          <w:p w14:paraId="7A0BA1BA"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Milestone</w:t>
            </w:r>
          </w:p>
        </w:tc>
        <w:tc>
          <w:tcPr>
            <w:tcW w:w="1662" w:type="dxa"/>
            <w:tcBorders>
              <w:top w:val="single" w:sz="4" w:space="0" w:color="auto"/>
              <w:left w:val="nil"/>
              <w:bottom w:val="single" w:sz="4" w:space="0" w:color="auto"/>
              <w:right w:val="single" w:sz="4" w:space="0" w:color="auto"/>
            </w:tcBorders>
            <w:shd w:val="clear" w:color="auto" w:fill="C6EFCE"/>
            <w:noWrap/>
          </w:tcPr>
          <w:p w14:paraId="2B48464C"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submitted</w:t>
            </w:r>
          </w:p>
        </w:tc>
        <w:tc>
          <w:tcPr>
            <w:tcW w:w="1891" w:type="dxa"/>
            <w:tcBorders>
              <w:top w:val="nil"/>
              <w:left w:val="nil"/>
              <w:bottom w:val="single" w:sz="4" w:space="0" w:color="auto"/>
              <w:right w:val="single" w:sz="4" w:space="0" w:color="auto"/>
            </w:tcBorders>
            <w:shd w:val="clear" w:color="auto" w:fill="C6EFCE"/>
            <w:noWrap/>
          </w:tcPr>
          <w:p w14:paraId="0EBD907A" w14:textId="284243DB"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submitted</w:t>
            </w:r>
          </w:p>
        </w:tc>
        <w:tc>
          <w:tcPr>
            <w:tcW w:w="992" w:type="dxa"/>
            <w:tcBorders>
              <w:top w:val="nil"/>
              <w:left w:val="nil"/>
              <w:bottom w:val="single" w:sz="4" w:space="0" w:color="auto"/>
              <w:right w:val="single" w:sz="4" w:space="0" w:color="auto"/>
            </w:tcBorders>
            <w:shd w:val="clear" w:color="auto" w:fill="C6EFCE"/>
            <w:noWrap/>
          </w:tcPr>
          <w:p w14:paraId="195C5B02"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071C2888" w14:textId="77777777" w:rsidR="00935FC8" w:rsidRPr="000318C2" w:rsidRDefault="00935FC8" w:rsidP="001B782A">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5E4BA3D9"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16D9AFC0"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Q4</w:t>
            </w:r>
          </w:p>
        </w:tc>
        <w:tc>
          <w:tcPr>
            <w:tcW w:w="708" w:type="dxa"/>
            <w:tcBorders>
              <w:top w:val="nil"/>
              <w:left w:val="nil"/>
              <w:bottom w:val="single" w:sz="4" w:space="0" w:color="auto"/>
              <w:right w:val="single" w:sz="4" w:space="0" w:color="auto"/>
            </w:tcBorders>
            <w:shd w:val="clear" w:color="auto" w:fill="C6EFCE"/>
            <w:noWrap/>
          </w:tcPr>
          <w:p w14:paraId="38380C27"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2025</w:t>
            </w:r>
          </w:p>
        </w:tc>
        <w:tc>
          <w:tcPr>
            <w:tcW w:w="3799" w:type="dxa"/>
            <w:tcBorders>
              <w:top w:val="nil"/>
              <w:left w:val="nil"/>
              <w:bottom w:val="single" w:sz="4" w:space="0" w:color="auto"/>
              <w:right w:val="single" w:sz="4" w:space="0" w:color="auto"/>
            </w:tcBorders>
            <w:shd w:val="clear" w:color="auto" w:fill="C6EFCE"/>
            <w:noWrap/>
          </w:tcPr>
          <w:p w14:paraId="5936FEDF"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xml:space="preserve">Project reports shall be submitted by recipient entities relating to projects cumulatively awarded at least EUR 22 500 000. </w:t>
            </w:r>
          </w:p>
        </w:tc>
      </w:tr>
      <w:tr w:rsidR="00A7081A" w:rsidRPr="000318C2" w14:paraId="5E484E15"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0A0C8AF" w14:textId="1E601DFA" w:rsidR="00935FC8" w:rsidRPr="000318C2" w:rsidRDefault="00935FC8" w:rsidP="009673EC">
            <w:pPr>
              <w:spacing w:after="0" w:line="240" w:lineRule="auto"/>
              <w:jc w:val="center"/>
              <w:rPr>
                <w:rFonts w:ascii="Times New Roman" w:hAnsi="Times New Roman"/>
                <w:noProof/>
                <w:sz w:val="20"/>
                <w:szCs w:val="20"/>
              </w:rPr>
            </w:pPr>
            <w:r w:rsidRPr="000318C2">
              <w:rPr>
                <w:rFonts w:ascii="Times New Roman" w:hAnsi="Times New Roman"/>
                <w:noProof/>
                <w:sz w:val="20"/>
                <w:szCs w:val="20"/>
              </w:rPr>
              <w:t>109</w:t>
            </w:r>
          </w:p>
        </w:tc>
        <w:tc>
          <w:tcPr>
            <w:tcW w:w="1804" w:type="dxa"/>
            <w:tcBorders>
              <w:top w:val="single" w:sz="4" w:space="0" w:color="auto"/>
              <w:left w:val="nil"/>
              <w:bottom w:val="single" w:sz="4" w:space="0" w:color="auto"/>
              <w:right w:val="single" w:sz="4" w:space="0" w:color="auto"/>
            </w:tcBorders>
            <w:shd w:val="clear" w:color="auto" w:fill="C6EFCE"/>
            <w:noWrap/>
          </w:tcPr>
          <w:p w14:paraId="533F9BCB"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P3C3I4</w:t>
            </w:r>
            <w:r w:rsidRPr="000318C2">
              <w:rPr>
                <w:rFonts w:ascii="Times New Roman" w:eastAsia="Times New Roman" w:hAnsi="Times New Roman"/>
                <w:noProof/>
                <w:sz w:val="20"/>
                <w:szCs w:val="20"/>
              </w:rPr>
              <w:t xml:space="preserve"> -</w:t>
            </w:r>
            <w:r w:rsidRPr="000318C2">
              <w:rPr>
                <w:rFonts w:ascii="Times New Roman" w:hAnsi="Times New Roman"/>
                <w:noProof/>
                <w:sz w:val="20"/>
                <w:szCs w:val="20"/>
              </w:rPr>
              <w:t xml:space="preserve"> RDI, research infrastructure and piloting – RDI funding package supporting the green transition – Supporting innovative growth companies</w:t>
            </w:r>
          </w:p>
        </w:tc>
        <w:tc>
          <w:tcPr>
            <w:tcW w:w="1163" w:type="dxa"/>
            <w:tcBorders>
              <w:top w:val="nil"/>
              <w:left w:val="nil"/>
              <w:bottom w:val="single" w:sz="4" w:space="0" w:color="auto"/>
              <w:right w:val="single" w:sz="4" w:space="0" w:color="auto"/>
            </w:tcBorders>
            <w:shd w:val="clear" w:color="auto" w:fill="C6EFCE"/>
            <w:noWrap/>
          </w:tcPr>
          <w:p w14:paraId="4A48A542"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Milestone</w:t>
            </w:r>
          </w:p>
        </w:tc>
        <w:tc>
          <w:tcPr>
            <w:tcW w:w="1662" w:type="dxa"/>
            <w:tcBorders>
              <w:top w:val="single" w:sz="4" w:space="0" w:color="auto"/>
              <w:left w:val="nil"/>
              <w:bottom w:val="single" w:sz="4" w:space="0" w:color="auto"/>
              <w:right w:val="single" w:sz="4" w:space="0" w:color="auto"/>
            </w:tcBorders>
            <w:shd w:val="clear" w:color="auto" w:fill="C6EFCE"/>
            <w:noWrap/>
          </w:tcPr>
          <w:p w14:paraId="5FF8A35A"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Publication by Business Finland of a call for applications for RDI projects supporting innovative growth companies</w:t>
            </w:r>
          </w:p>
        </w:tc>
        <w:tc>
          <w:tcPr>
            <w:tcW w:w="1891" w:type="dxa"/>
            <w:tcBorders>
              <w:top w:val="single" w:sz="4" w:space="0" w:color="auto"/>
              <w:left w:val="nil"/>
              <w:bottom w:val="single" w:sz="4" w:space="0" w:color="auto"/>
              <w:right w:val="single" w:sz="4" w:space="0" w:color="auto"/>
            </w:tcBorders>
            <w:shd w:val="clear" w:color="auto" w:fill="C6EFCE"/>
            <w:noWrap/>
          </w:tcPr>
          <w:p w14:paraId="609F8D62"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Publication of a call for applications by Business Finland</w:t>
            </w:r>
          </w:p>
        </w:tc>
        <w:tc>
          <w:tcPr>
            <w:tcW w:w="992" w:type="dxa"/>
            <w:tcBorders>
              <w:top w:val="nil"/>
              <w:left w:val="nil"/>
              <w:bottom w:val="single" w:sz="4" w:space="0" w:color="auto"/>
              <w:right w:val="single" w:sz="4" w:space="0" w:color="auto"/>
            </w:tcBorders>
            <w:shd w:val="clear" w:color="auto" w:fill="C6EFCE"/>
            <w:noWrap/>
          </w:tcPr>
          <w:p w14:paraId="63FFD2B3"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6842FEA8" w14:textId="77777777" w:rsidR="00935FC8" w:rsidRPr="000318C2" w:rsidRDefault="00935FC8" w:rsidP="001B782A">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6D3066DE"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74E74BCE"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Q2</w:t>
            </w:r>
          </w:p>
        </w:tc>
        <w:tc>
          <w:tcPr>
            <w:tcW w:w="708" w:type="dxa"/>
            <w:tcBorders>
              <w:top w:val="nil"/>
              <w:left w:val="nil"/>
              <w:bottom w:val="single" w:sz="4" w:space="0" w:color="auto"/>
              <w:right w:val="single" w:sz="4" w:space="0" w:color="auto"/>
            </w:tcBorders>
            <w:shd w:val="clear" w:color="auto" w:fill="C6EFCE"/>
            <w:noWrap/>
          </w:tcPr>
          <w:p w14:paraId="68541319"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2022</w:t>
            </w:r>
          </w:p>
        </w:tc>
        <w:tc>
          <w:tcPr>
            <w:tcW w:w="3799" w:type="dxa"/>
            <w:tcBorders>
              <w:top w:val="nil"/>
              <w:left w:val="nil"/>
              <w:bottom w:val="single" w:sz="4" w:space="0" w:color="auto"/>
              <w:right w:val="single" w:sz="4" w:space="0" w:color="auto"/>
            </w:tcBorders>
            <w:shd w:val="clear" w:color="auto" w:fill="C6EFCE"/>
            <w:noWrap/>
          </w:tcPr>
          <w:p w14:paraId="7C6D8A42"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Business Finland shall launch a call for applications for RDI funding allocated to supporting innovative growth companies. The eligibility/selection criteria shall require that research is targeted at the low-carbon economy and climate change adaptation and resilience according to intervention field 022 in Annex VI to the RRF Regulation.</w:t>
            </w:r>
          </w:p>
          <w:p w14:paraId="115E0090"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The eligibility criteria shall also ensure that the selected projects comply with the ‘Do no significant harm’ Technical Guidance (2021/C58/01) through the use of an exclusion list and the requirement of compliance with the relevant EU and national environmental legislation. Projects promoting the use of fossil fuels shall not be funded. A project proposed by a company covered by the EU Emissions Trading System (ETS) may only be financed if it significantly reduces greenhouse gas emissions.</w:t>
            </w:r>
          </w:p>
        </w:tc>
      </w:tr>
      <w:tr w:rsidR="00A7081A" w:rsidRPr="000318C2" w14:paraId="1D67A3FE"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16E85732"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110</w:t>
            </w:r>
          </w:p>
        </w:tc>
        <w:tc>
          <w:tcPr>
            <w:tcW w:w="1804" w:type="dxa"/>
            <w:tcBorders>
              <w:top w:val="single" w:sz="4" w:space="0" w:color="auto"/>
              <w:left w:val="nil"/>
              <w:bottom w:val="single" w:sz="4" w:space="0" w:color="auto"/>
              <w:right w:val="single" w:sz="4" w:space="0" w:color="auto"/>
            </w:tcBorders>
            <w:shd w:val="clear" w:color="auto" w:fill="C6EFCE"/>
            <w:noWrap/>
          </w:tcPr>
          <w:p w14:paraId="6A65CB4A"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P3C3I4</w:t>
            </w:r>
            <w:r w:rsidRPr="000318C2">
              <w:rPr>
                <w:rFonts w:ascii="Times New Roman" w:eastAsia="Times New Roman" w:hAnsi="Times New Roman"/>
                <w:noProof/>
                <w:sz w:val="20"/>
                <w:szCs w:val="20"/>
              </w:rPr>
              <w:t xml:space="preserve"> -</w:t>
            </w:r>
            <w:r w:rsidRPr="000318C2">
              <w:rPr>
                <w:rFonts w:ascii="Times New Roman" w:hAnsi="Times New Roman"/>
                <w:noProof/>
                <w:sz w:val="20"/>
                <w:szCs w:val="20"/>
              </w:rPr>
              <w:t xml:space="preserve"> RDI, research infrastructure and piloting – RDI funding package supporting the green transition – Supporting innovative growth companies</w:t>
            </w:r>
          </w:p>
        </w:tc>
        <w:tc>
          <w:tcPr>
            <w:tcW w:w="1163" w:type="dxa"/>
            <w:tcBorders>
              <w:top w:val="nil"/>
              <w:left w:val="nil"/>
              <w:bottom w:val="single" w:sz="4" w:space="0" w:color="auto"/>
              <w:right w:val="single" w:sz="4" w:space="0" w:color="auto"/>
            </w:tcBorders>
            <w:shd w:val="clear" w:color="auto" w:fill="C6EFCE"/>
            <w:noWrap/>
          </w:tcPr>
          <w:p w14:paraId="5E34C394"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Target</w:t>
            </w:r>
          </w:p>
        </w:tc>
        <w:tc>
          <w:tcPr>
            <w:tcW w:w="1662" w:type="dxa"/>
            <w:tcBorders>
              <w:top w:val="single" w:sz="4" w:space="0" w:color="auto"/>
              <w:left w:val="nil"/>
              <w:bottom w:val="single" w:sz="4" w:space="0" w:color="auto"/>
              <w:right w:val="single" w:sz="4" w:space="0" w:color="auto"/>
            </w:tcBorders>
            <w:shd w:val="clear" w:color="auto" w:fill="C6EFCE"/>
            <w:noWrap/>
          </w:tcPr>
          <w:p w14:paraId="293FDB9C"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Award of grants for support to innovative growth companies</w:t>
            </w:r>
          </w:p>
        </w:tc>
        <w:tc>
          <w:tcPr>
            <w:tcW w:w="1891" w:type="dxa"/>
            <w:tcBorders>
              <w:top w:val="nil"/>
              <w:left w:val="nil"/>
              <w:bottom w:val="single" w:sz="4" w:space="0" w:color="auto"/>
              <w:right w:val="single" w:sz="4" w:space="0" w:color="auto"/>
            </w:tcBorders>
            <w:shd w:val="clear" w:color="auto" w:fill="C6EFCE"/>
            <w:noWrap/>
          </w:tcPr>
          <w:p w14:paraId="11D8B728"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w:t>
            </w:r>
          </w:p>
        </w:tc>
        <w:tc>
          <w:tcPr>
            <w:tcW w:w="992" w:type="dxa"/>
            <w:tcBorders>
              <w:top w:val="nil"/>
              <w:left w:val="nil"/>
              <w:bottom w:val="single" w:sz="4" w:space="0" w:color="auto"/>
              <w:right w:val="single" w:sz="4" w:space="0" w:color="auto"/>
            </w:tcBorders>
            <w:shd w:val="clear" w:color="auto" w:fill="C6EFCE"/>
            <w:noWrap/>
          </w:tcPr>
          <w:p w14:paraId="41F737F2"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Number</w:t>
            </w:r>
          </w:p>
        </w:tc>
        <w:tc>
          <w:tcPr>
            <w:tcW w:w="993" w:type="dxa"/>
            <w:tcBorders>
              <w:top w:val="nil"/>
              <w:left w:val="nil"/>
              <w:bottom w:val="single" w:sz="4" w:space="0" w:color="auto"/>
              <w:right w:val="single" w:sz="4" w:space="0" w:color="auto"/>
            </w:tcBorders>
            <w:shd w:val="clear" w:color="auto" w:fill="C6EFCE"/>
            <w:noWrap/>
          </w:tcPr>
          <w:p w14:paraId="442A2484"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0</w:t>
            </w:r>
          </w:p>
        </w:tc>
        <w:tc>
          <w:tcPr>
            <w:tcW w:w="708" w:type="dxa"/>
            <w:tcBorders>
              <w:top w:val="nil"/>
              <w:left w:val="nil"/>
              <w:bottom w:val="single" w:sz="4" w:space="0" w:color="auto"/>
              <w:right w:val="single" w:sz="4" w:space="0" w:color="auto"/>
            </w:tcBorders>
            <w:shd w:val="clear" w:color="auto" w:fill="C6EFCE"/>
            <w:noWrap/>
          </w:tcPr>
          <w:p w14:paraId="1FC7C17C"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22</w:t>
            </w:r>
          </w:p>
        </w:tc>
        <w:tc>
          <w:tcPr>
            <w:tcW w:w="993" w:type="dxa"/>
            <w:tcBorders>
              <w:top w:val="nil"/>
              <w:left w:val="nil"/>
              <w:bottom w:val="single" w:sz="4" w:space="0" w:color="auto"/>
              <w:right w:val="single" w:sz="4" w:space="0" w:color="auto"/>
            </w:tcBorders>
            <w:shd w:val="clear" w:color="auto" w:fill="C6EFCE"/>
            <w:noWrap/>
          </w:tcPr>
          <w:p w14:paraId="4D566A3E"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Q4</w:t>
            </w:r>
          </w:p>
        </w:tc>
        <w:tc>
          <w:tcPr>
            <w:tcW w:w="708" w:type="dxa"/>
            <w:tcBorders>
              <w:top w:val="nil"/>
              <w:left w:val="nil"/>
              <w:bottom w:val="single" w:sz="4" w:space="0" w:color="auto"/>
              <w:right w:val="single" w:sz="4" w:space="0" w:color="auto"/>
            </w:tcBorders>
            <w:shd w:val="clear" w:color="auto" w:fill="C6EFCE"/>
            <w:noWrap/>
          </w:tcPr>
          <w:p w14:paraId="0736AF35"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2023</w:t>
            </w:r>
          </w:p>
        </w:tc>
        <w:tc>
          <w:tcPr>
            <w:tcW w:w="3799" w:type="dxa"/>
            <w:tcBorders>
              <w:top w:val="nil"/>
              <w:left w:val="nil"/>
              <w:bottom w:val="single" w:sz="4" w:space="0" w:color="auto"/>
              <w:right w:val="single" w:sz="4" w:space="0" w:color="auto"/>
            </w:tcBorders>
            <w:shd w:val="clear" w:color="auto" w:fill="C6EFCE"/>
            <w:noWrap/>
          </w:tcPr>
          <w:p w14:paraId="57EC4032"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Notification by Business Finland of the award of at least 22 grants for support to innovative growth companies in accordance with the eligibility/selection criteria specified in milestone 109.</w:t>
            </w:r>
          </w:p>
        </w:tc>
      </w:tr>
      <w:tr w:rsidR="00A7081A" w:rsidRPr="000318C2" w14:paraId="6C658104"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C0B1B58"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111</w:t>
            </w:r>
          </w:p>
        </w:tc>
        <w:tc>
          <w:tcPr>
            <w:tcW w:w="1804" w:type="dxa"/>
            <w:tcBorders>
              <w:top w:val="nil"/>
              <w:left w:val="nil"/>
              <w:bottom w:val="single" w:sz="4" w:space="0" w:color="auto"/>
              <w:right w:val="single" w:sz="4" w:space="0" w:color="auto"/>
            </w:tcBorders>
            <w:shd w:val="clear" w:color="auto" w:fill="C6EFCE"/>
            <w:noWrap/>
          </w:tcPr>
          <w:p w14:paraId="4124D12A"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P3C3I4</w:t>
            </w:r>
            <w:r w:rsidRPr="000318C2">
              <w:rPr>
                <w:rFonts w:ascii="Times New Roman" w:eastAsia="Times New Roman" w:hAnsi="Times New Roman"/>
                <w:noProof/>
                <w:sz w:val="20"/>
                <w:szCs w:val="20"/>
              </w:rPr>
              <w:t xml:space="preserve"> -</w:t>
            </w:r>
            <w:r w:rsidRPr="000318C2">
              <w:rPr>
                <w:rFonts w:ascii="Times New Roman" w:hAnsi="Times New Roman"/>
                <w:noProof/>
                <w:sz w:val="20"/>
                <w:szCs w:val="20"/>
              </w:rPr>
              <w:t xml:space="preserve"> RDI, research infrastructure and piloting – RDI funding package supporting the green transition – Supporting innovative growth companies</w:t>
            </w:r>
          </w:p>
        </w:tc>
        <w:tc>
          <w:tcPr>
            <w:tcW w:w="1163" w:type="dxa"/>
            <w:tcBorders>
              <w:top w:val="nil"/>
              <w:left w:val="nil"/>
              <w:bottom w:val="single" w:sz="4" w:space="0" w:color="auto"/>
              <w:right w:val="single" w:sz="4" w:space="0" w:color="auto"/>
            </w:tcBorders>
            <w:shd w:val="clear" w:color="auto" w:fill="C6EFCE"/>
            <w:noWrap/>
          </w:tcPr>
          <w:p w14:paraId="3C791C10"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Milestone</w:t>
            </w:r>
          </w:p>
        </w:tc>
        <w:tc>
          <w:tcPr>
            <w:tcW w:w="1662" w:type="dxa"/>
            <w:tcBorders>
              <w:top w:val="nil"/>
              <w:left w:val="nil"/>
              <w:bottom w:val="single" w:sz="4" w:space="0" w:color="auto"/>
              <w:right w:val="single" w:sz="4" w:space="0" w:color="auto"/>
            </w:tcBorders>
            <w:shd w:val="clear" w:color="auto" w:fill="C6EFCE"/>
            <w:noWrap/>
          </w:tcPr>
          <w:p w14:paraId="0D36698F"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submitted</w:t>
            </w:r>
          </w:p>
        </w:tc>
        <w:tc>
          <w:tcPr>
            <w:tcW w:w="1891" w:type="dxa"/>
            <w:tcBorders>
              <w:top w:val="nil"/>
              <w:left w:val="nil"/>
              <w:bottom w:val="single" w:sz="4" w:space="0" w:color="auto"/>
              <w:right w:val="single" w:sz="4" w:space="0" w:color="auto"/>
            </w:tcBorders>
            <w:shd w:val="clear" w:color="auto" w:fill="C6EFCE"/>
            <w:noWrap/>
          </w:tcPr>
          <w:p w14:paraId="7B7C3AF5" w14:textId="1131E7A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submitted</w:t>
            </w:r>
          </w:p>
        </w:tc>
        <w:tc>
          <w:tcPr>
            <w:tcW w:w="992" w:type="dxa"/>
            <w:tcBorders>
              <w:top w:val="nil"/>
              <w:left w:val="nil"/>
              <w:bottom w:val="single" w:sz="4" w:space="0" w:color="auto"/>
              <w:right w:val="single" w:sz="4" w:space="0" w:color="auto"/>
            </w:tcBorders>
            <w:shd w:val="clear" w:color="auto" w:fill="C6EFCE"/>
            <w:noWrap/>
          </w:tcPr>
          <w:p w14:paraId="67EEC90E"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4EA40842" w14:textId="77777777" w:rsidR="00935FC8" w:rsidRPr="000318C2" w:rsidRDefault="00935FC8" w:rsidP="001B782A">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05DDB495"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25655B1F"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Q4</w:t>
            </w:r>
          </w:p>
        </w:tc>
        <w:tc>
          <w:tcPr>
            <w:tcW w:w="708" w:type="dxa"/>
            <w:tcBorders>
              <w:top w:val="nil"/>
              <w:left w:val="nil"/>
              <w:bottom w:val="single" w:sz="4" w:space="0" w:color="auto"/>
              <w:right w:val="single" w:sz="4" w:space="0" w:color="auto"/>
            </w:tcBorders>
            <w:shd w:val="clear" w:color="auto" w:fill="C6EFCE"/>
            <w:noWrap/>
          </w:tcPr>
          <w:p w14:paraId="3C65876F"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2025</w:t>
            </w:r>
          </w:p>
        </w:tc>
        <w:tc>
          <w:tcPr>
            <w:tcW w:w="3799" w:type="dxa"/>
            <w:tcBorders>
              <w:top w:val="nil"/>
              <w:left w:val="nil"/>
              <w:bottom w:val="single" w:sz="4" w:space="0" w:color="auto"/>
              <w:right w:val="single" w:sz="4" w:space="0" w:color="auto"/>
            </w:tcBorders>
            <w:shd w:val="clear" w:color="auto" w:fill="C6EFCE"/>
            <w:noWrap/>
          </w:tcPr>
          <w:p w14:paraId="1E0978A1"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shall be submitted by recipient entities relating to projects cumulatively awarded at least EUR 16 200 000.</w:t>
            </w:r>
          </w:p>
        </w:tc>
      </w:tr>
      <w:tr w:rsidR="00A7081A" w:rsidRPr="000318C2" w14:paraId="498856B8"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0D137011"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112</w:t>
            </w:r>
          </w:p>
        </w:tc>
        <w:tc>
          <w:tcPr>
            <w:tcW w:w="1804" w:type="dxa"/>
            <w:tcBorders>
              <w:top w:val="single" w:sz="4" w:space="0" w:color="auto"/>
              <w:left w:val="nil"/>
              <w:bottom w:val="single" w:sz="4" w:space="0" w:color="auto"/>
              <w:right w:val="single" w:sz="4" w:space="0" w:color="auto"/>
            </w:tcBorders>
            <w:shd w:val="clear" w:color="auto" w:fill="C6EFCE"/>
            <w:noWrap/>
          </w:tcPr>
          <w:p w14:paraId="3DBEE829"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P3C3I5</w:t>
            </w:r>
            <w:r w:rsidRPr="000318C2">
              <w:rPr>
                <w:rFonts w:ascii="Times New Roman" w:eastAsia="Times New Roman" w:hAnsi="Times New Roman"/>
                <w:noProof/>
                <w:sz w:val="20"/>
                <w:szCs w:val="20"/>
              </w:rPr>
              <w:t xml:space="preserve"> -</w:t>
            </w:r>
            <w:r w:rsidRPr="000318C2">
              <w:rPr>
                <w:rFonts w:ascii="Times New Roman" w:hAnsi="Times New Roman"/>
                <w:noProof/>
                <w:sz w:val="20"/>
                <w:szCs w:val="20"/>
              </w:rPr>
              <w:t xml:space="preserve"> RDI, research infrastructure and piloting – Promoting innovation and research infrastructure – Local research infrastructures </w:t>
            </w:r>
          </w:p>
        </w:tc>
        <w:tc>
          <w:tcPr>
            <w:tcW w:w="1163" w:type="dxa"/>
            <w:tcBorders>
              <w:top w:val="nil"/>
              <w:left w:val="nil"/>
              <w:bottom w:val="single" w:sz="4" w:space="0" w:color="auto"/>
              <w:right w:val="single" w:sz="4" w:space="0" w:color="auto"/>
            </w:tcBorders>
            <w:shd w:val="clear" w:color="auto" w:fill="C6EFCE"/>
            <w:noWrap/>
          </w:tcPr>
          <w:p w14:paraId="5FDD3845"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Milestone</w:t>
            </w:r>
          </w:p>
        </w:tc>
        <w:tc>
          <w:tcPr>
            <w:tcW w:w="1662" w:type="dxa"/>
            <w:tcBorders>
              <w:top w:val="single" w:sz="4" w:space="0" w:color="auto"/>
              <w:left w:val="nil"/>
              <w:bottom w:val="single" w:sz="4" w:space="0" w:color="auto"/>
              <w:right w:val="single" w:sz="4" w:space="0" w:color="auto"/>
            </w:tcBorders>
            <w:shd w:val="clear" w:color="auto" w:fill="C6EFCE"/>
            <w:noWrap/>
          </w:tcPr>
          <w:p w14:paraId="44C4A4EE"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Publication of a call for applications for the renewal and development of local research infrastructures</w:t>
            </w:r>
          </w:p>
        </w:tc>
        <w:tc>
          <w:tcPr>
            <w:tcW w:w="1891" w:type="dxa"/>
            <w:tcBorders>
              <w:top w:val="single" w:sz="4" w:space="0" w:color="auto"/>
              <w:left w:val="nil"/>
              <w:bottom w:val="single" w:sz="4" w:space="0" w:color="auto"/>
              <w:right w:val="single" w:sz="4" w:space="0" w:color="auto"/>
            </w:tcBorders>
            <w:shd w:val="clear" w:color="auto" w:fill="C6EFCE"/>
            <w:noWrap/>
          </w:tcPr>
          <w:p w14:paraId="46F80D96"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Publication of the call for applications by the Academy of Finland</w:t>
            </w:r>
          </w:p>
        </w:tc>
        <w:tc>
          <w:tcPr>
            <w:tcW w:w="992" w:type="dxa"/>
            <w:tcBorders>
              <w:top w:val="nil"/>
              <w:left w:val="nil"/>
              <w:bottom w:val="single" w:sz="4" w:space="0" w:color="auto"/>
              <w:right w:val="single" w:sz="4" w:space="0" w:color="auto"/>
            </w:tcBorders>
            <w:shd w:val="clear" w:color="auto" w:fill="C6EFCE"/>
            <w:noWrap/>
          </w:tcPr>
          <w:p w14:paraId="352E0624"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41AE53F7" w14:textId="77777777" w:rsidR="00935FC8" w:rsidRPr="000318C2" w:rsidRDefault="00935FC8" w:rsidP="001B782A">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57D8101B"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16EED2CC"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Q2</w:t>
            </w:r>
          </w:p>
        </w:tc>
        <w:tc>
          <w:tcPr>
            <w:tcW w:w="708" w:type="dxa"/>
            <w:tcBorders>
              <w:top w:val="nil"/>
              <w:left w:val="nil"/>
              <w:bottom w:val="single" w:sz="4" w:space="0" w:color="auto"/>
              <w:right w:val="single" w:sz="4" w:space="0" w:color="auto"/>
            </w:tcBorders>
            <w:shd w:val="clear" w:color="auto" w:fill="C6EFCE"/>
            <w:noWrap/>
          </w:tcPr>
          <w:p w14:paraId="6319A0AB"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2022</w:t>
            </w:r>
          </w:p>
        </w:tc>
        <w:tc>
          <w:tcPr>
            <w:tcW w:w="3799" w:type="dxa"/>
            <w:tcBorders>
              <w:top w:val="nil"/>
              <w:left w:val="nil"/>
              <w:bottom w:val="single" w:sz="4" w:space="0" w:color="auto"/>
              <w:right w:val="single" w:sz="4" w:space="0" w:color="auto"/>
            </w:tcBorders>
            <w:shd w:val="clear" w:color="auto" w:fill="C6EFCE"/>
            <w:noWrap/>
          </w:tcPr>
          <w:p w14:paraId="6935A1AD"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Academy of Finland shall launch a call for applications for development of local research infrastructures. The eligibility criteria shall ensure that the selected projects comply with the ‘Do no significant harm’ Technical Guidance (2021/C58/01) through the use of an exclusion list and the requirement of compliance with the relevant EU and national environmental legislation. Projects promoting the use of fossil fuels shall not be funded. A project proposed by a company covered by the EU Emissions Trading System (ETS) may only be financed if it significantly reduces greenhouse gas emissions. Selection criteria shall include the impact of the projects on sustainable development, green transition and digitalisation.</w:t>
            </w:r>
          </w:p>
        </w:tc>
      </w:tr>
      <w:tr w:rsidR="00A7081A" w:rsidRPr="000318C2" w14:paraId="366BB879"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0E73A7C4"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113</w:t>
            </w:r>
          </w:p>
        </w:tc>
        <w:tc>
          <w:tcPr>
            <w:tcW w:w="1804" w:type="dxa"/>
            <w:tcBorders>
              <w:top w:val="single" w:sz="4" w:space="0" w:color="auto"/>
              <w:left w:val="nil"/>
              <w:bottom w:val="single" w:sz="4" w:space="0" w:color="auto"/>
              <w:right w:val="single" w:sz="4" w:space="0" w:color="auto"/>
            </w:tcBorders>
            <w:shd w:val="clear" w:color="auto" w:fill="C6EFCE"/>
            <w:noWrap/>
          </w:tcPr>
          <w:p w14:paraId="05F7B24B"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P3C3I5</w:t>
            </w:r>
            <w:r w:rsidRPr="000318C2">
              <w:rPr>
                <w:rFonts w:ascii="Times New Roman" w:eastAsia="Times New Roman" w:hAnsi="Times New Roman"/>
                <w:noProof/>
                <w:sz w:val="20"/>
                <w:szCs w:val="20"/>
              </w:rPr>
              <w:t xml:space="preserve"> -</w:t>
            </w:r>
            <w:r w:rsidRPr="000318C2">
              <w:rPr>
                <w:rFonts w:ascii="Times New Roman" w:hAnsi="Times New Roman"/>
                <w:noProof/>
                <w:sz w:val="20"/>
                <w:szCs w:val="20"/>
              </w:rPr>
              <w:t xml:space="preserve"> RDI, research infrastructure and piloting – Promoting innovation and research infrastructure – Local research infrastructures </w:t>
            </w:r>
          </w:p>
        </w:tc>
        <w:tc>
          <w:tcPr>
            <w:tcW w:w="1163" w:type="dxa"/>
            <w:tcBorders>
              <w:top w:val="nil"/>
              <w:left w:val="nil"/>
              <w:bottom w:val="single" w:sz="4" w:space="0" w:color="auto"/>
              <w:right w:val="single" w:sz="4" w:space="0" w:color="auto"/>
            </w:tcBorders>
            <w:shd w:val="clear" w:color="auto" w:fill="C6EFCE"/>
            <w:noWrap/>
          </w:tcPr>
          <w:p w14:paraId="0A7FA18B"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Target</w:t>
            </w:r>
          </w:p>
        </w:tc>
        <w:tc>
          <w:tcPr>
            <w:tcW w:w="1662" w:type="dxa"/>
            <w:tcBorders>
              <w:top w:val="single" w:sz="4" w:space="0" w:color="auto"/>
              <w:left w:val="nil"/>
              <w:bottom w:val="single" w:sz="4" w:space="0" w:color="auto"/>
              <w:right w:val="single" w:sz="4" w:space="0" w:color="auto"/>
            </w:tcBorders>
            <w:shd w:val="clear" w:color="auto" w:fill="C6EFCE"/>
            <w:noWrap/>
          </w:tcPr>
          <w:p w14:paraId="5D65111C"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xml:space="preserve">Award of grants for the renewal and development of local research infrastructures </w:t>
            </w:r>
          </w:p>
        </w:tc>
        <w:tc>
          <w:tcPr>
            <w:tcW w:w="1891" w:type="dxa"/>
            <w:tcBorders>
              <w:top w:val="nil"/>
              <w:left w:val="nil"/>
              <w:bottom w:val="single" w:sz="4" w:space="0" w:color="auto"/>
              <w:right w:val="single" w:sz="4" w:space="0" w:color="auto"/>
            </w:tcBorders>
            <w:shd w:val="clear" w:color="auto" w:fill="C6EFCE"/>
            <w:noWrap/>
          </w:tcPr>
          <w:p w14:paraId="094E412F"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w:t>
            </w:r>
          </w:p>
        </w:tc>
        <w:tc>
          <w:tcPr>
            <w:tcW w:w="992" w:type="dxa"/>
            <w:tcBorders>
              <w:top w:val="nil"/>
              <w:left w:val="nil"/>
              <w:bottom w:val="single" w:sz="4" w:space="0" w:color="auto"/>
              <w:right w:val="single" w:sz="4" w:space="0" w:color="auto"/>
            </w:tcBorders>
            <w:shd w:val="clear" w:color="auto" w:fill="C6EFCE"/>
            <w:noWrap/>
          </w:tcPr>
          <w:p w14:paraId="1A274BAB"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Number</w:t>
            </w:r>
          </w:p>
        </w:tc>
        <w:tc>
          <w:tcPr>
            <w:tcW w:w="993" w:type="dxa"/>
            <w:tcBorders>
              <w:top w:val="nil"/>
              <w:left w:val="nil"/>
              <w:bottom w:val="single" w:sz="4" w:space="0" w:color="auto"/>
              <w:right w:val="single" w:sz="4" w:space="0" w:color="auto"/>
            </w:tcBorders>
            <w:shd w:val="clear" w:color="auto" w:fill="C6EFCE"/>
            <w:noWrap/>
          </w:tcPr>
          <w:p w14:paraId="708E9D4F"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0</w:t>
            </w:r>
          </w:p>
        </w:tc>
        <w:tc>
          <w:tcPr>
            <w:tcW w:w="708" w:type="dxa"/>
            <w:tcBorders>
              <w:top w:val="nil"/>
              <w:left w:val="nil"/>
              <w:bottom w:val="single" w:sz="4" w:space="0" w:color="auto"/>
              <w:right w:val="single" w:sz="4" w:space="0" w:color="auto"/>
            </w:tcBorders>
            <w:shd w:val="clear" w:color="auto" w:fill="C6EFCE"/>
            <w:noWrap/>
          </w:tcPr>
          <w:p w14:paraId="2A35D6C3"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10</w:t>
            </w:r>
          </w:p>
        </w:tc>
        <w:tc>
          <w:tcPr>
            <w:tcW w:w="993" w:type="dxa"/>
            <w:tcBorders>
              <w:top w:val="nil"/>
              <w:left w:val="nil"/>
              <w:bottom w:val="single" w:sz="4" w:space="0" w:color="auto"/>
              <w:right w:val="single" w:sz="4" w:space="0" w:color="auto"/>
            </w:tcBorders>
            <w:shd w:val="clear" w:color="auto" w:fill="C6EFCE"/>
            <w:noWrap/>
          </w:tcPr>
          <w:p w14:paraId="6E7CC271"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Q4</w:t>
            </w:r>
          </w:p>
        </w:tc>
        <w:tc>
          <w:tcPr>
            <w:tcW w:w="708" w:type="dxa"/>
            <w:tcBorders>
              <w:top w:val="nil"/>
              <w:left w:val="nil"/>
              <w:bottom w:val="single" w:sz="4" w:space="0" w:color="auto"/>
              <w:right w:val="single" w:sz="4" w:space="0" w:color="auto"/>
            </w:tcBorders>
            <w:shd w:val="clear" w:color="auto" w:fill="C6EFCE"/>
            <w:noWrap/>
          </w:tcPr>
          <w:p w14:paraId="433C4D74"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2022</w:t>
            </w:r>
          </w:p>
        </w:tc>
        <w:tc>
          <w:tcPr>
            <w:tcW w:w="3799" w:type="dxa"/>
            <w:tcBorders>
              <w:top w:val="nil"/>
              <w:left w:val="nil"/>
              <w:bottom w:val="single" w:sz="4" w:space="0" w:color="auto"/>
              <w:right w:val="single" w:sz="4" w:space="0" w:color="auto"/>
            </w:tcBorders>
            <w:shd w:val="clear" w:color="auto" w:fill="C6EFCE"/>
            <w:noWrap/>
          </w:tcPr>
          <w:p w14:paraId="7B744443" w14:textId="4FADA4D9"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Notification by the Academy of Finland of the award of at least 10 grants for projects selected in accordance with the eligibility/selection criteria specified in milestone 112.</w:t>
            </w:r>
          </w:p>
        </w:tc>
      </w:tr>
      <w:tr w:rsidR="00A7081A" w:rsidRPr="000318C2" w14:paraId="417048AE"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5D90D6CB"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114</w:t>
            </w:r>
          </w:p>
        </w:tc>
        <w:tc>
          <w:tcPr>
            <w:tcW w:w="1804" w:type="dxa"/>
            <w:tcBorders>
              <w:top w:val="nil"/>
              <w:left w:val="nil"/>
              <w:bottom w:val="single" w:sz="4" w:space="0" w:color="auto"/>
              <w:right w:val="single" w:sz="4" w:space="0" w:color="auto"/>
            </w:tcBorders>
            <w:shd w:val="clear" w:color="auto" w:fill="C6EFCE"/>
            <w:noWrap/>
          </w:tcPr>
          <w:p w14:paraId="188D059C"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P3C3I5</w:t>
            </w:r>
            <w:r w:rsidRPr="000318C2">
              <w:rPr>
                <w:rFonts w:ascii="Times New Roman" w:eastAsia="Times New Roman" w:hAnsi="Times New Roman"/>
                <w:noProof/>
                <w:sz w:val="20"/>
                <w:szCs w:val="20"/>
              </w:rPr>
              <w:t xml:space="preserve"> -</w:t>
            </w:r>
            <w:r w:rsidRPr="000318C2">
              <w:rPr>
                <w:rFonts w:ascii="Times New Roman" w:hAnsi="Times New Roman"/>
                <w:noProof/>
                <w:sz w:val="20"/>
                <w:szCs w:val="20"/>
              </w:rPr>
              <w:t xml:space="preserve"> RDI, research infrastructure and piloting – Promoting innovation and research infrastructure – Local research infrastructures </w:t>
            </w:r>
          </w:p>
        </w:tc>
        <w:tc>
          <w:tcPr>
            <w:tcW w:w="1163" w:type="dxa"/>
            <w:tcBorders>
              <w:top w:val="nil"/>
              <w:left w:val="nil"/>
              <w:bottom w:val="single" w:sz="4" w:space="0" w:color="auto"/>
              <w:right w:val="single" w:sz="4" w:space="0" w:color="auto"/>
            </w:tcBorders>
            <w:shd w:val="clear" w:color="auto" w:fill="C6EFCE"/>
            <w:noWrap/>
          </w:tcPr>
          <w:p w14:paraId="751CFFAB"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Milestone</w:t>
            </w:r>
          </w:p>
        </w:tc>
        <w:tc>
          <w:tcPr>
            <w:tcW w:w="1662" w:type="dxa"/>
            <w:tcBorders>
              <w:top w:val="nil"/>
              <w:left w:val="nil"/>
              <w:bottom w:val="single" w:sz="4" w:space="0" w:color="auto"/>
              <w:right w:val="single" w:sz="4" w:space="0" w:color="auto"/>
            </w:tcBorders>
            <w:shd w:val="clear" w:color="auto" w:fill="C6EFCE"/>
            <w:noWrap/>
          </w:tcPr>
          <w:p w14:paraId="748946B1"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submitted</w:t>
            </w:r>
          </w:p>
        </w:tc>
        <w:tc>
          <w:tcPr>
            <w:tcW w:w="1891" w:type="dxa"/>
            <w:tcBorders>
              <w:top w:val="nil"/>
              <w:left w:val="nil"/>
              <w:bottom w:val="single" w:sz="4" w:space="0" w:color="auto"/>
              <w:right w:val="single" w:sz="4" w:space="0" w:color="auto"/>
            </w:tcBorders>
            <w:shd w:val="clear" w:color="auto" w:fill="C6EFCE"/>
            <w:noWrap/>
          </w:tcPr>
          <w:p w14:paraId="5169F301" w14:textId="4290A2E5"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submitted</w:t>
            </w:r>
          </w:p>
        </w:tc>
        <w:tc>
          <w:tcPr>
            <w:tcW w:w="992" w:type="dxa"/>
            <w:tcBorders>
              <w:top w:val="nil"/>
              <w:left w:val="nil"/>
              <w:bottom w:val="single" w:sz="4" w:space="0" w:color="auto"/>
              <w:right w:val="single" w:sz="4" w:space="0" w:color="auto"/>
            </w:tcBorders>
            <w:shd w:val="clear" w:color="auto" w:fill="C6EFCE"/>
            <w:noWrap/>
          </w:tcPr>
          <w:p w14:paraId="689C4D32"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4F4A5D37" w14:textId="77777777" w:rsidR="00935FC8" w:rsidRPr="000318C2" w:rsidRDefault="00935FC8" w:rsidP="001B782A">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72E6EFF4"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20904FD7"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Q2</w:t>
            </w:r>
          </w:p>
        </w:tc>
        <w:tc>
          <w:tcPr>
            <w:tcW w:w="708" w:type="dxa"/>
            <w:tcBorders>
              <w:top w:val="nil"/>
              <w:left w:val="nil"/>
              <w:bottom w:val="single" w:sz="4" w:space="0" w:color="auto"/>
              <w:right w:val="single" w:sz="4" w:space="0" w:color="auto"/>
            </w:tcBorders>
            <w:shd w:val="clear" w:color="auto" w:fill="C6EFCE"/>
            <w:noWrap/>
          </w:tcPr>
          <w:p w14:paraId="5B53A9AB"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2026</w:t>
            </w:r>
          </w:p>
        </w:tc>
        <w:tc>
          <w:tcPr>
            <w:tcW w:w="3799" w:type="dxa"/>
            <w:tcBorders>
              <w:top w:val="nil"/>
              <w:left w:val="nil"/>
              <w:bottom w:val="single" w:sz="4" w:space="0" w:color="auto"/>
              <w:right w:val="single" w:sz="4" w:space="0" w:color="auto"/>
            </w:tcBorders>
            <w:shd w:val="clear" w:color="auto" w:fill="C6EFCE"/>
            <w:noWrap/>
          </w:tcPr>
          <w:p w14:paraId="33A0F8A9" w14:textId="539A02EE"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shall be submitted by recipient entities relating to projects cumulatively awarded at least EUR 22 725 000</w:t>
            </w:r>
            <w:r w:rsidR="001B782A" w:rsidRPr="000318C2">
              <w:rPr>
                <w:rFonts w:ascii="Times New Roman" w:hAnsi="Times New Roman"/>
                <w:noProof/>
                <w:sz w:val="20"/>
                <w:szCs w:val="20"/>
              </w:rPr>
              <w:t>.</w:t>
            </w:r>
          </w:p>
        </w:tc>
      </w:tr>
      <w:tr w:rsidR="00A7081A" w:rsidRPr="000318C2" w14:paraId="5D3D5542"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0BA11A86"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115</w:t>
            </w:r>
          </w:p>
        </w:tc>
        <w:tc>
          <w:tcPr>
            <w:tcW w:w="1804" w:type="dxa"/>
            <w:tcBorders>
              <w:top w:val="single" w:sz="4" w:space="0" w:color="auto"/>
              <w:left w:val="nil"/>
              <w:bottom w:val="single" w:sz="4" w:space="0" w:color="auto"/>
              <w:right w:val="single" w:sz="4" w:space="0" w:color="auto"/>
            </w:tcBorders>
            <w:shd w:val="clear" w:color="auto" w:fill="C6EFCE"/>
            <w:noWrap/>
          </w:tcPr>
          <w:p w14:paraId="3E833BF4"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P3C3I6</w:t>
            </w:r>
            <w:r w:rsidRPr="000318C2">
              <w:rPr>
                <w:rFonts w:ascii="Times New Roman" w:eastAsia="Times New Roman" w:hAnsi="Times New Roman"/>
                <w:noProof/>
                <w:sz w:val="20"/>
                <w:szCs w:val="20"/>
              </w:rPr>
              <w:t xml:space="preserve"> -</w:t>
            </w:r>
            <w:r w:rsidRPr="000318C2">
              <w:rPr>
                <w:rFonts w:ascii="Times New Roman" w:hAnsi="Times New Roman"/>
                <w:noProof/>
                <w:sz w:val="20"/>
                <w:szCs w:val="20"/>
              </w:rPr>
              <w:t xml:space="preserve"> RDI, research infrastructure and piloting – Promoting innovation and research infrastructure – National research infrastructures </w:t>
            </w:r>
          </w:p>
        </w:tc>
        <w:tc>
          <w:tcPr>
            <w:tcW w:w="1163" w:type="dxa"/>
            <w:tcBorders>
              <w:top w:val="nil"/>
              <w:left w:val="nil"/>
              <w:bottom w:val="single" w:sz="4" w:space="0" w:color="auto"/>
              <w:right w:val="single" w:sz="4" w:space="0" w:color="auto"/>
            </w:tcBorders>
            <w:shd w:val="clear" w:color="auto" w:fill="C6EFCE"/>
            <w:noWrap/>
          </w:tcPr>
          <w:p w14:paraId="4B9FDF19"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Milestone</w:t>
            </w:r>
          </w:p>
        </w:tc>
        <w:tc>
          <w:tcPr>
            <w:tcW w:w="1662" w:type="dxa"/>
            <w:tcBorders>
              <w:top w:val="single" w:sz="4" w:space="0" w:color="auto"/>
              <w:left w:val="nil"/>
              <w:bottom w:val="single" w:sz="4" w:space="0" w:color="auto"/>
              <w:right w:val="single" w:sz="4" w:space="0" w:color="auto"/>
            </w:tcBorders>
            <w:shd w:val="clear" w:color="auto" w:fill="C6EFCE"/>
            <w:noWrap/>
          </w:tcPr>
          <w:p w14:paraId="4F3EABA8"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Publication of a call for applications for the renewal and development of national research infrastructures</w:t>
            </w:r>
          </w:p>
        </w:tc>
        <w:tc>
          <w:tcPr>
            <w:tcW w:w="1891" w:type="dxa"/>
            <w:tcBorders>
              <w:top w:val="single" w:sz="4" w:space="0" w:color="auto"/>
              <w:left w:val="nil"/>
              <w:bottom w:val="single" w:sz="4" w:space="0" w:color="auto"/>
              <w:right w:val="single" w:sz="4" w:space="0" w:color="auto"/>
            </w:tcBorders>
            <w:shd w:val="clear" w:color="auto" w:fill="C6EFCE"/>
            <w:noWrap/>
          </w:tcPr>
          <w:p w14:paraId="324C2340"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Publication of the call for applications by the Academy of Finland</w:t>
            </w:r>
          </w:p>
        </w:tc>
        <w:tc>
          <w:tcPr>
            <w:tcW w:w="992" w:type="dxa"/>
            <w:tcBorders>
              <w:top w:val="nil"/>
              <w:left w:val="nil"/>
              <w:bottom w:val="single" w:sz="4" w:space="0" w:color="auto"/>
              <w:right w:val="single" w:sz="4" w:space="0" w:color="auto"/>
            </w:tcBorders>
            <w:shd w:val="clear" w:color="auto" w:fill="C6EFCE"/>
            <w:noWrap/>
          </w:tcPr>
          <w:p w14:paraId="2DF11236"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145471CB" w14:textId="77777777" w:rsidR="00935FC8" w:rsidRPr="000318C2" w:rsidRDefault="00935FC8" w:rsidP="001B782A">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069E39DD"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7F1E80D7"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Q2</w:t>
            </w:r>
          </w:p>
        </w:tc>
        <w:tc>
          <w:tcPr>
            <w:tcW w:w="708" w:type="dxa"/>
            <w:tcBorders>
              <w:top w:val="nil"/>
              <w:left w:val="nil"/>
              <w:bottom w:val="single" w:sz="4" w:space="0" w:color="auto"/>
              <w:right w:val="single" w:sz="4" w:space="0" w:color="auto"/>
            </w:tcBorders>
            <w:shd w:val="clear" w:color="auto" w:fill="C6EFCE"/>
            <w:noWrap/>
          </w:tcPr>
          <w:p w14:paraId="5041A2BA"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2021</w:t>
            </w:r>
          </w:p>
        </w:tc>
        <w:tc>
          <w:tcPr>
            <w:tcW w:w="3799" w:type="dxa"/>
            <w:tcBorders>
              <w:top w:val="nil"/>
              <w:left w:val="nil"/>
              <w:bottom w:val="single" w:sz="4" w:space="0" w:color="auto"/>
              <w:right w:val="single" w:sz="4" w:space="0" w:color="auto"/>
            </w:tcBorders>
            <w:shd w:val="clear" w:color="auto" w:fill="C6EFCE"/>
            <w:noWrap/>
          </w:tcPr>
          <w:p w14:paraId="010CA5B2"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Academy of Finland shall launch a call for applications for national research infrastructures. The eligibility criteria shall ensure that the selected projects comply with the ‘Do no significant harm’ Technical Guidance (2021/C58/01) through the use of an exclusion list and the requirement of compliance with the relevant EU and national environmental legislation. Projects promoting the use of fossil fuels shall not be funded. A project proposed by a company covered by the EU Emissions Trading System (ETS) may only be financed if it significantly reduces greenhouse gas emissions. Selection criteria shall include the impact of the projects on sustainable development, green transition and digitalisation. In the selection of projects, it shall also be ensured that at least EUR 8</w:t>
            </w:r>
            <w:r w:rsidRPr="000318C2">
              <w:rPr>
                <w:rFonts w:ascii="Times New Roman" w:eastAsia="Times New Roman" w:hAnsi="Times New Roman"/>
                <w:noProof/>
                <w:sz w:val="20"/>
                <w:szCs w:val="20"/>
                <w:lang w:eastAsia="en-GB"/>
              </w:rPr>
              <w:t> </w:t>
            </w:r>
            <w:r w:rsidRPr="000318C2">
              <w:rPr>
                <w:rFonts w:ascii="Times New Roman" w:hAnsi="Times New Roman"/>
                <w:noProof/>
                <w:sz w:val="20"/>
                <w:szCs w:val="20"/>
              </w:rPr>
              <w:t>000</w:t>
            </w:r>
            <w:r w:rsidRPr="000318C2">
              <w:rPr>
                <w:rFonts w:ascii="Times New Roman" w:eastAsia="Times New Roman" w:hAnsi="Times New Roman"/>
                <w:noProof/>
                <w:sz w:val="20"/>
                <w:szCs w:val="20"/>
                <w:lang w:eastAsia="en-GB"/>
              </w:rPr>
              <w:t> </w:t>
            </w:r>
            <w:r w:rsidRPr="000318C2">
              <w:rPr>
                <w:rFonts w:ascii="Times New Roman" w:hAnsi="Times New Roman"/>
                <w:noProof/>
                <w:sz w:val="20"/>
                <w:szCs w:val="20"/>
              </w:rPr>
              <w:t>000 shall be allocated in accordance with the intervention field 009bis (Investment in digital-related R&amp;I activities) in Annex VII to the RRF Regulation.</w:t>
            </w:r>
          </w:p>
        </w:tc>
      </w:tr>
      <w:tr w:rsidR="00A7081A" w:rsidRPr="000318C2" w14:paraId="7F5458C4"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14FCBCA4"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116</w:t>
            </w:r>
          </w:p>
        </w:tc>
        <w:tc>
          <w:tcPr>
            <w:tcW w:w="1804" w:type="dxa"/>
            <w:tcBorders>
              <w:top w:val="single" w:sz="4" w:space="0" w:color="auto"/>
              <w:left w:val="nil"/>
              <w:bottom w:val="single" w:sz="4" w:space="0" w:color="auto"/>
              <w:right w:val="single" w:sz="4" w:space="0" w:color="auto"/>
            </w:tcBorders>
            <w:shd w:val="clear" w:color="auto" w:fill="C6EFCE"/>
            <w:noWrap/>
          </w:tcPr>
          <w:p w14:paraId="3EDDA197"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P3C3I6</w:t>
            </w:r>
            <w:r w:rsidRPr="000318C2">
              <w:rPr>
                <w:rFonts w:ascii="Times New Roman" w:eastAsia="Times New Roman" w:hAnsi="Times New Roman"/>
                <w:noProof/>
                <w:sz w:val="20"/>
                <w:szCs w:val="20"/>
              </w:rPr>
              <w:t xml:space="preserve"> -</w:t>
            </w:r>
            <w:r w:rsidRPr="000318C2">
              <w:rPr>
                <w:rFonts w:ascii="Times New Roman" w:hAnsi="Times New Roman"/>
                <w:noProof/>
                <w:sz w:val="20"/>
                <w:szCs w:val="20"/>
              </w:rPr>
              <w:t xml:space="preserve"> RDI, research infrastructure and piloting – Promoting innovation and research infrastructure – National research infrastructures </w:t>
            </w:r>
          </w:p>
        </w:tc>
        <w:tc>
          <w:tcPr>
            <w:tcW w:w="1163" w:type="dxa"/>
            <w:tcBorders>
              <w:top w:val="nil"/>
              <w:left w:val="nil"/>
              <w:bottom w:val="single" w:sz="4" w:space="0" w:color="auto"/>
              <w:right w:val="single" w:sz="4" w:space="0" w:color="auto"/>
            </w:tcBorders>
            <w:shd w:val="clear" w:color="auto" w:fill="C6EFCE"/>
            <w:noWrap/>
          </w:tcPr>
          <w:p w14:paraId="578CF8AB"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Target</w:t>
            </w:r>
          </w:p>
        </w:tc>
        <w:tc>
          <w:tcPr>
            <w:tcW w:w="1662" w:type="dxa"/>
            <w:tcBorders>
              <w:top w:val="single" w:sz="4" w:space="0" w:color="auto"/>
              <w:left w:val="nil"/>
              <w:bottom w:val="single" w:sz="4" w:space="0" w:color="auto"/>
              <w:right w:val="single" w:sz="4" w:space="0" w:color="auto"/>
            </w:tcBorders>
            <w:shd w:val="clear" w:color="auto" w:fill="C6EFCE"/>
            <w:noWrap/>
          </w:tcPr>
          <w:p w14:paraId="562C97A7"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xml:space="preserve">Award of grants for the renewal and development of national research infrastructures </w:t>
            </w:r>
          </w:p>
        </w:tc>
        <w:tc>
          <w:tcPr>
            <w:tcW w:w="1891" w:type="dxa"/>
            <w:tcBorders>
              <w:top w:val="nil"/>
              <w:left w:val="nil"/>
              <w:bottom w:val="single" w:sz="4" w:space="0" w:color="auto"/>
              <w:right w:val="single" w:sz="4" w:space="0" w:color="auto"/>
            </w:tcBorders>
            <w:shd w:val="clear" w:color="auto" w:fill="C6EFCE"/>
            <w:noWrap/>
          </w:tcPr>
          <w:p w14:paraId="07C2D237"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w:t>
            </w:r>
          </w:p>
        </w:tc>
        <w:tc>
          <w:tcPr>
            <w:tcW w:w="992" w:type="dxa"/>
            <w:tcBorders>
              <w:top w:val="nil"/>
              <w:left w:val="nil"/>
              <w:bottom w:val="single" w:sz="4" w:space="0" w:color="auto"/>
              <w:right w:val="single" w:sz="4" w:space="0" w:color="auto"/>
            </w:tcBorders>
            <w:shd w:val="clear" w:color="auto" w:fill="C6EFCE"/>
            <w:noWrap/>
          </w:tcPr>
          <w:p w14:paraId="580734B6"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Number</w:t>
            </w:r>
          </w:p>
        </w:tc>
        <w:tc>
          <w:tcPr>
            <w:tcW w:w="993" w:type="dxa"/>
            <w:tcBorders>
              <w:top w:val="nil"/>
              <w:left w:val="nil"/>
              <w:bottom w:val="single" w:sz="4" w:space="0" w:color="auto"/>
              <w:right w:val="single" w:sz="4" w:space="0" w:color="auto"/>
            </w:tcBorders>
            <w:shd w:val="clear" w:color="auto" w:fill="C6EFCE"/>
            <w:noWrap/>
          </w:tcPr>
          <w:p w14:paraId="277E14D1"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0</w:t>
            </w:r>
          </w:p>
        </w:tc>
        <w:tc>
          <w:tcPr>
            <w:tcW w:w="708" w:type="dxa"/>
            <w:tcBorders>
              <w:top w:val="nil"/>
              <w:left w:val="nil"/>
              <w:bottom w:val="single" w:sz="4" w:space="0" w:color="auto"/>
              <w:right w:val="single" w:sz="4" w:space="0" w:color="auto"/>
            </w:tcBorders>
            <w:shd w:val="clear" w:color="auto" w:fill="C6EFCE"/>
            <w:noWrap/>
          </w:tcPr>
          <w:p w14:paraId="2AF16294"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6</w:t>
            </w:r>
          </w:p>
        </w:tc>
        <w:tc>
          <w:tcPr>
            <w:tcW w:w="993" w:type="dxa"/>
            <w:tcBorders>
              <w:top w:val="nil"/>
              <w:left w:val="nil"/>
              <w:bottom w:val="single" w:sz="4" w:space="0" w:color="auto"/>
              <w:right w:val="single" w:sz="4" w:space="0" w:color="auto"/>
            </w:tcBorders>
            <w:shd w:val="clear" w:color="auto" w:fill="C6EFCE"/>
            <w:noWrap/>
          </w:tcPr>
          <w:p w14:paraId="095F9AA4"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Q2</w:t>
            </w:r>
          </w:p>
        </w:tc>
        <w:tc>
          <w:tcPr>
            <w:tcW w:w="708" w:type="dxa"/>
            <w:tcBorders>
              <w:top w:val="nil"/>
              <w:left w:val="nil"/>
              <w:bottom w:val="single" w:sz="4" w:space="0" w:color="auto"/>
              <w:right w:val="single" w:sz="4" w:space="0" w:color="auto"/>
            </w:tcBorders>
            <w:shd w:val="clear" w:color="auto" w:fill="C6EFCE"/>
            <w:noWrap/>
          </w:tcPr>
          <w:p w14:paraId="33BC3502"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2022</w:t>
            </w:r>
          </w:p>
        </w:tc>
        <w:tc>
          <w:tcPr>
            <w:tcW w:w="3799" w:type="dxa"/>
            <w:tcBorders>
              <w:top w:val="nil"/>
              <w:left w:val="nil"/>
              <w:bottom w:val="single" w:sz="4" w:space="0" w:color="auto"/>
              <w:right w:val="single" w:sz="4" w:space="0" w:color="auto"/>
            </w:tcBorders>
            <w:shd w:val="clear" w:color="auto" w:fill="C6EFCE"/>
            <w:noWrap/>
          </w:tcPr>
          <w:p w14:paraId="564A66BE"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xml:space="preserve">Notification by the Academy of Finland of the award of at least 6 grants for projects selected in accordance with the eligibility/selection criteria specified in milestone 115. </w:t>
            </w:r>
          </w:p>
        </w:tc>
      </w:tr>
      <w:tr w:rsidR="00A7081A" w:rsidRPr="000318C2" w14:paraId="53A9A1DE"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61DE5DEC"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117</w:t>
            </w:r>
          </w:p>
        </w:tc>
        <w:tc>
          <w:tcPr>
            <w:tcW w:w="1804" w:type="dxa"/>
            <w:tcBorders>
              <w:top w:val="nil"/>
              <w:left w:val="nil"/>
              <w:bottom w:val="single" w:sz="4" w:space="0" w:color="auto"/>
              <w:right w:val="single" w:sz="4" w:space="0" w:color="auto"/>
            </w:tcBorders>
            <w:shd w:val="clear" w:color="auto" w:fill="C6EFCE"/>
            <w:noWrap/>
          </w:tcPr>
          <w:p w14:paraId="2AC6175A"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P3C3I6</w:t>
            </w:r>
            <w:r w:rsidRPr="000318C2">
              <w:rPr>
                <w:rFonts w:ascii="Times New Roman" w:eastAsia="Times New Roman" w:hAnsi="Times New Roman"/>
                <w:noProof/>
                <w:sz w:val="20"/>
                <w:szCs w:val="20"/>
              </w:rPr>
              <w:t xml:space="preserve"> -</w:t>
            </w:r>
            <w:r w:rsidRPr="000318C2">
              <w:rPr>
                <w:rFonts w:ascii="Times New Roman" w:hAnsi="Times New Roman"/>
                <w:noProof/>
                <w:sz w:val="20"/>
                <w:szCs w:val="20"/>
              </w:rPr>
              <w:t xml:space="preserve"> RDI, research infrastructure and piloting – Promoting innovation and research infrastructure – National research infrastructures </w:t>
            </w:r>
          </w:p>
        </w:tc>
        <w:tc>
          <w:tcPr>
            <w:tcW w:w="1163" w:type="dxa"/>
            <w:tcBorders>
              <w:top w:val="nil"/>
              <w:left w:val="nil"/>
              <w:bottom w:val="single" w:sz="4" w:space="0" w:color="auto"/>
              <w:right w:val="single" w:sz="4" w:space="0" w:color="auto"/>
            </w:tcBorders>
            <w:shd w:val="clear" w:color="auto" w:fill="C6EFCE"/>
            <w:noWrap/>
          </w:tcPr>
          <w:p w14:paraId="0C7AB1C3"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Milestone</w:t>
            </w:r>
          </w:p>
        </w:tc>
        <w:tc>
          <w:tcPr>
            <w:tcW w:w="1662" w:type="dxa"/>
            <w:tcBorders>
              <w:top w:val="nil"/>
              <w:left w:val="nil"/>
              <w:bottom w:val="single" w:sz="4" w:space="0" w:color="auto"/>
              <w:right w:val="single" w:sz="4" w:space="0" w:color="auto"/>
            </w:tcBorders>
            <w:shd w:val="clear" w:color="auto" w:fill="C6EFCE"/>
            <w:noWrap/>
          </w:tcPr>
          <w:p w14:paraId="5A02460D"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submitted</w:t>
            </w:r>
          </w:p>
        </w:tc>
        <w:tc>
          <w:tcPr>
            <w:tcW w:w="1891" w:type="dxa"/>
            <w:tcBorders>
              <w:top w:val="nil"/>
              <w:left w:val="nil"/>
              <w:bottom w:val="single" w:sz="4" w:space="0" w:color="auto"/>
              <w:right w:val="single" w:sz="4" w:space="0" w:color="auto"/>
            </w:tcBorders>
            <w:shd w:val="clear" w:color="auto" w:fill="C6EFCE"/>
            <w:noWrap/>
          </w:tcPr>
          <w:p w14:paraId="2446541D" w14:textId="41C611FE"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submitted</w:t>
            </w:r>
          </w:p>
        </w:tc>
        <w:tc>
          <w:tcPr>
            <w:tcW w:w="992" w:type="dxa"/>
            <w:tcBorders>
              <w:top w:val="nil"/>
              <w:left w:val="nil"/>
              <w:bottom w:val="single" w:sz="4" w:space="0" w:color="auto"/>
              <w:right w:val="single" w:sz="4" w:space="0" w:color="auto"/>
            </w:tcBorders>
            <w:shd w:val="clear" w:color="auto" w:fill="C6EFCE"/>
            <w:noWrap/>
          </w:tcPr>
          <w:p w14:paraId="3915ABE3"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0F6FE4A8" w14:textId="77777777" w:rsidR="00935FC8" w:rsidRPr="000318C2" w:rsidRDefault="00935FC8" w:rsidP="001B782A">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52A3B58E"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6D78EF16"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Q2</w:t>
            </w:r>
          </w:p>
        </w:tc>
        <w:tc>
          <w:tcPr>
            <w:tcW w:w="708" w:type="dxa"/>
            <w:tcBorders>
              <w:top w:val="nil"/>
              <w:left w:val="nil"/>
              <w:bottom w:val="single" w:sz="4" w:space="0" w:color="auto"/>
              <w:right w:val="single" w:sz="4" w:space="0" w:color="auto"/>
            </w:tcBorders>
            <w:shd w:val="clear" w:color="auto" w:fill="C6EFCE"/>
            <w:noWrap/>
          </w:tcPr>
          <w:p w14:paraId="53790B6A"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2026</w:t>
            </w:r>
          </w:p>
        </w:tc>
        <w:tc>
          <w:tcPr>
            <w:tcW w:w="3799" w:type="dxa"/>
            <w:tcBorders>
              <w:top w:val="nil"/>
              <w:left w:val="nil"/>
              <w:bottom w:val="single" w:sz="4" w:space="0" w:color="auto"/>
              <w:right w:val="single" w:sz="4" w:space="0" w:color="auto"/>
            </w:tcBorders>
            <w:shd w:val="clear" w:color="auto" w:fill="C6EFCE"/>
            <w:noWrap/>
          </w:tcPr>
          <w:p w14:paraId="65B7B50D"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shall be submitted by recipient entities relating to projects cumulatively awarded at least EUR 18 000 000.</w:t>
            </w:r>
          </w:p>
        </w:tc>
      </w:tr>
      <w:tr w:rsidR="00A7081A" w:rsidRPr="000318C2" w14:paraId="4D5E2B52"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2DB39BF0"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118</w:t>
            </w:r>
          </w:p>
        </w:tc>
        <w:tc>
          <w:tcPr>
            <w:tcW w:w="1804" w:type="dxa"/>
            <w:tcBorders>
              <w:top w:val="single" w:sz="4" w:space="0" w:color="auto"/>
              <w:left w:val="nil"/>
              <w:bottom w:val="single" w:sz="4" w:space="0" w:color="auto"/>
              <w:right w:val="single" w:sz="4" w:space="0" w:color="auto"/>
            </w:tcBorders>
            <w:shd w:val="clear" w:color="auto" w:fill="C6EFCE"/>
            <w:noWrap/>
          </w:tcPr>
          <w:p w14:paraId="5E721B4E"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P3C3I7</w:t>
            </w:r>
            <w:r w:rsidRPr="000318C2">
              <w:rPr>
                <w:rFonts w:ascii="Times New Roman" w:eastAsia="Times New Roman" w:hAnsi="Times New Roman"/>
                <w:noProof/>
                <w:sz w:val="20"/>
                <w:szCs w:val="20"/>
              </w:rPr>
              <w:t xml:space="preserve"> -</w:t>
            </w:r>
            <w:r w:rsidRPr="000318C2">
              <w:rPr>
                <w:rFonts w:ascii="Times New Roman" w:hAnsi="Times New Roman"/>
                <w:noProof/>
                <w:sz w:val="20"/>
                <w:szCs w:val="20"/>
              </w:rPr>
              <w:t xml:space="preserve"> RDI, research infrastructure and piloting – Promoting innovation and research infrastructure – competitive funding for innovation infrastructures </w:t>
            </w:r>
          </w:p>
        </w:tc>
        <w:tc>
          <w:tcPr>
            <w:tcW w:w="1163" w:type="dxa"/>
            <w:tcBorders>
              <w:top w:val="nil"/>
              <w:left w:val="nil"/>
              <w:bottom w:val="single" w:sz="4" w:space="0" w:color="auto"/>
              <w:right w:val="single" w:sz="4" w:space="0" w:color="auto"/>
            </w:tcBorders>
            <w:shd w:val="clear" w:color="auto" w:fill="C6EFCE"/>
            <w:noWrap/>
          </w:tcPr>
          <w:p w14:paraId="5A8E665C"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Milestone</w:t>
            </w:r>
          </w:p>
        </w:tc>
        <w:tc>
          <w:tcPr>
            <w:tcW w:w="1662" w:type="dxa"/>
            <w:tcBorders>
              <w:top w:val="single" w:sz="4" w:space="0" w:color="auto"/>
              <w:left w:val="nil"/>
              <w:bottom w:val="single" w:sz="4" w:space="0" w:color="auto"/>
              <w:right w:val="single" w:sz="4" w:space="0" w:color="auto"/>
            </w:tcBorders>
            <w:shd w:val="clear" w:color="auto" w:fill="C6EFCE"/>
            <w:noWrap/>
          </w:tcPr>
          <w:p w14:paraId="23F9CE43"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Publication of a call for applications for development of innovation infrastructures</w:t>
            </w:r>
          </w:p>
        </w:tc>
        <w:tc>
          <w:tcPr>
            <w:tcW w:w="1891" w:type="dxa"/>
            <w:tcBorders>
              <w:top w:val="single" w:sz="4" w:space="0" w:color="auto"/>
              <w:left w:val="nil"/>
              <w:bottom w:val="single" w:sz="4" w:space="0" w:color="auto"/>
              <w:right w:val="single" w:sz="4" w:space="0" w:color="auto"/>
            </w:tcBorders>
            <w:shd w:val="clear" w:color="auto" w:fill="C6EFCE"/>
            <w:noWrap/>
          </w:tcPr>
          <w:p w14:paraId="416A96F6"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Publication of the call for applications by Business Finland</w:t>
            </w:r>
          </w:p>
        </w:tc>
        <w:tc>
          <w:tcPr>
            <w:tcW w:w="992" w:type="dxa"/>
            <w:tcBorders>
              <w:top w:val="nil"/>
              <w:left w:val="nil"/>
              <w:bottom w:val="single" w:sz="4" w:space="0" w:color="auto"/>
              <w:right w:val="single" w:sz="4" w:space="0" w:color="auto"/>
            </w:tcBorders>
            <w:shd w:val="clear" w:color="auto" w:fill="C6EFCE"/>
            <w:noWrap/>
          </w:tcPr>
          <w:p w14:paraId="312E452B"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57204861" w14:textId="77777777" w:rsidR="00935FC8" w:rsidRPr="000318C2" w:rsidRDefault="00935FC8" w:rsidP="001B782A">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0C858F34"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7AD368D2"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Q2</w:t>
            </w:r>
          </w:p>
        </w:tc>
        <w:tc>
          <w:tcPr>
            <w:tcW w:w="708" w:type="dxa"/>
            <w:tcBorders>
              <w:top w:val="nil"/>
              <w:left w:val="nil"/>
              <w:bottom w:val="single" w:sz="4" w:space="0" w:color="auto"/>
              <w:right w:val="single" w:sz="4" w:space="0" w:color="auto"/>
            </w:tcBorders>
            <w:shd w:val="clear" w:color="auto" w:fill="C6EFCE"/>
            <w:noWrap/>
          </w:tcPr>
          <w:p w14:paraId="1B694391"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2022</w:t>
            </w:r>
          </w:p>
        </w:tc>
        <w:tc>
          <w:tcPr>
            <w:tcW w:w="3799" w:type="dxa"/>
            <w:tcBorders>
              <w:top w:val="single" w:sz="4" w:space="0" w:color="auto"/>
              <w:left w:val="nil"/>
              <w:bottom w:val="single" w:sz="4" w:space="0" w:color="auto"/>
              <w:right w:val="single" w:sz="4" w:space="0" w:color="auto"/>
            </w:tcBorders>
            <w:shd w:val="clear" w:color="auto" w:fill="C6EFCE"/>
            <w:noWrap/>
          </w:tcPr>
          <w:p w14:paraId="3051CE25"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Business Finland shall launch a call for applications for the development of innovation infrastructures. The eligibility/selection criteria shall ensure that the intervention focuses on promoting elements directly linked to the digitalisation of business (according to intervention field 019 in Annex VII to the RRF Regulation). The eligibility criteria shall ensure that the selected projects comply with the ‘Do no significant harm’ Technical Guidance (2021/C58/01) through the use of an exclusion list and the requirement of compliance with the relevant EU and national environmental legislation. Projects promoting the use of fossil fuels shall not be funded. A project proposed by a company covered by the EU Emissions Trading System (ETS) may only be financed if it significantly reduces greenhouse gas emissions.</w:t>
            </w:r>
          </w:p>
        </w:tc>
      </w:tr>
      <w:tr w:rsidR="00A7081A" w:rsidRPr="000318C2" w14:paraId="49BB537C"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30B0C660"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119</w:t>
            </w:r>
          </w:p>
        </w:tc>
        <w:tc>
          <w:tcPr>
            <w:tcW w:w="1804" w:type="dxa"/>
            <w:tcBorders>
              <w:top w:val="single" w:sz="4" w:space="0" w:color="auto"/>
              <w:left w:val="nil"/>
              <w:bottom w:val="single" w:sz="4" w:space="0" w:color="auto"/>
              <w:right w:val="single" w:sz="4" w:space="0" w:color="auto"/>
            </w:tcBorders>
            <w:shd w:val="clear" w:color="auto" w:fill="C6EFCE"/>
            <w:noWrap/>
          </w:tcPr>
          <w:p w14:paraId="08B725B3" w14:textId="4CAEA4F0"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P3C3I7</w:t>
            </w:r>
            <w:r w:rsidRPr="000318C2">
              <w:rPr>
                <w:rFonts w:ascii="Times New Roman" w:eastAsia="Times New Roman" w:hAnsi="Times New Roman"/>
                <w:noProof/>
                <w:sz w:val="20"/>
                <w:szCs w:val="20"/>
              </w:rPr>
              <w:t xml:space="preserve"> -</w:t>
            </w:r>
            <w:r w:rsidRPr="000318C2">
              <w:rPr>
                <w:rFonts w:ascii="Times New Roman" w:hAnsi="Times New Roman"/>
                <w:noProof/>
                <w:sz w:val="20"/>
                <w:szCs w:val="20"/>
              </w:rPr>
              <w:t xml:space="preserve"> RDI, research infrastructure and piloting – Promoting innovation and research infrastructure – competitive funding for innovation infrastructures</w:t>
            </w:r>
          </w:p>
        </w:tc>
        <w:tc>
          <w:tcPr>
            <w:tcW w:w="1163" w:type="dxa"/>
            <w:tcBorders>
              <w:top w:val="nil"/>
              <w:left w:val="nil"/>
              <w:bottom w:val="single" w:sz="4" w:space="0" w:color="auto"/>
              <w:right w:val="single" w:sz="4" w:space="0" w:color="auto"/>
            </w:tcBorders>
            <w:shd w:val="clear" w:color="auto" w:fill="C6EFCE"/>
            <w:noWrap/>
          </w:tcPr>
          <w:p w14:paraId="752DE8D0"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Target</w:t>
            </w:r>
          </w:p>
        </w:tc>
        <w:tc>
          <w:tcPr>
            <w:tcW w:w="1662" w:type="dxa"/>
            <w:tcBorders>
              <w:top w:val="single" w:sz="4" w:space="0" w:color="auto"/>
              <w:left w:val="nil"/>
              <w:bottom w:val="single" w:sz="4" w:space="0" w:color="auto"/>
              <w:right w:val="single" w:sz="4" w:space="0" w:color="auto"/>
            </w:tcBorders>
            <w:shd w:val="clear" w:color="auto" w:fill="C6EFCE"/>
            <w:noWrap/>
          </w:tcPr>
          <w:p w14:paraId="7D497AE1" w14:textId="3F284CBA"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Award of grants for the development of innovation infrastructures</w:t>
            </w:r>
          </w:p>
        </w:tc>
        <w:tc>
          <w:tcPr>
            <w:tcW w:w="1891" w:type="dxa"/>
            <w:tcBorders>
              <w:top w:val="nil"/>
              <w:left w:val="nil"/>
              <w:bottom w:val="single" w:sz="4" w:space="0" w:color="auto"/>
              <w:right w:val="single" w:sz="4" w:space="0" w:color="auto"/>
            </w:tcBorders>
            <w:shd w:val="clear" w:color="auto" w:fill="C6EFCE"/>
            <w:noWrap/>
          </w:tcPr>
          <w:p w14:paraId="06FC0BBE"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w:t>
            </w:r>
          </w:p>
        </w:tc>
        <w:tc>
          <w:tcPr>
            <w:tcW w:w="992" w:type="dxa"/>
            <w:tcBorders>
              <w:top w:val="nil"/>
              <w:left w:val="nil"/>
              <w:bottom w:val="single" w:sz="4" w:space="0" w:color="auto"/>
              <w:right w:val="single" w:sz="4" w:space="0" w:color="auto"/>
            </w:tcBorders>
            <w:shd w:val="clear" w:color="auto" w:fill="C6EFCE"/>
            <w:noWrap/>
          </w:tcPr>
          <w:p w14:paraId="0E5B3132"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Number</w:t>
            </w:r>
          </w:p>
        </w:tc>
        <w:tc>
          <w:tcPr>
            <w:tcW w:w="993" w:type="dxa"/>
            <w:tcBorders>
              <w:top w:val="nil"/>
              <w:left w:val="nil"/>
              <w:bottom w:val="single" w:sz="4" w:space="0" w:color="auto"/>
              <w:right w:val="single" w:sz="4" w:space="0" w:color="auto"/>
            </w:tcBorders>
            <w:shd w:val="clear" w:color="auto" w:fill="C6EFCE"/>
            <w:noWrap/>
          </w:tcPr>
          <w:p w14:paraId="5B7B1557"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0</w:t>
            </w:r>
          </w:p>
        </w:tc>
        <w:tc>
          <w:tcPr>
            <w:tcW w:w="708" w:type="dxa"/>
            <w:tcBorders>
              <w:top w:val="nil"/>
              <w:left w:val="nil"/>
              <w:bottom w:val="single" w:sz="4" w:space="0" w:color="auto"/>
              <w:right w:val="single" w:sz="4" w:space="0" w:color="auto"/>
            </w:tcBorders>
            <w:shd w:val="clear" w:color="auto" w:fill="C6EFCE"/>
            <w:noWrap/>
          </w:tcPr>
          <w:p w14:paraId="1BEEA411"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3</w:t>
            </w:r>
          </w:p>
        </w:tc>
        <w:tc>
          <w:tcPr>
            <w:tcW w:w="993" w:type="dxa"/>
            <w:tcBorders>
              <w:top w:val="nil"/>
              <w:left w:val="nil"/>
              <w:bottom w:val="single" w:sz="4" w:space="0" w:color="auto"/>
              <w:right w:val="single" w:sz="4" w:space="0" w:color="auto"/>
            </w:tcBorders>
            <w:shd w:val="clear" w:color="auto" w:fill="C6EFCE"/>
            <w:noWrap/>
          </w:tcPr>
          <w:p w14:paraId="2D18E483"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Q4</w:t>
            </w:r>
          </w:p>
        </w:tc>
        <w:tc>
          <w:tcPr>
            <w:tcW w:w="708" w:type="dxa"/>
            <w:tcBorders>
              <w:top w:val="nil"/>
              <w:left w:val="nil"/>
              <w:bottom w:val="single" w:sz="4" w:space="0" w:color="auto"/>
              <w:right w:val="single" w:sz="4" w:space="0" w:color="auto"/>
            </w:tcBorders>
            <w:shd w:val="clear" w:color="auto" w:fill="C6EFCE"/>
            <w:noWrap/>
          </w:tcPr>
          <w:p w14:paraId="2F03423E"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2023</w:t>
            </w:r>
          </w:p>
        </w:tc>
        <w:tc>
          <w:tcPr>
            <w:tcW w:w="3799" w:type="dxa"/>
            <w:tcBorders>
              <w:top w:val="single" w:sz="4" w:space="0" w:color="auto"/>
              <w:left w:val="nil"/>
              <w:bottom w:val="single" w:sz="4" w:space="0" w:color="auto"/>
              <w:right w:val="single" w:sz="4" w:space="0" w:color="auto"/>
            </w:tcBorders>
            <w:shd w:val="clear" w:color="auto" w:fill="C6EFCE"/>
            <w:noWrap/>
          </w:tcPr>
          <w:p w14:paraId="2B111765"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Notification by Business Finland of the award of at least 3 grants for projects selected in accordance with the eligibility/selection criteria specified in milestone 118.</w:t>
            </w:r>
          </w:p>
        </w:tc>
      </w:tr>
      <w:tr w:rsidR="00A7081A" w:rsidRPr="000318C2" w14:paraId="45896BF6" w14:textId="77777777" w:rsidTr="001B782A">
        <w:trPr>
          <w:trHeight w:val="309"/>
          <w:jc w:val="center"/>
        </w:trPr>
        <w:tc>
          <w:tcPr>
            <w:tcW w:w="988" w:type="dxa"/>
            <w:tcBorders>
              <w:top w:val="nil"/>
              <w:left w:val="single" w:sz="4" w:space="0" w:color="auto"/>
              <w:bottom w:val="single" w:sz="4" w:space="0" w:color="auto"/>
              <w:right w:val="single" w:sz="4" w:space="0" w:color="auto"/>
            </w:tcBorders>
            <w:shd w:val="clear" w:color="auto" w:fill="C6EFCE"/>
            <w:noWrap/>
          </w:tcPr>
          <w:p w14:paraId="327E9510" w14:textId="77777777" w:rsidR="00935FC8" w:rsidRPr="000318C2" w:rsidRDefault="00935FC8" w:rsidP="00A7081A">
            <w:pPr>
              <w:spacing w:after="0" w:line="240" w:lineRule="auto"/>
              <w:jc w:val="center"/>
              <w:rPr>
                <w:rFonts w:ascii="Times New Roman" w:hAnsi="Times New Roman"/>
                <w:noProof/>
                <w:sz w:val="20"/>
                <w:szCs w:val="20"/>
              </w:rPr>
            </w:pPr>
            <w:r w:rsidRPr="000318C2">
              <w:rPr>
                <w:rFonts w:ascii="Times New Roman" w:hAnsi="Times New Roman"/>
                <w:noProof/>
                <w:sz w:val="20"/>
                <w:szCs w:val="20"/>
              </w:rPr>
              <w:t>120</w:t>
            </w:r>
          </w:p>
        </w:tc>
        <w:tc>
          <w:tcPr>
            <w:tcW w:w="1804" w:type="dxa"/>
            <w:tcBorders>
              <w:top w:val="nil"/>
              <w:left w:val="nil"/>
              <w:bottom w:val="single" w:sz="4" w:space="0" w:color="auto"/>
              <w:right w:val="single" w:sz="4" w:space="0" w:color="auto"/>
            </w:tcBorders>
            <w:shd w:val="clear" w:color="auto" w:fill="C6EFCE"/>
            <w:noWrap/>
          </w:tcPr>
          <w:p w14:paraId="3D29588F" w14:textId="39BDBDD4"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color w:val="000000"/>
                <w:sz w:val="20"/>
                <w:szCs w:val="20"/>
              </w:rPr>
              <w:t>P3C3I7</w:t>
            </w:r>
            <w:r w:rsidRPr="000318C2">
              <w:rPr>
                <w:rFonts w:ascii="Times New Roman" w:eastAsia="Times New Roman" w:hAnsi="Times New Roman"/>
                <w:noProof/>
                <w:sz w:val="20"/>
                <w:szCs w:val="20"/>
              </w:rPr>
              <w:t xml:space="preserve"> -</w:t>
            </w:r>
            <w:r w:rsidRPr="000318C2">
              <w:rPr>
                <w:rFonts w:ascii="Times New Roman" w:hAnsi="Times New Roman"/>
                <w:noProof/>
                <w:sz w:val="20"/>
                <w:szCs w:val="20"/>
              </w:rPr>
              <w:t xml:space="preserve"> RDI, research infrastructure and piloting – Promoting innovation and research infrastructure – competitive funding for innovation infrastructures</w:t>
            </w:r>
          </w:p>
        </w:tc>
        <w:tc>
          <w:tcPr>
            <w:tcW w:w="1163" w:type="dxa"/>
            <w:tcBorders>
              <w:top w:val="nil"/>
              <w:left w:val="nil"/>
              <w:bottom w:val="single" w:sz="4" w:space="0" w:color="auto"/>
              <w:right w:val="single" w:sz="4" w:space="0" w:color="auto"/>
            </w:tcBorders>
            <w:shd w:val="clear" w:color="auto" w:fill="C6EFCE"/>
            <w:noWrap/>
          </w:tcPr>
          <w:p w14:paraId="7637464E"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xml:space="preserve"> Milestone</w:t>
            </w:r>
          </w:p>
        </w:tc>
        <w:tc>
          <w:tcPr>
            <w:tcW w:w="1662" w:type="dxa"/>
            <w:tcBorders>
              <w:top w:val="nil"/>
              <w:left w:val="nil"/>
              <w:bottom w:val="single" w:sz="4" w:space="0" w:color="auto"/>
              <w:right w:val="single" w:sz="4" w:space="0" w:color="auto"/>
            </w:tcBorders>
            <w:shd w:val="clear" w:color="auto" w:fill="C6EFCE"/>
            <w:noWrap/>
          </w:tcPr>
          <w:p w14:paraId="41910ECE"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submitted</w:t>
            </w:r>
          </w:p>
        </w:tc>
        <w:tc>
          <w:tcPr>
            <w:tcW w:w="1891" w:type="dxa"/>
            <w:tcBorders>
              <w:top w:val="nil"/>
              <w:left w:val="nil"/>
              <w:bottom w:val="single" w:sz="4" w:space="0" w:color="auto"/>
              <w:right w:val="single" w:sz="4" w:space="0" w:color="auto"/>
            </w:tcBorders>
            <w:shd w:val="clear" w:color="auto" w:fill="C6EFCE"/>
            <w:noWrap/>
          </w:tcPr>
          <w:p w14:paraId="74F1C109" w14:textId="66AD1F34"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submitted</w:t>
            </w:r>
          </w:p>
        </w:tc>
        <w:tc>
          <w:tcPr>
            <w:tcW w:w="992" w:type="dxa"/>
            <w:tcBorders>
              <w:top w:val="nil"/>
              <w:left w:val="nil"/>
              <w:bottom w:val="single" w:sz="4" w:space="0" w:color="auto"/>
              <w:right w:val="single" w:sz="4" w:space="0" w:color="auto"/>
            </w:tcBorders>
            <w:shd w:val="clear" w:color="auto" w:fill="C6EFCE"/>
            <w:noWrap/>
          </w:tcPr>
          <w:p w14:paraId="79876C0E"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5B49439B" w14:textId="77777777" w:rsidR="00935FC8" w:rsidRPr="000318C2" w:rsidRDefault="00935FC8" w:rsidP="001B782A">
            <w:pPr>
              <w:spacing w:after="0" w:line="240" w:lineRule="auto"/>
              <w:jc w:val="center"/>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24B36827" w14:textId="77777777" w:rsidR="00935FC8" w:rsidRPr="000318C2" w:rsidRDefault="00935FC8" w:rsidP="001B782A">
            <w:pPr>
              <w:spacing w:after="0" w:line="240" w:lineRule="auto"/>
              <w:jc w:val="center"/>
              <w:rPr>
                <w:rFonts w:ascii="Times New Roman" w:hAnsi="Times New Roman"/>
                <w:noProof/>
                <w:sz w:val="20"/>
                <w:szCs w:val="20"/>
              </w:rPr>
            </w:pPr>
          </w:p>
        </w:tc>
        <w:tc>
          <w:tcPr>
            <w:tcW w:w="993" w:type="dxa"/>
            <w:tcBorders>
              <w:top w:val="nil"/>
              <w:left w:val="nil"/>
              <w:bottom w:val="single" w:sz="4" w:space="0" w:color="auto"/>
              <w:right w:val="single" w:sz="4" w:space="0" w:color="auto"/>
            </w:tcBorders>
            <w:shd w:val="clear" w:color="auto" w:fill="C6EFCE"/>
            <w:noWrap/>
          </w:tcPr>
          <w:p w14:paraId="11AF67A7"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Q4</w:t>
            </w:r>
          </w:p>
        </w:tc>
        <w:tc>
          <w:tcPr>
            <w:tcW w:w="708" w:type="dxa"/>
            <w:tcBorders>
              <w:top w:val="nil"/>
              <w:left w:val="nil"/>
              <w:bottom w:val="single" w:sz="4" w:space="0" w:color="auto"/>
              <w:right w:val="single" w:sz="4" w:space="0" w:color="auto"/>
            </w:tcBorders>
            <w:shd w:val="clear" w:color="auto" w:fill="C6EFCE"/>
            <w:noWrap/>
          </w:tcPr>
          <w:p w14:paraId="11283016" w14:textId="77777777" w:rsidR="00935FC8" w:rsidRPr="000318C2" w:rsidRDefault="00935FC8" w:rsidP="001B782A">
            <w:pPr>
              <w:spacing w:after="0" w:line="240" w:lineRule="auto"/>
              <w:jc w:val="center"/>
              <w:rPr>
                <w:rFonts w:ascii="Times New Roman" w:hAnsi="Times New Roman"/>
                <w:noProof/>
                <w:sz w:val="20"/>
                <w:szCs w:val="20"/>
              </w:rPr>
            </w:pPr>
            <w:r w:rsidRPr="000318C2">
              <w:rPr>
                <w:rFonts w:ascii="Times New Roman" w:hAnsi="Times New Roman"/>
                <w:noProof/>
                <w:sz w:val="20"/>
                <w:szCs w:val="20"/>
              </w:rPr>
              <w:t>2025</w:t>
            </w:r>
          </w:p>
        </w:tc>
        <w:tc>
          <w:tcPr>
            <w:tcW w:w="3799" w:type="dxa"/>
            <w:tcBorders>
              <w:top w:val="nil"/>
              <w:left w:val="nil"/>
              <w:bottom w:val="single" w:sz="4" w:space="0" w:color="auto"/>
              <w:right w:val="single" w:sz="4" w:space="0" w:color="auto"/>
            </w:tcBorders>
            <w:shd w:val="clear" w:color="auto" w:fill="C6EFCE"/>
            <w:noWrap/>
          </w:tcPr>
          <w:p w14:paraId="4DC97B3B" w14:textId="566F461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shall be submitted by recipient entities relating to projects cumulatively awarded at least EUR 18 675 000.</w:t>
            </w:r>
            <w:r w:rsidR="001B782A" w:rsidRPr="000318C2">
              <w:rPr>
                <w:rFonts w:ascii="Times New Roman" w:hAnsi="Times New Roman"/>
                <w:noProof/>
                <w:sz w:val="20"/>
                <w:szCs w:val="20"/>
              </w:rPr>
              <w:t xml:space="preserve"> </w:t>
            </w:r>
            <w:r w:rsidRPr="000318C2">
              <w:rPr>
                <w:rFonts w:ascii="Times New Roman" w:hAnsi="Times New Roman"/>
                <w:noProof/>
                <w:sz w:val="20"/>
                <w:szCs w:val="20"/>
              </w:rPr>
              <w:t xml:space="preserve"> </w:t>
            </w:r>
          </w:p>
        </w:tc>
      </w:tr>
    </w:tbl>
    <w:p w14:paraId="43FF9AED" w14:textId="77777777" w:rsidR="00935FC8" w:rsidRPr="00B555B3" w:rsidRDefault="00935FC8">
      <w:pPr>
        <w:pStyle w:val="Heading4"/>
        <w:numPr>
          <w:ilvl w:val="0"/>
          <w:numId w:val="0"/>
        </w:numPr>
        <w:rPr>
          <w:b/>
          <w:noProof/>
        </w:rPr>
        <w:sectPr w:rsidR="00935FC8" w:rsidRPr="00B555B3" w:rsidSect="00A7081A">
          <w:headerReference w:type="even" r:id="rId137"/>
          <w:headerReference w:type="default" r:id="rId138"/>
          <w:footerReference w:type="even" r:id="rId139"/>
          <w:footerReference w:type="default" r:id="rId140"/>
          <w:headerReference w:type="first" r:id="rId141"/>
          <w:footerReference w:type="first" r:id="rId142"/>
          <w:pgSz w:w="16839" w:h="11907" w:orient="landscape"/>
          <w:pgMar w:top="1134" w:right="1134" w:bottom="1134" w:left="1134" w:header="567" w:footer="567" w:gutter="0"/>
          <w:cols w:space="720"/>
          <w:docGrid w:linePitch="360"/>
        </w:sectPr>
      </w:pPr>
    </w:p>
    <w:p w14:paraId="3FE758C7" w14:textId="77777777" w:rsidR="00935FC8" w:rsidRPr="00B555B3" w:rsidRDefault="00935FC8">
      <w:pPr>
        <w:pStyle w:val="Heading4"/>
        <w:numPr>
          <w:ilvl w:val="0"/>
          <w:numId w:val="0"/>
        </w:numPr>
        <w:rPr>
          <w:b/>
          <w:noProof/>
        </w:rPr>
      </w:pPr>
      <w:r w:rsidRPr="00B555B3">
        <w:rPr>
          <w:b/>
          <w:noProof/>
        </w:rPr>
        <w:t>L. COMPONENT P3C4: STRENGTHENING COMPETITIVENESS AND BOOSTING GROWTH IN CRISIS-IMPACTED SECTORS</w:t>
      </w:r>
    </w:p>
    <w:p w14:paraId="70FB4F68" w14:textId="083F8005"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The objective of this component of the Finnish recovery and resilience plan is to raise export capabilities by making sector-specific investments that are based on Finland’s strengths and international market potential. Second objective is supporting the recovery and sustainable renewal of the cultural and creative industries. The cultural and creative sectors have creative expertise and they both create and commercialise intellectual property. This promotes innovation and create added value in other sectors as well. Furthermore, the actions in this component shall support the renewal of the Finnish tourism industry, with the aim to increase export of services. Finland's SMEs account for only 16% of exports, which is below peer countries. International business development of SMEs and commercialisation of innovations often requires extra financial effort that is lacking in many SMEs. There is further potential in creative and cultural industries and tourism to support the growth of exports, in particular in services.</w:t>
      </w:r>
    </w:p>
    <w:p w14:paraId="74224336" w14:textId="77777777"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The component contributes to addressing Country Specific Recommendation 3 2020 on taking measures to provide liquidity to the real economy, in particular to small and medium-sized enterprises, front-loading mature public investment projects and promote private investment to foster the economic recovery and focusing investment on the green and digital transition, in particular on clean and efficient production and use of energy, sustainable and efficient infrastructure as well as research and innovation.</w:t>
      </w:r>
    </w:p>
    <w:p w14:paraId="61796753" w14:textId="77777777" w:rsidR="00935FC8" w:rsidRPr="00B555B3" w:rsidRDefault="00935FC8">
      <w:pPr>
        <w:spacing w:before="120" w:after="120" w:line="240" w:lineRule="auto"/>
        <w:jc w:val="both"/>
        <w:rPr>
          <w:rFonts w:ascii="Times New Roman" w:eastAsia="Times New Roman" w:hAnsi="Times New Roman"/>
          <w:noProof/>
        </w:rPr>
      </w:pPr>
      <w:r w:rsidRPr="00B555B3">
        <w:rPr>
          <w:rFonts w:ascii="Times New Roman" w:eastAsia="Times New Roman" w:hAnsi="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97DCCF9" w14:textId="77777777" w:rsidR="00935FC8" w:rsidRPr="00B555B3" w:rsidRDefault="00935FC8">
      <w:pPr>
        <w:spacing w:before="120" w:after="120" w:line="240" w:lineRule="auto"/>
        <w:jc w:val="both"/>
        <w:rPr>
          <w:rFonts w:ascii="Times New Roman" w:hAnsi="Times New Roman"/>
          <w:b/>
          <w:i/>
          <w:noProof/>
          <w:color w:val="4F81BD"/>
          <w:sz w:val="24"/>
          <w:szCs w:val="24"/>
        </w:rPr>
      </w:pPr>
      <w:r w:rsidRPr="00B555B3">
        <w:rPr>
          <w:rFonts w:ascii="Times New Roman" w:hAnsi="Times New Roman"/>
          <w:b/>
          <w:noProof/>
          <w:sz w:val="24"/>
          <w:szCs w:val="24"/>
          <w:u w:val="single"/>
        </w:rPr>
        <w:t xml:space="preserve">L.1. </w:t>
      </w:r>
      <w:r w:rsidRPr="00B555B3">
        <w:rPr>
          <w:rFonts w:ascii="Times New Roman" w:hAnsi="Times New Roman"/>
          <w:b/>
          <w:noProof/>
          <w:sz w:val="24"/>
          <w:szCs w:val="24"/>
          <w:u w:val="single"/>
        </w:rPr>
        <w:tab/>
        <w:t>Description of the reforms and investments for non-repayable financial support</w:t>
      </w:r>
    </w:p>
    <w:p w14:paraId="3A2D1C90" w14:textId="4A540B50" w:rsidR="00935FC8" w:rsidRPr="00B555B3" w:rsidRDefault="00935FC8">
      <w:pPr>
        <w:spacing w:before="120" w:after="120" w:line="240" w:lineRule="auto"/>
        <w:jc w:val="both"/>
        <w:rPr>
          <w:rFonts w:ascii="Times New Roman" w:eastAsia="Times New Roman" w:hAnsi="Times New Roman"/>
          <w:noProof/>
          <w:color w:val="000000"/>
          <w:sz w:val="24"/>
          <w:szCs w:val="24"/>
          <w:u w:val="single"/>
          <w:lang w:eastAsia="en-GB"/>
        </w:rPr>
      </w:pPr>
      <w:r w:rsidRPr="00D0136A">
        <w:rPr>
          <w:rFonts w:ascii="Times New Roman" w:eastAsia="Times New Roman" w:hAnsi="Times New Roman"/>
          <w:noProof/>
          <w:color w:val="000000"/>
          <w:sz w:val="24"/>
          <w:szCs w:val="24"/>
          <w:u w:val="single"/>
          <w:lang w:eastAsia="en-GB"/>
        </w:rPr>
        <w:t>Investment 1 (P3C4I1): Growth acceleration programme for small enterprises</w:t>
      </w:r>
    </w:p>
    <w:p w14:paraId="6FAD8B50" w14:textId="071EF971"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 xml:space="preserve">The objective of this investment is to accelerate growth of Finnish micro </w:t>
      </w:r>
      <w:r w:rsidRPr="00D0136A">
        <w:rPr>
          <w:rFonts w:ascii="Times New Roman" w:eastAsia="Times New Roman" w:hAnsi="Times New Roman"/>
          <w:noProof/>
          <w:sz w:val="24"/>
          <w:szCs w:val="24"/>
        </w:rPr>
        <w:t>or/and</w:t>
      </w:r>
      <w:r w:rsidRPr="00B555B3">
        <w:rPr>
          <w:rFonts w:ascii="Times New Roman" w:eastAsia="Times New Roman" w:hAnsi="Times New Roman"/>
          <w:noProof/>
          <w:sz w:val="24"/>
          <w:szCs w:val="24"/>
        </w:rPr>
        <w:t xml:space="preserve"> small enterprises and boost their internationalisation capabilities. The investment consists </w:t>
      </w:r>
      <w:r>
        <w:rPr>
          <w:rFonts w:ascii="Times New Roman" w:eastAsia="Times New Roman" w:hAnsi="Times New Roman"/>
          <w:noProof/>
          <w:sz w:val="24"/>
          <w:szCs w:val="24"/>
        </w:rPr>
        <w:t xml:space="preserve">of </w:t>
      </w:r>
      <w:r w:rsidRPr="00B555B3">
        <w:rPr>
          <w:rFonts w:ascii="Times New Roman" w:eastAsia="Times New Roman" w:hAnsi="Times New Roman"/>
          <w:noProof/>
          <w:sz w:val="24"/>
          <w:szCs w:val="24"/>
        </w:rPr>
        <w:t xml:space="preserve">the provision of grants to micro or small enterprises, including for </w:t>
      </w:r>
      <w:r w:rsidRPr="00D0136A">
        <w:rPr>
          <w:rFonts w:ascii="Times New Roman" w:eastAsia="Times New Roman" w:hAnsi="Times New Roman"/>
          <w:noProof/>
          <w:sz w:val="24"/>
          <w:szCs w:val="24"/>
        </w:rPr>
        <w:t>the new digital solutions, the green transition and RDI activities linked to these.</w:t>
      </w:r>
    </w:p>
    <w:p w14:paraId="6FC67572" w14:textId="77777777" w:rsidR="00935FC8" w:rsidRPr="00B555B3" w:rsidRDefault="00935FC8">
      <w:pPr>
        <w:spacing w:before="120" w:after="120" w:line="240" w:lineRule="auto"/>
        <w:jc w:val="both"/>
        <w:rPr>
          <w:rFonts w:ascii="Times New Roman" w:eastAsia="Times New Roman" w:hAnsi="Times New Roman"/>
          <w:noProof/>
          <w:color w:val="000000"/>
          <w:sz w:val="24"/>
          <w:szCs w:val="24"/>
          <w:u w:val="single"/>
          <w:lang w:eastAsia="en-GB"/>
        </w:rPr>
      </w:pPr>
      <w:r w:rsidRPr="00D0136A">
        <w:rPr>
          <w:rFonts w:ascii="Times New Roman" w:eastAsia="Times New Roman" w:hAnsi="Times New Roman"/>
          <w:noProof/>
          <w:color w:val="000000"/>
          <w:sz w:val="24"/>
          <w:szCs w:val="24"/>
          <w:u w:val="single"/>
          <w:lang w:eastAsia="en-GB"/>
        </w:rPr>
        <w:t>Investment 2 (P3C4I2): Key programmes for international growth</w:t>
      </w:r>
    </w:p>
    <w:p w14:paraId="2B947A25" w14:textId="77777777" w:rsidR="00935FC8" w:rsidRPr="00B91A72" w:rsidRDefault="00935FC8">
      <w:pPr>
        <w:spacing w:before="120" w:after="120" w:line="240" w:lineRule="auto"/>
        <w:jc w:val="both"/>
        <w:rPr>
          <w:rFonts w:ascii="Times New Roman" w:eastAsia="Times New Roman" w:hAnsi="Times New Roman"/>
          <w:noProof/>
          <w:color w:val="000000"/>
          <w:sz w:val="24"/>
          <w:szCs w:val="24"/>
          <w:lang w:eastAsia="en-GB"/>
        </w:rPr>
      </w:pPr>
      <w:r w:rsidRPr="00B555B3">
        <w:rPr>
          <w:rFonts w:ascii="Times New Roman" w:eastAsia="Times New Roman" w:hAnsi="Times New Roman"/>
          <w:noProof/>
          <w:color w:val="000000"/>
          <w:sz w:val="24"/>
          <w:szCs w:val="24"/>
          <w:lang w:eastAsia="en-GB"/>
        </w:rPr>
        <w:t xml:space="preserve">The objective of this investment is to support international growth of companies. </w:t>
      </w:r>
      <w:r w:rsidRPr="00D0136A">
        <w:rPr>
          <w:rFonts w:ascii="Times New Roman" w:eastAsia="Times New Roman" w:hAnsi="Times New Roman"/>
          <w:noProof/>
          <w:color w:val="000000"/>
          <w:sz w:val="24"/>
          <w:szCs w:val="24"/>
          <w:lang w:eastAsia="en-GB"/>
        </w:rPr>
        <w:t xml:space="preserve">The investment consists </w:t>
      </w:r>
      <w:r>
        <w:rPr>
          <w:rFonts w:ascii="Times New Roman" w:eastAsia="Times New Roman" w:hAnsi="Times New Roman"/>
          <w:noProof/>
          <w:color w:val="000000"/>
          <w:sz w:val="24"/>
          <w:szCs w:val="24"/>
          <w:lang w:eastAsia="en-GB"/>
        </w:rPr>
        <w:t>of</w:t>
      </w:r>
      <w:r w:rsidRPr="00D0136A">
        <w:rPr>
          <w:rFonts w:ascii="Times New Roman" w:eastAsia="Times New Roman" w:hAnsi="Times New Roman"/>
          <w:noProof/>
          <w:color w:val="000000"/>
          <w:sz w:val="24"/>
          <w:szCs w:val="24"/>
          <w:lang w:eastAsia="en-GB"/>
        </w:rPr>
        <w:t xml:space="preserve"> the award of grants for (i) low-carbon, circular economy and digital renewal in industry and to increase exports of industrial services (ii) electric heavy-duty vehicle transport ecosystem, (iii) health and wellbeing expertise and technology, and (iv) growth and exports of water expertise.</w:t>
      </w:r>
    </w:p>
    <w:p w14:paraId="7A1EAE49" w14:textId="77777777" w:rsidR="00935FC8" w:rsidRPr="00B555B3" w:rsidRDefault="00935FC8">
      <w:pPr>
        <w:spacing w:before="120" w:after="120" w:line="240" w:lineRule="auto"/>
        <w:rPr>
          <w:rFonts w:ascii="Times New Roman" w:eastAsia="Times New Roman" w:hAnsi="Times New Roman"/>
          <w:noProof/>
          <w:color w:val="000000"/>
          <w:sz w:val="24"/>
          <w:szCs w:val="24"/>
          <w:u w:val="single"/>
          <w:lang w:eastAsia="en-GB"/>
        </w:rPr>
      </w:pPr>
      <w:r w:rsidRPr="00D0136A">
        <w:rPr>
          <w:rFonts w:ascii="Times New Roman" w:eastAsia="Times New Roman" w:hAnsi="Times New Roman"/>
          <w:noProof/>
          <w:color w:val="000000"/>
          <w:sz w:val="24"/>
          <w:szCs w:val="24"/>
          <w:u w:val="single"/>
          <w:lang w:eastAsia="en-GB"/>
        </w:rPr>
        <w:t>Investment 3 (P3C4I3): Support for the renewal of the cultural and creative sectors</w:t>
      </w:r>
    </w:p>
    <w:p w14:paraId="0611265A" w14:textId="1542DCCC" w:rsidR="00935FC8" w:rsidRPr="00B555B3" w:rsidRDefault="00935FC8">
      <w:pPr>
        <w:spacing w:before="120" w:after="120" w:line="240" w:lineRule="auto"/>
        <w:jc w:val="both"/>
        <w:rPr>
          <w:rFonts w:ascii="Times New Roman" w:eastAsia="Times New Roman" w:hAnsi="Times New Roman"/>
          <w:noProof/>
          <w:color w:val="000000"/>
          <w:sz w:val="24"/>
          <w:szCs w:val="24"/>
          <w:lang w:eastAsia="en-GB"/>
        </w:rPr>
      </w:pPr>
      <w:r w:rsidRPr="00B555B3">
        <w:rPr>
          <w:rFonts w:ascii="Times New Roman" w:eastAsia="Times New Roman" w:hAnsi="Times New Roman"/>
          <w:noProof/>
          <w:color w:val="000000"/>
          <w:sz w:val="24"/>
          <w:szCs w:val="24"/>
          <w:lang w:eastAsia="en-GB"/>
        </w:rPr>
        <w:t>The objective of this investment is to support the growth of the cultural and creative sector as strong potential drivers for future economic growth.</w:t>
      </w:r>
      <w:r>
        <w:rPr>
          <w:rFonts w:ascii="Times New Roman" w:eastAsia="Times New Roman" w:hAnsi="Times New Roman"/>
          <w:noProof/>
          <w:color w:val="000000"/>
          <w:sz w:val="24"/>
          <w:szCs w:val="24"/>
          <w:lang w:eastAsia="en-GB"/>
        </w:rPr>
        <w:t xml:space="preserve"> </w:t>
      </w:r>
      <w:r w:rsidRPr="00B555B3">
        <w:rPr>
          <w:rFonts w:ascii="Times New Roman" w:eastAsia="Times New Roman" w:hAnsi="Times New Roman"/>
          <w:noProof/>
          <w:color w:val="000000"/>
          <w:sz w:val="24"/>
          <w:szCs w:val="24"/>
          <w:lang w:eastAsia="en-GB"/>
        </w:rPr>
        <w:t xml:space="preserve">The investment consists </w:t>
      </w:r>
      <w:r>
        <w:rPr>
          <w:rFonts w:ascii="Times New Roman" w:eastAsia="Times New Roman" w:hAnsi="Times New Roman"/>
          <w:noProof/>
          <w:color w:val="000000"/>
          <w:sz w:val="24"/>
          <w:szCs w:val="24"/>
          <w:lang w:eastAsia="en-GB"/>
        </w:rPr>
        <w:t>of</w:t>
      </w:r>
      <w:r w:rsidRPr="00B555B3">
        <w:rPr>
          <w:rFonts w:ascii="Times New Roman" w:eastAsia="Times New Roman" w:hAnsi="Times New Roman"/>
          <w:noProof/>
          <w:color w:val="000000"/>
          <w:sz w:val="24"/>
          <w:szCs w:val="24"/>
          <w:lang w:eastAsia="en-GB"/>
        </w:rPr>
        <w:t xml:space="preserve"> providing grant</w:t>
      </w:r>
      <w:r>
        <w:rPr>
          <w:rFonts w:ascii="Times New Roman" w:eastAsia="Times New Roman" w:hAnsi="Times New Roman"/>
          <w:noProof/>
          <w:color w:val="000000"/>
          <w:sz w:val="24"/>
          <w:szCs w:val="24"/>
          <w:lang w:eastAsia="en-GB"/>
        </w:rPr>
        <w:t>s</w:t>
      </w:r>
      <w:r w:rsidRPr="00B555B3">
        <w:rPr>
          <w:rFonts w:ascii="Times New Roman" w:eastAsia="Times New Roman" w:hAnsi="Times New Roman"/>
          <w:noProof/>
          <w:color w:val="000000"/>
          <w:sz w:val="24"/>
          <w:szCs w:val="24"/>
          <w:lang w:eastAsia="en-GB"/>
        </w:rPr>
        <w:t xml:space="preserve"> to entities operating in the cultural and creative sectors.</w:t>
      </w:r>
    </w:p>
    <w:p w14:paraId="5AF8F9AD" w14:textId="77777777" w:rsidR="00935FC8" w:rsidRPr="00B555B3" w:rsidRDefault="00935FC8">
      <w:pPr>
        <w:spacing w:before="120" w:after="120" w:line="240" w:lineRule="auto"/>
        <w:rPr>
          <w:rFonts w:ascii="Times New Roman" w:eastAsia="Times New Roman" w:hAnsi="Times New Roman"/>
          <w:noProof/>
          <w:color w:val="000000"/>
          <w:sz w:val="24"/>
          <w:szCs w:val="24"/>
          <w:u w:val="single"/>
          <w:lang w:eastAsia="en-GB"/>
        </w:rPr>
      </w:pPr>
      <w:r w:rsidRPr="00D0136A">
        <w:rPr>
          <w:rFonts w:ascii="Times New Roman" w:eastAsia="Times New Roman" w:hAnsi="Times New Roman"/>
          <w:noProof/>
          <w:color w:val="000000"/>
          <w:sz w:val="24"/>
          <w:szCs w:val="24"/>
          <w:u w:val="single"/>
          <w:lang w:eastAsia="en-GB"/>
        </w:rPr>
        <w:t>Investment 4 (P3C4I4): Supporting sustainable and digital growth in the tourism sector</w:t>
      </w:r>
    </w:p>
    <w:p w14:paraId="1C8F376B" w14:textId="77777777" w:rsidR="00935FC8" w:rsidRPr="00B555B3" w:rsidRDefault="00935FC8">
      <w:pPr>
        <w:spacing w:before="120" w:after="120" w:line="240" w:lineRule="auto"/>
        <w:jc w:val="both"/>
        <w:rPr>
          <w:rFonts w:ascii="Times New Roman" w:eastAsia="Times New Roman" w:hAnsi="Times New Roman"/>
          <w:noProof/>
          <w:color w:val="000000"/>
          <w:sz w:val="24"/>
          <w:szCs w:val="24"/>
          <w:lang w:eastAsia="en-GB"/>
        </w:rPr>
      </w:pPr>
      <w:r w:rsidRPr="00B555B3">
        <w:rPr>
          <w:rFonts w:ascii="Times New Roman" w:eastAsia="Times New Roman" w:hAnsi="Times New Roman"/>
          <w:noProof/>
          <w:color w:val="000000"/>
          <w:sz w:val="24"/>
          <w:szCs w:val="24"/>
          <w:lang w:eastAsia="en-GB"/>
        </w:rPr>
        <w:t xml:space="preserve">The objective of the investment is to boost sustainable growth and innovation in the tourism sector. The investment consists of </w:t>
      </w:r>
      <w:r w:rsidRPr="00D0136A">
        <w:rPr>
          <w:rFonts w:ascii="Times New Roman" w:eastAsia="Times New Roman" w:hAnsi="Times New Roman"/>
          <w:noProof/>
          <w:color w:val="000000"/>
          <w:sz w:val="24"/>
          <w:szCs w:val="24"/>
          <w:lang w:eastAsia="en-GB"/>
        </w:rPr>
        <w:t>making available digital</w:t>
      </w:r>
      <w:r w:rsidRPr="00B555B3">
        <w:rPr>
          <w:rFonts w:ascii="Times New Roman" w:eastAsia="Times New Roman" w:hAnsi="Times New Roman"/>
          <w:noProof/>
          <w:color w:val="000000"/>
          <w:sz w:val="24"/>
          <w:szCs w:val="24"/>
          <w:lang w:eastAsia="en-GB"/>
        </w:rPr>
        <w:t xml:space="preserve"> services to support the tourism sector and </w:t>
      </w:r>
      <w:r w:rsidRPr="00374BE0">
        <w:rPr>
          <w:rFonts w:ascii="Times New Roman" w:eastAsia="Times New Roman" w:hAnsi="Times New Roman"/>
          <w:noProof/>
          <w:color w:val="000000"/>
          <w:sz w:val="24"/>
          <w:szCs w:val="24"/>
          <w:lang w:eastAsia="en-GB"/>
        </w:rPr>
        <w:t>RD&amp;I funding for research, experimentation and development projects that support the commercialisation of tourism business and innovations</w:t>
      </w:r>
      <w:r w:rsidRPr="00D0136A">
        <w:rPr>
          <w:rFonts w:ascii="Times New Roman" w:eastAsia="Times New Roman" w:hAnsi="Times New Roman"/>
          <w:noProof/>
          <w:color w:val="000000"/>
          <w:sz w:val="24"/>
          <w:szCs w:val="24"/>
          <w:lang w:eastAsia="en-GB"/>
        </w:rPr>
        <w:t>.</w:t>
      </w:r>
    </w:p>
    <w:p w14:paraId="3D4DC7FB" w14:textId="77777777" w:rsidR="00935FC8" w:rsidRPr="00B555B3" w:rsidRDefault="00935FC8">
      <w:pPr>
        <w:spacing w:before="120" w:after="120" w:line="240" w:lineRule="auto"/>
        <w:jc w:val="both"/>
        <w:rPr>
          <w:rFonts w:ascii="Times New Roman" w:hAnsi="Times New Roman"/>
          <w:noProof/>
          <w:sz w:val="24"/>
        </w:rPr>
        <w:sectPr w:rsidR="00935FC8" w:rsidRPr="00B555B3" w:rsidSect="00A7081A">
          <w:headerReference w:type="even" r:id="rId143"/>
          <w:headerReference w:type="default" r:id="rId144"/>
          <w:footerReference w:type="even" r:id="rId145"/>
          <w:footerReference w:type="default" r:id="rId146"/>
          <w:headerReference w:type="first" r:id="rId147"/>
          <w:footerReference w:type="first" r:id="rId148"/>
          <w:pgSz w:w="11907" w:h="16839"/>
          <w:pgMar w:top="1134" w:right="1134" w:bottom="1134" w:left="1134" w:header="567" w:footer="567" w:gutter="0"/>
          <w:cols w:space="720"/>
          <w:docGrid w:linePitch="360"/>
        </w:sectPr>
      </w:pPr>
    </w:p>
    <w:p w14:paraId="6BFDC64B" w14:textId="77777777" w:rsidR="00935FC8" w:rsidRPr="00B555B3" w:rsidRDefault="00935FC8">
      <w:pPr>
        <w:spacing w:before="120" w:after="120" w:line="240" w:lineRule="auto"/>
        <w:jc w:val="both"/>
        <w:rPr>
          <w:rFonts w:ascii="Times New Roman" w:hAnsi="Times New Roman"/>
          <w:b/>
          <w:bCs/>
          <w:noProof/>
          <w:sz w:val="24"/>
          <w:u w:val="single"/>
        </w:rPr>
      </w:pPr>
      <w:r w:rsidRPr="00B555B3">
        <w:rPr>
          <w:rFonts w:ascii="Times New Roman" w:hAnsi="Times New Roman"/>
          <w:b/>
          <w:bCs/>
          <w:noProof/>
          <w:sz w:val="24"/>
          <w:u w:val="single"/>
        </w:rPr>
        <w:t xml:space="preserve">L.2. </w:t>
      </w:r>
      <w:r w:rsidRPr="00B555B3">
        <w:rPr>
          <w:rFonts w:ascii="Times New Roman" w:hAnsi="Times New Roman"/>
          <w:b/>
          <w:noProof/>
          <w:sz w:val="24"/>
          <w:u w:val="single"/>
        </w:rPr>
        <w:tab/>
      </w:r>
      <w:r w:rsidRPr="00B555B3">
        <w:rPr>
          <w:rFonts w:ascii="Times New Roman" w:hAnsi="Times New Roman"/>
          <w:b/>
          <w:bCs/>
          <w:noProof/>
          <w:sz w:val="24"/>
          <w:u w:val="single"/>
        </w:rPr>
        <w:t>Milestones, targets, indicators, and timetable for monitoring and implementation for non-repayable financial support</w:t>
      </w:r>
    </w:p>
    <w:tbl>
      <w:tblPr>
        <w:tblW w:w="15593" w:type="dxa"/>
        <w:jc w:val="center"/>
        <w:tblLayout w:type="fixed"/>
        <w:tblCellMar>
          <w:left w:w="28" w:type="dxa"/>
          <w:right w:w="28" w:type="dxa"/>
        </w:tblCellMar>
        <w:tblLook w:val="04A0" w:firstRow="1" w:lastRow="0" w:firstColumn="1" w:lastColumn="0" w:noHBand="0" w:noVBand="1"/>
      </w:tblPr>
      <w:tblGrid>
        <w:gridCol w:w="906"/>
        <w:gridCol w:w="1729"/>
        <w:gridCol w:w="1080"/>
        <w:gridCol w:w="1480"/>
        <w:gridCol w:w="1479"/>
        <w:gridCol w:w="917"/>
        <w:gridCol w:w="887"/>
        <w:gridCol w:w="606"/>
        <w:gridCol w:w="871"/>
        <w:gridCol w:w="1200"/>
        <w:gridCol w:w="4438"/>
      </w:tblGrid>
      <w:tr w:rsidR="00A7081A" w:rsidRPr="000318C2" w14:paraId="7121B7F0" w14:textId="77777777" w:rsidTr="000318C2">
        <w:trPr>
          <w:trHeight w:val="632"/>
          <w:tblHeader/>
          <w:jc w:val="center"/>
        </w:trPr>
        <w:tc>
          <w:tcPr>
            <w:tcW w:w="90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677E56D" w14:textId="77777777" w:rsidR="00935FC8" w:rsidRPr="000318C2" w:rsidRDefault="00935FC8" w:rsidP="00A7081A">
            <w:pPr>
              <w:spacing w:after="0" w:line="240" w:lineRule="auto"/>
              <w:jc w:val="center"/>
              <w:rPr>
                <w:rFonts w:ascii="Times New Roman" w:eastAsia="Times New Roman" w:hAnsi="Times New Roman"/>
                <w:b/>
                <w:bCs/>
                <w:noProof/>
                <w:sz w:val="20"/>
                <w:szCs w:val="20"/>
                <w:lang w:eastAsia="en-IE"/>
              </w:rPr>
            </w:pPr>
            <w:r w:rsidRPr="000318C2">
              <w:rPr>
                <w:rFonts w:ascii="Times New Roman" w:eastAsia="Times New Roman" w:hAnsi="Times New Roman"/>
                <w:b/>
                <w:bCs/>
                <w:noProof/>
                <w:sz w:val="20"/>
                <w:szCs w:val="20"/>
                <w:lang w:eastAsia="en-IE"/>
              </w:rPr>
              <w:t>Number</w:t>
            </w:r>
          </w:p>
        </w:tc>
        <w:tc>
          <w:tcPr>
            <w:tcW w:w="172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0A97126" w14:textId="77777777" w:rsidR="00935FC8" w:rsidRPr="000318C2" w:rsidRDefault="00935FC8" w:rsidP="00A7081A">
            <w:pPr>
              <w:spacing w:after="0" w:line="240" w:lineRule="auto"/>
              <w:jc w:val="center"/>
              <w:rPr>
                <w:rFonts w:ascii="Times New Roman" w:eastAsia="Times New Roman" w:hAnsi="Times New Roman"/>
                <w:b/>
                <w:bCs/>
                <w:noProof/>
                <w:sz w:val="20"/>
                <w:szCs w:val="20"/>
                <w:lang w:eastAsia="en-IE"/>
              </w:rPr>
            </w:pPr>
            <w:r w:rsidRPr="000318C2">
              <w:rPr>
                <w:rFonts w:ascii="Times New Roman" w:eastAsia="Times New Roman" w:hAnsi="Times New Roman"/>
                <w:b/>
                <w:bCs/>
                <w:noProof/>
                <w:sz w:val="20"/>
                <w:szCs w:val="20"/>
                <w:lang w:eastAsia="en-IE"/>
              </w:rPr>
              <w:t>Measure</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F669486" w14:textId="07053FB6" w:rsidR="00935FC8" w:rsidRPr="000318C2" w:rsidRDefault="00935FC8" w:rsidP="00A7081A">
            <w:pPr>
              <w:spacing w:after="0" w:line="240" w:lineRule="auto"/>
              <w:jc w:val="center"/>
              <w:rPr>
                <w:rFonts w:ascii="Times New Roman" w:eastAsia="Times New Roman" w:hAnsi="Times New Roman"/>
                <w:b/>
                <w:bCs/>
                <w:noProof/>
                <w:sz w:val="20"/>
                <w:szCs w:val="20"/>
                <w:lang w:eastAsia="en-IE"/>
              </w:rPr>
            </w:pPr>
            <w:r w:rsidRPr="000318C2">
              <w:rPr>
                <w:rFonts w:ascii="Times New Roman" w:eastAsia="Times New Roman" w:hAnsi="Times New Roman"/>
                <w:b/>
                <w:bCs/>
                <w:noProof/>
                <w:sz w:val="20"/>
                <w:szCs w:val="20"/>
                <w:lang w:eastAsia="en-IE"/>
              </w:rPr>
              <w:t>Milestone/</w:t>
            </w:r>
            <w:r w:rsidR="000318C2">
              <w:rPr>
                <w:rFonts w:ascii="Times New Roman" w:eastAsia="Times New Roman" w:hAnsi="Times New Roman"/>
                <w:b/>
                <w:bCs/>
                <w:noProof/>
                <w:sz w:val="20"/>
                <w:szCs w:val="20"/>
                <w:lang w:eastAsia="en-IE"/>
              </w:rPr>
              <w:t xml:space="preserve"> </w:t>
            </w:r>
            <w:r w:rsidRPr="000318C2">
              <w:rPr>
                <w:rFonts w:ascii="Times New Roman" w:eastAsia="Times New Roman" w:hAnsi="Times New Roman"/>
                <w:b/>
                <w:bCs/>
                <w:noProof/>
                <w:sz w:val="20"/>
                <w:szCs w:val="20"/>
                <w:lang w:eastAsia="en-IE"/>
              </w:rPr>
              <w:t>Target</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5CAABA" w14:textId="77777777" w:rsidR="00935FC8" w:rsidRPr="000318C2" w:rsidRDefault="00935FC8" w:rsidP="00A7081A">
            <w:pPr>
              <w:spacing w:after="0" w:line="240" w:lineRule="auto"/>
              <w:jc w:val="center"/>
              <w:rPr>
                <w:rFonts w:ascii="Times New Roman" w:eastAsia="Times New Roman" w:hAnsi="Times New Roman"/>
                <w:b/>
                <w:bCs/>
                <w:noProof/>
                <w:sz w:val="20"/>
                <w:szCs w:val="20"/>
                <w:lang w:eastAsia="en-IE"/>
              </w:rPr>
            </w:pPr>
            <w:r w:rsidRPr="000318C2">
              <w:rPr>
                <w:rFonts w:ascii="Times New Roman" w:eastAsia="Times New Roman" w:hAnsi="Times New Roman"/>
                <w:b/>
                <w:bCs/>
                <w:noProof/>
                <w:sz w:val="20"/>
                <w:szCs w:val="20"/>
                <w:lang w:eastAsia="en-IE"/>
              </w:rPr>
              <w:t>Name</w:t>
            </w:r>
          </w:p>
        </w:tc>
        <w:tc>
          <w:tcPr>
            <w:tcW w:w="147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70E7771" w14:textId="77777777" w:rsidR="00935FC8" w:rsidRPr="000318C2" w:rsidRDefault="00935FC8" w:rsidP="00A7081A">
            <w:pPr>
              <w:spacing w:after="0" w:line="240" w:lineRule="auto"/>
              <w:jc w:val="center"/>
              <w:rPr>
                <w:rFonts w:ascii="Times New Roman" w:eastAsia="Times New Roman" w:hAnsi="Times New Roman"/>
                <w:b/>
                <w:bCs/>
                <w:noProof/>
                <w:sz w:val="20"/>
                <w:szCs w:val="20"/>
                <w:lang w:eastAsia="en-IE"/>
              </w:rPr>
            </w:pPr>
            <w:r w:rsidRPr="000318C2">
              <w:rPr>
                <w:rFonts w:ascii="Times New Roman" w:eastAsia="Times New Roman" w:hAnsi="Times New Roman"/>
                <w:b/>
                <w:bCs/>
                <w:noProof/>
                <w:sz w:val="20"/>
                <w:szCs w:val="20"/>
                <w:lang w:eastAsia="en-IE"/>
              </w:rPr>
              <w:t>Qualitative indicators (for milestones)</w:t>
            </w:r>
          </w:p>
        </w:tc>
        <w:tc>
          <w:tcPr>
            <w:tcW w:w="241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7108E3AB" w14:textId="77777777" w:rsidR="00935FC8" w:rsidRPr="000318C2" w:rsidRDefault="00935FC8" w:rsidP="00A7081A">
            <w:pPr>
              <w:spacing w:after="0" w:line="240" w:lineRule="auto"/>
              <w:jc w:val="center"/>
              <w:rPr>
                <w:rFonts w:ascii="Times New Roman" w:eastAsia="Times New Roman" w:hAnsi="Times New Roman"/>
                <w:b/>
                <w:bCs/>
                <w:noProof/>
                <w:sz w:val="20"/>
                <w:szCs w:val="20"/>
                <w:lang w:eastAsia="en-IE"/>
              </w:rPr>
            </w:pPr>
            <w:r w:rsidRPr="000318C2">
              <w:rPr>
                <w:rFonts w:ascii="Times New Roman" w:eastAsia="Times New Roman" w:hAnsi="Times New Roman"/>
                <w:b/>
                <w:bCs/>
                <w:noProof/>
                <w:sz w:val="20"/>
                <w:szCs w:val="20"/>
                <w:lang w:eastAsia="en-IE"/>
              </w:rPr>
              <w:t>Quantitative indicators (for targets)</w:t>
            </w:r>
          </w:p>
        </w:tc>
        <w:tc>
          <w:tcPr>
            <w:tcW w:w="207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7D130B1B" w14:textId="77777777" w:rsidR="00935FC8" w:rsidRPr="000318C2" w:rsidRDefault="00935FC8" w:rsidP="00A7081A">
            <w:pPr>
              <w:spacing w:after="0" w:line="240" w:lineRule="auto"/>
              <w:jc w:val="center"/>
              <w:rPr>
                <w:rFonts w:ascii="Times New Roman" w:eastAsia="Times New Roman" w:hAnsi="Times New Roman"/>
                <w:b/>
                <w:bCs/>
                <w:noProof/>
                <w:sz w:val="20"/>
                <w:szCs w:val="20"/>
                <w:lang w:eastAsia="en-IE"/>
              </w:rPr>
            </w:pPr>
            <w:r w:rsidRPr="000318C2">
              <w:rPr>
                <w:rFonts w:ascii="Times New Roman" w:eastAsia="Times New Roman" w:hAnsi="Times New Roman"/>
                <w:b/>
                <w:bCs/>
                <w:noProof/>
                <w:sz w:val="20"/>
                <w:szCs w:val="20"/>
                <w:lang w:eastAsia="en-IE"/>
              </w:rPr>
              <w:t>Indicative timeline for completion</w:t>
            </w:r>
          </w:p>
        </w:tc>
        <w:tc>
          <w:tcPr>
            <w:tcW w:w="44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E9E11E7" w14:textId="77777777" w:rsidR="00935FC8" w:rsidRPr="000318C2" w:rsidRDefault="00935FC8" w:rsidP="00A7081A">
            <w:pPr>
              <w:spacing w:after="0" w:line="240" w:lineRule="auto"/>
              <w:jc w:val="center"/>
              <w:rPr>
                <w:rFonts w:ascii="Times New Roman" w:eastAsia="Times New Roman" w:hAnsi="Times New Roman"/>
                <w:b/>
                <w:bCs/>
                <w:noProof/>
                <w:sz w:val="20"/>
                <w:szCs w:val="20"/>
                <w:lang w:eastAsia="en-IE"/>
              </w:rPr>
            </w:pPr>
            <w:r w:rsidRPr="000318C2">
              <w:rPr>
                <w:rFonts w:ascii="Times New Roman" w:eastAsia="Times New Roman" w:hAnsi="Times New Roman"/>
                <w:b/>
                <w:bCs/>
                <w:noProof/>
                <w:sz w:val="20"/>
                <w:szCs w:val="20"/>
                <w:lang w:eastAsia="en-IE"/>
              </w:rPr>
              <w:t>Description of each milestone and target</w:t>
            </w:r>
          </w:p>
        </w:tc>
      </w:tr>
      <w:tr w:rsidR="00A7081A" w:rsidRPr="000318C2" w14:paraId="4F4B1784" w14:textId="77777777" w:rsidTr="000318C2">
        <w:trPr>
          <w:trHeight w:val="651"/>
          <w:tblHeader/>
          <w:jc w:val="center"/>
        </w:trPr>
        <w:tc>
          <w:tcPr>
            <w:tcW w:w="906" w:type="dxa"/>
            <w:vMerge/>
            <w:tcBorders>
              <w:top w:val="single" w:sz="4" w:space="0" w:color="auto"/>
              <w:left w:val="single" w:sz="4" w:space="0" w:color="auto"/>
              <w:bottom w:val="single" w:sz="4" w:space="0" w:color="auto"/>
              <w:right w:val="single" w:sz="4" w:space="0" w:color="auto"/>
            </w:tcBorders>
            <w:vAlign w:val="center"/>
            <w:hideMark/>
          </w:tcPr>
          <w:p w14:paraId="359A570B" w14:textId="77777777" w:rsidR="00935FC8" w:rsidRPr="000318C2" w:rsidRDefault="00935FC8" w:rsidP="00A7081A">
            <w:pPr>
              <w:spacing w:after="0" w:line="240" w:lineRule="auto"/>
              <w:rPr>
                <w:rFonts w:ascii="Times New Roman" w:eastAsia="Times New Roman" w:hAnsi="Times New Roman"/>
                <w:b/>
                <w:bCs/>
                <w:noProof/>
                <w:sz w:val="20"/>
                <w:szCs w:val="20"/>
                <w:lang w:eastAsia="en-IE"/>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7D0A075A" w14:textId="77777777" w:rsidR="00935FC8" w:rsidRPr="000318C2" w:rsidRDefault="00935FC8" w:rsidP="00A7081A">
            <w:pPr>
              <w:spacing w:after="0" w:line="240" w:lineRule="auto"/>
              <w:rPr>
                <w:rFonts w:ascii="Times New Roman" w:eastAsia="Times New Roman" w:hAnsi="Times New Roman"/>
                <w:b/>
                <w:bCs/>
                <w:noProof/>
                <w:sz w:val="20"/>
                <w:szCs w:val="20"/>
                <w:lang w:eastAsia="en-IE"/>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4C8F70B" w14:textId="77777777" w:rsidR="00935FC8" w:rsidRPr="000318C2" w:rsidRDefault="00935FC8" w:rsidP="00A7081A">
            <w:pPr>
              <w:spacing w:after="0" w:line="240" w:lineRule="auto"/>
              <w:rPr>
                <w:rFonts w:ascii="Times New Roman" w:eastAsia="Times New Roman" w:hAnsi="Times New Roman"/>
                <w:b/>
                <w:bCs/>
                <w:noProof/>
                <w:sz w:val="20"/>
                <w:szCs w:val="20"/>
                <w:lang w:eastAsia="en-IE"/>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2CBA117A" w14:textId="77777777" w:rsidR="00935FC8" w:rsidRPr="000318C2" w:rsidRDefault="00935FC8" w:rsidP="00A7081A">
            <w:pPr>
              <w:spacing w:after="0" w:line="240" w:lineRule="auto"/>
              <w:rPr>
                <w:rFonts w:ascii="Times New Roman" w:eastAsia="Times New Roman" w:hAnsi="Times New Roman"/>
                <w:b/>
                <w:bCs/>
                <w:noProof/>
                <w:sz w:val="20"/>
                <w:szCs w:val="20"/>
                <w:lang w:eastAsia="en-IE"/>
              </w:rPr>
            </w:pPr>
          </w:p>
        </w:tc>
        <w:tc>
          <w:tcPr>
            <w:tcW w:w="1479" w:type="dxa"/>
            <w:vMerge/>
            <w:tcBorders>
              <w:top w:val="single" w:sz="4" w:space="0" w:color="auto"/>
              <w:left w:val="single" w:sz="4" w:space="0" w:color="auto"/>
              <w:bottom w:val="single" w:sz="4" w:space="0" w:color="auto"/>
              <w:right w:val="single" w:sz="4" w:space="0" w:color="auto"/>
            </w:tcBorders>
            <w:vAlign w:val="center"/>
            <w:hideMark/>
          </w:tcPr>
          <w:p w14:paraId="793D3CCC" w14:textId="77777777" w:rsidR="00935FC8" w:rsidRPr="000318C2" w:rsidRDefault="00935FC8" w:rsidP="00A7081A">
            <w:pPr>
              <w:spacing w:after="0" w:line="240" w:lineRule="auto"/>
              <w:rPr>
                <w:rFonts w:ascii="Times New Roman" w:eastAsia="Times New Roman" w:hAnsi="Times New Roman"/>
                <w:b/>
                <w:bCs/>
                <w:noProof/>
                <w:sz w:val="20"/>
                <w:szCs w:val="20"/>
                <w:lang w:eastAsia="en-IE"/>
              </w:rPr>
            </w:pPr>
          </w:p>
        </w:tc>
        <w:tc>
          <w:tcPr>
            <w:tcW w:w="9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526940" w14:textId="77777777" w:rsidR="00935FC8" w:rsidRPr="000318C2" w:rsidRDefault="00935FC8" w:rsidP="00A7081A">
            <w:pPr>
              <w:spacing w:after="0" w:line="240" w:lineRule="auto"/>
              <w:jc w:val="center"/>
              <w:rPr>
                <w:rFonts w:ascii="Times New Roman" w:eastAsia="Times New Roman" w:hAnsi="Times New Roman"/>
                <w:b/>
                <w:bCs/>
                <w:noProof/>
                <w:sz w:val="20"/>
                <w:szCs w:val="20"/>
                <w:lang w:eastAsia="en-IE"/>
              </w:rPr>
            </w:pPr>
            <w:r w:rsidRPr="000318C2">
              <w:rPr>
                <w:rFonts w:ascii="Times New Roman" w:eastAsia="Times New Roman" w:hAnsi="Times New Roman"/>
                <w:b/>
                <w:bCs/>
                <w:noProof/>
                <w:sz w:val="20"/>
                <w:szCs w:val="20"/>
                <w:lang w:eastAsia="en-IE"/>
              </w:rPr>
              <w:t xml:space="preserve">Unit </w:t>
            </w:r>
          </w:p>
        </w:tc>
        <w:tc>
          <w:tcPr>
            <w:tcW w:w="88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D9CA1EE" w14:textId="77777777" w:rsidR="00935FC8" w:rsidRPr="000318C2" w:rsidRDefault="00935FC8" w:rsidP="00A7081A">
            <w:pPr>
              <w:spacing w:after="0" w:line="240" w:lineRule="auto"/>
              <w:jc w:val="center"/>
              <w:rPr>
                <w:rFonts w:ascii="Times New Roman" w:eastAsia="Times New Roman" w:hAnsi="Times New Roman"/>
                <w:b/>
                <w:bCs/>
                <w:noProof/>
                <w:sz w:val="20"/>
                <w:szCs w:val="20"/>
                <w:lang w:eastAsia="en-IE"/>
              </w:rPr>
            </w:pPr>
            <w:r w:rsidRPr="000318C2">
              <w:rPr>
                <w:rFonts w:ascii="Times New Roman" w:eastAsia="Times New Roman" w:hAnsi="Times New Roman"/>
                <w:b/>
                <w:bCs/>
                <w:noProof/>
                <w:sz w:val="20"/>
                <w:szCs w:val="20"/>
                <w:lang w:eastAsia="en-IE"/>
              </w:rPr>
              <w:t xml:space="preserve">Baseline </w:t>
            </w:r>
          </w:p>
        </w:tc>
        <w:tc>
          <w:tcPr>
            <w:tcW w:w="60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FCED99" w14:textId="77777777" w:rsidR="00935FC8" w:rsidRPr="000318C2" w:rsidRDefault="00935FC8" w:rsidP="00A7081A">
            <w:pPr>
              <w:spacing w:after="0" w:line="240" w:lineRule="auto"/>
              <w:jc w:val="center"/>
              <w:rPr>
                <w:rFonts w:ascii="Times New Roman" w:eastAsia="Times New Roman" w:hAnsi="Times New Roman"/>
                <w:b/>
                <w:bCs/>
                <w:noProof/>
                <w:sz w:val="20"/>
                <w:szCs w:val="20"/>
                <w:lang w:eastAsia="en-IE"/>
              </w:rPr>
            </w:pPr>
            <w:r w:rsidRPr="000318C2">
              <w:rPr>
                <w:rFonts w:ascii="Times New Roman" w:eastAsia="Times New Roman" w:hAnsi="Times New Roman"/>
                <w:b/>
                <w:bCs/>
                <w:noProof/>
                <w:sz w:val="20"/>
                <w:szCs w:val="20"/>
                <w:lang w:eastAsia="en-IE"/>
              </w:rPr>
              <w:t xml:space="preserve">Goal </w:t>
            </w:r>
          </w:p>
        </w:tc>
        <w:tc>
          <w:tcPr>
            <w:tcW w:w="87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E33BAA9" w14:textId="77777777" w:rsidR="00935FC8" w:rsidRPr="000318C2" w:rsidRDefault="00935FC8" w:rsidP="00A7081A">
            <w:pPr>
              <w:spacing w:after="0" w:line="240" w:lineRule="auto"/>
              <w:jc w:val="center"/>
              <w:rPr>
                <w:rFonts w:ascii="Times New Roman" w:eastAsia="Times New Roman" w:hAnsi="Times New Roman"/>
                <w:b/>
                <w:bCs/>
                <w:noProof/>
                <w:sz w:val="20"/>
                <w:szCs w:val="20"/>
                <w:lang w:eastAsia="en-IE"/>
              </w:rPr>
            </w:pPr>
            <w:r w:rsidRPr="000318C2">
              <w:rPr>
                <w:rFonts w:ascii="Times New Roman" w:eastAsia="Times New Roman" w:hAnsi="Times New Roman"/>
                <w:b/>
                <w:bCs/>
                <w:noProof/>
                <w:sz w:val="20"/>
                <w:szCs w:val="20"/>
                <w:lang w:eastAsia="en-IE"/>
              </w:rPr>
              <w:t>Quarter</w:t>
            </w:r>
          </w:p>
        </w:tc>
        <w:tc>
          <w:tcPr>
            <w:tcW w:w="12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18CA217" w14:textId="77777777" w:rsidR="00935FC8" w:rsidRPr="000318C2" w:rsidRDefault="00935FC8" w:rsidP="00A7081A">
            <w:pPr>
              <w:spacing w:after="0" w:line="240" w:lineRule="auto"/>
              <w:jc w:val="center"/>
              <w:rPr>
                <w:rFonts w:ascii="Times New Roman" w:eastAsia="Times New Roman" w:hAnsi="Times New Roman"/>
                <w:b/>
                <w:bCs/>
                <w:noProof/>
                <w:sz w:val="20"/>
                <w:szCs w:val="20"/>
                <w:lang w:eastAsia="en-IE"/>
              </w:rPr>
            </w:pPr>
            <w:r w:rsidRPr="000318C2">
              <w:rPr>
                <w:rFonts w:ascii="Times New Roman" w:eastAsia="Times New Roman" w:hAnsi="Times New Roman"/>
                <w:b/>
                <w:bCs/>
                <w:noProof/>
                <w:sz w:val="20"/>
                <w:szCs w:val="20"/>
                <w:lang w:eastAsia="en-IE"/>
              </w:rPr>
              <w:t>Year</w:t>
            </w:r>
          </w:p>
        </w:tc>
        <w:tc>
          <w:tcPr>
            <w:tcW w:w="4438" w:type="dxa"/>
            <w:vMerge/>
            <w:tcBorders>
              <w:top w:val="single" w:sz="4" w:space="0" w:color="auto"/>
              <w:bottom w:val="single" w:sz="4" w:space="0" w:color="auto"/>
              <w:right w:val="single" w:sz="4" w:space="0" w:color="auto"/>
            </w:tcBorders>
            <w:vAlign w:val="center"/>
            <w:hideMark/>
          </w:tcPr>
          <w:p w14:paraId="5B3304C6" w14:textId="77777777" w:rsidR="00935FC8" w:rsidRPr="000318C2" w:rsidRDefault="00935FC8" w:rsidP="00A7081A">
            <w:pPr>
              <w:spacing w:after="0" w:line="240" w:lineRule="auto"/>
              <w:rPr>
                <w:rFonts w:ascii="Times New Roman" w:eastAsia="Times New Roman" w:hAnsi="Times New Roman"/>
                <w:b/>
                <w:bCs/>
                <w:noProof/>
                <w:sz w:val="20"/>
                <w:szCs w:val="20"/>
                <w:lang w:eastAsia="en-IE"/>
              </w:rPr>
            </w:pPr>
          </w:p>
        </w:tc>
      </w:tr>
      <w:tr w:rsidR="00A7081A" w:rsidRPr="000318C2" w14:paraId="5D651B50" w14:textId="77777777" w:rsidTr="000318C2">
        <w:trPr>
          <w:trHeight w:val="1929"/>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0ED1F8E6" w14:textId="77777777" w:rsidR="00935FC8" w:rsidRPr="000318C2" w:rsidRDefault="00935FC8" w:rsidP="00A7081A">
            <w:pPr>
              <w:spacing w:after="0" w:line="240" w:lineRule="auto"/>
              <w:jc w:val="center"/>
              <w:rPr>
                <w:rFonts w:ascii="Times New Roman" w:hAnsi="Times New Roman"/>
                <w:noProof/>
                <w:sz w:val="20"/>
                <w:szCs w:val="20"/>
                <w:lang w:eastAsia="en-IE"/>
              </w:rPr>
            </w:pPr>
            <w:r w:rsidRPr="000318C2">
              <w:rPr>
                <w:rFonts w:ascii="Times New Roman" w:hAnsi="Times New Roman"/>
                <w:noProof/>
                <w:sz w:val="20"/>
                <w:szCs w:val="20"/>
              </w:rPr>
              <w:t>121</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28465025"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P3C4I1 – Strengthening competitiveness and boosting growth in crisis-impacted sectors – Growth acceleration programme</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2C7D64F3"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Milestone</w:t>
            </w:r>
          </w:p>
          <w:p w14:paraId="61967905" w14:textId="77777777" w:rsidR="00935FC8" w:rsidRPr="000318C2" w:rsidRDefault="00935FC8" w:rsidP="00A7081A">
            <w:pPr>
              <w:spacing w:after="0" w:line="240" w:lineRule="auto"/>
              <w:rPr>
                <w:rFonts w:ascii="Times New Roman" w:eastAsia="Times New Roman" w:hAnsi="Times New Roman"/>
                <w:noProof/>
                <w:sz w:val="20"/>
                <w:szCs w:val="20"/>
                <w:lang w:eastAsia="en-IE"/>
              </w:rPr>
            </w:pP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64AD9E3D"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Publication of the call for applications for support to companies’ internationalisation capabilities</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739C79CD"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xml:space="preserve">Publication of the first call for applications </w:t>
            </w:r>
          </w:p>
          <w:p w14:paraId="54F9A009" w14:textId="77777777" w:rsidR="00935FC8" w:rsidRPr="000318C2" w:rsidRDefault="00935FC8" w:rsidP="00A7081A">
            <w:pPr>
              <w:spacing w:after="0" w:line="240" w:lineRule="auto"/>
              <w:rPr>
                <w:rFonts w:ascii="Times New Roman" w:eastAsia="Times New Roman" w:hAnsi="Times New Roman"/>
                <w:noProof/>
                <w:sz w:val="20"/>
                <w:szCs w:val="20"/>
              </w:rPr>
            </w:pP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077D6F23"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721D3A79"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w:t>
            </w: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66592CF7"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w:t>
            </w: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6A92F06E" w14:textId="460BB524" w:rsidR="00935FC8" w:rsidRPr="000318C2" w:rsidRDefault="00935FC8" w:rsidP="000F3161">
            <w:pPr>
              <w:spacing w:after="0" w:line="240" w:lineRule="auto"/>
              <w:rPr>
                <w:rFonts w:ascii="Times New Roman" w:hAnsi="Times New Roman"/>
                <w:noProof/>
                <w:sz w:val="20"/>
                <w:szCs w:val="20"/>
                <w:lang w:eastAsia="en-IE"/>
              </w:rPr>
            </w:pPr>
            <w:r w:rsidRPr="000318C2">
              <w:rPr>
                <w:rFonts w:ascii="Times New Roman" w:hAnsi="Times New Roman"/>
                <w:noProof/>
                <w:sz w:val="20"/>
                <w:szCs w:val="20"/>
              </w:rPr>
              <w:t>Q2</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221E9ED4" w14:textId="77777777" w:rsidR="00935FC8" w:rsidRPr="000318C2" w:rsidRDefault="00935FC8" w:rsidP="00A7081A">
            <w:pPr>
              <w:spacing w:after="0" w:line="240" w:lineRule="auto"/>
              <w:rPr>
                <w:rFonts w:ascii="Times New Roman" w:hAnsi="Times New Roman"/>
                <w:noProof/>
                <w:sz w:val="20"/>
                <w:szCs w:val="20"/>
                <w:lang w:eastAsia="en-IE"/>
              </w:rPr>
            </w:pPr>
            <w:r w:rsidRPr="000318C2">
              <w:rPr>
                <w:rFonts w:ascii="Times New Roman" w:hAnsi="Times New Roman"/>
                <w:noProof/>
                <w:sz w:val="20"/>
                <w:szCs w:val="20"/>
              </w:rPr>
              <w:t>2022</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0BBFEFF4" w14:textId="77777777" w:rsidR="00935FC8" w:rsidRPr="000318C2" w:rsidRDefault="00935FC8" w:rsidP="00A7081A">
            <w:pPr>
              <w:spacing w:after="0" w:line="240" w:lineRule="auto"/>
              <w:rPr>
                <w:rFonts w:ascii="Times New Roman" w:hAnsi="Times New Roman"/>
                <w:noProof/>
                <w:sz w:val="20"/>
                <w:szCs w:val="20"/>
                <w:lang w:eastAsia="en-IE"/>
              </w:rPr>
            </w:pPr>
            <w:r w:rsidRPr="000318C2">
              <w:rPr>
                <w:rFonts w:ascii="Times New Roman" w:hAnsi="Times New Roman"/>
                <w:noProof/>
                <w:sz w:val="20"/>
                <w:szCs w:val="20"/>
              </w:rPr>
              <w:t xml:space="preserve">Launch of the first call for applications for support to companies’ internationalisation capabilities. The eligibility/selection criteria shall ensure that the selected projects have a significant digitalisation effect, including in particular the use of digital technology and operating methods in small companies’ business operations and internationalisation activities. </w:t>
            </w:r>
          </w:p>
        </w:tc>
      </w:tr>
      <w:tr w:rsidR="00A7081A" w:rsidRPr="000318C2" w14:paraId="4951512B" w14:textId="77777777" w:rsidTr="000318C2">
        <w:trPr>
          <w:trHeight w:val="1632"/>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0AD5A455" w14:textId="77777777" w:rsidR="00935FC8" w:rsidRPr="000318C2" w:rsidRDefault="00935FC8" w:rsidP="00A7081A">
            <w:pPr>
              <w:spacing w:after="0" w:line="240" w:lineRule="auto"/>
              <w:jc w:val="center"/>
              <w:rPr>
                <w:rFonts w:ascii="Times New Roman" w:eastAsia="Times New Roman" w:hAnsi="Times New Roman"/>
                <w:noProof/>
                <w:sz w:val="20"/>
                <w:szCs w:val="20"/>
                <w:lang w:eastAsia="en-IE"/>
              </w:rPr>
            </w:pPr>
            <w:r w:rsidRPr="000318C2">
              <w:rPr>
                <w:rFonts w:ascii="Times New Roman" w:hAnsi="Times New Roman"/>
                <w:noProof/>
                <w:sz w:val="20"/>
                <w:szCs w:val="20"/>
              </w:rPr>
              <w:t>123</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410E034E"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P3C4I1 - Strengthening competitiveness and boosting growth in crisis-impacted sectors – Growth acceleration programme</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51A1AA8A"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Target</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42185CDB"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Project reports submitted</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3BAF068A"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449AB2D3"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Number</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7DCB288F"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0</w:t>
            </w: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75DFE2F8"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110</w:t>
            </w: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29132906"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Q2</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5F19986E"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2026</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73F99836" w14:textId="77777777" w:rsidR="00935FC8" w:rsidRPr="000318C2" w:rsidRDefault="00935FC8" w:rsidP="00A7081A">
            <w:pPr>
              <w:spacing w:after="0" w:line="240" w:lineRule="auto"/>
              <w:rPr>
                <w:rFonts w:ascii="Times New Roman" w:hAnsi="Times New Roman"/>
                <w:noProof/>
                <w:sz w:val="20"/>
                <w:szCs w:val="20"/>
              </w:rPr>
            </w:pPr>
            <w:r w:rsidRPr="000318C2" w:rsidDel="00701B84">
              <w:rPr>
                <w:rFonts w:ascii="Times New Roman" w:hAnsi="Times New Roman"/>
                <w:noProof/>
                <w:sz w:val="20"/>
                <w:szCs w:val="20"/>
              </w:rPr>
              <w:t xml:space="preserve">At </w:t>
            </w:r>
            <w:r w:rsidRPr="000318C2">
              <w:rPr>
                <w:rFonts w:ascii="Times New Roman" w:hAnsi="Times New Roman"/>
                <w:noProof/>
                <w:sz w:val="20"/>
                <w:szCs w:val="20"/>
              </w:rPr>
              <w:t>least 110 project reports shall be submitted by recipient entities</w:t>
            </w:r>
            <w:r w:rsidRPr="000318C2" w:rsidDel="00701B84">
              <w:rPr>
                <w:rFonts w:ascii="Times New Roman" w:hAnsi="Times New Roman"/>
                <w:noProof/>
                <w:sz w:val="20"/>
                <w:szCs w:val="20"/>
              </w:rPr>
              <w:t xml:space="preserve"> </w:t>
            </w:r>
            <w:r w:rsidRPr="000318C2">
              <w:rPr>
                <w:rFonts w:ascii="Times New Roman" w:hAnsi="Times New Roman"/>
                <w:noProof/>
                <w:sz w:val="20"/>
                <w:szCs w:val="20"/>
              </w:rPr>
              <w:t>for projects supported under the call for applications referred to in this measure</w:t>
            </w:r>
            <w:r w:rsidRPr="000318C2" w:rsidDel="00145061">
              <w:rPr>
                <w:rFonts w:ascii="Times New Roman" w:hAnsi="Times New Roman"/>
                <w:noProof/>
                <w:sz w:val="20"/>
                <w:szCs w:val="20"/>
              </w:rPr>
              <w:t>.</w:t>
            </w:r>
          </w:p>
        </w:tc>
      </w:tr>
      <w:tr w:rsidR="00A7081A" w:rsidRPr="000318C2" w14:paraId="4A4F07E5" w14:textId="77777777" w:rsidTr="000318C2">
        <w:trPr>
          <w:trHeight w:val="704"/>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4FA3BAB5" w14:textId="77777777" w:rsidR="00935FC8" w:rsidRPr="000318C2" w:rsidRDefault="00935FC8" w:rsidP="00A7081A">
            <w:pPr>
              <w:spacing w:after="0" w:line="240" w:lineRule="auto"/>
              <w:jc w:val="center"/>
              <w:rPr>
                <w:rFonts w:ascii="Times New Roman" w:eastAsia="Times New Roman" w:hAnsi="Times New Roman"/>
                <w:noProof/>
                <w:sz w:val="20"/>
                <w:szCs w:val="20"/>
                <w:lang w:eastAsia="en-IE"/>
              </w:rPr>
            </w:pPr>
            <w:r w:rsidRPr="000318C2">
              <w:rPr>
                <w:rFonts w:ascii="Times New Roman" w:hAnsi="Times New Roman"/>
                <w:noProof/>
                <w:sz w:val="20"/>
                <w:szCs w:val="20"/>
              </w:rPr>
              <w:t>124</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573E94A8"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P3C4I2 - Strengthening competitiveness and boosting growth in crisis-impacted sectors – Key programmes for international growth</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16D9E83F"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Milestone</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24CE9E1B" w14:textId="4A3109BC" w:rsidR="00935FC8" w:rsidRPr="000318C2" w:rsidRDefault="00935FC8" w:rsidP="000F3161">
            <w:pPr>
              <w:spacing w:after="0" w:line="240" w:lineRule="auto"/>
              <w:rPr>
                <w:rFonts w:ascii="Times New Roman" w:hAnsi="Times New Roman"/>
                <w:noProof/>
                <w:sz w:val="20"/>
                <w:szCs w:val="20"/>
                <w:lang w:eastAsia="en-IE"/>
              </w:rPr>
            </w:pPr>
            <w:r w:rsidRPr="000318C2">
              <w:rPr>
                <w:rFonts w:ascii="Times New Roman" w:hAnsi="Times New Roman"/>
                <w:noProof/>
                <w:sz w:val="20"/>
                <w:szCs w:val="20"/>
              </w:rPr>
              <w:t>Publication of the first three calls for applications under key programmes for international growth</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25943971"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xml:space="preserve">Publication of the first three calls for applications </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426C7067"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w:t>
            </w:r>
          </w:p>
        </w:tc>
        <w:tc>
          <w:tcPr>
            <w:tcW w:w="887" w:type="dxa"/>
            <w:tcBorders>
              <w:top w:val="single" w:sz="4" w:space="0" w:color="auto"/>
              <w:left w:val="single" w:sz="4" w:space="0" w:color="auto"/>
              <w:bottom w:val="single" w:sz="4" w:space="0" w:color="auto"/>
              <w:right w:val="single" w:sz="4" w:space="0" w:color="auto"/>
            </w:tcBorders>
            <w:shd w:val="clear" w:color="auto" w:fill="C6EFCE"/>
          </w:tcPr>
          <w:p w14:paraId="5520FCC7" w14:textId="77777777" w:rsidR="00935FC8" w:rsidRPr="000318C2" w:rsidRDefault="00935FC8" w:rsidP="00A7081A">
            <w:pPr>
              <w:spacing w:after="0" w:line="240" w:lineRule="auto"/>
              <w:rPr>
                <w:rFonts w:ascii="Times New Roman" w:eastAsia="Times New Roman" w:hAnsi="Times New Roman"/>
                <w:noProof/>
                <w:sz w:val="20"/>
                <w:szCs w:val="20"/>
                <w:lang w:eastAsia="en-IE"/>
              </w:rPr>
            </w:pPr>
          </w:p>
        </w:tc>
        <w:tc>
          <w:tcPr>
            <w:tcW w:w="606" w:type="dxa"/>
            <w:tcBorders>
              <w:top w:val="single" w:sz="4" w:space="0" w:color="auto"/>
              <w:left w:val="single" w:sz="4" w:space="0" w:color="auto"/>
              <w:bottom w:val="single" w:sz="4" w:space="0" w:color="auto"/>
              <w:right w:val="single" w:sz="4" w:space="0" w:color="auto"/>
            </w:tcBorders>
            <w:shd w:val="clear" w:color="auto" w:fill="C6EFCE"/>
          </w:tcPr>
          <w:p w14:paraId="6D8E4491" w14:textId="77777777" w:rsidR="00935FC8" w:rsidRPr="000318C2" w:rsidRDefault="00935FC8" w:rsidP="00A7081A">
            <w:pPr>
              <w:spacing w:after="0" w:line="240" w:lineRule="auto"/>
              <w:rPr>
                <w:rFonts w:ascii="Times New Roman" w:eastAsia="Times New Roman" w:hAnsi="Times New Roman"/>
                <w:noProof/>
                <w:sz w:val="20"/>
                <w:szCs w:val="20"/>
                <w:lang w:eastAsia="en-IE"/>
              </w:rPr>
            </w:pP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05E96C8F"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Q2</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66F6636B"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2022</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1550E5ED"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At least three calls for applications shall be launched for key programmes for international growth, including:</w:t>
            </w:r>
          </w:p>
          <w:p w14:paraId="5B9177B5" w14:textId="77777777" w:rsidR="00935FC8" w:rsidRPr="000318C2" w:rsidRDefault="00935FC8" w:rsidP="00A7081A">
            <w:pPr>
              <w:numPr>
                <w:ilvl w:val="0"/>
                <w:numId w:val="27"/>
              </w:numPr>
              <w:spacing w:after="0" w:line="240" w:lineRule="auto"/>
              <w:rPr>
                <w:rFonts w:ascii="Times New Roman" w:hAnsi="Times New Roman"/>
                <w:noProof/>
                <w:sz w:val="20"/>
                <w:szCs w:val="20"/>
              </w:rPr>
            </w:pPr>
            <w:r w:rsidRPr="000318C2">
              <w:rPr>
                <w:rFonts w:ascii="Times New Roman" w:hAnsi="Times New Roman"/>
                <w:noProof/>
                <w:sz w:val="20"/>
                <w:szCs w:val="20"/>
              </w:rPr>
              <w:t xml:space="preserve">Promotion of low-carbon, circular economy and digital renewal in industry and increase of exports of industrial services; </w:t>
            </w:r>
          </w:p>
          <w:p w14:paraId="76AA46F3" w14:textId="77777777" w:rsidR="00935FC8" w:rsidRPr="000318C2" w:rsidRDefault="00935FC8" w:rsidP="00A7081A">
            <w:pPr>
              <w:numPr>
                <w:ilvl w:val="0"/>
                <w:numId w:val="27"/>
              </w:numPr>
              <w:spacing w:after="0" w:line="240" w:lineRule="auto"/>
              <w:rPr>
                <w:rFonts w:ascii="Times New Roman" w:hAnsi="Times New Roman"/>
                <w:noProof/>
                <w:sz w:val="20"/>
                <w:szCs w:val="20"/>
              </w:rPr>
            </w:pPr>
            <w:r w:rsidRPr="000318C2">
              <w:rPr>
                <w:rFonts w:ascii="Times New Roman" w:hAnsi="Times New Roman"/>
                <w:noProof/>
                <w:sz w:val="20"/>
                <w:szCs w:val="20"/>
              </w:rPr>
              <w:t xml:space="preserve">Electric heavy-duty vehicle transport ecosystem; </w:t>
            </w:r>
          </w:p>
          <w:p w14:paraId="7D70BD34" w14:textId="77777777" w:rsidR="00935FC8" w:rsidRPr="000318C2" w:rsidRDefault="00935FC8" w:rsidP="00A7081A">
            <w:pPr>
              <w:numPr>
                <w:ilvl w:val="0"/>
                <w:numId w:val="27"/>
              </w:numPr>
              <w:spacing w:after="0" w:line="240" w:lineRule="auto"/>
              <w:rPr>
                <w:rFonts w:ascii="Times New Roman" w:hAnsi="Times New Roman"/>
                <w:noProof/>
                <w:sz w:val="20"/>
                <w:szCs w:val="20"/>
              </w:rPr>
            </w:pPr>
            <w:r w:rsidRPr="000318C2">
              <w:rPr>
                <w:rFonts w:ascii="Times New Roman" w:hAnsi="Times New Roman"/>
                <w:noProof/>
                <w:sz w:val="20"/>
                <w:szCs w:val="20"/>
              </w:rPr>
              <w:t>Health and wellbeing expertise and technology, in support of the Health Sector Growth Strategy’s roadmap;</w:t>
            </w:r>
          </w:p>
          <w:p w14:paraId="69176781" w14:textId="77777777" w:rsidR="00935FC8" w:rsidRPr="000318C2" w:rsidRDefault="00935FC8" w:rsidP="00A7081A">
            <w:pPr>
              <w:numPr>
                <w:ilvl w:val="0"/>
                <w:numId w:val="27"/>
              </w:numPr>
              <w:spacing w:after="0" w:line="240" w:lineRule="auto"/>
              <w:rPr>
                <w:rFonts w:ascii="Times New Roman" w:hAnsi="Times New Roman"/>
                <w:noProof/>
                <w:sz w:val="20"/>
                <w:szCs w:val="20"/>
              </w:rPr>
            </w:pPr>
            <w:r w:rsidRPr="000318C2">
              <w:rPr>
                <w:rFonts w:ascii="Times New Roman" w:hAnsi="Times New Roman"/>
                <w:noProof/>
                <w:sz w:val="20"/>
                <w:szCs w:val="20"/>
              </w:rPr>
              <w:t>Programme for growth and exports of water management expertise.</w:t>
            </w:r>
          </w:p>
          <w:p w14:paraId="41EAA431" w14:textId="77777777" w:rsidR="00935FC8" w:rsidRPr="000318C2" w:rsidRDefault="00935FC8" w:rsidP="00A7081A">
            <w:pPr>
              <w:spacing w:after="0" w:line="240" w:lineRule="auto"/>
              <w:rPr>
                <w:rFonts w:ascii="Times New Roman" w:hAnsi="Times New Roman"/>
                <w:noProof/>
                <w:sz w:val="20"/>
                <w:szCs w:val="20"/>
              </w:rPr>
            </w:pPr>
          </w:p>
          <w:p w14:paraId="61A9CDF5"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eastAsia="Times New Roman" w:hAnsi="Times New Roman"/>
                <w:noProof/>
                <w:sz w:val="20"/>
                <w:szCs w:val="20"/>
              </w:rPr>
              <w:t>The eligibility criteria shall ensure that projects comply</w:t>
            </w:r>
            <w:r w:rsidRPr="000318C2">
              <w:rPr>
                <w:rFonts w:ascii="Times New Roman" w:hAnsi="Times New Roman"/>
                <w:noProof/>
                <w:sz w:val="20"/>
                <w:szCs w:val="20"/>
              </w:rPr>
              <w:t xml:space="preserve"> with the ‘Do no significant harm’ Technical Guidance (2021/C58/01) through the use of an exclusion list and the requirement of compliance with the relevant EU and national environmental legislation.</w:t>
            </w:r>
          </w:p>
        </w:tc>
      </w:tr>
      <w:tr w:rsidR="00A7081A" w:rsidRPr="000318C2" w14:paraId="05930CCB" w14:textId="77777777" w:rsidTr="000318C2">
        <w:trPr>
          <w:trHeight w:val="835"/>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54EEB881" w14:textId="77777777" w:rsidR="00935FC8" w:rsidRPr="000318C2" w:rsidRDefault="00935FC8" w:rsidP="00A7081A">
            <w:pPr>
              <w:spacing w:after="0" w:line="240" w:lineRule="auto"/>
              <w:jc w:val="center"/>
              <w:rPr>
                <w:rFonts w:ascii="Times New Roman" w:eastAsia="Times New Roman" w:hAnsi="Times New Roman"/>
                <w:noProof/>
                <w:sz w:val="20"/>
                <w:szCs w:val="20"/>
                <w:lang w:eastAsia="en-IE"/>
              </w:rPr>
            </w:pPr>
            <w:r w:rsidRPr="000318C2">
              <w:rPr>
                <w:rFonts w:ascii="Times New Roman" w:hAnsi="Times New Roman"/>
                <w:noProof/>
                <w:sz w:val="20"/>
                <w:szCs w:val="20"/>
              </w:rPr>
              <w:t>125</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6528FE4F"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P3C4I2 - Strengthening competitiveness and boosting growth in crisis-impacted sectors – Key programmes for international growth</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70B1078B"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Milestone</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527B6072"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Award of grants for all projects under key programmes for international growth</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622FE67B" w14:textId="1A92F73E"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xml:space="preserve">Notification of the award of all grants </w:t>
            </w:r>
          </w:p>
        </w:tc>
        <w:tc>
          <w:tcPr>
            <w:tcW w:w="917" w:type="dxa"/>
            <w:tcBorders>
              <w:top w:val="single" w:sz="4" w:space="0" w:color="auto"/>
              <w:left w:val="single" w:sz="4" w:space="0" w:color="auto"/>
              <w:bottom w:val="single" w:sz="4" w:space="0" w:color="auto"/>
              <w:right w:val="single" w:sz="4" w:space="0" w:color="auto"/>
            </w:tcBorders>
            <w:shd w:val="clear" w:color="auto" w:fill="C6EFCE"/>
          </w:tcPr>
          <w:p w14:paraId="62A9DA31" w14:textId="77777777" w:rsidR="00935FC8" w:rsidRPr="000318C2" w:rsidRDefault="00935FC8" w:rsidP="00A7081A">
            <w:pPr>
              <w:spacing w:after="0" w:line="240" w:lineRule="auto"/>
              <w:rPr>
                <w:rFonts w:ascii="Times New Roman" w:eastAsia="Times New Roman" w:hAnsi="Times New Roman"/>
                <w:noProof/>
                <w:sz w:val="20"/>
                <w:szCs w:val="20"/>
                <w:lang w:eastAsia="en-IE"/>
              </w:rPr>
            </w:pPr>
          </w:p>
        </w:tc>
        <w:tc>
          <w:tcPr>
            <w:tcW w:w="887" w:type="dxa"/>
            <w:tcBorders>
              <w:top w:val="single" w:sz="4" w:space="0" w:color="auto"/>
              <w:left w:val="single" w:sz="4" w:space="0" w:color="auto"/>
              <w:bottom w:val="single" w:sz="4" w:space="0" w:color="auto"/>
              <w:right w:val="single" w:sz="4" w:space="0" w:color="auto"/>
            </w:tcBorders>
            <w:shd w:val="clear" w:color="auto" w:fill="C6EFCE"/>
          </w:tcPr>
          <w:p w14:paraId="29247E04" w14:textId="77777777" w:rsidR="00935FC8" w:rsidRPr="000318C2" w:rsidRDefault="00935FC8" w:rsidP="00A7081A">
            <w:pPr>
              <w:spacing w:after="0" w:line="240" w:lineRule="auto"/>
              <w:rPr>
                <w:rFonts w:ascii="Times New Roman" w:eastAsia="Times New Roman" w:hAnsi="Times New Roman"/>
                <w:noProof/>
                <w:sz w:val="20"/>
                <w:szCs w:val="20"/>
                <w:lang w:eastAsia="en-IE"/>
              </w:rPr>
            </w:pPr>
          </w:p>
        </w:tc>
        <w:tc>
          <w:tcPr>
            <w:tcW w:w="606" w:type="dxa"/>
            <w:tcBorders>
              <w:top w:val="single" w:sz="4" w:space="0" w:color="auto"/>
              <w:left w:val="single" w:sz="4" w:space="0" w:color="auto"/>
              <w:bottom w:val="single" w:sz="4" w:space="0" w:color="auto"/>
              <w:right w:val="single" w:sz="4" w:space="0" w:color="auto"/>
            </w:tcBorders>
            <w:shd w:val="clear" w:color="auto" w:fill="C6EFCE"/>
          </w:tcPr>
          <w:p w14:paraId="78032EB9" w14:textId="77777777" w:rsidR="00935FC8" w:rsidRPr="000318C2" w:rsidRDefault="00935FC8" w:rsidP="00A7081A">
            <w:pPr>
              <w:spacing w:after="0" w:line="240" w:lineRule="auto"/>
              <w:rPr>
                <w:rFonts w:ascii="Times New Roman" w:eastAsia="Times New Roman" w:hAnsi="Times New Roman"/>
                <w:noProof/>
                <w:sz w:val="20"/>
                <w:szCs w:val="20"/>
                <w:lang w:eastAsia="en-IE"/>
              </w:rPr>
            </w:pP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2D247628"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Q4</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6AD59540"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2023</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1ECBA559"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Notification of the award of all grants for projects selected under the calls for applications. All calls shall be based on the eligibility/selection criteria indicated in milestone 124.</w:t>
            </w:r>
          </w:p>
        </w:tc>
      </w:tr>
      <w:tr w:rsidR="00A7081A" w:rsidRPr="000318C2" w14:paraId="55D7CAEE" w14:textId="77777777" w:rsidTr="000318C2">
        <w:trPr>
          <w:trHeight w:val="1280"/>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755E89D4" w14:textId="77777777" w:rsidR="00935FC8" w:rsidRPr="000318C2" w:rsidRDefault="00935FC8" w:rsidP="00A7081A">
            <w:pPr>
              <w:spacing w:after="0" w:line="240" w:lineRule="auto"/>
              <w:jc w:val="center"/>
              <w:rPr>
                <w:rFonts w:ascii="Times New Roman" w:eastAsia="Times New Roman" w:hAnsi="Times New Roman"/>
                <w:noProof/>
                <w:sz w:val="20"/>
                <w:szCs w:val="20"/>
                <w:lang w:eastAsia="en-IE"/>
              </w:rPr>
            </w:pPr>
            <w:r w:rsidRPr="000318C2">
              <w:rPr>
                <w:rFonts w:ascii="Times New Roman" w:hAnsi="Times New Roman"/>
                <w:noProof/>
                <w:sz w:val="20"/>
                <w:szCs w:val="20"/>
              </w:rPr>
              <w:t>126</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46DA9229"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P3C4I2 - Strengthening competitiveness and boosting growth in crisis-impacted sectors – Key programmes for international growth</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4A260A62"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Target</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30692320"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xml:space="preserve">Project reports submitted </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4C754E14"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4B412BBC"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Number</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1E37964D"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0</w:t>
            </w: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558DDAFE" w14:textId="77777777" w:rsidR="00935FC8" w:rsidRPr="000318C2" w:rsidRDefault="00935FC8" w:rsidP="00A7081A">
            <w:pPr>
              <w:spacing w:after="0" w:line="240" w:lineRule="auto"/>
              <w:rPr>
                <w:rFonts w:ascii="Times New Roman" w:eastAsia="Times New Roman" w:hAnsi="Times New Roman"/>
                <w:noProof/>
                <w:sz w:val="20"/>
                <w:szCs w:val="20"/>
              </w:rPr>
            </w:pPr>
            <w:r w:rsidRPr="000318C2">
              <w:rPr>
                <w:rFonts w:ascii="Times New Roman" w:hAnsi="Times New Roman"/>
                <w:noProof/>
                <w:sz w:val="20"/>
                <w:szCs w:val="20"/>
              </w:rPr>
              <w:t>40</w:t>
            </w: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3E172601"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Q4</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1919C524"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2025</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0CACA237" w14:textId="77777777" w:rsidR="00935FC8" w:rsidRPr="000318C2" w:rsidRDefault="00935FC8" w:rsidP="00A7081A">
            <w:pPr>
              <w:spacing w:after="0" w:line="240" w:lineRule="auto"/>
              <w:rPr>
                <w:rFonts w:ascii="Times New Roman" w:hAnsi="Times New Roman"/>
                <w:noProof/>
                <w:sz w:val="20"/>
                <w:szCs w:val="20"/>
                <w:lang w:eastAsia="en-IE"/>
              </w:rPr>
            </w:pPr>
            <w:r w:rsidRPr="000318C2">
              <w:rPr>
                <w:rFonts w:ascii="Times New Roman" w:hAnsi="Times New Roman"/>
                <w:noProof/>
                <w:sz w:val="20"/>
                <w:szCs w:val="20"/>
                <w:lang w:eastAsia="en-IE"/>
              </w:rPr>
              <w:t>At least 40 project reports shall be submitted by recipient entities for projects supported under the calls for applications referred to in this measure</w:t>
            </w:r>
            <w:r w:rsidRPr="000318C2" w:rsidDel="00FA0FA7">
              <w:rPr>
                <w:rFonts w:ascii="Times New Roman" w:hAnsi="Times New Roman"/>
                <w:noProof/>
                <w:sz w:val="20"/>
                <w:szCs w:val="20"/>
                <w:lang w:eastAsia="en-IE"/>
              </w:rPr>
              <w:t>.</w:t>
            </w:r>
          </w:p>
        </w:tc>
      </w:tr>
      <w:tr w:rsidR="00A7081A" w:rsidRPr="000318C2" w14:paraId="3D7D4E22" w14:textId="77777777" w:rsidTr="000318C2">
        <w:trPr>
          <w:trHeight w:val="551"/>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5290FA15" w14:textId="77777777" w:rsidR="00935FC8" w:rsidRPr="000318C2" w:rsidRDefault="00935FC8" w:rsidP="00A7081A">
            <w:pPr>
              <w:spacing w:after="0" w:line="240" w:lineRule="auto"/>
              <w:jc w:val="center"/>
              <w:rPr>
                <w:rFonts w:ascii="Times New Roman" w:eastAsia="Times New Roman" w:hAnsi="Times New Roman"/>
                <w:noProof/>
                <w:sz w:val="20"/>
                <w:szCs w:val="20"/>
                <w:lang w:eastAsia="en-IE"/>
              </w:rPr>
            </w:pPr>
            <w:r w:rsidRPr="000318C2">
              <w:rPr>
                <w:rFonts w:ascii="Times New Roman" w:hAnsi="Times New Roman"/>
                <w:noProof/>
                <w:sz w:val="20"/>
                <w:szCs w:val="20"/>
              </w:rPr>
              <w:t>127</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1ED6C781"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P3C4I3 - Strengthening competitiveness and boosting growth in crisis-impacted sectors – Support for the renewal of the cultural and creative sectors</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30B06B78"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Milestone</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7B1798A2" w14:textId="77777777" w:rsidR="00935FC8" w:rsidRPr="000318C2" w:rsidRDefault="00935FC8" w:rsidP="00A7081A">
            <w:pPr>
              <w:spacing w:after="0" w:line="240" w:lineRule="auto"/>
              <w:rPr>
                <w:rFonts w:ascii="Times New Roman" w:hAnsi="Times New Roman"/>
                <w:noProof/>
                <w:sz w:val="20"/>
                <w:szCs w:val="20"/>
                <w:lang w:eastAsia="en-IE"/>
              </w:rPr>
            </w:pPr>
            <w:r w:rsidRPr="000318C2">
              <w:rPr>
                <w:rFonts w:ascii="Times New Roman" w:hAnsi="Times New Roman"/>
                <w:noProof/>
                <w:sz w:val="20"/>
                <w:szCs w:val="20"/>
              </w:rPr>
              <w:t>Publication of two calls for applications for projects supporting the renewal of cultural and creative sectors, respectively for development aid and pilot aid</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534767FA"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Publication of a first call for applications for development aid and a first call for applications for pilot aid</w:t>
            </w:r>
          </w:p>
        </w:tc>
        <w:tc>
          <w:tcPr>
            <w:tcW w:w="917" w:type="dxa"/>
            <w:tcBorders>
              <w:top w:val="single" w:sz="4" w:space="0" w:color="auto"/>
              <w:left w:val="single" w:sz="4" w:space="0" w:color="auto"/>
              <w:bottom w:val="single" w:sz="4" w:space="0" w:color="auto"/>
              <w:right w:val="single" w:sz="4" w:space="0" w:color="auto"/>
            </w:tcBorders>
            <w:shd w:val="clear" w:color="auto" w:fill="C6EFCE"/>
          </w:tcPr>
          <w:p w14:paraId="756CB5AA" w14:textId="77777777" w:rsidR="00935FC8" w:rsidRPr="000318C2" w:rsidRDefault="00935FC8" w:rsidP="00A7081A">
            <w:pPr>
              <w:spacing w:after="0" w:line="240" w:lineRule="auto"/>
              <w:rPr>
                <w:rFonts w:ascii="Times New Roman" w:eastAsia="Times New Roman" w:hAnsi="Times New Roman"/>
                <w:noProof/>
                <w:sz w:val="20"/>
                <w:szCs w:val="20"/>
                <w:lang w:eastAsia="en-IE"/>
              </w:rPr>
            </w:pPr>
          </w:p>
        </w:tc>
        <w:tc>
          <w:tcPr>
            <w:tcW w:w="887" w:type="dxa"/>
            <w:tcBorders>
              <w:top w:val="single" w:sz="4" w:space="0" w:color="auto"/>
              <w:left w:val="single" w:sz="4" w:space="0" w:color="auto"/>
              <w:bottom w:val="single" w:sz="4" w:space="0" w:color="auto"/>
              <w:right w:val="single" w:sz="4" w:space="0" w:color="auto"/>
            </w:tcBorders>
            <w:shd w:val="clear" w:color="auto" w:fill="C6EFCE"/>
          </w:tcPr>
          <w:p w14:paraId="66821E69" w14:textId="77777777" w:rsidR="00935FC8" w:rsidRPr="000318C2" w:rsidRDefault="00935FC8" w:rsidP="00A7081A">
            <w:pPr>
              <w:spacing w:after="0" w:line="240" w:lineRule="auto"/>
              <w:rPr>
                <w:rFonts w:ascii="Times New Roman" w:eastAsia="Times New Roman" w:hAnsi="Times New Roman"/>
                <w:noProof/>
                <w:sz w:val="20"/>
                <w:szCs w:val="20"/>
                <w:lang w:eastAsia="en-IE"/>
              </w:rPr>
            </w:pPr>
          </w:p>
        </w:tc>
        <w:tc>
          <w:tcPr>
            <w:tcW w:w="606" w:type="dxa"/>
            <w:tcBorders>
              <w:top w:val="single" w:sz="4" w:space="0" w:color="auto"/>
              <w:left w:val="single" w:sz="4" w:space="0" w:color="auto"/>
              <w:bottom w:val="single" w:sz="4" w:space="0" w:color="auto"/>
              <w:right w:val="single" w:sz="4" w:space="0" w:color="auto"/>
            </w:tcBorders>
            <w:shd w:val="clear" w:color="auto" w:fill="C6EFCE"/>
          </w:tcPr>
          <w:p w14:paraId="28D59277" w14:textId="77777777" w:rsidR="00935FC8" w:rsidRPr="000318C2" w:rsidRDefault="00935FC8" w:rsidP="00A7081A">
            <w:pPr>
              <w:spacing w:after="0" w:line="240" w:lineRule="auto"/>
              <w:rPr>
                <w:rFonts w:ascii="Times New Roman" w:eastAsia="Times New Roman" w:hAnsi="Times New Roman"/>
                <w:noProof/>
                <w:sz w:val="20"/>
                <w:szCs w:val="20"/>
                <w:lang w:eastAsia="en-IE"/>
              </w:rPr>
            </w:pP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24609D6C"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Q4</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298408EF"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2021</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4957845A" w14:textId="77777777" w:rsidR="00935FC8" w:rsidRPr="000318C2" w:rsidRDefault="00935FC8" w:rsidP="00A7081A">
            <w:pPr>
              <w:spacing w:after="0" w:line="240" w:lineRule="auto"/>
              <w:rPr>
                <w:rFonts w:ascii="Times New Roman" w:hAnsi="Times New Roman"/>
                <w:noProof/>
                <w:sz w:val="20"/>
                <w:szCs w:val="20"/>
                <w:lang w:eastAsia="en-IE"/>
              </w:rPr>
            </w:pPr>
            <w:r w:rsidRPr="000318C2">
              <w:rPr>
                <w:rFonts w:ascii="Times New Roman" w:hAnsi="Times New Roman"/>
                <w:noProof/>
                <w:sz w:val="20"/>
                <w:szCs w:val="20"/>
              </w:rPr>
              <w:t>The first two calls for applications (one by Business Finland and one by Ministry of Education and Culture) shall be launched with the aim to revitalise, grow and internationalise the creative industries, with emphasis on the digital transformation and innovation. The eligibility/selection criteria shall ensure that the intervention focuses on promoting elements directly linked to the digitalisation of business</w:t>
            </w:r>
            <w:r w:rsidRPr="000318C2" w:rsidDel="00984AE5">
              <w:rPr>
                <w:rFonts w:ascii="Times New Roman" w:hAnsi="Times New Roman"/>
                <w:noProof/>
                <w:sz w:val="20"/>
                <w:szCs w:val="20"/>
              </w:rPr>
              <w:t xml:space="preserve"> </w:t>
            </w:r>
            <w:r w:rsidRPr="000318C2">
              <w:rPr>
                <w:rFonts w:ascii="Times New Roman" w:hAnsi="Times New Roman"/>
                <w:noProof/>
                <w:sz w:val="20"/>
                <w:szCs w:val="20"/>
              </w:rPr>
              <w:t>(according to intervention field 015 in Annex VII to the RRF Regulation). The eligibility criteria shall also ensure that projects comply with the ‘Do no significant harm’ Technical Guidance (2021/C58/01) through the use of an exclusion list and the requirement of compliance with the relevant EU and national environmental legislation.</w:t>
            </w:r>
          </w:p>
        </w:tc>
      </w:tr>
      <w:tr w:rsidR="00A7081A" w:rsidRPr="000318C2" w14:paraId="0FB1180A" w14:textId="77777777" w:rsidTr="000318C2">
        <w:trPr>
          <w:trHeight w:val="1733"/>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0B2B353D" w14:textId="77777777" w:rsidR="00935FC8" w:rsidRPr="000318C2" w:rsidRDefault="00935FC8" w:rsidP="00A7081A">
            <w:pPr>
              <w:spacing w:after="0" w:line="240" w:lineRule="auto"/>
              <w:jc w:val="center"/>
              <w:rPr>
                <w:rFonts w:ascii="Times New Roman" w:eastAsia="Times New Roman" w:hAnsi="Times New Roman"/>
                <w:noProof/>
                <w:sz w:val="20"/>
                <w:szCs w:val="20"/>
                <w:lang w:eastAsia="en-IE"/>
              </w:rPr>
            </w:pPr>
            <w:r w:rsidRPr="000318C2">
              <w:rPr>
                <w:rFonts w:ascii="Times New Roman" w:hAnsi="Times New Roman"/>
                <w:noProof/>
                <w:sz w:val="20"/>
                <w:szCs w:val="20"/>
              </w:rPr>
              <w:t>128</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13A61232"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P3C4I3 - Strengthening competitiveness and boosting growth in crisis-impacted sectors – Support for the renewal of the cultural and creative sectors</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6514C202"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Milestone</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6863A941"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Publication of additional calls for applications</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52611D58"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eastAsia="Times New Roman" w:hAnsi="Times New Roman"/>
                <w:noProof/>
                <w:color w:val="000000"/>
                <w:sz w:val="20"/>
                <w:szCs w:val="20"/>
              </w:rPr>
              <w:t>Publication of additional calls for applications</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72AFA709" w14:textId="77777777" w:rsidR="00935FC8" w:rsidRPr="000318C2" w:rsidRDefault="00935FC8" w:rsidP="00A7081A">
            <w:pPr>
              <w:spacing w:after="0" w:line="240" w:lineRule="auto"/>
              <w:rPr>
                <w:rFonts w:ascii="Times New Roman" w:eastAsia="Times New Roman" w:hAnsi="Times New Roman"/>
                <w:noProof/>
                <w:sz w:val="20"/>
                <w:szCs w:val="20"/>
                <w:lang w:eastAsia="en-IE"/>
              </w:rPr>
            </w:pP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57A7FDF4" w14:textId="77777777" w:rsidR="00935FC8" w:rsidRPr="000318C2" w:rsidRDefault="00935FC8" w:rsidP="00A7081A">
            <w:pPr>
              <w:spacing w:after="0" w:line="240" w:lineRule="auto"/>
              <w:rPr>
                <w:rFonts w:ascii="Times New Roman" w:eastAsia="Times New Roman" w:hAnsi="Times New Roman"/>
                <w:noProof/>
                <w:sz w:val="20"/>
                <w:szCs w:val="20"/>
                <w:lang w:eastAsia="en-IE"/>
              </w:rPr>
            </w:pP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62C652E1" w14:textId="77777777" w:rsidR="00935FC8" w:rsidRPr="000318C2" w:rsidRDefault="00935FC8" w:rsidP="00A7081A">
            <w:pPr>
              <w:spacing w:after="0" w:line="240" w:lineRule="auto"/>
              <w:rPr>
                <w:rFonts w:ascii="Times New Roman" w:eastAsia="Times New Roman" w:hAnsi="Times New Roman"/>
                <w:noProof/>
                <w:sz w:val="20"/>
                <w:szCs w:val="20"/>
                <w:lang w:eastAsia="en-IE"/>
              </w:rPr>
            </w:pP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6D666863"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Q4</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0CBF9854"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2024</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2D437375"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xml:space="preserve">Publication of additional calls for applications in line with the eligibility/selection criteria referred to in milestone 127. </w:t>
            </w:r>
          </w:p>
        </w:tc>
      </w:tr>
      <w:tr w:rsidR="00A7081A" w:rsidRPr="000318C2" w14:paraId="0A979957" w14:textId="77777777" w:rsidTr="000318C2">
        <w:trPr>
          <w:trHeight w:val="1805"/>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17F3E485" w14:textId="77777777" w:rsidR="00935FC8" w:rsidRPr="000318C2" w:rsidRDefault="00935FC8" w:rsidP="00A7081A">
            <w:pPr>
              <w:spacing w:after="0" w:line="240" w:lineRule="auto"/>
              <w:jc w:val="center"/>
              <w:rPr>
                <w:rFonts w:ascii="Times New Roman" w:eastAsia="Times New Roman" w:hAnsi="Times New Roman"/>
                <w:noProof/>
                <w:sz w:val="20"/>
                <w:szCs w:val="20"/>
                <w:lang w:eastAsia="en-IE"/>
              </w:rPr>
            </w:pPr>
            <w:r w:rsidRPr="000318C2">
              <w:rPr>
                <w:rFonts w:ascii="Times New Roman" w:hAnsi="Times New Roman"/>
                <w:noProof/>
                <w:sz w:val="20"/>
                <w:szCs w:val="20"/>
              </w:rPr>
              <w:t>129</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02926E3A"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P3C4I3 - Strengthening competitiveness and boosting growth in crisis-impacted sectors – Support for the renewal of the cultural and creative sectors</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469B6B7B"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Target</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5377214E"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Project reports submitted</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1C459317"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3428A675"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Number</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1686ACD3"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0</w:t>
            </w: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47A0D7B8"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131</w:t>
            </w: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0080891C"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Q4</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5E18B3CA"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2025</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74B62432"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eastAsia="Times New Roman" w:hAnsi="Times New Roman"/>
                <w:noProof/>
                <w:sz w:val="20"/>
                <w:szCs w:val="20"/>
                <w:lang w:eastAsia="en-IE"/>
              </w:rPr>
              <w:t>At least 131 project reports shall be submitted by recipient entities for projects supported under the calls for applications referred to in this measure</w:t>
            </w:r>
            <w:r w:rsidRPr="000318C2" w:rsidDel="009013DB">
              <w:rPr>
                <w:rFonts w:ascii="Times New Roman" w:eastAsia="Times New Roman" w:hAnsi="Times New Roman"/>
                <w:noProof/>
                <w:sz w:val="20"/>
                <w:szCs w:val="20"/>
                <w:lang w:eastAsia="en-IE"/>
              </w:rPr>
              <w:t>.</w:t>
            </w:r>
          </w:p>
        </w:tc>
      </w:tr>
      <w:tr w:rsidR="00A7081A" w:rsidRPr="000318C2" w14:paraId="3E10A6CE" w14:textId="77777777" w:rsidTr="000318C2">
        <w:trPr>
          <w:trHeight w:val="424"/>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74E245CA" w14:textId="77777777" w:rsidR="00935FC8" w:rsidRPr="000318C2" w:rsidRDefault="00935FC8" w:rsidP="00A7081A">
            <w:pPr>
              <w:spacing w:after="0" w:line="240" w:lineRule="auto"/>
              <w:jc w:val="center"/>
              <w:rPr>
                <w:rFonts w:ascii="Times New Roman" w:eastAsia="Times New Roman" w:hAnsi="Times New Roman"/>
                <w:noProof/>
                <w:sz w:val="20"/>
                <w:szCs w:val="20"/>
                <w:lang w:eastAsia="en-IE"/>
              </w:rPr>
            </w:pPr>
            <w:r w:rsidRPr="000318C2">
              <w:rPr>
                <w:rFonts w:ascii="Times New Roman" w:hAnsi="Times New Roman"/>
                <w:noProof/>
                <w:sz w:val="20"/>
                <w:szCs w:val="20"/>
              </w:rPr>
              <w:t>130</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279C5683"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P3C4I4 - Strengthening competitiveness and boosting growth in crisis-impacted sectors – Supporting sustainable and digital growth in the tourism sector</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33AFAA72"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Milestone</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752A9C7F"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xml:space="preserve">Publication of the call for applications for RDI projects for the tourism sector </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7EC2A01B"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Publication of the call for applications by Business Finland</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0B852246"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0D8091A7"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w:t>
            </w: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18606C51"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w:t>
            </w: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46281F31"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Q2</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0C416462"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2022</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0902735F" w14:textId="564F3B1A" w:rsidR="00935FC8" w:rsidRPr="000318C2" w:rsidRDefault="00935FC8" w:rsidP="000F3161">
            <w:pPr>
              <w:spacing w:after="0" w:line="240" w:lineRule="auto"/>
              <w:rPr>
                <w:rFonts w:ascii="Times New Roman" w:hAnsi="Times New Roman"/>
                <w:noProof/>
                <w:sz w:val="20"/>
                <w:szCs w:val="20"/>
              </w:rPr>
            </w:pPr>
            <w:r w:rsidRPr="000318C2">
              <w:rPr>
                <w:rFonts w:ascii="Times New Roman" w:hAnsi="Times New Roman"/>
                <w:noProof/>
                <w:sz w:val="20"/>
                <w:szCs w:val="20"/>
              </w:rPr>
              <w:t>Business Finland shall launch the call for applications for Research Development &amp; Innovation funding to the tourism sector. The selection criteria shall focus on boosting sustainable growth and innovation in the tourism sector. The funding shall be targeted at research, experimentation and development projects that support the commercialisation of tourism business and innovations, for example in the themes of digital and green transition, anticipation and forecasting, sustainable tourism, virtual tourism and consumer understanding. The eligibility/selection criteria shall ensure that the intervention focuses on promoting elements directly linked to the digitalisation of business</w:t>
            </w:r>
            <w:r w:rsidRPr="000318C2" w:rsidDel="00984AE5">
              <w:rPr>
                <w:rFonts w:ascii="Times New Roman" w:hAnsi="Times New Roman"/>
                <w:noProof/>
                <w:sz w:val="20"/>
                <w:szCs w:val="20"/>
              </w:rPr>
              <w:t xml:space="preserve"> </w:t>
            </w:r>
            <w:r w:rsidRPr="000318C2">
              <w:rPr>
                <w:rFonts w:ascii="Times New Roman" w:hAnsi="Times New Roman"/>
                <w:noProof/>
                <w:sz w:val="20"/>
                <w:szCs w:val="20"/>
              </w:rPr>
              <w:t>(according to intervention field 015 in Annex VII to the RRF Regulation). The eligibility criteria shall also ensure that projects comply with the ‘Do no significant harm’ Technical Guidance (2021/C58/01) through the use of an exclusion list and the requirement of compliance with the relevant EU and national environmental legislation.</w:t>
            </w:r>
          </w:p>
        </w:tc>
      </w:tr>
      <w:tr w:rsidR="00A7081A" w:rsidRPr="000318C2" w14:paraId="17C5BAF5" w14:textId="77777777" w:rsidTr="000318C2">
        <w:trPr>
          <w:trHeight w:val="640"/>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1FDBF585" w14:textId="77777777" w:rsidR="00935FC8" w:rsidRPr="000318C2" w:rsidRDefault="00935FC8" w:rsidP="00A7081A">
            <w:pPr>
              <w:spacing w:after="0" w:line="240" w:lineRule="auto"/>
              <w:jc w:val="center"/>
              <w:rPr>
                <w:rFonts w:ascii="Times New Roman" w:eastAsia="Times New Roman" w:hAnsi="Times New Roman"/>
                <w:noProof/>
                <w:sz w:val="20"/>
                <w:szCs w:val="20"/>
                <w:lang w:eastAsia="en-IE"/>
              </w:rPr>
            </w:pPr>
            <w:r w:rsidRPr="000318C2">
              <w:rPr>
                <w:rFonts w:ascii="Times New Roman" w:hAnsi="Times New Roman"/>
                <w:noProof/>
                <w:sz w:val="20"/>
                <w:szCs w:val="20"/>
              </w:rPr>
              <w:t>131</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5466AA22"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P3C4I4 - Strengthening competitiveness and boosting growth in crisis-impacted sectors – Supporting sustainable and digital growth in the tourism sector</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0199CAC0"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Target</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0403C68D"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Project reports submitted</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1FE4B571"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 </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24116117"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Number</w:t>
            </w: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49C669E9"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0</w:t>
            </w: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5BD9FAD4"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14</w:t>
            </w: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54787DD1"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Q2</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2D7F9CDC"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sidDel="009013DB">
              <w:rPr>
                <w:rFonts w:ascii="Times New Roman" w:hAnsi="Times New Roman"/>
                <w:noProof/>
                <w:sz w:val="20"/>
                <w:szCs w:val="20"/>
              </w:rPr>
              <w:t>2025</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13B166E9" w14:textId="77777777" w:rsidR="00935FC8" w:rsidRPr="000318C2" w:rsidRDefault="00935FC8" w:rsidP="00A7081A">
            <w:pPr>
              <w:spacing w:after="0" w:line="240" w:lineRule="auto"/>
              <w:rPr>
                <w:rFonts w:ascii="Times New Roman" w:hAnsi="Times New Roman"/>
                <w:noProof/>
                <w:sz w:val="20"/>
                <w:szCs w:val="20"/>
                <w:lang w:eastAsia="en-IE"/>
              </w:rPr>
            </w:pPr>
            <w:r w:rsidRPr="000318C2">
              <w:rPr>
                <w:rFonts w:ascii="Times New Roman" w:hAnsi="Times New Roman"/>
                <w:noProof/>
                <w:sz w:val="20"/>
                <w:szCs w:val="20"/>
              </w:rPr>
              <w:t>At least 14 project reports shall be submitted by recipient entities for projects supported under the call for applications referred to in this measure.</w:t>
            </w:r>
          </w:p>
        </w:tc>
      </w:tr>
      <w:tr w:rsidR="00A7081A" w:rsidRPr="000318C2" w14:paraId="5718763D" w14:textId="77777777" w:rsidTr="000318C2">
        <w:trPr>
          <w:trHeight w:val="1852"/>
          <w:jc w:val="center"/>
        </w:trPr>
        <w:tc>
          <w:tcPr>
            <w:tcW w:w="906" w:type="dxa"/>
            <w:tcBorders>
              <w:top w:val="single" w:sz="4" w:space="0" w:color="auto"/>
              <w:left w:val="single" w:sz="4" w:space="0" w:color="auto"/>
              <w:bottom w:val="single" w:sz="4" w:space="0" w:color="auto"/>
              <w:right w:val="single" w:sz="4" w:space="0" w:color="auto"/>
            </w:tcBorders>
            <w:shd w:val="clear" w:color="auto" w:fill="C6EFCE"/>
            <w:hideMark/>
          </w:tcPr>
          <w:p w14:paraId="17A21954" w14:textId="77777777" w:rsidR="00935FC8" w:rsidRPr="000318C2" w:rsidRDefault="00935FC8" w:rsidP="00A7081A">
            <w:pPr>
              <w:spacing w:after="0" w:line="240" w:lineRule="auto"/>
              <w:jc w:val="center"/>
              <w:rPr>
                <w:rFonts w:ascii="Times New Roman" w:eastAsia="Times New Roman" w:hAnsi="Times New Roman"/>
                <w:noProof/>
                <w:sz w:val="20"/>
                <w:szCs w:val="20"/>
                <w:lang w:eastAsia="en-IE"/>
              </w:rPr>
            </w:pPr>
            <w:r w:rsidRPr="000318C2">
              <w:rPr>
                <w:rFonts w:ascii="Times New Roman" w:hAnsi="Times New Roman"/>
                <w:noProof/>
                <w:sz w:val="20"/>
                <w:szCs w:val="20"/>
              </w:rPr>
              <w:t>132</w:t>
            </w:r>
          </w:p>
        </w:tc>
        <w:tc>
          <w:tcPr>
            <w:tcW w:w="1729" w:type="dxa"/>
            <w:tcBorders>
              <w:top w:val="single" w:sz="4" w:space="0" w:color="auto"/>
              <w:left w:val="single" w:sz="4" w:space="0" w:color="auto"/>
              <w:bottom w:val="single" w:sz="4" w:space="0" w:color="auto"/>
              <w:right w:val="single" w:sz="4" w:space="0" w:color="auto"/>
            </w:tcBorders>
            <w:shd w:val="clear" w:color="auto" w:fill="C6EFCE"/>
            <w:hideMark/>
          </w:tcPr>
          <w:p w14:paraId="40B27A91"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P3C4I4 - Strengthening competitiveness and boosting growth in crisis-impacted sectors – Supporting sustainable and digital growth in the tourism sector</w:t>
            </w:r>
          </w:p>
        </w:tc>
        <w:tc>
          <w:tcPr>
            <w:tcW w:w="1080" w:type="dxa"/>
            <w:tcBorders>
              <w:top w:val="single" w:sz="4" w:space="0" w:color="auto"/>
              <w:left w:val="single" w:sz="4" w:space="0" w:color="auto"/>
              <w:bottom w:val="single" w:sz="4" w:space="0" w:color="auto"/>
              <w:right w:val="single" w:sz="4" w:space="0" w:color="auto"/>
            </w:tcBorders>
            <w:shd w:val="clear" w:color="auto" w:fill="C6EFCE"/>
            <w:hideMark/>
          </w:tcPr>
          <w:p w14:paraId="1A14D85B"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Milestone</w:t>
            </w:r>
          </w:p>
        </w:tc>
        <w:tc>
          <w:tcPr>
            <w:tcW w:w="1480" w:type="dxa"/>
            <w:tcBorders>
              <w:top w:val="single" w:sz="4" w:space="0" w:color="auto"/>
              <w:left w:val="single" w:sz="4" w:space="0" w:color="auto"/>
              <w:bottom w:val="single" w:sz="4" w:space="0" w:color="auto"/>
              <w:right w:val="single" w:sz="4" w:space="0" w:color="auto"/>
            </w:tcBorders>
            <w:shd w:val="clear" w:color="auto" w:fill="C6EFCE"/>
            <w:hideMark/>
          </w:tcPr>
          <w:p w14:paraId="2CBCE012" w14:textId="2EC36799"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Measures to advance sustainable growth in the</w:t>
            </w:r>
            <w:r w:rsidR="00EE67C5" w:rsidRPr="000318C2">
              <w:rPr>
                <w:rFonts w:ascii="Times New Roman" w:hAnsi="Times New Roman"/>
                <w:noProof/>
                <w:sz w:val="20"/>
                <w:szCs w:val="20"/>
              </w:rPr>
              <w:t xml:space="preserve"> </w:t>
            </w:r>
            <w:r w:rsidRPr="000318C2" w:rsidDel="002167CF">
              <w:rPr>
                <w:rFonts w:ascii="Times New Roman" w:hAnsi="Times New Roman"/>
                <w:noProof/>
                <w:sz w:val="20"/>
                <w:szCs w:val="20"/>
              </w:rPr>
              <w:t xml:space="preserve">tourism </w:t>
            </w:r>
            <w:r w:rsidRPr="000318C2">
              <w:rPr>
                <w:rFonts w:ascii="Times New Roman" w:hAnsi="Times New Roman"/>
                <w:noProof/>
                <w:sz w:val="20"/>
                <w:szCs w:val="20"/>
              </w:rPr>
              <w:t>sector</w:t>
            </w:r>
          </w:p>
        </w:tc>
        <w:tc>
          <w:tcPr>
            <w:tcW w:w="1479" w:type="dxa"/>
            <w:tcBorders>
              <w:top w:val="single" w:sz="4" w:space="0" w:color="auto"/>
              <w:left w:val="single" w:sz="4" w:space="0" w:color="auto"/>
              <w:bottom w:val="single" w:sz="4" w:space="0" w:color="auto"/>
              <w:right w:val="single" w:sz="4" w:space="0" w:color="auto"/>
            </w:tcBorders>
            <w:shd w:val="clear" w:color="auto" w:fill="C6EFCE"/>
            <w:hideMark/>
          </w:tcPr>
          <w:p w14:paraId="64ECD12D"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Online accessibility of a digital carbon footprint calculator for tourism sector; making available training material for carbon footprint calculator users; making available a handbook and training paths on knowledge-based management in tourism; making available of selected travel routes; making available of the Visit Finland Data Hub</w:t>
            </w:r>
          </w:p>
        </w:tc>
        <w:tc>
          <w:tcPr>
            <w:tcW w:w="917" w:type="dxa"/>
            <w:tcBorders>
              <w:top w:val="single" w:sz="4" w:space="0" w:color="auto"/>
              <w:left w:val="single" w:sz="4" w:space="0" w:color="auto"/>
              <w:bottom w:val="single" w:sz="4" w:space="0" w:color="auto"/>
              <w:right w:val="single" w:sz="4" w:space="0" w:color="auto"/>
            </w:tcBorders>
            <w:shd w:val="clear" w:color="auto" w:fill="C6EFCE"/>
            <w:hideMark/>
          </w:tcPr>
          <w:p w14:paraId="6C21A5DA" w14:textId="77777777" w:rsidR="00935FC8" w:rsidRPr="000318C2" w:rsidRDefault="00935FC8" w:rsidP="00A7081A">
            <w:pPr>
              <w:spacing w:after="0" w:line="240" w:lineRule="auto"/>
              <w:rPr>
                <w:rFonts w:ascii="Times New Roman" w:eastAsia="Times New Roman" w:hAnsi="Times New Roman"/>
                <w:noProof/>
                <w:sz w:val="20"/>
                <w:szCs w:val="20"/>
                <w:lang w:eastAsia="en-IE"/>
              </w:rPr>
            </w:pPr>
          </w:p>
        </w:tc>
        <w:tc>
          <w:tcPr>
            <w:tcW w:w="887" w:type="dxa"/>
            <w:tcBorders>
              <w:top w:val="single" w:sz="4" w:space="0" w:color="auto"/>
              <w:left w:val="single" w:sz="4" w:space="0" w:color="auto"/>
              <w:bottom w:val="single" w:sz="4" w:space="0" w:color="auto"/>
              <w:right w:val="single" w:sz="4" w:space="0" w:color="auto"/>
            </w:tcBorders>
            <w:shd w:val="clear" w:color="auto" w:fill="C6EFCE"/>
            <w:hideMark/>
          </w:tcPr>
          <w:p w14:paraId="61E49BB9" w14:textId="77777777" w:rsidR="00935FC8" w:rsidRPr="000318C2" w:rsidRDefault="00935FC8" w:rsidP="00A7081A">
            <w:pPr>
              <w:spacing w:after="0" w:line="240" w:lineRule="auto"/>
              <w:rPr>
                <w:rFonts w:ascii="Times New Roman" w:eastAsia="Times New Roman" w:hAnsi="Times New Roman"/>
                <w:noProof/>
                <w:sz w:val="20"/>
                <w:szCs w:val="20"/>
                <w:lang w:eastAsia="en-IE"/>
              </w:rPr>
            </w:pPr>
          </w:p>
        </w:tc>
        <w:tc>
          <w:tcPr>
            <w:tcW w:w="606" w:type="dxa"/>
            <w:tcBorders>
              <w:top w:val="single" w:sz="4" w:space="0" w:color="auto"/>
              <w:left w:val="single" w:sz="4" w:space="0" w:color="auto"/>
              <w:bottom w:val="single" w:sz="4" w:space="0" w:color="auto"/>
              <w:right w:val="single" w:sz="4" w:space="0" w:color="auto"/>
            </w:tcBorders>
            <w:shd w:val="clear" w:color="auto" w:fill="C6EFCE"/>
            <w:hideMark/>
          </w:tcPr>
          <w:p w14:paraId="1A36E80B" w14:textId="77777777" w:rsidR="00935FC8" w:rsidRPr="000318C2" w:rsidRDefault="00935FC8" w:rsidP="00A7081A">
            <w:pPr>
              <w:spacing w:after="0" w:line="240" w:lineRule="auto"/>
              <w:rPr>
                <w:rFonts w:ascii="Times New Roman" w:eastAsia="Times New Roman" w:hAnsi="Times New Roman"/>
                <w:noProof/>
                <w:sz w:val="20"/>
                <w:szCs w:val="20"/>
                <w:lang w:eastAsia="en-IE"/>
              </w:rPr>
            </w:pPr>
          </w:p>
        </w:tc>
        <w:tc>
          <w:tcPr>
            <w:tcW w:w="871" w:type="dxa"/>
            <w:tcBorders>
              <w:top w:val="single" w:sz="4" w:space="0" w:color="auto"/>
              <w:left w:val="single" w:sz="4" w:space="0" w:color="auto"/>
              <w:bottom w:val="single" w:sz="4" w:space="0" w:color="auto"/>
              <w:right w:val="single" w:sz="4" w:space="0" w:color="auto"/>
            </w:tcBorders>
            <w:shd w:val="clear" w:color="auto" w:fill="C6EFCE"/>
            <w:hideMark/>
          </w:tcPr>
          <w:p w14:paraId="4770ADAF"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Q4</w:t>
            </w:r>
          </w:p>
        </w:tc>
        <w:tc>
          <w:tcPr>
            <w:tcW w:w="1200" w:type="dxa"/>
            <w:tcBorders>
              <w:top w:val="single" w:sz="4" w:space="0" w:color="auto"/>
              <w:left w:val="single" w:sz="4" w:space="0" w:color="auto"/>
              <w:bottom w:val="single" w:sz="4" w:space="0" w:color="auto"/>
              <w:right w:val="single" w:sz="4" w:space="0" w:color="auto"/>
            </w:tcBorders>
            <w:shd w:val="clear" w:color="auto" w:fill="C6EFCE"/>
            <w:hideMark/>
          </w:tcPr>
          <w:p w14:paraId="48C3FB8C" w14:textId="77777777" w:rsidR="00935FC8" w:rsidRPr="000318C2" w:rsidRDefault="00935FC8" w:rsidP="00A7081A">
            <w:pPr>
              <w:spacing w:after="0" w:line="240" w:lineRule="auto"/>
              <w:rPr>
                <w:rFonts w:ascii="Times New Roman" w:eastAsia="Times New Roman" w:hAnsi="Times New Roman"/>
                <w:noProof/>
                <w:sz w:val="20"/>
                <w:szCs w:val="20"/>
                <w:lang w:eastAsia="en-IE"/>
              </w:rPr>
            </w:pPr>
            <w:r w:rsidRPr="000318C2">
              <w:rPr>
                <w:rFonts w:ascii="Times New Roman" w:hAnsi="Times New Roman"/>
                <w:noProof/>
                <w:sz w:val="20"/>
                <w:szCs w:val="20"/>
              </w:rPr>
              <w:t>2024</w:t>
            </w:r>
          </w:p>
        </w:tc>
        <w:tc>
          <w:tcPr>
            <w:tcW w:w="4438" w:type="dxa"/>
            <w:tcBorders>
              <w:top w:val="single" w:sz="4" w:space="0" w:color="auto"/>
              <w:left w:val="single" w:sz="4" w:space="0" w:color="auto"/>
              <w:bottom w:val="single" w:sz="4" w:space="0" w:color="auto"/>
              <w:right w:val="single" w:sz="4" w:space="0" w:color="auto"/>
            </w:tcBorders>
            <w:shd w:val="clear" w:color="auto" w:fill="C6EFCE"/>
            <w:hideMark/>
          </w:tcPr>
          <w:p w14:paraId="2196160F" w14:textId="77777777" w:rsidR="00935FC8" w:rsidRPr="000318C2" w:rsidRDefault="00935FC8" w:rsidP="00A7081A">
            <w:pPr>
              <w:spacing w:after="0" w:line="240" w:lineRule="auto"/>
              <w:rPr>
                <w:rFonts w:ascii="Times New Roman" w:hAnsi="Times New Roman"/>
                <w:noProof/>
                <w:sz w:val="20"/>
                <w:szCs w:val="20"/>
              </w:rPr>
            </w:pPr>
            <w:r w:rsidRPr="000318C2">
              <w:rPr>
                <w:rFonts w:ascii="Times New Roman" w:hAnsi="Times New Roman"/>
                <w:noProof/>
                <w:sz w:val="20"/>
                <w:szCs w:val="20"/>
              </w:rPr>
              <w:t xml:space="preserve">The milestone shall contain the following elements: </w:t>
            </w:r>
          </w:p>
          <w:p w14:paraId="15D8FC04" w14:textId="77777777" w:rsidR="00935FC8" w:rsidRPr="000318C2" w:rsidRDefault="00935FC8" w:rsidP="00A7081A">
            <w:pPr>
              <w:pStyle w:val="ListParagraph"/>
              <w:numPr>
                <w:ilvl w:val="0"/>
                <w:numId w:val="28"/>
              </w:numPr>
              <w:spacing w:after="0" w:line="240" w:lineRule="auto"/>
              <w:ind w:left="852"/>
              <w:rPr>
                <w:rFonts w:ascii="Times New Roman" w:hAnsi="Times New Roman"/>
                <w:noProof/>
                <w:sz w:val="20"/>
                <w:szCs w:val="20"/>
                <w:lang w:val="en-GB"/>
              </w:rPr>
            </w:pPr>
            <w:r w:rsidRPr="000318C2">
              <w:rPr>
                <w:rFonts w:ascii="Times New Roman" w:hAnsi="Times New Roman"/>
                <w:noProof/>
                <w:sz w:val="20"/>
                <w:szCs w:val="20"/>
                <w:lang w:val="en-GB"/>
              </w:rPr>
              <w:t xml:space="preserve">A digital carbon footprint calculator for tourism services shall be accessible online. The training material on the use of the digital footprint calculator for users shall be published. </w:t>
            </w:r>
          </w:p>
          <w:p w14:paraId="4048F2A1" w14:textId="77777777" w:rsidR="00935FC8" w:rsidRPr="000318C2" w:rsidRDefault="00935FC8" w:rsidP="00A7081A">
            <w:pPr>
              <w:pStyle w:val="ListParagraph"/>
              <w:numPr>
                <w:ilvl w:val="0"/>
                <w:numId w:val="28"/>
              </w:numPr>
              <w:spacing w:after="0" w:line="240" w:lineRule="auto"/>
              <w:ind w:left="852"/>
              <w:rPr>
                <w:rFonts w:ascii="Times New Roman" w:hAnsi="Times New Roman"/>
                <w:noProof/>
                <w:sz w:val="20"/>
                <w:szCs w:val="20"/>
                <w:lang w:val="en-GB"/>
              </w:rPr>
            </w:pPr>
            <w:r w:rsidRPr="000318C2">
              <w:rPr>
                <w:rFonts w:ascii="Times New Roman" w:hAnsi="Times New Roman"/>
                <w:noProof/>
                <w:sz w:val="20"/>
                <w:szCs w:val="20"/>
                <w:lang w:val="en-GB"/>
              </w:rPr>
              <w:t xml:space="preserve">Based on a national operating model for knowledge-based management, a handbook and coaching programmes for tourism companies and regions shall be made available. </w:t>
            </w:r>
          </w:p>
          <w:p w14:paraId="4990E7C6" w14:textId="77777777" w:rsidR="00935FC8" w:rsidRPr="000318C2" w:rsidRDefault="00935FC8" w:rsidP="00A7081A">
            <w:pPr>
              <w:pStyle w:val="ListParagraph"/>
              <w:numPr>
                <w:ilvl w:val="0"/>
                <w:numId w:val="28"/>
              </w:numPr>
              <w:spacing w:after="0" w:line="240" w:lineRule="auto"/>
              <w:ind w:left="852"/>
              <w:rPr>
                <w:rFonts w:ascii="Times New Roman" w:hAnsi="Times New Roman"/>
                <w:noProof/>
                <w:sz w:val="20"/>
                <w:szCs w:val="20"/>
                <w:lang w:val="en-GB"/>
              </w:rPr>
            </w:pPr>
            <w:r w:rsidRPr="000318C2">
              <w:rPr>
                <w:rFonts w:ascii="Times New Roman" w:hAnsi="Times New Roman"/>
                <w:noProof/>
                <w:sz w:val="20"/>
                <w:szCs w:val="20"/>
                <w:lang w:val="en-GB"/>
              </w:rPr>
              <w:t>A content automation platform – Visit Finland Data Hub – and at least 10 selected travel routes to explore Finland shall be made available.</w:t>
            </w:r>
          </w:p>
        </w:tc>
      </w:tr>
    </w:tbl>
    <w:p w14:paraId="607CDDCC" w14:textId="77777777" w:rsidR="00935FC8" w:rsidRPr="00B555B3" w:rsidRDefault="00935FC8">
      <w:pPr>
        <w:spacing w:before="120" w:after="120" w:line="240" w:lineRule="auto"/>
        <w:jc w:val="both"/>
        <w:rPr>
          <w:rFonts w:ascii="Times New Roman" w:hAnsi="Times New Roman"/>
          <w:noProof/>
          <w:sz w:val="24"/>
        </w:rPr>
      </w:pPr>
      <w:r w:rsidRPr="00B555B3">
        <w:rPr>
          <w:rFonts w:ascii="Times New Roman" w:hAnsi="Times New Roman"/>
          <w:noProof/>
          <w:sz w:val="24"/>
        </w:rPr>
        <w:br w:type="textWrapping" w:clear="all"/>
      </w:r>
    </w:p>
    <w:p w14:paraId="3155BA92" w14:textId="77777777" w:rsidR="00935FC8" w:rsidRPr="00B555B3" w:rsidRDefault="00935FC8">
      <w:pPr>
        <w:spacing w:before="120" w:after="120" w:line="240" w:lineRule="auto"/>
        <w:jc w:val="both"/>
        <w:rPr>
          <w:rFonts w:ascii="Times New Roman" w:hAnsi="Times New Roman"/>
          <w:noProof/>
          <w:sz w:val="24"/>
        </w:rPr>
        <w:sectPr w:rsidR="00935FC8" w:rsidRPr="00B555B3" w:rsidSect="00A7081A">
          <w:headerReference w:type="even" r:id="rId149"/>
          <w:headerReference w:type="default" r:id="rId150"/>
          <w:footerReference w:type="even" r:id="rId151"/>
          <w:footerReference w:type="default" r:id="rId152"/>
          <w:headerReference w:type="first" r:id="rId153"/>
          <w:footerReference w:type="first" r:id="rId154"/>
          <w:pgSz w:w="16839" w:h="11907" w:orient="landscape"/>
          <w:pgMar w:top="1134" w:right="1134" w:bottom="1134" w:left="1134" w:header="567" w:footer="567" w:gutter="0"/>
          <w:cols w:space="720"/>
          <w:docGrid w:linePitch="360"/>
        </w:sectPr>
      </w:pPr>
    </w:p>
    <w:p w14:paraId="40E33640" w14:textId="77777777" w:rsidR="00935FC8" w:rsidRPr="00B555B3" w:rsidRDefault="00935FC8">
      <w:pPr>
        <w:pStyle w:val="Heading3"/>
        <w:numPr>
          <w:ilvl w:val="0"/>
          <w:numId w:val="0"/>
        </w:numPr>
        <w:spacing w:after="240"/>
        <w:rPr>
          <w:b/>
          <w:i w:val="0"/>
          <w:noProof/>
        </w:rPr>
      </w:pPr>
      <w:r w:rsidRPr="00B555B3">
        <w:rPr>
          <w:b/>
          <w:i w:val="0"/>
          <w:noProof/>
        </w:rPr>
        <w:t>PILLAR 4: Improving the availability of social welfare and health care services and increasing cost-effectiveness</w:t>
      </w:r>
    </w:p>
    <w:p w14:paraId="67A50C77" w14:textId="77777777" w:rsidR="00935FC8" w:rsidRPr="00B555B3" w:rsidRDefault="00935FC8">
      <w:pPr>
        <w:pStyle w:val="Heading4"/>
        <w:numPr>
          <w:ilvl w:val="0"/>
          <w:numId w:val="0"/>
        </w:numPr>
        <w:spacing w:after="240"/>
        <w:rPr>
          <w:b/>
          <w:noProof/>
        </w:rPr>
      </w:pPr>
      <w:r w:rsidRPr="00B555B3">
        <w:rPr>
          <w:b/>
          <w:noProof/>
        </w:rPr>
        <w:t>M. COMPONENT P4C1: IMPROVING THE AVAILABILITY OF SOCIAL WELFARE AND HEALTH CARE SERVICES AND INCREASING COST-EFFECTIVENESS</w:t>
      </w:r>
    </w:p>
    <w:p w14:paraId="41DC1B8E" w14:textId="77777777"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hAnsi="Times New Roman"/>
          <w:noProof/>
          <w:sz w:val="24"/>
          <w:szCs w:val="24"/>
        </w:rPr>
        <w:t xml:space="preserve">This component of the Finnish recovery and resilience plan addresses several challenges related to the availability and cost-effectiveness of social welfare and healthcare services. Access to </w:t>
      </w:r>
      <w:r w:rsidRPr="00B555B3">
        <w:rPr>
          <w:rFonts w:ascii="Times New Roman" w:eastAsia="Times New Roman" w:hAnsi="Times New Roman"/>
          <w:noProof/>
          <w:sz w:val="24"/>
          <w:szCs w:val="24"/>
        </w:rPr>
        <w:t xml:space="preserve">social and health care services in Finland is fragmented. The fragmentation of the service system and of its digital solutions poses a challenge to developing the necessary responses to address the population health and social needs. Therefore, the objective of this component is to enhance access to health and social services across the country and to remove the backlog in the provision of services related to COVID-19 pandemic. The component shall contribute to the implementation of the seven-day care guarantee reform, which consists in reducing the time limits for non-urgent care in primary health care to seven days from the current three-month deadline. It shall also contribute to improving the basic care guarantee, reducing inequalities, focusing on earlier identification and effective prevention, and strengthening the quality and cost-effectiveness of health and social services. A further aim is to improve the working conditions and well-being of health and social workers. The component includes a reform and investments that mutually reinforce each other. The </w:t>
      </w:r>
      <w:r w:rsidRPr="00B555B3">
        <w:rPr>
          <w:rFonts w:ascii="Times New Roman" w:hAnsi="Times New Roman"/>
          <w:noProof/>
          <w:sz w:val="24"/>
          <w:szCs w:val="24"/>
        </w:rPr>
        <w:t xml:space="preserve">reform shall contribute to the preparation of the social and healthcare reform. The investments shall contribute to: (i) implementing the care guarantee (including mental health care) and reducing the backlog in provision of services arising from the COVID-19 pandemic; (ii) strengthening prevention and early identification of social and health needs as part of implementing the care guarantee; (iii) strengthening the knowledge base and improving guidance to support the cost effectiveness of social and health care services; (iv) introducing digital innovations in the form of a care guarantee service; and (v) introducing a person-centred digital information system in Åland. </w:t>
      </w:r>
    </w:p>
    <w:p w14:paraId="3419E6C3" w14:textId="77777777" w:rsidR="00935FC8" w:rsidRPr="00B555B3" w:rsidRDefault="00935FC8">
      <w:p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The component contributes to addressing Country Specific Recommendations on improving the cost-effectiveness of and equal access to social and healthcare services (Country Specific Recommendation 1 2019) and on addressing shortages of health workers to strengthen the resilience of the health system and improve access to social and health services (C</w:t>
      </w:r>
      <w:r w:rsidRPr="00B555B3">
        <w:rPr>
          <w:rFonts w:ascii="Times New Roman" w:eastAsia="Times New Roman" w:hAnsi="Times New Roman"/>
          <w:noProof/>
          <w:color w:val="000000"/>
          <w:sz w:val="24"/>
          <w:szCs w:val="24"/>
        </w:rPr>
        <w:t>ountry Specific Recommendation 1 2020)</w:t>
      </w:r>
      <w:r w:rsidRPr="00B555B3">
        <w:rPr>
          <w:rFonts w:ascii="Times New Roman" w:eastAsia="Times New Roman" w:hAnsi="Times New Roman"/>
          <w:noProof/>
          <w:sz w:val="24"/>
          <w:szCs w:val="24"/>
        </w:rPr>
        <w:t>.</w:t>
      </w:r>
    </w:p>
    <w:p w14:paraId="60B687F3" w14:textId="77777777" w:rsidR="00935FC8" w:rsidRPr="00B555B3" w:rsidRDefault="00935FC8">
      <w:pPr>
        <w:spacing w:before="120" w:after="120" w:line="240" w:lineRule="auto"/>
        <w:jc w:val="both"/>
        <w:rPr>
          <w:rFonts w:ascii="Times New Roman" w:eastAsia="Times New Roman" w:hAnsi="Times New Roman"/>
          <w:noProof/>
        </w:rPr>
      </w:pPr>
      <w:r w:rsidRPr="00B555B3">
        <w:rPr>
          <w:rFonts w:ascii="Times New Roman" w:eastAsia="Times New Roman" w:hAnsi="Times New Roman"/>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58A6F8F" w14:textId="77777777" w:rsidR="00935FC8" w:rsidRPr="00B555B3" w:rsidRDefault="00935FC8">
      <w:pPr>
        <w:spacing w:before="120" w:after="120" w:line="240" w:lineRule="auto"/>
        <w:jc w:val="both"/>
        <w:rPr>
          <w:rFonts w:ascii="Times New Roman" w:hAnsi="Times New Roman"/>
          <w:b/>
          <w:bCs/>
          <w:noProof/>
          <w:sz w:val="24"/>
          <w:u w:val="single"/>
        </w:rPr>
      </w:pPr>
      <w:r w:rsidRPr="00B555B3">
        <w:rPr>
          <w:rFonts w:ascii="Times New Roman" w:hAnsi="Times New Roman"/>
          <w:b/>
          <w:bCs/>
          <w:noProof/>
          <w:sz w:val="24"/>
          <w:u w:val="single"/>
        </w:rPr>
        <w:t xml:space="preserve">M.1. </w:t>
      </w:r>
      <w:r w:rsidRPr="00B555B3">
        <w:rPr>
          <w:rFonts w:ascii="Times New Roman" w:hAnsi="Times New Roman"/>
          <w:b/>
          <w:noProof/>
          <w:sz w:val="24"/>
          <w:u w:val="single"/>
        </w:rPr>
        <w:tab/>
      </w:r>
      <w:r w:rsidRPr="00B555B3">
        <w:rPr>
          <w:rFonts w:ascii="Times New Roman" w:hAnsi="Times New Roman"/>
          <w:b/>
          <w:bCs/>
          <w:noProof/>
          <w:sz w:val="24"/>
          <w:u w:val="single"/>
        </w:rPr>
        <w:t>Description of the reforms and investments for non-repayable financial support</w:t>
      </w:r>
    </w:p>
    <w:p w14:paraId="3AE6AB93" w14:textId="77777777" w:rsidR="00935FC8" w:rsidRPr="00531DEC" w:rsidRDefault="00935FC8">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Reform 1 (P4C1R1):</w:t>
      </w:r>
      <w:r w:rsidRPr="00531DEC">
        <w:rPr>
          <w:rFonts w:ascii="Times New Roman" w:hAnsi="Times New Roman"/>
          <w:noProof/>
          <w:sz w:val="24"/>
          <w:szCs w:val="24"/>
          <w:u w:val="single"/>
        </w:rPr>
        <w:t xml:space="preserve"> Preparation of the social welfare and health care reform in support of implementing the care guarantee</w:t>
      </w:r>
    </w:p>
    <w:p w14:paraId="3E50EC16" w14:textId="77777777" w:rsidR="00935FC8" w:rsidRPr="00D0136A" w:rsidRDefault="00935FC8">
      <w:pPr>
        <w:spacing w:before="120" w:after="120" w:line="240" w:lineRule="auto"/>
        <w:jc w:val="both"/>
        <w:rPr>
          <w:rFonts w:ascii="Times New Roman" w:hAnsi="Times New Roman"/>
          <w:noProof/>
          <w:sz w:val="24"/>
          <w:szCs w:val="24"/>
        </w:rPr>
      </w:pPr>
      <w:r w:rsidRPr="00D0136A">
        <w:rPr>
          <w:rFonts w:ascii="Times New Roman" w:eastAsia="Times New Roman" w:hAnsi="Times New Roman"/>
          <w:noProof/>
          <w:sz w:val="24"/>
          <w:szCs w:val="24"/>
        </w:rPr>
        <w:t xml:space="preserve">As part of the preparation of the social and healthcare reform, the objective of this measure is to improve the accessibility of health and social services by promoting the implementation of the care guarantee. This reform shall provide support to the following activities: (i) implement the care guarantee and strengthen the delivery of services; (ii) strengthen prevention and early identification of social and health care needs and (iii) strengthen the knowledge base and improve guidance to support the cost-effectiveness of social and health care digital solutions. </w:t>
      </w:r>
    </w:p>
    <w:p w14:paraId="417DDEFC" w14:textId="77777777" w:rsidR="00935FC8" w:rsidRPr="00531DEC" w:rsidRDefault="00935FC8">
      <w:pPr>
        <w:spacing w:before="120" w:after="120" w:line="240" w:lineRule="auto"/>
        <w:jc w:val="both"/>
        <w:rPr>
          <w:rFonts w:ascii="Times New Roman" w:eastAsia="Times New Roman" w:hAnsi="Times New Roman"/>
          <w:noProof/>
          <w:sz w:val="24"/>
          <w:szCs w:val="24"/>
        </w:rPr>
      </w:pPr>
      <w:r w:rsidRPr="00D0136A">
        <w:rPr>
          <w:rFonts w:ascii="Times New Roman" w:eastAsia="Times New Roman" w:hAnsi="Times New Roman"/>
          <w:noProof/>
          <w:sz w:val="24"/>
          <w:szCs w:val="24"/>
        </w:rPr>
        <w:t>The Act on the Implementation of the Reform of Health, Social and Rescue Services and on the Entry into Force of Related Legislation is expected to have entered into force on 1 July 2021. The reform consists in adopting a number of legislative acts to reform the social welfare and health care system in Finland, based on which 22 regional welfare areas shall be established. The welfare areas shall be responsible for the delivery of social, healthcare and rescue services. They shall be operational by 1 January 2023</w:t>
      </w:r>
      <w:r w:rsidRPr="00531DEC">
        <w:rPr>
          <w:rFonts w:ascii="Times New Roman" w:eastAsia="Times New Roman" w:hAnsi="Times New Roman"/>
          <w:noProof/>
          <w:sz w:val="24"/>
          <w:szCs w:val="24"/>
        </w:rPr>
        <w:t>.</w:t>
      </w:r>
    </w:p>
    <w:p w14:paraId="14E03EF8" w14:textId="77777777" w:rsidR="00935FC8" w:rsidRPr="00531DEC" w:rsidRDefault="00935FC8">
      <w:pPr>
        <w:spacing w:before="120" w:after="120" w:line="240" w:lineRule="auto"/>
        <w:jc w:val="both"/>
        <w:rPr>
          <w:rFonts w:ascii="Times New Roman" w:eastAsia="Times New Roman" w:hAnsi="Times New Roman"/>
          <w:noProof/>
          <w:sz w:val="24"/>
          <w:szCs w:val="24"/>
        </w:rPr>
      </w:pPr>
      <w:r w:rsidRPr="00D0136A">
        <w:rPr>
          <w:rFonts w:ascii="Times New Roman" w:eastAsia="Times New Roman" w:hAnsi="Times New Roman"/>
          <w:noProof/>
          <w:sz w:val="24"/>
          <w:szCs w:val="24"/>
        </w:rPr>
        <w:t>The implementation of the reform shall be completed by 30 June 2023.</w:t>
      </w:r>
    </w:p>
    <w:p w14:paraId="79DC6644" w14:textId="77777777" w:rsidR="00935FC8" w:rsidRPr="00531DEC" w:rsidRDefault="00935FC8">
      <w:pPr>
        <w:spacing w:before="120" w:after="120" w:line="240" w:lineRule="auto"/>
        <w:jc w:val="both"/>
        <w:rPr>
          <w:rFonts w:ascii="Times New Roman" w:hAnsi="Times New Roman"/>
          <w:noProof/>
          <w:sz w:val="24"/>
          <w:szCs w:val="24"/>
        </w:rPr>
      </w:pPr>
      <w:r w:rsidRPr="00D0136A">
        <w:rPr>
          <w:rFonts w:ascii="Times New Roman" w:eastAsia="Times New Roman" w:hAnsi="Times New Roman"/>
          <w:noProof/>
          <w:sz w:val="24"/>
          <w:szCs w:val="24"/>
          <w:u w:val="single"/>
        </w:rPr>
        <w:t>Investment 1 (P4C1I1): Promoting the care guarantee and reducing the service backlog due to the COVID-19 pandemic</w:t>
      </w:r>
      <w:r w:rsidRPr="00531DEC">
        <w:rPr>
          <w:rFonts w:ascii="Times New Roman" w:eastAsia="Times New Roman" w:hAnsi="Times New Roman"/>
          <w:noProof/>
          <w:sz w:val="24"/>
          <w:szCs w:val="24"/>
          <w:u w:val="single"/>
        </w:rPr>
        <w:t xml:space="preserve"> </w:t>
      </w:r>
    </w:p>
    <w:p w14:paraId="174C250F" w14:textId="77777777" w:rsidR="00935FC8" w:rsidRPr="00B555B3" w:rsidRDefault="00935FC8" w:rsidP="00A7081A">
      <w:pPr>
        <w:spacing w:before="120" w:after="120" w:line="240" w:lineRule="auto"/>
        <w:jc w:val="both"/>
        <w:rPr>
          <w:rFonts w:ascii="Times New Roman" w:hAnsi="Times New Roman"/>
          <w:noProof/>
          <w:sz w:val="24"/>
          <w:szCs w:val="24"/>
        </w:rPr>
      </w:pPr>
      <w:r w:rsidRPr="00531DEC">
        <w:rPr>
          <w:rFonts w:ascii="Times New Roman" w:eastAsia="Times New Roman" w:hAnsi="Times New Roman"/>
          <w:noProof/>
          <w:sz w:val="24"/>
          <w:szCs w:val="24"/>
        </w:rPr>
        <w:t xml:space="preserve">The investment aims to reduce waiting times for non-urgent care. </w:t>
      </w:r>
      <w:r w:rsidRPr="00B555B3">
        <w:rPr>
          <w:rFonts w:ascii="Times New Roman" w:eastAsia="Times New Roman" w:hAnsi="Times New Roman"/>
          <w:noProof/>
          <w:sz w:val="24"/>
          <w:szCs w:val="24"/>
        </w:rPr>
        <w:t xml:space="preserve">The measure consists </w:t>
      </w:r>
      <w:r w:rsidRPr="001678E7">
        <w:rPr>
          <w:rFonts w:ascii="Times New Roman" w:eastAsia="Times New Roman" w:hAnsi="Times New Roman"/>
          <w:noProof/>
          <w:sz w:val="24"/>
          <w:szCs w:val="24"/>
        </w:rPr>
        <w:t>of shortening the waiting time for</w:t>
      </w:r>
      <w:r w:rsidRPr="001678E7" w:rsidDel="00A76AB5">
        <w:rPr>
          <w:rFonts w:ascii="Times New Roman" w:eastAsia="Times New Roman" w:hAnsi="Times New Roman"/>
          <w:noProof/>
          <w:sz w:val="24"/>
          <w:szCs w:val="24"/>
        </w:rPr>
        <w:t xml:space="preserve"> </w:t>
      </w:r>
      <w:r w:rsidRPr="001678E7">
        <w:rPr>
          <w:rFonts w:ascii="Times New Roman" w:eastAsia="Times New Roman" w:hAnsi="Times New Roman"/>
          <w:noProof/>
          <w:sz w:val="24"/>
          <w:szCs w:val="24"/>
        </w:rPr>
        <w:t>access to non-urgent</w:t>
      </w:r>
      <w:r>
        <w:rPr>
          <w:rFonts w:ascii="Times New Roman" w:eastAsia="Times New Roman" w:hAnsi="Times New Roman"/>
          <w:noProof/>
          <w:sz w:val="24"/>
          <w:szCs w:val="24"/>
        </w:rPr>
        <w:t xml:space="preserve"> primary</w:t>
      </w:r>
      <w:r w:rsidRPr="001678E7">
        <w:rPr>
          <w:rFonts w:ascii="Times New Roman" w:eastAsia="Times New Roman" w:hAnsi="Times New Roman"/>
          <w:noProof/>
          <w:sz w:val="24"/>
          <w:szCs w:val="24"/>
        </w:rPr>
        <w:t xml:space="preserve"> care.</w:t>
      </w:r>
      <w:r w:rsidRPr="00B555B3">
        <w:rPr>
          <w:rFonts w:ascii="Times New Roman" w:eastAsia="Times New Roman" w:hAnsi="Times New Roman"/>
          <w:noProof/>
          <w:sz w:val="24"/>
          <w:szCs w:val="24"/>
        </w:rPr>
        <w:t xml:space="preserve"> </w:t>
      </w:r>
    </w:p>
    <w:p w14:paraId="5F3668B8" w14:textId="77777777" w:rsidR="00935FC8" w:rsidRPr="00531DEC" w:rsidRDefault="00935FC8">
      <w:pPr>
        <w:spacing w:before="120" w:after="120" w:line="240" w:lineRule="auto"/>
        <w:jc w:val="both"/>
        <w:rPr>
          <w:rFonts w:ascii="Times New Roman" w:hAnsi="Times New Roman"/>
          <w:noProof/>
          <w:sz w:val="24"/>
          <w:szCs w:val="24"/>
        </w:rPr>
      </w:pPr>
      <w:r w:rsidRPr="00D0136A">
        <w:rPr>
          <w:rFonts w:ascii="Times New Roman" w:eastAsia="Times New Roman" w:hAnsi="Times New Roman"/>
          <w:noProof/>
          <w:sz w:val="24"/>
          <w:szCs w:val="24"/>
          <w:u w:val="single"/>
        </w:rPr>
        <w:t>Investment 2 (P4C1I2): Prevention and early identification of health problems</w:t>
      </w:r>
    </w:p>
    <w:p w14:paraId="455C447E" w14:textId="77777777" w:rsidR="00935FC8" w:rsidRPr="00531DEC" w:rsidRDefault="00935FC8">
      <w:pPr>
        <w:spacing w:before="120" w:after="120" w:line="240" w:lineRule="auto"/>
        <w:jc w:val="both"/>
        <w:rPr>
          <w:rFonts w:ascii="Times New Roman" w:eastAsia="Times New Roman" w:hAnsi="Times New Roman"/>
          <w:noProof/>
          <w:sz w:val="24"/>
          <w:szCs w:val="24"/>
        </w:rPr>
      </w:pPr>
      <w:r w:rsidRPr="00D646C7">
        <w:rPr>
          <w:rFonts w:ascii="Times New Roman" w:eastAsia="Times New Roman" w:hAnsi="Times New Roman"/>
          <w:noProof/>
          <w:sz w:val="24"/>
          <w:szCs w:val="24"/>
        </w:rPr>
        <w:t xml:space="preserve">The objective of this investment is to </w:t>
      </w:r>
      <w:r w:rsidRPr="00D646C7">
        <w:rPr>
          <w:rFonts w:ascii="Times New Roman" w:eastAsia="Times New Roman" w:hAnsi="Times New Roman"/>
          <w:noProof/>
          <w:sz w:val="24"/>
          <w:szCs w:val="24"/>
          <w:shd w:val="clear" w:color="auto" w:fill="FFFFFF" w:themeFill="background1"/>
        </w:rPr>
        <w:t>promote health and well-being</w:t>
      </w:r>
      <w:r w:rsidRPr="00D0136A">
        <w:rPr>
          <w:rFonts w:ascii="Times New Roman" w:eastAsia="Times New Roman" w:hAnsi="Times New Roman"/>
          <w:noProof/>
          <w:sz w:val="24"/>
          <w:szCs w:val="24"/>
        </w:rPr>
        <w:t>.</w:t>
      </w:r>
      <w:r>
        <w:rPr>
          <w:rFonts w:ascii="Times New Roman" w:eastAsia="Times New Roman" w:hAnsi="Times New Roman"/>
          <w:noProof/>
          <w:sz w:val="24"/>
          <w:szCs w:val="24"/>
        </w:rPr>
        <w:t xml:space="preserve"> </w:t>
      </w:r>
      <w:r w:rsidRPr="00B555B3">
        <w:rPr>
          <w:rFonts w:ascii="Times New Roman" w:eastAsia="Times New Roman" w:hAnsi="Times New Roman"/>
          <w:noProof/>
          <w:sz w:val="24"/>
          <w:szCs w:val="24"/>
        </w:rPr>
        <w:t xml:space="preserve">The measure consists of </w:t>
      </w:r>
      <w:r w:rsidRPr="00D0136A">
        <w:rPr>
          <w:rFonts w:ascii="Times New Roman" w:eastAsia="Times New Roman" w:hAnsi="Times New Roman"/>
          <w:noProof/>
          <w:sz w:val="24"/>
          <w:szCs w:val="24"/>
        </w:rPr>
        <w:t>providing</w:t>
      </w:r>
      <w:r w:rsidRPr="00B555B3">
        <w:rPr>
          <w:rFonts w:ascii="Times New Roman" w:eastAsia="Times New Roman" w:hAnsi="Times New Roman"/>
          <w:noProof/>
          <w:sz w:val="24"/>
          <w:szCs w:val="24"/>
        </w:rPr>
        <w:t xml:space="preserve"> </w:t>
      </w:r>
      <w:r w:rsidRPr="00D0136A">
        <w:rPr>
          <w:rFonts w:ascii="Times New Roman" w:eastAsia="Times New Roman" w:hAnsi="Times New Roman"/>
          <w:noProof/>
          <w:sz w:val="24"/>
          <w:szCs w:val="24"/>
        </w:rPr>
        <w:t>multi-sector service management models at welfare area level.</w:t>
      </w:r>
    </w:p>
    <w:p w14:paraId="7FBC73F4" w14:textId="50E59126" w:rsidR="00935FC8" w:rsidRPr="00531DEC" w:rsidRDefault="00935FC8">
      <w:pPr>
        <w:spacing w:before="120" w:after="120" w:line="240" w:lineRule="auto"/>
        <w:jc w:val="both"/>
        <w:rPr>
          <w:rFonts w:ascii="Times New Roman" w:hAnsi="Times New Roman"/>
          <w:noProof/>
          <w:sz w:val="24"/>
          <w:szCs w:val="24"/>
        </w:rPr>
      </w:pPr>
      <w:r w:rsidRPr="00D0136A">
        <w:rPr>
          <w:rFonts w:ascii="Times New Roman" w:eastAsia="Times New Roman" w:hAnsi="Times New Roman"/>
          <w:noProof/>
          <w:sz w:val="24"/>
          <w:szCs w:val="24"/>
          <w:u w:val="single"/>
        </w:rPr>
        <w:t>Investment 3 (P4C1I3): Knowledge base to increase cost-effectiveness of social welfare and health care services</w:t>
      </w:r>
    </w:p>
    <w:p w14:paraId="7BB96434" w14:textId="047D8850" w:rsidR="00935FC8" w:rsidRPr="00B555B3" w:rsidRDefault="72C3DC77">
      <w:pPr>
        <w:spacing w:before="120" w:after="120" w:line="240" w:lineRule="auto"/>
        <w:jc w:val="both"/>
        <w:rPr>
          <w:rFonts w:ascii="Times New Roman" w:eastAsia="Times New Roman" w:hAnsi="Times New Roman"/>
          <w:noProof/>
          <w:sz w:val="24"/>
          <w:szCs w:val="24"/>
        </w:rPr>
      </w:pPr>
      <w:r w:rsidRPr="5B8841B9">
        <w:rPr>
          <w:rFonts w:ascii="Times New Roman" w:eastAsia="Times New Roman" w:hAnsi="Times New Roman"/>
          <w:noProof/>
          <w:sz w:val="24"/>
          <w:szCs w:val="24"/>
        </w:rPr>
        <w:t xml:space="preserve">This investment aims to increase the quality and cost-effectiveness of social and health services. The measure consists of </w:t>
      </w:r>
      <w:r w:rsidR="00F05C4A">
        <w:rPr>
          <w:rFonts w:ascii="Times New Roman" w:eastAsia="Times New Roman" w:hAnsi="Times New Roman"/>
          <w:noProof/>
          <w:sz w:val="24"/>
          <w:szCs w:val="24"/>
        </w:rPr>
        <w:t xml:space="preserve">the </w:t>
      </w:r>
      <w:r w:rsidRPr="5B8841B9">
        <w:rPr>
          <w:rFonts w:ascii="Times New Roman" w:eastAsia="Times New Roman" w:hAnsi="Times New Roman"/>
          <w:noProof/>
          <w:sz w:val="24"/>
          <w:szCs w:val="24"/>
        </w:rPr>
        <w:t xml:space="preserve">increased use of </w:t>
      </w:r>
      <w:r w:rsidR="42F4065A" w:rsidRPr="5B8841B9">
        <w:rPr>
          <w:rFonts w:ascii="Times New Roman" w:eastAsia="Times New Roman" w:hAnsi="Times New Roman"/>
          <w:noProof/>
          <w:sz w:val="24"/>
          <w:szCs w:val="24"/>
        </w:rPr>
        <w:t>a</w:t>
      </w:r>
      <w:r w:rsidR="1C25636F" w:rsidRPr="5B8841B9">
        <w:rPr>
          <w:rFonts w:ascii="Times New Roman" w:eastAsia="Times New Roman" w:hAnsi="Times New Roman"/>
          <w:noProof/>
          <w:sz w:val="24"/>
          <w:szCs w:val="24"/>
        </w:rPr>
        <w:t xml:space="preserve"> </w:t>
      </w:r>
      <w:r w:rsidRPr="5B8841B9">
        <w:rPr>
          <w:rFonts w:ascii="Times New Roman" w:eastAsia="Times New Roman" w:hAnsi="Times New Roman"/>
          <w:noProof/>
          <w:sz w:val="24"/>
          <w:szCs w:val="24"/>
        </w:rPr>
        <w:t xml:space="preserve">national system for monitoring the care guarantee through the Primary care registry and </w:t>
      </w:r>
      <w:r w:rsidR="00C1743C">
        <w:rPr>
          <w:rFonts w:ascii="Times New Roman" w:eastAsia="Times New Roman" w:hAnsi="Times New Roman"/>
          <w:noProof/>
          <w:sz w:val="24"/>
          <w:szCs w:val="24"/>
        </w:rPr>
        <w:t>the production of</w:t>
      </w:r>
      <w:r w:rsidR="00E11B22">
        <w:rPr>
          <w:rFonts w:ascii="Times New Roman" w:eastAsia="Times New Roman" w:hAnsi="Times New Roman"/>
          <w:noProof/>
          <w:sz w:val="24"/>
          <w:szCs w:val="24"/>
        </w:rPr>
        <w:t xml:space="preserve"> </w:t>
      </w:r>
      <w:r w:rsidR="009F5C3A" w:rsidRPr="009F5C3A">
        <w:rPr>
          <w:rFonts w:ascii="Times New Roman" w:eastAsia="Times New Roman" w:hAnsi="Times New Roman"/>
          <w:noProof/>
          <w:sz w:val="24"/>
          <w:szCs w:val="24"/>
        </w:rPr>
        <w:t xml:space="preserve">studies, methods and indicators on </w:t>
      </w:r>
      <w:r w:rsidR="00D17C83">
        <w:rPr>
          <w:rFonts w:ascii="Times New Roman" w:eastAsia="Times New Roman" w:hAnsi="Times New Roman"/>
          <w:noProof/>
          <w:sz w:val="24"/>
          <w:szCs w:val="24"/>
        </w:rPr>
        <w:t>one or more of the following</w:t>
      </w:r>
      <w:r w:rsidR="00376443">
        <w:rPr>
          <w:rFonts w:ascii="Times New Roman" w:eastAsia="Times New Roman" w:hAnsi="Times New Roman"/>
          <w:noProof/>
          <w:sz w:val="24"/>
          <w:szCs w:val="24"/>
        </w:rPr>
        <w:t>:</w:t>
      </w:r>
      <w:r w:rsidR="007D4D93">
        <w:rPr>
          <w:rFonts w:ascii="Times New Roman" w:eastAsia="Times New Roman" w:hAnsi="Times New Roman"/>
          <w:noProof/>
          <w:sz w:val="24"/>
          <w:szCs w:val="24"/>
        </w:rPr>
        <w:t xml:space="preserve"> </w:t>
      </w:r>
      <w:r w:rsidR="009F5C3A" w:rsidRPr="009F5C3A">
        <w:rPr>
          <w:rFonts w:ascii="Times New Roman" w:eastAsia="Times New Roman" w:hAnsi="Times New Roman"/>
          <w:noProof/>
          <w:sz w:val="24"/>
          <w:szCs w:val="24"/>
        </w:rPr>
        <w:t xml:space="preserve">costs, effectiveness </w:t>
      </w:r>
      <w:r w:rsidR="0005181D">
        <w:rPr>
          <w:rFonts w:ascii="Times New Roman" w:eastAsia="Times New Roman" w:hAnsi="Times New Roman"/>
          <w:noProof/>
          <w:sz w:val="24"/>
          <w:szCs w:val="24"/>
        </w:rPr>
        <w:t>or</w:t>
      </w:r>
      <w:r w:rsidR="009F5C3A" w:rsidRPr="009F5C3A">
        <w:rPr>
          <w:rFonts w:ascii="Times New Roman" w:eastAsia="Times New Roman" w:hAnsi="Times New Roman"/>
          <w:noProof/>
          <w:sz w:val="24"/>
          <w:szCs w:val="24"/>
        </w:rPr>
        <w:t xml:space="preserve"> cost effectiveness in the social </w:t>
      </w:r>
      <w:r w:rsidR="00513123">
        <w:rPr>
          <w:rFonts w:ascii="Times New Roman" w:eastAsia="Times New Roman" w:hAnsi="Times New Roman"/>
          <w:noProof/>
          <w:sz w:val="24"/>
          <w:szCs w:val="24"/>
        </w:rPr>
        <w:t>or</w:t>
      </w:r>
      <w:r w:rsidR="009F5C3A" w:rsidRPr="009F5C3A">
        <w:rPr>
          <w:rFonts w:ascii="Times New Roman" w:eastAsia="Times New Roman" w:hAnsi="Times New Roman"/>
          <w:noProof/>
          <w:sz w:val="24"/>
          <w:szCs w:val="24"/>
        </w:rPr>
        <w:t xml:space="preserve"> healthcare sector</w:t>
      </w:r>
      <w:r w:rsidRPr="5B8841B9">
        <w:rPr>
          <w:rFonts w:ascii="Times New Roman" w:eastAsia="Times New Roman" w:hAnsi="Times New Roman"/>
          <w:noProof/>
          <w:sz w:val="24"/>
          <w:szCs w:val="24"/>
        </w:rPr>
        <w:t xml:space="preserve">. </w:t>
      </w:r>
    </w:p>
    <w:p w14:paraId="124615CE" w14:textId="77777777" w:rsidR="00935FC8" w:rsidRPr="00531DEC" w:rsidRDefault="00935FC8">
      <w:pPr>
        <w:spacing w:before="120" w:after="120" w:line="240" w:lineRule="auto"/>
        <w:jc w:val="both"/>
        <w:rPr>
          <w:rFonts w:ascii="Times New Roman" w:hAnsi="Times New Roman"/>
          <w:noProof/>
          <w:sz w:val="24"/>
          <w:szCs w:val="24"/>
        </w:rPr>
      </w:pPr>
      <w:r w:rsidRPr="00D0136A">
        <w:rPr>
          <w:rFonts w:ascii="Times New Roman" w:eastAsia="Times New Roman" w:hAnsi="Times New Roman"/>
          <w:noProof/>
          <w:sz w:val="24"/>
          <w:szCs w:val="24"/>
          <w:u w:val="single"/>
        </w:rPr>
        <w:t>Investment 4 (P4C1I4): Introducing digital innovations for social welfare and health care services</w:t>
      </w:r>
    </w:p>
    <w:p w14:paraId="25BF3D81" w14:textId="77777777" w:rsidR="00935FC8" w:rsidRPr="00B555B3" w:rsidRDefault="00935FC8">
      <w:pPr>
        <w:spacing w:before="120" w:after="120" w:line="240" w:lineRule="auto"/>
        <w:jc w:val="both"/>
        <w:rPr>
          <w:rFonts w:ascii="Times New Roman" w:eastAsia="Times New Roman" w:hAnsi="Times New Roman"/>
          <w:noProof/>
          <w:sz w:val="24"/>
          <w:szCs w:val="24"/>
        </w:rPr>
      </w:pPr>
      <w:r w:rsidRPr="00531DEC">
        <w:rPr>
          <w:rFonts w:ascii="Times New Roman" w:eastAsia="Times New Roman" w:hAnsi="Times New Roman"/>
          <w:noProof/>
          <w:sz w:val="24"/>
          <w:szCs w:val="24"/>
        </w:rPr>
        <w:t xml:space="preserve">This investment aims to </w:t>
      </w:r>
      <w:r w:rsidRPr="00D0136A">
        <w:rPr>
          <w:rFonts w:ascii="Times New Roman" w:eastAsia="Times New Roman" w:hAnsi="Times New Roman"/>
          <w:noProof/>
          <w:sz w:val="24"/>
          <w:szCs w:val="24"/>
        </w:rPr>
        <w:t>increase the</w:t>
      </w:r>
      <w:r w:rsidRPr="00531DEC">
        <w:rPr>
          <w:rFonts w:ascii="Times New Roman" w:eastAsia="Times New Roman" w:hAnsi="Times New Roman"/>
          <w:noProof/>
          <w:sz w:val="24"/>
          <w:szCs w:val="24"/>
        </w:rPr>
        <w:t xml:space="preserve"> use of healthcare and social welfare e-services. The measure consists </w:t>
      </w:r>
      <w:r w:rsidRPr="00622AD4">
        <w:rPr>
          <w:rFonts w:ascii="Times New Roman" w:eastAsia="Times New Roman" w:hAnsi="Times New Roman"/>
          <w:noProof/>
          <w:sz w:val="24"/>
          <w:szCs w:val="24"/>
        </w:rPr>
        <w:t xml:space="preserve">of </w:t>
      </w:r>
      <w:r w:rsidRPr="00102309">
        <w:rPr>
          <w:rFonts w:ascii="Times New Roman" w:eastAsia="Times New Roman" w:hAnsi="Times New Roman"/>
          <w:noProof/>
          <w:sz w:val="24"/>
          <w:szCs w:val="24"/>
        </w:rPr>
        <w:t xml:space="preserve">exploitation of digital solutions in </w:t>
      </w:r>
      <w:r>
        <w:rPr>
          <w:rFonts w:ascii="Times New Roman" w:eastAsia="Times New Roman" w:hAnsi="Times New Roman"/>
          <w:noProof/>
          <w:sz w:val="24"/>
          <w:szCs w:val="24"/>
        </w:rPr>
        <w:t xml:space="preserve">the </w:t>
      </w:r>
      <w:r w:rsidRPr="00102309">
        <w:rPr>
          <w:rFonts w:ascii="Times New Roman" w:eastAsia="Times New Roman" w:hAnsi="Times New Roman"/>
          <w:noProof/>
          <w:sz w:val="24"/>
          <w:szCs w:val="24"/>
        </w:rPr>
        <w:t>social and health care sector.</w:t>
      </w:r>
      <w:r w:rsidRPr="00B555B3">
        <w:rPr>
          <w:rFonts w:ascii="Times New Roman" w:eastAsia="Times New Roman" w:hAnsi="Times New Roman"/>
          <w:noProof/>
          <w:sz w:val="24"/>
          <w:szCs w:val="24"/>
        </w:rPr>
        <w:t xml:space="preserve"> </w:t>
      </w:r>
    </w:p>
    <w:p w14:paraId="34A74426" w14:textId="77777777" w:rsidR="00935FC8" w:rsidRPr="00531DEC" w:rsidRDefault="00935FC8">
      <w:pPr>
        <w:spacing w:before="120" w:after="120" w:line="240" w:lineRule="auto"/>
        <w:jc w:val="both"/>
        <w:rPr>
          <w:rFonts w:ascii="Times New Roman" w:hAnsi="Times New Roman"/>
          <w:noProof/>
          <w:sz w:val="24"/>
          <w:szCs w:val="24"/>
        </w:rPr>
      </w:pPr>
      <w:r w:rsidRPr="00D0136A">
        <w:rPr>
          <w:rFonts w:ascii="Times New Roman" w:eastAsia="Times New Roman" w:hAnsi="Times New Roman"/>
          <w:noProof/>
          <w:sz w:val="24"/>
          <w:szCs w:val="24"/>
          <w:u w:val="single"/>
        </w:rPr>
        <w:t>Investment 5 (</w:t>
      </w:r>
      <w:r w:rsidRPr="00D0136A" w:rsidDel="0047762C">
        <w:rPr>
          <w:rFonts w:ascii="Times New Roman" w:eastAsia="Times New Roman" w:hAnsi="Times New Roman"/>
          <w:noProof/>
          <w:sz w:val="24"/>
          <w:szCs w:val="24"/>
          <w:u w:val="single"/>
        </w:rPr>
        <w:t>P4C1I5</w:t>
      </w:r>
      <w:r w:rsidRPr="00D0136A">
        <w:rPr>
          <w:rFonts w:ascii="Times New Roman" w:eastAsia="Times New Roman" w:hAnsi="Times New Roman"/>
          <w:noProof/>
          <w:sz w:val="24"/>
          <w:szCs w:val="24"/>
          <w:u w:val="single"/>
        </w:rPr>
        <w:t>): Introducing new digital healthcare information system in Åland</w:t>
      </w:r>
    </w:p>
    <w:p w14:paraId="0FEE27D2" w14:textId="77777777" w:rsidR="00935FC8" w:rsidRPr="00B555B3" w:rsidRDefault="00935FC8">
      <w:pPr>
        <w:spacing w:before="120" w:after="120" w:line="240" w:lineRule="auto"/>
        <w:jc w:val="both"/>
        <w:rPr>
          <w:rFonts w:ascii="Times New Roman" w:eastAsia="Times New Roman" w:hAnsi="Times New Roman"/>
          <w:noProof/>
          <w:sz w:val="24"/>
          <w:szCs w:val="24"/>
        </w:rPr>
      </w:pPr>
      <w:r w:rsidRPr="00531DEC">
        <w:rPr>
          <w:rFonts w:ascii="Times New Roman" w:eastAsia="Times New Roman" w:hAnsi="Times New Roman"/>
          <w:noProof/>
          <w:sz w:val="24"/>
          <w:szCs w:val="24"/>
        </w:rPr>
        <w:t xml:space="preserve">The objective of this investment is to create a modern healthcare information system for health and medical care in Åland. The measure consists of a healthcare information </w:t>
      </w:r>
      <w:r w:rsidRPr="00EB0EF5">
        <w:rPr>
          <w:rFonts w:ascii="Times New Roman" w:eastAsia="Times New Roman" w:hAnsi="Times New Roman"/>
          <w:noProof/>
          <w:sz w:val="24"/>
          <w:szCs w:val="24"/>
        </w:rPr>
        <w:t>system</w:t>
      </w:r>
      <w:r w:rsidRPr="00D0136A">
        <w:rPr>
          <w:rFonts w:ascii="Times New Roman" w:eastAsia="Times New Roman" w:hAnsi="Times New Roman"/>
          <w:noProof/>
          <w:sz w:val="24"/>
          <w:szCs w:val="24"/>
        </w:rPr>
        <w:t>.</w:t>
      </w:r>
    </w:p>
    <w:p w14:paraId="3E7A57BD" w14:textId="77777777" w:rsidR="00935FC8" w:rsidRPr="00B555B3" w:rsidRDefault="00935FC8">
      <w:pPr>
        <w:spacing w:before="120" w:after="120" w:line="240" w:lineRule="auto"/>
        <w:jc w:val="both"/>
        <w:rPr>
          <w:rFonts w:ascii="Times New Roman" w:eastAsia="Times New Roman" w:hAnsi="Times New Roman"/>
          <w:noProof/>
          <w:sz w:val="24"/>
          <w:szCs w:val="24"/>
        </w:rPr>
        <w:sectPr w:rsidR="00935FC8" w:rsidRPr="00B555B3" w:rsidSect="00A7081A">
          <w:headerReference w:type="even" r:id="rId155"/>
          <w:headerReference w:type="default" r:id="rId156"/>
          <w:footerReference w:type="even" r:id="rId157"/>
          <w:footerReference w:type="default" r:id="rId158"/>
          <w:headerReference w:type="first" r:id="rId159"/>
          <w:footerReference w:type="first" r:id="rId160"/>
          <w:pgSz w:w="11907" w:h="16839"/>
          <w:pgMar w:top="1134" w:right="1134" w:bottom="1134" w:left="1134" w:header="567" w:footer="567" w:gutter="0"/>
          <w:cols w:space="720"/>
          <w:docGrid w:linePitch="360"/>
        </w:sectPr>
      </w:pPr>
    </w:p>
    <w:p w14:paraId="7684CD31" w14:textId="77777777" w:rsidR="00935FC8" w:rsidRPr="00B555B3" w:rsidRDefault="00935FC8">
      <w:pPr>
        <w:spacing w:before="120" w:after="120" w:line="240" w:lineRule="auto"/>
        <w:jc w:val="both"/>
        <w:rPr>
          <w:rFonts w:ascii="Times New Roman" w:hAnsi="Times New Roman"/>
          <w:noProof/>
          <w:sz w:val="24"/>
          <w:u w:val="single"/>
        </w:rPr>
      </w:pPr>
      <w:r w:rsidRPr="00B555B3">
        <w:rPr>
          <w:rFonts w:ascii="Times New Roman" w:hAnsi="Times New Roman"/>
          <w:b/>
          <w:bCs/>
          <w:noProof/>
          <w:sz w:val="24"/>
          <w:u w:val="single"/>
        </w:rPr>
        <w:t xml:space="preserve">M.2. </w:t>
      </w:r>
      <w:r w:rsidRPr="00B555B3">
        <w:rPr>
          <w:rFonts w:ascii="Times New Roman" w:hAnsi="Times New Roman"/>
          <w:b/>
          <w:noProof/>
          <w:sz w:val="24"/>
          <w:u w:val="single"/>
        </w:rPr>
        <w:tab/>
      </w:r>
      <w:r w:rsidRPr="00B555B3">
        <w:rPr>
          <w:rFonts w:ascii="Times New Roman" w:hAnsi="Times New Roman"/>
          <w:b/>
          <w:bCs/>
          <w:noProof/>
          <w:sz w:val="24"/>
          <w:u w:val="single"/>
        </w:rPr>
        <w:t>Milestones, targets, indicators, and timetable for monitoring and implementation for non-repayable financial support</w:t>
      </w:r>
    </w:p>
    <w:tbl>
      <w:tblPr>
        <w:tblW w:w="15304" w:type="dxa"/>
        <w:jc w:val="center"/>
        <w:tblLayout w:type="fixed"/>
        <w:tblCellMar>
          <w:left w:w="28" w:type="dxa"/>
          <w:right w:w="28" w:type="dxa"/>
        </w:tblCellMar>
        <w:tblLook w:val="04A0" w:firstRow="1" w:lastRow="0" w:firstColumn="1" w:lastColumn="0" w:noHBand="0" w:noVBand="1"/>
      </w:tblPr>
      <w:tblGrid>
        <w:gridCol w:w="867"/>
        <w:gridCol w:w="1528"/>
        <w:gridCol w:w="1080"/>
        <w:gridCol w:w="1502"/>
        <w:gridCol w:w="1417"/>
        <w:gridCol w:w="1114"/>
        <w:gridCol w:w="851"/>
        <w:gridCol w:w="708"/>
        <w:gridCol w:w="851"/>
        <w:gridCol w:w="850"/>
        <w:gridCol w:w="4536"/>
      </w:tblGrid>
      <w:tr w:rsidR="00A7081A" w:rsidRPr="008E1AB8" w14:paraId="0F8DD316" w14:textId="77777777" w:rsidTr="00B615F0">
        <w:trPr>
          <w:trHeight w:val="674"/>
          <w:tblHeader/>
          <w:jc w:val="center"/>
        </w:trPr>
        <w:tc>
          <w:tcPr>
            <w:tcW w:w="86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0C62038" w14:textId="77777777" w:rsidR="00935FC8" w:rsidRPr="008E1AB8" w:rsidRDefault="00935FC8" w:rsidP="00A7081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Number</w:t>
            </w:r>
          </w:p>
        </w:tc>
        <w:tc>
          <w:tcPr>
            <w:tcW w:w="152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BCEB040" w14:textId="77777777" w:rsidR="00935FC8" w:rsidRPr="008E1AB8" w:rsidRDefault="00935FC8" w:rsidP="00A7081A">
            <w:pPr>
              <w:spacing w:after="0" w:line="240" w:lineRule="auto"/>
              <w:jc w:val="center"/>
              <w:rPr>
                <w:rFonts w:ascii="Times New Roman" w:hAnsi="Times New Roman"/>
                <w:b/>
                <w:bCs/>
                <w:noProof/>
                <w:sz w:val="20"/>
                <w:szCs w:val="20"/>
                <w:lang w:eastAsia="en-GB"/>
              </w:rPr>
            </w:pPr>
            <w:r w:rsidRPr="008E1AB8">
              <w:rPr>
                <w:rFonts w:ascii="Times New Roman" w:hAnsi="Times New Roman"/>
                <w:b/>
                <w:bCs/>
                <w:noProof/>
                <w:sz w:val="20"/>
                <w:szCs w:val="20"/>
                <w:lang w:eastAsia="en-GB"/>
              </w:rPr>
              <w:t>Measure</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4C7206" w14:textId="77777777" w:rsidR="00935FC8" w:rsidRPr="008E1AB8" w:rsidRDefault="00935FC8" w:rsidP="00A7081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Milestone / Target</w:t>
            </w:r>
          </w:p>
        </w:tc>
        <w:tc>
          <w:tcPr>
            <w:tcW w:w="15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6BF2F44" w14:textId="77777777" w:rsidR="00935FC8" w:rsidRPr="008E1AB8" w:rsidRDefault="00935FC8" w:rsidP="00A7081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Name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F850A6F" w14:textId="77777777" w:rsidR="00935FC8" w:rsidRPr="008E1AB8" w:rsidRDefault="00935FC8" w:rsidP="00A7081A">
            <w:pPr>
              <w:spacing w:after="0" w:line="240" w:lineRule="auto"/>
              <w:jc w:val="center"/>
              <w:rPr>
                <w:rFonts w:ascii="Times New Roman" w:hAnsi="Times New Roman"/>
                <w:b/>
                <w:bCs/>
                <w:noProof/>
                <w:sz w:val="20"/>
                <w:szCs w:val="20"/>
                <w:lang w:eastAsia="en-GB"/>
              </w:rPr>
            </w:pPr>
            <w:r w:rsidRPr="008E1AB8">
              <w:rPr>
                <w:rFonts w:ascii="Times New Roman" w:hAnsi="Times New Roman"/>
                <w:b/>
                <w:bCs/>
                <w:noProof/>
                <w:sz w:val="20"/>
                <w:szCs w:val="20"/>
                <w:lang w:eastAsia="en-GB"/>
              </w:rPr>
              <w:t>Qualitative indicators (for milestones)</w:t>
            </w:r>
          </w:p>
        </w:tc>
        <w:tc>
          <w:tcPr>
            <w:tcW w:w="2673"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0DEE3026" w14:textId="77777777" w:rsidR="00935FC8" w:rsidRPr="008E1AB8" w:rsidRDefault="00935FC8">
            <w:pPr>
              <w:spacing w:after="0" w:line="240" w:lineRule="auto"/>
              <w:jc w:val="center"/>
              <w:rPr>
                <w:rFonts w:ascii="Times New Roman" w:hAnsi="Times New Roman"/>
                <w:b/>
                <w:bCs/>
                <w:noProof/>
                <w:sz w:val="20"/>
                <w:szCs w:val="20"/>
                <w:lang w:eastAsia="en-GB"/>
              </w:rPr>
            </w:pPr>
            <w:r w:rsidRPr="008E1AB8">
              <w:rPr>
                <w:rFonts w:ascii="Times New Roman" w:hAnsi="Times New Roman"/>
                <w:b/>
                <w:bCs/>
                <w:noProof/>
                <w:sz w:val="20"/>
                <w:szCs w:val="20"/>
                <w:lang w:eastAsia="en-GB"/>
              </w:rPr>
              <w:t>Quantitative indicators (for targets)</w:t>
            </w:r>
          </w:p>
        </w:tc>
        <w:tc>
          <w:tcPr>
            <w:tcW w:w="1701" w:type="dxa"/>
            <w:gridSpan w:val="2"/>
            <w:tcBorders>
              <w:top w:val="single" w:sz="4" w:space="0" w:color="auto"/>
              <w:left w:val="nil"/>
              <w:bottom w:val="single" w:sz="4" w:space="0" w:color="auto"/>
              <w:right w:val="single" w:sz="4" w:space="0" w:color="auto"/>
            </w:tcBorders>
            <w:shd w:val="clear" w:color="auto" w:fill="BDD7EE"/>
            <w:vAlign w:val="center"/>
            <w:hideMark/>
          </w:tcPr>
          <w:p w14:paraId="05B9E3E5" w14:textId="77777777" w:rsidR="00935FC8" w:rsidRPr="008E1AB8" w:rsidRDefault="00935FC8" w:rsidP="00A7081A">
            <w:pPr>
              <w:spacing w:after="0" w:line="240" w:lineRule="auto"/>
              <w:jc w:val="center"/>
              <w:rPr>
                <w:rFonts w:ascii="Times New Roman" w:hAnsi="Times New Roman"/>
                <w:b/>
                <w:bCs/>
                <w:noProof/>
                <w:sz w:val="20"/>
                <w:szCs w:val="20"/>
                <w:lang w:eastAsia="en-GB"/>
              </w:rPr>
            </w:pPr>
            <w:r w:rsidRPr="008E1AB8">
              <w:rPr>
                <w:rFonts w:ascii="Times New Roman" w:hAnsi="Times New Roman"/>
                <w:b/>
                <w:bCs/>
                <w:noProof/>
                <w:sz w:val="20"/>
                <w:szCs w:val="20"/>
                <w:lang w:eastAsia="en-GB"/>
              </w:rPr>
              <w:t>Indicative timeline for completion</w:t>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768839C" w14:textId="77777777" w:rsidR="00935FC8" w:rsidRPr="008E1AB8" w:rsidRDefault="00935FC8" w:rsidP="00A7081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Description of each milestone and target</w:t>
            </w:r>
          </w:p>
        </w:tc>
      </w:tr>
      <w:tr w:rsidR="00A7081A" w:rsidRPr="008E1AB8" w14:paraId="67EC2069" w14:textId="77777777" w:rsidTr="00B615F0">
        <w:trPr>
          <w:trHeight w:val="500"/>
          <w:tblHeader/>
          <w:jc w:val="center"/>
        </w:trPr>
        <w:tc>
          <w:tcPr>
            <w:tcW w:w="867" w:type="dxa"/>
            <w:vMerge/>
            <w:tcBorders>
              <w:top w:val="single" w:sz="4" w:space="0" w:color="auto"/>
              <w:left w:val="single" w:sz="4" w:space="0" w:color="auto"/>
              <w:bottom w:val="single" w:sz="4" w:space="0" w:color="auto"/>
              <w:right w:val="single" w:sz="4" w:space="0" w:color="auto"/>
            </w:tcBorders>
            <w:vAlign w:val="center"/>
            <w:hideMark/>
          </w:tcPr>
          <w:p w14:paraId="4EE7BD8C" w14:textId="77777777" w:rsidR="00935FC8" w:rsidRPr="008E1AB8" w:rsidRDefault="00935FC8">
            <w:pPr>
              <w:spacing w:after="0" w:line="240" w:lineRule="auto"/>
              <w:jc w:val="both"/>
              <w:rPr>
                <w:rFonts w:ascii="Times New Roman" w:hAnsi="Times New Roman"/>
                <w:b/>
                <w:noProof/>
                <w:sz w:val="20"/>
                <w:szCs w:val="20"/>
                <w:lang w:eastAsia="en-GB"/>
              </w:rPr>
            </w:pP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2B5F736F" w14:textId="77777777" w:rsidR="00935FC8" w:rsidRPr="008E1AB8" w:rsidRDefault="00935FC8">
            <w:pPr>
              <w:spacing w:after="0" w:line="240" w:lineRule="auto"/>
              <w:jc w:val="both"/>
              <w:rPr>
                <w:rFonts w:ascii="Times New Roman" w:hAnsi="Times New Roman"/>
                <w:b/>
                <w:noProof/>
                <w:sz w:val="20"/>
                <w:szCs w:val="20"/>
                <w:lang w:eastAsia="en-GB"/>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7DC3F6C" w14:textId="77777777" w:rsidR="00935FC8" w:rsidRPr="008E1AB8" w:rsidRDefault="00935FC8">
            <w:pPr>
              <w:spacing w:after="0" w:line="240" w:lineRule="auto"/>
              <w:jc w:val="both"/>
              <w:rPr>
                <w:rFonts w:ascii="Times New Roman" w:hAnsi="Times New Roman"/>
                <w:b/>
                <w:noProof/>
                <w:sz w:val="20"/>
                <w:szCs w:val="20"/>
                <w:lang w:eastAsia="en-GB"/>
              </w:rPr>
            </w:pPr>
          </w:p>
        </w:tc>
        <w:tc>
          <w:tcPr>
            <w:tcW w:w="1502" w:type="dxa"/>
            <w:vMerge/>
            <w:tcBorders>
              <w:top w:val="single" w:sz="4" w:space="0" w:color="auto"/>
              <w:left w:val="single" w:sz="4" w:space="0" w:color="auto"/>
              <w:bottom w:val="single" w:sz="4" w:space="0" w:color="auto"/>
              <w:right w:val="single" w:sz="4" w:space="0" w:color="auto"/>
            </w:tcBorders>
            <w:vAlign w:val="center"/>
            <w:hideMark/>
          </w:tcPr>
          <w:p w14:paraId="2779BA66" w14:textId="77777777" w:rsidR="00935FC8" w:rsidRPr="008E1AB8" w:rsidRDefault="00935FC8">
            <w:pPr>
              <w:spacing w:after="0" w:line="240" w:lineRule="auto"/>
              <w:jc w:val="both"/>
              <w:rPr>
                <w:rFonts w:ascii="Times New Roman" w:hAnsi="Times New Roman"/>
                <w:b/>
                <w:noProof/>
                <w:sz w:val="20"/>
                <w:szCs w:val="20"/>
                <w:lang w:eastAsia="en-GB"/>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3F09C52" w14:textId="77777777" w:rsidR="00935FC8" w:rsidRPr="008E1AB8" w:rsidRDefault="00935FC8">
            <w:pPr>
              <w:spacing w:after="0" w:line="240" w:lineRule="auto"/>
              <w:jc w:val="both"/>
              <w:rPr>
                <w:rFonts w:ascii="Times New Roman" w:hAnsi="Times New Roman"/>
                <w:b/>
                <w:noProof/>
                <w:sz w:val="20"/>
                <w:szCs w:val="20"/>
                <w:lang w:eastAsia="en-GB"/>
              </w:rPr>
            </w:pPr>
          </w:p>
        </w:tc>
        <w:tc>
          <w:tcPr>
            <w:tcW w:w="111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0A9B148" w14:textId="77777777" w:rsidR="00935FC8" w:rsidRPr="008E1AB8" w:rsidRDefault="00935FC8" w:rsidP="00A7081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Unit</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902F989" w14:textId="77777777" w:rsidR="00935FC8" w:rsidRPr="008E1AB8" w:rsidRDefault="00935FC8" w:rsidP="00A7081A">
            <w:pPr>
              <w:spacing w:after="0" w:line="240" w:lineRule="auto"/>
              <w:jc w:val="center"/>
              <w:rPr>
                <w:rFonts w:ascii="Times New Roman" w:hAnsi="Times New Roman"/>
                <w:b/>
                <w:bCs/>
                <w:noProof/>
                <w:sz w:val="20"/>
                <w:szCs w:val="20"/>
                <w:lang w:eastAsia="en-GB"/>
              </w:rPr>
            </w:pPr>
            <w:r w:rsidRPr="008E1AB8">
              <w:rPr>
                <w:rFonts w:ascii="Times New Roman" w:hAnsi="Times New Roman"/>
                <w:b/>
                <w:bCs/>
                <w:noProof/>
                <w:sz w:val="20"/>
                <w:szCs w:val="20"/>
                <w:lang w:eastAsia="en-GB"/>
              </w:rPr>
              <w:t>Baseline</w:t>
            </w:r>
          </w:p>
        </w:tc>
        <w:tc>
          <w:tcPr>
            <w:tcW w:w="70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22BE992" w14:textId="77777777" w:rsidR="00935FC8" w:rsidRPr="008E1AB8" w:rsidRDefault="00935FC8" w:rsidP="00A7081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Goal</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9AC2FA0" w14:textId="77777777" w:rsidR="00935FC8" w:rsidRPr="008E1AB8" w:rsidRDefault="00935FC8" w:rsidP="00A7081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Quarter</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DABDFB3" w14:textId="77777777" w:rsidR="00935FC8" w:rsidRPr="008E1AB8" w:rsidRDefault="00935FC8" w:rsidP="00A7081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Year</w:t>
            </w:r>
          </w:p>
        </w:tc>
        <w:tc>
          <w:tcPr>
            <w:tcW w:w="4536" w:type="dxa"/>
            <w:vMerge/>
            <w:tcBorders>
              <w:top w:val="single" w:sz="4" w:space="0" w:color="auto"/>
              <w:bottom w:val="single" w:sz="4" w:space="0" w:color="auto"/>
              <w:right w:val="single" w:sz="4" w:space="0" w:color="auto"/>
            </w:tcBorders>
            <w:vAlign w:val="center"/>
            <w:hideMark/>
          </w:tcPr>
          <w:p w14:paraId="65B18FF2" w14:textId="77777777" w:rsidR="00935FC8" w:rsidRPr="008E1AB8" w:rsidRDefault="00935FC8">
            <w:pPr>
              <w:spacing w:after="0" w:line="240" w:lineRule="auto"/>
              <w:jc w:val="both"/>
              <w:rPr>
                <w:rFonts w:ascii="Times New Roman" w:hAnsi="Times New Roman"/>
                <w:noProof/>
                <w:sz w:val="20"/>
                <w:szCs w:val="20"/>
                <w:lang w:eastAsia="en-GB"/>
              </w:rPr>
            </w:pPr>
          </w:p>
        </w:tc>
      </w:tr>
      <w:tr w:rsidR="00A7081A" w:rsidRPr="008E1AB8" w14:paraId="3333D161" w14:textId="77777777" w:rsidTr="00B615F0">
        <w:trPr>
          <w:trHeight w:val="309"/>
          <w:jc w:val="center"/>
        </w:trPr>
        <w:tc>
          <w:tcPr>
            <w:tcW w:w="867" w:type="dxa"/>
            <w:tcBorders>
              <w:top w:val="single" w:sz="4" w:space="0" w:color="auto"/>
              <w:left w:val="single" w:sz="4" w:space="0" w:color="auto"/>
              <w:bottom w:val="single" w:sz="4" w:space="0" w:color="auto"/>
              <w:right w:val="single" w:sz="4" w:space="0" w:color="auto"/>
            </w:tcBorders>
            <w:shd w:val="clear" w:color="auto" w:fill="C6EFCE"/>
            <w:noWrap/>
          </w:tcPr>
          <w:p w14:paraId="68A452C1" w14:textId="77777777" w:rsidR="00935FC8" w:rsidRPr="008E1AB8" w:rsidRDefault="00935FC8">
            <w:pPr>
              <w:spacing w:after="0" w:line="240" w:lineRule="auto"/>
              <w:jc w:val="both"/>
              <w:rPr>
                <w:rFonts w:ascii="Times New Roman" w:hAnsi="Times New Roman"/>
                <w:noProof/>
                <w:color w:val="000000" w:themeColor="text1"/>
                <w:sz w:val="20"/>
                <w:szCs w:val="20"/>
                <w:lang w:eastAsia="en-GB"/>
              </w:rPr>
            </w:pPr>
            <w:r w:rsidRPr="008E1AB8">
              <w:rPr>
                <w:rFonts w:ascii="Times New Roman" w:hAnsi="Times New Roman"/>
                <w:noProof/>
                <w:color w:val="000000" w:themeColor="text1"/>
                <w:sz w:val="20"/>
                <w:szCs w:val="20"/>
              </w:rPr>
              <w:t>133</w:t>
            </w:r>
          </w:p>
        </w:tc>
        <w:tc>
          <w:tcPr>
            <w:tcW w:w="1528" w:type="dxa"/>
            <w:tcBorders>
              <w:top w:val="single" w:sz="4" w:space="0" w:color="auto"/>
              <w:left w:val="nil"/>
              <w:bottom w:val="single" w:sz="4" w:space="0" w:color="auto"/>
              <w:right w:val="single" w:sz="4" w:space="0" w:color="auto"/>
            </w:tcBorders>
            <w:shd w:val="clear" w:color="auto" w:fill="C6EFCE"/>
            <w:noWrap/>
          </w:tcPr>
          <w:p w14:paraId="0307A490" w14:textId="77777777" w:rsidR="00935FC8" w:rsidRPr="008E1AB8" w:rsidRDefault="00935FC8" w:rsidP="00A7081A">
            <w:pPr>
              <w:spacing w:after="0" w:line="240" w:lineRule="auto"/>
              <w:rPr>
                <w:rFonts w:ascii="Times New Roman" w:hAnsi="Times New Roman"/>
                <w:noProof/>
                <w:color w:val="000000" w:themeColor="text1"/>
                <w:sz w:val="20"/>
                <w:szCs w:val="20"/>
              </w:rPr>
            </w:pPr>
            <w:r w:rsidRPr="008E1AB8">
              <w:rPr>
                <w:rFonts w:ascii="Times New Roman" w:hAnsi="Times New Roman"/>
                <w:noProof/>
                <w:color w:val="000000" w:themeColor="text1"/>
                <w:sz w:val="20"/>
                <w:szCs w:val="20"/>
              </w:rPr>
              <w:t>P4C1R1 - Preparation of the social welfare and health care reform in support of implementing the care guarantee</w:t>
            </w:r>
          </w:p>
          <w:p w14:paraId="5740D1BF" w14:textId="77777777" w:rsidR="00935FC8" w:rsidRPr="008E1AB8" w:rsidRDefault="00935FC8" w:rsidP="00A7081A">
            <w:pPr>
              <w:spacing w:after="0" w:line="240" w:lineRule="auto"/>
              <w:rPr>
                <w:rFonts w:ascii="Times New Roman" w:eastAsia="Times New Roman" w:hAnsi="Times New Roman"/>
                <w:noProof/>
                <w:color w:val="000000" w:themeColor="text1"/>
                <w:sz w:val="20"/>
                <w:szCs w:val="20"/>
              </w:rPr>
            </w:pPr>
          </w:p>
        </w:tc>
        <w:tc>
          <w:tcPr>
            <w:tcW w:w="1080" w:type="dxa"/>
            <w:tcBorders>
              <w:top w:val="single" w:sz="4" w:space="0" w:color="auto"/>
              <w:left w:val="nil"/>
              <w:bottom w:val="single" w:sz="4" w:space="0" w:color="auto"/>
              <w:right w:val="single" w:sz="4" w:space="0" w:color="auto"/>
            </w:tcBorders>
            <w:shd w:val="clear" w:color="auto" w:fill="C6EFCE"/>
            <w:noWrap/>
          </w:tcPr>
          <w:p w14:paraId="6CBB7762"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Milestone</w:t>
            </w:r>
          </w:p>
        </w:tc>
        <w:tc>
          <w:tcPr>
            <w:tcW w:w="1502" w:type="dxa"/>
            <w:tcBorders>
              <w:top w:val="single" w:sz="4" w:space="0" w:color="auto"/>
              <w:left w:val="nil"/>
              <w:bottom w:val="single" w:sz="4" w:space="0" w:color="auto"/>
              <w:right w:val="single" w:sz="4" w:space="0" w:color="auto"/>
            </w:tcBorders>
            <w:shd w:val="clear" w:color="auto" w:fill="C6EFCE"/>
            <w:noWrap/>
          </w:tcPr>
          <w:p w14:paraId="6EDFEA21" w14:textId="77777777" w:rsidR="00935FC8" w:rsidRPr="008E1AB8" w:rsidRDefault="00935FC8" w:rsidP="00A7081A">
            <w:pPr>
              <w:spacing w:after="0" w:line="240" w:lineRule="auto"/>
              <w:rPr>
                <w:rFonts w:ascii="Times New Roman" w:eastAsia="Times New Roman" w:hAnsi="Times New Roman"/>
                <w:noProof/>
                <w:sz w:val="20"/>
                <w:szCs w:val="20"/>
              </w:rPr>
            </w:pPr>
            <w:r w:rsidRPr="008E1AB8">
              <w:rPr>
                <w:rFonts w:ascii="Times New Roman" w:hAnsi="Times New Roman"/>
                <w:noProof/>
                <w:sz w:val="20"/>
                <w:szCs w:val="20"/>
              </w:rPr>
              <w:t xml:space="preserve">Entry into force of the initial legal framework establishing welfare areas and reforming the social and health care and rescue services </w:t>
            </w:r>
          </w:p>
        </w:tc>
        <w:tc>
          <w:tcPr>
            <w:tcW w:w="1417" w:type="dxa"/>
            <w:tcBorders>
              <w:top w:val="single" w:sz="4" w:space="0" w:color="auto"/>
              <w:left w:val="nil"/>
              <w:bottom w:val="single" w:sz="4" w:space="0" w:color="auto"/>
              <w:right w:val="single" w:sz="4" w:space="0" w:color="auto"/>
            </w:tcBorders>
            <w:shd w:val="clear" w:color="auto" w:fill="C6EFCE"/>
            <w:noWrap/>
          </w:tcPr>
          <w:p w14:paraId="1F25D3D3"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Provisions in the legislative acts indicating their entry into force</w:t>
            </w:r>
          </w:p>
          <w:p w14:paraId="093C056C" w14:textId="77777777" w:rsidR="00935FC8" w:rsidRPr="008E1AB8" w:rsidRDefault="00935FC8" w:rsidP="00A7081A">
            <w:pPr>
              <w:spacing w:after="0" w:line="240" w:lineRule="auto"/>
              <w:rPr>
                <w:rFonts w:ascii="Times New Roman" w:eastAsia="Times New Roman" w:hAnsi="Times New Roman"/>
                <w:noProof/>
                <w:sz w:val="20"/>
                <w:szCs w:val="20"/>
              </w:rPr>
            </w:pPr>
          </w:p>
        </w:tc>
        <w:tc>
          <w:tcPr>
            <w:tcW w:w="1114" w:type="dxa"/>
            <w:tcBorders>
              <w:top w:val="single" w:sz="4" w:space="0" w:color="auto"/>
              <w:left w:val="nil"/>
              <w:bottom w:val="single" w:sz="4" w:space="0" w:color="auto"/>
              <w:right w:val="single" w:sz="4" w:space="0" w:color="auto"/>
            </w:tcBorders>
            <w:shd w:val="clear" w:color="auto" w:fill="C6EFCE"/>
            <w:noWrap/>
          </w:tcPr>
          <w:p w14:paraId="5EA8A373"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w:t>
            </w:r>
          </w:p>
        </w:tc>
        <w:tc>
          <w:tcPr>
            <w:tcW w:w="851" w:type="dxa"/>
            <w:tcBorders>
              <w:top w:val="single" w:sz="4" w:space="0" w:color="auto"/>
              <w:left w:val="nil"/>
              <w:bottom w:val="single" w:sz="4" w:space="0" w:color="auto"/>
              <w:right w:val="single" w:sz="4" w:space="0" w:color="auto"/>
            </w:tcBorders>
            <w:shd w:val="clear" w:color="auto" w:fill="C6EFCE"/>
            <w:noWrap/>
          </w:tcPr>
          <w:p w14:paraId="06935ADB"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w:t>
            </w:r>
          </w:p>
        </w:tc>
        <w:tc>
          <w:tcPr>
            <w:tcW w:w="708" w:type="dxa"/>
            <w:tcBorders>
              <w:top w:val="single" w:sz="4" w:space="0" w:color="auto"/>
              <w:left w:val="nil"/>
              <w:bottom w:val="single" w:sz="4" w:space="0" w:color="auto"/>
              <w:right w:val="single" w:sz="4" w:space="0" w:color="auto"/>
            </w:tcBorders>
            <w:shd w:val="clear" w:color="auto" w:fill="C6EFCE"/>
            <w:noWrap/>
          </w:tcPr>
          <w:p w14:paraId="5E11427F"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w:t>
            </w:r>
          </w:p>
        </w:tc>
        <w:tc>
          <w:tcPr>
            <w:tcW w:w="851" w:type="dxa"/>
            <w:tcBorders>
              <w:top w:val="single" w:sz="4" w:space="0" w:color="auto"/>
              <w:left w:val="nil"/>
              <w:bottom w:val="single" w:sz="4" w:space="0" w:color="auto"/>
              <w:right w:val="single" w:sz="4" w:space="0" w:color="auto"/>
            </w:tcBorders>
            <w:shd w:val="clear" w:color="auto" w:fill="C6EFCE"/>
            <w:noWrap/>
          </w:tcPr>
          <w:p w14:paraId="5730F227"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Q3</w:t>
            </w:r>
          </w:p>
        </w:tc>
        <w:tc>
          <w:tcPr>
            <w:tcW w:w="850" w:type="dxa"/>
            <w:tcBorders>
              <w:top w:val="single" w:sz="4" w:space="0" w:color="auto"/>
              <w:left w:val="nil"/>
              <w:bottom w:val="single" w:sz="4" w:space="0" w:color="auto"/>
              <w:right w:val="single" w:sz="4" w:space="0" w:color="auto"/>
            </w:tcBorders>
            <w:shd w:val="clear" w:color="auto" w:fill="C6EFCE"/>
            <w:noWrap/>
          </w:tcPr>
          <w:p w14:paraId="0BC6B137" w14:textId="77777777" w:rsidR="00935FC8" w:rsidRPr="008E1AB8" w:rsidRDefault="00935FC8" w:rsidP="00A7081A">
            <w:pPr>
              <w:spacing w:after="0" w:line="240" w:lineRule="auto"/>
              <w:rPr>
                <w:rFonts w:ascii="Times New Roman" w:hAnsi="Times New Roman"/>
                <w:noProof/>
                <w:color w:val="000000" w:themeColor="text1"/>
                <w:sz w:val="20"/>
                <w:szCs w:val="20"/>
                <w:lang w:eastAsia="en-GB"/>
              </w:rPr>
            </w:pPr>
            <w:r w:rsidRPr="008E1AB8">
              <w:rPr>
                <w:rFonts w:ascii="Times New Roman" w:hAnsi="Times New Roman"/>
                <w:noProof/>
                <w:color w:val="000000" w:themeColor="text1"/>
                <w:sz w:val="20"/>
                <w:szCs w:val="20"/>
              </w:rPr>
              <w:t>2021</w:t>
            </w:r>
          </w:p>
        </w:tc>
        <w:tc>
          <w:tcPr>
            <w:tcW w:w="4536" w:type="dxa"/>
            <w:tcBorders>
              <w:top w:val="single" w:sz="4" w:space="0" w:color="auto"/>
              <w:left w:val="nil"/>
              <w:bottom w:val="single" w:sz="4" w:space="0" w:color="auto"/>
              <w:right w:val="single" w:sz="4" w:space="0" w:color="auto"/>
            </w:tcBorders>
            <w:shd w:val="clear" w:color="auto" w:fill="C6EFCE"/>
            <w:noWrap/>
          </w:tcPr>
          <w:p w14:paraId="608945CC" w14:textId="77777777" w:rsidR="00935FC8" w:rsidRPr="008E1AB8" w:rsidRDefault="00935FC8" w:rsidP="00A7081A">
            <w:pPr>
              <w:spacing w:after="0" w:line="240" w:lineRule="auto"/>
              <w:rPr>
                <w:rFonts w:ascii="Times New Roman" w:hAnsi="Times New Roman"/>
                <w:noProof/>
                <w:color w:val="000000" w:themeColor="text1"/>
                <w:sz w:val="20"/>
                <w:szCs w:val="20"/>
              </w:rPr>
            </w:pPr>
            <w:r w:rsidRPr="008E1AB8">
              <w:rPr>
                <w:rFonts w:ascii="Times New Roman" w:hAnsi="Times New Roman"/>
                <w:noProof/>
                <w:color w:val="000000" w:themeColor="text1"/>
                <w:sz w:val="20"/>
                <w:szCs w:val="20"/>
              </w:rPr>
              <w:t>Entry into force of the first set of legislative acts setting out the establishment of welfare areas and the reform of the social, healthcare and rescue services, by:</w:t>
            </w:r>
          </w:p>
          <w:p w14:paraId="0D479381" w14:textId="77777777" w:rsidR="00935FC8" w:rsidRPr="008E1AB8" w:rsidRDefault="00935FC8" w:rsidP="00A7081A">
            <w:pPr>
              <w:pStyle w:val="ListParagraph"/>
              <w:numPr>
                <w:ilvl w:val="0"/>
                <w:numId w:val="29"/>
              </w:numPr>
              <w:spacing w:after="0" w:line="240" w:lineRule="auto"/>
              <w:rPr>
                <w:rFonts w:ascii="Times New Roman" w:eastAsia="Times New Roman" w:hAnsi="Times New Roman"/>
                <w:noProof/>
                <w:color w:val="000000" w:themeColor="text1"/>
                <w:sz w:val="20"/>
                <w:szCs w:val="20"/>
                <w:lang w:val="en-GB"/>
              </w:rPr>
            </w:pPr>
            <w:r w:rsidRPr="008E1AB8">
              <w:rPr>
                <w:rFonts w:ascii="Times New Roman" w:eastAsia="Times New Roman" w:hAnsi="Times New Roman"/>
                <w:noProof/>
                <w:color w:val="000000" w:themeColor="text1"/>
                <w:sz w:val="20"/>
                <w:szCs w:val="20"/>
                <w:lang w:val="en-GB"/>
              </w:rPr>
              <w:t>Establishing 22 welfare areas, entrusted with the health, social and rescue services duties that were before the responsibility of municipalities and joint municipal authorities;</w:t>
            </w:r>
          </w:p>
          <w:p w14:paraId="0DF28107" w14:textId="77777777" w:rsidR="00935FC8" w:rsidRPr="008E1AB8" w:rsidRDefault="00935FC8" w:rsidP="00A7081A">
            <w:pPr>
              <w:pStyle w:val="ListParagraph"/>
              <w:numPr>
                <w:ilvl w:val="0"/>
                <w:numId w:val="29"/>
              </w:numPr>
              <w:spacing w:after="0" w:line="252" w:lineRule="auto"/>
              <w:rPr>
                <w:rFonts w:ascii="Times New Roman" w:eastAsia="Times New Roman" w:hAnsi="Times New Roman"/>
                <w:noProof/>
                <w:color w:val="000000" w:themeColor="text1"/>
                <w:sz w:val="20"/>
                <w:szCs w:val="20"/>
                <w:lang w:eastAsia="en-GB"/>
              </w:rPr>
            </w:pPr>
            <w:r w:rsidRPr="008E1AB8">
              <w:rPr>
                <w:rFonts w:ascii="Times New Roman" w:eastAsia="Times New Roman" w:hAnsi="Times New Roman"/>
                <w:noProof/>
                <w:color w:val="000000" w:themeColor="text1"/>
                <w:sz w:val="20"/>
                <w:szCs w:val="20"/>
                <w:lang w:val="en-GB"/>
              </w:rPr>
              <w:t>Transferring the legal responsibility for organising healthcare, social welfare and rescue services and other services and duties in the remit of the welfare areas;</w:t>
            </w:r>
          </w:p>
          <w:p w14:paraId="2B4C8FC2" w14:textId="77777777" w:rsidR="00935FC8" w:rsidRPr="008E1AB8" w:rsidRDefault="00935FC8" w:rsidP="00A7081A">
            <w:pPr>
              <w:pStyle w:val="ListParagraph"/>
              <w:numPr>
                <w:ilvl w:val="0"/>
                <w:numId w:val="29"/>
              </w:numPr>
              <w:spacing w:after="0" w:line="252" w:lineRule="auto"/>
              <w:rPr>
                <w:rFonts w:ascii="Times New Roman" w:eastAsia="Times New Roman" w:hAnsi="Times New Roman"/>
                <w:noProof/>
                <w:color w:val="000000" w:themeColor="text1"/>
                <w:sz w:val="20"/>
                <w:szCs w:val="20"/>
                <w:lang w:eastAsia="en-GB"/>
              </w:rPr>
            </w:pPr>
            <w:r w:rsidRPr="008E1AB8">
              <w:rPr>
                <w:rFonts w:ascii="Times New Roman" w:eastAsia="Times New Roman" w:hAnsi="Times New Roman"/>
                <w:noProof/>
                <w:color w:val="000000" w:themeColor="text1"/>
                <w:sz w:val="20"/>
                <w:szCs w:val="20"/>
                <w:lang w:val="en-GB"/>
              </w:rPr>
              <w:t>Organising rescue services within the welfare areas as a separate sector working in parallel with the healthcare and social welfare sector.</w:t>
            </w:r>
          </w:p>
        </w:tc>
      </w:tr>
      <w:tr w:rsidR="00A7081A" w:rsidRPr="008E1AB8" w14:paraId="7ACC7531" w14:textId="77777777" w:rsidTr="00B615F0">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68B3C0CE" w14:textId="60FEDE4A" w:rsidR="00935FC8" w:rsidRPr="008E1AB8" w:rsidRDefault="00935FC8" w:rsidP="008E1AB8">
            <w:pPr>
              <w:spacing w:after="0" w:line="240" w:lineRule="auto"/>
              <w:jc w:val="both"/>
              <w:rPr>
                <w:rFonts w:ascii="Times New Roman" w:hAnsi="Times New Roman"/>
                <w:noProof/>
                <w:sz w:val="20"/>
                <w:szCs w:val="20"/>
              </w:rPr>
            </w:pPr>
            <w:r w:rsidRPr="008E1AB8">
              <w:rPr>
                <w:rFonts w:ascii="Times New Roman" w:hAnsi="Times New Roman"/>
                <w:noProof/>
                <w:sz w:val="20"/>
                <w:szCs w:val="20"/>
              </w:rPr>
              <w:t>134</w:t>
            </w:r>
          </w:p>
        </w:tc>
        <w:tc>
          <w:tcPr>
            <w:tcW w:w="1528" w:type="dxa"/>
            <w:tcBorders>
              <w:top w:val="nil"/>
              <w:left w:val="nil"/>
              <w:bottom w:val="single" w:sz="4" w:space="0" w:color="auto"/>
              <w:right w:val="single" w:sz="4" w:space="0" w:color="auto"/>
            </w:tcBorders>
            <w:shd w:val="clear" w:color="auto" w:fill="C6EFCE"/>
            <w:noWrap/>
          </w:tcPr>
          <w:p w14:paraId="52F89A77"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xml:space="preserve">P4C1R1 - Preparation of the social welfare and health care reform in support of implementing the care guarantee </w:t>
            </w:r>
          </w:p>
        </w:tc>
        <w:tc>
          <w:tcPr>
            <w:tcW w:w="1080" w:type="dxa"/>
            <w:tcBorders>
              <w:top w:val="nil"/>
              <w:left w:val="nil"/>
              <w:bottom w:val="single" w:sz="4" w:space="0" w:color="auto"/>
              <w:right w:val="single" w:sz="4" w:space="0" w:color="auto"/>
            </w:tcBorders>
            <w:shd w:val="clear" w:color="auto" w:fill="C6EFCE"/>
            <w:noWrap/>
          </w:tcPr>
          <w:p w14:paraId="264ABC32" w14:textId="77777777" w:rsidR="00935FC8" w:rsidRPr="008E1AB8" w:rsidRDefault="00935FC8" w:rsidP="00A7081A">
            <w:pPr>
              <w:spacing w:line="240" w:lineRule="auto"/>
              <w:rPr>
                <w:rFonts w:ascii="Times New Roman" w:hAnsi="Times New Roman"/>
                <w:noProof/>
                <w:sz w:val="20"/>
                <w:szCs w:val="20"/>
                <w:lang w:eastAsia="en-GB"/>
              </w:rPr>
            </w:pPr>
            <w:r w:rsidRPr="008E1AB8">
              <w:rPr>
                <w:rFonts w:ascii="Times New Roman" w:hAnsi="Times New Roman"/>
                <w:noProof/>
                <w:sz w:val="20"/>
                <w:szCs w:val="20"/>
              </w:rPr>
              <w:t>Milestone</w:t>
            </w:r>
          </w:p>
        </w:tc>
        <w:tc>
          <w:tcPr>
            <w:tcW w:w="1502" w:type="dxa"/>
            <w:tcBorders>
              <w:top w:val="nil"/>
              <w:left w:val="nil"/>
              <w:bottom w:val="single" w:sz="4" w:space="0" w:color="auto"/>
              <w:right w:val="single" w:sz="4" w:space="0" w:color="auto"/>
            </w:tcBorders>
            <w:shd w:val="clear" w:color="auto" w:fill="C6EFCE"/>
            <w:noWrap/>
          </w:tcPr>
          <w:p w14:paraId="1C229266"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Entry into force of the additional legal framework completing the establishment of welfare areas and the reform of the social and health care and rescue services</w:t>
            </w:r>
          </w:p>
        </w:tc>
        <w:tc>
          <w:tcPr>
            <w:tcW w:w="1417" w:type="dxa"/>
            <w:tcBorders>
              <w:top w:val="single" w:sz="4" w:space="0" w:color="auto"/>
              <w:left w:val="nil"/>
              <w:bottom w:val="single" w:sz="4" w:space="0" w:color="auto"/>
              <w:right w:val="single" w:sz="4" w:space="0" w:color="auto"/>
            </w:tcBorders>
            <w:shd w:val="clear" w:color="auto" w:fill="C6EFCE"/>
            <w:noWrap/>
          </w:tcPr>
          <w:p w14:paraId="75570A6C" w14:textId="77777777" w:rsidR="00935FC8" w:rsidRPr="008E1AB8" w:rsidRDefault="00935FC8" w:rsidP="00A7081A">
            <w:pPr>
              <w:spacing w:after="0" w:line="240" w:lineRule="auto"/>
              <w:rPr>
                <w:rFonts w:ascii="Times New Roman" w:hAnsi="Times New Roman"/>
                <w:noProof/>
                <w:sz w:val="20"/>
                <w:szCs w:val="20"/>
              </w:rPr>
            </w:pPr>
            <w:r w:rsidRPr="008E1AB8">
              <w:rPr>
                <w:rFonts w:ascii="Times New Roman" w:hAnsi="Times New Roman"/>
                <w:noProof/>
                <w:sz w:val="20"/>
                <w:szCs w:val="20"/>
              </w:rPr>
              <w:t>Provisions in the additional legislative acts indicating their entry into force</w:t>
            </w:r>
          </w:p>
        </w:tc>
        <w:tc>
          <w:tcPr>
            <w:tcW w:w="1114" w:type="dxa"/>
            <w:tcBorders>
              <w:top w:val="nil"/>
              <w:left w:val="nil"/>
              <w:bottom w:val="single" w:sz="4" w:space="0" w:color="auto"/>
              <w:right w:val="single" w:sz="4" w:space="0" w:color="auto"/>
            </w:tcBorders>
            <w:shd w:val="clear" w:color="auto" w:fill="C6EFCE"/>
            <w:noWrap/>
          </w:tcPr>
          <w:p w14:paraId="2737DA5B" w14:textId="77777777" w:rsidR="00935FC8" w:rsidRPr="008E1AB8" w:rsidRDefault="00935FC8" w:rsidP="00A7081A">
            <w:pPr>
              <w:spacing w:line="240" w:lineRule="auto"/>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24C0981F" w14:textId="77777777" w:rsidR="00935FC8" w:rsidRPr="008E1AB8" w:rsidRDefault="00935FC8" w:rsidP="00A7081A">
            <w:pPr>
              <w:spacing w:line="240" w:lineRule="auto"/>
              <w:rPr>
                <w:rFonts w:ascii="Times New Roman" w:hAnsi="Times New Roman"/>
                <w:noProof/>
                <w:sz w:val="20"/>
                <w:szCs w:val="20"/>
              </w:rPr>
            </w:pPr>
          </w:p>
        </w:tc>
        <w:tc>
          <w:tcPr>
            <w:tcW w:w="708" w:type="dxa"/>
            <w:tcBorders>
              <w:top w:val="nil"/>
              <w:left w:val="nil"/>
              <w:bottom w:val="single" w:sz="4" w:space="0" w:color="auto"/>
              <w:right w:val="single" w:sz="4" w:space="0" w:color="auto"/>
            </w:tcBorders>
            <w:shd w:val="clear" w:color="auto" w:fill="C6EFCE"/>
            <w:noWrap/>
          </w:tcPr>
          <w:p w14:paraId="0B98A68C" w14:textId="77777777" w:rsidR="00935FC8" w:rsidRPr="008E1AB8" w:rsidRDefault="00935FC8" w:rsidP="00A7081A">
            <w:pPr>
              <w:spacing w:line="240" w:lineRule="auto"/>
              <w:rPr>
                <w:rFonts w:ascii="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tcPr>
          <w:p w14:paraId="7A39EEB2" w14:textId="77777777" w:rsidR="00935FC8" w:rsidRPr="008E1AB8" w:rsidRDefault="00935FC8" w:rsidP="00A7081A">
            <w:pPr>
              <w:spacing w:line="240" w:lineRule="auto"/>
              <w:rPr>
                <w:rFonts w:ascii="Times New Roman" w:hAnsi="Times New Roman"/>
                <w:noProof/>
                <w:sz w:val="20"/>
                <w:szCs w:val="20"/>
              </w:rPr>
            </w:pPr>
            <w:r w:rsidRPr="008E1AB8">
              <w:rPr>
                <w:rFonts w:ascii="Times New Roman" w:hAnsi="Times New Roman"/>
                <w:noProof/>
                <w:sz w:val="20"/>
                <w:szCs w:val="20"/>
              </w:rPr>
              <w:t>Q1</w:t>
            </w:r>
          </w:p>
        </w:tc>
        <w:tc>
          <w:tcPr>
            <w:tcW w:w="850" w:type="dxa"/>
            <w:tcBorders>
              <w:top w:val="nil"/>
              <w:left w:val="nil"/>
              <w:bottom w:val="single" w:sz="4" w:space="0" w:color="auto"/>
              <w:right w:val="single" w:sz="4" w:space="0" w:color="auto"/>
            </w:tcBorders>
            <w:shd w:val="clear" w:color="auto" w:fill="C6EFCE"/>
            <w:noWrap/>
          </w:tcPr>
          <w:p w14:paraId="28C1E24C" w14:textId="2CA2B19F" w:rsidR="00935FC8" w:rsidRPr="008E1AB8" w:rsidRDefault="00935FC8" w:rsidP="008E1AB8">
            <w:pPr>
              <w:spacing w:after="0" w:line="240" w:lineRule="auto"/>
              <w:rPr>
                <w:rFonts w:ascii="Times New Roman" w:hAnsi="Times New Roman"/>
                <w:noProof/>
                <w:sz w:val="20"/>
                <w:szCs w:val="20"/>
              </w:rPr>
            </w:pPr>
            <w:r w:rsidRPr="008E1AB8">
              <w:rPr>
                <w:rFonts w:ascii="Times New Roman" w:hAnsi="Times New Roman"/>
                <w:noProof/>
                <w:sz w:val="20"/>
                <w:szCs w:val="20"/>
              </w:rPr>
              <w:t>2023</w:t>
            </w:r>
          </w:p>
        </w:tc>
        <w:tc>
          <w:tcPr>
            <w:tcW w:w="4536" w:type="dxa"/>
            <w:tcBorders>
              <w:top w:val="single" w:sz="4" w:space="0" w:color="auto"/>
              <w:left w:val="nil"/>
              <w:bottom w:val="single" w:sz="4" w:space="0" w:color="auto"/>
              <w:right w:val="single" w:sz="4" w:space="0" w:color="auto"/>
            </w:tcBorders>
            <w:shd w:val="clear" w:color="auto" w:fill="C6EFCE"/>
            <w:noWrap/>
          </w:tcPr>
          <w:p w14:paraId="31135461" w14:textId="77777777" w:rsidR="00935FC8" w:rsidRPr="008E1AB8" w:rsidRDefault="00935FC8" w:rsidP="00A7081A">
            <w:pPr>
              <w:spacing w:after="0" w:line="240" w:lineRule="auto"/>
              <w:rPr>
                <w:rFonts w:ascii="Times New Roman" w:hAnsi="Times New Roman"/>
                <w:noProof/>
                <w:sz w:val="20"/>
                <w:szCs w:val="20"/>
              </w:rPr>
            </w:pPr>
            <w:r w:rsidRPr="008E1AB8">
              <w:rPr>
                <w:rFonts w:ascii="Times New Roman" w:hAnsi="Times New Roman"/>
                <w:noProof/>
                <w:sz w:val="20"/>
                <w:szCs w:val="20"/>
              </w:rPr>
              <w:t>Entry into force of the second set of legislative acts completing the establishment of welfare areas and the reform of the social, healthcare and rescue services, by:</w:t>
            </w:r>
          </w:p>
          <w:p w14:paraId="4D98CDC0" w14:textId="77777777" w:rsidR="00935FC8" w:rsidRPr="008E1AB8" w:rsidRDefault="00935FC8" w:rsidP="00A7081A">
            <w:pPr>
              <w:pStyle w:val="ListParagraph"/>
              <w:numPr>
                <w:ilvl w:val="0"/>
                <w:numId w:val="30"/>
              </w:numPr>
              <w:spacing w:after="0" w:line="240" w:lineRule="auto"/>
              <w:rPr>
                <w:rFonts w:ascii="Times New Roman" w:eastAsia="Times New Roman" w:hAnsi="Times New Roman"/>
                <w:noProof/>
                <w:sz w:val="20"/>
                <w:szCs w:val="20"/>
                <w:lang w:val="en-GB"/>
              </w:rPr>
            </w:pPr>
            <w:r w:rsidRPr="008E1AB8">
              <w:rPr>
                <w:rFonts w:ascii="Times New Roman" w:eastAsia="Times New Roman" w:hAnsi="Times New Roman"/>
                <w:noProof/>
                <w:sz w:val="20"/>
                <w:szCs w:val="20"/>
                <w:lang w:val="en-GB"/>
              </w:rPr>
              <w:t xml:space="preserve">Setting up the welfare areas’ governance rules, administrative procedures and organisation structures; </w:t>
            </w:r>
          </w:p>
          <w:p w14:paraId="7A1A27A5" w14:textId="77777777" w:rsidR="00935FC8" w:rsidRPr="008E1AB8" w:rsidRDefault="00935FC8" w:rsidP="00A7081A">
            <w:pPr>
              <w:pStyle w:val="ListParagraph"/>
              <w:numPr>
                <w:ilvl w:val="0"/>
                <w:numId w:val="30"/>
              </w:numPr>
              <w:spacing w:after="0" w:line="240" w:lineRule="auto"/>
              <w:rPr>
                <w:rFonts w:ascii="Times New Roman" w:eastAsia="Times New Roman" w:hAnsi="Times New Roman"/>
                <w:noProof/>
                <w:sz w:val="20"/>
                <w:szCs w:val="20"/>
                <w:lang w:val="en-GB"/>
              </w:rPr>
            </w:pPr>
            <w:r w:rsidRPr="008E1AB8">
              <w:rPr>
                <w:rFonts w:ascii="Times New Roman" w:eastAsia="Times New Roman" w:hAnsi="Times New Roman"/>
                <w:noProof/>
                <w:sz w:val="20"/>
                <w:szCs w:val="20"/>
                <w:lang w:val="en-GB"/>
              </w:rPr>
              <w:t xml:space="preserve">Transferring the operation of hospital districts, special care districts, services of social workers and psychologists in student welfare to the welfare areas (the welfare areas and the municipalities shall both be responsible for promoting health and wellbeing); </w:t>
            </w:r>
          </w:p>
          <w:p w14:paraId="586FF088" w14:textId="77777777" w:rsidR="00935FC8" w:rsidRPr="008E1AB8" w:rsidRDefault="00935FC8" w:rsidP="00A7081A">
            <w:pPr>
              <w:pStyle w:val="ListParagraph"/>
              <w:numPr>
                <w:ilvl w:val="0"/>
                <w:numId w:val="30"/>
              </w:numPr>
              <w:spacing w:after="0" w:line="240" w:lineRule="auto"/>
              <w:rPr>
                <w:rFonts w:ascii="Times New Roman" w:eastAsia="Times New Roman" w:hAnsi="Times New Roman"/>
                <w:noProof/>
                <w:sz w:val="20"/>
                <w:szCs w:val="20"/>
                <w:lang w:val="en-GB"/>
              </w:rPr>
            </w:pPr>
            <w:r w:rsidRPr="008E1AB8">
              <w:rPr>
                <w:rFonts w:ascii="Times New Roman" w:eastAsia="Times New Roman" w:hAnsi="Times New Roman"/>
                <w:noProof/>
                <w:sz w:val="20"/>
                <w:szCs w:val="20"/>
                <w:lang w:val="en-GB"/>
              </w:rPr>
              <w:t xml:space="preserve">Transfer of healthcare and social welfare personnel and their tasks from municipalities and joint municipal authorities to the employment of the welfare areas; </w:t>
            </w:r>
          </w:p>
          <w:p w14:paraId="596B7A88" w14:textId="77777777" w:rsidR="00935FC8" w:rsidRPr="008E1AB8" w:rsidRDefault="00935FC8" w:rsidP="00A7081A">
            <w:pPr>
              <w:pStyle w:val="ListParagraph"/>
              <w:numPr>
                <w:ilvl w:val="0"/>
                <w:numId w:val="30"/>
              </w:numPr>
              <w:spacing w:after="0" w:line="240" w:lineRule="auto"/>
              <w:rPr>
                <w:rFonts w:ascii="Times New Roman" w:eastAsia="Times New Roman" w:hAnsi="Times New Roman"/>
                <w:noProof/>
                <w:sz w:val="20"/>
                <w:szCs w:val="20"/>
                <w:lang w:val="en-GB"/>
              </w:rPr>
            </w:pPr>
            <w:r w:rsidRPr="008E1AB8">
              <w:rPr>
                <w:rFonts w:ascii="Times New Roman" w:eastAsia="Times New Roman" w:hAnsi="Times New Roman"/>
                <w:noProof/>
                <w:sz w:val="20"/>
                <w:szCs w:val="20"/>
                <w:lang w:val="en-GB"/>
              </w:rPr>
              <w:t xml:space="preserve">Establishing the funding mechanism for the activities of the welfare areas from the central government and from fees collected from the users of services. </w:t>
            </w:r>
          </w:p>
          <w:p w14:paraId="0B48872E" w14:textId="77777777" w:rsidR="00935FC8" w:rsidRPr="008E1AB8" w:rsidRDefault="00935FC8" w:rsidP="00A7081A">
            <w:pPr>
              <w:pStyle w:val="ListParagraph"/>
              <w:numPr>
                <w:ilvl w:val="0"/>
                <w:numId w:val="30"/>
              </w:numPr>
              <w:spacing w:after="0" w:line="240" w:lineRule="auto"/>
              <w:rPr>
                <w:rFonts w:ascii="Times New Roman" w:eastAsia="Times New Roman" w:hAnsi="Times New Roman"/>
                <w:noProof/>
                <w:sz w:val="20"/>
                <w:szCs w:val="20"/>
                <w:lang w:val="en-GB"/>
              </w:rPr>
            </w:pPr>
            <w:r w:rsidRPr="008E1AB8">
              <w:rPr>
                <w:rFonts w:ascii="Times New Roman" w:eastAsia="Times New Roman" w:hAnsi="Times New Roman"/>
                <w:noProof/>
                <w:sz w:val="20"/>
                <w:szCs w:val="20"/>
                <w:lang w:val="en-GB"/>
              </w:rPr>
              <w:t>Creating an advisory board for healthcare and social welfare under the Ministry of Social Affairs and Health to monitor and assess the fulfilment of health and social services duties and support the national guidance and direction of healthcare and social welfare.</w:t>
            </w:r>
          </w:p>
          <w:p w14:paraId="7876A608" w14:textId="77777777" w:rsidR="00935FC8" w:rsidRPr="008E1AB8" w:rsidRDefault="00935FC8" w:rsidP="00A7081A">
            <w:pPr>
              <w:spacing w:after="0" w:line="240" w:lineRule="auto"/>
              <w:rPr>
                <w:rFonts w:ascii="Times New Roman" w:hAnsi="Times New Roman"/>
                <w:noProof/>
                <w:sz w:val="20"/>
                <w:szCs w:val="20"/>
              </w:rPr>
            </w:pPr>
          </w:p>
        </w:tc>
      </w:tr>
      <w:tr w:rsidR="00A7081A" w:rsidRPr="008E1AB8" w14:paraId="67FC46C0" w14:textId="77777777" w:rsidTr="00B615F0">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10B8D569" w14:textId="77777777" w:rsidR="00935FC8" w:rsidRPr="008E1AB8" w:rsidRDefault="00935FC8">
            <w:pPr>
              <w:spacing w:after="0" w:line="240" w:lineRule="auto"/>
              <w:jc w:val="both"/>
              <w:rPr>
                <w:rFonts w:ascii="Times New Roman" w:hAnsi="Times New Roman"/>
                <w:noProof/>
                <w:sz w:val="20"/>
                <w:szCs w:val="20"/>
                <w:lang w:eastAsia="en-GB"/>
              </w:rPr>
            </w:pPr>
            <w:r w:rsidRPr="008E1AB8">
              <w:rPr>
                <w:rFonts w:ascii="Times New Roman" w:hAnsi="Times New Roman"/>
                <w:noProof/>
                <w:sz w:val="20"/>
                <w:szCs w:val="20"/>
              </w:rPr>
              <w:t>135</w:t>
            </w:r>
          </w:p>
        </w:tc>
        <w:tc>
          <w:tcPr>
            <w:tcW w:w="1528" w:type="dxa"/>
            <w:tcBorders>
              <w:top w:val="single" w:sz="4" w:space="0" w:color="auto"/>
              <w:left w:val="nil"/>
              <w:bottom w:val="single" w:sz="4" w:space="0" w:color="auto"/>
              <w:right w:val="single" w:sz="4" w:space="0" w:color="auto"/>
            </w:tcBorders>
            <w:shd w:val="clear" w:color="auto" w:fill="C6EFCE"/>
            <w:noWrap/>
          </w:tcPr>
          <w:p w14:paraId="1DDFD352"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xml:space="preserve">P4C1R1 - Preparation of the social welfare and health care reform in support of implementing the care guarantee </w:t>
            </w:r>
          </w:p>
        </w:tc>
        <w:tc>
          <w:tcPr>
            <w:tcW w:w="1080" w:type="dxa"/>
            <w:tcBorders>
              <w:top w:val="nil"/>
              <w:left w:val="nil"/>
              <w:bottom w:val="single" w:sz="4" w:space="0" w:color="auto"/>
              <w:right w:val="single" w:sz="4" w:space="0" w:color="auto"/>
            </w:tcBorders>
            <w:shd w:val="clear" w:color="auto" w:fill="C6EFCE"/>
            <w:noWrap/>
          </w:tcPr>
          <w:p w14:paraId="2EBAB0C7"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Milestone</w:t>
            </w:r>
          </w:p>
        </w:tc>
        <w:tc>
          <w:tcPr>
            <w:tcW w:w="1502" w:type="dxa"/>
            <w:tcBorders>
              <w:top w:val="single" w:sz="4" w:space="0" w:color="auto"/>
              <w:left w:val="nil"/>
              <w:bottom w:val="single" w:sz="4" w:space="0" w:color="auto"/>
              <w:right w:val="single" w:sz="4" w:space="0" w:color="auto"/>
            </w:tcBorders>
            <w:shd w:val="clear" w:color="auto" w:fill="C6EFCE"/>
            <w:noWrap/>
          </w:tcPr>
          <w:p w14:paraId="4B1CA0C7"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Operationalisation of regional welfare areas with the capacity to take responsibility for organising social, health and rescue services</w:t>
            </w:r>
          </w:p>
        </w:tc>
        <w:tc>
          <w:tcPr>
            <w:tcW w:w="1417" w:type="dxa"/>
            <w:tcBorders>
              <w:top w:val="nil"/>
              <w:left w:val="nil"/>
              <w:bottom w:val="single" w:sz="4" w:space="0" w:color="auto"/>
              <w:right w:val="single" w:sz="4" w:space="0" w:color="auto"/>
            </w:tcBorders>
            <w:shd w:val="clear" w:color="auto" w:fill="C6EFCE"/>
            <w:noWrap/>
          </w:tcPr>
          <w:p w14:paraId="2450CE02"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Report of the Ministry of Social Affairs and Health confirming that the regional welfare areas are operational and ready to implement the social welfare and health care reform</w:t>
            </w:r>
          </w:p>
        </w:tc>
        <w:tc>
          <w:tcPr>
            <w:tcW w:w="1114" w:type="dxa"/>
            <w:tcBorders>
              <w:top w:val="nil"/>
              <w:left w:val="nil"/>
              <w:bottom w:val="single" w:sz="4" w:space="0" w:color="auto"/>
              <w:right w:val="single" w:sz="4" w:space="0" w:color="auto"/>
            </w:tcBorders>
            <w:shd w:val="clear" w:color="auto" w:fill="C6EFCE"/>
            <w:noWrap/>
          </w:tcPr>
          <w:p w14:paraId="4AFBE2CA"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w:t>
            </w:r>
          </w:p>
        </w:tc>
        <w:tc>
          <w:tcPr>
            <w:tcW w:w="851" w:type="dxa"/>
            <w:tcBorders>
              <w:top w:val="nil"/>
              <w:left w:val="nil"/>
              <w:bottom w:val="single" w:sz="4" w:space="0" w:color="auto"/>
              <w:right w:val="single" w:sz="4" w:space="0" w:color="auto"/>
            </w:tcBorders>
            <w:shd w:val="clear" w:color="auto" w:fill="C6EFCE"/>
            <w:noWrap/>
          </w:tcPr>
          <w:p w14:paraId="3C3844D6"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w:t>
            </w:r>
          </w:p>
        </w:tc>
        <w:tc>
          <w:tcPr>
            <w:tcW w:w="708" w:type="dxa"/>
            <w:tcBorders>
              <w:top w:val="nil"/>
              <w:left w:val="nil"/>
              <w:bottom w:val="single" w:sz="4" w:space="0" w:color="auto"/>
              <w:right w:val="single" w:sz="4" w:space="0" w:color="auto"/>
            </w:tcBorders>
            <w:shd w:val="clear" w:color="auto" w:fill="C6EFCE"/>
            <w:noWrap/>
          </w:tcPr>
          <w:p w14:paraId="55B59D55"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w:t>
            </w:r>
          </w:p>
        </w:tc>
        <w:tc>
          <w:tcPr>
            <w:tcW w:w="851" w:type="dxa"/>
            <w:tcBorders>
              <w:top w:val="nil"/>
              <w:left w:val="nil"/>
              <w:bottom w:val="single" w:sz="4" w:space="0" w:color="auto"/>
              <w:right w:val="single" w:sz="4" w:space="0" w:color="auto"/>
            </w:tcBorders>
            <w:shd w:val="clear" w:color="auto" w:fill="C6EFCE"/>
            <w:noWrap/>
          </w:tcPr>
          <w:p w14:paraId="3361ACAE"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Q2</w:t>
            </w:r>
          </w:p>
        </w:tc>
        <w:tc>
          <w:tcPr>
            <w:tcW w:w="850" w:type="dxa"/>
            <w:tcBorders>
              <w:top w:val="nil"/>
              <w:left w:val="nil"/>
              <w:bottom w:val="single" w:sz="4" w:space="0" w:color="auto"/>
              <w:right w:val="single" w:sz="4" w:space="0" w:color="auto"/>
            </w:tcBorders>
            <w:shd w:val="clear" w:color="auto" w:fill="C6EFCE"/>
            <w:noWrap/>
          </w:tcPr>
          <w:p w14:paraId="452A7124"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2023</w:t>
            </w:r>
          </w:p>
        </w:tc>
        <w:tc>
          <w:tcPr>
            <w:tcW w:w="4536" w:type="dxa"/>
            <w:tcBorders>
              <w:top w:val="nil"/>
              <w:left w:val="nil"/>
              <w:bottom w:val="single" w:sz="4" w:space="0" w:color="auto"/>
              <w:right w:val="single" w:sz="4" w:space="0" w:color="auto"/>
            </w:tcBorders>
            <w:shd w:val="clear" w:color="auto" w:fill="C6EFCE"/>
            <w:noWrap/>
          </w:tcPr>
          <w:p w14:paraId="08435B6E" w14:textId="77777777" w:rsidR="00935FC8" w:rsidRPr="008E1AB8" w:rsidRDefault="00935FC8" w:rsidP="00A7081A">
            <w:pPr>
              <w:spacing w:after="0" w:line="240" w:lineRule="auto"/>
              <w:rPr>
                <w:rFonts w:ascii="Times New Roman" w:hAnsi="Times New Roman"/>
                <w:noProof/>
                <w:sz w:val="20"/>
                <w:szCs w:val="20"/>
              </w:rPr>
            </w:pPr>
            <w:r w:rsidRPr="008E1AB8">
              <w:rPr>
                <w:rFonts w:ascii="Times New Roman" w:hAnsi="Times New Roman"/>
                <w:noProof/>
                <w:sz w:val="20"/>
                <w:szCs w:val="20"/>
              </w:rPr>
              <w:t>Regional welfare areas responsible for organising social, healthcare and rescue services shall be established and operational, in line with the roadmap for the planning and preparation of the implementation of the health and social services reform. The Ministry of Social Affairs and Health shall examine and confirm in a report the implementation of the necessary measures to support the set-up of the welfare areas. This shall cover the following areas: 1) management, 2) administration, 3) finances and 4) services.</w:t>
            </w:r>
          </w:p>
          <w:p w14:paraId="1B174D46" w14:textId="77777777" w:rsidR="00935FC8" w:rsidRPr="008E1AB8" w:rsidRDefault="00935FC8" w:rsidP="00A7081A">
            <w:pPr>
              <w:spacing w:after="0" w:line="240" w:lineRule="auto"/>
              <w:rPr>
                <w:rFonts w:ascii="Times New Roman" w:hAnsi="Times New Roman"/>
                <w:noProof/>
                <w:sz w:val="20"/>
                <w:szCs w:val="20"/>
                <w:lang w:eastAsia="en-GB"/>
              </w:rPr>
            </w:pPr>
          </w:p>
        </w:tc>
      </w:tr>
      <w:tr w:rsidR="00A7081A" w:rsidRPr="008E1AB8" w14:paraId="66272B3E" w14:textId="77777777" w:rsidTr="00B615F0">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54332929" w14:textId="77777777" w:rsidR="00935FC8" w:rsidRPr="008E1AB8" w:rsidRDefault="00935FC8">
            <w:pPr>
              <w:spacing w:after="0" w:line="240" w:lineRule="auto"/>
              <w:jc w:val="both"/>
              <w:rPr>
                <w:rFonts w:ascii="Times New Roman" w:hAnsi="Times New Roman"/>
                <w:noProof/>
                <w:sz w:val="20"/>
                <w:szCs w:val="20"/>
                <w:lang w:eastAsia="en-GB"/>
              </w:rPr>
            </w:pPr>
            <w:r w:rsidRPr="008E1AB8">
              <w:rPr>
                <w:rFonts w:ascii="Times New Roman" w:hAnsi="Times New Roman"/>
                <w:noProof/>
                <w:sz w:val="20"/>
                <w:szCs w:val="20"/>
              </w:rPr>
              <w:t>136</w:t>
            </w:r>
          </w:p>
        </w:tc>
        <w:tc>
          <w:tcPr>
            <w:tcW w:w="1528" w:type="dxa"/>
            <w:tcBorders>
              <w:top w:val="nil"/>
              <w:left w:val="nil"/>
              <w:bottom w:val="single" w:sz="4" w:space="0" w:color="auto"/>
              <w:right w:val="single" w:sz="4" w:space="0" w:color="auto"/>
            </w:tcBorders>
            <w:shd w:val="clear" w:color="auto" w:fill="C6EFCE"/>
            <w:noWrap/>
            <w:hideMark/>
          </w:tcPr>
          <w:p w14:paraId="49BEFBEF"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xml:space="preserve">P4C1I1- Promoting the implementation of the care guarantee and reducing the service backlog due to the COVID-19 pandemic </w:t>
            </w:r>
          </w:p>
        </w:tc>
        <w:tc>
          <w:tcPr>
            <w:tcW w:w="1080" w:type="dxa"/>
            <w:tcBorders>
              <w:top w:val="nil"/>
              <w:left w:val="nil"/>
              <w:bottom w:val="single" w:sz="4" w:space="0" w:color="auto"/>
              <w:right w:val="single" w:sz="4" w:space="0" w:color="auto"/>
            </w:tcBorders>
            <w:shd w:val="clear" w:color="auto" w:fill="C6EFCE"/>
            <w:noWrap/>
            <w:hideMark/>
          </w:tcPr>
          <w:p w14:paraId="3ED3EB32"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Target</w:t>
            </w:r>
          </w:p>
        </w:tc>
        <w:tc>
          <w:tcPr>
            <w:tcW w:w="1502" w:type="dxa"/>
            <w:tcBorders>
              <w:top w:val="nil"/>
              <w:left w:val="nil"/>
              <w:bottom w:val="single" w:sz="4" w:space="0" w:color="auto"/>
              <w:right w:val="single" w:sz="4" w:space="0" w:color="auto"/>
            </w:tcBorders>
            <w:shd w:val="clear" w:color="auto" w:fill="C6EFCE"/>
            <w:noWrap/>
            <w:hideMark/>
          </w:tcPr>
          <w:p w14:paraId="62F2C22A"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Share of non-urgent primary healthcare visits that reach the 7-day time limit for access to care</w:t>
            </w:r>
          </w:p>
        </w:tc>
        <w:tc>
          <w:tcPr>
            <w:tcW w:w="1417" w:type="dxa"/>
            <w:tcBorders>
              <w:top w:val="nil"/>
              <w:left w:val="nil"/>
              <w:bottom w:val="single" w:sz="4" w:space="0" w:color="auto"/>
              <w:right w:val="single" w:sz="4" w:space="0" w:color="auto"/>
            </w:tcBorders>
            <w:shd w:val="clear" w:color="auto" w:fill="C6EFCE"/>
            <w:noWrap/>
            <w:hideMark/>
          </w:tcPr>
          <w:p w14:paraId="160FBFC5" w14:textId="77777777" w:rsidR="00935FC8" w:rsidRPr="008E1AB8" w:rsidRDefault="00935FC8" w:rsidP="00A7081A">
            <w:pPr>
              <w:spacing w:after="0" w:line="240" w:lineRule="auto"/>
              <w:rPr>
                <w:rFonts w:ascii="Times New Roman" w:hAnsi="Times New Roman"/>
                <w:noProof/>
                <w:sz w:val="20"/>
                <w:szCs w:val="20"/>
                <w:lang w:eastAsia="en-GB"/>
              </w:rPr>
            </w:pPr>
          </w:p>
        </w:tc>
        <w:tc>
          <w:tcPr>
            <w:tcW w:w="1114" w:type="dxa"/>
            <w:tcBorders>
              <w:top w:val="nil"/>
              <w:left w:val="nil"/>
              <w:bottom w:val="single" w:sz="4" w:space="0" w:color="auto"/>
              <w:right w:val="single" w:sz="4" w:space="0" w:color="auto"/>
            </w:tcBorders>
            <w:shd w:val="clear" w:color="auto" w:fill="C6EFCE"/>
            <w:noWrap/>
            <w:hideMark/>
          </w:tcPr>
          <w:p w14:paraId="753C9B5D"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(Percentage)</w:t>
            </w:r>
          </w:p>
        </w:tc>
        <w:tc>
          <w:tcPr>
            <w:tcW w:w="851" w:type="dxa"/>
            <w:tcBorders>
              <w:top w:val="nil"/>
              <w:left w:val="nil"/>
              <w:bottom w:val="single" w:sz="4" w:space="0" w:color="auto"/>
              <w:right w:val="single" w:sz="4" w:space="0" w:color="auto"/>
            </w:tcBorders>
            <w:shd w:val="clear" w:color="auto" w:fill="C6EFCE"/>
            <w:noWrap/>
            <w:hideMark/>
          </w:tcPr>
          <w:p w14:paraId="312144D5"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66</w:t>
            </w:r>
          </w:p>
        </w:tc>
        <w:tc>
          <w:tcPr>
            <w:tcW w:w="708" w:type="dxa"/>
            <w:tcBorders>
              <w:top w:val="nil"/>
              <w:left w:val="nil"/>
              <w:bottom w:val="single" w:sz="4" w:space="0" w:color="auto"/>
              <w:right w:val="single" w:sz="4" w:space="0" w:color="auto"/>
            </w:tcBorders>
            <w:shd w:val="clear" w:color="auto" w:fill="C6EFCE"/>
            <w:noWrap/>
            <w:hideMark/>
          </w:tcPr>
          <w:p w14:paraId="645A7791"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77</w:t>
            </w:r>
          </w:p>
        </w:tc>
        <w:tc>
          <w:tcPr>
            <w:tcW w:w="851" w:type="dxa"/>
            <w:tcBorders>
              <w:top w:val="nil"/>
              <w:left w:val="nil"/>
              <w:bottom w:val="single" w:sz="4" w:space="0" w:color="auto"/>
              <w:right w:val="single" w:sz="4" w:space="0" w:color="auto"/>
            </w:tcBorders>
            <w:shd w:val="clear" w:color="auto" w:fill="C6EFCE"/>
            <w:noWrap/>
            <w:hideMark/>
          </w:tcPr>
          <w:p w14:paraId="7DA9EDDB"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Q4</w:t>
            </w:r>
          </w:p>
        </w:tc>
        <w:tc>
          <w:tcPr>
            <w:tcW w:w="850" w:type="dxa"/>
            <w:tcBorders>
              <w:top w:val="nil"/>
              <w:left w:val="nil"/>
              <w:bottom w:val="single" w:sz="4" w:space="0" w:color="auto"/>
              <w:right w:val="single" w:sz="4" w:space="0" w:color="auto"/>
            </w:tcBorders>
            <w:shd w:val="clear" w:color="auto" w:fill="C6EFCE"/>
            <w:noWrap/>
            <w:hideMark/>
          </w:tcPr>
          <w:p w14:paraId="7B16F83F"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2025</w:t>
            </w:r>
          </w:p>
        </w:tc>
        <w:tc>
          <w:tcPr>
            <w:tcW w:w="4536" w:type="dxa"/>
            <w:tcBorders>
              <w:top w:val="nil"/>
              <w:left w:val="nil"/>
              <w:bottom w:val="single" w:sz="4" w:space="0" w:color="auto"/>
              <w:right w:val="single" w:sz="4" w:space="0" w:color="auto"/>
            </w:tcBorders>
            <w:shd w:val="clear" w:color="auto" w:fill="C6EFCE"/>
            <w:noWrap/>
            <w:hideMark/>
          </w:tcPr>
          <w:p w14:paraId="3B3E754F" w14:textId="1998F0DC" w:rsidR="00935FC8" w:rsidRPr="008E1AB8" w:rsidRDefault="00935FC8" w:rsidP="00A7081A">
            <w:pPr>
              <w:spacing w:after="0" w:line="240" w:lineRule="auto"/>
              <w:rPr>
                <w:rFonts w:ascii="Times New Roman" w:hAnsi="Times New Roman"/>
                <w:noProof/>
                <w:sz w:val="20"/>
                <w:szCs w:val="20"/>
              </w:rPr>
            </w:pPr>
            <w:r w:rsidRPr="008E1AB8">
              <w:rPr>
                <w:rFonts w:ascii="Times New Roman" w:hAnsi="Times New Roman"/>
                <w:noProof/>
                <w:sz w:val="20"/>
                <w:szCs w:val="20"/>
              </w:rPr>
              <w:t>The share of non-urgent primary healthcare visits that reach the seven-day time limit for access to care shall increase to 77%.</w:t>
            </w:r>
            <w:r w:rsidR="00EE67C5">
              <w:rPr>
                <w:rFonts w:ascii="Times New Roman" w:hAnsi="Times New Roman"/>
                <w:noProof/>
                <w:sz w:val="20"/>
                <w:szCs w:val="20"/>
              </w:rPr>
              <w:t xml:space="preserve"> </w:t>
            </w:r>
          </w:p>
        </w:tc>
      </w:tr>
      <w:tr w:rsidR="00A7081A" w:rsidRPr="008E1AB8" w14:paraId="7DB4A4CE" w14:textId="77777777" w:rsidTr="00B615F0">
        <w:trPr>
          <w:trHeight w:val="1691"/>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07B2D7AC" w14:textId="77777777" w:rsidR="00935FC8" w:rsidRPr="008E1AB8" w:rsidRDefault="00935FC8">
            <w:pPr>
              <w:spacing w:after="0" w:line="240" w:lineRule="auto"/>
              <w:jc w:val="both"/>
              <w:rPr>
                <w:rFonts w:ascii="Times New Roman" w:hAnsi="Times New Roman"/>
                <w:noProof/>
                <w:sz w:val="20"/>
                <w:szCs w:val="20"/>
                <w:lang w:eastAsia="en-GB"/>
              </w:rPr>
            </w:pPr>
            <w:r w:rsidRPr="008E1AB8">
              <w:rPr>
                <w:rFonts w:ascii="Times New Roman" w:hAnsi="Times New Roman"/>
                <w:noProof/>
                <w:sz w:val="20"/>
                <w:szCs w:val="20"/>
              </w:rPr>
              <w:t>137</w:t>
            </w:r>
          </w:p>
        </w:tc>
        <w:tc>
          <w:tcPr>
            <w:tcW w:w="1528" w:type="dxa"/>
            <w:tcBorders>
              <w:top w:val="nil"/>
              <w:left w:val="nil"/>
              <w:bottom w:val="single" w:sz="4" w:space="0" w:color="auto"/>
              <w:right w:val="single" w:sz="4" w:space="0" w:color="auto"/>
            </w:tcBorders>
            <w:shd w:val="clear" w:color="auto" w:fill="C6EFCE"/>
            <w:noWrap/>
            <w:hideMark/>
          </w:tcPr>
          <w:p w14:paraId="73089568"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xml:space="preserve">P4C1I2 - Prevention and early identification of health problems </w:t>
            </w:r>
          </w:p>
        </w:tc>
        <w:tc>
          <w:tcPr>
            <w:tcW w:w="1080" w:type="dxa"/>
            <w:tcBorders>
              <w:top w:val="nil"/>
              <w:left w:val="nil"/>
              <w:bottom w:val="single" w:sz="4" w:space="0" w:color="auto"/>
              <w:right w:val="single" w:sz="4" w:space="0" w:color="auto"/>
            </w:tcBorders>
            <w:shd w:val="clear" w:color="auto" w:fill="C6EFCE"/>
            <w:noWrap/>
            <w:hideMark/>
          </w:tcPr>
          <w:p w14:paraId="2B58B244"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Milestone</w:t>
            </w:r>
          </w:p>
        </w:tc>
        <w:tc>
          <w:tcPr>
            <w:tcW w:w="1502" w:type="dxa"/>
            <w:tcBorders>
              <w:top w:val="nil"/>
              <w:left w:val="nil"/>
              <w:bottom w:val="single" w:sz="4" w:space="0" w:color="auto"/>
              <w:right w:val="single" w:sz="4" w:space="0" w:color="auto"/>
            </w:tcBorders>
            <w:shd w:val="clear" w:color="auto" w:fill="C6EFCE"/>
            <w:noWrap/>
            <w:hideMark/>
          </w:tcPr>
          <w:p w14:paraId="04BB9B5F" w14:textId="77777777" w:rsidR="00935FC8" w:rsidRPr="008E1AB8" w:rsidRDefault="00935FC8" w:rsidP="00A7081A">
            <w:pPr>
              <w:spacing w:after="0" w:line="240" w:lineRule="auto"/>
              <w:rPr>
                <w:rFonts w:ascii="Times New Roman" w:eastAsia="Times New Roman" w:hAnsi="Times New Roman"/>
                <w:noProof/>
                <w:sz w:val="20"/>
                <w:szCs w:val="20"/>
              </w:rPr>
            </w:pPr>
            <w:r w:rsidRPr="008E1AB8">
              <w:rPr>
                <w:rFonts w:ascii="Times New Roman" w:eastAsia="Times New Roman" w:hAnsi="Times New Roman"/>
                <w:noProof/>
                <w:sz w:val="20"/>
                <w:szCs w:val="20"/>
              </w:rPr>
              <w:t>Regional multi-sector service management models provided in all welfare areas</w:t>
            </w:r>
          </w:p>
        </w:tc>
        <w:tc>
          <w:tcPr>
            <w:tcW w:w="1417" w:type="dxa"/>
            <w:tcBorders>
              <w:top w:val="nil"/>
              <w:left w:val="nil"/>
              <w:bottom w:val="single" w:sz="4" w:space="0" w:color="auto"/>
              <w:right w:val="single" w:sz="4" w:space="0" w:color="auto"/>
            </w:tcBorders>
            <w:shd w:val="clear" w:color="auto" w:fill="C6EFCE"/>
            <w:noWrap/>
            <w:hideMark/>
          </w:tcPr>
          <w:p w14:paraId="2C44359F" w14:textId="77777777" w:rsidR="00935FC8" w:rsidRPr="008E1AB8" w:rsidRDefault="00935FC8" w:rsidP="00A7081A">
            <w:pPr>
              <w:spacing w:after="0" w:line="240" w:lineRule="auto"/>
              <w:rPr>
                <w:rFonts w:ascii="Times New Roman" w:eastAsia="Times New Roman" w:hAnsi="Times New Roman"/>
                <w:noProof/>
                <w:sz w:val="20"/>
                <w:szCs w:val="20"/>
              </w:rPr>
            </w:pPr>
            <w:r w:rsidRPr="008E1AB8">
              <w:rPr>
                <w:rFonts w:ascii="Times New Roman" w:eastAsia="Times New Roman" w:hAnsi="Times New Roman"/>
                <w:noProof/>
                <w:sz w:val="20"/>
                <w:szCs w:val="20"/>
              </w:rPr>
              <w:t xml:space="preserve">Regional multisector service management models provided in all welfare areas </w:t>
            </w:r>
          </w:p>
        </w:tc>
        <w:tc>
          <w:tcPr>
            <w:tcW w:w="1114" w:type="dxa"/>
            <w:tcBorders>
              <w:top w:val="nil"/>
              <w:left w:val="nil"/>
              <w:bottom w:val="single" w:sz="4" w:space="0" w:color="auto"/>
              <w:right w:val="single" w:sz="4" w:space="0" w:color="auto"/>
            </w:tcBorders>
            <w:shd w:val="clear" w:color="auto" w:fill="C6EFCE"/>
            <w:noWrap/>
            <w:hideMark/>
          </w:tcPr>
          <w:p w14:paraId="4FC9F1BF" w14:textId="77777777" w:rsidR="00935FC8" w:rsidRPr="008E1AB8" w:rsidRDefault="00935FC8" w:rsidP="00A7081A">
            <w:pPr>
              <w:spacing w:after="0" w:line="240" w:lineRule="auto"/>
              <w:rPr>
                <w:rFonts w:ascii="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hideMark/>
          </w:tcPr>
          <w:p w14:paraId="114C1630" w14:textId="77777777" w:rsidR="00935FC8" w:rsidRPr="008E1AB8" w:rsidRDefault="00935FC8" w:rsidP="00A7081A">
            <w:pPr>
              <w:spacing w:after="0" w:line="240" w:lineRule="auto"/>
              <w:rPr>
                <w:rFonts w:ascii="Times New Roman" w:hAnsi="Times New Roman"/>
                <w:noProof/>
                <w:sz w:val="20"/>
                <w:szCs w:val="20"/>
                <w:lang w:eastAsia="en-GB"/>
              </w:rPr>
            </w:pPr>
          </w:p>
        </w:tc>
        <w:tc>
          <w:tcPr>
            <w:tcW w:w="708" w:type="dxa"/>
            <w:tcBorders>
              <w:top w:val="nil"/>
              <w:left w:val="nil"/>
              <w:bottom w:val="single" w:sz="4" w:space="0" w:color="auto"/>
              <w:right w:val="single" w:sz="4" w:space="0" w:color="auto"/>
            </w:tcBorders>
            <w:shd w:val="clear" w:color="auto" w:fill="C6EFCE"/>
            <w:noWrap/>
            <w:hideMark/>
          </w:tcPr>
          <w:p w14:paraId="2EFBF532" w14:textId="77777777" w:rsidR="00935FC8" w:rsidRPr="008E1AB8" w:rsidRDefault="00935FC8" w:rsidP="00A7081A">
            <w:pPr>
              <w:spacing w:after="0" w:line="240" w:lineRule="auto"/>
              <w:rPr>
                <w:rFonts w:ascii="Times New Roman" w:eastAsia="Times New Roman" w:hAnsi="Times New Roman"/>
                <w:noProof/>
                <w:sz w:val="20"/>
                <w:szCs w:val="20"/>
              </w:rPr>
            </w:pPr>
          </w:p>
        </w:tc>
        <w:tc>
          <w:tcPr>
            <w:tcW w:w="851" w:type="dxa"/>
            <w:tcBorders>
              <w:top w:val="nil"/>
              <w:left w:val="nil"/>
              <w:bottom w:val="single" w:sz="4" w:space="0" w:color="auto"/>
              <w:right w:val="single" w:sz="4" w:space="0" w:color="auto"/>
            </w:tcBorders>
            <w:shd w:val="clear" w:color="auto" w:fill="C6EFCE"/>
            <w:noWrap/>
            <w:hideMark/>
          </w:tcPr>
          <w:p w14:paraId="12FA5D21"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Q4</w:t>
            </w:r>
          </w:p>
        </w:tc>
        <w:tc>
          <w:tcPr>
            <w:tcW w:w="850" w:type="dxa"/>
            <w:tcBorders>
              <w:top w:val="nil"/>
              <w:left w:val="nil"/>
              <w:bottom w:val="single" w:sz="4" w:space="0" w:color="auto"/>
              <w:right w:val="single" w:sz="4" w:space="0" w:color="auto"/>
            </w:tcBorders>
            <w:shd w:val="clear" w:color="auto" w:fill="C6EFCE"/>
            <w:noWrap/>
            <w:hideMark/>
          </w:tcPr>
          <w:p w14:paraId="29D365ED"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2024</w:t>
            </w:r>
          </w:p>
        </w:tc>
        <w:tc>
          <w:tcPr>
            <w:tcW w:w="4536" w:type="dxa"/>
            <w:tcBorders>
              <w:top w:val="nil"/>
              <w:left w:val="nil"/>
              <w:bottom w:val="single" w:sz="4" w:space="0" w:color="auto"/>
              <w:right w:val="single" w:sz="4" w:space="0" w:color="auto"/>
            </w:tcBorders>
            <w:shd w:val="clear" w:color="auto" w:fill="C6EFCE"/>
            <w:noWrap/>
            <w:hideMark/>
          </w:tcPr>
          <w:p w14:paraId="2DF9EBA6" w14:textId="77777777" w:rsidR="00935FC8" w:rsidRPr="008E1AB8" w:rsidRDefault="00935FC8" w:rsidP="00A7081A">
            <w:pPr>
              <w:spacing w:after="0" w:line="240" w:lineRule="auto"/>
              <w:rPr>
                <w:rFonts w:ascii="Times New Roman" w:hAnsi="Times New Roman"/>
                <w:noProof/>
                <w:sz w:val="20"/>
                <w:szCs w:val="20"/>
              </w:rPr>
            </w:pPr>
            <w:r w:rsidRPr="008E1AB8">
              <w:rPr>
                <w:rFonts w:ascii="Times New Roman" w:hAnsi="Times New Roman"/>
                <w:noProof/>
                <w:sz w:val="20"/>
                <w:szCs w:val="20"/>
              </w:rPr>
              <w:t>Regional multi-sector service management models (including social welfare and healthcare services and cultural, sport and nature-related services) shall be provided in all welfare areas.</w:t>
            </w:r>
          </w:p>
          <w:p w14:paraId="67D1FBC5" w14:textId="77777777" w:rsidR="00935FC8" w:rsidRPr="008E1AB8" w:rsidRDefault="00935FC8" w:rsidP="00A7081A">
            <w:pPr>
              <w:spacing w:after="0" w:line="240" w:lineRule="auto"/>
              <w:rPr>
                <w:rFonts w:ascii="Times New Roman" w:hAnsi="Times New Roman"/>
                <w:noProof/>
                <w:sz w:val="20"/>
                <w:szCs w:val="20"/>
              </w:rPr>
            </w:pPr>
          </w:p>
        </w:tc>
      </w:tr>
      <w:tr w:rsidR="00A7081A" w:rsidRPr="008E1AB8" w14:paraId="2823E402" w14:textId="77777777" w:rsidTr="00B615F0">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hideMark/>
          </w:tcPr>
          <w:p w14:paraId="162376CA" w14:textId="77777777" w:rsidR="00935FC8" w:rsidRPr="008E1AB8" w:rsidRDefault="00935FC8">
            <w:pPr>
              <w:spacing w:after="0" w:line="240" w:lineRule="auto"/>
              <w:jc w:val="both"/>
              <w:rPr>
                <w:rFonts w:ascii="Times New Roman" w:hAnsi="Times New Roman"/>
                <w:noProof/>
                <w:sz w:val="20"/>
                <w:szCs w:val="20"/>
                <w:lang w:eastAsia="en-GB"/>
              </w:rPr>
            </w:pPr>
            <w:r w:rsidRPr="008E1AB8">
              <w:rPr>
                <w:rFonts w:ascii="Times New Roman" w:hAnsi="Times New Roman"/>
                <w:noProof/>
                <w:sz w:val="20"/>
                <w:szCs w:val="20"/>
              </w:rPr>
              <w:t>138</w:t>
            </w:r>
          </w:p>
        </w:tc>
        <w:tc>
          <w:tcPr>
            <w:tcW w:w="1528" w:type="dxa"/>
            <w:tcBorders>
              <w:top w:val="single" w:sz="4" w:space="0" w:color="auto"/>
              <w:left w:val="nil"/>
              <w:bottom w:val="single" w:sz="4" w:space="0" w:color="auto"/>
              <w:right w:val="single" w:sz="4" w:space="0" w:color="auto"/>
            </w:tcBorders>
            <w:shd w:val="clear" w:color="auto" w:fill="C6EFCE"/>
            <w:noWrap/>
            <w:hideMark/>
          </w:tcPr>
          <w:p w14:paraId="6990D1E9"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P4C1I3 - Knowledge base to increase cost-effectiveness of social welfare and health care services</w:t>
            </w:r>
          </w:p>
        </w:tc>
        <w:tc>
          <w:tcPr>
            <w:tcW w:w="1080" w:type="dxa"/>
            <w:tcBorders>
              <w:top w:val="nil"/>
              <w:left w:val="nil"/>
              <w:bottom w:val="single" w:sz="4" w:space="0" w:color="auto"/>
              <w:right w:val="single" w:sz="4" w:space="0" w:color="auto"/>
            </w:tcBorders>
            <w:shd w:val="clear" w:color="auto" w:fill="C6EFCE"/>
            <w:noWrap/>
            <w:hideMark/>
          </w:tcPr>
          <w:p w14:paraId="73D1D020" w14:textId="6B1E1CD2"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Milestone</w:t>
            </w:r>
          </w:p>
        </w:tc>
        <w:tc>
          <w:tcPr>
            <w:tcW w:w="1502" w:type="dxa"/>
            <w:tcBorders>
              <w:top w:val="single" w:sz="4" w:space="0" w:color="auto"/>
              <w:left w:val="nil"/>
              <w:bottom w:val="single" w:sz="4" w:space="0" w:color="auto"/>
              <w:right w:val="single" w:sz="4" w:space="0" w:color="auto"/>
            </w:tcBorders>
            <w:shd w:val="clear" w:color="auto" w:fill="C6EFCE"/>
            <w:noWrap/>
            <w:hideMark/>
          </w:tcPr>
          <w:p w14:paraId="532A5ED3" w14:textId="1652AA51"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xml:space="preserve">National </w:t>
            </w:r>
            <w:r w:rsidR="00602CA3" w:rsidRPr="008E1AB8">
              <w:rPr>
                <w:rFonts w:ascii="Times New Roman" w:hAnsi="Times New Roman"/>
                <w:noProof/>
                <w:sz w:val="20"/>
                <w:szCs w:val="20"/>
              </w:rPr>
              <w:t xml:space="preserve">daily updated </w:t>
            </w:r>
            <w:r w:rsidRPr="008E1AB8">
              <w:rPr>
                <w:rFonts w:ascii="Times New Roman" w:hAnsi="Times New Roman"/>
                <w:noProof/>
                <w:sz w:val="20"/>
                <w:szCs w:val="20"/>
              </w:rPr>
              <w:t>monitoring system of the care guarantee used in all welfare areas</w:t>
            </w:r>
          </w:p>
        </w:tc>
        <w:tc>
          <w:tcPr>
            <w:tcW w:w="1417" w:type="dxa"/>
            <w:tcBorders>
              <w:top w:val="nil"/>
              <w:left w:val="nil"/>
              <w:bottom w:val="single" w:sz="4" w:space="0" w:color="auto"/>
              <w:right w:val="single" w:sz="4" w:space="0" w:color="auto"/>
            </w:tcBorders>
            <w:shd w:val="clear" w:color="auto" w:fill="C6EFCE"/>
            <w:noWrap/>
            <w:hideMark/>
          </w:tcPr>
          <w:p w14:paraId="1B84A098" w14:textId="090C47C6"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National</w:t>
            </w:r>
            <w:r w:rsidR="00EE67C5">
              <w:rPr>
                <w:rFonts w:ascii="Times New Roman" w:hAnsi="Times New Roman"/>
                <w:noProof/>
                <w:sz w:val="20"/>
                <w:szCs w:val="20"/>
              </w:rPr>
              <w:t xml:space="preserve"> </w:t>
            </w:r>
            <w:r w:rsidR="00602CA3" w:rsidRPr="008E1AB8">
              <w:rPr>
                <w:rFonts w:ascii="Times New Roman" w:hAnsi="Times New Roman"/>
                <w:noProof/>
                <w:sz w:val="20"/>
                <w:szCs w:val="20"/>
              </w:rPr>
              <w:t>daily updated</w:t>
            </w:r>
            <w:r w:rsidR="00C1743C">
              <w:rPr>
                <w:rFonts w:ascii="Times New Roman" w:hAnsi="Times New Roman"/>
                <w:noProof/>
                <w:sz w:val="20"/>
                <w:szCs w:val="20"/>
              </w:rPr>
              <w:t xml:space="preserve"> </w:t>
            </w:r>
            <w:r w:rsidRPr="008E1AB8">
              <w:rPr>
                <w:rFonts w:ascii="Times New Roman" w:hAnsi="Times New Roman"/>
                <w:noProof/>
                <w:sz w:val="20"/>
                <w:szCs w:val="20"/>
              </w:rPr>
              <w:t>monitoring system of the care guarantee used in all welfare areas.</w:t>
            </w:r>
          </w:p>
        </w:tc>
        <w:tc>
          <w:tcPr>
            <w:tcW w:w="1114" w:type="dxa"/>
            <w:tcBorders>
              <w:top w:val="nil"/>
              <w:left w:val="nil"/>
              <w:bottom w:val="single" w:sz="4" w:space="0" w:color="auto"/>
              <w:right w:val="single" w:sz="4" w:space="0" w:color="auto"/>
            </w:tcBorders>
            <w:shd w:val="clear" w:color="auto" w:fill="C6EFCE"/>
            <w:noWrap/>
          </w:tcPr>
          <w:p w14:paraId="4A1195D3" w14:textId="2C99B5C1" w:rsidR="00935FC8" w:rsidRPr="008E1AB8" w:rsidRDefault="00935FC8" w:rsidP="00A7081A">
            <w:pPr>
              <w:spacing w:after="0" w:line="240" w:lineRule="auto"/>
              <w:rPr>
                <w:rFonts w:ascii="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1FAD98BF" w14:textId="13749209" w:rsidR="00935FC8" w:rsidRPr="008E1AB8" w:rsidRDefault="00935FC8" w:rsidP="00A7081A">
            <w:pPr>
              <w:spacing w:after="0" w:line="240" w:lineRule="auto"/>
              <w:rPr>
                <w:rFonts w:ascii="Times New Roman" w:hAnsi="Times New Roman"/>
                <w:noProof/>
                <w:sz w:val="20"/>
                <w:szCs w:val="20"/>
                <w:lang w:eastAsia="en-GB"/>
              </w:rPr>
            </w:pPr>
          </w:p>
        </w:tc>
        <w:tc>
          <w:tcPr>
            <w:tcW w:w="708" w:type="dxa"/>
            <w:tcBorders>
              <w:top w:val="nil"/>
              <w:left w:val="nil"/>
              <w:bottom w:val="single" w:sz="4" w:space="0" w:color="auto"/>
              <w:right w:val="single" w:sz="4" w:space="0" w:color="auto"/>
            </w:tcBorders>
            <w:shd w:val="clear" w:color="auto" w:fill="C6EFCE"/>
            <w:noWrap/>
          </w:tcPr>
          <w:p w14:paraId="61C989BD" w14:textId="00665201" w:rsidR="00935FC8" w:rsidRPr="008E1AB8" w:rsidRDefault="00935FC8" w:rsidP="00A7081A">
            <w:pPr>
              <w:spacing w:after="0" w:line="240" w:lineRule="auto"/>
              <w:rPr>
                <w:rFonts w:ascii="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hideMark/>
          </w:tcPr>
          <w:p w14:paraId="0BB5F3E7"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Q4</w:t>
            </w:r>
          </w:p>
        </w:tc>
        <w:tc>
          <w:tcPr>
            <w:tcW w:w="850" w:type="dxa"/>
            <w:tcBorders>
              <w:top w:val="nil"/>
              <w:left w:val="nil"/>
              <w:bottom w:val="single" w:sz="4" w:space="0" w:color="auto"/>
              <w:right w:val="single" w:sz="4" w:space="0" w:color="auto"/>
            </w:tcBorders>
            <w:shd w:val="clear" w:color="auto" w:fill="C6EFCE"/>
            <w:noWrap/>
            <w:hideMark/>
          </w:tcPr>
          <w:p w14:paraId="5E5A8908"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2025</w:t>
            </w:r>
          </w:p>
        </w:tc>
        <w:tc>
          <w:tcPr>
            <w:tcW w:w="4536" w:type="dxa"/>
            <w:tcBorders>
              <w:top w:val="nil"/>
              <w:left w:val="nil"/>
              <w:bottom w:val="single" w:sz="4" w:space="0" w:color="auto"/>
              <w:right w:val="single" w:sz="4" w:space="0" w:color="auto"/>
            </w:tcBorders>
            <w:shd w:val="clear" w:color="auto" w:fill="C6EFCE"/>
            <w:noWrap/>
            <w:hideMark/>
          </w:tcPr>
          <w:p w14:paraId="5247E6E0" w14:textId="10BBED4C" w:rsidR="00935FC8" w:rsidRPr="008E1AB8" w:rsidRDefault="72C3DC77" w:rsidP="00A7081A">
            <w:pPr>
              <w:spacing w:after="0" w:line="240" w:lineRule="auto"/>
              <w:rPr>
                <w:rFonts w:ascii="Times New Roman" w:hAnsi="Times New Roman"/>
                <w:noProof/>
                <w:sz w:val="20"/>
                <w:szCs w:val="20"/>
              </w:rPr>
            </w:pPr>
            <w:bookmarkStart w:id="12" w:name="_Hlk231569483"/>
            <w:r w:rsidRPr="008E1AB8">
              <w:rPr>
                <w:rFonts w:ascii="Times New Roman" w:hAnsi="Times New Roman"/>
                <w:noProof/>
                <w:sz w:val="20"/>
                <w:szCs w:val="20"/>
              </w:rPr>
              <w:t xml:space="preserve">A </w:t>
            </w:r>
            <w:r w:rsidR="7A4725DE" w:rsidRPr="008E1AB8">
              <w:rPr>
                <w:rFonts w:ascii="Times New Roman" w:hAnsi="Times New Roman"/>
                <w:noProof/>
                <w:sz w:val="20"/>
                <w:szCs w:val="20"/>
              </w:rPr>
              <w:t>daily updated</w:t>
            </w:r>
            <w:r w:rsidRPr="008E1AB8">
              <w:rPr>
                <w:rFonts w:ascii="Times New Roman" w:hAnsi="Times New Roman"/>
                <w:noProof/>
                <w:sz w:val="20"/>
                <w:szCs w:val="20"/>
              </w:rPr>
              <w:t xml:space="preserve"> national system for monitoring the care guarantee through the Primary care registry shall be used in all welfare areas.</w:t>
            </w:r>
            <w:r w:rsidR="00EE67C5">
              <w:rPr>
                <w:rFonts w:ascii="Times New Roman" w:hAnsi="Times New Roman"/>
                <w:noProof/>
                <w:sz w:val="20"/>
                <w:szCs w:val="20"/>
              </w:rPr>
              <w:t xml:space="preserve"> </w:t>
            </w:r>
          </w:p>
          <w:p w14:paraId="2B70F997" w14:textId="6528F7F4" w:rsidR="00935FC8" w:rsidRPr="008E1AB8" w:rsidRDefault="00935FC8" w:rsidP="00A7081A">
            <w:pPr>
              <w:rPr>
                <w:rFonts w:ascii="Times New Roman" w:hAnsi="Times New Roman"/>
                <w:noProof/>
                <w:sz w:val="20"/>
                <w:szCs w:val="20"/>
              </w:rPr>
            </w:pPr>
            <w:r w:rsidRPr="008E1AB8">
              <w:rPr>
                <w:rFonts w:ascii="Times New Roman" w:hAnsi="Times New Roman"/>
                <w:noProof/>
                <w:sz w:val="20"/>
                <w:szCs w:val="20"/>
              </w:rPr>
              <w:t>In addition, actions under this measure may include</w:t>
            </w:r>
            <w:r w:rsidR="00EE67C5">
              <w:rPr>
                <w:rFonts w:ascii="Times New Roman" w:hAnsi="Times New Roman"/>
                <w:noProof/>
                <w:sz w:val="20"/>
                <w:szCs w:val="20"/>
              </w:rPr>
              <w:t xml:space="preserve"> </w:t>
            </w:r>
            <w:r w:rsidR="00253AFB" w:rsidRPr="008E1AB8">
              <w:rPr>
                <w:rFonts w:ascii="Times New Roman" w:hAnsi="Times New Roman"/>
                <w:noProof/>
                <w:sz w:val="20"/>
                <w:szCs w:val="20"/>
              </w:rPr>
              <w:t>the production of</w:t>
            </w:r>
            <w:r w:rsidR="00C915B2" w:rsidRPr="008E1AB8">
              <w:rPr>
                <w:rFonts w:ascii="Times New Roman" w:hAnsi="Times New Roman"/>
                <w:noProof/>
                <w:sz w:val="20"/>
                <w:szCs w:val="20"/>
              </w:rPr>
              <w:t xml:space="preserve"> </w:t>
            </w:r>
            <w:r w:rsidRPr="008E1AB8">
              <w:rPr>
                <w:rFonts w:ascii="Times New Roman" w:hAnsi="Times New Roman"/>
                <w:noProof/>
                <w:sz w:val="20"/>
                <w:szCs w:val="20"/>
              </w:rPr>
              <w:t xml:space="preserve">studies, methods and indicators on </w:t>
            </w:r>
            <w:r w:rsidR="00AA5087" w:rsidRPr="008E1AB8">
              <w:rPr>
                <w:rFonts w:ascii="Times New Roman" w:hAnsi="Times New Roman"/>
                <w:noProof/>
                <w:sz w:val="20"/>
                <w:szCs w:val="20"/>
              </w:rPr>
              <w:t>one or more of the following:</w:t>
            </w:r>
            <w:r w:rsidR="00A013E0" w:rsidRPr="008E1AB8">
              <w:rPr>
                <w:rFonts w:ascii="Times New Roman" w:hAnsi="Times New Roman"/>
                <w:noProof/>
                <w:sz w:val="20"/>
                <w:szCs w:val="20"/>
              </w:rPr>
              <w:t xml:space="preserve"> </w:t>
            </w:r>
            <w:r w:rsidRPr="008E1AB8">
              <w:rPr>
                <w:rFonts w:ascii="Times New Roman" w:hAnsi="Times New Roman"/>
                <w:noProof/>
                <w:sz w:val="20"/>
                <w:szCs w:val="20"/>
              </w:rPr>
              <w:t xml:space="preserve">costs, effectiveness </w:t>
            </w:r>
            <w:r w:rsidR="00A013E0" w:rsidRPr="008E1AB8">
              <w:rPr>
                <w:rFonts w:ascii="Times New Roman" w:hAnsi="Times New Roman"/>
                <w:noProof/>
                <w:sz w:val="20"/>
                <w:szCs w:val="20"/>
              </w:rPr>
              <w:t xml:space="preserve">or </w:t>
            </w:r>
            <w:r w:rsidRPr="008E1AB8">
              <w:rPr>
                <w:rFonts w:ascii="Times New Roman" w:hAnsi="Times New Roman"/>
                <w:noProof/>
                <w:sz w:val="20"/>
                <w:szCs w:val="20"/>
              </w:rPr>
              <w:t xml:space="preserve">cost effectiveness in the social </w:t>
            </w:r>
            <w:r w:rsidR="00A013E0" w:rsidRPr="008E1AB8">
              <w:rPr>
                <w:rFonts w:ascii="Times New Roman" w:hAnsi="Times New Roman"/>
                <w:noProof/>
                <w:sz w:val="20"/>
                <w:szCs w:val="20"/>
              </w:rPr>
              <w:t xml:space="preserve">or </w:t>
            </w:r>
            <w:r w:rsidRPr="008E1AB8">
              <w:rPr>
                <w:rFonts w:ascii="Times New Roman" w:hAnsi="Times New Roman"/>
                <w:noProof/>
                <w:sz w:val="20"/>
                <w:szCs w:val="20"/>
              </w:rPr>
              <w:t xml:space="preserve">healthcare sector. </w:t>
            </w:r>
            <w:bookmarkEnd w:id="12"/>
          </w:p>
        </w:tc>
      </w:tr>
      <w:tr w:rsidR="00A7081A" w:rsidRPr="008E1AB8" w14:paraId="6D951B06" w14:textId="77777777" w:rsidTr="00B615F0">
        <w:trPr>
          <w:trHeight w:val="1290"/>
          <w:jc w:val="center"/>
        </w:trPr>
        <w:tc>
          <w:tcPr>
            <w:tcW w:w="867" w:type="dxa"/>
            <w:tcBorders>
              <w:top w:val="nil"/>
              <w:left w:val="single" w:sz="4" w:space="0" w:color="auto"/>
              <w:bottom w:val="single" w:sz="4" w:space="0" w:color="auto"/>
              <w:right w:val="single" w:sz="4" w:space="0" w:color="auto"/>
            </w:tcBorders>
            <w:shd w:val="clear" w:color="auto" w:fill="C6EFCE"/>
            <w:noWrap/>
          </w:tcPr>
          <w:p w14:paraId="03EEE584" w14:textId="77777777" w:rsidR="00935FC8" w:rsidRPr="008E1AB8" w:rsidRDefault="00935FC8">
            <w:pPr>
              <w:spacing w:after="0" w:line="240" w:lineRule="auto"/>
              <w:jc w:val="both"/>
              <w:rPr>
                <w:rFonts w:ascii="Times New Roman" w:hAnsi="Times New Roman"/>
                <w:noProof/>
                <w:sz w:val="20"/>
                <w:szCs w:val="20"/>
                <w:lang w:eastAsia="en-GB"/>
              </w:rPr>
            </w:pPr>
            <w:r w:rsidRPr="008E1AB8">
              <w:rPr>
                <w:rFonts w:ascii="Times New Roman" w:hAnsi="Times New Roman"/>
                <w:noProof/>
                <w:sz w:val="20"/>
                <w:szCs w:val="20"/>
              </w:rPr>
              <w:t>139</w:t>
            </w:r>
          </w:p>
        </w:tc>
        <w:tc>
          <w:tcPr>
            <w:tcW w:w="1528" w:type="dxa"/>
            <w:tcBorders>
              <w:top w:val="single" w:sz="4" w:space="0" w:color="auto"/>
              <w:left w:val="nil"/>
              <w:bottom w:val="single" w:sz="4" w:space="0" w:color="auto"/>
              <w:right w:val="single" w:sz="4" w:space="0" w:color="auto"/>
            </w:tcBorders>
            <w:shd w:val="clear" w:color="auto" w:fill="C6EFCE"/>
            <w:noWrap/>
          </w:tcPr>
          <w:p w14:paraId="7EE7A2AF"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P4C1I4 - Introducing digital innovations for social welfare and health care services</w:t>
            </w:r>
          </w:p>
        </w:tc>
        <w:tc>
          <w:tcPr>
            <w:tcW w:w="1080" w:type="dxa"/>
            <w:tcBorders>
              <w:top w:val="nil"/>
              <w:left w:val="nil"/>
              <w:bottom w:val="single" w:sz="4" w:space="0" w:color="auto"/>
              <w:right w:val="single" w:sz="4" w:space="0" w:color="auto"/>
            </w:tcBorders>
            <w:shd w:val="clear" w:color="auto" w:fill="C6EFCE"/>
            <w:noWrap/>
          </w:tcPr>
          <w:p w14:paraId="17591A73"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Target</w:t>
            </w:r>
          </w:p>
        </w:tc>
        <w:tc>
          <w:tcPr>
            <w:tcW w:w="1502" w:type="dxa"/>
            <w:tcBorders>
              <w:top w:val="single" w:sz="4" w:space="0" w:color="auto"/>
              <w:left w:val="nil"/>
              <w:bottom w:val="single" w:sz="4" w:space="0" w:color="auto"/>
              <w:right w:val="single" w:sz="4" w:space="0" w:color="auto"/>
            </w:tcBorders>
            <w:shd w:val="clear" w:color="auto" w:fill="C6EFCE"/>
            <w:noWrap/>
          </w:tcPr>
          <w:p w14:paraId="50585F74" w14:textId="3B0E558B"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Increase of the share of population using social welfare and health care e-services</w:t>
            </w:r>
            <w:r w:rsidR="00EE67C5">
              <w:rPr>
                <w:rFonts w:ascii="Times New Roman" w:hAnsi="Times New Roman"/>
                <w:noProof/>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6952CF63" w14:textId="77777777" w:rsidR="00935FC8" w:rsidRPr="008E1AB8" w:rsidRDefault="00935FC8" w:rsidP="00A7081A">
            <w:pPr>
              <w:spacing w:after="0" w:line="240" w:lineRule="auto"/>
              <w:rPr>
                <w:rFonts w:ascii="Times New Roman" w:hAnsi="Times New Roman"/>
                <w:noProof/>
                <w:sz w:val="20"/>
                <w:szCs w:val="20"/>
                <w:lang w:eastAsia="en-GB"/>
              </w:rPr>
            </w:pPr>
          </w:p>
        </w:tc>
        <w:tc>
          <w:tcPr>
            <w:tcW w:w="1114" w:type="dxa"/>
            <w:tcBorders>
              <w:top w:val="nil"/>
              <w:left w:val="single" w:sz="4" w:space="0" w:color="auto"/>
              <w:bottom w:val="single" w:sz="4" w:space="0" w:color="auto"/>
              <w:right w:val="single" w:sz="4" w:space="0" w:color="auto"/>
            </w:tcBorders>
            <w:shd w:val="clear" w:color="auto" w:fill="C6EFCE"/>
            <w:noWrap/>
          </w:tcPr>
          <w:p w14:paraId="28EAF889"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(Percentage)</w:t>
            </w:r>
          </w:p>
        </w:tc>
        <w:tc>
          <w:tcPr>
            <w:tcW w:w="851" w:type="dxa"/>
            <w:tcBorders>
              <w:top w:val="nil"/>
              <w:left w:val="nil"/>
              <w:bottom w:val="single" w:sz="4" w:space="0" w:color="auto"/>
              <w:right w:val="single" w:sz="4" w:space="0" w:color="auto"/>
            </w:tcBorders>
            <w:shd w:val="clear" w:color="auto" w:fill="C6EFCE"/>
            <w:noWrap/>
          </w:tcPr>
          <w:p w14:paraId="594D6501" w14:textId="77777777" w:rsidR="00935FC8" w:rsidRPr="008E1AB8" w:rsidRDefault="00935FC8" w:rsidP="00A7081A">
            <w:pPr>
              <w:spacing w:after="0" w:line="240" w:lineRule="auto"/>
              <w:rPr>
                <w:rFonts w:ascii="Times New Roman" w:eastAsia="Times New Roman" w:hAnsi="Times New Roman"/>
                <w:noProof/>
                <w:sz w:val="20"/>
                <w:szCs w:val="20"/>
              </w:rPr>
            </w:pPr>
            <w:r w:rsidRPr="008E1AB8">
              <w:rPr>
                <w:rFonts w:ascii="Times New Roman" w:hAnsi="Times New Roman"/>
                <w:noProof/>
                <w:sz w:val="20"/>
                <w:szCs w:val="20"/>
              </w:rPr>
              <w:t>26</w:t>
            </w:r>
          </w:p>
        </w:tc>
        <w:tc>
          <w:tcPr>
            <w:tcW w:w="708" w:type="dxa"/>
            <w:tcBorders>
              <w:top w:val="nil"/>
              <w:left w:val="nil"/>
              <w:bottom w:val="single" w:sz="4" w:space="0" w:color="auto"/>
              <w:right w:val="single" w:sz="4" w:space="0" w:color="auto"/>
            </w:tcBorders>
            <w:shd w:val="clear" w:color="auto" w:fill="C6EFCE"/>
            <w:noWrap/>
          </w:tcPr>
          <w:p w14:paraId="0928AAE9"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35</w:t>
            </w:r>
          </w:p>
        </w:tc>
        <w:tc>
          <w:tcPr>
            <w:tcW w:w="851" w:type="dxa"/>
            <w:tcBorders>
              <w:top w:val="nil"/>
              <w:left w:val="nil"/>
              <w:bottom w:val="single" w:sz="4" w:space="0" w:color="auto"/>
              <w:right w:val="single" w:sz="4" w:space="0" w:color="auto"/>
            </w:tcBorders>
            <w:shd w:val="clear" w:color="auto" w:fill="C6EFCE"/>
            <w:noWrap/>
          </w:tcPr>
          <w:p w14:paraId="7831746C"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Q4</w:t>
            </w:r>
          </w:p>
        </w:tc>
        <w:tc>
          <w:tcPr>
            <w:tcW w:w="850" w:type="dxa"/>
            <w:tcBorders>
              <w:top w:val="nil"/>
              <w:left w:val="nil"/>
              <w:bottom w:val="single" w:sz="4" w:space="0" w:color="auto"/>
              <w:right w:val="single" w:sz="4" w:space="0" w:color="auto"/>
            </w:tcBorders>
            <w:shd w:val="clear" w:color="auto" w:fill="C6EFCE"/>
            <w:noWrap/>
          </w:tcPr>
          <w:p w14:paraId="1C4C53E4"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2025</w:t>
            </w:r>
          </w:p>
        </w:tc>
        <w:tc>
          <w:tcPr>
            <w:tcW w:w="4536" w:type="dxa"/>
            <w:tcBorders>
              <w:top w:val="nil"/>
              <w:left w:val="nil"/>
              <w:bottom w:val="single" w:sz="4" w:space="0" w:color="auto"/>
              <w:right w:val="single" w:sz="4" w:space="0" w:color="auto"/>
            </w:tcBorders>
            <w:shd w:val="clear" w:color="auto" w:fill="C6EFCE"/>
            <w:noWrap/>
          </w:tcPr>
          <w:p w14:paraId="373B00A9" w14:textId="51B3445D" w:rsidR="00935FC8" w:rsidRPr="008E1AB8" w:rsidRDefault="00935FC8" w:rsidP="00A7081A">
            <w:pPr>
              <w:spacing w:after="0" w:line="240" w:lineRule="auto"/>
              <w:rPr>
                <w:rFonts w:ascii="Times New Roman" w:eastAsia="Times New Roman" w:hAnsi="Times New Roman"/>
                <w:noProof/>
                <w:sz w:val="20"/>
                <w:szCs w:val="20"/>
              </w:rPr>
            </w:pPr>
            <w:r w:rsidRPr="008E1AB8">
              <w:rPr>
                <w:rFonts w:ascii="Times New Roman" w:eastAsia="Times New Roman" w:hAnsi="Times New Roman"/>
                <w:noProof/>
                <w:sz w:val="20"/>
                <w:szCs w:val="20"/>
              </w:rPr>
              <w:t>The share of the population (aged 20 years and above) using healthcare and social welfare e-services shall increase to 35 %. In addition,</w:t>
            </w:r>
            <w:r w:rsidR="00EE67C5">
              <w:rPr>
                <w:rFonts w:ascii="Times New Roman" w:eastAsia="Times New Roman" w:hAnsi="Times New Roman"/>
                <w:noProof/>
                <w:sz w:val="20"/>
                <w:szCs w:val="20"/>
              </w:rPr>
              <w:t xml:space="preserve"> </w:t>
            </w:r>
            <w:r w:rsidRPr="008E1AB8">
              <w:rPr>
                <w:rFonts w:ascii="Times New Roman" w:eastAsia="Times New Roman" w:hAnsi="Times New Roman"/>
                <w:noProof/>
                <w:sz w:val="20"/>
                <w:szCs w:val="20"/>
              </w:rPr>
              <w:t xml:space="preserve"> </w:t>
            </w:r>
            <w:r w:rsidR="007A355B" w:rsidRPr="008E1AB8">
              <w:rPr>
                <w:rFonts w:ascii="Times New Roman" w:eastAsia="Times New Roman" w:hAnsi="Times New Roman"/>
                <w:noProof/>
                <w:sz w:val="20"/>
                <w:szCs w:val="20"/>
              </w:rPr>
              <w:t>final reports from beneficiaries shall be provided</w:t>
            </w:r>
            <w:r w:rsidRPr="008E1AB8">
              <w:rPr>
                <w:rFonts w:ascii="Times New Roman" w:eastAsia="Times New Roman" w:hAnsi="Times New Roman"/>
                <w:noProof/>
                <w:sz w:val="20"/>
                <w:szCs w:val="20"/>
              </w:rPr>
              <w:t xml:space="preserve"> for new digital professional and management solutions in the social and health care sector.</w:t>
            </w:r>
            <w:r w:rsidRPr="008E1AB8" w:rsidDel="00693ADD">
              <w:rPr>
                <w:rFonts w:ascii="Times New Roman" w:eastAsia="Times New Roman" w:hAnsi="Times New Roman"/>
                <w:noProof/>
                <w:sz w:val="20"/>
                <w:szCs w:val="20"/>
              </w:rPr>
              <w:t xml:space="preserve"> </w:t>
            </w:r>
          </w:p>
        </w:tc>
      </w:tr>
      <w:tr w:rsidR="00A7081A" w:rsidRPr="008E1AB8" w14:paraId="5815F5B2" w14:textId="77777777" w:rsidTr="00B615F0">
        <w:trPr>
          <w:trHeight w:val="309"/>
          <w:jc w:val="center"/>
        </w:trPr>
        <w:tc>
          <w:tcPr>
            <w:tcW w:w="867" w:type="dxa"/>
            <w:tcBorders>
              <w:top w:val="nil"/>
              <w:left w:val="single" w:sz="4" w:space="0" w:color="auto"/>
              <w:bottom w:val="single" w:sz="4" w:space="0" w:color="auto"/>
              <w:right w:val="single" w:sz="4" w:space="0" w:color="auto"/>
            </w:tcBorders>
            <w:shd w:val="clear" w:color="auto" w:fill="C6EFCE"/>
            <w:noWrap/>
          </w:tcPr>
          <w:p w14:paraId="0C3AA7E6" w14:textId="77777777" w:rsidR="00935FC8" w:rsidRPr="008E1AB8" w:rsidRDefault="00935FC8">
            <w:pPr>
              <w:spacing w:after="0" w:line="240" w:lineRule="auto"/>
              <w:jc w:val="both"/>
              <w:rPr>
                <w:rFonts w:ascii="Times New Roman" w:hAnsi="Times New Roman"/>
                <w:noProof/>
                <w:sz w:val="20"/>
                <w:szCs w:val="20"/>
                <w:lang w:eastAsia="en-GB"/>
              </w:rPr>
            </w:pPr>
            <w:r w:rsidRPr="008E1AB8">
              <w:rPr>
                <w:rFonts w:ascii="Times New Roman" w:hAnsi="Times New Roman"/>
                <w:noProof/>
                <w:sz w:val="20"/>
                <w:szCs w:val="20"/>
              </w:rPr>
              <w:t>140</w:t>
            </w:r>
          </w:p>
        </w:tc>
        <w:tc>
          <w:tcPr>
            <w:tcW w:w="1528" w:type="dxa"/>
            <w:tcBorders>
              <w:top w:val="nil"/>
              <w:left w:val="nil"/>
              <w:bottom w:val="single" w:sz="4" w:space="0" w:color="auto"/>
              <w:right w:val="single" w:sz="4" w:space="0" w:color="auto"/>
            </w:tcBorders>
            <w:shd w:val="clear" w:color="auto" w:fill="C6EFCE"/>
            <w:noWrap/>
          </w:tcPr>
          <w:p w14:paraId="4147D9A1"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xml:space="preserve">P4C1I5 - Introducing new digital healthcare information system in Åland </w:t>
            </w:r>
          </w:p>
        </w:tc>
        <w:tc>
          <w:tcPr>
            <w:tcW w:w="1080" w:type="dxa"/>
            <w:tcBorders>
              <w:top w:val="nil"/>
              <w:left w:val="nil"/>
              <w:bottom w:val="single" w:sz="4" w:space="0" w:color="auto"/>
              <w:right w:val="single" w:sz="4" w:space="0" w:color="auto"/>
            </w:tcBorders>
            <w:shd w:val="clear" w:color="auto" w:fill="C6EFCE"/>
            <w:noWrap/>
          </w:tcPr>
          <w:p w14:paraId="7C74BC5E"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Target</w:t>
            </w:r>
          </w:p>
        </w:tc>
        <w:tc>
          <w:tcPr>
            <w:tcW w:w="1502" w:type="dxa"/>
            <w:tcBorders>
              <w:top w:val="nil"/>
              <w:left w:val="nil"/>
              <w:bottom w:val="single" w:sz="4" w:space="0" w:color="auto"/>
              <w:right w:val="single" w:sz="4" w:space="0" w:color="auto"/>
            </w:tcBorders>
            <w:shd w:val="clear" w:color="auto" w:fill="C6EFCE"/>
            <w:noWrap/>
          </w:tcPr>
          <w:p w14:paraId="256B5BE9" w14:textId="06BE243B" w:rsidR="00935FC8" w:rsidRPr="008E1AB8" w:rsidRDefault="001D0C6F" w:rsidP="00A7081A">
            <w:pPr>
              <w:spacing w:after="0" w:line="240" w:lineRule="auto"/>
              <w:rPr>
                <w:rFonts w:ascii="Times New Roman" w:hAnsi="Times New Roman"/>
                <w:noProof/>
                <w:sz w:val="20"/>
                <w:szCs w:val="20"/>
                <w:lang w:eastAsia="en-GB"/>
              </w:rPr>
            </w:pPr>
            <w:r>
              <w:rPr>
                <w:rFonts w:ascii="Times New Roman" w:hAnsi="Times New Roman"/>
                <w:noProof/>
                <w:sz w:val="20"/>
                <w:szCs w:val="20"/>
              </w:rPr>
              <w:t>Number</w:t>
            </w:r>
            <w:r w:rsidR="00935FC8" w:rsidRPr="008E1AB8">
              <w:rPr>
                <w:rFonts w:ascii="Times New Roman" w:hAnsi="Times New Roman"/>
                <w:noProof/>
                <w:sz w:val="20"/>
                <w:szCs w:val="20"/>
              </w:rPr>
              <w:t xml:space="preserve"> of</w:t>
            </w:r>
            <w:r>
              <w:rPr>
                <w:rFonts w:ascii="Times New Roman" w:hAnsi="Times New Roman"/>
                <w:noProof/>
                <w:sz w:val="20"/>
                <w:szCs w:val="20"/>
              </w:rPr>
              <w:t xml:space="preserve"> authorities</w:t>
            </w:r>
            <w:r w:rsidR="00935FC8" w:rsidRPr="008E1AB8">
              <w:rPr>
                <w:rFonts w:ascii="Times New Roman" w:hAnsi="Times New Roman"/>
                <w:noProof/>
                <w:sz w:val="20"/>
                <w:szCs w:val="20"/>
              </w:rPr>
              <w:t xml:space="preserve"> having registered users </w:t>
            </w:r>
            <w:r>
              <w:rPr>
                <w:rFonts w:ascii="Times New Roman" w:hAnsi="Times New Roman"/>
                <w:noProof/>
                <w:sz w:val="20"/>
                <w:szCs w:val="20"/>
              </w:rPr>
              <w:t>in</w:t>
            </w:r>
            <w:r w:rsidR="00935FC8" w:rsidRPr="008E1AB8">
              <w:rPr>
                <w:rFonts w:ascii="Times New Roman" w:hAnsi="Times New Roman"/>
                <w:noProof/>
                <w:sz w:val="20"/>
                <w:szCs w:val="20"/>
              </w:rPr>
              <w:t xml:space="preserve"> the new healthcare information system</w:t>
            </w:r>
          </w:p>
        </w:tc>
        <w:tc>
          <w:tcPr>
            <w:tcW w:w="1417" w:type="dxa"/>
            <w:tcBorders>
              <w:top w:val="single" w:sz="4" w:space="0" w:color="auto"/>
              <w:left w:val="nil"/>
              <w:bottom w:val="single" w:sz="4" w:space="0" w:color="auto"/>
              <w:right w:val="single" w:sz="4" w:space="0" w:color="auto"/>
            </w:tcBorders>
            <w:shd w:val="clear" w:color="auto" w:fill="C6EFCE"/>
            <w:noWrap/>
          </w:tcPr>
          <w:p w14:paraId="22B1B391"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w:t>
            </w:r>
          </w:p>
        </w:tc>
        <w:tc>
          <w:tcPr>
            <w:tcW w:w="1114" w:type="dxa"/>
            <w:tcBorders>
              <w:top w:val="nil"/>
              <w:left w:val="nil"/>
              <w:bottom w:val="single" w:sz="4" w:space="0" w:color="auto"/>
              <w:right w:val="single" w:sz="4" w:space="0" w:color="auto"/>
            </w:tcBorders>
            <w:shd w:val="clear" w:color="auto" w:fill="C6EFCE"/>
            <w:noWrap/>
          </w:tcPr>
          <w:p w14:paraId="164284D0" w14:textId="0AB0C57F" w:rsidR="00935FC8" w:rsidRPr="008E1AB8" w:rsidRDefault="001D0C6F" w:rsidP="00A7081A">
            <w:pPr>
              <w:spacing w:after="0" w:line="240" w:lineRule="auto"/>
              <w:rPr>
                <w:rFonts w:ascii="Times New Roman" w:hAnsi="Times New Roman"/>
                <w:noProof/>
                <w:sz w:val="20"/>
                <w:szCs w:val="20"/>
                <w:lang w:eastAsia="en-GB"/>
              </w:rPr>
            </w:pPr>
            <w:r>
              <w:rPr>
                <w:rFonts w:ascii="Times New Roman" w:hAnsi="Times New Roman"/>
                <w:noProof/>
                <w:sz w:val="20"/>
                <w:szCs w:val="20"/>
              </w:rPr>
              <w:t>Number of authorities</w:t>
            </w:r>
          </w:p>
        </w:tc>
        <w:tc>
          <w:tcPr>
            <w:tcW w:w="851" w:type="dxa"/>
            <w:tcBorders>
              <w:top w:val="nil"/>
              <w:left w:val="nil"/>
              <w:bottom w:val="single" w:sz="4" w:space="0" w:color="auto"/>
              <w:right w:val="single" w:sz="4" w:space="0" w:color="auto"/>
            </w:tcBorders>
            <w:shd w:val="clear" w:color="auto" w:fill="C6EFCE"/>
            <w:noWrap/>
          </w:tcPr>
          <w:p w14:paraId="10EDEFD0"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0</w:t>
            </w:r>
          </w:p>
        </w:tc>
        <w:tc>
          <w:tcPr>
            <w:tcW w:w="708" w:type="dxa"/>
            <w:tcBorders>
              <w:top w:val="nil"/>
              <w:left w:val="nil"/>
              <w:bottom w:val="single" w:sz="4" w:space="0" w:color="auto"/>
              <w:right w:val="single" w:sz="4" w:space="0" w:color="auto"/>
            </w:tcBorders>
            <w:shd w:val="clear" w:color="auto" w:fill="C6EFCE"/>
            <w:noWrap/>
          </w:tcPr>
          <w:p w14:paraId="1315C6A6" w14:textId="17DE1760"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1</w:t>
            </w:r>
            <w:r w:rsidR="001D0C6F">
              <w:rPr>
                <w:rFonts w:ascii="Times New Roman" w:hAnsi="Times New Roman"/>
                <w:noProof/>
                <w:sz w:val="20"/>
                <w:szCs w:val="20"/>
              </w:rPr>
              <w:t>9</w:t>
            </w:r>
          </w:p>
        </w:tc>
        <w:tc>
          <w:tcPr>
            <w:tcW w:w="851" w:type="dxa"/>
            <w:tcBorders>
              <w:top w:val="nil"/>
              <w:left w:val="nil"/>
              <w:bottom w:val="single" w:sz="4" w:space="0" w:color="auto"/>
              <w:right w:val="single" w:sz="4" w:space="0" w:color="auto"/>
            </w:tcBorders>
            <w:shd w:val="clear" w:color="auto" w:fill="C6EFCE"/>
            <w:noWrap/>
          </w:tcPr>
          <w:p w14:paraId="457277BD"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Q2</w:t>
            </w:r>
          </w:p>
        </w:tc>
        <w:tc>
          <w:tcPr>
            <w:tcW w:w="850" w:type="dxa"/>
            <w:tcBorders>
              <w:top w:val="nil"/>
              <w:left w:val="nil"/>
              <w:bottom w:val="single" w:sz="4" w:space="0" w:color="auto"/>
              <w:right w:val="single" w:sz="4" w:space="0" w:color="auto"/>
            </w:tcBorders>
            <w:shd w:val="clear" w:color="auto" w:fill="C6EFCE"/>
            <w:noWrap/>
          </w:tcPr>
          <w:p w14:paraId="536878A8"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2026</w:t>
            </w:r>
          </w:p>
        </w:tc>
        <w:tc>
          <w:tcPr>
            <w:tcW w:w="4536" w:type="dxa"/>
            <w:tcBorders>
              <w:top w:val="nil"/>
              <w:left w:val="nil"/>
              <w:bottom w:val="single" w:sz="4" w:space="0" w:color="auto"/>
              <w:right w:val="single" w:sz="4" w:space="0" w:color="auto"/>
            </w:tcBorders>
            <w:shd w:val="clear" w:color="auto" w:fill="C6EFCE"/>
            <w:noWrap/>
          </w:tcPr>
          <w:p w14:paraId="28DB974C" w14:textId="13D77A60" w:rsidR="006A6491" w:rsidRDefault="006A6491" w:rsidP="00A7081A">
            <w:pPr>
              <w:spacing w:after="0" w:line="240" w:lineRule="auto"/>
              <w:rPr>
                <w:rFonts w:ascii="Times New Roman" w:hAnsi="Times New Roman"/>
                <w:noProof/>
                <w:sz w:val="20"/>
                <w:szCs w:val="20"/>
              </w:rPr>
            </w:pPr>
            <w:r>
              <w:rPr>
                <w:rFonts w:ascii="Times New Roman" w:hAnsi="Times New Roman"/>
                <w:noProof/>
                <w:sz w:val="20"/>
                <w:szCs w:val="20"/>
              </w:rPr>
              <w:t>At least the following authorities shall have one or more registered users in the new healthcare information system in Åland:</w:t>
            </w:r>
          </w:p>
          <w:p w14:paraId="6621397E" w14:textId="77777777" w:rsidR="006A6491" w:rsidRDefault="006A6491" w:rsidP="00A7081A">
            <w:pPr>
              <w:spacing w:after="0" w:line="240" w:lineRule="auto"/>
              <w:rPr>
                <w:rFonts w:ascii="Times New Roman" w:hAnsi="Times New Roman"/>
                <w:noProof/>
                <w:sz w:val="20"/>
                <w:szCs w:val="20"/>
              </w:rPr>
            </w:pPr>
          </w:p>
          <w:p w14:paraId="55B6123F" w14:textId="77777777" w:rsidR="006A6491" w:rsidRDefault="006A6491" w:rsidP="006A6491">
            <w:pPr>
              <w:pStyle w:val="ListParagraph"/>
              <w:numPr>
                <w:ilvl w:val="0"/>
                <w:numId w:val="37"/>
              </w:numPr>
              <w:spacing w:after="0" w:line="240" w:lineRule="auto"/>
              <w:rPr>
                <w:rFonts w:ascii="Times New Roman" w:hAnsi="Times New Roman"/>
                <w:noProof/>
                <w:sz w:val="20"/>
                <w:szCs w:val="20"/>
              </w:rPr>
            </w:pPr>
            <w:r>
              <w:rPr>
                <w:rFonts w:ascii="Times New Roman" w:hAnsi="Times New Roman"/>
                <w:noProof/>
                <w:sz w:val="20"/>
                <w:szCs w:val="20"/>
              </w:rPr>
              <w:t xml:space="preserve">Åland Healthcare Services: this may include, but is not limited to primary healthcare, specialised healthcare, mental healthcare, dental healthcare, laboratory services, rehabilitation &amp; physiotherapy and homecare. </w:t>
            </w:r>
          </w:p>
          <w:p w14:paraId="30C0B84D" w14:textId="77777777" w:rsidR="006A6491" w:rsidRDefault="006A6491" w:rsidP="006A6491">
            <w:pPr>
              <w:pStyle w:val="ListParagraph"/>
              <w:numPr>
                <w:ilvl w:val="0"/>
                <w:numId w:val="37"/>
              </w:numPr>
              <w:spacing w:after="0" w:line="240" w:lineRule="auto"/>
              <w:rPr>
                <w:rFonts w:ascii="Times New Roman" w:hAnsi="Times New Roman"/>
                <w:noProof/>
                <w:sz w:val="20"/>
                <w:szCs w:val="20"/>
              </w:rPr>
            </w:pPr>
            <w:r>
              <w:rPr>
                <w:rFonts w:ascii="Times New Roman" w:hAnsi="Times New Roman"/>
                <w:noProof/>
                <w:sz w:val="20"/>
                <w:szCs w:val="20"/>
              </w:rPr>
              <w:t>16 municipalities and</w:t>
            </w:r>
          </w:p>
          <w:p w14:paraId="756AFA22" w14:textId="22E3BF1C" w:rsidR="006A6491" w:rsidRDefault="006A6491" w:rsidP="006A6491">
            <w:pPr>
              <w:pStyle w:val="ListParagraph"/>
              <w:numPr>
                <w:ilvl w:val="0"/>
                <w:numId w:val="37"/>
              </w:numPr>
              <w:spacing w:after="0" w:line="240" w:lineRule="auto"/>
              <w:rPr>
                <w:rFonts w:ascii="Times New Roman" w:hAnsi="Times New Roman"/>
                <w:noProof/>
                <w:sz w:val="20"/>
                <w:szCs w:val="20"/>
              </w:rPr>
            </w:pPr>
            <w:r>
              <w:rPr>
                <w:rFonts w:ascii="Times New Roman" w:hAnsi="Times New Roman"/>
                <w:noProof/>
                <w:sz w:val="20"/>
                <w:szCs w:val="20"/>
              </w:rPr>
              <w:t xml:space="preserve">2 joint </w:t>
            </w:r>
            <w:r w:rsidR="00C539D3">
              <w:rPr>
                <w:rFonts w:ascii="Times New Roman" w:hAnsi="Times New Roman"/>
                <w:noProof/>
                <w:sz w:val="20"/>
                <w:szCs w:val="20"/>
              </w:rPr>
              <w:t xml:space="preserve">municipal </w:t>
            </w:r>
            <w:r>
              <w:rPr>
                <w:rFonts w:ascii="Times New Roman" w:hAnsi="Times New Roman"/>
                <w:noProof/>
                <w:sz w:val="20"/>
                <w:szCs w:val="20"/>
              </w:rPr>
              <w:t xml:space="preserve">authorities </w:t>
            </w:r>
          </w:p>
          <w:p w14:paraId="7FB286BB" w14:textId="77777777" w:rsidR="006A6491" w:rsidRDefault="006A6491" w:rsidP="006A6491">
            <w:pPr>
              <w:spacing w:after="0" w:line="240" w:lineRule="auto"/>
              <w:rPr>
                <w:rFonts w:ascii="Times New Roman" w:hAnsi="Times New Roman"/>
                <w:noProof/>
                <w:sz w:val="20"/>
                <w:szCs w:val="20"/>
              </w:rPr>
            </w:pPr>
          </w:p>
          <w:p w14:paraId="49D6FF89" w14:textId="4DF9721D" w:rsidR="006A6491" w:rsidRPr="006A6491" w:rsidRDefault="006A6491" w:rsidP="006A6491">
            <w:pPr>
              <w:spacing w:after="0" w:line="240" w:lineRule="auto"/>
              <w:rPr>
                <w:rFonts w:ascii="Times New Roman" w:hAnsi="Times New Roman"/>
                <w:noProof/>
                <w:sz w:val="20"/>
                <w:szCs w:val="20"/>
              </w:rPr>
            </w:pPr>
            <w:r w:rsidRPr="008E1AB8">
              <w:rPr>
                <w:rFonts w:ascii="Times New Roman" w:hAnsi="Times New Roman"/>
                <w:noProof/>
                <w:sz w:val="20"/>
                <w:szCs w:val="20"/>
              </w:rPr>
              <w:t>The system shall cover documentation of care processes, medical prescriptions, aid for medical decisions, customer clinical records, referral to specialist services, allocation of time-resources, and basic IT quality and customer production follow up.</w:t>
            </w:r>
          </w:p>
        </w:tc>
      </w:tr>
    </w:tbl>
    <w:p w14:paraId="5D7FA014" w14:textId="77777777" w:rsidR="00935FC8" w:rsidRPr="0099229E" w:rsidRDefault="00935FC8">
      <w:pPr>
        <w:spacing w:before="120" w:after="120" w:line="240" w:lineRule="auto"/>
        <w:jc w:val="both"/>
        <w:rPr>
          <w:rFonts w:ascii="Times New Roman" w:hAnsi="Times New Roman"/>
          <w:i/>
          <w:noProof/>
          <w:color w:val="4F81BD"/>
          <w:sz w:val="24"/>
        </w:rPr>
      </w:pPr>
    </w:p>
    <w:p w14:paraId="042D071F" w14:textId="39F47E00" w:rsidR="00935FC8" w:rsidRPr="00B555B3" w:rsidRDefault="00935FC8" w:rsidP="00A7081A">
      <w:pPr>
        <w:tabs>
          <w:tab w:val="left" w:pos="2685"/>
        </w:tabs>
        <w:rPr>
          <w:noProof/>
        </w:rPr>
        <w:sectPr w:rsidR="00935FC8" w:rsidRPr="00B555B3" w:rsidSect="00A7081A">
          <w:headerReference w:type="even" r:id="rId161"/>
          <w:headerReference w:type="default" r:id="rId162"/>
          <w:footerReference w:type="even" r:id="rId163"/>
          <w:footerReference w:type="default" r:id="rId164"/>
          <w:headerReference w:type="first" r:id="rId165"/>
          <w:footerReference w:type="first" r:id="rId166"/>
          <w:pgSz w:w="16839" w:h="11907" w:orient="landscape"/>
          <w:pgMar w:top="1134" w:right="1134" w:bottom="1134" w:left="1134" w:header="567" w:footer="567" w:gutter="0"/>
          <w:cols w:space="720"/>
          <w:docGrid w:linePitch="360"/>
        </w:sectPr>
      </w:pPr>
    </w:p>
    <w:p w14:paraId="4E76DA4C" w14:textId="77777777" w:rsidR="00935FC8" w:rsidRPr="0099229E" w:rsidRDefault="00935FC8" w:rsidP="00A7081A">
      <w:pPr>
        <w:pStyle w:val="Heading4"/>
        <w:numPr>
          <w:ilvl w:val="3"/>
          <w:numId w:val="0"/>
        </w:numPr>
        <w:spacing w:after="240"/>
        <w:rPr>
          <w:b/>
          <w:noProof/>
        </w:rPr>
      </w:pPr>
      <w:r w:rsidRPr="0099229E">
        <w:rPr>
          <w:b/>
          <w:noProof/>
        </w:rPr>
        <w:t>PILLAR 5. REPowerEU</w:t>
      </w:r>
    </w:p>
    <w:p w14:paraId="40A16BA1" w14:textId="77777777" w:rsidR="00935FC8" w:rsidRPr="0099229E" w:rsidRDefault="00935FC8" w:rsidP="00A7081A">
      <w:pPr>
        <w:pStyle w:val="Heading4"/>
        <w:numPr>
          <w:ilvl w:val="3"/>
          <w:numId w:val="0"/>
        </w:numPr>
        <w:spacing w:after="240"/>
        <w:rPr>
          <w:b/>
          <w:noProof/>
        </w:rPr>
      </w:pPr>
      <w:r w:rsidRPr="0099229E">
        <w:rPr>
          <w:b/>
          <w:noProof/>
        </w:rPr>
        <w:t>N. COMPONENT P5C1. REPowerEU</w:t>
      </w:r>
    </w:p>
    <w:p w14:paraId="0BAAC70C" w14:textId="77777777" w:rsidR="00935FC8" w:rsidRPr="00B555B3" w:rsidRDefault="00935FC8" w:rsidP="00A7081A">
      <w:pPr>
        <w:pStyle w:val="paragraph"/>
        <w:spacing w:before="0" w:beforeAutospacing="0" w:after="0" w:afterAutospacing="0"/>
        <w:jc w:val="both"/>
        <w:rPr>
          <w:rFonts w:ascii="Segoe UI" w:hAnsi="Segoe UI" w:cs="Segoe UI"/>
          <w:noProof/>
          <w:sz w:val="18"/>
          <w:szCs w:val="18"/>
        </w:rPr>
      </w:pPr>
      <w:r w:rsidRPr="0099229E">
        <w:rPr>
          <w:rStyle w:val="normaltextrun"/>
          <w:noProof/>
        </w:rPr>
        <w:t>The REPowerEU chapter contributes to addressing the challenge of reducing reliance on fossil fuels. The objectives of the component are to promote the deployment of renewable energy and increase research and development for the green transition. All of these objectives are expected to contribute to achieving the Union’s 2030 climate targets, Finland’s goal of achieving carbon neutrality by 2035 as well as the goal of increasing the share of renewable energy sources in Finland’s energy mix. All three investments in the REPowerEU chapter have a cross-border or multi-country dimension or effect. In particular, the measure on ‘Investments for clean transition’ and the measure on ‘Offshore wind power in Åland’ contribute to securing energy supply in the Union as a whole, while the measure on ‘R&amp;D for the green transition’ contributes to the development of green skills of the labour force in the Union.</w:t>
      </w:r>
    </w:p>
    <w:p w14:paraId="31A2DCBF" w14:textId="77777777" w:rsidR="00935FC8" w:rsidRPr="00B555B3" w:rsidRDefault="00935FC8" w:rsidP="00A7081A">
      <w:pPr>
        <w:pStyle w:val="paragraph"/>
        <w:jc w:val="both"/>
        <w:textAlignment w:val="baseline"/>
        <w:rPr>
          <w:rFonts w:ascii="Segoe UI" w:hAnsi="Segoe UI" w:cs="Segoe UI"/>
          <w:noProof/>
          <w:sz w:val="18"/>
          <w:szCs w:val="18"/>
        </w:rPr>
      </w:pPr>
      <w:r w:rsidRPr="00B555B3">
        <w:rPr>
          <w:rStyle w:val="normaltextrun"/>
          <w:noProof/>
        </w:rPr>
        <w:t>The REPowerEU chapter contributes to addressing Country-Specific Recommendations to focus investment-related economic policy on research and innovation, low carbon and energy transition (Country-Specific Recommendation 3 in 2019), to focus investment on the green and digital transition, in particular on clean and efficient production and use of energy (Country-Specific Recommendation 3 in 2020), to reduce overall reliance on fossil fuels by accelerating the deployment of renewables, including by further speeding up permitting procedures, to boost public and private investment in the decarbonisation of industry (Country-Specific Recommendation 3 in 2022 and Country-Specific Recommendation 4 in 2023) and to step up policy efforts aimed at the provision and acquisition of the skills needed for the green transition (Country-Specific Recommendation 4 in 2023).</w:t>
      </w:r>
      <w:r w:rsidRPr="00B555B3">
        <w:rPr>
          <w:rStyle w:val="eop"/>
          <w:noProof/>
        </w:rPr>
        <w:t> </w:t>
      </w:r>
    </w:p>
    <w:p w14:paraId="4FFB4681" w14:textId="77777777" w:rsidR="00935FC8" w:rsidRPr="00B555B3" w:rsidRDefault="00935FC8" w:rsidP="00A7081A">
      <w:pPr>
        <w:pStyle w:val="paragraph"/>
        <w:spacing w:before="0" w:beforeAutospacing="0" w:after="0" w:afterAutospacing="0"/>
        <w:jc w:val="both"/>
        <w:textAlignment w:val="baseline"/>
        <w:rPr>
          <w:rStyle w:val="eop"/>
          <w:noProof/>
        </w:rPr>
      </w:pPr>
      <w:r w:rsidRPr="00B555B3">
        <w:rPr>
          <w:rStyle w:val="normaltextrun"/>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r w:rsidRPr="00B555B3">
        <w:rPr>
          <w:rStyle w:val="eop"/>
          <w:noProof/>
        </w:rPr>
        <w:t> </w:t>
      </w:r>
    </w:p>
    <w:p w14:paraId="75CCA8C3" w14:textId="77777777" w:rsidR="00935FC8" w:rsidRPr="00B555B3" w:rsidRDefault="00935FC8" w:rsidP="00A7081A">
      <w:pPr>
        <w:pStyle w:val="paragraph"/>
        <w:spacing w:before="0" w:beforeAutospacing="0" w:after="0" w:afterAutospacing="0"/>
        <w:jc w:val="both"/>
        <w:textAlignment w:val="baseline"/>
        <w:rPr>
          <w:rFonts w:ascii="Segoe UI" w:hAnsi="Segoe UI" w:cs="Segoe UI"/>
          <w:noProof/>
          <w:sz w:val="18"/>
          <w:szCs w:val="18"/>
        </w:rPr>
      </w:pPr>
    </w:p>
    <w:p w14:paraId="4773423E" w14:textId="77777777" w:rsidR="00935FC8" w:rsidRPr="00B555B3" w:rsidRDefault="00935FC8" w:rsidP="00A7081A">
      <w:pPr>
        <w:pStyle w:val="paragraph"/>
        <w:spacing w:before="0" w:beforeAutospacing="0" w:after="0" w:afterAutospacing="0"/>
        <w:jc w:val="both"/>
        <w:textAlignment w:val="baseline"/>
        <w:rPr>
          <w:b/>
          <w:noProof/>
          <w:u w:val="single"/>
          <w:shd w:val="clear" w:color="auto" w:fill="E6E6E6"/>
        </w:rPr>
      </w:pPr>
      <w:r w:rsidRPr="00B555B3">
        <w:rPr>
          <w:b/>
          <w:noProof/>
          <w:u w:val="single"/>
        </w:rPr>
        <w:t>N.1.</w:t>
      </w:r>
      <w:r w:rsidRPr="00B555B3">
        <w:rPr>
          <w:noProof/>
        </w:rPr>
        <w:tab/>
      </w:r>
      <w:r w:rsidRPr="00B555B3">
        <w:rPr>
          <w:b/>
          <w:noProof/>
          <w:u w:val="single"/>
        </w:rPr>
        <w:t>Description of the reforms and investments for non-repayable financial support</w:t>
      </w:r>
    </w:p>
    <w:p w14:paraId="2BC112AD" w14:textId="77777777" w:rsidR="00935FC8" w:rsidRPr="00B555B3" w:rsidRDefault="00935FC8" w:rsidP="00A7081A">
      <w:pPr>
        <w:pStyle w:val="paragraph"/>
        <w:spacing w:before="0" w:beforeAutospacing="0" w:after="0" w:afterAutospacing="0"/>
        <w:jc w:val="both"/>
        <w:textAlignment w:val="baseline"/>
        <w:rPr>
          <w:rFonts w:ascii="Segoe UI" w:hAnsi="Segoe UI" w:cs="Segoe UI"/>
          <w:noProof/>
          <w:sz w:val="18"/>
          <w:szCs w:val="18"/>
        </w:rPr>
      </w:pPr>
    </w:p>
    <w:p w14:paraId="28F63BA2" w14:textId="77777777" w:rsidR="00935FC8" w:rsidRPr="00B555B3" w:rsidRDefault="00935FC8" w:rsidP="00A7081A">
      <w:pPr>
        <w:pStyle w:val="paragraph"/>
        <w:spacing w:before="0" w:beforeAutospacing="0" w:after="0" w:afterAutospacing="0"/>
        <w:jc w:val="both"/>
        <w:textAlignment w:val="baseline"/>
        <w:rPr>
          <w:rStyle w:val="normaltextrun"/>
          <w:noProof/>
          <w:u w:val="single"/>
        </w:rPr>
      </w:pPr>
      <w:r w:rsidRPr="00D0136A">
        <w:rPr>
          <w:rStyle w:val="normaltextrun"/>
          <w:noProof/>
          <w:u w:val="single"/>
        </w:rPr>
        <w:t>Reform 1 (P5C1R1): Green transition permitting</w:t>
      </w:r>
    </w:p>
    <w:p w14:paraId="095A85F4" w14:textId="77777777" w:rsidR="00935FC8" w:rsidRDefault="00935FC8" w:rsidP="00A7081A">
      <w:pPr>
        <w:spacing w:before="120" w:after="120" w:line="240" w:lineRule="auto"/>
        <w:jc w:val="both"/>
        <w:rPr>
          <w:rFonts w:ascii="Times New Roman" w:hAnsi="Times New Roman"/>
          <w:noProof/>
          <w:sz w:val="24"/>
          <w:szCs w:val="24"/>
          <w:u w:val="single"/>
        </w:rPr>
      </w:pPr>
      <w:r w:rsidRPr="00B555B3">
        <w:rPr>
          <w:rFonts w:ascii="Times New Roman" w:hAnsi="Times New Roman"/>
          <w:noProof/>
          <w:sz w:val="24"/>
          <w:szCs w:val="24"/>
        </w:rPr>
        <w:t xml:space="preserve">The aim of the reform is to reduce processing times of environmental permitting procedures for renewable energy investments in Finland. This measure consists </w:t>
      </w:r>
      <w:r>
        <w:rPr>
          <w:rFonts w:ascii="Times New Roman" w:hAnsi="Times New Roman"/>
          <w:noProof/>
          <w:sz w:val="24"/>
          <w:szCs w:val="24"/>
        </w:rPr>
        <w:t>of</w:t>
      </w:r>
      <w:r w:rsidRPr="00B555B3">
        <w:rPr>
          <w:rFonts w:ascii="Times New Roman" w:hAnsi="Times New Roman"/>
          <w:noProof/>
          <w:sz w:val="24"/>
          <w:szCs w:val="24"/>
        </w:rPr>
        <w:t xml:space="preserve"> entry into force </w:t>
      </w:r>
      <w:r w:rsidRPr="00D0136A">
        <w:rPr>
          <w:rFonts w:ascii="Times New Roman" w:hAnsi="Times New Roman"/>
          <w:noProof/>
          <w:sz w:val="24"/>
          <w:szCs w:val="24"/>
        </w:rPr>
        <w:t>of legal</w:t>
      </w:r>
      <w:r w:rsidRPr="00D0136A" w:rsidDel="13AD7C1D">
        <w:rPr>
          <w:rFonts w:ascii="Times New Roman" w:hAnsi="Times New Roman"/>
          <w:noProof/>
          <w:sz w:val="24"/>
          <w:szCs w:val="24"/>
        </w:rPr>
        <w:t xml:space="preserve"> </w:t>
      </w:r>
      <w:r w:rsidRPr="00361FDD" w:rsidDel="2BAF00C5">
        <w:rPr>
          <w:rFonts w:ascii="Times New Roman" w:hAnsi="Times New Roman"/>
          <w:noProof/>
          <w:sz w:val="24"/>
          <w:szCs w:val="24"/>
        </w:rPr>
        <w:t>act</w:t>
      </w:r>
      <w:r w:rsidRPr="00361FDD" w:rsidDel="315A6B6A">
        <w:rPr>
          <w:rFonts w:ascii="Times New Roman" w:hAnsi="Times New Roman"/>
          <w:noProof/>
          <w:sz w:val="24"/>
          <w:szCs w:val="24"/>
        </w:rPr>
        <w:t>s</w:t>
      </w:r>
      <w:r w:rsidRPr="00361FDD">
        <w:rPr>
          <w:rFonts w:ascii="Times New Roman" w:hAnsi="Times New Roman"/>
          <w:noProof/>
          <w:sz w:val="24"/>
          <w:szCs w:val="24"/>
        </w:rPr>
        <w:t xml:space="preserve"> on environmental</w:t>
      </w:r>
      <w:r w:rsidRPr="00B555B3">
        <w:rPr>
          <w:rFonts w:ascii="Times New Roman" w:hAnsi="Times New Roman"/>
          <w:noProof/>
          <w:sz w:val="24"/>
          <w:szCs w:val="24"/>
        </w:rPr>
        <w:t xml:space="preserve"> permit procedures,</w:t>
      </w:r>
      <w:r w:rsidRPr="00B555B3" w:rsidDel="34E7D7BF">
        <w:rPr>
          <w:rFonts w:ascii="Times New Roman" w:hAnsi="Times New Roman"/>
          <w:noProof/>
          <w:sz w:val="24"/>
          <w:szCs w:val="24"/>
        </w:rPr>
        <w:t xml:space="preserve"> </w:t>
      </w:r>
      <w:r w:rsidRPr="00B01564">
        <w:rPr>
          <w:rFonts w:ascii="Times New Roman" w:hAnsi="Times New Roman"/>
          <w:noProof/>
          <w:sz w:val="24"/>
          <w:szCs w:val="24"/>
        </w:rPr>
        <w:t>financial</w:t>
      </w:r>
      <w:r w:rsidRPr="2F38788C">
        <w:rPr>
          <w:rFonts w:ascii="Times New Roman" w:hAnsi="Times New Roman"/>
          <w:noProof/>
          <w:sz w:val="24"/>
          <w:szCs w:val="24"/>
        </w:rPr>
        <w:t xml:space="preserve"> </w:t>
      </w:r>
      <w:r w:rsidRPr="00B555B3">
        <w:rPr>
          <w:rFonts w:ascii="Times New Roman" w:hAnsi="Times New Roman"/>
          <w:noProof/>
          <w:sz w:val="24"/>
          <w:szCs w:val="24"/>
        </w:rPr>
        <w:t>support</w:t>
      </w:r>
      <w:r w:rsidRPr="00B555B3" w:rsidDel="1C9086AE">
        <w:rPr>
          <w:rFonts w:ascii="Times New Roman" w:hAnsi="Times New Roman"/>
          <w:noProof/>
          <w:sz w:val="24"/>
          <w:szCs w:val="24"/>
        </w:rPr>
        <w:t xml:space="preserve"> </w:t>
      </w:r>
      <w:r w:rsidRPr="00B555B3" w:rsidDel="00106B24">
        <w:rPr>
          <w:rFonts w:ascii="Times New Roman" w:hAnsi="Times New Roman"/>
          <w:noProof/>
          <w:sz w:val="24"/>
          <w:szCs w:val="24"/>
        </w:rPr>
        <w:t>for</w:t>
      </w:r>
      <w:r w:rsidRPr="00B555B3">
        <w:rPr>
          <w:rFonts w:ascii="Times New Roman" w:hAnsi="Times New Roman"/>
          <w:noProof/>
          <w:sz w:val="24"/>
          <w:szCs w:val="24"/>
        </w:rPr>
        <w:t xml:space="preserve"> </w:t>
      </w:r>
      <w:r w:rsidRPr="00B555B3" w:rsidDel="00DF68D5">
        <w:rPr>
          <w:rFonts w:ascii="Times New Roman" w:hAnsi="Times New Roman"/>
          <w:noProof/>
          <w:sz w:val="24"/>
          <w:szCs w:val="24"/>
        </w:rPr>
        <w:t xml:space="preserve">the </w:t>
      </w:r>
      <w:r w:rsidRPr="00B555B3">
        <w:rPr>
          <w:rFonts w:ascii="Times New Roman" w:hAnsi="Times New Roman"/>
          <w:noProof/>
          <w:sz w:val="24"/>
          <w:szCs w:val="24"/>
        </w:rPr>
        <w:t xml:space="preserve">delivery of digital processes </w:t>
      </w:r>
      <w:r w:rsidRPr="00B555B3" w:rsidDel="1C8A11F3">
        <w:rPr>
          <w:rFonts w:ascii="Times New Roman" w:hAnsi="Times New Roman"/>
          <w:noProof/>
          <w:sz w:val="24"/>
          <w:szCs w:val="24"/>
        </w:rPr>
        <w:t xml:space="preserve">and </w:t>
      </w:r>
      <w:r w:rsidRPr="00B555B3">
        <w:rPr>
          <w:rFonts w:ascii="Times New Roman" w:hAnsi="Times New Roman"/>
          <w:noProof/>
          <w:sz w:val="24"/>
          <w:szCs w:val="24"/>
        </w:rPr>
        <w:t>processing</w:t>
      </w:r>
      <w:r w:rsidRPr="00B555B3" w:rsidDel="002A03A3">
        <w:rPr>
          <w:rFonts w:ascii="Times New Roman" w:hAnsi="Times New Roman"/>
          <w:noProof/>
          <w:sz w:val="24"/>
          <w:szCs w:val="24"/>
        </w:rPr>
        <w:t xml:space="preserve"> </w:t>
      </w:r>
      <w:r w:rsidRPr="00B555B3">
        <w:rPr>
          <w:rFonts w:ascii="Times New Roman" w:hAnsi="Times New Roman"/>
          <w:noProof/>
          <w:sz w:val="24"/>
          <w:szCs w:val="24"/>
        </w:rPr>
        <w:t>of environmental impact assessment requests.</w:t>
      </w:r>
      <w:r w:rsidRPr="00B555B3" w:rsidDel="0073038A">
        <w:rPr>
          <w:rFonts w:ascii="Times New Roman" w:hAnsi="Times New Roman"/>
          <w:noProof/>
          <w:sz w:val="24"/>
          <w:szCs w:val="24"/>
        </w:rPr>
        <w:t xml:space="preserve"> </w:t>
      </w:r>
    </w:p>
    <w:p w14:paraId="70D19BC8" w14:textId="77777777" w:rsidR="00935FC8" w:rsidRPr="00B555B3" w:rsidRDefault="00935FC8" w:rsidP="00A7081A">
      <w:pPr>
        <w:spacing w:before="120" w:after="120" w:line="240" w:lineRule="auto"/>
        <w:jc w:val="both"/>
        <w:rPr>
          <w:rFonts w:ascii="Times New Roman" w:hAnsi="Times New Roman"/>
          <w:noProof/>
          <w:sz w:val="24"/>
          <w:szCs w:val="24"/>
          <w:u w:val="single"/>
        </w:rPr>
      </w:pPr>
      <w:r w:rsidRPr="00D0136A">
        <w:rPr>
          <w:rFonts w:ascii="Times New Roman" w:hAnsi="Times New Roman"/>
          <w:noProof/>
          <w:sz w:val="24"/>
          <w:szCs w:val="24"/>
          <w:u w:val="single"/>
        </w:rPr>
        <w:t>Investment 1 (P5C1I1): Investments for clean transition</w:t>
      </w:r>
    </w:p>
    <w:p w14:paraId="34524610" w14:textId="7CEA0090" w:rsidR="00935FC8" w:rsidRPr="006726CE" w:rsidRDefault="00935FC8" w:rsidP="00A7081A">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 xml:space="preserve">The aim of the investment is to stimulate the introduction of new clean technologies for energy production and </w:t>
      </w:r>
      <w:r w:rsidRPr="00D0136A">
        <w:rPr>
          <w:rFonts w:ascii="Times New Roman" w:hAnsi="Times New Roman"/>
          <w:noProof/>
          <w:sz w:val="24"/>
          <w:szCs w:val="24"/>
        </w:rPr>
        <w:t xml:space="preserve">use or </w:t>
      </w:r>
      <w:r w:rsidRPr="00B555B3">
        <w:rPr>
          <w:rFonts w:ascii="Times New Roman" w:hAnsi="Times New Roman"/>
          <w:noProof/>
          <w:sz w:val="24"/>
          <w:szCs w:val="24"/>
        </w:rPr>
        <w:t>the production and storage of renewable hydrogen on a commercial scale.</w:t>
      </w:r>
      <w:r>
        <w:rPr>
          <w:rFonts w:ascii="Times New Roman" w:hAnsi="Times New Roman"/>
          <w:noProof/>
          <w:sz w:val="24"/>
          <w:szCs w:val="24"/>
        </w:rPr>
        <w:t xml:space="preserve"> </w:t>
      </w:r>
      <w:r w:rsidRPr="00B555B3">
        <w:rPr>
          <w:rFonts w:ascii="Times New Roman" w:eastAsia="Times New Roman" w:hAnsi="Times New Roman"/>
          <w:noProof/>
          <w:sz w:val="24"/>
          <w:szCs w:val="24"/>
          <w:lang w:eastAsia="fr-BE"/>
        </w:rPr>
        <w:t xml:space="preserve">The measure consists </w:t>
      </w:r>
      <w:r>
        <w:rPr>
          <w:rFonts w:ascii="Times New Roman" w:eastAsia="Times New Roman" w:hAnsi="Times New Roman"/>
          <w:noProof/>
          <w:sz w:val="24"/>
          <w:szCs w:val="24"/>
          <w:lang w:eastAsia="fr-BE"/>
        </w:rPr>
        <w:t>of</w:t>
      </w:r>
      <w:r w:rsidRPr="00B555B3">
        <w:rPr>
          <w:rFonts w:ascii="Times New Roman" w:eastAsia="Times New Roman" w:hAnsi="Times New Roman"/>
          <w:noProof/>
          <w:sz w:val="24"/>
          <w:szCs w:val="24"/>
          <w:lang w:eastAsia="fr-BE"/>
        </w:rPr>
        <w:t xml:space="preserve"> </w:t>
      </w:r>
      <w:r w:rsidRPr="00D0136A">
        <w:rPr>
          <w:rFonts w:ascii="Times New Roman" w:eastAsia="Times New Roman" w:hAnsi="Times New Roman"/>
          <w:noProof/>
          <w:sz w:val="24"/>
          <w:szCs w:val="24"/>
          <w:lang w:eastAsia="fr-BE"/>
        </w:rPr>
        <w:t>providing grants to</w:t>
      </w:r>
      <w:r w:rsidRPr="706CCDA3">
        <w:rPr>
          <w:rFonts w:ascii="Times New Roman" w:eastAsia="Times New Roman" w:hAnsi="Times New Roman"/>
          <w:noProof/>
          <w:sz w:val="24"/>
          <w:szCs w:val="24"/>
          <w:lang w:eastAsia="fr-BE"/>
        </w:rPr>
        <w:t xml:space="preserve"> </w:t>
      </w:r>
      <w:r w:rsidRPr="00B555B3">
        <w:rPr>
          <w:rFonts w:ascii="Times New Roman" w:eastAsia="Times New Roman" w:hAnsi="Times New Roman"/>
          <w:noProof/>
          <w:sz w:val="24"/>
          <w:szCs w:val="24"/>
          <w:lang w:eastAsia="fr-BE"/>
        </w:rPr>
        <w:t>large-scale renewable energy projects, or projects along the hydrogen value chain for renewable hydrogen production.</w:t>
      </w:r>
    </w:p>
    <w:p w14:paraId="535697C6" w14:textId="77777777" w:rsidR="00935FC8" w:rsidRPr="006726CE" w:rsidRDefault="00935FC8" w:rsidP="00A7081A">
      <w:pPr>
        <w:spacing w:before="120" w:after="120" w:line="240" w:lineRule="auto"/>
        <w:jc w:val="both"/>
        <w:rPr>
          <w:rFonts w:ascii="Times New Roman" w:hAnsi="Times New Roman"/>
          <w:noProof/>
          <w:sz w:val="24"/>
          <w:szCs w:val="24"/>
          <w:u w:val="single"/>
        </w:rPr>
      </w:pPr>
      <w:r w:rsidRPr="006726CE">
        <w:rPr>
          <w:rFonts w:ascii="Times New Roman" w:hAnsi="Times New Roman"/>
          <w:noProof/>
          <w:sz w:val="24"/>
          <w:szCs w:val="24"/>
          <w:u w:val="single"/>
        </w:rPr>
        <w:t>Investment 2 (P5C1I2): R&amp;D for the green transition</w:t>
      </w:r>
    </w:p>
    <w:p w14:paraId="3C09571B" w14:textId="77777777" w:rsidR="00935FC8" w:rsidRDefault="00935FC8" w:rsidP="00A7081A">
      <w:pPr>
        <w:pStyle w:val="paragraph"/>
        <w:spacing w:before="0" w:beforeAutospacing="0" w:after="0" w:afterAutospacing="0"/>
        <w:jc w:val="both"/>
        <w:textAlignment w:val="baseline"/>
        <w:rPr>
          <w:rStyle w:val="normaltextrun"/>
          <w:noProof/>
          <w:u w:val="single"/>
        </w:rPr>
      </w:pPr>
      <w:r w:rsidRPr="00B555B3">
        <w:rPr>
          <w:noProof/>
        </w:rPr>
        <w:t xml:space="preserve">The aim of the investment is to </w:t>
      </w:r>
      <w:r w:rsidRPr="00D0136A">
        <w:rPr>
          <w:noProof/>
        </w:rPr>
        <w:t>support R&amp;D activities</w:t>
      </w:r>
      <w:r w:rsidRPr="00B555B3">
        <w:rPr>
          <w:noProof/>
        </w:rPr>
        <w:t xml:space="preserve"> that focus on promoting renewable energy solutions in Finland. The measure consists </w:t>
      </w:r>
      <w:r w:rsidRPr="00D0136A">
        <w:rPr>
          <w:noProof/>
        </w:rPr>
        <w:t>of</w:t>
      </w:r>
      <w:r w:rsidRPr="00B555B3">
        <w:rPr>
          <w:noProof/>
        </w:rPr>
        <w:t xml:space="preserve"> providing </w:t>
      </w:r>
      <w:r w:rsidRPr="3BEF3BBD">
        <w:rPr>
          <w:noProof/>
        </w:rPr>
        <w:t>f</w:t>
      </w:r>
      <w:r w:rsidRPr="00D0136A">
        <w:rPr>
          <w:noProof/>
        </w:rPr>
        <w:t>inancial</w:t>
      </w:r>
      <w:r w:rsidRPr="3BEF3BBD">
        <w:rPr>
          <w:noProof/>
        </w:rPr>
        <w:t xml:space="preserve"> support</w:t>
      </w:r>
      <w:r w:rsidRPr="00B555B3">
        <w:rPr>
          <w:noProof/>
        </w:rPr>
        <w:t xml:space="preserve"> for research openings, assignment of researchers and allocation of doctoral student posts in REPowerEU-related themes, research infrastructure, and clean energy roadmaps.</w:t>
      </w:r>
    </w:p>
    <w:p w14:paraId="4D5F67EC" w14:textId="77777777" w:rsidR="00935FC8" w:rsidRDefault="00935FC8" w:rsidP="00A7081A">
      <w:pPr>
        <w:pStyle w:val="paragraph"/>
        <w:spacing w:before="0" w:beforeAutospacing="0" w:after="0" w:afterAutospacing="0"/>
        <w:jc w:val="both"/>
        <w:textAlignment w:val="baseline"/>
        <w:rPr>
          <w:rStyle w:val="normaltextrun"/>
          <w:noProof/>
          <w:u w:val="single"/>
        </w:rPr>
      </w:pPr>
    </w:p>
    <w:p w14:paraId="60229CA7" w14:textId="77777777" w:rsidR="00935FC8" w:rsidRPr="00B555B3" w:rsidRDefault="00935FC8" w:rsidP="00A7081A">
      <w:pPr>
        <w:pStyle w:val="paragraph"/>
        <w:spacing w:before="0" w:beforeAutospacing="0" w:after="0" w:afterAutospacing="0"/>
        <w:jc w:val="both"/>
        <w:textAlignment w:val="baseline"/>
        <w:rPr>
          <w:rStyle w:val="normaltextrun"/>
          <w:noProof/>
          <w:u w:val="single"/>
        </w:rPr>
      </w:pPr>
      <w:r w:rsidRPr="00D0136A">
        <w:rPr>
          <w:rStyle w:val="normaltextrun"/>
          <w:noProof/>
          <w:u w:val="single"/>
        </w:rPr>
        <w:t>Investment 3 (</w:t>
      </w:r>
      <w:r w:rsidRPr="00D0136A">
        <w:rPr>
          <w:noProof/>
          <w:u w:val="single"/>
        </w:rPr>
        <w:t>P5C1I3</w:t>
      </w:r>
      <w:r w:rsidRPr="00D0136A">
        <w:rPr>
          <w:rStyle w:val="normaltextrun"/>
          <w:noProof/>
          <w:u w:val="single"/>
        </w:rPr>
        <w:t>): Offshore wind power in</w:t>
      </w:r>
      <w:r w:rsidRPr="00B555B3">
        <w:rPr>
          <w:rStyle w:val="normaltextrun"/>
          <w:noProof/>
          <w:u w:val="single"/>
        </w:rPr>
        <w:t xml:space="preserve"> </w:t>
      </w:r>
      <w:r w:rsidRPr="00D0136A">
        <w:rPr>
          <w:rStyle w:val="normaltextrun"/>
          <w:noProof/>
          <w:u w:val="single"/>
        </w:rPr>
        <w:t>Åland</w:t>
      </w:r>
    </w:p>
    <w:p w14:paraId="2AE09D4B" w14:textId="77777777" w:rsidR="00935FC8" w:rsidRPr="00B555B3" w:rsidRDefault="00935FC8" w:rsidP="00A7081A">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 xml:space="preserve">The aim of the investment is </w:t>
      </w:r>
      <w:r w:rsidRPr="00D0136A">
        <w:rPr>
          <w:rFonts w:ascii="Times New Roman" w:hAnsi="Times New Roman"/>
          <w:noProof/>
          <w:sz w:val="24"/>
          <w:szCs w:val="24"/>
        </w:rPr>
        <w:t>to support the</w:t>
      </w:r>
      <w:r w:rsidRPr="00B555B3">
        <w:rPr>
          <w:rFonts w:ascii="Times New Roman" w:hAnsi="Times New Roman"/>
          <w:noProof/>
          <w:sz w:val="24"/>
          <w:szCs w:val="24"/>
        </w:rPr>
        <w:t xml:space="preserve"> production of wind energy in the Åland autonomous region. The measure consists </w:t>
      </w:r>
      <w:r w:rsidRPr="00D0136A">
        <w:rPr>
          <w:rFonts w:ascii="Times New Roman" w:hAnsi="Times New Roman"/>
          <w:noProof/>
          <w:sz w:val="24"/>
          <w:szCs w:val="24"/>
        </w:rPr>
        <w:t>of</w:t>
      </w:r>
      <w:r w:rsidRPr="00B555B3">
        <w:rPr>
          <w:rFonts w:ascii="Times New Roman" w:hAnsi="Times New Roman"/>
          <w:noProof/>
          <w:sz w:val="24"/>
          <w:szCs w:val="24"/>
        </w:rPr>
        <w:t xml:space="preserve"> </w:t>
      </w:r>
      <w:r w:rsidRPr="00D0136A">
        <w:rPr>
          <w:rFonts w:ascii="Times New Roman" w:hAnsi="Times New Roman"/>
          <w:noProof/>
          <w:sz w:val="24"/>
          <w:szCs w:val="24"/>
        </w:rPr>
        <w:t>delivery of offshore wind power reports.</w:t>
      </w:r>
    </w:p>
    <w:p w14:paraId="05FF0BEF" w14:textId="77777777" w:rsidR="00935FC8" w:rsidRPr="00B555B3" w:rsidRDefault="00935FC8" w:rsidP="00A7081A">
      <w:pPr>
        <w:spacing w:before="120" w:after="120" w:line="240" w:lineRule="auto"/>
        <w:jc w:val="both"/>
        <w:rPr>
          <w:rFonts w:ascii="Times New Roman" w:hAnsi="Times New Roman"/>
          <w:b/>
          <w:bCs/>
          <w:noProof/>
          <w:sz w:val="24"/>
          <w:u w:val="single"/>
        </w:rPr>
        <w:sectPr w:rsidR="00935FC8" w:rsidRPr="00B555B3" w:rsidSect="00A7081A">
          <w:headerReference w:type="even" r:id="rId167"/>
          <w:headerReference w:type="default" r:id="rId168"/>
          <w:footerReference w:type="even" r:id="rId169"/>
          <w:footerReference w:type="default" r:id="rId170"/>
          <w:headerReference w:type="first" r:id="rId171"/>
          <w:footerReference w:type="first" r:id="rId172"/>
          <w:pgSz w:w="11907" w:h="16839"/>
          <w:pgMar w:top="1134" w:right="1134" w:bottom="1134" w:left="1134" w:header="567" w:footer="567" w:gutter="0"/>
          <w:cols w:space="720"/>
          <w:docGrid w:linePitch="360"/>
        </w:sectPr>
      </w:pPr>
    </w:p>
    <w:p w14:paraId="24798074" w14:textId="77777777" w:rsidR="00935FC8" w:rsidRPr="00374BE0" w:rsidRDefault="00935FC8" w:rsidP="00A7081A">
      <w:pPr>
        <w:spacing w:before="120" w:after="120" w:line="240" w:lineRule="auto"/>
        <w:jc w:val="both"/>
        <w:rPr>
          <w:rFonts w:ascii="Times New Roman" w:hAnsi="Times New Roman"/>
          <w:b/>
          <w:noProof/>
          <w:sz w:val="24"/>
          <w:szCs w:val="24"/>
          <w:u w:val="single"/>
        </w:rPr>
      </w:pPr>
      <w:r w:rsidRPr="00374BE0">
        <w:rPr>
          <w:rFonts w:ascii="Times New Roman" w:hAnsi="Times New Roman"/>
          <w:b/>
          <w:noProof/>
          <w:sz w:val="24"/>
          <w:szCs w:val="24"/>
          <w:u w:val="single"/>
        </w:rPr>
        <w:t>N.2.</w:t>
      </w:r>
      <w:r w:rsidRPr="00374BE0">
        <w:rPr>
          <w:noProof/>
        </w:rPr>
        <w:tab/>
      </w:r>
      <w:r w:rsidRPr="00374BE0">
        <w:rPr>
          <w:rFonts w:ascii="Times New Roman" w:hAnsi="Times New Roman"/>
          <w:b/>
          <w:noProof/>
          <w:sz w:val="24"/>
          <w:szCs w:val="24"/>
          <w:u w:val="single"/>
        </w:rPr>
        <w:t>Milestones, targets, indicators, and timetable for monitoring and implementation for non-repayable financial support</w:t>
      </w:r>
    </w:p>
    <w:tbl>
      <w:tblPr>
        <w:tblW w:w="15304" w:type="dxa"/>
        <w:jc w:val="center"/>
        <w:tblLayout w:type="fixed"/>
        <w:tblCellMar>
          <w:left w:w="28" w:type="dxa"/>
          <w:right w:w="28" w:type="dxa"/>
        </w:tblCellMar>
        <w:tblLook w:val="04A0" w:firstRow="1" w:lastRow="0" w:firstColumn="1" w:lastColumn="0" w:noHBand="0" w:noVBand="1"/>
      </w:tblPr>
      <w:tblGrid>
        <w:gridCol w:w="846"/>
        <w:gridCol w:w="1669"/>
        <w:gridCol w:w="1045"/>
        <w:gridCol w:w="1410"/>
        <w:gridCol w:w="1424"/>
        <w:gridCol w:w="972"/>
        <w:gridCol w:w="851"/>
        <w:gridCol w:w="567"/>
        <w:gridCol w:w="850"/>
        <w:gridCol w:w="567"/>
        <w:gridCol w:w="5103"/>
      </w:tblGrid>
      <w:tr w:rsidR="00A7081A" w:rsidRPr="008E1AB8" w14:paraId="5935062F" w14:textId="77777777" w:rsidTr="00B615F0">
        <w:trPr>
          <w:trHeight w:val="674"/>
          <w:tblHeader/>
          <w:jc w:val="center"/>
        </w:trPr>
        <w:tc>
          <w:tcPr>
            <w:tcW w:w="84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82BC57C" w14:textId="77777777" w:rsidR="00935FC8" w:rsidRPr="008E1AB8" w:rsidRDefault="00935FC8" w:rsidP="001B782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Number</w:t>
            </w:r>
          </w:p>
        </w:tc>
        <w:tc>
          <w:tcPr>
            <w:tcW w:w="166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2440C66" w14:textId="77777777" w:rsidR="00935FC8" w:rsidRPr="008E1AB8" w:rsidRDefault="00935FC8" w:rsidP="00A7081A">
            <w:pPr>
              <w:spacing w:after="0" w:line="240" w:lineRule="auto"/>
              <w:jc w:val="center"/>
              <w:rPr>
                <w:rFonts w:ascii="Times New Roman" w:hAnsi="Times New Roman"/>
                <w:b/>
                <w:bCs/>
                <w:noProof/>
                <w:sz w:val="20"/>
                <w:szCs w:val="20"/>
                <w:lang w:eastAsia="en-GB"/>
              </w:rPr>
            </w:pPr>
            <w:r w:rsidRPr="008E1AB8">
              <w:rPr>
                <w:rFonts w:ascii="Times New Roman" w:hAnsi="Times New Roman"/>
                <w:b/>
                <w:bCs/>
                <w:noProof/>
                <w:sz w:val="20"/>
                <w:szCs w:val="20"/>
                <w:lang w:eastAsia="en-GB"/>
              </w:rPr>
              <w:t>Measure</w:t>
            </w:r>
          </w:p>
        </w:tc>
        <w:tc>
          <w:tcPr>
            <w:tcW w:w="10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79C838B" w14:textId="77777777" w:rsidR="00935FC8" w:rsidRPr="008E1AB8" w:rsidRDefault="00935FC8" w:rsidP="00A7081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Milestone / Target</w:t>
            </w:r>
          </w:p>
        </w:tc>
        <w:tc>
          <w:tcPr>
            <w:tcW w:w="14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A6F20D8" w14:textId="77777777" w:rsidR="00935FC8" w:rsidRPr="008E1AB8" w:rsidRDefault="00935FC8" w:rsidP="00A7081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Name</w:t>
            </w:r>
          </w:p>
        </w:tc>
        <w:tc>
          <w:tcPr>
            <w:tcW w:w="142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44BE4E5" w14:textId="77777777" w:rsidR="00935FC8" w:rsidRPr="008E1AB8" w:rsidRDefault="00935FC8" w:rsidP="00A7081A">
            <w:pPr>
              <w:spacing w:after="0" w:line="240" w:lineRule="auto"/>
              <w:jc w:val="center"/>
              <w:rPr>
                <w:rFonts w:ascii="Times New Roman" w:hAnsi="Times New Roman"/>
                <w:b/>
                <w:bCs/>
                <w:noProof/>
                <w:sz w:val="20"/>
                <w:szCs w:val="20"/>
                <w:lang w:eastAsia="en-GB"/>
              </w:rPr>
            </w:pPr>
            <w:r w:rsidRPr="008E1AB8">
              <w:rPr>
                <w:rFonts w:ascii="Times New Roman" w:hAnsi="Times New Roman"/>
                <w:b/>
                <w:bCs/>
                <w:noProof/>
                <w:sz w:val="20"/>
                <w:szCs w:val="20"/>
                <w:lang w:eastAsia="en-GB"/>
              </w:rPr>
              <w:t>Qualitative indicators (for milestones)</w:t>
            </w:r>
          </w:p>
        </w:tc>
        <w:tc>
          <w:tcPr>
            <w:tcW w:w="239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2E990AA5" w14:textId="77777777" w:rsidR="00935FC8" w:rsidRPr="008E1AB8" w:rsidRDefault="00935FC8" w:rsidP="00A7081A">
            <w:pPr>
              <w:spacing w:after="0" w:line="240" w:lineRule="auto"/>
              <w:jc w:val="center"/>
              <w:rPr>
                <w:rFonts w:ascii="Times New Roman" w:hAnsi="Times New Roman"/>
                <w:b/>
                <w:bCs/>
                <w:noProof/>
                <w:sz w:val="20"/>
                <w:szCs w:val="20"/>
                <w:lang w:eastAsia="en-GB"/>
              </w:rPr>
            </w:pPr>
            <w:r w:rsidRPr="008E1AB8">
              <w:rPr>
                <w:rFonts w:ascii="Times New Roman" w:hAnsi="Times New Roman"/>
                <w:b/>
                <w:bCs/>
                <w:noProof/>
                <w:sz w:val="20"/>
                <w:szCs w:val="20"/>
                <w:lang w:eastAsia="en-GB"/>
              </w:rPr>
              <w:t>Quantitative indicators (for targets)</w:t>
            </w:r>
          </w:p>
        </w:tc>
        <w:tc>
          <w:tcPr>
            <w:tcW w:w="1417" w:type="dxa"/>
            <w:gridSpan w:val="2"/>
            <w:tcBorders>
              <w:top w:val="single" w:sz="4" w:space="0" w:color="auto"/>
              <w:left w:val="nil"/>
              <w:bottom w:val="single" w:sz="4" w:space="0" w:color="auto"/>
              <w:right w:val="single" w:sz="4" w:space="0" w:color="auto"/>
            </w:tcBorders>
            <w:shd w:val="clear" w:color="auto" w:fill="BDD7EE"/>
            <w:vAlign w:val="center"/>
            <w:hideMark/>
          </w:tcPr>
          <w:p w14:paraId="403A3388" w14:textId="77777777" w:rsidR="00935FC8" w:rsidRPr="008E1AB8" w:rsidRDefault="00935FC8" w:rsidP="00A7081A">
            <w:pPr>
              <w:spacing w:after="0" w:line="240" w:lineRule="auto"/>
              <w:jc w:val="center"/>
              <w:rPr>
                <w:rFonts w:ascii="Times New Roman" w:hAnsi="Times New Roman"/>
                <w:b/>
                <w:bCs/>
                <w:noProof/>
                <w:sz w:val="20"/>
                <w:szCs w:val="20"/>
                <w:lang w:eastAsia="en-GB"/>
              </w:rPr>
            </w:pPr>
            <w:r w:rsidRPr="008E1AB8">
              <w:rPr>
                <w:rFonts w:ascii="Times New Roman" w:hAnsi="Times New Roman"/>
                <w:b/>
                <w:bCs/>
                <w:noProof/>
                <w:sz w:val="20"/>
                <w:szCs w:val="20"/>
                <w:lang w:eastAsia="en-GB"/>
              </w:rPr>
              <w:t>Indicative timeline for completion</w:t>
            </w:r>
          </w:p>
        </w:tc>
        <w:tc>
          <w:tcPr>
            <w:tcW w:w="510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D7CF36" w14:textId="77777777" w:rsidR="00935FC8" w:rsidRPr="008E1AB8" w:rsidRDefault="00935FC8" w:rsidP="00A7081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Description of each milestone and target</w:t>
            </w:r>
          </w:p>
        </w:tc>
      </w:tr>
      <w:tr w:rsidR="00A7081A" w:rsidRPr="008E1AB8" w14:paraId="6D3B4E92" w14:textId="77777777" w:rsidTr="00B615F0">
        <w:trPr>
          <w:trHeight w:val="428"/>
          <w:tblHeader/>
          <w:jc w:val="center"/>
        </w:trPr>
        <w:tc>
          <w:tcPr>
            <w:tcW w:w="846" w:type="dxa"/>
            <w:vMerge/>
            <w:tcBorders>
              <w:top w:val="single" w:sz="4" w:space="0" w:color="auto"/>
              <w:left w:val="single" w:sz="4" w:space="0" w:color="auto"/>
              <w:bottom w:val="single" w:sz="4" w:space="0" w:color="auto"/>
              <w:right w:val="single" w:sz="4" w:space="0" w:color="auto"/>
            </w:tcBorders>
            <w:vAlign w:val="center"/>
            <w:hideMark/>
          </w:tcPr>
          <w:p w14:paraId="623B226C" w14:textId="77777777" w:rsidR="00935FC8" w:rsidRPr="008E1AB8" w:rsidRDefault="00935FC8" w:rsidP="001B782A">
            <w:pPr>
              <w:spacing w:after="0" w:line="240" w:lineRule="auto"/>
              <w:jc w:val="center"/>
              <w:rPr>
                <w:rFonts w:ascii="Times New Roman" w:hAnsi="Times New Roman"/>
                <w:b/>
                <w:noProof/>
                <w:sz w:val="20"/>
                <w:szCs w:val="20"/>
                <w:lang w:eastAsia="en-GB"/>
              </w:rPr>
            </w:pPr>
          </w:p>
        </w:tc>
        <w:tc>
          <w:tcPr>
            <w:tcW w:w="1669" w:type="dxa"/>
            <w:vMerge/>
            <w:tcBorders>
              <w:top w:val="single" w:sz="4" w:space="0" w:color="auto"/>
              <w:left w:val="single" w:sz="4" w:space="0" w:color="auto"/>
              <w:bottom w:val="single" w:sz="4" w:space="0" w:color="auto"/>
              <w:right w:val="single" w:sz="4" w:space="0" w:color="auto"/>
            </w:tcBorders>
            <w:vAlign w:val="center"/>
            <w:hideMark/>
          </w:tcPr>
          <w:p w14:paraId="11A471EA" w14:textId="77777777" w:rsidR="00935FC8" w:rsidRPr="008E1AB8" w:rsidRDefault="00935FC8" w:rsidP="00A7081A">
            <w:pPr>
              <w:spacing w:after="0" w:line="240" w:lineRule="auto"/>
              <w:jc w:val="center"/>
              <w:rPr>
                <w:rFonts w:ascii="Times New Roman" w:hAnsi="Times New Roman"/>
                <w:b/>
                <w:noProof/>
                <w:sz w:val="20"/>
                <w:szCs w:val="20"/>
                <w:lang w:eastAsia="en-GB"/>
              </w:rPr>
            </w:pPr>
          </w:p>
        </w:tc>
        <w:tc>
          <w:tcPr>
            <w:tcW w:w="1045" w:type="dxa"/>
            <w:vMerge/>
            <w:tcBorders>
              <w:top w:val="single" w:sz="4" w:space="0" w:color="auto"/>
              <w:left w:val="single" w:sz="4" w:space="0" w:color="auto"/>
              <w:bottom w:val="single" w:sz="4" w:space="0" w:color="auto"/>
              <w:right w:val="single" w:sz="4" w:space="0" w:color="auto"/>
            </w:tcBorders>
            <w:vAlign w:val="center"/>
            <w:hideMark/>
          </w:tcPr>
          <w:p w14:paraId="6CB2C7F7" w14:textId="77777777" w:rsidR="00935FC8" w:rsidRPr="008E1AB8" w:rsidRDefault="00935FC8" w:rsidP="00A7081A">
            <w:pPr>
              <w:spacing w:after="0" w:line="240" w:lineRule="auto"/>
              <w:jc w:val="center"/>
              <w:rPr>
                <w:rFonts w:ascii="Times New Roman" w:hAnsi="Times New Roman"/>
                <w:b/>
                <w:noProof/>
                <w:sz w:val="20"/>
                <w:szCs w:val="20"/>
                <w:lang w:eastAsia="en-GB"/>
              </w:rPr>
            </w:pPr>
          </w:p>
        </w:tc>
        <w:tc>
          <w:tcPr>
            <w:tcW w:w="1410" w:type="dxa"/>
            <w:vMerge/>
            <w:tcBorders>
              <w:top w:val="single" w:sz="4" w:space="0" w:color="auto"/>
              <w:left w:val="single" w:sz="4" w:space="0" w:color="auto"/>
              <w:bottom w:val="single" w:sz="4" w:space="0" w:color="auto"/>
              <w:right w:val="single" w:sz="4" w:space="0" w:color="auto"/>
            </w:tcBorders>
            <w:vAlign w:val="center"/>
            <w:hideMark/>
          </w:tcPr>
          <w:p w14:paraId="21AE4425" w14:textId="77777777" w:rsidR="00935FC8" w:rsidRPr="008E1AB8" w:rsidRDefault="00935FC8" w:rsidP="00A7081A">
            <w:pPr>
              <w:spacing w:after="0" w:line="240" w:lineRule="auto"/>
              <w:jc w:val="center"/>
              <w:rPr>
                <w:rFonts w:ascii="Times New Roman" w:hAnsi="Times New Roman"/>
                <w:b/>
                <w:noProof/>
                <w:sz w:val="20"/>
                <w:szCs w:val="20"/>
                <w:lang w:eastAsia="en-GB"/>
              </w:rPr>
            </w:pPr>
          </w:p>
        </w:tc>
        <w:tc>
          <w:tcPr>
            <w:tcW w:w="1424" w:type="dxa"/>
            <w:vMerge/>
            <w:tcBorders>
              <w:left w:val="single" w:sz="4" w:space="0" w:color="auto"/>
            </w:tcBorders>
            <w:vAlign w:val="center"/>
            <w:hideMark/>
          </w:tcPr>
          <w:p w14:paraId="35790B32" w14:textId="77777777" w:rsidR="00935FC8" w:rsidRPr="008E1AB8" w:rsidRDefault="00935FC8" w:rsidP="00A7081A">
            <w:pPr>
              <w:spacing w:after="0" w:line="240" w:lineRule="auto"/>
              <w:jc w:val="center"/>
              <w:rPr>
                <w:rFonts w:ascii="Times New Roman" w:hAnsi="Times New Roman"/>
                <w:b/>
                <w:noProof/>
                <w:sz w:val="20"/>
                <w:szCs w:val="20"/>
                <w:lang w:eastAsia="en-GB"/>
              </w:rPr>
            </w:pPr>
          </w:p>
        </w:tc>
        <w:tc>
          <w:tcPr>
            <w:tcW w:w="97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FAF4923" w14:textId="77777777" w:rsidR="00935FC8" w:rsidRPr="008E1AB8" w:rsidRDefault="00935FC8" w:rsidP="00A7081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Unit</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295CAF7" w14:textId="77777777" w:rsidR="00935FC8" w:rsidRPr="008E1AB8" w:rsidRDefault="00935FC8" w:rsidP="00A7081A">
            <w:pPr>
              <w:spacing w:after="0" w:line="240" w:lineRule="auto"/>
              <w:jc w:val="center"/>
              <w:rPr>
                <w:rFonts w:ascii="Times New Roman" w:hAnsi="Times New Roman"/>
                <w:b/>
                <w:bCs/>
                <w:noProof/>
                <w:sz w:val="20"/>
                <w:szCs w:val="20"/>
                <w:lang w:eastAsia="en-GB"/>
              </w:rPr>
            </w:pPr>
            <w:r w:rsidRPr="008E1AB8">
              <w:rPr>
                <w:rFonts w:ascii="Times New Roman" w:hAnsi="Times New Roman"/>
                <w:b/>
                <w:bCs/>
                <w:noProof/>
                <w:sz w:val="20"/>
                <w:szCs w:val="20"/>
                <w:lang w:eastAsia="en-GB"/>
              </w:rPr>
              <w:t>Baseline</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9813F6" w14:textId="77777777" w:rsidR="00935FC8" w:rsidRPr="008E1AB8" w:rsidRDefault="00935FC8" w:rsidP="00A7081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Goal</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042A0FB" w14:textId="77777777" w:rsidR="00935FC8" w:rsidRPr="008E1AB8" w:rsidRDefault="00935FC8" w:rsidP="00A7081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Quarter</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7269B26" w14:textId="77777777" w:rsidR="00935FC8" w:rsidRPr="008E1AB8" w:rsidRDefault="00935FC8" w:rsidP="00A7081A">
            <w:pPr>
              <w:spacing w:after="0" w:line="240" w:lineRule="auto"/>
              <w:jc w:val="center"/>
              <w:rPr>
                <w:rFonts w:ascii="Times New Roman" w:hAnsi="Times New Roman"/>
                <w:b/>
                <w:noProof/>
                <w:sz w:val="20"/>
                <w:szCs w:val="20"/>
                <w:lang w:eastAsia="en-GB"/>
              </w:rPr>
            </w:pPr>
            <w:r w:rsidRPr="008E1AB8">
              <w:rPr>
                <w:rFonts w:ascii="Times New Roman" w:hAnsi="Times New Roman"/>
                <w:b/>
                <w:noProof/>
                <w:sz w:val="20"/>
                <w:szCs w:val="20"/>
                <w:lang w:eastAsia="en-GB"/>
              </w:rPr>
              <w:t>Year</w:t>
            </w:r>
          </w:p>
        </w:tc>
        <w:tc>
          <w:tcPr>
            <w:tcW w:w="5103" w:type="dxa"/>
            <w:vMerge/>
            <w:tcBorders>
              <w:top w:val="single" w:sz="4" w:space="0" w:color="auto"/>
              <w:bottom w:val="single" w:sz="4" w:space="0" w:color="auto"/>
              <w:right w:val="single" w:sz="4" w:space="0" w:color="auto"/>
            </w:tcBorders>
            <w:vAlign w:val="center"/>
            <w:hideMark/>
          </w:tcPr>
          <w:p w14:paraId="6F1AABBC" w14:textId="77777777" w:rsidR="00935FC8" w:rsidRPr="008E1AB8" w:rsidRDefault="00935FC8" w:rsidP="00A7081A">
            <w:pPr>
              <w:spacing w:after="0" w:line="240" w:lineRule="auto"/>
              <w:jc w:val="center"/>
              <w:rPr>
                <w:rFonts w:ascii="Times New Roman" w:hAnsi="Times New Roman"/>
                <w:noProof/>
                <w:sz w:val="20"/>
                <w:szCs w:val="20"/>
                <w:lang w:eastAsia="en-GB"/>
              </w:rPr>
            </w:pPr>
          </w:p>
        </w:tc>
      </w:tr>
      <w:tr w:rsidR="00A7081A" w:rsidRPr="008E1AB8" w14:paraId="02C2783A" w14:textId="77777777" w:rsidTr="00B615F0">
        <w:trPr>
          <w:trHeight w:val="1332"/>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174219DF"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141</w:t>
            </w:r>
          </w:p>
        </w:tc>
        <w:tc>
          <w:tcPr>
            <w:tcW w:w="1669" w:type="dxa"/>
            <w:tcBorders>
              <w:top w:val="single" w:sz="4" w:space="0" w:color="auto"/>
              <w:left w:val="nil"/>
              <w:bottom w:val="single" w:sz="4" w:space="0" w:color="auto"/>
              <w:right w:val="single" w:sz="4" w:space="0" w:color="auto"/>
            </w:tcBorders>
            <w:shd w:val="clear" w:color="auto" w:fill="C6EFCE"/>
            <w:noWrap/>
          </w:tcPr>
          <w:p w14:paraId="5DE749F7"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P5C1R1: Green transition permitting</w:t>
            </w:r>
          </w:p>
        </w:tc>
        <w:tc>
          <w:tcPr>
            <w:tcW w:w="1045" w:type="dxa"/>
            <w:tcBorders>
              <w:top w:val="single" w:sz="4" w:space="0" w:color="auto"/>
              <w:left w:val="nil"/>
              <w:bottom w:val="single" w:sz="4" w:space="0" w:color="auto"/>
              <w:right w:val="single" w:sz="4" w:space="0" w:color="auto"/>
            </w:tcBorders>
            <w:shd w:val="clear" w:color="auto" w:fill="C6EFCE"/>
            <w:noWrap/>
          </w:tcPr>
          <w:p w14:paraId="0D0D6D4A"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Target</w:t>
            </w:r>
          </w:p>
        </w:tc>
        <w:tc>
          <w:tcPr>
            <w:tcW w:w="1410" w:type="dxa"/>
            <w:tcBorders>
              <w:top w:val="single" w:sz="4" w:space="0" w:color="auto"/>
              <w:left w:val="nil"/>
              <w:bottom w:val="single" w:sz="4" w:space="0" w:color="auto"/>
              <w:right w:val="single" w:sz="4" w:space="0" w:color="auto"/>
            </w:tcBorders>
            <w:shd w:val="clear" w:color="auto" w:fill="C6EFCE"/>
            <w:noWrap/>
          </w:tcPr>
          <w:p w14:paraId="57265A37"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Conclusion of environmental impact assessments</w:t>
            </w:r>
          </w:p>
        </w:tc>
        <w:tc>
          <w:tcPr>
            <w:tcW w:w="1424" w:type="dxa"/>
            <w:tcBorders>
              <w:top w:val="single" w:sz="4" w:space="0" w:color="auto"/>
              <w:left w:val="nil"/>
              <w:bottom w:val="single" w:sz="4" w:space="0" w:color="auto"/>
              <w:right w:val="single" w:sz="4" w:space="0" w:color="auto"/>
            </w:tcBorders>
            <w:shd w:val="clear" w:color="auto" w:fill="C6EFCE"/>
            <w:noWrap/>
          </w:tcPr>
          <w:p w14:paraId="755FE1DE" w14:textId="77777777" w:rsidR="00935FC8" w:rsidRPr="008E1AB8" w:rsidRDefault="00935FC8" w:rsidP="00A7081A">
            <w:pPr>
              <w:spacing w:after="0" w:line="240" w:lineRule="auto"/>
              <w:rPr>
                <w:rFonts w:ascii="Times New Roman" w:hAnsi="Times New Roman"/>
                <w:noProof/>
                <w:sz w:val="20"/>
                <w:szCs w:val="20"/>
                <w:lang w:eastAsia="en-GB"/>
              </w:rPr>
            </w:pPr>
          </w:p>
        </w:tc>
        <w:tc>
          <w:tcPr>
            <w:tcW w:w="972" w:type="dxa"/>
            <w:tcBorders>
              <w:top w:val="nil"/>
              <w:left w:val="nil"/>
              <w:bottom w:val="single" w:sz="4" w:space="0" w:color="auto"/>
              <w:right w:val="single" w:sz="4" w:space="0" w:color="auto"/>
            </w:tcBorders>
            <w:shd w:val="clear" w:color="auto" w:fill="C6EFCE"/>
            <w:noWrap/>
          </w:tcPr>
          <w:p w14:paraId="7A690572"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Number</w:t>
            </w:r>
          </w:p>
        </w:tc>
        <w:tc>
          <w:tcPr>
            <w:tcW w:w="851" w:type="dxa"/>
            <w:tcBorders>
              <w:top w:val="nil"/>
              <w:left w:val="nil"/>
              <w:bottom w:val="single" w:sz="4" w:space="0" w:color="auto"/>
              <w:right w:val="single" w:sz="4" w:space="0" w:color="auto"/>
            </w:tcBorders>
            <w:shd w:val="clear" w:color="auto" w:fill="C6EFCE"/>
            <w:noWrap/>
          </w:tcPr>
          <w:p w14:paraId="2A02D3BC"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0</w:t>
            </w:r>
          </w:p>
        </w:tc>
        <w:tc>
          <w:tcPr>
            <w:tcW w:w="567" w:type="dxa"/>
            <w:tcBorders>
              <w:top w:val="nil"/>
              <w:left w:val="nil"/>
              <w:bottom w:val="single" w:sz="4" w:space="0" w:color="auto"/>
              <w:right w:val="single" w:sz="4" w:space="0" w:color="auto"/>
            </w:tcBorders>
            <w:shd w:val="clear" w:color="auto" w:fill="C6EFCE"/>
            <w:noWrap/>
          </w:tcPr>
          <w:p w14:paraId="4981ADBC"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228</w:t>
            </w:r>
          </w:p>
        </w:tc>
        <w:tc>
          <w:tcPr>
            <w:tcW w:w="850" w:type="dxa"/>
            <w:tcBorders>
              <w:top w:val="nil"/>
              <w:left w:val="nil"/>
              <w:bottom w:val="single" w:sz="4" w:space="0" w:color="auto"/>
              <w:right w:val="single" w:sz="4" w:space="0" w:color="auto"/>
            </w:tcBorders>
            <w:shd w:val="clear" w:color="auto" w:fill="C6EFCE"/>
            <w:noWrap/>
          </w:tcPr>
          <w:p w14:paraId="0EF2E85B"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Q4</w:t>
            </w:r>
          </w:p>
        </w:tc>
        <w:tc>
          <w:tcPr>
            <w:tcW w:w="567" w:type="dxa"/>
            <w:tcBorders>
              <w:top w:val="nil"/>
              <w:left w:val="nil"/>
              <w:bottom w:val="single" w:sz="4" w:space="0" w:color="auto"/>
              <w:right w:val="single" w:sz="4" w:space="0" w:color="auto"/>
            </w:tcBorders>
            <w:shd w:val="clear" w:color="auto" w:fill="C6EFCE"/>
            <w:noWrap/>
          </w:tcPr>
          <w:p w14:paraId="17C8A37B" w14:textId="77777777" w:rsidR="00935FC8" w:rsidRPr="008E1AB8" w:rsidRDefault="00935FC8" w:rsidP="001B782A">
            <w:pPr>
              <w:spacing w:after="0" w:line="240" w:lineRule="auto"/>
              <w:jc w:val="center"/>
              <w:rPr>
                <w:rFonts w:ascii="Times New Roman" w:eastAsia="Times New Roman" w:hAnsi="Times New Roman"/>
                <w:noProof/>
                <w:sz w:val="20"/>
                <w:szCs w:val="20"/>
              </w:rPr>
            </w:pPr>
            <w:r w:rsidRPr="008E1AB8">
              <w:rPr>
                <w:rFonts w:ascii="Times New Roman" w:hAnsi="Times New Roman"/>
                <w:noProof/>
                <w:sz w:val="20"/>
                <w:szCs w:val="20"/>
                <w:lang w:eastAsia="en-GB"/>
              </w:rPr>
              <w:t>2025</w:t>
            </w:r>
          </w:p>
        </w:tc>
        <w:tc>
          <w:tcPr>
            <w:tcW w:w="5103" w:type="dxa"/>
            <w:tcBorders>
              <w:top w:val="single" w:sz="4" w:space="0" w:color="auto"/>
              <w:left w:val="nil"/>
              <w:bottom w:val="single" w:sz="4" w:space="0" w:color="auto"/>
              <w:right w:val="single" w:sz="4" w:space="0" w:color="auto"/>
            </w:tcBorders>
            <w:shd w:val="clear" w:color="auto" w:fill="C6EFCE"/>
            <w:noWrap/>
          </w:tcPr>
          <w:p w14:paraId="073476E9" w14:textId="77777777" w:rsidR="00935FC8" w:rsidRPr="008E1AB8" w:rsidRDefault="00935FC8" w:rsidP="00A7081A">
            <w:pPr>
              <w:spacing w:after="0" w:line="240" w:lineRule="auto"/>
              <w:rPr>
                <w:rFonts w:ascii="Times New Roman" w:eastAsia="Times New Roman" w:hAnsi="Times New Roman"/>
                <w:noProof/>
                <w:sz w:val="20"/>
                <w:szCs w:val="20"/>
                <w:lang w:eastAsia="en-GB"/>
              </w:rPr>
            </w:pPr>
            <w:r w:rsidRPr="008E1AB8">
              <w:rPr>
                <w:rFonts w:ascii="Times New Roman" w:eastAsia="Times New Roman" w:hAnsi="Times New Roman"/>
                <w:noProof/>
                <w:sz w:val="20"/>
                <w:szCs w:val="20"/>
              </w:rPr>
              <w:t>Reasoned conclusions</w:t>
            </w:r>
            <w:r w:rsidRPr="008E1AB8">
              <w:rPr>
                <w:rFonts w:ascii="Times New Roman" w:eastAsia="Times New Roman" w:hAnsi="Times New Roman"/>
                <w:noProof/>
                <w:sz w:val="20"/>
                <w:szCs w:val="20"/>
                <w:lang w:eastAsia="en-GB"/>
              </w:rPr>
              <w:t xml:space="preserve"> or statements on the assessment report shal</w:t>
            </w:r>
            <w:r w:rsidRPr="008E1AB8">
              <w:rPr>
                <w:rFonts w:ascii="Times New Roman" w:eastAsia="Times New Roman" w:hAnsi="Times New Roman"/>
                <w:noProof/>
                <w:sz w:val="20"/>
                <w:szCs w:val="20"/>
              </w:rPr>
              <w:t>l be made on at least 228 environmental impact assessments after 1 January 2023.</w:t>
            </w:r>
          </w:p>
        </w:tc>
      </w:tr>
      <w:tr w:rsidR="00A7081A" w:rsidRPr="008E1AB8" w14:paraId="250ADDE8" w14:textId="77777777" w:rsidTr="00B615F0">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798B09A8"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143</w:t>
            </w:r>
          </w:p>
        </w:tc>
        <w:tc>
          <w:tcPr>
            <w:tcW w:w="1669" w:type="dxa"/>
            <w:tcBorders>
              <w:top w:val="nil"/>
              <w:left w:val="nil"/>
              <w:bottom w:val="single" w:sz="4" w:space="0" w:color="auto"/>
              <w:right w:val="single" w:sz="4" w:space="0" w:color="auto"/>
            </w:tcBorders>
            <w:shd w:val="clear" w:color="auto" w:fill="C6EFCE"/>
            <w:noWrap/>
          </w:tcPr>
          <w:p w14:paraId="65FE61E6"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P5C1R1: Green transition permitting</w:t>
            </w:r>
          </w:p>
        </w:tc>
        <w:tc>
          <w:tcPr>
            <w:tcW w:w="1045" w:type="dxa"/>
            <w:tcBorders>
              <w:top w:val="nil"/>
              <w:left w:val="nil"/>
              <w:bottom w:val="single" w:sz="4" w:space="0" w:color="auto"/>
              <w:right w:val="single" w:sz="4" w:space="0" w:color="auto"/>
            </w:tcBorders>
            <w:shd w:val="clear" w:color="auto" w:fill="C6EFCE"/>
            <w:noWrap/>
          </w:tcPr>
          <w:p w14:paraId="6AFEACAA"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Milestone</w:t>
            </w:r>
          </w:p>
        </w:tc>
        <w:tc>
          <w:tcPr>
            <w:tcW w:w="1410" w:type="dxa"/>
            <w:tcBorders>
              <w:top w:val="nil"/>
              <w:left w:val="nil"/>
              <w:bottom w:val="single" w:sz="4" w:space="0" w:color="auto"/>
              <w:right w:val="single" w:sz="4" w:space="0" w:color="auto"/>
            </w:tcBorders>
            <w:shd w:val="clear" w:color="auto" w:fill="C6EFCE"/>
            <w:noWrap/>
          </w:tcPr>
          <w:p w14:paraId="4732D61E"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 xml:space="preserve">Entry into force of </w:t>
            </w:r>
            <w:r w:rsidRPr="008E1AB8" w:rsidDel="3E6ECDE5">
              <w:rPr>
                <w:rFonts w:ascii="Times New Roman" w:hAnsi="Times New Roman"/>
                <w:noProof/>
                <w:sz w:val="20"/>
                <w:szCs w:val="20"/>
                <w:lang w:eastAsia="en-GB"/>
              </w:rPr>
              <w:t>the legal act</w:t>
            </w:r>
            <w:r w:rsidRPr="008E1AB8" w:rsidDel="0AB1A369">
              <w:rPr>
                <w:rFonts w:ascii="Times New Roman" w:hAnsi="Times New Roman"/>
                <w:noProof/>
                <w:sz w:val="20"/>
                <w:szCs w:val="20"/>
                <w:lang w:eastAsia="en-GB"/>
              </w:rPr>
              <w:t>s</w:t>
            </w:r>
            <w:r w:rsidRPr="008E1AB8">
              <w:rPr>
                <w:rFonts w:ascii="Times New Roman" w:hAnsi="Times New Roman"/>
                <w:noProof/>
                <w:sz w:val="20"/>
                <w:szCs w:val="20"/>
                <w:lang w:eastAsia="en-GB"/>
              </w:rPr>
              <w:t xml:space="preserve"> establishing the new environmental permit procedure</w:t>
            </w:r>
          </w:p>
        </w:tc>
        <w:tc>
          <w:tcPr>
            <w:tcW w:w="1424" w:type="dxa"/>
            <w:tcBorders>
              <w:top w:val="single" w:sz="4" w:space="0" w:color="auto"/>
              <w:left w:val="nil"/>
              <w:bottom w:val="single" w:sz="4" w:space="0" w:color="auto"/>
              <w:right w:val="single" w:sz="4" w:space="0" w:color="auto"/>
            </w:tcBorders>
            <w:shd w:val="clear" w:color="auto" w:fill="C6EFCE"/>
            <w:noWrap/>
          </w:tcPr>
          <w:p w14:paraId="044D0728"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 xml:space="preserve">Provision in the </w:t>
            </w:r>
            <w:r w:rsidRPr="008E1AB8" w:rsidDel="52CC145A">
              <w:rPr>
                <w:rFonts w:ascii="Times New Roman" w:hAnsi="Times New Roman"/>
                <w:noProof/>
                <w:sz w:val="20"/>
                <w:szCs w:val="20"/>
                <w:lang w:eastAsia="en-GB"/>
              </w:rPr>
              <w:t>legal act</w:t>
            </w:r>
            <w:r w:rsidRPr="008E1AB8" w:rsidDel="135F584D">
              <w:rPr>
                <w:rFonts w:ascii="Times New Roman" w:hAnsi="Times New Roman"/>
                <w:noProof/>
                <w:sz w:val="20"/>
                <w:szCs w:val="20"/>
                <w:lang w:eastAsia="en-GB"/>
              </w:rPr>
              <w:t>s</w:t>
            </w:r>
            <w:r w:rsidRPr="008E1AB8">
              <w:rPr>
                <w:rFonts w:ascii="Times New Roman" w:hAnsi="Times New Roman"/>
                <w:noProof/>
                <w:sz w:val="20"/>
                <w:szCs w:val="20"/>
                <w:lang w:eastAsia="en-GB"/>
              </w:rPr>
              <w:t xml:space="preserve"> indicating </w:t>
            </w:r>
            <w:r w:rsidRPr="008E1AB8" w:rsidDel="52CC145A">
              <w:rPr>
                <w:rFonts w:ascii="Times New Roman" w:hAnsi="Times New Roman"/>
                <w:noProof/>
                <w:sz w:val="20"/>
                <w:szCs w:val="20"/>
                <w:lang w:eastAsia="en-GB"/>
              </w:rPr>
              <w:t xml:space="preserve">the </w:t>
            </w:r>
            <w:r w:rsidRPr="008E1AB8">
              <w:rPr>
                <w:rFonts w:ascii="Times New Roman" w:hAnsi="Times New Roman"/>
                <w:noProof/>
                <w:sz w:val="20"/>
                <w:szCs w:val="20"/>
                <w:lang w:eastAsia="en-GB"/>
              </w:rPr>
              <w:t>entry into force</w:t>
            </w:r>
            <w:r w:rsidRPr="008E1AB8" w:rsidDel="52CC145A">
              <w:rPr>
                <w:rFonts w:ascii="Times New Roman" w:hAnsi="Times New Roman"/>
                <w:noProof/>
                <w:sz w:val="20"/>
                <w:szCs w:val="20"/>
                <w:lang w:eastAsia="en-GB"/>
              </w:rPr>
              <w:t xml:space="preserve"> of the legal act</w:t>
            </w:r>
            <w:r w:rsidRPr="008E1AB8" w:rsidDel="7BE3027D">
              <w:rPr>
                <w:rFonts w:ascii="Times New Roman" w:hAnsi="Times New Roman"/>
                <w:noProof/>
                <w:sz w:val="20"/>
                <w:szCs w:val="20"/>
                <w:lang w:eastAsia="en-GB"/>
              </w:rPr>
              <w:t>s</w:t>
            </w:r>
          </w:p>
        </w:tc>
        <w:tc>
          <w:tcPr>
            <w:tcW w:w="972" w:type="dxa"/>
            <w:tcBorders>
              <w:top w:val="nil"/>
              <w:left w:val="nil"/>
              <w:bottom w:val="single" w:sz="4" w:space="0" w:color="auto"/>
              <w:right w:val="single" w:sz="4" w:space="0" w:color="auto"/>
            </w:tcBorders>
            <w:shd w:val="clear" w:color="auto" w:fill="C6EFCE"/>
            <w:noWrap/>
          </w:tcPr>
          <w:p w14:paraId="1A183D3C"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2EF1E703"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567" w:type="dxa"/>
            <w:tcBorders>
              <w:top w:val="nil"/>
              <w:left w:val="nil"/>
              <w:bottom w:val="single" w:sz="4" w:space="0" w:color="auto"/>
              <w:right w:val="single" w:sz="4" w:space="0" w:color="auto"/>
            </w:tcBorders>
            <w:shd w:val="clear" w:color="auto" w:fill="C6EFCE"/>
            <w:noWrap/>
          </w:tcPr>
          <w:p w14:paraId="11382B1F"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tcPr>
          <w:p w14:paraId="32DAED40"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Q4</w:t>
            </w:r>
          </w:p>
        </w:tc>
        <w:tc>
          <w:tcPr>
            <w:tcW w:w="567" w:type="dxa"/>
            <w:tcBorders>
              <w:top w:val="nil"/>
              <w:left w:val="nil"/>
              <w:bottom w:val="single" w:sz="4" w:space="0" w:color="auto"/>
              <w:right w:val="single" w:sz="4" w:space="0" w:color="auto"/>
            </w:tcBorders>
            <w:shd w:val="clear" w:color="auto" w:fill="C6EFCE"/>
            <w:noWrap/>
          </w:tcPr>
          <w:p w14:paraId="13CC7171"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2025</w:t>
            </w:r>
          </w:p>
        </w:tc>
        <w:tc>
          <w:tcPr>
            <w:tcW w:w="5103" w:type="dxa"/>
            <w:tcBorders>
              <w:top w:val="single" w:sz="4" w:space="0" w:color="auto"/>
              <w:left w:val="nil"/>
              <w:bottom w:val="single" w:sz="4" w:space="0" w:color="auto"/>
              <w:right w:val="single" w:sz="4" w:space="0" w:color="auto"/>
            </w:tcBorders>
            <w:shd w:val="clear" w:color="auto" w:fill="C6EFCE"/>
            <w:noWrap/>
          </w:tcPr>
          <w:p w14:paraId="2528B094" w14:textId="77777777" w:rsidR="00935FC8" w:rsidRPr="008E1AB8" w:rsidRDefault="00935FC8" w:rsidP="00A7081A">
            <w:pPr>
              <w:spacing w:after="0" w:line="240" w:lineRule="auto"/>
              <w:rPr>
                <w:rFonts w:ascii="Times New Roman" w:hAnsi="Times New Roman"/>
                <w:noProof/>
                <w:sz w:val="20"/>
                <w:szCs w:val="20"/>
                <w:lang w:eastAsia="en-GB"/>
              </w:rPr>
            </w:pPr>
            <w:r w:rsidRPr="008E1AB8" w:rsidDel="32C05CCC">
              <w:rPr>
                <w:rFonts w:ascii="Times New Roman" w:hAnsi="Times New Roman"/>
                <w:noProof/>
                <w:sz w:val="20"/>
                <w:szCs w:val="20"/>
                <w:lang w:eastAsia="en-GB"/>
              </w:rPr>
              <w:t>The legal act</w:t>
            </w:r>
            <w:r w:rsidRPr="008E1AB8" w:rsidDel="456FBBD9">
              <w:rPr>
                <w:rFonts w:ascii="Times New Roman" w:hAnsi="Times New Roman"/>
                <w:noProof/>
                <w:sz w:val="20"/>
                <w:szCs w:val="20"/>
                <w:lang w:eastAsia="en-GB"/>
              </w:rPr>
              <w:t>s</w:t>
            </w:r>
            <w:r w:rsidRPr="008E1AB8" w:rsidDel="6B03C925">
              <w:rPr>
                <w:rFonts w:ascii="Times New Roman" w:hAnsi="Times New Roman"/>
                <w:noProof/>
                <w:sz w:val="20"/>
                <w:szCs w:val="20"/>
                <w:lang w:eastAsia="en-GB"/>
              </w:rPr>
              <w:t xml:space="preserve"> necessary to</w:t>
            </w:r>
            <w:r w:rsidRPr="008E1AB8">
              <w:rPr>
                <w:rFonts w:ascii="Times New Roman" w:hAnsi="Times New Roman"/>
                <w:noProof/>
                <w:sz w:val="20"/>
                <w:szCs w:val="20"/>
                <w:lang w:eastAsia="en-GB"/>
              </w:rPr>
              <w:t xml:space="preserve"> establish the new environmental permit procedure and the transfer of responsibility of environmental permitting from regional authorities to a single national authority shall enter into force.</w:t>
            </w:r>
          </w:p>
        </w:tc>
      </w:tr>
      <w:tr w:rsidR="00A7081A" w:rsidRPr="008E1AB8" w14:paraId="4737D14F" w14:textId="77777777" w:rsidTr="00B615F0">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2CEFD357"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sidDel="77F75E61">
              <w:rPr>
                <w:rFonts w:ascii="Times New Roman" w:hAnsi="Times New Roman"/>
                <w:noProof/>
                <w:sz w:val="20"/>
                <w:szCs w:val="20"/>
                <w:lang w:eastAsia="en-GB"/>
              </w:rPr>
              <w:t>14</w:t>
            </w:r>
            <w:r w:rsidRPr="008E1AB8" w:rsidDel="2FF29F1F">
              <w:rPr>
                <w:rFonts w:ascii="Times New Roman" w:hAnsi="Times New Roman"/>
                <w:noProof/>
                <w:sz w:val="20"/>
                <w:szCs w:val="20"/>
                <w:lang w:eastAsia="en-GB"/>
              </w:rPr>
              <w:t>4</w:t>
            </w:r>
          </w:p>
        </w:tc>
        <w:tc>
          <w:tcPr>
            <w:tcW w:w="1669" w:type="dxa"/>
            <w:tcBorders>
              <w:top w:val="single" w:sz="4" w:space="0" w:color="auto"/>
              <w:left w:val="nil"/>
              <w:bottom w:val="single" w:sz="4" w:space="0" w:color="auto"/>
              <w:right w:val="single" w:sz="4" w:space="0" w:color="auto"/>
            </w:tcBorders>
            <w:shd w:val="clear" w:color="auto" w:fill="C6EFCE"/>
            <w:noWrap/>
          </w:tcPr>
          <w:p w14:paraId="078B8414" w14:textId="77777777" w:rsidR="00935FC8" w:rsidRPr="008E1AB8" w:rsidRDefault="00935FC8" w:rsidP="00A7081A">
            <w:pPr>
              <w:spacing w:after="0" w:line="240" w:lineRule="auto"/>
              <w:rPr>
                <w:rFonts w:ascii="Times New Roman" w:eastAsia="Times New Roman" w:hAnsi="Times New Roman"/>
                <w:noProof/>
                <w:sz w:val="20"/>
                <w:szCs w:val="20"/>
              </w:rPr>
            </w:pPr>
            <w:r w:rsidRPr="008E1AB8" w:rsidDel="4101A27D">
              <w:rPr>
                <w:rFonts w:ascii="Times New Roman" w:hAnsi="Times New Roman"/>
                <w:noProof/>
                <w:sz w:val="20"/>
                <w:szCs w:val="20"/>
                <w:lang w:eastAsia="en-GB"/>
              </w:rPr>
              <w:t>P5C1</w:t>
            </w:r>
            <w:r w:rsidRPr="008E1AB8" w:rsidDel="3E6ECDE5">
              <w:rPr>
                <w:rFonts w:ascii="Times New Roman" w:hAnsi="Times New Roman"/>
                <w:noProof/>
                <w:sz w:val="20"/>
                <w:szCs w:val="20"/>
                <w:lang w:eastAsia="en-GB"/>
              </w:rPr>
              <w:t>R1</w:t>
            </w:r>
            <w:r w:rsidRPr="008E1AB8">
              <w:rPr>
                <w:rFonts w:ascii="Times New Roman" w:hAnsi="Times New Roman"/>
                <w:noProof/>
                <w:sz w:val="20"/>
                <w:szCs w:val="20"/>
                <w:lang w:eastAsia="en-GB"/>
              </w:rPr>
              <w:t xml:space="preserve">: </w:t>
            </w:r>
            <w:r w:rsidRPr="008E1AB8" w:rsidDel="7C88FF51">
              <w:rPr>
                <w:rFonts w:ascii="Times New Roman" w:hAnsi="Times New Roman"/>
                <w:noProof/>
                <w:sz w:val="20"/>
                <w:szCs w:val="20"/>
                <w:lang w:eastAsia="en-GB"/>
              </w:rPr>
              <w:t>Green transition permitting</w:t>
            </w:r>
          </w:p>
        </w:tc>
        <w:tc>
          <w:tcPr>
            <w:tcW w:w="1045" w:type="dxa"/>
            <w:tcBorders>
              <w:top w:val="single" w:sz="4" w:space="0" w:color="auto"/>
              <w:left w:val="nil"/>
              <w:bottom w:val="single" w:sz="4" w:space="0" w:color="auto"/>
              <w:right w:val="single" w:sz="4" w:space="0" w:color="auto"/>
            </w:tcBorders>
            <w:shd w:val="clear" w:color="auto" w:fill="C6EFCE"/>
            <w:noWrap/>
          </w:tcPr>
          <w:p w14:paraId="0E56B415" w14:textId="77777777" w:rsidR="00935FC8" w:rsidRPr="008E1AB8" w:rsidRDefault="00935FC8" w:rsidP="00A7081A">
            <w:pPr>
              <w:spacing w:after="0" w:line="240" w:lineRule="auto"/>
              <w:rPr>
                <w:rFonts w:ascii="Times New Roman" w:hAnsi="Times New Roman"/>
                <w:noProof/>
                <w:sz w:val="20"/>
                <w:szCs w:val="20"/>
                <w:lang w:eastAsia="en-GB"/>
              </w:rPr>
            </w:pPr>
            <w:r w:rsidRPr="008E1AB8" w:rsidDel="77F75E61">
              <w:rPr>
                <w:rFonts w:ascii="Times New Roman" w:hAnsi="Times New Roman"/>
                <w:noProof/>
                <w:sz w:val="20"/>
                <w:szCs w:val="20"/>
                <w:lang w:eastAsia="en-GB"/>
              </w:rPr>
              <w:t>Milestone</w:t>
            </w:r>
          </w:p>
        </w:tc>
        <w:tc>
          <w:tcPr>
            <w:tcW w:w="1410" w:type="dxa"/>
            <w:tcBorders>
              <w:top w:val="single" w:sz="4" w:space="0" w:color="auto"/>
              <w:left w:val="nil"/>
              <w:bottom w:val="single" w:sz="4" w:space="0" w:color="auto"/>
              <w:right w:val="single" w:sz="4" w:space="0" w:color="auto"/>
            </w:tcBorders>
            <w:shd w:val="clear" w:color="auto" w:fill="C6EFCE"/>
            <w:noWrap/>
          </w:tcPr>
          <w:p w14:paraId="5BAF5E97" w14:textId="389B2B10" w:rsidR="00935FC8" w:rsidRPr="008E1AB8" w:rsidRDefault="00935FC8" w:rsidP="000F3161">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Digital services for environmental permitting</w:t>
            </w:r>
          </w:p>
        </w:tc>
        <w:tc>
          <w:tcPr>
            <w:tcW w:w="1424" w:type="dxa"/>
            <w:tcBorders>
              <w:top w:val="single" w:sz="4" w:space="0" w:color="auto"/>
              <w:left w:val="nil"/>
              <w:bottom w:val="single" w:sz="4" w:space="0" w:color="auto"/>
              <w:right w:val="single" w:sz="4" w:space="0" w:color="auto"/>
            </w:tcBorders>
            <w:shd w:val="clear" w:color="auto" w:fill="C6EFCE"/>
            <w:noWrap/>
          </w:tcPr>
          <w:p w14:paraId="54BEA17F" w14:textId="21231432" w:rsidR="00935FC8" w:rsidRPr="008E1AB8" w:rsidRDefault="00935FC8" w:rsidP="001B782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Digital services for environmental permitting</w:t>
            </w:r>
          </w:p>
        </w:tc>
        <w:tc>
          <w:tcPr>
            <w:tcW w:w="972" w:type="dxa"/>
            <w:tcBorders>
              <w:top w:val="single" w:sz="4" w:space="0" w:color="auto"/>
              <w:left w:val="nil"/>
              <w:bottom w:val="single" w:sz="4" w:space="0" w:color="auto"/>
              <w:right w:val="single" w:sz="4" w:space="0" w:color="auto"/>
            </w:tcBorders>
            <w:shd w:val="clear" w:color="auto" w:fill="C6EFCE"/>
            <w:noWrap/>
          </w:tcPr>
          <w:p w14:paraId="30466053"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16EA2C2B"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567" w:type="dxa"/>
            <w:tcBorders>
              <w:top w:val="single" w:sz="4" w:space="0" w:color="auto"/>
              <w:left w:val="nil"/>
              <w:bottom w:val="single" w:sz="4" w:space="0" w:color="auto"/>
              <w:right w:val="single" w:sz="4" w:space="0" w:color="auto"/>
            </w:tcBorders>
            <w:shd w:val="clear" w:color="auto" w:fill="C6EFCE"/>
            <w:noWrap/>
          </w:tcPr>
          <w:p w14:paraId="30AD2332"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0" w:type="dxa"/>
            <w:tcBorders>
              <w:top w:val="single" w:sz="4" w:space="0" w:color="auto"/>
              <w:left w:val="nil"/>
              <w:bottom w:val="single" w:sz="4" w:space="0" w:color="auto"/>
              <w:right w:val="single" w:sz="4" w:space="0" w:color="auto"/>
            </w:tcBorders>
            <w:shd w:val="clear" w:color="auto" w:fill="C6EFCE"/>
            <w:noWrap/>
          </w:tcPr>
          <w:p w14:paraId="7D2C0A21"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sidDel="3E6ECDE5">
              <w:rPr>
                <w:rFonts w:ascii="Times New Roman" w:hAnsi="Times New Roman"/>
                <w:noProof/>
                <w:sz w:val="20"/>
                <w:szCs w:val="20"/>
                <w:lang w:eastAsia="en-GB"/>
              </w:rPr>
              <w:t>Q</w:t>
            </w:r>
            <w:r w:rsidRPr="008E1AB8" w:rsidDel="1F4532D7">
              <w:rPr>
                <w:rFonts w:ascii="Times New Roman" w:hAnsi="Times New Roman"/>
                <w:noProof/>
                <w:sz w:val="20"/>
                <w:szCs w:val="20"/>
                <w:lang w:eastAsia="en-GB"/>
              </w:rPr>
              <w:t>2</w:t>
            </w:r>
          </w:p>
        </w:tc>
        <w:tc>
          <w:tcPr>
            <w:tcW w:w="567" w:type="dxa"/>
            <w:tcBorders>
              <w:top w:val="single" w:sz="4" w:space="0" w:color="auto"/>
              <w:left w:val="nil"/>
              <w:bottom w:val="single" w:sz="4" w:space="0" w:color="auto"/>
              <w:right w:val="single" w:sz="4" w:space="0" w:color="auto"/>
            </w:tcBorders>
            <w:shd w:val="clear" w:color="auto" w:fill="C6EFCE"/>
            <w:noWrap/>
          </w:tcPr>
          <w:p w14:paraId="1D8D9372"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sidDel="3E6ECDE5">
              <w:rPr>
                <w:rFonts w:ascii="Times New Roman" w:hAnsi="Times New Roman"/>
                <w:noProof/>
                <w:sz w:val="20"/>
                <w:szCs w:val="20"/>
                <w:lang w:eastAsia="en-GB"/>
              </w:rPr>
              <w:t>202</w:t>
            </w:r>
            <w:r w:rsidRPr="008E1AB8" w:rsidDel="1F4532D7">
              <w:rPr>
                <w:rFonts w:ascii="Times New Roman" w:hAnsi="Times New Roman"/>
                <w:noProof/>
                <w:sz w:val="20"/>
                <w:szCs w:val="20"/>
                <w:lang w:eastAsia="en-GB"/>
              </w:rPr>
              <w:t>6</w:t>
            </w:r>
          </w:p>
        </w:tc>
        <w:tc>
          <w:tcPr>
            <w:tcW w:w="5103" w:type="dxa"/>
            <w:tcBorders>
              <w:top w:val="single" w:sz="4" w:space="0" w:color="auto"/>
              <w:left w:val="nil"/>
              <w:bottom w:val="single" w:sz="4" w:space="0" w:color="auto"/>
              <w:right w:val="single" w:sz="4" w:space="0" w:color="auto"/>
            </w:tcBorders>
            <w:shd w:val="clear" w:color="auto" w:fill="C6EFCE"/>
            <w:noWrap/>
          </w:tcPr>
          <w:p w14:paraId="5B5E2ED7"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eastAsia="Times New Roman" w:hAnsi="Times New Roman"/>
                <w:noProof/>
                <w:sz w:val="20"/>
                <w:szCs w:val="20"/>
              </w:rPr>
              <w:t xml:space="preserve">Digital services relating to environmental permitting are </w:t>
            </w:r>
            <w:r w:rsidRPr="008E1AB8">
              <w:rPr>
                <w:rFonts w:ascii="Times New Roman" w:eastAsia="Times New Roman" w:hAnsi="Times New Roman"/>
                <w:noProof/>
                <w:sz w:val="20"/>
                <w:szCs w:val="20"/>
                <w:lang w:eastAsia="en-GB"/>
              </w:rPr>
              <w:t>available</w:t>
            </w:r>
            <w:r w:rsidRPr="008E1AB8">
              <w:rPr>
                <w:rFonts w:ascii="Times New Roman" w:eastAsia="Times New Roman" w:hAnsi="Times New Roman"/>
                <w:noProof/>
                <w:sz w:val="20"/>
                <w:szCs w:val="20"/>
              </w:rPr>
              <w:t xml:space="preserve">: </w:t>
            </w:r>
            <w:r w:rsidRPr="008E1AB8">
              <w:rPr>
                <w:rFonts w:ascii="Times New Roman" w:eastAsia="Times New Roman" w:hAnsi="Times New Roman"/>
                <w:noProof/>
                <w:sz w:val="20"/>
                <w:szCs w:val="20"/>
                <w:lang w:eastAsia="en-GB"/>
              </w:rPr>
              <w:t xml:space="preserve">(i) </w:t>
            </w:r>
            <w:r w:rsidRPr="008E1AB8">
              <w:rPr>
                <w:rFonts w:ascii="Times New Roman" w:eastAsia="Times New Roman" w:hAnsi="Times New Roman"/>
                <w:noProof/>
                <w:sz w:val="20"/>
                <w:szCs w:val="20"/>
              </w:rPr>
              <w:t>Customers shall have</w:t>
            </w:r>
            <w:r w:rsidRPr="008E1AB8">
              <w:rPr>
                <w:rFonts w:ascii="Times New Roman" w:eastAsia="Times New Roman" w:hAnsi="Times New Roman"/>
                <w:noProof/>
                <w:sz w:val="20"/>
                <w:szCs w:val="20"/>
                <w:lang w:eastAsia="en-GB"/>
              </w:rPr>
              <w:t xml:space="preserve"> online</w:t>
            </w:r>
            <w:r w:rsidRPr="008E1AB8">
              <w:rPr>
                <w:rFonts w:ascii="Times New Roman" w:eastAsia="Times New Roman" w:hAnsi="Times New Roman"/>
                <w:noProof/>
                <w:sz w:val="20"/>
                <w:szCs w:val="20"/>
              </w:rPr>
              <w:t xml:space="preserve"> access to a one-stop entry point,</w:t>
            </w:r>
            <w:r w:rsidRPr="008E1AB8">
              <w:rPr>
                <w:rFonts w:ascii="Times New Roman" w:eastAsia="Times New Roman" w:hAnsi="Times New Roman"/>
                <w:noProof/>
                <w:sz w:val="20"/>
                <w:szCs w:val="20"/>
                <w:lang w:eastAsia="en-GB"/>
              </w:rPr>
              <w:t xml:space="preserve"> and (ii)</w:t>
            </w:r>
            <w:r w:rsidRPr="008E1AB8">
              <w:rPr>
                <w:rFonts w:ascii="Times New Roman" w:eastAsia="Times New Roman" w:hAnsi="Times New Roman"/>
                <w:noProof/>
                <w:sz w:val="20"/>
                <w:szCs w:val="20"/>
              </w:rPr>
              <w:t xml:space="preserve"> Authorities shall have access to digital services for transfer of data and decision-making.</w:t>
            </w:r>
          </w:p>
        </w:tc>
      </w:tr>
      <w:tr w:rsidR="00A7081A" w:rsidRPr="008E1AB8" w14:paraId="76FA2438" w14:textId="77777777" w:rsidTr="00B615F0">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4365B06C"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145</w:t>
            </w:r>
          </w:p>
        </w:tc>
        <w:tc>
          <w:tcPr>
            <w:tcW w:w="1669" w:type="dxa"/>
            <w:tcBorders>
              <w:top w:val="nil"/>
              <w:left w:val="nil"/>
              <w:bottom w:val="single" w:sz="4" w:space="0" w:color="auto"/>
              <w:right w:val="single" w:sz="4" w:space="0" w:color="auto"/>
            </w:tcBorders>
            <w:shd w:val="clear" w:color="auto" w:fill="C6EFCE"/>
            <w:noWrap/>
          </w:tcPr>
          <w:p w14:paraId="2F2DE837"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P5C1I1: Investments for clean transition</w:t>
            </w:r>
          </w:p>
        </w:tc>
        <w:tc>
          <w:tcPr>
            <w:tcW w:w="1045" w:type="dxa"/>
            <w:tcBorders>
              <w:top w:val="nil"/>
              <w:left w:val="nil"/>
              <w:bottom w:val="single" w:sz="4" w:space="0" w:color="auto"/>
              <w:right w:val="single" w:sz="4" w:space="0" w:color="auto"/>
            </w:tcBorders>
            <w:shd w:val="clear" w:color="auto" w:fill="C6EFCE"/>
            <w:noWrap/>
          </w:tcPr>
          <w:p w14:paraId="0F325CAD"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Milestone</w:t>
            </w:r>
          </w:p>
        </w:tc>
        <w:tc>
          <w:tcPr>
            <w:tcW w:w="1410" w:type="dxa"/>
            <w:tcBorders>
              <w:top w:val="nil"/>
              <w:left w:val="nil"/>
              <w:bottom w:val="single" w:sz="4" w:space="0" w:color="auto"/>
              <w:right w:val="single" w:sz="4" w:space="0" w:color="auto"/>
            </w:tcBorders>
            <w:shd w:val="clear" w:color="auto" w:fill="C6EFCE"/>
            <w:noWrap/>
          </w:tcPr>
          <w:p w14:paraId="1A1A1265" w14:textId="03018A45"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Launch of a call for applications for clean transition projects</w:t>
            </w:r>
          </w:p>
        </w:tc>
        <w:tc>
          <w:tcPr>
            <w:tcW w:w="1424" w:type="dxa"/>
            <w:tcBorders>
              <w:top w:val="single" w:sz="4" w:space="0" w:color="auto"/>
              <w:left w:val="nil"/>
              <w:bottom w:val="single" w:sz="4" w:space="0" w:color="auto"/>
              <w:right w:val="single" w:sz="4" w:space="0" w:color="auto"/>
            </w:tcBorders>
            <w:shd w:val="clear" w:color="auto" w:fill="C6EFCE"/>
            <w:noWrap/>
          </w:tcPr>
          <w:p w14:paraId="44960230" w14:textId="4782E114" w:rsidR="00935FC8" w:rsidRPr="008E1AB8" w:rsidRDefault="00935FC8" w:rsidP="001B782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Publication of the call for applications</w:t>
            </w:r>
          </w:p>
        </w:tc>
        <w:tc>
          <w:tcPr>
            <w:tcW w:w="972" w:type="dxa"/>
            <w:tcBorders>
              <w:top w:val="nil"/>
              <w:left w:val="nil"/>
              <w:bottom w:val="single" w:sz="4" w:space="0" w:color="auto"/>
              <w:right w:val="single" w:sz="4" w:space="0" w:color="auto"/>
            </w:tcBorders>
            <w:shd w:val="clear" w:color="auto" w:fill="C6EFCE"/>
            <w:noWrap/>
          </w:tcPr>
          <w:p w14:paraId="49DEB1CB"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7F57A816"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567" w:type="dxa"/>
            <w:tcBorders>
              <w:top w:val="nil"/>
              <w:left w:val="nil"/>
              <w:bottom w:val="single" w:sz="4" w:space="0" w:color="auto"/>
              <w:right w:val="single" w:sz="4" w:space="0" w:color="auto"/>
            </w:tcBorders>
            <w:shd w:val="clear" w:color="auto" w:fill="C6EFCE"/>
            <w:noWrap/>
          </w:tcPr>
          <w:p w14:paraId="60D8510C"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tcPr>
          <w:p w14:paraId="65AA1957"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Q2</w:t>
            </w:r>
          </w:p>
        </w:tc>
        <w:tc>
          <w:tcPr>
            <w:tcW w:w="567" w:type="dxa"/>
            <w:tcBorders>
              <w:top w:val="nil"/>
              <w:left w:val="nil"/>
              <w:bottom w:val="single" w:sz="4" w:space="0" w:color="auto"/>
              <w:right w:val="single" w:sz="4" w:space="0" w:color="auto"/>
            </w:tcBorders>
            <w:shd w:val="clear" w:color="auto" w:fill="C6EFCE"/>
            <w:noWrap/>
          </w:tcPr>
          <w:p w14:paraId="499B1298"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2024</w:t>
            </w:r>
          </w:p>
        </w:tc>
        <w:tc>
          <w:tcPr>
            <w:tcW w:w="5103" w:type="dxa"/>
            <w:tcBorders>
              <w:top w:val="single" w:sz="4" w:space="0" w:color="auto"/>
              <w:left w:val="nil"/>
              <w:bottom w:val="single" w:sz="4" w:space="0" w:color="auto"/>
              <w:right w:val="single" w:sz="4" w:space="0" w:color="auto"/>
            </w:tcBorders>
            <w:shd w:val="clear" w:color="auto" w:fill="C6EFCE"/>
            <w:noWrap/>
          </w:tcPr>
          <w:p w14:paraId="5D2531F3"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 xml:space="preserve">Launch of a call for applications </w:t>
            </w:r>
            <w:r w:rsidRPr="008E1AB8">
              <w:rPr>
                <w:rFonts w:ascii="Times New Roman" w:hAnsi="Times New Roman"/>
                <w:noProof/>
                <w:sz w:val="20"/>
                <w:szCs w:val="20"/>
                <w:lang w:eastAsia="en-GB"/>
              </w:rPr>
              <w:t>for projects related to new clean technologies for energy production and use and/or for promoting the development of the production and storage of renewable hydrogen on a commercial scale. 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A7081A" w:rsidRPr="008E1AB8" w14:paraId="64E23603" w14:textId="77777777" w:rsidTr="00B615F0">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754C7C97"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sidDel="008C726E">
              <w:rPr>
                <w:rFonts w:ascii="Times New Roman" w:hAnsi="Times New Roman"/>
                <w:noProof/>
                <w:sz w:val="20"/>
                <w:szCs w:val="20"/>
                <w:lang w:eastAsia="en-GB"/>
              </w:rPr>
              <w:t>14</w:t>
            </w:r>
            <w:r w:rsidRPr="008E1AB8" w:rsidDel="00F76FFC">
              <w:rPr>
                <w:rFonts w:ascii="Times New Roman" w:hAnsi="Times New Roman"/>
                <w:noProof/>
                <w:sz w:val="20"/>
                <w:szCs w:val="20"/>
                <w:lang w:eastAsia="en-GB"/>
              </w:rPr>
              <w:t>6</w:t>
            </w:r>
          </w:p>
        </w:tc>
        <w:tc>
          <w:tcPr>
            <w:tcW w:w="1669" w:type="dxa"/>
            <w:tcBorders>
              <w:top w:val="nil"/>
              <w:left w:val="nil"/>
              <w:bottom w:val="single" w:sz="4" w:space="0" w:color="auto"/>
              <w:right w:val="single" w:sz="4" w:space="0" w:color="auto"/>
            </w:tcBorders>
            <w:shd w:val="clear" w:color="auto" w:fill="C6EFCE"/>
            <w:noWrap/>
          </w:tcPr>
          <w:p w14:paraId="12549DA0" w14:textId="77777777" w:rsidR="00935FC8" w:rsidRPr="008E1AB8" w:rsidRDefault="00935FC8" w:rsidP="00A7081A">
            <w:pPr>
              <w:spacing w:after="0" w:line="240" w:lineRule="auto"/>
              <w:ind w:right="-494"/>
              <w:rPr>
                <w:rFonts w:ascii="Times New Roman" w:hAnsi="Times New Roman"/>
                <w:noProof/>
                <w:sz w:val="20"/>
                <w:szCs w:val="20"/>
                <w:lang w:eastAsia="en-GB"/>
              </w:rPr>
            </w:pPr>
            <w:r w:rsidRPr="008E1AB8" w:rsidDel="00683552">
              <w:rPr>
                <w:rFonts w:ascii="Times New Roman" w:hAnsi="Times New Roman"/>
                <w:noProof/>
                <w:sz w:val="20"/>
                <w:szCs w:val="20"/>
                <w:lang w:eastAsia="en-GB"/>
              </w:rPr>
              <w:t>P5C1</w:t>
            </w:r>
            <w:r w:rsidRPr="008E1AB8" w:rsidDel="008C726E">
              <w:rPr>
                <w:rFonts w:ascii="Times New Roman" w:hAnsi="Times New Roman"/>
                <w:noProof/>
                <w:sz w:val="20"/>
                <w:szCs w:val="20"/>
                <w:lang w:eastAsia="en-GB"/>
              </w:rPr>
              <w:t>I1: Investment</w:t>
            </w:r>
            <w:r w:rsidRPr="008E1AB8" w:rsidDel="006B40DF">
              <w:rPr>
                <w:rFonts w:ascii="Times New Roman" w:hAnsi="Times New Roman"/>
                <w:noProof/>
                <w:sz w:val="20"/>
                <w:szCs w:val="20"/>
                <w:lang w:eastAsia="en-GB"/>
              </w:rPr>
              <w:t>s</w:t>
            </w:r>
            <w:r w:rsidRPr="008E1AB8" w:rsidDel="008C726E">
              <w:rPr>
                <w:rFonts w:ascii="Times New Roman" w:hAnsi="Times New Roman"/>
                <w:noProof/>
                <w:sz w:val="20"/>
                <w:szCs w:val="20"/>
                <w:lang w:eastAsia="en-GB"/>
              </w:rPr>
              <w:t xml:space="preserve"> for clean transition</w:t>
            </w:r>
          </w:p>
        </w:tc>
        <w:tc>
          <w:tcPr>
            <w:tcW w:w="1045" w:type="dxa"/>
            <w:tcBorders>
              <w:top w:val="single" w:sz="4" w:space="0" w:color="auto"/>
              <w:left w:val="nil"/>
              <w:bottom w:val="single" w:sz="4" w:space="0" w:color="auto"/>
              <w:right w:val="single" w:sz="4" w:space="0" w:color="auto"/>
            </w:tcBorders>
            <w:shd w:val="clear" w:color="auto" w:fill="C6EFCE"/>
            <w:noWrap/>
          </w:tcPr>
          <w:p w14:paraId="532FC4D6" w14:textId="77777777" w:rsidR="00935FC8" w:rsidRPr="008E1AB8" w:rsidRDefault="00935FC8" w:rsidP="00A7081A">
            <w:pPr>
              <w:spacing w:after="0" w:line="240" w:lineRule="auto"/>
              <w:rPr>
                <w:rFonts w:ascii="Times New Roman" w:hAnsi="Times New Roman"/>
                <w:noProof/>
                <w:sz w:val="20"/>
                <w:szCs w:val="20"/>
                <w:lang w:eastAsia="en-GB"/>
              </w:rPr>
            </w:pPr>
            <w:r w:rsidRPr="008E1AB8" w:rsidDel="008C726E">
              <w:rPr>
                <w:rFonts w:ascii="Times New Roman" w:hAnsi="Times New Roman"/>
                <w:noProof/>
                <w:sz w:val="20"/>
                <w:szCs w:val="20"/>
                <w:lang w:eastAsia="en-GB"/>
              </w:rPr>
              <w:t>Milestone</w:t>
            </w:r>
          </w:p>
        </w:tc>
        <w:tc>
          <w:tcPr>
            <w:tcW w:w="1410" w:type="dxa"/>
            <w:tcBorders>
              <w:top w:val="single" w:sz="4" w:space="0" w:color="auto"/>
              <w:left w:val="nil"/>
              <w:bottom w:val="single" w:sz="4" w:space="0" w:color="auto"/>
              <w:right w:val="single" w:sz="4" w:space="0" w:color="auto"/>
            </w:tcBorders>
            <w:shd w:val="clear" w:color="auto" w:fill="C6EFCE"/>
            <w:noWrap/>
          </w:tcPr>
          <w:p w14:paraId="6A9F2B0B" w14:textId="6D222FE9" w:rsidR="00935FC8" w:rsidRPr="008E1AB8" w:rsidRDefault="00935FC8" w:rsidP="00A7081A">
            <w:pPr>
              <w:spacing w:after="0" w:line="240" w:lineRule="auto"/>
              <w:rPr>
                <w:rFonts w:ascii="Times New Roman" w:hAnsi="Times New Roman"/>
                <w:noProof/>
                <w:sz w:val="20"/>
                <w:szCs w:val="20"/>
                <w:lang w:eastAsia="en-GB"/>
              </w:rPr>
            </w:pPr>
            <w:r w:rsidRPr="008E1AB8" w:rsidDel="7A131CFA">
              <w:rPr>
                <w:rFonts w:ascii="Times New Roman" w:hAnsi="Times New Roman"/>
                <w:noProof/>
                <w:sz w:val="20"/>
                <w:szCs w:val="20"/>
                <w:lang w:eastAsia="en-GB"/>
              </w:rPr>
              <w:t xml:space="preserve">Award of all grants for </w:t>
            </w:r>
            <w:r w:rsidRPr="008E1AB8" w:rsidDel="7671FDE7">
              <w:rPr>
                <w:rFonts w:ascii="Times New Roman" w:hAnsi="Times New Roman"/>
                <w:noProof/>
                <w:sz w:val="20"/>
                <w:szCs w:val="20"/>
                <w:lang w:eastAsia="en-GB"/>
              </w:rPr>
              <w:t xml:space="preserve">clean transition </w:t>
            </w:r>
            <w:r w:rsidRPr="008E1AB8" w:rsidDel="7A131CFA">
              <w:rPr>
                <w:rFonts w:ascii="Times New Roman" w:hAnsi="Times New Roman"/>
                <w:noProof/>
                <w:sz w:val="20"/>
                <w:szCs w:val="20"/>
                <w:lang w:eastAsia="en-GB"/>
              </w:rPr>
              <w:t>projects</w:t>
            </w:r>
          </w:p>
        </w:tc>
        <w:tc>
          <w:tcPr>
            <w:tcW w:w="1424" w:type="dxa"/>
            <w:tcBorders>
              <w:top w:val="single" w:sz="4" w:space="0" w:color="auto"/>
              <w:left w:val="nil"/>
              <w:bottom w:val="single" w:sz="4" w:space="0" w:color="auto"/>
              <w:right w:val="single" w:sz="4" w:space="0" w:color="auto"/>
            </w:tcBorders>
            <w:shd w:val="clear" w:color="auto" w:fill="C6EFCE"/>
            <w:noWrap/>
          </w:tcPr>
          <w:p w14:paraId="77433503" w14:textId="77777777" w:rsidR="00935FC8" w:rsidRPr="008E1AB8" w:rsidRDefault="00935FC8" w:rsidP="00A7081A">
            <w:pPr>
              <w:spacing w:after="0" w:line="240" w:lineRule="auto"/>
              <w:rPr>
                <w:rFonts w:ascii="Times New Roman" w:hAnsi="Times New Roman"/>
                <w:noProof/>
                <w:sz w:val="20"/>
                <w:szCs w:val="20"/>
                <w:lang w:eastAsia="en-GB"/>
              </w:rPr>
            </w:pPr>
            <w:r w:rsidRPr="008E1AB8" w:rsidDel="008C726E">
              <w:rPr>
                <w:rFonts w:ascii="Times New Roman" w:hAnsi="Times New Roman"/>
                <w:noProof/>
                <w:sz w:val="20"/>
                <w:szCs w:val="20"/>
                <w:lang w:eastAsia="en-GB"/>
              </w:rPr>
              <w:t>Notification of the award of all grants</w:t>
            </w:r>
          </w:p>
        </w:tc>
        <w:tc>
          <w:tcPr>
            <w:tcW w:w="972" w:type="dxa"/>
            <w:tcBorders>
              <w:top w:val="nil"/>
              <w:left w:val="nil"/>
              <w:bottom w:val="single" w:sz="4" w:space="0" w:color="auto"/>
              <w:right w:val="single" w:sz="4" w:space="0" w:color="auto"/>
            </w:tcBorders>
            <w:shd w:val="clear" w:color="auto" w:fill="C6EFCE"/>
            <w:noWrap/>
          </w:tcPr>
          <w:p w14:paraId="6855A322"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386030AF"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567" w:type="dxa"/>
            <w:tcBorders>
              <w:top w:val="nil"/>
              <w:left w:val="nil"/>
              <w:bottom w:val="single" w:sz="4" w:space="0" w:color="auto"/>
              <w:right w:val="single" w:sz="4" w:space="0" w:color="auto"/>
            </w:tcBorders>
            <w:shd w:val="clear" w:color="auto" w:fill="C6EFCE"/>
            <w:noWrap/>
          </w:tcPr>
          <w:p w14:paraId="5D38818A"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tcPr>
          <w:p w14:paraId="5BCE6E69"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sidDel="008C726E">
              <w:rPr>
                <w:rFonts w:ascii="Times New Roman" w:hAnsi="Times New Roman"/>
                <w:noProof/>
                <w:sz w:val="20"/>
                <w:szCs w:val="20"/>
                <w:lang w:eastAsia="en-GB"/>
              </w:rPr>
              <w:t>Q2</w:t>
            </w:r>
          </w:p>
        </w:tc>
        <w:tc>
          <w:tcPr>
            <w:tcW w:w="567" w:type="dxa"/>
            <w:tcBorders>
              <w:top w:val="nil"/>
              <w:left w:val="nil"/>
              <w:bottom w:val="single" w:sz="4" w:space="0" w:color="auto"/>
              <w:right w:val="single" w:sz="4" w:space="0" w:color="auto"/>
            </w:tcBorders>
            <w:shd w:val="clear" w:color="auto" w:fill="C6EFCE"/>
            <w:noWrap/>
          </w:tcPr>
          <w:p w14:paraId="196EA5D6"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sidDel="008C726E">
              <w:rPr>
                <w:rFonts w:ascii="Times New Roman" w:hAnsi="Times New Roman"/>
                <w:noProof/>
                <w:sz w:val="20"/>
                <w:szCs w:val="20"/>
                <w:lang w:eastAsia="en-GB"/>
              </w:rPr>
              <w:t>2025</w:t>
            </w:r>
          </w:p>
        </w:tc>
        <w:tc>
          <w:tcPr>
            <w:tcW w:w="5103" w:type="dxa"/>
            <w:tcBorders>
              <w:top w:val="single" w:sz="4" w:space="0" w:color="auto"/>
              <w:left w:val="nil"/>
              <w:bottom w:val="single" w:sz="4" w:space="0" w:color="auto"/>
              <w:right w:val="single" w:sz="4" w:space="0" w:color="auto"/>
            </w:tcBorders>
            <w:shd w:val="clear" w:color="auto" w:fill="C6EFCE"/>
            <w:noWrap/>
          </w:tcPr>
          <w:p w14:paraId="44DCC79A" w14:textId="77777777" w:rsidR="00935FC8" w:rsidRPr="008E1AB8" w:rsidRDefault="00935FC8" w:rsidP="00A7081A">
            <w:pPr>
              <w:spacing w:after="0" w:line="240" w:lineRule="auto"/>
              <w:rPr>
                <w:rFonts w:ascii="Times New Roman" w:hAnsi="Times New Roman"/>
                <w:noProof/>
                <w:sz w:val="20"/>
                <w:szCs w:val="20"/>
                <w:lang w:eastAsia="en-GB"/>
              </w:rPr>
            </w:pPr>
            <w:r w:rsidRPr="008E1AB8" w:rsidDel="662DFADE">
              <w:rPr>
                <w:rFonts w:ascii="Times New Roman" w:hAnsi="Times New Roman"/>
                <w:noProof/>
                <w:sz w:val="20"/>
                <w:szCs w:val="20"/>
              </w:rPr>
              <w:t xml:space="preserve">The selection of all </w:t>
            </w:r>
            <w:r w:rsidRPr="008E1AB8" w:rsidDel="662DFADE">
              <w:rPr>
                <w:rFonts w:ascii="Times New Roman" w:hAnsi="Times New Roman"/>
                <w:noProof/>
                <w:sz w:val="20"/>
                <w:szCs w:val="20"/>
                <w:lang w:eastAsia="en-GB"/>
              </w:rPr>
              <w:t>projects related to new clean technologies for energy production and use and</w:t>
            </w:r>
            <w:r w:rsidRPr="008E1AB8" w:rsidDel="1FDADCAF">
              <w:rPr>
                <w:rFonts w:ascii="Times New Roman" w:hAnsi="Times New Roman"/>
                <w:noProof/>
                <w:sz w:val="20"/>
                <w:szCs w:val="20"/>
                <w:lang w:eastAsia="en-GB"/>
              </w:rPr>
              <w:t>/or</w:t>
            </w:r>
            <w:r w:rsidRPr="008E1AB8" w:rsidDel="662DFADE">
              <w:rPr>
                <w:rFonts w:ascii="Times New Roman" w:hAnsi="Times New Roman"/>
                <w:noProof/>
                <w:sz w:val="20"/>
                <w:szCs w:val="20"/>
                <w:lang w:eastAsia="en-GB"/>
              </w:rPr>
              <w:t xml:space="preserve"> for promoting the development of the production and storage of </w:t>
            </w:r>
            <w:r w:rsidRPr="008E1AB8" w:rsidDel="48AB2278">
              <w:rPr>
                <w:rFonts w:ascii="Times New Roman" w:hAnsi="Times New Roman"/>
                <w:noProof/>
                <w:sz w:val="20"/>
                <w:szCs w:val="20"/>
                <w:lang w:eastAsia="en-GB"/>
              </w:rPr>
              <w:t xml:space="preserve">renewable </w:t>
            </w:r>
            <w:r w:rsidRPr="008E1AB8" w:rsidDel="662DFADE">
              <w:rPr>
                <w:rFonts w:ascii="Times New Roman" w:hAnsi="Times New Roman"/>
                <w:noProof/>
                <w:sz w:val="20"/>
                <w:szCs w:val="20"/>
                <w:lang w:eastAsia="en-GB"/>
              </w:rPr>
              <w:t>hydrogen on a commercial scale</w:t>
            </w:r>
            <w:r w:rsidRPr="008E1AB8" w:rsidDel="662DFADE">
              <w:rPr>
                <w:rFonts w:ascii="Times New Roman" w:hAnsi="Times New Roman"/>
                <w:noProof/>
                <w:sz w:val="20"/>
                <w:szCs w:val="20"/>
              </w:rPr>
              <w:t xml:space="preserve"> shall be carried out in accordance with the criteria of the call for applications launched under milestone 14</w:t>
            </w:r>
            <w:r w:rsidRPr="008E1AB8" w:rsidDel="05F52A19">
              <w:rPr>
                <w:rFonts w:ascii="Times New Roman" w:hAnsi="Times New Roman"/>
                <w:noProof/>
                <w:sz w:val="20"/>
                <w:szCs w:val="20"/>
              </w:rPr>
              <w:t>5</w:t>
            </w:r>
            <w:r w:rsidRPr="008E1AB8" w:rsidDel="662DFADE">
              <w:rPr>
                <w:rFonts w:ascii="Times New Roman" w:hAnsi="Times New Roman"/>
                <w:noProof/>
                <w:sz w:val="20"/>
                <w:szCs w:val="20"/>
              </w:rPr>
              <w:t>. All funding award decisions shall be awarded to the project applicants selected under the call for applications.</w:t>
            </w:r>
          </w:p>
        </w:tc>
      </w:tr>
      <w:tr w:rsidR="00A7081A" w:rsidRPr="008E1AB8" w14:paraId="113CDE8A" w14:textId="77777777" w:rsidTr="00B615F0">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553EED7A"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147</w:t>
            </w:r>
          </w:p>
        </w:tc>
        <w:tc>
          <w:tcPr>
            <w:tcW w:w="1669" w:type="dxa"/>
            <w:tcBorders>
              <w:top w:val="nil"/>
              <w:left w:val="nil"/>
              <w:bottom w:val="single" w:sz="4" w:space="0" w:color="auto"/>
              <w:right w:val="single" w:sz="4" w:space="0" w:color="auto"/>
            </w:tcBorders>
            <w:shd w:val="clear" w:color="auto" w:fill="C6EFCE"/>
            <w:noWrap/>
          </w:tcPr>
          <w:p w14:paraId="6A2939BC"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P5C1I1: Investments for clean transition</w:t>
            </w:r>
          </w:p>
        </w:tc>
        <w:tc>
          <w:tcPr>
            <w:tcW w:w="1045" w:type="dxa"/>
            <w:tcBorders>
              <w:top w:val="nil"/>
              <w:left w:val="nil"/>
              <w:bottom w:val="single" w:sz="4" w:space="0" w:color="auto"/>
              <w:right w:val="single" w:sz="4" w:space="0" w:color="auto"/>
            </w:tcBorders>
            <w:shd w:val="clear" w:color="auto" w:fill="C6EFCE"/>
            <w:noWrap/>
          </w:tcPr>
          <w:p w14:paraId="4A98C806"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Milestone</w:t>
            </w:r>
          </w:p>
        </w:tc>
        <w:tc>
          <w:tcPr>
            <w:tcW w:w="1410" w:type="dxa"/>
            <w:tcBorders>
              <w:top w:val="nil"/>
              <w:left w:val="nil"/>
              <w:bottom w:val="single" w:sz="4" w:space="0" w:color="auto"/>
              <w:right w:val="single" w:sz="4" w:space="0" w:color="auto"/>
            </w:tcBorders>
            <w:shd w:val="clear" w:color="auto" w:fill="C6EFCE"/>
            <w:noWrap/>
          </w:tcPr>
          <w:p w14:paraId="623E6924"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Project completion notices or project reports submitted</w:t>
            </w:r>
          </w:p>
        </w:tc>
        <w:tc>
          <w:tcPr>
            <w:tcW w:w="1424" w:type="dxa"/>
            <w:tcBorders>
              <w:top w:val="single" w:sz="4" w:space="0" w:color="auto"/>
              <w:left w:val="nil"/>
              <w:bottom w:val="single" w:sz="4" w:space="0" w:color="auto"/>
              <w:right w:val="single" w:sz="4" w:space="0" w:color="auto"/>
            </w:tcBorders>
            <w:shd w:val="clear" w:color="auto" w:fill="C6EFCE"/>
            <w:noWrap/>
          </w:tcPr>
          <w:p w14:paraId="0F54778D"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Project completion notices or project reports submitted</w:t>
            </w:r>
          </w:p>
        </w:tc>
        <w:tc>
          <w:tcPr>
            <w:tcW w:w="972" w:type="dxa"/>
            <w:tcBorders>
              <w:top w:val="nil"/>
              <w:left w:val="nil"/>
              <w:bottom w:val="single" w:sz="4" w:space="0" w:color="auto"/>
              <w:right w:val="single" w:sz="4" w:space="0" w:color="auto"/>
            </w:tcBorders>
            <w:shd w:val="clear" w:color="auto" w:fill="C6EFCE"/>
            <w:noWrap/>
          </w:tcPr>
          <w:p w14:paraId="367B1E29"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2C40DEBE"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567" w:type="dxa"/>
            <w:tcBorders>
              <w:top w:val="nil"/>
              <w:left w:val="nil"/>
              <w:bottom w:val="single" w:sz="4" w:space="0" w:color="auto"/>
              <w:right w:val="single" w:sz="4" w:space="0" w:color="auto"/>
            </w:tcBorders>
            <w:shd w:val="clear" w:color="auto" w:fill="C6EFCE"/>
            <w:noWrap/>
          </w:tcPr>
          <w:p w14:paraId="4FADDC50"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tcPr>
          <w:p w14:paraId="5BE9D93B"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Q2</w:t>
            </w:r>
          </w:p>
        </w:tc>
        <w:tc>
          <w:tcPr>
            <w:tcW w:w="567" w:type="dxa"/>
            <w:tcBorders>
              <w:top w:val="nil"/>
              <w:left w:val="nil"/>
              <w:bottom w:val="single" w:sz="4" w:space="0" w:color="auto"/>
              <w:right w:val="single" w:sz="4" w:space="0" w:color="auto"/>
            </w:tcBorders>
            <w:shd w:val="clear" w:color="auto" w:fill="C6EFCE"/>
            <w:noWrap/>
          </w:tcPr>
          <w:p w14:paraId="353F830D"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2026</w:t>
            </w:r>
          </w:p>
        </w:tc>
        <w:tc>
          <w:tcPr>
            <w:tcW w:w="5103" w:type="dxa"/>
            <w:tcBorders>
              <w:top w:val="single" w:sz="4" w:space="0" w:color="auto"/>
              <w:left w:val="nil"/>
              <w:bottom w:val="single" w:sz="4" w:space="0" w:color="auto"/>
              <w:right w:val="single" w:sz="4" w:space="0" w:color="auto"/>
            </w:tcBorders>
            <w:shd w:val="clear" w:color="auto" w:fill="C6EFCE"/>
            <w:noWrap/>
          </w:tcPr>
          <w:p w14:paraId="609362A9" w14:textId="53EF440B"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 xml:space="preserve">Project completion notices or project reports are submitted by recipient entities. The projects shall correspond to an increase in new renewable energy capacity </w:t>
            </w:r>
            <w:r w:rsidRPr="008E1AB8" w:rsidDel="00F93CDC">
              <w:rPr>
                <w:rFonts w:ascii="Times New Roman" w:hAnsi="Times New Roman"/>
                <w:noProof/>
                <w:sz w:val="20"/>
                <w:szCs w:val="20"/>
                <w:lang w:eastAsia="en-GB"/>
              </w:rPr>
              <w:t xml:space="preserve">or storage capacity </w:t>
            </w:r>
            <w:r w:rsidRPr="008E1AB8">
              <w:rPr>
                <w:rFonts w:ascii="Times New Roman" w:hAnsi="Times New Roman"/>
                <w:noProof/>
                <w:sz w:val="20"/>
                <w:szCs w:val="20"/>
                <w:lang w:eastAsia="en-GB"/>
              </w:rPr>
              <w:t>of at least 39 MW</w:t>
            </w:r>
            <w:r w:rsidR="00F93CDC" w:rsidRPr="008E1AB8">
              <w:rPr>
                <w:rFonts w:ascii="Times New Roman" w:hAnsi="Times New Roman"/>
                <w:noProof/>
                <w:sz w:val="20"/>
                <w:szCs w:val="20"/>
                <w:lang w:eastAsia="en-GB"/>
              </w:rPr>
              <w:t>/MWp</w:t>
            </w:r>
            <w:r w:rsidRPr="008E1AB8">
              <w:rPr>
                <w:rFonts w:ascii="Times New Roman" w:hAnsi="Times New Roman"/>
                <w:noProof/>
                <w:sz w:val="20"/>
                <w:szCs w:val="20"/>
                <w:lang w:eastAsia="en-GB"/>
              </w:rPr>
              <w:t>.</w:t>
            </w:r>
          </w:p>
        </w:tc>
      </w:tr>
      <w:tr w:rsidR="00A7081A" w:rsidRPr="008E1AB8" w14:paraId="7BC3FC6D" w14:textId="77777777" w:rsidTr="00B615F0">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6732123F"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148</w:t>
            </w:r>
          </w:p>
        </w:tc>
        <w:tc>
          <w:tcPr>
            <w:tcW w:w="1669" w:type="dxa"/>
            <w:tcBorders>
              <w:top w:val="nil"/>
              <w:left w:val="nil"/>
              <w:bottom w:val="single" w:sz="4" w:space="0" w:color="auto"/>
              <w:right w:val="single" w:sz="4" w:space="0" w:color="auto"/>
            </w:tcBorders>
            <w:shd w:val="clear" w:color="auto" w:fill="C6EFCE"/>
            <w:noWrap/>
          </w:tcPr>
          <w:p w14:paraId="06F2EAFC"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P5C1I2: R&amp;D for the green transition</w:t>
            </w:r>
          </w:p>
        </w:tc>
        <w:tc>
          <w:tcPr>
            <w:tcW w:w="1045" w:type="dxa"/>
            <w:tcBorders>
              <w:top w:val="nil"/>
              <w:left w:val="nil"/>
              <w:bottom w:val="single" w:sz="4" w:space="0" w:color="auto"/>
              <w:right w:val="single" w:sz="4" w:space="0" w:color="auto"/>
            </w:tcBorders>
            <w:shd w:val="clear" w:color="auto" w:fill="C6EFCE"/>
            <w:noWrap/>
          </w:tcPr>
          <w:p w14:paraId="302D6ED5"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Milestone</w:t>
            </w:r>
          </w:p>
        </w:tc>
        <w:tc>
          <w:tcPr>
            <w:tcW w:w="1410" w:type="dxa"/>
            <w:tcBorders>
              <w:top w:val="nil"/>
              <w:left w:val="nil"/>
              <w:bottom w:val="single" w:sz="4" w:space="0" w:color="auto"/>
              <w:right w:val="single" w:sz="4" w:space="0" w:color="auto"/>
            </w:tcBorders>
            <w:shd w:val="clear" w:color="auto" w:fill="C6EFCE"/>
            <w:noWrap/>
          </w:tcPr>
          <w:p w14:paraId="5A01BE70"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Inspection report issued</w:t>
            </w:r>
          </w:p>
        </w:tc>
        <w:tc>
          <w:tcPr>
            <w:tcW w:w="1424" w:type="dxa"/>
            <w:tcBorders>
              <w:top w:val="single" w:sz="4" w:space="0" w:color="auto"/>
              <w:left w:val="nil"/>
              <w:bottom w:val="single" w:sz="4" w:space="0" w:color="auto"/>
              <w:right w:val="single" w:sz="4" w:space="0" w:color="auto"/>
            </w:tcBorders>
            <w:shd w:val="clear" w:color="auto" w:fill="C6EFCE"/>
            <w:noWrap/>
          </w:tcPr>
          <w:p w14:paraId="0FF3BF75"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Inspection report issued</w:t>
            </w:r>
          </w:p>
        </w:tc>
        <w:tc>
          <w:tcPr>
            <w:tcW w:w="972" w:type="dxa"/>
            <w:tcBorders>
              <w:top w:val="nil"/>
              <w:left w:val="nil"/>
              <w:bottom w:val="single" w:sz="4" w:space="0" w:color="auto"/>
              <w:right w:val="single" w:sz="4" w:space="0" w:color="auto"/>
            </w:tcBorders>
            <w:shd w:val="clear" w:color="auto" w:fill="C6EFCE"/>
            <w:noWrap/>
          </w:tcPr>
          <w:p w14:paraId="1504AD25"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6F731C69"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567" w:type="dxa"/>
            <w:tcBorders>
              <w:top w:val="nil"/>
              <w:left w:val="nil"/>
              <w:bottom w:val="single" w:sz="4" w:space="0" w:color="auto"/>
              <w:right w:val="single" w:sz="4" w:space="0" w:color="auto"/>
            </w:tcBorders>
            <w:shd w:val="clear" w:color="auto" w:fill="C6EFCE"/>
            <w:noWrap/>
          </w:tcPr>
          <w:p w14:paraId="2E15DC49"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tcPr>
          <w:p w14:paraId="17B0A4FA" w14:textId="77777777" w:rsidR="00935FC8" w:rsidRPr="008E1AB8" w:rsidRDefault="00935FC8" w:rsidP="001B782A">
            <w:pPr>
              <w:spacing w:after="0" w:line="240" w:lineRule="auto"/>
              <w:jc w:val="center"/>
              <w:rPr>
                <w:rFonts w:ascii="Times New Roman" w:eastAsia="Times New Roman" w:hAnsi="Times New Roman"/>
                <w:noProof/>
                <w:sz w:val="20"/>
                <w:szCs w:val="20"/>
              </w:rPr>
            </w:pPr>
            <w:r w:rsidRPr="008E1AB8">
              <w:rPr>
                <w:rFonts w:ascii="Times New Roman" w:hAnsi="Times New Roman"/>
                <w:noProof/>
                <w:sz w:val="20"/>
                <w:szCs w:val="20"/>
                <w:lang w:eastAsia="en-GB"/>
              </w:rPr>
              <w:t>Q2</w:t>
            </w:r>
          </w:p>
        </w:tc>
        <w:tc>
          <w:tcPr>
            <w:tcW w:w="567" w:type="dxa"/>
            <w:tcBorders>
              <w:top w:val="nil"/>
              <w:left w:val="nil"/>
              <w:bottom w:val="single" w:sz="4" w:space="0" w:color="auto"/>
              <w:right w:val="single" w:sz="4" w:space="0" w:color="auto"/>
            </w:tcBorders>
            <w:shd w:val="clear" w:color="auto" w:fill="C6EFCE"/>
            <w:noWrap/>
          </w:tcPr>
          <w:p w14:paraId="6EB5D718" w14:textId="77777777" w:rsidR="00935FC8" w:rsidRPr="008E1AB8" w:rsidRDefault="00935FC8" w:rsidP="001B782A">
            <w:pPr>
              <w:spacing w:after="0" w:line="240" w:lineRule="auto"/>
              <w:jc w:val="center"/>
              <w:rPr>
                <w:rFonts w:ascii="Times New Roman" w:eastAsia="Times New Roman" w:hAnsi="Times New Roman"/>
                <w:noProof/>
                <w:sz w:val="20"/>
                <w:szCs w:val="20"/>
              </w:rPr>
            </w:pPr>
            <w:r w:rsidRPr="008E1AB8">
              <w:rPr>
                <w:rFonts w:ascii="Times New Roman" w:hAnsi="Times New Roman"/>
                <w:noProof/>
                <w:sz w:val="20"/>
                <w:szCs w:val="20"/>
                <w:lang w:eastAsia="en-GB"/>
              </w:rPr>
              <w:t>2026</w:t>
            </w:r>
          </w:p>
        </w:tc>
        <w:tc>
          <w:tcPr>
            <w:tcW w:w="5103" w:type="dxa"/>
            <w:tcBorders>
              <w:top w:val="single" w:sz="4" w:space="0" w:color="auto"/>
              <w:left w:val="nil"/>
              <w:bottom w:val="single" w:sz="4" w:space="0" w:color="auto"/>
              <w:right w:val="single" w:sz="4" w:space="0" w:color="auto"/>
            </w:tcBorders>
            <w:shd w:val="clear" w:color="auto" w:fill="C6EFCE"/>
            <w:noWrap/>
          </w:tcPr>
          <w:p w14:paraId="5109B079"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Inspection report issued by the building control authority City of Espoo on the construction of a new facility</w:t>
            </w:r>
            <w:r w:rsidRPr="008E1AB8" w:rsidDel="147C365A">
              <w:rPr>
                <w:rFonts w:ascii="Times New Roman" w:hAnsi="Times New Roman"/>
                <w:noProof/>
                <w:sz w:val="20"/>
                <w:szCs w:val="20"/>
                <w:lang w:eastAsia="en-GB"/>
              </w:rPr>
              <w:t xml:space="preserve"> for</w:t>
            </w:r>
            <w:r w:rsidRPr="008E1AB8">
              <w:rPr>
                <w:rFonts w:ascii="Times New Roman" w:hAnsi="Times New Roman"/>
                <w:noProof/>
                <w:sz w:val="20"/>
                <w:szCs w:val="20"/>
                <w:lang w:eastAsia="en-GB"/>
              </w:rPr>
              <w:t xml:space="preserve"> clean energy research. </w:t>
            </w:r>
          </w:p>
        </w:tc>
      </w:tr>
      <w:tr w:rsidR="00A7081A" w:rsidRPr="008E1AB8" w14:paraId="65961802" w14:textId="77777777" w:rsidTr="00B615F0">
        <w:trPr>
          <w:trHeight w:val="1605"/>
          <w:jc w:val="center"/>
        </w:trPr>
        <w:tc>
          <w:tcPr>
            <w:tcW w:w="846" w:type="dxa"/>
            <w:tcBorders>
              <w:top w:val="nil"/>
              <w:left w:val="single" w:sz="4" w:space="0" w:color="auto"/>
              <w:bottom w:val="single" w:sz="4" w:space="0" w:color="auto"/>
              <w:right w:val="single" w:sz="4" w:space="0" w:color="auto"/>
            </w:tcBorders>
            <w:shd w:val="clear" w:color="auto" w:fill="C6EFCE"/>
            <w:noWrap/>
          </w:tcPr>
          <w:p w14:paraId="28B7E613"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149</w:t>
            </w:r>
          </w:p>
        </w:tc>
        <w:tc>
          <w:tcPr>
            <w:tcW w:w="1669" w:type="dxa"/>
            <w:tcBorders>
              <w:top w:val="nil"/>
              <w:left w:val="nil"/>
              <w:bottom w:val="single" w:sz="4" w:space="0" w:color="auto"/>
              <w:right w:val="single" w:sz="4" w:space="0" w:color="auto"/>
            </w:tcBorders>
            <w:shd w:val="clear" w:color="auto" w:fill="C6EFCE"/>
            <w:noWrap/>
          </w:tcPr>
          <w:p w14:paraId="32021FC6"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P5C1I2: R&amp;D for the green transition</w:t>
            </w:r>
          </w:p>
        </w:tc>
        <w:tc>
          <w:tcPr>
            <w:tcW w:w="1045" w:type="dxa"/>
            <w:tcBorders>
              <w:top w:val="nil"/>
              <w:left w:val="nil"/>
              <w:bottom w:val="single" w:sz="4" w:space="0" w:color="auto"/>
              <w:right w:val="single" w:sz="4" w:space="0" w:color="auto"/>
            </w:tcBorders>
            <w:shd w:val="clear" w:color="auto" w:fill="C6EFCE"/>
            <w:noWrap/>
          </w:tcPr>
          <w:p w14:paraId="1689C39A"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Target</w:t>
            </w:r>
          </w:p>
        </w:tc>
        <w:tc>
          <w:tcPr>
            <w:tcW w:w="1410" w:type="dxa"/>
            <w:tcBorders>
              <w:top w:val="nil"/>
              <w:left w:val="nil"/>
              <w:bottom w:val="single" w:sz="4" w:space="0" w:color="auto"/>
              <w:right w:val="single" w:sz="4" w:space="0" w:color="auto"/>
            </w:tcBorders>
            <w:shd w:val="clear" w:color="auto" w:fill="C6EFCE"/>
            <w:noWrap/>
          </w:tcPr>
          <w:p w14:paraId="3E21A82A"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Assignment of researchers to REPowerEU-related research and development activities</w:t>
            </w:r>
          </w:p>
        </w:tc>
        <w:tc>
          <w:tcPr>
            <w:tcW w:w="1424" w:type="dxa"/>
            <w:tcBorders>
              <w:top w:val="single" w:sz="4" w:space="0" w:color="auto"/>
              <w:left w:val="nil"/>
              <w:bottom w:val="single" w:sz="4" w:space="0" w:color="auto"/>
              <w:right w:val="single" w:sz="4" w:space="0" w:color="auto"/>
            </w:tcBorders>
            <w:shd w:val="clear" w:color="auto" w:fill="C6EFCE"/>
            <w:noWrap/>
          </w:tcPr>
          <w:p w14:paraId="2C3D1618" w14:textId="77777777" w:rsidR="00935FC8" w:rsidRPr="008E1AB8" w:rsidRDefault="00935FC8" w:rsidP="00A7081A">
            <w:pPr>
              <w:spacing w:after="0" w:line="240" w:lineRule="auto"/>
              <w:rPr>
                <w:rFonts w:ascii="Times New Roman" w:hAnsi="Times New Roman"/>
                <w:noProof/>
                <w:sz w:val="20"/>
                <w:szCs w:val="20"/>
                <w:lang w:eastAsia="en-GB"/>
              </w:rPr>
            </w:pPr>
          </w:p>
        </w:tc>
        <w:tc>
          <w:tcPr>
            <w:tcW w:w="972" w:type="dxa"/>
            <w:tcBorders>
              <w:top w:val="nil"/>
              <w:left w:val="nil"/>
              <w:bottom w:val="single" w:sz="4" w:space="0" w:color="auto"/>
              <w:right w:val="single" w:sz="4" w:space="0" w:color="auto"/>
            </w:tcBorders>
            <w:shd w:val="clear" w:color="auto" w:fill="C6EFCE"/>
            <w:noWrap/>
          </w:tcPr>
          <w:p w14:paraId="3E857175"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Number of assigned researchers</w:t>
            </w:r>
          </w:p>
        </w:tc>
        <w:tc>
          <w:tcPr>
            <w:tcW w:w="851" w:type="dxa"/>
            <w:tcBorders>
              <w:top w:val="nil"/>
              <w:left w:val="nil"/>
              <w:bottom w:val="single" w:sz="4" w:space="0" w:color="auto"/>
              <w:right w:val="single" w:sz="4" w:space="0" w:color="auto"/>
            </w:tcBorders>
            <w:shd w:val="clear" w:color="auto" w:fill="C6EFCE"/>
            <w:noWrap/>
          </w:tcPr>
          <w:p w14:paraId="205E6E12"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0</w:t>
            </w:r>
          </w:p>
        </w:tc>
        <w:tc>
          <w:tcPr>
            <w:tcW w:w="567" w:type="dxa"/>
            <w:tcBorders>
              <w:top w:val="nil"/>
              <w:left w:val="nil"/>
              <w:bottom w:val="single" w:sz="4" w:space="0" w:color="auto"/>
              <w:right w:val="single" w:sz="4" w:space="0" w:color="auto"/>
            </w:tcBorders>
            <w:shd w:val="clear" w:color="auto" w:fill="C6EFCE"/>
            <w:noWrap/>
          </w:tcPr>
          <w:p w14:paraId="61B176D6"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35</w:t>
            </w:r>
          </w:p>
        </w:tc>
        <w:tc>
          <w:tcPr>
            <w:tcW w:w="850" w:type="dxa"/>
            <w:tcBorders>
              <w:top w:val="nil"/>
              <w:left w:val="nil"/>
              <w:bottom w:val="single" w:sz="4" w:space="0" w:color="auto"/>
              <w:right w:val="single" w:sz="4" w:space="0" w:color="auto"/>
            </w:tcBorders>
            <w:shd w:val="clear" w:color="auto" w:fill="C6EFCE"/>
            <w:noWrap/>
          </w:tcPr>
          <w:p w14:paraId="7028E8D3"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Q2</w:t>
            </w:r>
          </w:p>
        </w:tc>
        <w:tc>
          <w:tcPr>
            <w:tcW w:w="567" w:type="dxa"/>
            <w:tcBorders>
              <w:top w:val="nil"/>
              <w:left w:val="nil"/>
              <w:bottom w:val="single" w:sz="4" w:space="0" w:color="auto"/>
              <w:right w:val="single" w:sz="4" w:space="0" w:color="auto"/>
            </w:tcBorders>
            <w:shd w:val="clear" w:color="auto" w:fill="C6EFCE"/>
            <w:noWrap/>
          </w:tcPr>
          <w:p w14:paraId="6C78D4DF"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2025</w:t>
            </w:r>
          </w:p>
        </w:tc>
        <w:tc>
          <w:tcPr>
            <w:tcW w:w="5103" w:type="dxa"/>
            <w:tcBorders>
              <w:top w:val="single" w:sz="4" w:space="0" w:color="auto"/>
              <w:left w:val="nil"/>
              <w:bottom w:val="single" w:sz="4" w:space="0" w:color="auto"/>
              <w:right w:val="single" w:sz="4" w:space="0" w:color="auto"/>
            </w:tcBorders>
            <w:shd w:val="clear" w:color="auto" w:fill="C6EFCE"/>
            <w:noWrap/>
          </w:tcPr>
          <w:p w14:paraId="728B5057" w14:textId="52DC6B57" w:rsidR="00935FC8" w:rsidRPr="008E1AB8" w:rsidRDefault="00935FC8" w:rsidP="00A7081A">
            <w:pPr>
              <w:spacing w:after="0" w:line="240" w:lineRule="auto"/>
              <w:rPr>
                <w:rFonts w:ascii="Times New Roman" w:hAnsi="Times New Roman"/>
                <w:noProof/>
                <w:sz w:val="20"/>
                <w:szCs w:val="20"/>
              </w:rPr>
            </w:pPr>
            <w:r w:rsidRPr="008E1AB8">
              <w:rPr>
                <w:rFonts w:ascii="Times New Roman" w:hAnsi="Times New Roman"/>
                <w:noProof/>
                <w:sz w:val="20"/>
                <w:szCs w:val="20"/>
                <w:lang w:eastAsia="en-GB"/>
              </w:rPr>
              <w:t xml:space="preserve">Research openings shall be launched in three thematic areas, including i) electricity storage and accelerating clean energy, ii) energy efficiency and decarbonisation of industry, and iii) renewable hydrogen economy. At least 35 researchers shall be assigned by VTT Technical Research Centre of Finland Ltd to the three </w:t>
            </w:r>
            <w:r w:rsidRPr="008E1AB8" w:rsidDel="5BDEBA20">
              <w:rPr>
                <w:rFonts w:ascii="Times New Roman" w:hAnsi="Times New Roman"/>
                <w:noProof/>
                <w:sz w:val="20"/>
                <w:szCs w:val="20"/>
                <w:lang w:eastAsia="en-GB"/>
              </w:rPr>
              <w:t xml:space="preserve">thematic </w:t>
            </w:r>
            <w:r w:rsidRPr="008E1AB8">
              <w:rPr>
                <w:rFonts w:ascii="Times New Roman" w:hAnsi="Times New Roman"/>
                <w:noProof/>
                <w:sz w:val="20"/>
                <w:szCs w:val="20"/>
                <w:lang w:eastAsia="en-GB"/>
              </w:rPr>
              <w:t>areas.</w:t>
            </w:r>
          </w:p>
        </w:tc>
      </w:tr>
      <w:tr w:rsidR="00A7081A" w:rsidRPr="008E1AB8" w14:paraId="20A15E88" w14:textId="77777777" w:rsidTr="00B615F0">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4A23EF0D"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150</w:t>
            </w:r>
          </w:p>
        </w:tc>
        <w:tc>
          <w:tcPr>
            <w:tcW w:w="1669" w:type="dxa"/>
            <w:tcBorders>
              <w:top w:val="nil"/>
              <w:left w:val="nil"/>
              <w:bottom w:val="single" w:sz="4" w:space="0" w:color="auto"/>
              <w:right w:val="single" w:sz="4" w:space="0" w:color="auto"/>
            </w:tcBorders>
            <w:shd w:val="clear" w:color="auto" w:fill="C6EFCE"/>
            <w:noWrap/>
          </w:tcPr>
          <w:p w14:paraId="5F9695E5"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P5C1I2: R&amp;D for the green transition</w:t>
            </w:r>
          </w:p>
        </w:tc>
        <w:tc>
          <w:tcPr>
            <w:tcW w:w="1045" w:type="dxa"/>
            <w:tcBorders>
              <w:top w:val="nil"/>
              <w:left w:val="nil"/>
              <w:bottom w:val="single" w:sz="4" w:space="0" w:color="auto"/>
              <w:right w:val="single" w:sz="4" w:space="0" w:color="auto"/>
            </w:tcBorders>
            <w:shd w:val="clear" w:color="auto" w:fill="C6EFCE"/>
            <w:noWrap/>
          </w:tcPr>
          <w:p w14:paraId="2F0159AB"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Target</w:t>
            </w:r>
          </w:p>
        </w:tc>
        <w:tc>
          <w:tcPr>
            <w:tcW w:w="1410" w:type="dxa"/>
            <w:tcBorders>
              <w:top w:val="nil"/>
              <w:left w:val="nil"/>
              <w:bottom w:val="single" w:sz="4" w:space="0" w:color="auto"/>
              <w:right w:val="single" w:sz="4" w:space="0" w:color="auto"/>
            </w:tcBorders>
            <w:shd w:val="clear" w:color="auto" w:fill="C6EFCE"/>
            <w:noWrap/>
          </w:tcPr>
          <w:p w14:paraId="61D9C90A"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Selection of doctoral students in the LUKE Doctoral School programme</w:t>
            </w:r>
          </w:p>
        </w:tc>
        <w:tc>
          <w:tcPr>
            <w:tcW w:w="1424" w:type="dxa"/>
            <w:tcBorders>
              <w:top w:val="single" w:sz="4" w:space="0" w:color="auto"/>
              <w:left w:val="nil"/>
              <w:bottom w:val="single" w:sz="4" w:space="0" w:color="auto"/>
              <w:right w:val="single" w:sz="4" w:space="0" w:color="auto"/>
            </w:tcBorders>
            <w:shd w:val="clear" w:color="auto" w:fill="C6EFCE"/>
            <w:noWrap/>
          </w:tcPr>
          <w:p w14:paraId="7B026F41" w14:textId="77777777" w:rsidR="00935FC8" w:rsidRPr="008E1AB8" w:rsidRDefault="00935FC8" w:rsidP="00A7081A">
            <w:pPr>
              <w:spacing w:after="0" w:line="240" w:lineRule="auto"/>
              <w:rPr>
                <w:rFonts w:ascii="Times New Roman" w:hAnsi="Times New Roman"/>
                <w:noProof/>
                <w:sz w:val="20"/>
                <w:szCs w:val="20"/>
                <w:lang w:eastAsia="en-GB"/>
              </w:rPr>
            </w:pPr>
          </w:p>
        </w:tc>
        <w:tc>
          <w:tcPr>
            <w:tcW w:w="972" w:type="dxa"/>
            <w:tcBorders>
              <w:top w:val="nil"/>
              <w:left w:val="nil"/>
              <w:bottom w:val="single" w:sz="4" w:space="0" w:color="auto"/>
              <w:right w:val="single" w:sz="4" w:space="0" w:color="auto"/>
            </w:tcBorders>
            <w:shd w:val="clear" w:color="auto" w:fill="C6EFCE"/>
            <w:noWrap/>
          </w:tcPr>
          <w:p w14:paraId="2772FCA9"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Number</w:t>
            </w:r>
          </w:p>
        </w:tc>
        <w:tc>
          <w:tcPr>
            <w:tcW w:w="851" w:type="dxa"/>
            <w:tcBorders>
              <w:top w:val="nil"/>
              <w:left w:val="nil"/>
              <w:bottom w:val="single" w:sz="4" w:space="0" w:color="auto"/>
              <w:right w:val="single" w:sz="4" w:space="0" w:color="auto"/>
            </w:tcBorders>
            <w:shd w:val="clear" w:color="auto" w:fill="C6EFCE"/>
            <w:noWrap/>
          </w:tcPr>
          <w:p w14:paraId="0153B68A"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0</w:t>
            </w:r>
          </w:p>
        </w:tc>
        <w:tc>
          <w:tcPr>
            <w:tcW w:w="567" w:type="dxa"/>
            <w:tcBorders>
              <w:top w:val="nil"/>
              <w:left w:val="nil"/>
              <w:bottom w:val="single" w:sz="4" w:space="0" w:color="auto"/>
              <w:right w:val="single" w:sz="4" w:space="0" w:color="auto"/>
            </w:tcBorders>
            <w:shd w:val="clear" w:color="auto" w:fill="C6EFCE"/>
            <w:noWrap/>
          </w:tcPr>
          <w:p w14:paraId="038E8921"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4</w:t>
            </w:r>
          </w:p>
        </w:tc>
        <w:tc>
          <w:tcPr>
            <w:tcW w:w="850" w:type="dxa"/>
            <w:tcBorders>
              <w:top w:val="nil"/>
              <w:left w:val="nil"/>
              <w:bottom w:val="single" w:sz="4" w:space="0" w:color="auto"/>
              <w:right w:val="single" w:sz="4" w:space="0" w:color="auto"/>
            </w:tcBorders>
            <w:shd w:val="clear" w:color="auto" w:fill="C6EFCE"/>
            <w:noWrap/>
          </w:tcPr>
          <w:p w14:paraId="0E2F64ED"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Q3</w:t>
            </w:r>
          </w:p>
        </w:tc>
        <w:tc>
          <w:tcPr>
            <w:tcW w:w="567" w:type="dxa"/>
            <w:tcBorders>
              <w:top w:val="nil"/>
              <w:left w:val="nil"/>
              <w:bottom w:val="single" w:sz="4" w:space="0" w:color="auto"/>
              <w:right w:val="single" w:sz="4" w:space="0" w:color="auto"/>
            </w:tcBorders>
            <w:shd w:val="clear" w:color="auto" w:fill="C6EFCE"/>
            <w:noWrap/>
          </w:tcPr>
          <w:p w14:paraId="4B3F7DF8"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2024</w:t>
            </w:r>
          </w:p>
        </w:tc>
        <w:tc>
          <w:tcPr>
            <w:tcW w:w="5103" w:type="dxa"/>
            <w:tcBorders>
              <w:top w:val="single" w:sz="4" w:space="0" w:color="auto"/>
              <w:left w:val="nil"/>
              <w:bottom w:val="single" w:sz="4" w:space="0" w:color="auto"/>
              <w:right w:val="single" w:sz="4" w:space="0" w:color="auto"/>
            </w:tcBorders>
            <w:shd w:val="clear" w:color="auto" w:fill="C6EFCE"/>
            <w:noWrap/>
          </w:tcPr>
          <w:p w14:paraId="5DD0718F" w14:textId="77777777" w:rsidR="00935FC8" w:rsidRPr="008E1AB8" w:rsidRDefault="00935FC8" w:rsidP="00A7081A">
            <w:pPr>
              <w:spacing w:after="0" w:line="240" w:lineRule="auto"/>
              <w:rPr>
                <w:rFonts w:ascii="Times New Roman" w:hAnsi="Times New Roman"/>
                <w:noProof/>
                <w:sz w:val="20"/>
                <w:szCs w:val="20"/>
              </w:rPr>
            </w:pPr>
            <w:r w:rsidRPr="008E1AB8">
              <w:rPr>
                <w:rFonts w:ascii="Times New Roman" w:hAnsi="Times New Roman"/>
                <w:noProof/>
                <w:sz w:val="20"/>
                <w:szCs w:val="20"/>
              </w:rPr>
              <w:t>At least four doctoral student posts in the Natural Resources Institute Finland (LUKE) Doctoral School programme shall be allocated to REPowerEU-related themes</w:t>
            </w:r>
            <w:r w:rsidRPr="008E1AB8" w:rsidDel="6D17516A">
              <w:rPr>
                <w:rFonts w:ascii="Times New Roman" w:hAnsi="Times New Roman"/>
                <w:noProof/>
                <w:sz w:val="20"/>
                <w:szCs w:val="20"/>
              </w:rPr>
              <w:t>, including</w:t>
            </w:r>
            <w:r w:rsidRPr="008E1AB8" w:rsidDel="7712F42A">
              <w:rPr>
                <w:rFonts w:ascii="Times New Roman" w:hAnsi="Times New Roman"/>
                <w:noProof/>
                <w:sz w:val="20"/>
                <w:szCs w:val="20"/>
              </w:rPr>
              <w:t xml:space="preserve"> </w:t>
            </w:r>
            <w:r w:rsidRPr="008E1AB8" w:rsidDel="6D17516A">
              <w:rPr>
                <w:rFonts w:ascii="Times New Roman" w:hAnsi="Times New Roman"/>
                <w:noProof/>
                <w:sz w:val="20"/>
                <w:szCs w:val="20"/>
              </w:rPr>
              <w:t xml:space="preserve">i) wind and solar </w:t>
            </w:r>
            <w:r w:rsidRPr="008E1AB8" w:rsidDel="35CB2571">
              <w:rPr>
                <w:rFonts w:ascii="Times New Roman" w:hAnsi="Times New Roman"/>
                <w:noProof/>
                <w:sz w:val="20"/>
                <w:szCs w:val="20"/>
              </w:rPr>
              <w:t>power</w:t>
            </w:r>
            <w:r w:rsidRPr="008E1AB8" w:rsidDel="6D17516A">
              <w:rPr>
                <w:rFonts w:ascii="Times New Roman" w:hAnsi="Times New Roman"/>
                <w:noProof/>
                <w:sz w:val="20"/>
                <w:szCs w:val="20"/>
              </w:rPr>
              <w:t>, ii)</w:t>
            </w:r>
            <w:r w:rsidRPr="008E1AB8" w:rsidDel="35CB2571">
              <w:rPr>
                <w:rFonts w:ascii="Times New Roman" w:hAnsi="Times New Roman"/>
                <w:noProof/>
                <w:sz w:val="20"/>
                <w:szCs w:val="20"/>
              </w:rPr>
              <w:t xml:space="preserve"> data-driven optimization</w:t>
            </w:r>
            <w:r w:rsidRPr="008E1AB8" w:rsidDel="7712F42A">
              <w:rPr>
                <w:rFonts w:ascii="Times New Roman" w:hAnsi="Times New Roman"/>
                <w:noProof/>
                <w:sz w:val="20"/>
                <w:szCs w:val="20"/>
              </w:rPr>
              <w:t xml:space="preserve"> of the </w:t>
            </w:r>
            <w:r w:rsidRPr="008E1AB8" w:rsidDel="35CB2571">
              <w:rPr>
                <w:rFonts w:ascii="Times New Roman" w:hAnsi="Times New Roman"/>
                <w:noProof/>
                <w:sz w:val="20"/>
                <w:szCs w:val="20"/>
              </w:rPr>
              <w:t>use of energy sources</w:t>
            </w:r>
            <w:r w:rsidRPr="008E1AB8" w:rsidDel="7154D4DB">
              <w:rPr>
                <w:rFonts w:ascii="Times New Roman" w:hAnsi="Times New Roman"/>
                <w:noProof/>
                <w:sz w:val="20"/>
                <w:szCs w:val="20"/>
              </w:rPr>
              <w:t xml:space="preserve"> and iii) resource efficiency</w:t>
            </w:r>
            <w:r w:rsidRPr="008E1AB8" w:rsidDel="4B44C034">
              <w:rPr>
                <w:rFonts w:ascii="Times New Roman" w:hAnsi="Times New Roman"/>
                <w:noProof/>
                <w:sz w:val="20"/>
                <w:szCs w:val="20"/>
              </w:rPr>
              <w:t>,</w:t>
            </w:r>
            <w:r w:rsidRPr="008E1AB8" w:rsidDel="60C2A119">
              <w:rPr>
                <w:rFonts w:ascii="Times New Roman" w:hAnsi="Times New Roman"/>
                <w:noProof/>
                <w:sz w:val="20"/>
                <w:szCs w:val="20"/>
                <w:lang w:eastAsia="en-GB"/>
              </w:rPr>
              <w:t xml:space="preserve"> with a view to fostering REPowerEU-competence building.</w:t>
            </w:r>
          </w:p>
        </w:tc>
      </w:tr>
      <w:tr w:rsidR="00A7081A" w:rsidRPr="008E1AB8" w14:paraId="015D2B6B" w14:textId="77777777" w:rsidTr="00B615F0">
        <w:trPr>
          <w:trHeight w:val="309"/>
          <w:jc w:val="center"/>
        </w:trPr>
        <w:tc>
          <w:tcPr>
            <w:tcW w:w="846" w:type="dxa"/>
            <w:tcBorders>
              <w:top w:val="nil"/>
              <w:left w:val="single" w:sz="4" w:space="0" w:color="auto"/>
              <w:bottom w:val="single" w:sz="4" w:space="0" w:color="auto"/>
              <w:right w:val="single" w:sz="4" w:space="0" w:color="auto"/>
            </w:tcBorders>
            <w:shd w:val="clear" w:color="auto" w:fill="C6EFCE"/>
            <w:noWrap/>
          </w:tcPr>
          <w:p w14:paraId="69B44A3D"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151</w:t>
            </w:r>
          </w:p>
        </w:tc>
        <w:tc>
          <w:tcPr>
            <w:tcW w:w="1669" w:type="dxa"/>
            <w:tcBorders>
              <w:top w:val="nil"/>
              <w:left w:val="nil"/>
              <w:bottom w:val="single" w:sz="4" w:space="0" w:color="auto"/>
              <w:right w:val="single" w:sz="4" w:space="0" w:color="auto"/>
            </w:tcBorders>
            <w:shd w:val="clear" w:color="auto" w:fill="C6EFCE"/>
            <w:noWrap/>
          </w:tcPr>
          <w:p w14:paraId="44910743"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P5C1I2: R&amp;D for the green transition</w:t>
            </w:r>
          </w:p>
        </w:tc>
        <w:tc>
          <w:tcPr>
            <w:tcW w:w="1045" w:type="dxa"/>
            <w:tcBorders>
              <w:top w:val="nil"/>
              <w:left w:val="nil"/>
              <w:bottom w:val="single" w:sz="4" w:space="0" w:color="auto"/>
              <w:right w:val="single" w:sz="4" w:space="0" w:color="auto"/>
            </w:tcBorders>
            <w:shd w:val="clear" w:color="auto" w:fill="C6EFCE"/>
            <w:noWrap/>
          </w:tcPr>
          <w:p w14:paraId="0AD06DE9"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Milestone</w:t>
            </w:r>
          </w:p>
        </w:tc>
        <w:tc>
          <w:tcPr>
            <w:tcW w:w="1410" w:type="dxa"/>
            <w:tcBorders>
              <w:top w:val="nil"/>
              <w:left w:val="nil"/>
              <w:bottom w:val="single" w:sz="4" w:space="0" w:color="auto"/>
              <w:right w:val="single" w:sz="4" w:space="0" w:color="auto"/>
            </w:tcBorders>
            <w:shd w:val="clear" w:color="auto" w:fill="C6EFCE"/>
            <w:noWrap/>
          </w:tcPr>
          <w:p w14:paraId="79152B94"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 xml:space="preserve">Publication of clean energy roadmaps </w:t>
            </w:r>
          </w:p>
        </w:tc>
        <w:tc>
          <w:tcPr>
            <w:tcW w:w="1424" w:type="dxa"/>
            <w:tcBorders>
              <w:top w:val="single" w:sz="4" w:space="0" w:color="auto"/>
              <w:left w:val="nil"/>
              <w:bottom w:val="single" w:sz="4" w:space="0" w:color="auto"/>
              <w:right w:val="single" w:sz="4" w:space="0" w:color="auto"/>
            </w:tcBorders>
            <w:shd w:val="clear" w:color="auto" w:fill="C6EFCE"/>
            <w:noWrap/>
          </w:tcPr>
          <w:p w14:paraId="3C35C5DA"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Publication of the roadmaps for clean energy systems development and renewable energy systems</w:t>
            </w:r>
          </w:p>
        </w:tc>
        <w:tc>
          <w:tcPr>
            <w:tcW w:w="972" w:type="dxa"/>
            <w:tcBorders>
              <w:top w:val="nil"/>
              <w:left w:val="nil"/>
              <w:bottom w:val="single" w:sz="4" w:space="0" w:color="auto"/>
              <w:right w:val="single" w:sz="4" w:space="0" w:color="auto"/>
            </w:tcBorders>
            <w:shd w:val="clear" w:color="auto" w:fill="C6EFCE"/>
            <w:noWrap/>
          </w:tcPr>
          <w:p w14:paraId="75F4040C"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1" w:type="dxa"/>
            <w:tcBorders>
              <w:top w:val="nil"/>
              <w:left w:val="nil"/>
              <w:bottom w:val="single" w:sz="4" w:space="0" w:color="auto"/>
              <w:right w:val="single" w:sz="4" w:space="0" w:color="auto"/>
            </w:tcBorders>
            <w:shd w:val="clear" w:color="auto" w:fill="C6EFCE"/>
            <w:noWrap/>
          </w:tcPr>
          <w:p w14:paraId="2D4C47FB"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567" w:type="dxa"/>
            <w:tcBorders>
              <w:top w:val="nil"/>
              <w:left w:val="nil"/>
              <w:bottom w:val="single" w:sz="4" w:space="0" w:color="auto"/>
              <w:right w:val="single" w:sz="4" w:space="0" w:color="auto"/>
            </w:tcBorders>
            <w:shd w:val="clear" w:color="auto" w:fill="C6EFCE"/>
            <w:noWrap/>
          </w:tcPr>
          <w:p w14:paraId="62723954"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0" w:type="dxa"/>
            <w:tcBorders>
              <w:top w:val="nil"/>
              <w:left w:val="nil"/>
              <w:bottom w:val="single" w:sz="4" w:space="0" w:color="auto"/>
              <w:right w:val="single" w:sz="4" w:space="0" w:color="auto"/>
            </w:tcBorders>
            <w:shd w:val="clear" w:color="auto" w:fill="C6EFCE"/>
            <w:noWrap/>
          </w:tcPr>
          <w:p w14:paraId="530E40DA"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Q2</w:t>
            </w:r>
          </w:p>
        </w:tc>
        <w:tc>
          <w:tcPr>
            <w:tcW w:w="567" w:type="dxa"/>
            <w:tcBorders>
              <w:top w:val="nil"/>
              <w:left w:val="nil"/>
              <w:bottom w:val="single" w:sz="4" w:space="0" w:color="auto"/>
              <w:right w:val="single" w:sz="4" w:space="0" w:color="auto"/>
            </w:tcBorders>
            <w:shd w:val="clear" w:color="auto" w:fill="C6EFCE"/>
            <w:noWrap/>
          </w:tcPr>
          <w:p w14:paraId="64DAD644"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2026</w:t>
            </w:r>
          </w:p>
        </w:tc>
        <w:tc>
          <w:tcPr>
            <w:tcW w:w="5103" w:type="dxa"/>
            <w:tcBorders>
              <w:top w:val="single" w:sz="4" w:space="0" w:color="auto"/>
              <w:left w:val="nil"/>
              <w:bottom w:val="single" w:sz="4" w:space="0" w:color="auto"/>
              <w:right w:val="single" w:sz="4" w:space="0" w:color="auto"/>
            </w:tcBorders>
            <w:shd w:val="clear" w:color="auto" w:fill="C6EFCE"/>
            <w:noWrap/>
          </w:tcPr>
          <w:p w14:paraId="3A5ADE32" w14:textId="77777777" w:rsidR="00935FC8" w:rsidRPr="008E1AB8" w:rsidRDefault="00935FC8" w:rsidP="00A7081A">
            <w:pPr>
              <w:spacing w:after="0" w:line="240" w:lineRule="auto"/>
              <w:rPr>
                <w:rFonts w:ascii="Times New Roman" w:hAnsi="Times New Roman"/>
                <w:noProof/>
                <w:sz w:val="20"/>
                <w:szCs w:val="20"/>
              </w:rPr>
            </w:pPr>
            <w:r w:rsidRPr="008E1AB8">
              <w:rPr>
                <w:rFonts w:ascii="Times New Roman" w:hAnsi="Times New Roman"/>
                <w:noProof/>
                <w:sz w:val="20"/>
                <w:szCs w:val="20"/>
              </w:rPr>
              <w:t xml:space="preserve">A </w:t>
            </w:r>
            <w:r w:rsidRPr="008E1AB8">
              <w:rPr>
                <w:rFonts w:ascii="Times New Roman" w:hAnsi="Times New Roman"/>
                <w:noProof/>
                <w:sz w:val="20"/>
                <w:szCs w:val="20"/>
                <w:lang w:eastAsia="en-GB"/>
              </w:rPr>
              <w:t>roadmap for clean energy systems development shall</w:t>
            </w:r>
            <w:r w:rsidRPr="008E1AB8">
              <w:rPr>
                <w:rFonts w:ascii="Times New Roman" w:hAnsi="Times New Roman"/>
                <w:noProof/>
                <w:sz w:val="20"/>
                <w:szCs w:val="20"/>
              </w:rPr>
              <w:t xml:space="preserve"> be published</w:t>
            </w:r>
            <w:r w:rsidRPr="008E1AB8" w:rsidDel="7A131CFA">
              <w:rPr>
                <w:rFonts w:ascii="Times New Roman" w:hAnsi="Times New Roman"/>
                <w:noProof/>
                <w:sz w:val="20"/>
                <w:szCs w:val="20"/>
              </w:rPr>
              <w:t>.</w:t>
            </w:r>
          </w:p>
          <w:p w14:paraId="4B0B08CB" w14:textId="77777777" w:rsidR="00935FC8" w:rsidRPr="008E1AB8" w:rsidRDefault="00935FC8" w:rsidP="00A7081A">
            <w:pPr>
              <w:spacing w:after="0" w:line="240" w:lineRule="auto"/>
              <w:rPr>
                <w:rFonts w:ascii="Times New Roman" w:hAnsi="Times New Roman"/>
                <w:noProof/>
                <w:sz w:val="20"/>
                <w:szCs w:val="20"/>
              </w:rPr>
            </w:pPr>
            <w:r w:rsidRPr="008E1AB8">
              <w:rPr>
                <w:rFonts w:ascii="Times New Roman" w:hAnsi="Times New Roman"/>
                <w:noProof/>
                <w:sz w:val="20"/>
                <w:szCs w:val="20"/>
                <w:lang w:eastAsia="en-GB"/>
              </w:rPr>
              <w:t>A roadmap on emerging renewable energy systems, including an evaluation of the effects of the growth of solar and wind energy on land, coastal and offshore areas, shall be published.</w:t>
            </w:r>
          </w:p>
        </w:tc>
      </w:tr>
      <w:tr w:rsidR="00A7081A" w:rsidRPr="008E1AB8" w14:paraId="475E6F61" w14:textId="77777777" w:rsidTr="00B615F0">
        <w:trPr>
          <w:trHeight w:val="309"/>
          <w:jc w:val="center"/>
        </w:trPr>
        <w:tc>
          <w:tcPr>
            <w:tcW w:w="846" w:type="dxa"/>
            <w:tcBorders>
              <w:top w:val="single" w:sz="4" w:space="0" w:color="auto"/>
              <w:left w:val="single" w:sz="4" w:space="0" w:color="auto"/>
              <w:bottom w:val="single" w:sz="4" w:space="0" w:color="auto"/>
              <w:right w:val="single" w:sz="4" w:space="0" w:color="auto"/>
            </w:tcBorders>
            <w:shd w:val="clear" w:color="auto" w:fill="C6EFCE"/>
            <w:noWrap/>
          </w:tcPr>
          <w:p w14:paraId="6E5748E9"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152</w:t>
            </w:r>
          </w:p>
        </w:tc>
        <w:tc>
          <w:tcPr>
            <w:tcW w:w="1669" w:type="dxa"/>
            <w:tcBorders>
              <w:top w:val="single" w:sz="4" w:space="0" w:color="auto"/>
              <w:left w:val="nil"/>
              <w:bottom w:val="single" w:sz="4" w:space="0" w:color="auto"/>
              <w:right w:val="single" w:sz="4" w:space="0" w:color="auto"/>
            </w:tcBorders>
            <w:shd w:val="clear" w:color="auto" w:fill="C6EFCE"/>
            <w:noWrap/>
          </w:tcPr>
          <w:p w14:paraId="259516D2"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P5C1I3: Offshore wind power in Åland</w:t>
            </w:r>
          </w:p>
        </w:tc>
        <w:tc>
          <w:tcPr>
            <w:tcW w:w="1045" w:type="dxa"/>
            <w:tcBorders>
              <w:top w:val="single" w:sz="4" w:space="0" w:color="auto"/>
              <w:left w:val="nil"/>
              <w:bottom w:val="single" w:sz="4" w:space="0" w:color="auto"/>
              <w:right w:val="single" w:sz="4" w:space="0" w:color="auto"/>
            </w:tcBorders>
            <w:shd w:val="clear" w:color="auto" w:fill="C6EFCE"/>
            <w:noWrap/>
          </w:tcPr>
          <w:p w14:paraId="63994530"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Milestone</w:t>
            </w:r>
          </w:p>
        </w:tc>
        <w:tc>
          <w:tcPr>
            <w:tcW w:w="1410" w:type="dxa"/>
            <w:tcBorders>
              <w:top w:val="single" w:sz="4" w:space="0" w:color="auto"/>
              <w:left w:val="nil"/>
              <w:bottom w:val="single" w:sz="4" w:space="0" w:color="auto"/>
              <w:right w:val="single" w:sz="4" w:space="0" w:color="auto"/>
            </w:tcBorders>
            <w:shd w:val="clear" w:color="auto" w:fill="C6EFCE"/>
            <w:noWrap/>
          </w:tcPr>
          <w:p w14:paraId="0A00268C"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rPr>
              <w:t>Delivery of reports</w:t>
            </w:r>
          </w:p>
        </w:tc>
        <w:tc>
          <w:tcPr>
            <w:tcW w:w="1424" w:type="dxa"/>
            <w:tcBorders>
              <w:top w:val="single" w:sz="4" w:space="0" w:color="auto"/>
              <w:left w:val="nil"/>
              <w:bottom w:val="single" w:sz="4" w:space="0" w:color="auto"/>
              <w:right w:val="single" w:sz="4" w:space="0" w:color="auto"/>
            </w:tcBorders>
            <w:shd w:val="clear" w:color="auto" w:fill="C6EFCE"/>
            <w:noWrap/>
          </w:tcPr>
          <w:p w14:paraId="42D36FBF" w14:textId="77777777" w:rsidR="00935FC8" w:rsidRPr="008E1AB8" w:rsidRDefault="00935FC8" w:rsidP="00A7081A">
            <w:pPr>
              <w:spacing w:after="0" w:line="240" w:lineRule="auto"/>
              <w:rPr>
                <w:rFonts w:ascii="Times New Roman" w:hAnsi="Times New Roman"/>
                <w:noProof/>
                <w:sz w:val="20"/>
                <w:szCs w:val="20"/>
                <w:lang w:eastAsia="en-GB"/>
              </w:rPr>
            </w:pPr>
            <w:r w:rsidRPr="008E1AB8">
              <w:rPr>
                <w:rFonts w:ascii="Times New Roman" w:hAnsi="Times New Roman"/>
                <w:noProof/>
                <w:sz w:val="20"/>
                <w:szCs w:val="20"/>
                <w:lang w:eastAsia="en-GB"/>
              </w:rPr>
              <w:t>Delivery of reports</w:t>
            </w:r>
          </w:p>
        </w:tc>
        <w:tc>
          <w:tcPr>
            <w:tcW w:w="972" w:type="dxa"/>
            <w:tcBorders>
              <w:top w:val="single" w:sz="4" w:space="0" w:color="auto"/>
              <w:left w:val="nil"/>
              <w:bottom w:val="single" w:sz="4" w:space="0" w:color="auto"/>
              <w:right w:val="single" w:sz="4" w:space="0" w:color="auto"/>
            </w:tcBorders>
            <w:shd w:val="clear" w:color="auto" w:fill="C6EFCE"/>
            <w:noWrap/>
          </w:tcPr>
          <w:p w14:paraId="4472D6A4"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1" w:type="dxa"/>
            <w:tcBorders>
              <w:top w:val="single" w:sz="4" w:space="0" w:color="auto"/>
              <w:left w:val="nil"/>
              <w:bottom w:val="single" w:sz="4" w:space="0" w:color="auto"/>
              <w:right w:val="single" w:sz="4" w:space="0" w:color="auto"/>
            </w:tcBorders>
            <w:shd w:val="clear" w:color="auto" w:fill="C6EFCE"/>
            <w:noWrap/>
          </w:tcPr>
          <w:p w14:paraId="04A12CC5"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567" w:type="dxa"/>
            <w:tcBorders>
              <w:top w:val="single" w:sz="4" w:space="0" w:color="auto"/>
              <w:left w:val="nil"/>
              <w:bottom w:val="single" w:sz="4" w:space="0" w:color="auto"/>
              <w:right w:val="single" w:sz="4" w:space="0" w:color="auto"/>
            </w:tcBorders>
            <w:shd w:val="clear" w:color="auto" w:fill="C6EFCE"/>
            <w:noWrap/>
          </w:tcPr>
          <w:p w14:paraId="363F3737" w14:textId="77777777" w:rsidR="00935FC8" w:rsidRPr="008E1AB8" w:rsidRDefault="00935FC8" w:rsidP="001B782A">
            <w:pPr>
              <w:spacing w:after="0" w:line="240" w:lineRule="auto"/>
              <w:jc w:val="center"/>
              <w:rPr>
                <w:rFonts w:ascii="Times New Roman" w:hAnsi="Times New Roman"/>
                <w:noProof/>
                <w:sz w:val="20"/>
                <w:szCs w:val="20"/>
                <w:lang w:eastAsia="en-GB"/>
              </w:rPr>
            </w:pPr>
          </w:p>
        </w:tc>
        <w:tc>
          <w:tcPr>
            <w:tcW w:w="850" w:type="dxa"/>
            <w:tcBorders>
              <w:top w:val="single" w:sz="4" w:space="0" w:color="auto"/>
              <w:left w:val="nil"/>
              <w:bottom w:val="single" w:sz="4" w:space="0" w:color="auto"/>
              <w:right w:val="single" w:sz="4" w:space="0" w:color="auto"/>
            </w:tcBorders>
            <w:shd w:val="clear" w:color="auto" w:fill="C6EFCE"/>
            <w:noWrap/>
          </w:tcPr>
          <w:p w14:paraId="323614EB"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Q2</w:t>
            </w:r>
          </w:p>
        </w:tc>
        <w:tc>
          <w:tcPr>
            <w:tcW w:w="567" w:type="dxa"/>
            <w:tcBorders>
              <w:top w:val="single" w:sz="4" w:space="0" w:color="auto"/>
              <w:left w:val="nil"/>
              <w:bottom w:val="single" w:sz="4" w:space="0" w:color="auto"/>
              <w:right w:val="single" w:sz="4" w:space="0" w:color="auto"/>
            </w:tcBorders>
            <w:shd w:val="clear" w:color="auto" w:fill="C6EFCE"/>
            <w:noWrap/>
          </w:tcPr>
          <w:p w14:paraId="5FCD5057" w14:textId="77777777" w:rsidR="00935FC8" w:rsidRPr="008E1AB8" w:rsidRDefault="00935FC8" w:rsidP="001B782A">
            <w:pPr>
              <w:spacing w:after="0" w:line="240" w:lineRule="auto"/>
              <w:jc w:val="center"/>
              <w:rPr>
                <w:rFonts w:ascii="Times New Roman" w:hAnsi="Times New Roman"/>
                <w:noProof/>
                <w:sz w:val="20"/>
                <w:szCs w:val="20"/>
                <w:lang w:eastAsia="en-GB"/>
              </w:rPr>
            </w:pPr>
            <w:r w:rsidRPr="008E1AB8">
              <w:rPr>
                <w:rFonts w:ascii="Times New Roman" w:hAnsi="Times New Roman"/>
                <w:noProof/>
                <w:sz w:val="20"/>
                <w:szCs w:val="20"/>
                <w:lang w:eastAsia="en-GB"/>
              </w:rPr>
              <w:t>2026</w:t>
            </w:r>
          </w:p>
        </w:tc>
        <w:tc>
          <w:tcPr>
            <w:tcW w:w="5103" w:type="dxa"/>
            <w:tcBorders>
              <w:top w:val="single" w:sz="4" w:space="0" w:color="auto"/>
              <w:left w:val="nil"/>
              <w:bottom w:val="single" w:sz="4" w:space="0" w:color="auto"/>
              <w:right w:val="single" w:sz="4" w:space="0" w:color="auto"/>
            </w:tcBorders>
            <w:shd w:val="clear" w:color="auto" w:fill="C6EFCE"/>
            <w:noWrap/>
          </w:tcPr>
          <w:p w14:paraId="628FF2B2" w14:textId="7228C539" w:rsidR="00935FC8" w:rsidRPr="008E1AB8" w:rsidRDefault="00935FC8" w:rsidP="00A7081A">
            <w:pPr>
              <w:spacing w:after="0" w:line="240" w:lineRule="auto"/>
              <w:rPr>
                <w:rFonts w:ascii="Times New Roman" w:hAnsi="Times New Roman"/>
                <w:noProof/>
                <w:sz w:val="20"/>
                <w:szCs w:val="20"/>
                <w:u w:val="single"/>
                <w:lang w:eastAsia="en-GB"/>
              </w:rPr>
            </w:pPr>
            <w:r w:rsidRPr="008E1AB8">
              <w:rPr>
                <w:rFonts w:ascii="Times New Roman" w:hAnsi="Times New Roman"/>
                <w:noProof/>
                <w:sz w:val="20"/>
                <w:szCs w:val="20"/>
              </w:rPr>
              <w:t xml:space="preserve">The </w:t>
            </w:r>
            <w:r w:rsidRPr="008E1AB8">
              <w:rPr>
                <w:rFonts w:ascii="Times New Roman" w:hAnsi="Times New Roman"/>
                <w:noProof/>
                <w:sz w:val="20"/>
                <w:szCs w:val="20"/>
                <w:lang w:eastAsia="en-GB"/>
              </w:rPr>
              <w:t>Åland</w:t>
            </w:r>
            <w:r w:rsidRPr="008E1AB8">
              <w:rPr>
                <w:rFonts w:ascii="Times New Roman" w:hAnsi="Times New Roman"/>
                <w:noProof/>
                <w:sz w:val="20"/>
                <w:szCs w:val="20"/>
              </w:rPr>
              <w:t xml:space="preserve"> offshore wind power reports shall be delivered, covering at least the following areas: (i) the emerging hydrogen market and future integration to the wind power potential and (ii) solutions to integrate the wind power potential and cross-border transfer of electricity and potential future hydrogen from </w:t>
            </w:r>
            <w:r w:rsidRPr="008E1AB8">
              <w:rPr>
                <w:rFonts w:ascii="Times New Roman" w:hAnsi="Times New Roman"/>
                <w:noProof/>
                <w:sz w:val="20"/>
                <w:szCs w:val="20"/>
                <w:lang w:eastAsia="en-GB"/>
              </w:rPr>
              <w:t>Åland</w:t>
            </w:r>
            <w:r w:rsidRPr="008E1AB8">
              <w:rPr>
                <w:rFonts w:ascii="Times New Roman" w:hAnsi="Times New Roman"/>
                <w:noProof/>
                <w:sz w:val="20"/>
                <w:szCs w:val="20"/>
              </w:rPr>
              <w:t>.</w:t>
            </w:r>
          </w:p>
        </w:tc>
      </w:tr>
    </w:tbl>
    <w:p w14:paraId="1728EACD" w14:textId="77777777" w:rsidR="00935FC8" w:rsidRPr="00B555B3" w:rsidRDefault="00935FC8" w:rsidP="00A7081A">
      <w:pPr>
        <w:spacing w:before="120" w:after="120" w:line="240" w:lineRule="auto"/>
        <w:jc w:val="both"/>
        <w:rPr>
          <w:rFonts w:ascii="Times New Roman" w:hAnsi="Times New Roman"/>
          <w:b/>
          <w:bCs/>
          <w:noProof/>
          <w:sz w:val="24"/>
          <w:u w:val="single"/>
        </w:rPr>
        <w:sectPr w:rsidR="00935FC8" w:rsidRPr="00B555B3" w:rsidSect="00A7081A">
          <w:headerReference w:type="even" r:id="rId173"/>
          <w:headerReference w:type="default" r:id="rId174"/>
          <w:footerReference w:type="even" r:id="rId175"/>
          <w:footerReference w:type="default" r:id="rId176"/>
          <w:headerReference w:type="first" r:id="rId177"/>
          <w:footerReference w:type="first" r:id="rId178"/>
          <w:pgSz w:w="16839" w:h="11907" w:orient="landscape"/>
          <w:pgMar w:top="1134" w:right="1134" w:bottom="1134" w:left="1134" w:header="567" w:footer="567" w:gutter="0"/>
          <w:cols w:space="720"/>
          <w:docGrid w:linePitch="360"/>
        </w:sectPr>
      </w:pPr>
    </w:p>
    <w:p w14:paraId="17C48315" w14:textId="77777777" w:rsidR="00935FC8" w:rsidRPr="00B555B3" w:rsidRDefault="00935FC8" w:rsidP="00A7081A">
      <w:pPr>
        <w:pStyle w:val="Heading2"/>
        <w:numPr>
          <w:ilvl w:val="0"/>
          <w:numId w:val="23"/>
        </w:numPr>
        <w:spacing w:after="240"/>
        <w:ind w:left="0" w:firstLine="0"/>
        <w:rPr>
          <w:noProof/>
        </w:rPr>
      </w:pPr>
      <w:r w:rsidRPr="00B555B3">
        <w:rPr>
          <w:noProof/>
        </w:rPr>
        <w:t>Estimated total cost of the recovery and resilience plan</w:t>
      </w:r>
    </w:p>
    <w:p w14:paraId="68E5707A" w14:textId="1F4659D1"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The estimated total cost of the recovery and resilience plan of Finland is EUR</w:t>
      </w:r>
      <w:r w:rsidR="00BB026E" w:rsidRPr="00B555B3">
        <w:rPr>
          <w:rFonts w:ascii="Times New Roman" w:hAnsi="Times New Roman"/>
          <w:noProof/>
          <w:sz w:val="24"/>
          <w:szCs w:val="24"/>
        </w:rPr>
        <w:t> </w:t>
      </w:r>
      <w:r w:rsidRPr="00B555B3">
        <w:rPr>
          <w:rFonts w:ascii="Times New Roman" w:hAnsi="Times New Roman"/>
          <w:noProof/>
          <w:sz w:val="24"/>
          <w:szCs w:val="24"/>
        </w:rPr>
        <w:t>1</w:t>
      </w:r>
      <w:bookmarkStart w:id="13" w:name="_Hlk200531275"/>
      <w:r w:rsidRPr="00B555B3">
        <w:rPr>
          <w:rFonts w:ascii="Times New Roman" w:hAnsi="Times New Roman"/>
          <w:noProof/>
          <w:sz w:val="24"/>
          <w:szCs w:val="24"/>
        </w:rPr>
        <w:t> </w:t>
      </w:r>
      <w:bookmarkEnd w:id="13"/>
      <w:r w:rsidRPr="00B555B3">
        <w:rPr>
          <w:rFonts w:ascii="Times New Roman" w:hAnsi="Times New Roman"/>
          <w:noProof/>
          <w:sz w:val="24"/>
          <w:szCs w:val="24"/>
        </w:rPr>
        <w:t>949 227 000.</w:t>
      </w:r>
    </w:p>
    <w:p w14:paraId="4518ECD5" w14:textId="411D44B1" w:rsidR="00935FC8" w:rsidRPr="00B555B3" w:rsidRDefault="00935FC8" w:rsidP="00A7081A">
      <w:pPr>
        <w:jc w:val="both"/>
        <w:rPr>
          <w:rFonts w:ascii="Times New Roman" w:hAnsi="Times New Roman"/>
          <w:noProof/>
          <w:sz w:val="24"/>
          <w:szCs w:val="24"/>
        </w:rPr>
      </w:pPr>
      <w:r w:rsidRPr="00B555B3">
        <w:rPr>
          <w:rFonts w:ascii="Times New Roman" w:hAnsi="Times New Roman"/>
          <w:noProof/>
          <w:sz w:val="24"/>
          <w:szCs w:val="24"/>
        </w:rPr>
        <w:t>The estimated total cost of the REPowerEU chapter is EUR</w:t>
      </w:r>
      <w:r w:rsidR="00BB026E" w:rsidRPr="00B555B3">
        <w:rPr>
          <w:rFonts w:ascii="Times New Roman" w:hAnsi="Times New Roman"/>
          <w:noProof/>
          <w:sz w:val="24"/>
          <w:szCs w:val="24"/>
        </w:rPr>
        <w:t> </w:t>
      </w:r>
      <w:r w:rsidRPr="00B555B3">
        <w:rPr>
          <w:rFonts w:ascii="Times New Roman" w:hAnsi="Times New Roman"/>
          <w:noProof/>
          <w:sz w:val="24"/>
          <w:szCs w:val="24"/>
        </w:rPr>
        <w:t>127 090 000. In particular, the estimated total costs of the measures referred to in Article 21c(3), points (b) – (e) of Regulation (EU) 2023/435 is EUR</w:t>
      </w:r>
      <w:r w:rsidR="00BB026E" w:rsidRPr="00B555B3">
        <w:rPr>
          <w:rFonts w:ascii="Times New Roman" w:hAnsi="Times New Roman"/>
          <w:noProof/>
          <w:sz w:val="24"/>
          <w:szCs w:val="24"/>
        </w:rPr>
        <w:t> </w:t>
      </w:r>
      <w:r w:rsidRPr="00B555B3">
        <w:rPr>
          <w:rFonts w:ascii="Times New Roman" w:hAnsi="Times New Roman"/>
          <w:noProof/>
          <w:sz w:val="24"/>
          <w:szCs w:val="24"/>
        </w:rPr>
        <w:t>127 090 000. No measure under the modified Finnish RRP including the REPowerEU chapter falls under Article 21c (3), point (a) of Regulation (EU) 2021/241.</w:t>
      </w:r>
    </w:p>
    <w:p w14:paraId="5CFC1524" w14:textId="63323936" w:rsidR="00935FC8" w:rsidRPr="00B555B3" w:rsidRDefault="00935FC8">
      <w:pPr>
        <w:pStyle w:val="Heading1"/>
        <w:numPr>
          <w:ilvl w:val="0"/>
          <w:numId w:val="0"/>
        </w:numPr>
        <w:rPr>
          <w:noProof/>
        </w:rPr>
      </w:pPr>
      <w:r w:rsidRPr="00B555B3">
        <w:rPr>
          <w:noProof/>
        </w:rPr>
        <w:t>SECTION 2: FINANCIAL SUPPORT</w:t>
      </w:r>
    </w:p>
    <w:p w14:paraId="4DC3E696" w14:textId="1AE11830" w:rsidR="00935FC8" w:rsidRPr="00B555B3" w:rsidRDefault="00935FC8" w:rsidP="00A7081A">
      <w:pPr>
        <w:pStyle w:val="NumPar1"/>
        <w:numPr>
          <w:ilvl w:val="0"/>
          <w:numId w:val="31"/>
        </w:numPr>
        <w:rPr>
          <w:b/>
          <w:noProof/>
          <w:szCs w:val="24"/>
        </w:rPr>
      </w:pPr>
      <w:r w:rsidRPr="00B555B3">
        <w:rPr>
          <w:b/>
          <w:noProof/>
          <w:szCs w:val="24"/>
        </w:rPr>
        <w:t>Financial contribution</w:t>
      </w:r>
    </w:p>
    <w:p w14:paraId="6F71E088" w14:textId="77777777" w:rsidR="00935FC8" w:rsidRPr="00B555B3" w:rsidRDefault="00935FC8" w:rsidP="00A7081A">
      <w:pPr>
        <w:pStyle w:val="Text1"/>
        <w:rPr>
          <w:noProof/>
          <w:sz w:val="20"/>
          <w:szCs w:val="20"/>
        </w:rPr>
      </w:pPr>
    </w:p>
    <w:p w14:paraId="7EBFABA7" w14:textId="77777777" w:rsidR="00935FC8" w:rsidRPr="00B555B3" w:rsidRDefault="00935FC8">
      <w:p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The instalments referred to in Article 2(2) shall be organised in the following manner:</w:t>
      </w:r>
    </w:p>
    <w:p w14:paraId="1A291564" w14:textId="77777777" w:rsidR="00935FC8" w:rsidRPr="00B555B3" w:rsidRDefault="00935FC8">
      <w:pPr>
        <w:spacing w:before="120" w:after="120" w:line="240" w:lineRule="auto"/>
        <w:jc w:val="both"/>
        <w:rPr>
          <w:rFonts w:ascii="Times New Roman" w:hAnsi="Times New Roman"/>
          <w:noProof/>
          <w:sz w:val="24"/>
          <w:szCs w:val="24"/>
        </w:rPr>
      </w:pPr>
    </w:p>
    <w:p w14:paraId="35264A36" w14:textId="77777777" w:rsidR="00935FC8" w:rsidRPr="00B555B3" w:rsidRDefault="00935FC8" w:rsidP="00A7081A">
      <w:pPr>
        <w:numPr>
          <w:ilvl w:val="1"/>
          <w:numId w:val="32"/>
        </w:numPr>
        <w:spacing w:before="120" w:after="120" w:line="240" w:lineRule="auto"/>
        <w:jc w:val="both"/>
        <w:rPr>
          <w:rFonts w:ascii="Times New Roman" w:eastAsia="Times New Roman" w:hAnsi="Times New Roman"/>
          <w:noProof/>
          <w:sz w:val="24"/>
          <w:szCs w:val="24"/>
          <w:u w:val="single"/>
        </w:rPr>
      </w:pPr>
      <w:r w:rsidRPr="00B555B3">
        <w:rPr>
          <w:rFonts w:ascii="Times New Roman" w:eastAsia="Times New Roman" w:hAnsi="Times New Roman"/>
          <w:noProof/>
          <w:sz w:val="24"/>
          <w:szCs w:val="24"/>
        </w:rPr>
        <w:t>First Instalment (non-repayable support):</w:t>
      </w:r>
    </w:p>
    <w:tbl>
      <w:tblPr>
        <w:tblW w:w="9063" w:type="dxa"/>
        <w:jc w:val="center"/>
        <w:tblLook w:val="04A0" w:firstRow="1" w:lastRow="0" w:firstColumn="1" w:lastColumn="0" w:noHBand="0" w:noVBand="1"/>
      </w:tblPr>
      <w:tblGrid>
        <w:gridCol w:w="1129"/>
        <w:gridCol w:w="3306"/>
        <w:gridCol w:w="1255"/>
        <w:gridCol w:w="3373"/>
      </w:tblGrid>
      <w:tr w:rsidR="00A7081A" w:rsidRPr="00374BE0" w14:paraId="0C090C07" w14:textId="77777777" w:rsidTr="00A7081A">
        <w:trPr>
          <w:trHeight w:val="1021"/>
          <w:tblHeader/>
          <w:jc w:val="center"/>
        </w:trPr>
        <w:tc>
          <w:tcPr>
            <w:tcW w:w="1129"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8F9CBE4"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Number</w:t>
            </w:r>
          </w:p>
        </w:tc>
        <w:tc>
          <w:tcPr>
            <w:tcW w:w="3306"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420FAE3D"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Related Measure (Reform or Investment)</w:t>
            </w:r>
          </w:p>
        </w:tc>
        <w:tc>
          <w:tcPr>
            <w:tcW w:w="1255"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E9C2DC7"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Milestone / Target</w:t>
            </w:r>
          </w:p>
        </w:tc>
        <w:tc>
          <w:tcPr>
            <w:tcW w:w="3373" w:type="dxa"/>
            <w:tcBorders>
              <w:top w:val="single" w:sz="4" w:space="0" w:color="auto"/>
              <w:left w:val="nil"/>
              <w:bottom w:val="single" w:sz="4" w:space="0" w:color="000000" w:themeColor="text1"/>
              <w:right w:val="single" w:sz="4" w:space="0" w:color="auto"/>
            </w:tcBorders>
            <w:shd w:val="clear" w:color="auto" w:fill="BDD7EE"/>
            <w:vAlign w:val="center"/>
            <w:hideMark/>
          </w:tcPr>
          <w:p w14:paraId="78952067"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Name</w:t>
            </w:r>
          </w:p>
        </w:tc>
      </w:tr>
      <w:tr w:rsidR="00A7081A" w:rsidRPr="00374BE0" w14:paraId="19BE7B11"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521F1EB7" w14:textId="77777777" w:rsidR="00935FC8" w:rsidRPr="00B555B3" w:rsidRDefault="00935FC8" w:rsidP="00A7081A">
            <w:pPr>
              <w:spacing w:after="0"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2</w:t>
            </w:r>
          </w:p>
        </w:tc>
        <w:tc>
          <w:tcPr>
            <w:tcW w:w="3306" w:type="dxa"/>
            <w:tcBorders>
              <w:top w:val="nil"/>
              <w:left w:val="nil"/>
              <w:bottom w:val="single" w:sz="4" w:space="0" w:color="auto"/>
              <w:right w:val="single" w:sz="4" w:space="0" w:color="auto"/>
            </w:tcBorders>
            <w:shd w:val="clear" w:color="auto" w:fill="C6EFCE"/>
            <w:noWrap/>
            <w:vAlign w:val="center"/>
          </w:tcPr>
          <w:p w14:paraId="0EEA38D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P1C1R2 - Transformation of the energy system – Reform of energy taxation to take account of technological developments</w:t>
            </w:r>
          </w:p>
        </w:tc>
        <w:tc>
          <w:tcPr>
            <w:tcW w:w="1255" w:type="dxa"/>
            <w:tcBorders>
              <w:top w:val="nil"/>
              <w:left w:val="nil"/>
              <w:bottom w:val="single" w:sz="4" w:space="0" w:color="auto"/>
              <w:right w:val="single" w:sz="4" w:space="0" w:color="auto"/>
            </w:tcBorders>
            <w:shd w:val="clear" w:color="auto" w:fill="C6EFCE"/>
            <w:noWrap/>
            <w:vAlign w:val="center"/>
          </w:tcPr>
          <w:p w14:paraId="4A9321D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0986F700" w14:textId="0D2AF7BA"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Entry into force of the Act on Excise Duty on Electricity and Certain Fuels</w:t>
            </w:r>
          </w:p>
        </w:tc>
      </w:tr>
      <w:tr w:rsidR="00A7081A" w:rsidRPr="00374BE0" w14:paraId="1FD1BC3C"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3B83FA44"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3</w:t>
            </w:r>
          </w:p>
        </w:tc>
        <w:tc>
          <w:tcPr>
            <w:tcW w:w="3306" w:type="dxa"/>
            <w:tcBorders>
              <w:top w:val="nil"/>
              <w:left w:val="nil"/>
              <w:bottom w:val="single" w:sz="4" w:space="0" w:color="auto"/>
              <w:right w:val="single" w:sz="4" w:space="0" w:color="auto"/>
            </w:tcBorders>
            <w:shd w:val="clear" w:color="auto" w:fill="C6EFCE"/>
            <w:noWrap/>
            <w:vAlign w:val="center"/>
          </w:tcPr>
          <w:p w14:paraId="5124DA4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P1C1I1 - Transformation of the energy system – Energy infrastructure investments</w:t>
            </w:r>
          </w:p>
        </w:tc>
        <w:tc>
          <w:tcPr>
            <w:tcW w:w="1255" w:type="dxa"/>
            <w:tcBorders>
              <w:top w:val="nil"/>
              <w:left w:val="nil"/>
              <w:bottom w:val="single" w:sz="4" w:space="0" w:color="auto"/>
              <w:right w:val="single" w:sz="4" w:space="0" w:color="auto"/>
            </w:tcBorders>
            <w:shd w:val="clear" w:color="auto" w:fill="C6EFCE"/>
            <w:noWrap/>
            <w:vAlign w:val="center"/>
          </w:tcPr>
          <w:p w14:paraId="0DD7560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190CEC4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Publication of the first call for applications for energy infrastructure projects</w:t>
            </w:r>
          </w:p>
        </w:tc>
      </w:tr>
      <w:tr w:rsidR="00A7081A" w:rsidRPr="00374BE0" w14:paraId="36BED20F"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4C2F0C1C"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6</w:t>
            </w:r>
          </w:p>
        </w:tc>
        <w:tc>
          <w:tcPr>
            <w:tcW w:w="3306" w:type="dxa"/>
            <w:tcBorders>
              <w:top w:val="nil"/>
              <w:left w:val="nil"/>
              <w:bottom w:val="single" w:sz="4" w:space="0" w:color="auto"/>
              <w:right w:val="single" w:sz="4" w:space="0" w:color="auto"/>
            </w:tcBorders>
            <w:shd w:val="clear" w:color="auto" w:fill="C6EFCE"/>
            <w:noWrap/>
            <w:vAlign w:val="center"/>
          </w:tcPr>
          <w:p w14:paraId="43F05E7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P1C1I2 - Transformation of the energy system – Investments in new energy technologies</w:t>
            </w:r>
          </w:p>
        </w:tc>
        <w:tc>
          <w:tcPr>
            <w:tcW w:w="1255" w:type="dxa"/>
            <w:tcBorders>
              <w:top w:val="nil"/>
              <w:left w:val="nil"/>
              <w:bottom w:val="single" w:sz="4" w:space="0" w:color="auto"/>
              <w:right w:val="single" w:sz="4" w:space="0" w:color="auto"/>
            </w:tcBorders>
            <w:shd w:val="clear" w:color="auto" w:fill="C6EFCE"/>
            <w:noWrap/>
            <w:vAlign w:val="center"/>
          </w:tcPr>
          <w:p w14:paraId="7765FD2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1EAEE61E"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Publication of the first call for applications for investments in new energy technologies</w:t>
            </w:r>
          </w:p>
        </w:tc>
      </w:tr>
      <w:tr w:rsidR="00A7081A" w:rsidRPr="00374BE0" w14:paraId="00C03BCE"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518D5606"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14</w:t>
            </w:r>
          </w:p>
        </w:tc>
        <w:tc>
          <w:tcPr>
            <w:tcW w:w="3306" w:type="dxa"/>
            <w:tcBorders>
              <w:top w:val="nil"/>
              <w:left w:val="nil"/>
              <w:bottom w:val="single" w:sz="4" w:space="0" w:color="auto"/>
              <w:right w:val="single" w:sz="4" w:space="0" w:color="auto"/>
            </w:tcBorders>
            <w:shd w:val="clear" w:color="auto" w:fill="C6EFCE"/>
            <w:noWrap/>
            <w:vAlign w:val="center"/>
          </w:tcPr>
          <w:p w14:paraId="362A1672"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P1C2R2 - Industrial reforms and investments supporting the green and digital transition – Strategic promotion of the circular economy and reform of the Waste Act</w:t>
            </w:r>
          </w:p>
        </w:tc>
        <w:tc>
          <w:tcPr>
            <w:tcW w:w="1255" w:type="dxa"/>
            <w:tcBorders>
              <w:top w:val="nil"/>
              <w:left w:val="nil"/>
              <w:bottom w:val="single" w:sz="4" w:space="0" w:color="auto"/>
              <w:right w:val="single" w:sz="4" w:space="0" w:color="auto"/>
            </w:tcBorders>
            <w:shd w:val="clear" w:color="auto" w:fill="C6EFCE"/>
            <w:noWrap/>
            <w:vAlign w:val="center"/>
          </w:tcPr>
          <w:p w14:paraId="07ABED55"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69BC882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Adoption of the Government resolution on the implementation of the Strategic Programme for a Circular Economy</w:t>
            </w:r>
          </w:p>
        </w:tc>
      </w:tr>
      <w:tr w:rsidR="00A7081A" w:rsidRPr="00374BE0" w14:paraId="45E6A8EF"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9C2F612"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16</w:t>
            </w:r>
          </w:p>
        </w:tc>
        <w:tc>
          <w:tcPr>
            <w:tcW w:w="3306" w:type="dxa"/>
            <w:tcBorders>
              <w:top w:val="nil"/>
              <w:left w:val="nil"/>
              <w:bottom w:val="single" w:sz="4" w:space="0" w:color="auto"/>
              <w:right w:val="single" w:sz="4" w:space="0" w:color="auto"/>
            </w:tcBorders>
            <w:shd w:val="clear" w:color="auto" w:fill="C6EFCE"/>
            <w:noWrap/>
            <w:vAlign w:val="center"/>
          </w:tcPr>
          <w:p w14:paraId="7766FF22"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P1C2I1 - Industrial reforms and investments in support of the green and digital transition – low-carbon hydrogen and carbon capture and utilisation</w:t>
            </w:r>
          </w:p>
        </w:tc>
        <w:tc>
          <w:tcPr>
            <w:tcW w:w="1255" w:type="dxa"/>
            <w:tcBorders>
              <w:top w:val="nil"/>
              <w:left w:val="nil"/>
              <w:bottom w:val="single" w:sz="4" w:space="0" w:color="auto"/>
              <w:right w:val="single" w:sz="4" w:space="0" w:color="auto"/>
            </w:tcBorders>
            <w:shd w:val="clear" w:color="auto" w:fill="C6EFCE"/>
            <w:noWrap/>
            <w:vAlign w:val="center"/>
          </w:tcPr>
          <w:p w14:paraId="4556A48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27F38FF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Publication of the first national call for applications for the production and utilisation of low-emission hydrogen as well as carbon dioxide capture and utilisation</w:t>
            </w:r>
          </w:p>
        </w:tc>
      </w:tr>
      <w:tr w:rsidR="00A7081A" w:rsidRPr="00374BE0" w14:paraId="4F2202D0"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3CEBA720"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19</w:t>
            </w:r>
          </w:p>
        </w:tc>
        <w:tc>
          <w:tcPr>
            <w:tcW w:w="3306" w:type="dxa"/>
            <w:tcBorders>
              <w:top w:val="nil"/>
              <w:left w:val="nil"/>
              <w:bottom w:val="single" w:sz="4" w:space="0" w:color="auto"/>
              <w:right w:val="single" w:sz="4" w:space="0" w:color="auto"/>
            </w:tcBorders>
            <w:shd w:val="clear" w:color="auto" w:fill="C6EFCE"/>
            <w:noWrap/>
            <w:vAlign w:val="center"/>
          </w:tcPr>
          <w:p w14:paraId="37774959"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P1C2I2 - Industrial reforms and investments supporting the green and digital transition – Direct electrification and decarbonisation of industrial processes</w:t>
            </w:r>
          </w:p>
        </w:tc>
        <w:tc>
          <w:tcPr>
            <w:tcW w:w="1255" w:type="dxa"/>
            <w:tcBorders>
              <w:top w:val="nil"/>
              <w:left w:val="nil"/>
              <w:bottom w:val="single" w:sz="4" w:space="0" w:color="auto"/>
              <w:right w:val="single" w:sz="4" w:space="0" w:color="auto"/>
            </w:tcBorders>
            <w:shd w:val="clear" w:color="auto" w:fill="C6EFCE"/>
            <w:noWrap/>
            <w:vAlign w:val="center"/>
          </w:tcPr>
          <w:p w14:paraId="7645A32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689249B1"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Publication of the first call for proposals for direct electrification and low-carbonisation of industrial processes aimed at reducing CO2 emissions from industry</w:t>
            </w:r>
          </w:p>
        </w:tc>
      </w:tr>
      <w:tr w:rsidR="00A7081A" w:rsidRPr="00374BE0" w14:paraId="64AB0648"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6D2B489"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22</w:t>
            </w:r>
          </w:p>
        </w:tc>
        <w:tc>
          <w:tcPr>
            <w:tcW w:w="3306" w:type="dxa"/>
            <w:tcBorders>
              <w:top w:val="nil"/>
              <w:left w:val="nil"/>
              <w:bottom w:val="single" w:sz="4" w:space="0" w:color="auto"/>
              <w:right w:val="single" w:sz="4" w:space="0" w:color="auto"/>
            </w:tcBorders>
            <w:shd w:val="clear" w:color="auto" w:fill="C6EFCE"/>
            <w:noWrap/>
            <w:vAlign w:val="center"/>
          </w:tcPr>
          <w:p w14:paraId="3C64D6D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P1C2I3 - Industrial reforms and investments supporting the green and digital transition – Re-use and recycling of key materials and industrial side streams</w:t>
            </w:r>
          </w:p>
        </w:tc>
        <w:tc>
          <w:tcPr>
            <w:tcW w:w="1255" w:type="dxa"/>
            <w:tcBorders>
              <w:top w:val="nil"/>
              <w:left w:val="nil"/>
              <w:bottom w:val="single" w:sz="4" w:space="0" w:color="auto"/>
              <w:right w:val="single" w:sz="4" w:space="0" w:color="auto"/>
            </w:tcBorders>
            <w:shd w:val="clear" w:color="auto" w:fill="C6EFCE"/>
            <w:noWrap/>
            <w:vAlign w:val="center"/>
          </w:tcPr>
          <w:p w14:paraId="0392E59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357F033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Publication of the first call for applications for investment projects promoting the reuse of waste materials and side streams.</w:t>
            </w:r>
          </w:p>
        </w:tc>
      </w:tr>
      <w:tr w:rsidR="00A7081A" w:rsidRPr="00374BE0" w14:paraId="6AD92108"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101CE5EE"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31</w:t>
            </w:r>
          </w:p>
        </w:tc>
        <w:tc>
          <w:tcPr>
            <w:tcW w:w="3306" w:type="dxa"/>
            <w:tcBorders>
              <w:top w:val="nil"/>
              <w:left w:val="nil"/>
              <w:bottom w:val="single" w:sz="4" w:space="0" w:color="auto"/>
              <w:right w:val="single" w:sz="4" w:space="0" w:color="auto"/>
            </w:tcBorders>
            <w:shd w:val="clear" w:color="auto" w:fill="C6EFCE"/>
            <w:noWrap/>
            <w:vAlign w:val="center"/>
          </w:tcPr>
          <w:p w14:paraId="3FAD92E9"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P1C3I2 - Reducing the climate and environmental impacts of the building stock – Low-carbon built environment programme</w:t>
            </w:r>
          </w:p>
        </w:tc>
        <w:tc>
          <w:tcPr>
            <w:tcW w:w="1255" w:type="dxa"/>
            <w:tcBorders>
              <w:top w:val="nil"/>
              <w:left w:val="nil"/>
              <w:bottom w:val="single" w:sz="4" w:space="0" w:color="auto"/>
              <w:right w:val="single" w:sz="4" w:space="0" w:color="auto"/>
            </w:tcBorders>
            <w:shd w:val="clear" w:color="auto" w:fill="C6EFCE"/>
            <w:noWrap/>
            <w:vAlign w:val="center"/>
          </w:tcPr>
          <w:p w14:paraId="00E9B802"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2144E385"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Publication of a first call for applications regarding support for a low-carbon built environment</w:t>
            </w:r>
          </w:p>
        </w:tc>
      </w:tr>
      <w:tr w:rsidR="00A7081A" w:rsidRPr="00374BE0" w14:paraId="728F07E3"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26D532B2"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34</w:t>
            </w:r>
          </w:p>
        </w:tc>
        <w:tc>
          <w:tcPr>
            <w:tcW w:w="3306" w:type="dxa"/>
            <w:tcBorders>
              <w:top w:val="nil"/>
              <w:left w:val="nil"/>
              <w:bottom w:val="single" w:sz="4" w:space="0" w:color="auto"/>
              <w:right w:val="single" w:sz="4" w:space="0" w:color="auto"/>
            </w:tcBorders>
            <w:shd w:val="clear" w:color="auto" w:fill="C6EFCE"/>
            <w:noWrap/>
            <w:vAlign w:val="center"/>
          </w:tcPr>
          <w:p w14:paraId="5C069F6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P1C4R1 - Low-carbon solutions for cities and transport – Roadmap for fossil-free transport</w:t>
            </w:r>
          </w:p>
        </w:tc>
        <w:tc>
          <w:tcPr>
            <w:tcW w:w="1255" w:type="dxa"/>
            <w:tcBorders>
              <w:top w:val="nil"/>
              <w:left w:val="nil"/>
              <w:bottom w:val="single" w:sz="4" w:space="0" w:color="auto"/>
              <w:right w:val="single" w:sz="4" w:space="0" w:color="auto"/>
            </w:tcBorders>
            <w:shd w:val="clear" w:color="auto" w:fill="C6EFCE"/>
            <w:noWrap/>
            <w:vAlign w:val="center"/>
          </w:tcPr>
          <w:p w14:paraId="051EB40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05ED101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Adoption of the Government resolution LVM/2021/62 to reduce greenhouse gas emissions from domestic transport</w:t>
            </w:r>
          </w:p>
        </w:tc>
      </w:tr>
      <w:tr w:rsidR="00A7081A" w:rsidRPr="00374BE0" w14:paraId="2DDBADE5"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742E7EE1"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35</w:t>
            </w:r>
          </w:p>
        </w:tc>
        <w:tc>
          <w:tcPr>
            <w:tcW w:w="3306" w:type="dxa"/>
            <w:tcBorders>
              <w:top w:val="nil"/>
              <w:left w:val="nil"/>
              <w:bottom w:val="single" w:sz="4" w:space="0" w:color="auto"/>
              <w:right w:val="single" w:sz="4" w:space="0" w:color="auto"/>
            </w:tcBorders>
            <w:shd w:val="clear" w:color="auto" w:fill="C6EFCE"/>
            <w:noWrap/>
            <w:vAlign w:val="center"/>
          </w:tcPr>
          <w:p w14:paraId="36C681D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P1C4R1 - Low-carbon solutions for cities and transport – Roadmap for fossil-free transport</w:t>
            </w:r>
          </w:p>
        </w:tc>
        <w:tc>
          <w:tcPr>
            <w:tcW w:w="1255" w:type="dxa"/>
            <w:tcBorders>
              <w:top w:val="nil"/>
              <w:left w:val="nil"/>
              <w:bottom w:val="single" w:sz="4" w:space="0" w:color="auto"/>
              <w:right w:val="single" w:sz="4" w:space="0" w:color="auto"/>
            </w:tcBorders>
            <w:shd w:val="clear" w:color="auto" w:fill="C6EFCE"/>
            <w:noWrap/>
            <w:vAlign w:val="center"/>
          </w:tcPr>
          <w:p w14:paraId="786FD192"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74C7BE4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Publication of government decision regarding additional national measures to reduce emissions from domestic transport</w:t>
            </w:r>
          </w:p>
        </w:tc>
      </w:tr>
      <w:tr w:rsidR="00A7081A" w:rsidRPr="00374BE0" w14:paraId="28480896"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5FAAE6A8"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37</w:t>
            </w:r>
          </w:p>
        </w:tc>
        <w:tc>
          <w:tcPr>
            <w:tcW w:w="3306" w:type="dxa"/>
            <w:tcBorders>
              <w:top w:val="nil"/>
              <w:left w:val="nil"/>
              <w:bottom w:val="single" w:sz="4" w:space="0" w:color="auto"/>
              <w:right w:val="single" w:sz="4" w:space="0" w:color="auto"/>
            </w:tcBorders>
            <w:shd w:val="clear" w:color="auto" w:fill="C6EFCE"/>
            <w:noWrap/>
            <w:vAlign w:val="center"/>
          </w:tcPr>
          <w:p w14:paraId="3A5FAB4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P1C4R2 -Low-carbon solutions for cities and transport – Tax reform for sustainable transport</w:t>
            </w:r>
          </w:p>
        </w:tc>
        <w:tc>
          <w:tcPr>
            <w:tcW w:w="1255" w:type="dxa"/>
            <w:tcBorders>
              <w:top w:val="nil"/>
              <w:left w:val="nil"/>
              <w:bottom w:val="single" w:sz="4" w:space="0" w:color="auto"/>
              <w:right w:val="single" w:sz="4" w:space="0" w:color="auto"/>
            </w:tcBorders>
            <w:shd w:val="clear" w:color="auto" w:fill="C6EFCE"/>
            <w:noWrap/>
            <w:vAlign w:val="center"/>
          </w:tcPr>
          <w:p w14:paraId="033A7A05"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7567C045"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Entry into force of legislative amendments to the Income Tax Act (1205/2020) regarding the taxation of employment benefits of mobility</w:t>
            </w:r>
          </w:p>
        </w:tc>
      </w:tr>
      <w:tr w:rsidR="00A7081A" w:rsidRPr="00374BE0" w14:paraId="73B0185F"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6E7E3416"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52</w:t>
            </w:r>
          </w:p>
        </w:tc>
        <w:tc>
          <w:tcPr>
            <w:tcW w:w="3306" w:type="dxa"/>
            <w:tcBorders>
              <w:top w:val="nil"/>
              <w:left w:val="nil"/>
              <w:bottom w:val="single" w:sz="4" w:space="0" w:color="auto"/>
              <w:right w:val="single" w:sz="4" w:space="0" w:color="auto"/>
            </w:tcBorders>
            <w:shd w:val="clear" w:color="auto" w:fill="C6EFCE"/>
            <w:noWrap/>
            <w:vAlign w:val="center"/>
          </w:tcPr>
          <w:p w14:paraId="7AA128C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P1C5I2 -Environmental sustainability and nature-based solutions – climate-resilient measures in the land use sector</w:t>
            </w:r>
          </w:p>
        </w:tc>
        <w:tc>
          <w:tcPr>
            <w:tcW w:w="1255" w:type="dxa"/>
            <w:tcBorders>
              <w:top w:val="nil"/>
              <w:left w:val="nil"/>
              <w:bottom w:val="single" w:sz="4" w:space="0" w:color="auto"/>
              <w:right w:val="single" w:sz="4" w:space="0" w:color="auto"/>
            </w:tcBorders>
            <w:shd w:val="clear" w:color="auto" w:fill="C6EFCE"/>
            <w:noWrap/>
            <w:vAlign w:val="center"/>
          </w:tcPr>
          <w:p w14:paraId="13A62CA4"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690B5B0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Publication of the first call for proposals for precision forestry projects</w:t>
            </w:r>
          </w:p>
        </w:tc>
      </w:tr>
      <w:tr w:rsidR="00A7081A" w:rsidRPr="00374BE0" w14:paraId="6FEA7650"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45A3E5E1"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71</w:t>
            </w:r>
          </w:p>
        </w:tc>
        <w:tc>
          <w:tcPr>
            <w:tcW w:w="3306" w:type="dxa"/>
            <w:tcBorders>
              <w:top w:val="nil"/>
              <w:left w:val="nil"/>
              <w:bottom w:val="single" w:sz="4" w:space="0" w:color="auto"/>
              <w:right w:val="single" w:sz="4" w:space="0" w:color="auto"/>
            </w:tcBorders>
            <w:shd w:val="clear" w:color="auto" w:fill="C6EFCE"/>
            <w:noWrap/>
            <w:vAlign w:val="center"/>
          </w:tcPr>
          <w:p w14:paraId="3BB6BBD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P2C2R2 - Enhancing the effectiveness and transparency of RRP reforms and investments by developing information systems, administration and audit</w:t>
            </w:r>
          </w:p>
        </w:tc>
        <w:tc>
          <w:tcPr>
            <w:tcW w:w="1255" w:type="dxa"/>
            <w:tcBorders>
              <w:top w:val="nil"/>
              <w:left w:val="nil"/>
              <w:bottom w:val="single" w:sz="4" w:space="0" w:color="auto"/>
              <w:right w:val="single" w:sz="4" w:space="0" w:color="auto"/>
            </w:tcBorders>
            <w:shd w:val="clear" w:color="auto" w:fill="C6EFCE"/>
            <w:noWrap/>
            <w:vAlign w:val="center"/>
          </w:tcPr>
          <w:p w14:paraId="6C50C51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71A55CE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Entry into force of the Law on the implementation of the RRP</w:t>
            </w:r>
          </w:p>
        </w:tc>
      </w:tr>
      <w:tr w:rsidR="00A7081A" w:rsidRPr="00374BE0" w14:paraId="0346A42E"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10C9DE44"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72</w:t>
            </w:r>
          </w:p>
        </w:tc>
        <w:tc>
          <w:tcPr>
            <w:tcW w:w="3306" w:type="dxa"/>
            <w:tcBorders>
              <w:top w:val="nil"/>
              <w:left w:val="nil"/>
              <w:bottom w:val="single" w:sz="4" w:space="0" w:color="auto"/>
              <w:right w:val="single" w:sz="4" w:space="0" w:color="auto"/>
            </w:tcBorders>
            <w:shd w:val="clear" w:color="auto" w:fill="C6EFCE"/>
            <w:noWrap/>
            <w:vAlign w:val="center"/>
          </w:tcPr>
          <w:p w14:paraId="2B608C4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P2C2R2 - Enhancing the effectiveness and transparency of RRP reforms and investments by developing information systems, administration and audit</w:t>
            </w:r>
          </w:p>
        </w:tc>
        <w:tc>
          <w:tcPr>
            <w:tcW w:w="1255" w:type="dxa"/>
            <w:tcBorders>
              <w:top w:val="nil"/>
              <w:left w:val="nil"/>
              <w:bottom w:val="single" w:sz="4" w:space="0" w:color="auto"/>
              <w:right w:val="single" w:sz="4" w:space="0" w:color="auto"/>
            </w:tcBorders>
            <w:shd w:val="clear" w:color="auto" w:fill="C6EFCE"/>
            <w:noWrap/>
            <w:vAlign w:val="center"/>
          </w:tcPr>
          <w:p w14:paraId="31F254C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38AA95EE"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Repository system for Audit and Controls: information for monitoring implementation of RRF</w:t>
            </w:r>
          </w:p>
        </w:tc>
      </w:tr>
      <w:tr w:rsidR="00A7081A" w:rsidRPr="00374BE0" w14:paraId="5F55A8B2"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48152E96"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91</w:t>
            </w:r>
          </w:p>
        </w:tc>
        <w:tc>
          <w:tcPr>
            <w:tcW w:w="3306" w:type="dxa"/>
            <w:tcBorders>
              <w:top w:val="nil"/>
              <w:left w:val="nil"/>
              <w:bottom w:val="single" w:sz="4" w:space="0" w:color="auto"/>
              <w:right w:val="single" w:sz="4" w:space="0" w:color="auto"/>
            </w:tcBorders>
            <w:shd w:val="clear" w:color="auto" w:fill="C6EFCE"/>
            <w:noWrap/>
            <w:vAlign w:val="center"/>
          </w:tcPr>
          <w:p w14:paraId="6FA8FAF8"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P3C2R1- Reform of continuous learning</w:t>
            </w:r>
          </w:p>
        </w:tc>
        <w:tc>
          <w:tcPr>
            <w:tcW w:w="1255" w:type="dxa"/>
            <w:tcBorders>
              <w:top w:val="nil"/>
              <w:left w:val="nil"/>
              <w:bottom w:val="single" w:sz="4" w:space="0" w:color="auto"/>
              <w:right w:val="single" w:sz="4" w:space="0" w:color="auto"/>
            </w:tcBorders>
            <w:shd w:val="clear" w:color="auto" w:fill="C6EFCE"/>
            <w:noWrap/>
            <w:vAlign w:val="center"/>
          </w:tcPr>
          <w:p w14:paraId="40B10211"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2EF09A21" w14:textId="446E5E88" w:rsidR="00935FC8" w:rsidRPr="00B555B3" w:rsidRDefault="00935FC8" w:rsidP="00BB026E">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Entry into force of the Act on the Service Centre for Continuous Learning and Employment</w:t>
            </w:r>
          </w:p>
        </w:tc>
      </w:tr>
      <w:tr w:rsidR="00A7081A" w:rsidRPr="00374BE0" w14:paraId="33765AA2"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7435A428"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96</w:t>
            </w:r>
          </w:p>
        </w:tc>
        <w:tc>
          <w:tcPr>
            <w:tcW w:w="3306" w:type="dxa"/>
            <w:tcBorders>
              <w:top w:val="nil"/>
              <w:left w:val="nil"/>
              <w:bottom w:val="single" w:sz="4" w:space="0" w:color="auto"/>
              <w:right w:val="single" w:sz="4" w:space="0" w:color="auto"/>
            </w:tcBorders>
            <w:shd w:val="clear" w:color="auto" w:fill="C6EFCE"/>
            <w:noWrap/>
            <w:vAlign w:val="center"/>
          </w:tcPr>
          <w:p w14:paraId="72D337A2" w14:textId="3B85B03E" w:rsidR="00935FC8" w:rsidRPr="00B555B3" w:rsidRDefault="00935FC8" w:rsidP="00BB026E">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P3C2I1 - Digitalisation programme for continuous learning</w:t>
            </w:r>
          </w:p>
        </w:tc>
        <w:tc>
          <w:tcPr>
            <w:tcW w:w="1255" w:type="dxa"/>
            <w:tcBorders>
              <w:top w:val="nil"/>
              <w:left w:val="nil"/>
              <w:bottom w:val="single" w:sz="4" w:space="0" w:color="auto"/>
              <w:right w:val="single" w:sz="4" w:space="0" w:color="auto"/>
            </w:tcBorders>
            <w:shd w:val="clear" w:color="auto" w:fill="C6EFCE"/>
            <w:noWrap/>
            <w:vAlign w:val="center"/>
          </w:tcPr>
          <w:p w14:paraId="2C0A3697"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23093657" w14:textId="592D5794" w:rsidR="00935FC8" w:rsidRPr="00B555B3" w:rsidRDefault="00935FC8" w:rsidP="00BB026E">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Completion of the IT architecture for digital continuous learning services</w:t>
            </w:r>
          </w:p>
        </w:tc>
      </w:tr>
      <w:tr w:rsidR="00A7081A" w:rsidRPr="00374BE0" w14:paraId="77B22201"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5E7FC713"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103</w:t>
            </w:r>
          </w:p>
        </w:tc>
        <w:tc>
          <w:tcPr>
            <w:tcW w:w="3306" w:type="dxa"/>
            <w:tcBorders>
              <w:top w:val="nil"/>
              <w:left w:val="nil"/>
              <w:bottom w:val="single" w:sz="4" w:space="0" w:color="auto"/>
              <w:right w:val="single" w:sz="4" w:space="0" w:color="auto"/>
            </w:tcBorders>
            <w:shd w:val="clear" w:color="auto" w:fill="C6EFCE"/>
            <w:noWrap/>
            <w:vAlign w:val="center"/>
          </w:tcPr>
          <w:p w14:paraId="67051604"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P3C3I</w:t>
            </w:r>
            <w:r w:rsidRPr="00B555B3">
              <w:rPr>
                <w:rFonts w:ascii="Times New Roman" w:eastAsia="Times New Roman" w:hAnsi="Times New Roman"/>
                <w:noProof/>
                <w:sz w:val="18"/>
                <w:szCs w:val="18"/>
              </w:rPr>
              <w:t xml:space="preserve">2 - </w:t>
            </w:r>
            <w:r w:rsidRPr="00B555B3">
              <w:rPr>
                <w:rFonts w:ascii="Times New Roman" w:hAnsi="Times New Roman"/>
                <w:noProof/>
                <w:sz w:val="18"/>
                <w:szCs w:val="18"/>
              </w:rPr>
              <w:t>RDI, research infrastructure and piloting – RDI funding package supporting the green transition – accelerating key sectors and strengthening competence (Academy of Finland)</w:t>
            </w:r>
          </w:p>
        </w:tc>
        <w:tc>
          <w:tcPr>
            <w:tcW w:w="1255" w:type="dxa"/>
            <w:tcBorders>
              <w:top w:val="nil"/>
              <w:left w:val="nil"/>
              <w:bottom w:val="single" w:sz="4" w:space="0" w:color="auto"/>
              <w:right w:val="single" w:sz="4" w:space="0" w:color="auto"/>
            </w:tcBorders>
            <w:shd w:val="clear" w:color="auto" w:fill="C6EFCE"/>
            <w:noWrap/>
            <w:vAlign w:val="center"/>
          </w:tcPr>
          <w:p w14:paraId="492A89CB"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7FF511A0"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Publication by the Academy of Finland of a first call for applications for research projects aiming to increase competences in key sectors</w:t>
            </w:r>
          </w:p>
        </w:tc>
      </w:tr>
      <w:tr w:rsidR="00A7081A" w:rsidRPr="00374BE0" w14:paraId="5EB0ABDA"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07CF7C60"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115</w:t>
            </w:r>
          </w:p>
        </w:tc>
        <w:tc>
          <w:tcPr>
            <w:tcW w:w="3306" w:type="dxa"/>
            <w:tcBorders>
              <w:top w:val="nil"/>
              <w:left w:val="nil"/>
              <w:bottom w:val="single" w:sz="4" w:space="0" w:color="auto"/>
              <w:right w:val="single" w:sz="4" w:space="0" w:color="auto"/>
            </w:tcBorders>
            <w:shd w:val="clear" w:color="auto" w:fill="C6EFCE"/>
            <w:noWrap/>
            <w:vAlign w:val="center"/>
          </w:tcPr>
          <w:p w14:paraId="3DE313AA"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P3C3I6 - RDI, research infrastructure and piloting – Promoting innovation and research infrastructure – National research infrastructures</w:t>
            </w:r>
          </w:p>
        </w:tc>
        <w:tc>
          <w:tcPr>
            <w:tcW w:w="1255" w:type="dxa"/>
            <w:tcBorders>
              <w:top w:val="nil"/>
              <w:left w:val="nil"/>
              <w:bottom w:val="single" w:sz="4" w:space="0" w:color="auto"/>
              <w:right w:val="single" w:sz="4" w:space="0" w:color="auto"/>
            </w:tcBorders>
            <w:shd w:val="clear" w:color="auto" w:fill="C6EFCE"/>
            <w:noWrap/>
            <w:vAlign w:val="center"/>
          </w:tcPr>
          <w:p w14:paraId="4B7641B7"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12C3E4F9"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Publication of a call for applications for the renewal and development of national research infrastructures</w:t>
            </w:r>
          </w:p>
          <w:p w14:paraId="0033CF9F" w14:textId="77777777" w:rsidR="00935FC8" w:rsidRPr="00B555B3" w:rsidRDefault="00935FC8" w:rsidP="00A7081A">
            <w:pPr>
              <w:spacing w:line="240" w:lineRule="auto"/>
              <w:rPr>
                <w:rFonts w:ascii="Times New Roman" w:eastAsia="Times New Roman" w:hAnsi="Times New Roman"/>
                <w:noProof/>
                <w:color w:val="000000"/>
                <w:sz w:val="18"/>
                <w:szCs w:val="18"/>
              </w:rPr>
            </w:pPr>
          </w:p>
        </w:tc>
      </w:tr>
      <w:tr w:rsidR="00A7081A" w:rsidRPr="00374BE0" w14:paraId="0EBD2460"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3ABDA0AA"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127</w:t>
            </w:r>
          </w:p>
        </w:tc>
        <w:tc>
          <w:tcPr>
            <w:tcW w:w="3306" w:type="dxa"/>
            <w:tcBorders>
              <w:top w:val="nil"/>
              <w:left w:val="nil"/>
              <w:bottom w:val="single" w:sz="4" w:space="0" w:color="auto"/>
              <w:right w:val="single" w:sz="4" w:space="0" w:color="auto"/>
            </w:tcBorders>
            <w:shd w:val="clear" w:color="auto" w:fill="C6EFCE"/>
            <w:noWrap/>
            <w:vAlign w:val="center"/>
          </w:tcPr>
          <w:p w14:paraId="17C97326"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P3C4I3 - Strengthening competitiveness and boosting growth in crisis-impacted sectors – Support for the renewal of the cultural and creative sectors</w:t>
            </w:r>
          </w:p>
        </w:tc>
        <w:tc>
          <w:tcPr>
            <w:tcW w:w="1255" w:type="dxa"/>
            <w:tcBorders>
              <w:top w:val="nil"/>
              <w:left w:val="nil"/>
              <w:bottom w:val="single" w:sz="4" w:space="0" w:color="auto"/>
              <w:right w:val="single" w:sz="4" w:space="0" w:color="auto"/>
            </w:tcBorders>
            <w:shd w:val="clear" w:color="auto" w:fill="C6EFCE"/>
            <w:noWrap/>
            <w:vAlign w:val="center"/>
          </w:tcPr>
          <w:p w14:paraId="26534708"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63D8C9A8"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Publication of two calls for applications for projects supporting the renewal of cultural and creative sectors, respectively for development aid and pilot aid</w:t>
            </w:r>
          </w:p>
        </w:tc>
      </w:tr>
      <w:tr w:rsidR="00A7081A" w:rsidRPr="00374BE0" w14:paraId="02492CDD" w14:textId="77777777" w:rsidTr="00A7081A">
        <w:trPr>
          <w:trHeight w:val="302"/>
          <w:jc w:val="center"/>
        </w:trPr>
        <w:tc>
          <w:tcPr>
            <w:tcW w:w="1129" w:type="dxa"/>
            <w:tcBorders>
              <w:top w:val="nil"/>
              <w:left w:val="single" w:sz="4" w:space="0" w:color="auto"/>
              <w:bottom w:val="single" w:sz="4" w:space="0" w:color="auto"/>
              <w:right w:val="single" w:sz="4" w:space="0" w:color="auto"/>
            </w:tcBorders>
            <w:shd w:val="clear" w:color="auto" w:fill="C6EFCE"/>
            <w:noWrap/>
            <w:vAlign w:val="center"/>
          </w:tcPr>
          <w:p w14:paraId="09293166"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133</w:t>
            </w:r>
          </w:p>
        </w:tc>
        <w:tc>
          <w:tcPr>
            <w:tcW w:w="3306" w:type="dxa"/>
            <w:tcBorders>
              <w:top w:val="nil"/>
              <w:left w:val="nil"/>
              <w:bottom w:val="single" w:sz="4" w:space="0" w:color="auto"/>
              <w:right w:val="single" w:sz="4" w:space="0" w:color="auto"/>
            </w:tcBorders>
            <w:shd w:val="clear" w:color="auto" w:fill="C6EFCE"/>
            <w:noWrap/>
            <w:vAlign w:val="center"/>
          </w:tcPr>
          <w:p w14:paraId="0C58C437" w14:textId="2C3C4BAC"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P4C1R1 - Preparation of the social welfare and health care reform in support of implementing the care guarantee</w:t>
            </w:r>
            <w:r w:rsidR="00EE67C5">
              <w:rPr>
                <w:rFonts w:ascii="Times New Roman" w:eastAsia="Times New Roman" w:hAnsi="Times New Roman"/>
                <w:noProof/>
                <w:color w:val="000000"/>
                <w:sz w:val="18"/>
                <w:szCs w:val="18"/>
              </w:rPr>
              <w:t xml:space="preserve"> </w:t>
            </w:r>
          </w:p>
        </w:tc>
        <w:tc>
          <w:tcPr>
            <w:tcW w:w="1255" w:type="dxa"/>
            <w:tcBorders>
              <w:top w:val="nil"/>
              <w:left w:val="nil"/>
              <w:bottom w:val="single" w:sz="4" w:space="0" w:color="auto"/>
              <w:right w:val="single" w:sz="4" w:space="0" w:color="auto"/>
            </w:tcBorders>
            <w:shd w:val="clear" w:color="auto" w:fill="C6EFCE"/>
            <w:noWrap/>
            <w:vAlign w:val="center"/>
          </w:tcPr>
          <w:p w14:paraId="446C2143"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373" w:type="dxa"/>
            <w:tcBorders>
              <w:top w:val="nil"/>
              <w:left w:val="nil"/>
              <w:bottom w:val="single" w:sz="4" w:space="0" w:color="auto"/>
              <w:right w:val="single" w:sz="4" w:space="0" w:color="auto"/>
            </w:tcBorders>
            <w:shd w:val="clear" w:color="auto" w:fill="C6EFCE"/>
            <w:noWrap/>
            <w:vAlign w:val="center"/>
          </w:tcPr>
          <w:p w14:paraId="0344D26C"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Entry into force of the initial legal framework establishing welfare areas and reforming the social and health care and rescue services</w:t>
            </w:r>
          </w:p>
        </w:tc>
      </w:tr>
      <w:tr w:rsidR="00A7081A" w:rsidRPr="00374BE0" w14:paraId="789635D9" w14:textId="77777777" w:rsidTr="00A7081A">
        <w:trPr>
          <w:trHeight w:val="302"/>
          <w:jc w:val="center"/>
        </w:trPr>
        <w:tc>
          <w:tcPr>
            <w:tcW w:w="5690" w:type="dxa"/>
            <w:gridSpan w:val="3"/>
            <w:tcBorders>
              <w:top w:val="nil"/>
              <w:left w:val="single" w:sz="4" w:space="0" w:color="auto"/>
              <w:bottom w:val="single" w:sz="4" w:space="0" w:color="auto"/>
              <w:right w:val="single" w:sz="4" w:space="0" w:color="auto"/>
            </w:tcBorders>
            <w:shd w:val="clear" w:color="auto" w:fill="C6EFCE"/>
            <w:noWrap/>
            <w:vAlign w:val="center"/>
          </w:tcPr>
          <w:p w14:paraId="4C4AD388"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Instalment amount</w:t>
            </w:r>
          </w:p>
        </w:tc>
        <w:tc>
          <w:tcPr>
            <w:tcW w:w="3373" w:type="dxa"/>
            <w:tcBorders>
              <w:top w:val="nil"/>
              <w:left w:val="nil"/>
              <w:bottom w:val="single" w:sz="4" w:space="0" w:color="auto"/>
              <w:right w:val="single" w:sz="4" w:space="0" w:color="auto"/>
            </w:tcBorders>
            <w:shd w:val="clear" w:color="auto" w:fill="C6EFCE"/>
            <w:noWrap/>
            <w:vAlign w:val="center"/>
          </w:tcPr>
          <w:p w14:paraId="6DA1F08D"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themeColor="text1"/>
                <w:sz w:val="18"/>
                <w:szCs w:val="18"/>
              </w:rPr>
              <w:t>EUR</w:t>
            </w:r>
            <w:r>
              <w:rPr>
                <w:rFonts w:ascii="Times New Roman" w:eastAsia="Times New Roman" w:hAnsi="Times New Roman"/>
                <w:noProof/>
                <w:color w:val="000000" w:themeColor="text1"/>
                <w:sz w:val="18"/>
                <w:szCs w:val="18"/>
              </w:rPr>
              <w:t> </w:t>
            </w:r>
            <w:r w:rsidRPr="00B555B3">
              <w:rPr>
                <w:rFonts w:ascii="Times New Roman" w:eastAsia="Times New Roman" w:hAnsi="Times New Roman"/>
                <w:noProof/>
                <w:color w:val="000000" w:themeColor="text1"/>
                <w:sz w:val="18"/>
                <w:szCs w:val="18"/>
              </w:rPr>
              <w:t>273</w:t>
            </w:r>
            <w:r w:rsidRPr="00B555B3">
              <w:rPr>
                <w:rFonts w:ascii="Times New Roman" w:eastAsia="Times New Roman" w:hAnsi="Times New Roman"/>
                <w:noProof/>
                <w:sz w:val="18"/>
                <w:szCs w:val="18"/>
                <w:lang w:eastAsia="en-GB"/>
              </w:rPr>
              <w:t> </w:t>
            </w:r>
            <w:r w:rsidRPr="00B555B3">
              <w:rPr>
                <w:rFonts w:ascii="Times New Roman" w:eastAsia="Times New Roman" w:hAnsi="Times New Roman"/>
                <w:noProof/>
                <w:color w:val="000000" w:themeColor="text1"/>
                <w:sz w:val="18"/>
                <w:szCs w:val="18"/>
              </w:rPr>
              <w:t>307</w:t>
            </w:r>
            <w:r w:rsidRPr="00B555B3">
              <w:rPr>
                <w:rFonts w:ascii="Times New Roman" w:eastAsia="Times New Roman" w:hAnsi="Times New Roman"/>
                <w:noProof/>
                <w:sz w:val="18"/>
                <w:szCs w:val="18"/>
                <w:lang w:eastAsia="en-GB"/>
              </w:rPr>
              <w:t> </w:t>
            </w:r>
            <w:r w:rsidRPr="00B555B3">
              <w:rPr>
                <w:rFonts w:ascii="Times New Roman" w:eastAsia="Times New Roman" w:hAnsi="Times New Roman"/>
                <w:noProof/>
                <w:color w:val="000000" w:themeColor="text1"/>
                <w:sz w:val="18"/>
                <w:szCs w:val="18"/>
              </w:rPr>
              <w:t>672</w:t>
            </w:r>
          </w:p>
        </w:tc>
      </w:tr>
    </w:tbl>
    <w:p w14:paraId="359CC3F0" w14:textId="77777777" w:rsidR="00935FC8" w:rsidRDefault="00935FC8" w:rsidP="00A7081A">
      <w:pPr>
        <w:spacing w:before="120" w:after="120" w:line="240" w:lineRule="auto"/>
        <w:ind w:left="850"/>
        <w:jc w:val="both"/>
        <w:rPr>
          <w:rFonts w:ascii="Times New Roman" w:eastAsia="Times New Roman" w:hAnsi="Times New Roman"/>
          <w:noProof/>
          <w:sz w:val="24"/>
          <w:szCs w:val="24"/>
          <w:lang w:val="fr-FR"/>
        </w:rPr>
      </w:pPr>
    </w:p>
    <w:p w14:paraId="5A159CA3" w14:textId="77777777" w:rsidR="00935FC8" w:rsidRPr="000734EA" w:rsidRDefault="00935FC8" w:rsidP="00A7081A">
      <w:pPr>
        <w:numPr>
          <w:ilvl w:val="1"/>
          <w:numId w:val="32"/>
        </w:numPr>
        <w:spacing w:before="120" w:after="120" w:line="240" w:lineRule="auto"/>
        <w:jc w:val="both"/>
        <w:rPr>
          <w:rFonts w:ascii="Times New Roman" w:eastAsia="Times New Roman" w:hAnsi="Times New Roman"/>
          <w:noProof/>
          <w:sz w:val="24"/>
          <w:szCs w:val="24"/>
          <w:lang w:val="fr-FR"/>
        </w:rPr>
      </w:pPr>
      <w:r w:rsidRPr="000734EA">
        <w:rPr>
          <w:rFonts w:ascii="Times New Roman" w:eastAsia="Times New Roman" w:hAnsi="Times New Roman"/>
          <w:noProof/>
          <w:sz w:val="24"/>
          <w:szCs w:val="24"/>
          <w:lang w:val="fr-FR"/>
        </w:rPr>
        <w:t>Second Instalment (non-repayable support):</w:t>
      </w:r>
    </w:p>
    <w:tbl>
      <w:tblPr>
        <w:tblW w:w="9247" w:type="dxa"/>
        <w:tblInd w:w="108" w:type="dxa"/>
        <w:tblLook w:val="04A0" w:firstRow="1" w:lastRow="0" w:firstColumn="1" w:lastColumn="0" w:noHBand="0" w:noVBand="1"/>
      </w:tblPr>
      <w:tblGrid>
        <w:gridCol w:w="1065"/>
        <w:gridCol w:w="3343"/>
        <w:gridCol w:w="1161"/>
        <w:gridCol w:w="3678"/>
      </w:tblGrid>
      <w:tr w:rsidR="00A7081A" w:rsidRPr="00374BE0" w14:paraId="29D7EDB5" w14:textId="77777777" w:rsidTr="00A7081A">
        <w:trPr>
          <w:trHeight w:val="596"/>
          <w:tblHeader/>
        </w:trPr>
        <w:tc>
          <w:tcPr>
            <w:tcW w:w="1065"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0A26F9E0"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Number</w:t>
            </w:r>
          </w:p>
        </w:tc>
        <w:tc>
          <w:tcPr>
            <w:tcW w:w="3343"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44CC5FE"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Related Measure (Reform or Investment)</w:t>
            </w:r>
          </w:p>
        </w:tc>
        <w:tc>
          <w:tcPr>
            <w:tcW w:w="1161"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60545CEA"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Milestone / Target</w:t>
            </w:r>
          </w:p>
        </w:tc>
        <w:tc>
          <w:tcPr>
            <w:tcW w:w="3678" w:type="dxa"/>
            <w:tcBorders>
              <w:top w:val="single" w:sz="4" w:space="0" w:color="auto"/>
              <w:left w:val="nil"/>
              <w:bottom w:val="single" w:sz="4" w:space="0" w:color="000000" w:themeColor="text1"/>
              <w:right w:val="single" w:sz="4" w:space="0" w:color="auto"/>
            </w:tcBorders>
            <w:shd w:val="clear" w:color="auto" w:fill="BDD7EE"/>
            <w:vAlign w:val="center"/>
            <w:hideMark/>
          </w:tcPr>
          <w:p w14:paraId="1F7D6D54"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Name</w:t>
            </w:r>
          </w:p>
        </w:tc>
      </w:tr>
      <w:tr w:rsidR="00A7081A" w:rsidRPr="00374BE0" w14:paraId="5CB1E1A5"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BC70973" w14:textId="77777777" w:rsidR="00935FC8" w:rsidRPr="00B555B3" w:rsidRDefault="00935FC8" w:rsidP="00A7081A">
            <w:pPr>
              <w:spacing w:after="0" w:line="240" w:lineRule="auto"/>
              <w:ind w:left="20"/>
              <w:rPr>
                <w:rFonts w:ascii="Times New Roman" w:eastAsia="Times New Roman" w:hAnsi="Times New Roman"/>
                <w:noProof/>
                <w:sz w:val="18"/>
                <w:szCs w:val="18"/>
              </w:rPr>
            </w:pPr>
            <w:r w:rsidRPr="00B555B3">
              <w:rPr>
                <w:rFonts w:ascii="Times New Roman" w:eastAsia="Times New Roman" w:hAnsi="Times New Roman"/>
                <w:noProof/>
                <w:sz w:val="18"/>
                <w:szCs w:val="18"/>
              </w:rPr>
              <w:t>9</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C272A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P1C1I3 - Transformation of the energy system – Investment and reform package in Åland</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B5E78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811FE9"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 xml:space="preserve"> Publication of the first call for applications for investment in renewable energy in Åland</w:t>
            </w:r>
          </w:p>
        </w:tc>
      </w:tr>
      <w:tr w:rsidR="00A7081A" w:rsidRPr="00374BE0" w14:paraId="2C39F70D"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2A5308"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11</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C01674"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P1C2R1 - Industrial reforms and investments supporting the green and digital transition – Reform of the Climate Act and low-carbon industrialisation</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2A0AA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E6759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Entry into force of the revised Climate Act</w:t>
            </w:r>
          </w:p>
        </w:tc>
      </w:tr>
      <w:tr w:rsidR="00A7081A" w:rsidRPr="00374BE0" w14:paraId="201E3C6A"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C7755B"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26</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EDF06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P1C3R2 - Reducing the climate and environmental impacts of the building stock – action plan to phase out fossil oil heating</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2CC98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3B404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Publication of the action plan for phasing out fossil oil heating</w:t>
            </w:r>
          </w:p>
        </w:tc>
      </w:tr>
      <w:tr w:rsidR="00A7081A" w:rsidRPr="00374BE0" w14:paraId="00C69484"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0066C7"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38</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73C9F2"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P1C4R2 – Low-carbon solutions for cities and transport – Tax reform for sustainable transport</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1700BC"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84128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Entry into force of legislative amendments to the Income Tax Act (1205/2020) regarding an exemption from tax on the charging benefit of a fully electric car or a rechargeable hybrid car</w:t>
            </w:r>
          </w:p>
        </w:tc>
      </w:tr>
      <w:tr w:rsidR="00A7081A" w:rsidRPr="00374BE0" w14:paraId="127BF0DA"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3C4187"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39</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AAAD0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P1C4I1 -Low carbon solutions for cities and transport – Public recharging and refuelling infrastructure for transport electricity and hydrogen</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BC30A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A2FAC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Publication of the calls for applications to improve distribution infrastructure for electric and hydrogen vehicles</w:t>
            </w:r>
          </w:p>
        </w:tc>
      </w:tr>
      <w:tr w:rsidR="00A7081A" w:rsidRPr="00374BE0" w14:paraId="02FED465"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D38A07"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48</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62F62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P1C5I1 -Environmental sustainability and nature-based solutions – Gypsum treatment and nutrient recycling</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8AE8B2"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0DF864"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Projects for the supply, transport and distribution of gypsum are awarded</w:t>
            </w:r>
          </w:p>
        </w:tc>
      </w:tr>
      <w:tr w:rsidR="00A7081A" w:rsidRPr="00374BE0" w14:paraId="0DBD3A66"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26E5C9"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55</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4A014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P2C1I1- Digital connectivity – Developing the quality and availability of communication networks</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1ECBAE"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78C22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Entry into force of legislative amendments to the broadband aid legislation</w:t>
            </w:r>
          </w:p>
        </w:tc>
      </w:tr>
      <w:tr w:rsidR="00A7081A" w:rsidRPr="00374BE0" w14:paraId="39DD58E5"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760192"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58</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26FF7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P2C1I2 – Transport and land use - Digirail project</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22CE92"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5B912E"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Test laboratory on modelling equipment for the common European automatic train protection system (ERTMS) is operational</w:t>
            </w:r>
          </w:p>
        </w:tc>
      </w:tr>
      <w:tr w:rsidR="00A7081A" w:rsidRPr="00374BE0" w14:paraId="05B5DEC9"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A81218"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61</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B18C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P2C2I1 - Digital economy – Real-time economy (RTE) programme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837AD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0D5D01"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Minimum Viable Ecosystem is created and operational</w:t>
            </w:r>
          </w:p>
        </w:tc>
      </w:tr>
      <w:tr w:rsidR="00A7081A" w:rsidRPr="00374BE0" w14:paraId="156D8692"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307C65"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64</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20EB1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P2C2I3 - Accelerating key technologies (microelectronics, 6G, artificial intelligence and quantum computing)</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E76DE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7018A1"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Micro-electronics projects are awarded</w:t>
            </w:r>
          </w:p>
        </w:tc>
      </w:tr>
      <w:tr w:rsidR="00A7081A" w:rsidRPr="00374BE0" w14:paraId="22AF1B69"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05DB7"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66</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A804AE"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P2C2I3 - Accelerating key technologies (microelectronics, 6G, artificial intelligence and quantum computing)</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C860D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73761C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Projects developing 6G, AI and quantum computing are awarded</w:t>
            </w:r>
          </w:p>
        </w:tc>
      </w:tr>
      <w:tr w:rsidR="00A7081A" w:rsidRPr="00374BE0" w14:paraId="54E5CE71"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B5866"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72bis</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3AFEF2" w14:textId="77777777" w:rsidR="00935FC8" w:rsidRPr="00B555B3" w:rsidRDefault="00935FC8" w:rsidP="00A7081A">
            <w:pPr>
              <w:spacing w:after="0" w:line="240" w:lineRule="auto"/>
              <w:rPr>
                <w:rFonts w:ascii="Times New Roman" w:hAnsi="Times New Roman"/>
                <w:noProof/>
                <w:sz w:val="18"/>
                <w:szCs w:val="18"/>
                <w:lang w:eastAsia="en-GB"/>
              </w:rPr>
            </w:pPr>
            <w:r w:rsidRPr="00B555B3">
              <w:rPr>
                <w:rFonts w:ascii="Times New Roman" w:hAnsi="Times New Roman"/>
                <w:noProof/>
                <w:sz w:val="18"/>
                <w:szCs w:val="18"/>
                <w:lang w:eastAsia="en-GB"/>
              </w:rPr>
              <w:t>P2C2R2 - Enhancing the effectiveness and transparency of RRP reforms and investments by developing information systems, administration and audit</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536519"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5A7276" w14:textId="77777777" w:rsidR="00935FC8" w:rsidRPr="00B555B3" w:rsidRDefault="00935FC8" w:rsidP="00A7081A">
            <w:pPr>
              <w:rPr>
                <w:rFonts w:ascii="Times New Roman" w:eastAsia="Times New Roman" w:hAnsi="Times New Roman"/>
                <w:noProof/>
                <w:sz w:val="18"/>
                <w:szCs w:val="18"/>
              </w:rPr>
            </w:pPr>
            <w:r w:rsidRPr="00BB49C8">
              <w:rPr>
                <w:rFonts w:ascii="Times New Roman" w:hAnsi="Times New Roman"/>
                <w:noProof/>
                <w:sz w:val="18"/>
                <w:szCs w:val="18"/>
              </w:rPr>
              <w:t>Entry into force of the Decree of the Ministry of Finance on risk management and controls to ensure protection of the financial interests of the Union and compliance with applicable Union and national legislation and the publication of Guidelines of the coordinating body for the RRF implementing bodies.</w:t>
            </w:r>
          </w:p>
        </w:tc>
      </w:tr>
      <w:tr w:rsidR="00A7081A" w:rsidRPr="00374BE0" w14:paraId="5F2A13ED"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2D9A0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77</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7A8AE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P3C1R1 - Employment and labour market – Nordic model of employment services</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2FBEFE"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BF18E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Entry into force of the Law on Public Employment and Business Services regulating the Nordic Employment Service Model for the jobseeker’s service process</w:t>
            </w:r>
          </w:p>
        </w:tc>
      </w:tr>
      <w:tr w:rsidR="00A7081A" w:rsidRPr="00374BE0" w14:paraId="0C660BE7"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4B610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81</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D66C5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P3C1R3 - Employment and labour market – Streamlining the work and education-based immigration process</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07FA6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1D703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Entry into force of legislative amendments to the Act related to students, researchers and trainees (719/2018)</w:t>
            </w:r>
          </w:p>
        </w:tc>
      </w:tr>
      <w:tr w:rsidR="00A7081A" w:rsidRPr="00374BE0" w14:paraId="2C25B111"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E3594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83</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E614F9"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P3C1R3 - Employment and labour market - Streamlining the work and education-based immigration process</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BF762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24FDB4"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lang w:eastAsia="en-GB"/>
              </w:rPr>
              <w:t xml:space="preserve"> Establishing a fast- track process for specialists, growth entrepreneurs and their accompanying family members</w:t>
            </w:r>
          </w:p>
        </w:tc>
      </w:tr>
      <w:tr w:rsidR="00A7081A" w:rsidRPr="00374BE0" w14:paraId="3A1B9A91"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06A86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93</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76447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P3C2R1- Reform of continuous learning</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E528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15DE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Publication of the first call for applications to provide training to strengthen digital and green skills</w:t>
            </w:r>
          </w:p>
        </w:tc>
      </w:tr>
      <w:tr w:rsidR="00A7081A" w:rsidRPr="00374BE0" w14:paraId="68F471EF"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0582FE"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98</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7F2DB3" w14:textId="77777777" w:rsidR="00935FC8" w:rsidRPr="009C611C"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P3C2I2 - Improving the level of education by increasing student places in higher education</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092DA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2942CD" w14:textId="77777777" w:rsidR="00935FC8" w:rsidRPr="009C611C"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Increase of students’ admissions in higher education institutions</w:t>
            </w:r>
          </w:p>
        </w:tc>
      </w:tr>
      <w:tr w:rsidR="00A7081A" w:rsidRPr="00374BE0" w14:paraId="40909C00"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C3D843"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100</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4C2E2C"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P3C3I1 - RDI, research infrastructure and piloting – RDI funding package promoting the green transition – Leading companies</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9431CA"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46EA20"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Publication of a call for applications for leading companies’ projects</w:t>
            </w:r>
          </w:p>
        </w:tc>
      </w:tr>
      <w:tr w:rsidR="00A7081A" w:rsidRPr="00374BE0" w14:paraId="2306657D"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BD85B1"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106</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BE9B0A"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P3C3I3</w:t>
            </w:r>
            <w:r w:rsidRPr="00B555B3">
              <w:rPr>
                <w:rFonts w:ascii="Times New Roman" w:eastAsia="Times New Roman" w:hAnsi="Times New Roman"/>
                <w:noProof/>
                <w:sz w:val="18"/>
                <w:szCs w:val="18"/>
              </w:rPr>
              <w:t xml:space="preserve"> -</w:t>
            </w:r>
            <w:r w:rsidRPr="00B555B3">
              <w:rPr>
                <w:rFonts w:ascii="Times New Roman" w:hAnsi="Times New Roman"/>
                <w:noProof/>
                <w:sz w:val="18"/>
                <w:szCs w:val="18"/>
              </w:rPr>
              <w:t xml:space="preserve"> RDI, research infrastructure and piloting –RDI funding package supporting the green transition – accelerating key sectors and strengthening competence (Business Finland)</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4E89E7"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0D3064"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hAnsi="Times New Roman"/>
                <w:noProof/>
                <w:sz w:val="18"/>
                <w:szCs w:val="18"/>
              </w:rPr>
              <w:t xml:space="preserve">Publication by Business Finland of a call for applications for RDI projects aiming at increasing competences in key sectors </w:t>
            </w:r>
          </w:p>
        </w:tc>
      </w:tr>
      <w:tr w:rsidR="00A7081A" w:rsidRPr="00374BE0" w14:paraId="38E5BDB5"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703B3C"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sz w:val="18"/>
                <w:szCs w:val="18"/>
              </w:rPr>
              <w:t>109</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9D49EF"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P3C3I4</w:t>
            </w:r>
            <w:r w:rsidRPr="00B555B3">
              <w:rPr>
                <w:rFonts w:ascii="Times New Roman" w:eastAsia="Times New Roman" w:hAnsi="Times New Roman"/>
                <w:noProof/>
                <w:sz w:val="18"/>
                <w:szCs w:val="18"/>
              </w:rPr>
              <w:t xml:space="preserve"> -</w:t>
            </w:r>
            <w:r w:rsidRPr="00B555B3">
              <w:rPr>
                <w:rFonts w:ascii="Times New Roman" w:hAnsi="Times New Roman"/>
                <w:noProof/>
                <w:sz w:val="18"/>
                <w:szCs w:val="18"/>
              </w:rPr>
              <w:t xml:space="preserve"> RDI, research infrastructure and piloting – RDI funding package supporting the green transition – Supporting innovative growth companies</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2A2733"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2E8D0A"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hAnsi="Times New Roman"/>
                <w:noProof/>
                <w:sz w:val="18"/>
                <w:szCs w:val="18"/>
              </w:rPr>
              <w:t>Publication by Business Finland of a call for applications for RDI projects supporting innovative growth companies</w:t>
            </w:r>
          </w:p>
        </w:tc>
      </w:tr>
      <w:tr w:rsidR="00A7081A" w:rsidRPr="00374BE0" w14:paraId="1730380B"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AB9302"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112</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338DCB"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P3C3I5 - RDI, research infrastructure and piloting – Promoting innovation and research infrastructure – Local research infrastructures</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D364F6"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D4FE65"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Publication of a call for applications for the renewal and development of local research infrastructures</w:t>
            </w:r>
          </w:p>
        </w:tc>
      </w:tr>
      <w:tr w:rsidR="00A7081A" w:rsidRPr="00374BE0" w14:paraId="6E68D602"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E2BF2F"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113</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CD48F7"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P3C3I5 - RDI, research infrastructure and piloting – Promoting innovation and research infrastructure – Local research infrastructures</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74EBDE"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Target</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899012"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Award of grants for the renewal and development of local research infrastructures</w:t>
            </w:r>
          </w:p>
        </w:tc>
      </w:tr>
      <w:tr w:rsidR="00A7081A" w:rsidRPr="00374BE0" w14:paraId="7A8D4FF6"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E6F1E7"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116</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DB0968"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P3C3I6 - RDI, research infrastructure and piloting – Promoting innovation and research infrastructure – National research infrastructures</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049022"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Target</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1A286B"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Award of grants for the renewal and development of national research infrastructures</w:t>
            </w:r>
          </w:p>
        </w:tc>
      </w:tr>
      <w:tr w:rsidR="00A7081A" w:rsidRPr="00374BE0" w14:paraId="1B284797"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417EF4"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118</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B0253D"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P3C3I7 - RDI, research infrastructure and piloting – Promoting innovation and research infrastructure – competitive funding for innovation infrastructures</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9183C1"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7860D9"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Publication of a call for applications for development of innovation infrastructures</w:t>
            </w:r>
          </w:p>
        </w:tc>
      </w:tr>
      <w:tr w:rsidR="00A7081A" w:rsidRPr="00374BE0" w14:paraId="65E3E6C6"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4F2EEA"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121</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C7B6A7"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P3C4I1 – Strengthening competitiveness and boosting growth in crisis-impacted sectors – Growth acceleration programme</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B6F104"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492A2D"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Publication of the call for applications for support to companies’ internationalisation capabilities</w:t>
            </w:r>
          </w:p>
        </w:tc>
      </w:tr>
      <w:tr w:rsidR="00A7081A" w:rsidRPr="00374BE0" w14:paraId="738A859D"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191F61"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124</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D5CA32"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P3C4I2 - Strengthening competitiveness and boosting growth in crisis-impacted sectors – Key programmes for international growth</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BAA0AE"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2F5C0"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Publication of the first three calls for applications under key programmes for international growth</w:t>
            </w:r>
          </w:p>
        </w:tc>
      </w:tr>
      <w:tr w:rsidR="00A7081A" w:rsidRPr="00374BE0" w14:paraId="570E0EE2" w14:textId="77777777" w:rsidTr="00A7081A">
        <w:trPr>
          <w:trHeight w:val="144"/>
        </w:trPr>
        <w:tc>
          <w:tcPr>
            <w:tcW w:w="1065"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34C116"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130</w:t>
            </w:r>
          </w:p>
        </w:tc>
        <w:tc>
          <w:tcPr>
            <w:tcW w:w="334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E035F2"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P3C4I4 - Strengthening competitiveness and boosting growth in crisis-impacted sectors – Supporting sustainable and digital growth in the tourism sector</w:t>
            </w:r>
          </w:p>
        </w:tc>
        <w:tc>
          <w:tcPr>
            <w:tcW w:w="1161"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824D4C"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DC21EB"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Publication of the call for applications for RDI projects for the tourism sector</w:t>
            </w:r>
          </w:p>
        </w:tc>
      </w:tr>
      <w:tr w:rsidR="00A7081A" w:rsidRPr="00374BE0" w14:paraId="60BE847A" w14:textId="77777777" w:rsidTr="00A7081A">
        <w:trPr>
          <w:trHeight w:val="144"/>
        </w:trPr>
        <w:tc>
          <w:tcPr>
            <w:tcW w:w="5569"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515DDE20"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Instalment amount</w:t>
            </w:r>
          </w:p>
        </w:tc>
        <w:tc>
          <w:tcPr>
            <w:tcW w:w="367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1F4C4A"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themeColor="text1"/>
                <w:sz w:val="18"/>
                <w:szCs w:val="18"/>
              </w:rPr>
              <w:t>EUR</w:t>
            </w:r>
            <w:r>
              <w:rPr>
                <w:rFonts w:ascii="Times New Roman" w:eastAsia="Times New Roman" w:hAnsi="Times New Roman"/>
                <w:noProof/>
                <w:color w:val="000000" w:themeColor="text1"/>
                <w:sz w:val="18"/>
                <w:szCs w:val="18"/>
              </w:rPr>
              <w:t> </w:t>
            </w:r>
            <w:r w:rsidRPr="00B555B3">
              <w:rPr>
                <w:rFonts w:ascii="Times New Roman" w:eastAsia="Times New Roman" w:hAnsi="Times New Roman"/>
                <w:noProof/>
                <w:color w:val="000000" w:themeColor="text1"/>
                <w:sz w:val="18"/>
                <w:szCs w:val="18"/>
              </w:rPr>
              <w:t>436</w:t>
            </w:r>
            <w:r>
              <w:rPr>
                <w:rFonts w:ascii="Times New Roman" w:eastAsia="Times New Roman" w:hAnsi="Times New Roman"/>
                <w:noProof/>
                <w:color w:val="000000" w:themeColor="text1"/>
                <w:sz w:val="18"/>
                <w:szCs w:val="18"/>
              </w:rPr>
              <w:t> </w:t>
            </w:r>
            <w:r w:rsidRPr="00B555B3">
              <w:rPr>
                <w:rFonts w:ascii="Times New Roman" w:eastAsia="Times New Roman" w:hAnsi="Times New Roman"/>
                <w:noProof/>
                <w:color w:val="000000" w:themeColor="text1"/>
                <w:sz w:val="18"/>
                <w:szCs w:val="18"/>
              </w:rPr>
              <w:t>940</w:t>
            </w:r>
            <w:r>
              <w:rPr>
                <w:rFonts w:ascii="Times New Roman" w:eastAsia="Times New Roman" w:hAnsi="Times New Roman"/>
                <w:noProof/>
                <w:color w:val="000000" w:themeColor="text1"/>
                <w:sz w:val="18"/>
                <w:szCs w:val="18"/>
              </w:rPr>
              <w:t> </w:t>
            </w:r>
            <w:r w:rsidRPr="00B555B3">
              <w:rPr>
                <w:rFonts w:ascii="Times New Roman" w:eastAsia="Times New Roman" w:hAnsi="Times New Roman"/>
                <w:noProof/>
                <w:color w:val="000000" w:themeColor="text1"/>
                <w:sz w:val="18"/>
                <w:szCs w:val="18"/>
              </w:rPr>
              <w:t>643</w:t>
            </w:r>
          </w:p>
        </w:tc>
      </w:tr>
    </w:tbl>
    <w:p w14:paraId="07ED351C" w14:textId="77777777" w:rsidR="00935FC8" w:rsidRDefault="00935FC8" w:rsidP="00A7081A">
      <w:pPr>
        <w:spacing w:before="120" w:after="120" w:line="240" w:lineRule="auto"/>
        <w:ind w:left="850"/>
        <w:jc w:val="both"/>
        <w:rPr>
          <w:rFonts w:ascii="Times New Roman" w:eastAsia="Times New Roman" w:hAnsi="Times New Roman"/>
          <w:noProof/>
          <w:sz w:val="24"/>
          <w:szCs w:val="24"/>
        </w:rPr>
      </w:pPr>
    </w:p>
    <w:p w14:paraId="321B1F28" w14:textId="77777777" w:rsidR="00935FC8" w:rsidRPr="00B555B3" w:rsidRDefault="00935FC8" w:rsidP="00A7081A">
      <w:pPr>
        <w:numPr>
          <w:ilvl w:val="1"/>
          <w:numId w:val="32"/>
        </w:num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Third Instalment (non-repayable support):</w:t>
      </w:r>
    </w:p>
    <w:tbl>
      <w:tblPr>
        <w:tblW w:w="9171" w:type="dxa"/>
        <w:jc w:val="center"/>
        <w:tblLook w:val="04A0" w:firstRow="1" w:lastRow="0" w:firstColumn="1" w:lastColumn="0" w:noHBand="0" w:noVBand="1"/>
      </w:tblPr>
      <w:tblGrid>
        <w:gridCol w:w="1273"/>
        <w:gridCol w:w="3282"/>
        <w:gridCol w:w="1246"/>
        <w:gridCol w:w="3370"/>
      </w:tblGrid>
      <w:tr w:rsidR="00A7081A" w:rsidRPr="00374BE0" w14:paraId="53C2820A" w14:textId="77777777" w:rsidTr="00A7081A">
        <w:trPr>
          <w:trHeight w:val="831"/>
          <w:tblHeader/>
          <w:jc w:val="center"/>
        </w:trPr>
        <w:tc>
          <w:tcPr>
            <w:tcW w:w="1273"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5870CE8" w14:textId="77777777" w:rsidR="00935FC8" w:rsidRPr="00B555B3" w:rsidRDefault="00935FC8" w:rsidP="00A7081A">
            <w:pPr>
              <w:spacing w:after="0" w:line="240" w:lineRule="auto"/>
              <w:ind w:left="-527" w:firstLine="527"/>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Number</w:t>
            </w:r>
          </w:p>
        </w:tc>
        <w:tc>
          <w:tcPr>
            <w:tcW w:w="3282"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9071625"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Related Measure (Reform or Investment)</w:t>
            </w:r>
          </w:p>
        </w:tc>
        <w:tc>
          <w:tcPr>
            <w:tcW w:w="1246"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FE95890"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Milestone / Target</w:t>
            </w:r>
          </w:p>
        </w:tc>
        <w:tc>
          <w:tcPr>
            <w:tcW w:w="3370" w:type="dxa"/>
            <w:tcBorders>
              <w:top w:val="single" w:sz="4" w:space="0" w:color="auto"/>
              <w:left w:val="nil"/>
              <w:bottom w:val="single" w:sz="4" w:space="0" w:color="000000" w:themeColor="text1"/>
              <w:right w:val="single" w:sz="4" w:space="0" w:color="auto"/>
            </w:tcBorders>
            <w:shd w:val="clear" w:color="auto" w:fill="BDD7EE"/>
            <w:vAlign w:val="center"/>
            <w:hideMark/>
          </w:tcPr>
          <w:p w14:paraId="15F78553"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Name</w:t>
            </w:r>
          </w:p>
        </w:tc>
      </w:tr>
      <w:tr w:rsidR="00A7081A" w:rsidRPr="00374BE0" w14:paraId="7BF9D22D"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039F02"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7</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F806B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P1C1I2 - Transformation of the energy system – Investments in new energy technologies</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265F0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18E44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Award of all grants for energy technology investments</w:t>
            </w:r>
          </w:p>
        </w:tc>
      </w:tr>
      <w:tr w:rsidR="00A7081A" w:rsidRPr="00374BE0" w14:paraId="09FA4055"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010182"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20</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3A3A72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P1C2I2 - Industrial reforms and investments supporting the green and digital transition – Direct electrification and decarbonisation of industrial processes</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84F5AB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58853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Award of all grants for direct electrification and low-carbon industrial processes projects</w:t>
            </w:r>
          </w:p>
        </w:tc>
      </w:tr>
      <w:tr w:rsidR="00A7081A" w:rsidRPr="00374BE0" w14:paraId="382A0AA2"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82B1B4"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23</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E8226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P1C2I3 - Industrial reforms and investments supporting the green and digital transition – Re-use and recycling of key materials and industrial side streams</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7CA55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E0690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Award of all grants to the re-use and recycling projects</w:t>
            </w:r>
          </w:p>
        </w:tc>
      </w:tr>
      <w:tr w:rsidR="00A7081A" w:rsidRPr="00374BE0" w14:paraId="0741D9AC"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E6C191"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47</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9CB3E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P1C5R1 - Environmental sustainability and nature-based solutions – Modernisation of nature legislation</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AEE27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339E0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Entry into force of the amended Nature Conservation Act</w:t>
            </w:r>
          </w:p>
        </w:tc>
      </w:tr>
      <w:tr w:rsidR="00A7081A" w:rsidRPr="00374BE0" w14:paraId="16DE81F9"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84346"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50</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9993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P1C5I1 - Environmental sustainability and nature-based solutions – Gypsum treatment and nutrient recycling</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87A315"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8816C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Nutrient recycling and recovery projects are awarded</w:t>
            </w:r>
          </w:p>
        </w:tc>
      </w:tr>
      <w:tr w:rsidR="00A7081A" w:rsidRPr="00374BE0" w14:paraId="2BB6C285"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2CF157"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53</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3862C"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P1C5I2 -Environmental sustainability and nature-based solutions – climate-resilient measures in the land use sector</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AF31A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10D48C"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Award of all grants for the precision forestry projects selected for funding</w:t>
            </w:r>
          </w:p>
        </w:tc>
      </w:tr>
      <w:tr w:rsidR="00A7081A" w:rsidRPr="00374BE0" w14:paraId="2332AA6A"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5142FB"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68</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8368C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P2C2R1 - Development of the residential and commercial property information system</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579314"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2389C"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Adoption of legislation on extending the coverage of the residential and commercial property information system</w:t>
            </w:r>
          </w:p>
        </w:tc>
      </w:tr>
      <w:tr w:rsidR="00A7081A" w:rsidRPr="00374BE0" w14:paraId="337EDA2D"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C07428"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79</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34FF9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P3C1R1 - Employment and labour market –  Nordic model of employment services</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3E349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759FC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All five digital functionalities required by the Nordic employment service model are integrated into the public employment services’ (TE-PES) information system and are operational</w:t>
            </w:r>
          </w:p>
        </w:tc>
      </w:tr>
      <w:tr w:rsidR="00A7081A" w:rsidRPr="00374BE0" w14:paraId="10EF3D8E"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84BE20"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80</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7E99E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P3C1R2 - Employment and labour market – Removal of additional days of unemployment allowance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E42429"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4C3DE5"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Entry into force of legislative amendments to the Unemployment Security Act concerning the phasing out of additional days of unemployment security</w:t>
            </w:r>
          </w:p>
        </w:tc>
      </w:tr>
      <w:tr w:rsidR="00A7081A" w:rsidRPr="00374BE0" w14:paraId="1A3C387B"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192F60"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82</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3B57F4"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P3C1R3 - Employment and labour market – Streamlining the work and education-based immigration process</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AA22E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0ABE8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Entry into force of legislative amendments to the Aliens Act (301/2004)</w:t>
            </w:r>
          </w:p>
        </w:tc>
      </w:tr>
      <w:tr w:rsidR="00A7081A" w:rsidRPr="00374BE0" w14:paraId="2826EC26"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4F8EB1"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92</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21E521"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P3C2R1- Reform of continuous learning</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60121C"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1A37E0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Completion of a medium-term foresight model for labour and competence needs</w:t>
            </w:r>
          </w:p>
        </w:tc>
      </w:tr>
      <w:tr w:rsidR="00A7081A" w:rsidRPr="00374BE0" w14:paraId="121C6FA2" w14:textId="77777777" w:rsidTr="00A7081A">
        <w:trPr>
          <w:trHeight w:val="708"/>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3E2F5D"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101</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AC0085"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P3C3I1 - RDI, research infrastructure and piloting – RDI funding package promoting the green transition – Leading companies</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9C9A00"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Target</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CCC7D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Award of grants for leading companies’ projects</w:t>
            </w:r>
          </w:p>
        </w:tc>
      </w:tr>
      <w:tr w:rsidR="00A7081A" w:rsidRPr="00374BE0" w14:paraId="267C8F4C"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F3678D"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104</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D873EB"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P3C3I2 - RDI, research infrastructure and piloting – RDI funding package supporting the green transition – accelerating key sectors and strengthening competence (Academy of Finland)</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E40D8F"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Target</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90549"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hAnsi="Times New Roman"/>
                <w:noProof/>
                <w:sz w:val="18"/>
                <w:szCs w:val="18"/>
              </w:rPr>
              <w:t>Award by the Academy of Finland of grants for research projects aiming at increasing competences in key sectors</w:t>
            </w:r>
          </w:p>
        </w:tc>
      </w:tr>
      <w:tr w:rsidR="00A7081A" w:rsidRPr="00374BE0" w14:paraId="6D07453D"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921EEB"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sz w:val="18"/>
                <w:szCs w:val="18"/>
              </w:rPr>
              <w:t>107</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B8DBB6"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P3C3I3</w:t>
            </w:r>
            <w:r w:rsidRPr="00B555B3">
              <w:rPr>
                <w:rFonts w:ascii="Times New Roman" w:eastAsia="Times New Roman" w:hAnsi="Times New Roman"/>
                <w:noProof/>
                <w:sz w:val="18"/>
                <w:szCs w:val="18"/>
              </w:rPr>
              <w:t xml:space="preserve"> -</w:t>
            </w:r>
            <w:r w:rsidRPr="00B555B3">
              <w:rPr>
                <w:rFonts w:ascii="Times New Roman" w:hAnsi="Times New Roman"/>
                <w:noProof/>
                <w:sz w:val="18"/>
                <w:szCs w:val="18"/>
              </w:rPr>
              <w:t xml:space="preserve"> RDI, research infrastructure and piloting –RDI funding package supporting the green transition – accelerating key sectors and strengthening competence (Business Finland)</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D1B3C1"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Target</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E9B666" w14:textId="0D53CED3" w:rsidR="00935FC8" w:rsidRPr="00B555B3" w:rsidRDefault="00935FC8" w:rsidP="00A7081A">
            <w:pPr>
              <w:rPr>
                <w:rFonts w:ascii="Times New Roman" w:eastAsia="Times New Roman" w:hAnsi="Times New Roman"/>
                <w:noProof/>
                <w:color w:val="000000"/>
                <w:sz w:val="18"/>
                <w:szCs w:val="18"/>
              </w:rPr>
            </w:pPr>
            <w:r w:rsidRPr="00B555B3">
              <w:rPr>
                <w:rFonts w:ascii="Times New Roman" w:hAnsi="Times New Roman"/>
                <w:noProof/>
                <w:sz w:val="18"/>
                <w:szCs w:val="18"/>
              </w:rPr>
              <w:t>Award by Business Finland of grants for RDI projects aiming at increasing competences in key sectors</w:t>
            </w:r>
          </w:p>
        </w:tc>
      </w:tr>
      <w:tr w:rsidR="00A7081A" w:rsidRPr="00374BE0" w14:paraId="488C5D95"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F81B5D"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sz w:val="18"/>
                <w:szCs w:val="18"/>
              </w:rPr>
              <w:t>110</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3E8F56"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P3C3I4</w:t>
            </w:r>
            <w:r w:rsidRPr="00B555B3">
              <w:rPr>
                <w:rFonts w:ascii="Times New Roman" w:eastAsia="Times New Roman" w:hAnsi="Times New Roman"/>
                <w:noProof/>
                <w:sz w:val="18"/>
                <w:szCs w:val="18"/>
              </w:rPr>
              <w:t xml:space="preserve"> -</w:t>
            </w:r>
            <w:r w:rsidRPr="00B555B3">
              <w:rPr>
                <w:rFonts w:ascii="Times New Roman" w:hAnsi="Times New Roman"/>
                <w:noProof/>
                <w:sz w:val="18"/>
                <w:szCs w:val="18"/>
              </w:rPr>
              <w:t xml:space="preserve"> RDI, research infrastructure and piloting – RDI funding package supporting the green transition – Supporting innovative growth companies</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0D93D6"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Target</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ED380F" w14:textId="669A5034" w:rsidR="00935FC8" w:rsidRPr="00B555B3" w:rsidRDefault="00935FC8" w:rsidP="00A7081A">
            <w:pPr>
              <w:rPr>
                <w:rFonts w:ascii="Times New Roman" w:eastAsia="Times New Roman" w:hAnsi="Times New Roman"/>
                <w:noProof/>
                <w:color w:val="000000"/>
                <w:sz w:val="18"/>
                <w:szCs w:val="18"/>
              </w:rPr>
            </w:pPr>
            <w:r w:rsidRPr="00B555B3">
              <w:rPr>
                <w:rFonts w:ascii="Times New Roman" w:hAnsi="Times New Roman"/>
                <w:noProof/>
                <w:sz w:val="18"/>
                <w:szCs w:val="18"/>
              </w:rPr>
              <w:t>Award of grants for support to innovative growth companies</w:t>
            </w:r>
            <w:r w:rsidR="00EE67C5">
              <w:rPr>
                <w:rFonts w:ascii="Times New Roman" w:hAnsi="Times New Roman"/>
                <w:noProof/>
                <w:sz w:val="18"/>
                <w:szCs w:val="18"/>
              </w:rPr>
              <w:t xml:space="preserve"> </w:t>
            </w:r>
          </w:p>
        </w:tc>
      </w:tr>
      <w:tr w:rsidR="00A7081A" w:rsidRPr="00374BE0" w14:paraId="13D0721F"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EEF791"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119</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9C58BC"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P3C3I7 - RDI, research infrastructure and piloting – Promoting innovation and research infrastructure – competitive funding for innovation infrastructures</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04DCB7"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Target</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945011"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Award of grants for the development of innovation infrastructures</w:t>
            </w:r>
          </w:p>
        </w:tc>
      </w:tr>
      <w:tr w:rsidR="00A7081A" w:rsidRPr="00374BE0" w14:paraId="51F68F92"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B6CFDA"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125</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50A7B4"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P3C4I2 - Strengthening competitiveness and boosting growth in crisis-impacted sectors – Key programmes for international growth</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3E5F22"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D484C6"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Award of grants for all projects under key programmes for international growth</w:t>
            </w:r>
          </w:p>
        </w:tc>
      </w:tr>
      <w:tr w:rsidR="00A7081A" w:rsidRPr="00374BE0" w14:paraId="3EE9ECAD"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EEC6C0"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134</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4BB77A"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P4C1R1 - Preparation of the social welfare and health care reform in support of implementing the care guarantee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CA8363"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1F2C0E"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Entry into force of the additional legal framework completing the establishment of welfare areas and the reform of the social and health care and rescue services</w:t>
            </w:r>
          </w:p>
        </w:tc>
      </w:tr>
      <w:tr w:rsidR="00A7081A" w:rsidRPr="00374BE0" w14:paraId="7D7E5B4B"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298FA7"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135</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78B53C"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P4C1R1 - Preparation of the social welfare and health care reform in support of implementing the care guarantee</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DA825"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1B87C1D"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Operationalisation of regional welfare areas with the capacity to take responsibility for organising social, health and rescue services</w:t>
            </w:r>
          </w:p>
        </w:tc>
      </w:tr>
      <w:tr w:rsidR="00A7081A" w:rsidRPr="00374BE0" w14:paraId="1EC17FA9"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8148A0"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themeColor="text1"/>
                <w:sz w:val="18"/>
                <w:szCs w:val="18"/>
              </w:rPr>
              <w:t>145</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CC100C"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themeColor="text1"/>
                <w:sz w:val="18"/>
                <w:szCs w:val="18"/>
              </w:rPr>
              <w:t>P5C1I1 – REPowerEU – Investments for clean transition</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9061D1"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themeColor="text1"/>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057760"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themeColor="text1"/>
                <w:sz w:val="18"/>
                <w:szCs w:val="18"/>
              </w:rPr>
              <w:t>Launch of a call for applications for clean transition projects</w:t>
            </w:r>
          </w:p>
        </w:tc>
      </w:tr>
      <w:tr w:rsidR="00A7081A" w:rsidRPr="00374BE0" w14:paraId="3C43C8AD"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4B2B73" w14:textId="77777777" w:rsidR="00935FC8" w:rsidRPr="00B555B3" w:rsidRDefault="00935FC8" w:rsidP="00A7081A">
            <w:pPr>
              <w:spacing w:line="240" w:lineRule="auto"/>
              <w:rPr>
                <w:rFonts w:ascii="Times New Roman" w:eastAsia="Times New Roman" w:hAnsi="Times New Roman"/>
                <w:noProof/>
                <w:color w:val="000000" w:themeColor="text1"/>
                <w:sz w:val="18"/>
                <w:szCs w:val="18"/>
              </w:rPr>
            </w:pPr>
            <w:r w:rsidRPr="00B555B3">
              <w:rPr>
                <w:rFonts w:ascii="Times New Roman" w:eastAsia="Times New Roman" w:hAnsi="Times New Roman"/>
                <w:noProof/>
                <w:sz w:val="18"/>
                <w:szCs w:val="18"/>
              </w:rPr>
              <w:t>146</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CE7EF7" w14:textId="77777777" w:rsidR="00935FC8" w:rsidRPr="00B555B3" w:rsidRDefault="00935FC8" w:rsidP="00A7081A">
            <w:pPr>
              <w:rPr>
                <w:rFonts w:ascii="Times New Roman" w:eastAsia="Times New Roman" w:hAnsi="Times New Roman"/>
                <w:noProof/>
                <w:color w:val="000000" w:themeColor="text1"/>
                <w:sz w:val="18"/>
                <w:szCs w:val="18"/>
              </w:rPr>
            </w:pPr>
            <w:r w:rsidRPr="00B555B3">
              <w:rPr>
                <w:rFonts w:ascii="Times New Roman" w:eastAsia="Times New Roman" w:hAnsi="Times New Roman"/>
                <w:noProof/>
                <w:sz w:val="18"/>
                <w:szCs w:val="18"/>
              </w:rPr>
              <w:t>P5C1I1 – Investments for clean transition</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E9BFAC" w14:textId="77777777" w:rsidR="00935FC8" w:rsidRPr="00B555B3" w:rsidRDefault="00935FC8" w:rsidP="00A7081A">
            <w:pPr>
              <w:rPr>
                <w:rFonts w:ascii="Times New Roman" w:eastAsia="Times New Roman" w:hAnsi="Times New Roman"/>
                <w:noProof/>
                <w:color w:val="000000" w:themeColor="text1"/>
                <w:sz w:val="18"/>
                <w:szCs w:val="18"/>
              </w:rPr>
            </w:pPr>
            <w:r w:rsidRPr="00B555B3">
              <w:rPr>
                <w:rFonts w:ascii="Times New Roman" w:eastAsia="Times New Roman" w:hAnsi="Times New Roman"/>
                <w:noProof/>
                <w:sz w:val="18"/>
                <w:szCs w:val="18"/>
              </w:rPr>
              <w:t>Milestone</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6AE799" w14:textId="77777777" w:rsidR="00935FC8" w:rsidRPr="00B555B3" w:rsidRDefault="00935FC8" w:rsidP="00A7081A">
            <w:pPr>
              <w:rPr>
                <w:rFonts w:ascii="Times New Roman" w:eastAsia="Times New Roman" w:hAnsi="Times New Roman"/>
                <w:noProof/>
                <w:color w:val="000000" w:themeColor="text1"/>
                <w:sz w:val="18"/>
                <w:szCs w:val="18"/>
              </w:rPr>
            </w:pPr>
            <w:r w:rsidRPr="00B555B3">
              <w:rPr>
                <w:rFonts w:ascii="Times New Roman" w:eastAsia="Times New Roman" w:hAnsi="Times New Roman"/>
                <w:noProof/>
                <w:sz w:val="18"/>
                <w:szCs w:val="18"/>
              </w:rPr>
              <w:t>Award of all grants for clean transition projects</w:t>
            </w:r>
          </w:p>
        </w:tc>
      </w:tr>
      <w:tr w:rsidR="00A7081A" w:rsidRPr="00374BE0" w14:paraId="0F1B1235" w14:textId="77777777" w:rsidTr="00A7081A">
        <w:trPr>
          <w:trHeight w:val="245"/>
          <w:jc w:val="center"/>
        </w:trPr>
        <w:tc>
          <w:tcPr>
            <w:tcW w:w="1273"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F766480"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themeColor="text1"/>
                <w:sz w:val="18"/>
                <w:szCs w:val="18"/>
              </w:rPr>
              <w:t>150</w:t>
            </w:r>
          </w:p>
        </w:tc>
        <w:tc>
          <w:tcPr>
            <w:tcW w:w="328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FA3932"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themeColor="text1"/>
                <w:sz w:val="18"/>
                <w:szCs w:val="18"/>
              </w:rPr>
              <w:t>P5C1I2 – REPowerEU – R&amp;D for the green transition</w:t>
            </w:r>
          </w:p>
        </w:tc>
        <w:tc>
          <w:tcPr>
            <w:tcW w:w="124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7123EE"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themeColor="text1"/>
                <w:sz w:val="18"/>
                <w:szCs w:val="18"/>
              </w:rPr>
              <w:t>Target</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7C4976"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themeColor="text1"/>
                <w:sz w:val="18"/>
                <w:szCs w:val="18"/>
              </w:rPr>
              <w:t>Selection of doctoral students in the LUKE Doctoral School programme</w:t>
            </w:r>
          </w:p>
        </w:tc>
      </w:tr>
      <w:tr w:rsidR="00A7081A" w:rsidRPr="00374BE0" w14:paraId="527BB44D" w14:textId="77777777" w:rsidTr="00A7081A">
        <w:trPr>
          <w:trHeight w:val="245"/>
          <w:jc w:val="center"/>
        </w:trPr>
        <w:tc>
          <w:tcPr>
            <w:tcW w:w="5801"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1C9622AB" w14:textId="77777777" w:rsidR="00935FC8" w:rsidRPr="00B555B3" w:rsidRDefault="00935FC8" w:rsidP="00A7081A">
            <w:pPr>
              <w:rPr>
                <w:rFonts w:ascii="Times New Roman" w:eastAsia="Times New Roman" w:hAnsi="Times New Roman"/>
                <w:noProof/>
                <w:color w:val="000000" w:themeColor="text1"/>
                <w:sz w:val="18"/>
                <w:szCs w:val="18"/>
              </w:rPr>
            </w:pPr>
            <w:r w:rsidRPr="00B555B3">
              <w:rPr>
                <w:rFonts w:ascii="Times New Roman" w:eastAsia="Times New Roman" w:hAnsi="Times New Roman"/>
                <w:noProof/>
                <w:color w:val="000000"/>
                <w:sz w:val="18"/>
                <w:szCs w:val="18"/>
              </w:rPr>
              <w:t>Instalment amount</w:t>
            </w:r>
          </w:p>
        </w:tc>
        <w:tc>
          <w:tcPr>
            <w:tcW w:w="337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BCC26D" w14:textId="77777777" w:rsidR="00935FC8" w:rsidRPr="00B555B3" w:rsidRDefault="00935FC8" w:rsidP="00A7081A">
            <w:pPr>
              <w:rPr>
                <w:rFonts w:ascii="Times New Roman" w:eastAsia="Times New Roman" w:hAnsi="Times New Roman"/>
                <w:noProof/>
                <w:color w:val="000000" w:themeColor="text1"/>
                <w:sz w:val="18"/>
                <w:szCs w:val="18"/>
              </w:rPr>
            </w:pPr>
            <w:r w:rsidRPr="00B555B3">
              <w:rPr>
                <w:rFonts w:ascii="Times New Roman" w:eastAsia="Times New Roman" w:hAnsi="Times New Roman"/>
                <w:noProof/>
                <w:color w:val="000000" w:themeColor="text1"/>
                <w:sz w:val="18"/>
                <w:szCs w:val="18"/>
              </w:rPr>
              <w:t>EUR</w:t>
            </w:r>
            <w:r>
              <w:rPr>
                <w:rFonts w:ascii="Times New Roman" w:eastAsia="Times New Roman" w:hAnsi="Times New Roman"/>
                <w:noProof/>
                <w:color w:val="000000" w:themeColor="text1"/>
                <w:sz w:val="18"/>
                <w:szCs w:val="18"/>
              </w:rPr>
              <w:t> </w:t>
            </w:r>
            <w:r w:rsidRPr="00B555B3">
              <w:rPr>
                <w:rFonts w:ascii="Times New Roman" w:eastAsia="Times New Roman" w:hAnsi="Times New Roman"/>
                <w:noProof/>
                <w:color w:val="000000" w:themeColor="text1"/>
                <w:sz w:val="18"/>
                <w:szCs w:val="18"/>
              </w:rPr>
              <w:t>282</w:t>
            </w:r>
            <w:r>
              <w:rPr>
                <w:rFonts w:ascii="Times New Roman" w:eastAsia="Times New Roman" w:hAnsi="Times New Roman"/>
                <w:noProof/>
                <w:color w:val="000000" w:themeColor="text1"/>
                <w:sz w:val="18"/>
                <w:szCs w:val="18"/>
              </w:rPr>
              <w:t> </w:t>
            </w:r>
            <w:r w:rsidRPr="00B555B3">
              <w:rPr>
                <w:rFonts w:ascii="Times New Roman" w:eastAsia="Times New Roman" w:hAnsi="Times New Roman"/>
                <w:noProof/>
                <w:color w:val="000000" w:themeColor="text1"/>
                <w:sz w:val="18"/>
                <w:szCs w:val="18"/>
              </w:rPr>
              <w:t>978</w:t>
            </w:r>
            <w:r>
              <w:rPr>
                <w:rFonts w:ascii="Times New Roman" w:eastAsia="Times New Roman" w:hAnsi="Times New Roman"/>
                <w:noProof/>
                <w:color w:val="000000" w:themeColor="text1"/>
                <w:sz w:val="18"/>
                <w:szCs w:val="18"/>
              </w:rPr>
              <w:t> </w:t>
            </w:r>
            <w:r w:rsidRPr="00B555B3">
              <w:rPr>
                <w:rFonts w:ascii="Times New Roman" w:eastAsia="Times New Roman" w:hAnsi="Times New Roman"/>
                <w:noProof/>
                <w:color w:val="000000" w:themeColor="text1"/>
                <w:sz w:val="18"/>
                <w:szCs w:val="18"/>
              </w:rPr>
              <w:t>419</w:t>
            </w:r>
          </w:p>
        </w:tc>
      </w:tr>
    </w:tbl>
    <w:p w14:paraId="5BF8A23A" w14:textId="77777777" w:rsidR="008E1AB8" w:rsidRDefault="008E1AB8" w:rsidP="00A7081A">
      <w:pPr>
        <w:spacing w:before="120" w:after="120" w:line="240" w:lineRule="auto"/>
        <w:ind w:left="850"/>
        <w:jc w:val="both"/>
        <w:rPr>
          <w:rFonts w:ascii="Times New Roman" w:eastAsia="Times New Roman" w:hAnsi="Times New Roman"/>
          <w:noProof/>
          <w:sz w:val="24"/>
          <w:szCs w:val="24"/>
        </w:rPr>
      </w:pPr>
    </w:p>
    <w:p w14:paraId="75763FF4" w14:textId="77777777" w:rsidR="00935FC8" w:rsidRPr="00B555B3" w:rsidRDefault="00935FC8" w:rsidP="00A7081A">
      <w:pPr>
        <w:numPr>
          <w:ilvl w:val="1"/>
          <w:numId w:val="32"/>
        </w:numPr>
        <w:spacing w:before="120" w:after="120" w:line="240" w:lineRule="auto"/>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Fourth Instalment (non-repayable support):</w:t>
      </w:r>
    </w:p>
    <w:tbl>
      <w:tblPr>
        <w:tblW w:w="9235" w:type="dxa"/>
        <w:jc w:val="center"/>
        <w:tblLook w:val="04A0" w:firstRow="1" w:lastRow="0" w:firstColumn="1" w:lastColumn="0" w:noHBand="0" w:noVBand="1"/>
      </w:tblPr>
      <w:tblGrid>
        <w:gridCol w:w="1227"/>
        <w:gridCol w:w="3402"/>
        <w:gridCol w:w="1406"/>
        <w:gridCol w:w="3200"/>
      </w:tblGrid>
      <w:tr w:rsidR="00A7081A" w:rsidRPr="00374BE0" w14:paraId="03CD9464" w14:textId="77777777" w:rsidTr="00A7081A">
        <w:trPr>
          <w:trHeight w:val="1021"/>
          <w:tblHeader/>
          <w:jc w:val="center"/>
        </w:trPr>
        <w:tc>
          <w:tcPr>
            <w:tcW w:w="122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4807856"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Number</w:t>
            </w:r>
          </w:p>
        </w:tc>
        <w:tc>
          <w:tcPr>
            <w:tcW w:w="3402"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5F956F74"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Related Measure (Reform or Investment)</w:t>
            </w:r>
          </w:p>
        </w:tc>
        <w:tc>
          <w:tcPr>
            <w:tcW w:w="1406"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02E1AAC8"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Milestone / Target</w:t>
            </w:r>
          </w:p>
        </w:tc>
        <w:tc>
          <w:tcPr>
            <w:tcW w:w="3200" w:type="dxa"/>
            <w:tcBorders>
              <w:top w:val="single" w:sz="4" w:space="0" w:color="auto"/>
              <w:left w:val="nil"/>
              <w:bottom w:val="single" w:sz="4" w:space="0" w:color="000000" w:themeColor="text1"/>
              <w:right w:val="single" w:sz="4" w:space="0" w:color="auto"/>
            </w:tcBorders>
            <w:shd w:val="clear" w:color="auto" w:fill="BDD7EE"/>
            <w:vAlign w:val="center"/>
            <w:hideMark/>
          </w:tcPr>
          <w:p w14:paraId="266174E1"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Name</w:t>
            </w:r>
          </w:p>
        </w:tc>
      </w:tr>
      <w:tr w:rsidR="00A7081A" w:rsidRPr="00374BE0" w14:paraId="1E6209F7"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C270BC" w14:textId="77777777" w:rsidR="00935FC8" w:rsidRPr="00B555B3" w:rsidRDefault="00935FC8" w:rsidP="00A7081A">
            <w:pPr>
              <w:spacing w:after="0"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6B9CD0" w14:textId="77777777" w:rsidR="00935FC8" w:rsidRPr="00374BE0"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 xml:space="preserve">P1C1R1 - Transformation of the energy system – </w:t>
            </w:r>
            <w:r w:rsidRPr="061C9D33">
              <w:rPr>
                <w:rFonts w:ascii="Times New Roman" w:eastAsia="Times New Roman" w:hAnsi="Times New Roman"/>
                <w:noProof/>
                <w:sz w:val="18"/>
                <w:szCs w:val="18"/>
              </w:rPr>
              <w:t>R</w:t>
            </w:r>
            <w:r w:rsidRPr="00B555B3">
              <w:rPr>
                <w:rFonts w:ascii="Times New Roman" w:eastAsia="Times New Roman" w:hAnsi="Times New Roman"/>
                <w:noProof/>
                <w:sz w:val="18"/>
                <w:szCs w:val="18"/>
              </w:rPr>
              <w:t>eduction in the use of coal for energy by 2026</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6B9A1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803A1C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Reduction of coal for energy by 2026 compared to 2019</w:t>
            </w:r>
          </w:p>
        </w:tc>
      </w:tr>
      <w:tr w:rsidR="00A7081A" w:rsidRPr="00374BE0" w14:paraId="05604868"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2504D3" w14:textId="77777777" w:rsidR="00935FC8" w:rsidRPr="00B555B3" w:rsidRDefault="00935FC8" w:rsidP="00A7081A">
            <w:pPr>
              <w:spacing w:after="0"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4</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36E00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P1C1I1 - Transformation of the energy system – Energy infrastructure investments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3E44E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E697F5" w14:textId="77777777" w:rsidR="00935FC8" w:rsidRPr="00D0136A" w:rsidRDefault="00935FC8" w:rsidP="00A7081A">
            <w:pPr>
              <w:rPr>
                <w:rFonts w:ascii="Times New Roman" w:hAnsi="Times New Roman"/>
                <w:noProof/>
                <w:sz w:val="18"/>
                <w:szCs w:val="18"/>
                <w:lang w:eastAsia="en-GB"/>
              </w:rPr>
            </w:pPr>
            <w:r w:rsidRPr="305F8156">
              <w:rPr>
                <w:rFonts w:ascii="Times New Roman" w:hAnsi="Times New Roman"/>
                <w:noProof/>
                <w:sz w:val="18"/>
                <w:szCs w:val="18"/>
              </w:rPr>
              <w:t xml:space="preserve">Publication of </w:t>
            </w:r>
            <w:r>
              <w:rPr>
                <w:rFonts w:ascii="Times New Roman" w:hAnsi="Times New Roman"/>
                <w:noProof/>
                <w:sz w:val="18"/>
                <w:szCs w:val="18"/>
              </w:rPr>
              <w:t xml:space="preserve">additional </w:t>
            </w:r>
            <w:r w:rsidRPr="305F8156">
              <w:rPr>
                <w:rFonts w:ascii="Times New Roman" w:hAnsi="Times New Roman"/>
                <w:noProof/>
                <w:sz w:val="18"/>
                <w:szCs w:val="18"/>
              </w:rPr>
              <w:t>calls for applications for energy infrastructure projects</w:t>
            </w:r>
          </w:p>
        </w:tc>
      </w:tr>
      <w:tr w:rsidR="00A7081A" w:rsidRPr="00374BE0" w14:paraId="06B0CD3B"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C66C4F" w14:textId="77777777" w:rsidR="00935FC8" w:rsidRPr="00B555B3" w:rsidRDefault="00935FC8" w:rsidP="00A7081A">
            <w:pPr>
              <w:spacing w:after="0"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13</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360B2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P1C2R2 - Industrial reforms and investments supporting the green and digital transition – Strategic promotion of the circular economy and reform of the Waste Act</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57E6E9"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425482" w14:textId="77777777" w:rsidR="00935FC8" w:rsidRPr="00374BE0" w:rsidRDefault="00935FC8" w:rsidP="00A7081A">
            <w:pPr>
              <w:rPr>
                <w:rFonts w:ascii="Times New Roman" w:eastAsia="Times New Roman" w:hAnsi="Times New Roman"/>
                <w:noProof/>
                <w:sz w:val="18"/>
                <w:szCs w:val="18"/>
              </w:rPr>
            </w:pPr>
            <w:r w:rsidRPr="00613D9A">
              <w:rPr>
                <w:rFonts w:ascii="Times New Roman" w:hAnsi="Times New Roman"/>
                <w:noProof/>
                <w:sz w:val="18"/>
                <w:szCs w:val="18"/>
              </w:rPr>
              <w:t xml:space="preserve">Entry into force of </w:t>
            </w:r>
            <w:r w:rsidRPr="436AA2F4">
              <w:rPr>
                <w:rFonts w:ascii="Times New Roman" w:eastAsia="Times New Roman" w:hAnsi="Times New Roman"/>
                <w:noProof/>
                <w:sz w:val="18"/>
                <w:szCs w:val="18"/>
              </w:rPr>
              <w:t>legal act(s)</w:t>
            </w:r>
          </w:p>
        </w:tc>
      </w:tr>
      <w:tr w:rsidR="00A7081A" w:rsidRPr="00374BE0" w14:paraId="19EE1A87"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BE0748" w14:textId="77777777" w:rsidR="00935FC8" w:rsidRPr="00B555B3" w:rsidRDefault="00935FC8" w:rsidP="00A7081A">
            <w:pPr>
              <w:spacing w:after="0"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2A2D7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P1C2R2 - Industrial reforms and investments supporting the green and digital transition – Strategic promotion of the circular economy and reform of the Waste Act</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2040E5"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667046" w14:textId="77777777" w:rsidR="00935FC8" w:rsidRPr="00374BE0" w:rsidRDefault="00935FC8" w:rsidP="00A7081A">
            <w:pPr>
              <w:rPr>
                <w:rFonts w:ascii="Times New Roman" w:eastAsia="Times New Roman" w:hAnsi="Times New Roman"/>
                <w:noProof/>
                <w:sz w:val="18"/>
                <w:szCs w:val="18"/>
              </w:rPr>
            </w:pPr>
            <w:r w:rsidRPr="436AA2F4">
              <w:rPr>
                <w:rFonts w:ascii="Times New Roman" w:eastAsia="Times New Roman" w:hAnsi="Times New Roman"/>
                <w:noProof/>
                <w:sz w:val="18"/>
                <w:szCs w:val="18"/>
              </w:rPr>
              <w:t>Stakeholders accepted</w:t>
            </w:r>
            <w:r w:rsidRPr="43C5DA07">
              <w:rPr>
                <w:rFonts w:ascii="Times New Roman" w:eastAsia="Times New Roman" w:hAnsi="Times New Roman"/>
                <w:noProof/>
                <w:sz w:val="18"/>
                <w:szCs w:val="18"/>
              </w:rPr>
              <w:t xml:space="preserve"> to the Circular Economy Green Deal</w:t>
            </w:r>
          </w:p>
        </w:tc>
      </w:tr>
      <w:tr w:rsidR="00A7081A" w:rsidRPr="00374BE0" w14:paraId="509E86D7"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7C7280" w14:textId="77777777" w:rsidR="00935FC8" w:rsidRPr="00A36875" w:rsidRDefault="00935FC8" w:rsidP="00A7081A">
            <w:pPr>
              <w:spacing w:after="0" w:line="240" w:lineRule="auto"/>
              <w:rPr>
                <w:rFonts w:ascii="Times New Roman" w:eastAsia="Times New Roman" w:hAnsi="Times New Roman"/>
                <w:noProof/>
                <w:sz w:val="18"/>
                <w:szCs w:val="18"/>
              </w:rPr>
            </w:pPr>
            <w:r w:rsidRPr="006873FB">
              <w:rPr>
                <w:rFonts w:ascii="Times New Roman" w:eastAsia="Times New Roman" w:hAnsi="Times New Roman"/>
                <w:noProof/>
                <w:sz w:val="18"/>
                <w:szCs w:val="18"/>
              </w:rPr>
              <w:t>17</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4180F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P1C2I1 - Industrial reforms and investments in support of the green and digital transition – Low-carbon hydrogen and carbon capture and utilisation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FCCC0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2D36D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Implementing Agreement</w:t>
            </w:r>
          </w:p>
        </w:tc>
      </w:tr>
      <w:tr w:rsidR="00A7081A" w:rsidRPr="00374BE0" w14:paraId="5CF8697A"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CA7B5AD" w14:textId="77777777" w:rsidR="00935FC8" w:rsidRPr="00B555B3" w:rsidRDefault="00935FC8" w:rsidP="00A7081A">
            <w:pPr>
              <w:spacing w:after="0"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24</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8F1AA4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P1C2I3 - Industrial reforms and investments supporting the green and digital transition – Re-use and recycling of key materials and industrial side streams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1F40E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AFF7E" w14:textId="77777777" w:rsidR="00935FC8" w:rsidRPr="00374BE0" w:rsidRDefault="00935FC8" w:rsidP="00A7081A">
            <w:pPr>
              <w:rPr>
                <w:rFonts w:ascii="Times New Roman" w:eastAsia="Times New Roman" w:hAnsi="Times New Roman"/>
                <w:noProof/>
                <w:sz w:val="18"/>
                <w:szCs w:val="18"/>
              </w:rPr>
            </w:pPr>
            <w:r w:rsidRPr="078AE519">
              <w:rPr>
                <w:rFonts w:ascii="Times New Roman" w:eastAsia="Times New Roman" w:hAnsi="Times New Roman"/>
                <w:noProof/>
                <w:sz w:val="18"/>
                <w:szCs w:val="18"/>
              </w:rPr>
              <w:t>Project reports submitted</w:t>
            </w:r>
          </w:p>
        </w:tc>
      </w:tr>
      <w:tr w:rsidR="00A7081A" w:rsidRPr="00374BE0" w14:paraId="0268BDCA"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F34BF4" w14:textId="77777777" w:rsidR="00935FC8" w:rsidRPr="00B555B3" w:rsidRDefault="00935FC8" w:rsidP="00A7081A">
            <w:pPr>
              <w:spacing w:after="0"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32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B5B94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P1C3I2 - Reducing the climate and environmental impacts of the building stock – Low-carbon built environment programme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922A11"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64B462" w14:textId="77777777" w:rsidR="00935FC8" w:rsidRPr="00B555B3" w:rsidRDefault="00935FC8" w:rsidP="00A7081A">
            <w:pPr>
              <w:rPr>
                <w:rFonts w:ascii="Times New Roman" w:eastAsia="Times New Roman" w:hAnsi="Times New Roman"/>
                <w:noProof/>
                <w:sz w:val="18"/>
                <w:szCs w:val="18"/>
              </w:rPr>
            </w:pPr>
            <w:r>
              <w:rPr>
                <w:rFonts w:ascii="Times New Roman" w:eastAsia="Times New Roman" w:hAnsi="Times New Roman"/>
                <w:noProof/>
                <w:sz w:val="18"/>
                <w:szCs w:val="18"/>
              </w:rPr>
              <w:t>Publication of</w:t>
            </w:r>
            <w:r w:rsidRPr="00AE0981">
              <w:rPr>
                <w:rFonts w:ascii="Times New Roman" w:eastAsia="Times New Roman" w:hAnsi="Times New Roman"/>
                <w:noProof/>
                <w:sz w:val="18"/>
                <w:szCs w:val="18"/>
              </w:rPr>
              <w:t xml:space="preserve"> </w:t>
            </w:r>
            <w:r>
              <w:rPr>
                <w:rFonts w:ascii="Times New Roman" w:eastAsia="Times New Roman" w:hAnsi="Times New Roman"/>
                <w:noProof/>
                <w:sz w:val="18"/>
                <w:szCs w:val="18"/>
              </w:rPr>
              <w:t>additional calls for applications</w:t>
            </w:r>
            <w:r w:rsidRPr="00AE0981">
              <w:rPr>
                <w:rFonts w:ascii="Times New Roman" w:eastAsia="Times New Roman" w:hAnsi="Times New Roman"/>
                <w:noProof/>
                <w:sz w:val="18"/>
                <w:szCs w:val="18"/>
              </w:rPr>
              <w:t xml:space="preserve"> regarding support of a low-carbon built environment</w:t>
            </w:r>
          </w:p>
        </w:tc>
      </w:tr>
      <w:tr w:rsidR="00A7081A" w:rsidRPr="00374BE0" w14:paraId="0D47154E"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45ABFA" w14:textId="77777777" w:rsidR="00935FC8" w:rsidRPr="00B555B3" w:rsidRDefault="00935FC8" w:rsidP="00A7081A">
            <w:pPr>
              <w:spacing w:after="0"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59</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E35524"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P2C1I2 – Transport and land use - Digirail project</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45FCD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01AC9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Test track equipped with radio-based ERTMS</w:t>
            </w:r>
          </w:p>
        </w:tc>
      </w:tr>
      <w:tr w:rsidR="00A7081A" w:rsidRPr="00374BE0" w14:paraId="1658D149"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091777"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62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D63109"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P2C2I1 - Digital economy – Real-time economy (RTE) programme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23E30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C9B606" w14:textId="77777777" w:rsidR="00935FC8" w:rsidRPr="00B555B3" w:rsidRDefault="00935FC8" w:rsidP="00A7081A">
            <w:pPr>
              <w:rPr>
                <w:rFonts w:ascii="Times New Roman" w:eastAsia="Times New Roman" w:hAnsi="Times New Roman"/>
                <w:noProof/>
                <w:sz w:val="18"/>
                <w:szCs w:val="18"/>
              </w:rPr>
            </w:pPr>
            <w:r w:rsidRPr="00A67A58">
              <w:rPr>
                <w:rFonts w:ascii="Times New Roman" w:eastAsia="Times New Roman" w:hAnsi="Times New Roman"/>
                <w:noProof/>
                <w:sz w:val="18"/>
                <w:szCs w:val="18"/>
              </w:rPr>
              <w:t>Report on the exchange of digital business information</w:t>
            </w:r>
          </w:p>
        </w:tc>
      </w:tr>
      <w:tr w:rsidR="00A7081A" w:rsidRPr="00374BE0" w14:paraId="5C0D03D2"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61A479"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75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EFB6B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P2C3I1 – Civilian cybersecurity skills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4033A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0ABD4C" w14:textId="77777777" w:rsidR="00935FC8" w:rsidRPr="00B555B3" w:rsidRDefault="00935FC8" w:rsidP="00A7081A">
            <w:pPr>
              <w:rPr>
                <w:rFonts w:ascii="Times New Roman" w:eastAsia="Times New Roman" w:hAnsi="Times New Roman"/>
                <w:noProof/>
                <w:sz w:val="18"/>
                <w:szCs w:val="18"/>
              </w:rPr>
            </w:pPr>
            <w:r w:rsidRPr="00B63638">
              <w:rPr>
                <w:rFonts w:ascii="Times New Roman" w:eastAsia="Times New Roman" w:hAnsi="Times New Roman"/>
                <w:noProof/>
                <w:sz w:val="18"/>
                <w:szCs w:val="18"/>
                <w:lang w:eastAsia="en-GB"/>
              </w:rPr>
              <w:t>A digital platform for cybersecurity training</w:t>
            </w:r>
          </w:p>
        </w:tc>
      </w:tr>
      <w:tr w:rsidR="00A7081A" w:rsidRPr="00374BE0" w14:paraId="2E909EB0"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868C0" w14:textId="77777777" w:rsidR="00935FC8" w:rsidRPr="00B555B3" w:rsidRDefault="00935FC8" w:rsidP="00A7081A">
            <w:pPr>
              <w:spacing w:after="0"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78</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B7894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P3C1R1 - Employment and labour market – Nordic model of employment services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1B6369"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C16019" w14:textId="77777777" w:rsidR="00935FC8" w:rsidRPr="00B555B3" w:rsidRDefault="00935FC8" w:rsidP="00A7081A">
            <w:pPr>
              <w:rPr>
                <w:noProof/>
              </w:rPr>
            </w:pPr>
            <w:r w:rsidRPr="4A2EFB0B">
              <w:rPr>
                <w:rFonts w:ascii="Times New Roman" w:eastAsia="Times New Roman" w:hAnsi="Times New Roman"/>
                <w:noProof/>
                <w:sz w:val="18"/>
                <w:szCs w:val="18"/>
              </w:rPr>
              <w:t xml:space="preserve">Number of job search interviews </w:t>
            </w:r>
            <w:r w:rsidRPr="00D0136A">
              <w:rPr>
                <w:rFonts w:ascii="Times New Roman" w:eastAsia="Times New Roman" w:hAnsi="Times New Roman"/>
                <w:noProof/>
                <w:sz w:val="18"/>
                <w:szCs w:val="18"/>
              </w:rPr>
              <w:t>conducted by public employment services</w:t>
            </w:r>
          </w:p>
        </w:tc>
      </w:tr>
      <w:tr w:rsidR="00A7081A" w:rsidRPr="00374BE0" w14:paraId="1AD57B5C"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24864C" w14:textId="77777777" w:rsidR="00935FC8" w:rsidRPr="00B555B3" w:rsidRDefault="00935FC8" w:rsidP="00A7081A">
            <w:pPr>
              <w:spacing w:after="0"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84</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4112E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P3C1R3 - Employment and labour market –Streamlining the work and education-based immigration process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4804872"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680D5E" w14:textId="77777777" w:rsidR="00935FC8" w:rsidRPr="00374BE0" w:rsidRDefault="00935FC8" w:rsidP="00A7081A">
            <w:pPr>
              <w:rPr>
                <w:noProof/>
              </w:rPr>
            </w:pPr>
            <w:r w:rsidRPr="00B555B3">
              <w:rPr>
                <w:rFonts w:ascii="Times New Roman" w:eastAsia="Times New Roman" w:hAnsi="Times New Roman"/>
                <w:noProof/>
                <w:sz w:val="18"/>
                <w:szCs w:val="18"/>
              </w:rPr>
              <w:t>Decrease in the average number of days for processing residence permit applications based on work and education</w:t>
            </w:r>
          </w:p>
        </w:tc>
      </w:tr>
      <w:tr w:rsidR="00A7081A" w:rsidRPr="00374BE0" w14:paraId="7AF40934" w14:textId="77777777" w:rsidTr="00A7081A">
        <w:trPr>
          <w:trHeight w:val="2010"/>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EA3258" w14:textId="77777777" w:rsidR="00935FC8" w:rsidRPr="00B555B3" w:rsidRDefault="00935FC8" w:rsidP="00A7081A">
            <w:pPr>
              <w:spacing w:after="0"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89</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9A1D1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P3C1I1 - Employment and labour market –</w:t>
            </w:r>
            <w:r w:rsidRPr="00D0136A">
              <w:rPr>
                <w:rFonts w:ascii="Times New Roman" w:eastAsia="Times New Roman" w:hAnsi="Times New Roman"/>
                <w:noProof/>
                <w:sz w:val="18"/>
                <w:szCs w:val="18"/>
              </w:rPr>
              <w:t>Work</w:t>
            </w:r>
            <w:r w:rsidRPr="00B555B3">
              <w:rPr>
                <w:rFonts w:ascii="Times New Roman" w:eastAsia="Times New Roman" w:hAnsi="Times New Roman"/>
                <w:noProof/>
                <w:sz w:val="18"/>
                <w:szCs w:val="18"/>
              </w:rPr>
              <w:t xml:space="preserve"> ability, productivity and well-being at work</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45B650F" w14:textId="77777777" w:rsidR="00935FC8" w:rsidRPr="00B555B3" w:rsidRDefault="00935FC8" w:rsidP="00A7081A">
            <w:pPr>
              <w:rPr>
                <w:rFonts w:ascii="Times New Roman" w:eastAsia="Times New Roman" w:hAnsi="Times New Roman"/>
                <w:noProof/>
                <w:sz w:val="18"/>
                <w:szCs w:val="18"/>
              </w:rPr>
            </w:pPr>
            <w:r>
              <w:rPr>
                <w:rFonts w:ascii="Times New Roman" w:eastAsia="Times New Roman" w:hAnsi="Times New Roman"/>
                <w:noProof/>
                <w:sz w:val="18"/>
                <w:szCs w:val="18"/>
              </w:rPr>
              <w:t>Milestone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40B889" w14:textId="77777777" w:rsidR="00935FC8" w:rsidRPr="00B555B3" w:rsidRDefault="00935FC8" w:rsidP="00A7081A">
            <w:pPr>
              <w:rPr>
                <w:rFonts w:ascii="Times New Roman" w:eastAsia="Times New Roman" w:hAnsi="Times New Roman"/>
                <w:noProof/>
                <w:sz w:val="18"/>
                <w:szCs w:val="18"/>
              </w:rPr>
            </w:pPr>
            <w:r w:rsidRPr="00280DA6">
              <w:rPr>
                <w:rFonts w:ascii="Times New Roman" w:eastAsia="Times New Roman" w:hAnsi="Times New Roman"/>
                <w:noProof/>
                <w:sz w:val="18"/>
                <w:szCs w:val="18"/>
                <w:lang w:eastAsia="en-GB"/>
              </w:rPr>
              <w:t>Work ability teams for the provision of Work Ability Programme offered in new municipalities and the Individual Placement and Support model service offered in new welfare areas</w:t>
            </w:r>
          </w:p>
        </w:tc>
      </w:tr>
      <w:tr w:rsidR="00A7081A" w:rsidRPr="00374BE0" w14:paraId="0C084EA2"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F11FAE2" w14:textId="77777777" w:rsidR="00935FC8" w:rsidRPr="006873FB" w:rsidRDefault="00935FC8" w:rsidP="00A7081A">
            <w:pPr>
              <w:spacing w:after="0" w:line="240" w:lineRule="auto"/>
              <w:rPr>
                <w:rFonts w:ascii="Times New Roman" w:eastAsia="Times New Roman" w:hAnsi="Times New Roman"/>
                <w:noProof/>
                <w:sz w:val="18"/>
                <w:szCs w:val="18"/>
              </w:rPr>
            </w:pPr>
            <w:r w:rsidRPr="006873FB">
              <w:rPr>
                <w:rFonts w:ascii="Times New Roman" w:eastAsia="Times New Roman" w:hAnsi="Times New Roman"/>
                <w:noProof/>
                <w:sz w:val="18"/>
                <w:szCs w:val="18"/>
              </w:rPr>
              <w:t>90</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D2BEFD" w14:textId="77777777" w:rsidR="00935FC8" w:rsidRPr="00374BE0"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 xml:space="preserve">P3C1I1 - Employment and labour market – </w:t>
            </w:r>
            <w:r>
              <w:rPr>
                <w:rFonts w:ascii="Times New Roman" w:eastAsia="Times New Roman" w:hAnsi="Times New Roman"/>
                <w:noProof/>
                <w:sz w:val="18"/>
                <w:szCs w:val="18"/>
              </w:rPr>
              <w:t>W</w:t>
            </w:r>
            <w:r w:rsidRPr="00B555B3">
              <w:rPr>
                <w:rFonts w:ascii="Times New Roman" w:eastAsia="Times New Roman" w:hAnsi="Times New Roman"/>
                <w:noProof/>
                <w:sz w:val="18"/>
                <w:szCs w:val="18"/>
              </w:rPr>
              <w:t>ork ability, productivity and well-being at work</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F5D8B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8882A2" w14:textId="4BF1A914" w:rsidR="00935FC8" w:rsidRPr="00374BE0"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 xml:space="preserve">Number of workplaces </w:t>
            </w:r>
            <w:r w:rsidRPr="412F872E">
              <w:rPr>
                <w:rFonts w:ascii="Times New Roman" w:eastAsia="Times New Roman" w:hAnsi="Times New Roman"/>
                <w:noProof/>
                <w:sz w:val="18"/>
                <w:szCs w:val="18"/>
              </w:rPr>
              <w:t>or</w:t>
            </w:r>
            <w:r w:rsidRPr="00B555B3">
              <w:rPr>
                <w:rFonts w:ascii="Times New Roman" w:eastAsia="Times New Roman" w:hAnsi="Times New Roman"/>
                <w:noProof/>
                <w:sz w:val="18"/>
                <w:szCs w:val="18"/>
              </w:rPr>
              <w:t xml:space="preserve"> occupational health care units having participated in </w:t>
            </w:r>
            <w:r w:rsidRPr="00D0136A">
              <w:rPr>
                <w:rFonts w:ascii="Times New Roman" w:eastAsia="Times New Roman" w:hAnsi="Times New Roman"/>
                <w:noProof/>
                <w:sz w:val="18"/>
                <w:szCs w:val="18"/>
              </w:rPr>
              <w:t>work ability promotion</w:t>
            </w:r>
            <w:r>
              <w:rPr>
                <w:rFonts w:ascii="Times New Roman" w:eastAsia="Times New Roman" w:hAnsi="Times New Roman"/>
                <w:noProof/>
                <w:sz w:val="18"/>
                <w:szCs w:val="18"/>
              </w:rPr>
              <w:t xml:space="preserve"> </w:t>
            </w:r>
            <w:r w:rsidRPr="00B555B3">
              <w:rPr>
                <w:rFonts w:ascii="Times New Roman" w:eastAsia="Times New Roman" w:hAnsi="Times New Roman"/>
                <w:noProof/>
                <w:sz w:val="18"/>
                <w:szCs w:val="18"/>
              </w:rPr>
              <w:t>measures</w:t>
            </w:r>
            <w:r w:rsidR="00EE67C5">
              <w:rPr>
                <w:rFonts w:ascii="Times New Roman" w:eastAsia="Times New Roman" w:hAnsi="Times New Roman"/>
                <w:noProof/>
                <w:sz w:val="18"/>
                <w:szCs w:val="18"/>
              </w:rPr>
              <w:t xml:space="preserve">  </w:t>
            </w:r>
            <w:r w:rsidRPr="4E8D77B0">
              <w:rPr>
                <w:rFonts w:ascii="Times New Roman" w:eastAsia="Times New Roman" w:hAnsi="Times New Roman"/>
                <w:noProof/>
                <w:sz w:val="18"/>
                <w:szCs w:val="18"/>
              </w:rPr>
              <w:t xml:space="preserve"> </w:t>
            </w:r>
          </w:p>
        </w:tc>
      </w:tr>
      <w:tr w:rsidR="00A7081A" w:rsidRPr="00374BE0" w14:paraId="23921937"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BD55CC" w14:textId="77777777" w:rsidR="00935FC8" w:rsidRPr="00B555B3" w:rsidRDefault="00935FC8" w:rsidP="00A7081A">
            <w:pPr>
              <w:spacing w:after="0"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95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914EBF"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P3C2R1- Reform of continuous learning</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86D4D8"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A04C0B" w14:textId="77777777" w:rsidR="00935FC8" w:rsidRPr="00B555B3" w:rsidRDefault="00935FC8" w:rsidP="00A7081A">
            <w:pPr>
              <w:rPr>
                <w:rFonts w:ascii="Times New Roman" w:eastAsia="Times New Roman" w:hAnsi="Times New Roman"/>
                <w:noProof/>
                <w:sz w:val="18"/>
                <w:szCs w:val="18"/>
              </w:rPr>
            </w:pPr>
            <w:r w:rsidRPr="00FE2957">
              <w:rPr>
                <w:rFonts w:ascii="Times New Roman" w:eastAsia="Times New Roman" w:hAnsi="Times New Roman"/>
                <w:noProof/>
                <w:sz w:val="18"/>
                <w:szCs w:val="18"/>
              </w:rPr>
              <w:t>Number of participants in further training in career guidance </w:t>
            </w:r>
          </w:p>
        </w:tc>
      </w:tr>
      <w:tr w:rsidR="00A7081A" w:rsidRPr="00374BE0" w14:paraId="7389C7E5"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DE16F1" w14:textId="77777777" w:rsidR="00935FC8" w:rsidRPr="006873FB" w:rsidRDefault="00935FC8" w:rsidP="00A7081A">
            <w:pPr>
              <w:spacing w:after="0" w:line="240" w:lineRule="auto"/>
              <w:rPr>
                <w:rFonts w:ascii="Times New Roman" w:eastAsia="Times New Roman" w:hAnsi="Times New Roman"/>
                <w:noProof/>
                <w:sz w:val="18"/>
                <w:szCs w:val="18"/>
              </w:rPr>
            </w:pPr>
            <w:r w:rsidRPr="006873FB">
              <w:rPr>
                <w:rFonts w:ascii="Times New Roman" w:eastAsia="Times New Roman" w:hAnsi="Times New Roman"/>
                <w:noProof/>
                <w:sz w:val="18"/>
                <w:szCs w:val="18"/>
              </w:rPr>
              <w:t>128</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22EBBA" w14:textId="77777777" w:rsidR="00935FC8" w:rsidRPr="00264CBA" w:rsidRDefault="00935FC8" w:rsidP="00A7081A">
            <w:pPr>
              <w:rPr>
                <w:rFonts w:ascii="Times New Roman" w:hAnsi="Times New Roman"/>
                <w:noProof/>
                <w:sz w:val="18"/>
                <w:szCs w:val="18"/>
              </w:rPr>
            </w:pPr>
            <w:r w:rsidRPr="00264CBA">
              <w:rPr>
                <w:rFonts w:ascii="Times New Roman" w:hAnsi="Times New Roman"/>
                <w:noProof/>
                <w:sz w:val="18"/>
                <w:szCs w:val="18"/>
              </w:rPr>
              <w:t>P3C4I3 - Strengthening competitiveness and boosting growth in crisis-impacted sectors – Support for the renewal of the cultural and creative sectors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3B9FFAF" w14:textId="77777777" w:rsidR="00935FC8" w:rsidRPr="00264CBA" w:rsidRDefault="00935FC8" w:rsidP="00A7081A">
            <w:pPr>
              <w:rPr>
                <w:rFonts w:ascii="Times New Roman" w:hAnsi="Times New Roman"/>
                <w:noProof/>
                <w:sz w:val="18"/>
                <w:szCs w:val="18"/>
              </w:rPr>
            </w:pPr>
            <w:r w:rsidRPr="00264CBA">
              <w:rPr>
                <w:rFonts w:ascii="Times New Roman" w:hAnsi="Times New Roman"/>
                <w:noProof/>
                <w:sz w:val="18"/>
                <w:szCs w:val="18"/>
              </w:rPr>
              <w:t>Milestone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92B080" w14:textId="77777777" w:rsidR="00935FC8" w:rsidRPr="00264CBA" w:rsidRDefault="00935FC8" w:rsidP="00A7081A">
            <w:pPr>
              <w:rPr>
                <w:rFonts w:ascii="Times New Roman" w:hAnsi="Times New Roman"/>
                <w:noProof/>
                <w:sz w:val="18"/>
                <w:szCs w:val="18"/>
              </w:rPr>
            </w:pPr>
            <w:r w:rsidRPr="00B555B3">
              <w:rPr>
                <w:rFonts w:ascii="Times New Roman" w:hAnsi="Times New Roman"/>
                <w:noProof/>
                <w:sz w:val="18"/>
                <w:szCs w:val="18"/>
              </w:rPr>
              <w:t xml:space="preserve">Publication of </w:t>
            </w:r>
            <w:r>
              <w:rPr>
                <w:rFonts w:ascii="Times New Roman" w:hAnsi="Times New Roman"/>
                <w:noProof/>
                <w:sz w:val="18"/>
                <w:szCs w:val="18"/>
              </w:rPr>
              <w:t xml:space="preserve">additional </w:t>
            </w:r>
            <w:r w:rsidRPr="00B555B3">
              <w:rPr>
                <w:rFonts w:ascii="Times New Roman" w:hAnsi="Times New Roman"/>
                <w:noProof/>
                <w:sz w:val="18"/>
                <w:szCs w:val="18"/>
              </w:rPr>
              <w:t>calls for applications</w:t>
            </w:r>
          </w:p>
        </w:tc>
      </w:tr>
      <w:tr w:rsidR="00A7081A" w:rsidRPr="00374BE0" w14:paraId="6FE731DC"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7C696E4" w14:textId="77777777" w:rsidR="00935FC8" w:rsidRPr="00D0136A" w:rsidRDefault="00935FC8" w:rsidP="00A7081A">
            <w:pPr>
              <w:spacing w:after="0"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129</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8976571" w14:textId="77777777" w:rsidR="00935FC8" w:rsidRPr="00374BE0" w:rsidRDefault="00935FC8" w:rsidP="00A7081A">
            <w:pPr>
              <w:rPr>
                <w:rFonts w:ascii="Times New Roman" w:eastAsia="Times New Roman" w:hAnsi="Times New Roman"/>
                <w:noProof/>
                <w:sz w:val="18"/>
                <w:szCs w:val="18"/>
              </w:rPr>
            </w:pPr>
            <w:r w:rsidRPr="00374BE0">
              <w:rPr>
                <w:rFonts w:ascii="Times New Roman" w:eastAsia="Times New Roman" w:hAnsi="Times New Roman"/>
                <w:noProof/>
                <w:sz w:val="18"/>
                <w:szCs w:val="18"/>
              </w:rPr>
              <w:t>P3C4I3 - Strengthening competitiveness and boosting growth in crisis-impacted sectors – Support for the renewal of the cultural and creative sectors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1B9E3C" w14:textId="77777777" w:rsidR="00935FC8" w:rsidRPr="00374BE0" w:rsidRDefault="00935FC8" w:rsidP="00A7081A">
            <w:pPr>
              <w:rPr>
                <w:rFonts w:ascii="Times New Roman" w:eastAsia="Times New Roman" w:hAnsi="Times New Roman"/>
                <w:noProof/>
                <w:sz w:val="18"/>
                <w:szCs w:val="18"/>
              </w:rPr>
            </w:pPr>
            <w:r w:rsidRPr="00374BE0">
              <w:rPr>
                <w:rFonts w:ascii="Times New Roman" w:eastAsia="Times New Roman" w:hAnsi="Times New Roman"/>
                <w:noProof/>
                <w:sz w:val="18"/>
                <w:szCs w:val="18"/>
              </w:rPr>
              <w:t>Target</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9212C7" w14:textId="77777777" w:rsidR="00935FC8" w:rsidRPr="00374BE0" w:rsidRDefault="00935FC8" w:rsidP="00A7081A">
            <w:pPr>
              <w:rPr>
                <w:rFonts w:ascii="Times New Roman" w:eastAsia="Times New Roman" w:hAnsi="Times New Roman"/>
                <w:noProof/>
                <w:sz w:val="18"/>
                <w:szCs w:val="18"/>
              </w:rPr>
            </w:pPr>
            <w:r w:rsidRPr="00B555B3">
              <w:rPr>
                <w:rFonts w:ascii="Times New Roman" w:hAnsi="Times New Roman"/>
                <w:noProof/>
                <w:sz w:val="18"/>
                <w:szCs w:val="18"/>
              </w:rPr>
              <w:t>Project reports submitted</w:t>
            </w:r>
          </w:p>
        </w:tc>
      </w:tr>
      <w:tr w:rsidR="00A7081A" w:rsidRPr="00374BE0" w14:paraId="13CD7505"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70AF66"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sz w:val="18"/>
                <w:szCs w:val="18"/>
              </w:rPr>
              <w:t>131</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0593E0"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sz w:val="18"/>
                <w:szCs w:val="18"/>
              </w:rPr>
              <w:t>P3C4I4 - Strengthening competitiveness and boosting growth in crisis-impacted sectors – Supporting sustainable and digital growth in the tourism sector</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206DE94"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sz w:val="18"/>
                <w:szCs w:val="18"/>
              </w:rPr>
              <w:t>Target</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C95A44F"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hAnsi="Times New Roman"/>
                <w:noProof/>
                <w:sz w:val="18"/>
                <w:szCs w:val="18"/>
              </w:rPr>
              <w:t>Project reports submitted</w:t>
            </w:r>
          </w:p>
        </w:tc>
      </w:tr>
      <w:tr w:rsidR="00A7081A" w:rsidRPr="00374BE0" w14:paraId="183D67D7"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0F0048"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132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8A9E39"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 xml:space="preserve">P3C4I4 - </w:t>
            </w:r>
            <w:r w:rsidRPr="00D0136A">
              <w:rPr>
                <w:rFonts w:ascii="Times New Roman" w:eastAsia="Times New Roman" w:hAnsi="Times New Roman"/>
                <w:noProof/>
                <w:color w:val="000000"/>
                <w:sz w:val="18"/>
                <w:szCs w:val="18"/>
              </w:rPr>
              <w:t>Strengthening competitiveness</w:t>
            </w:r>
            <w:r w:rsidRPr="00B555B3">
              <w:rPr>
                <w:rFonts w:ascii="Times New Roman" w:eastAsia="Times New Roman" w:hAnsi="Times New Roman"/>
                <w:noProof/>
                <w:color w:val="000000"/>
                <w:sz w:val="18"/>
                <w:szCs w:val="18"/>
              </w:rPr>
              <w:t xml:space="preserve"> and boosting growth in crisis-impacted sectors – Supporting sustainable and digital growth in the tourism sector</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E4E944"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Milestone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D5B994"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hAnsi="Times New Roman"/>
                <w:noProof/>
                <w:sz w:val="18"/>
                <w:szCs w:val="18"/>
              </w:rPr>
              <w:t xml:space="preserve">Measures </w:t>
            </w:r>
            <w:r w:rsidRPr="00D91F95">
              <w:rPr>
                <w:rFonts w:ascii="Times New Roman" w:hAnsi="Times New Roman"/>
                <w:noProof/>
                <w:sz w:val="18"/>
                <w:szCs w:val="18"/>
              </w:rPr>
              <w:t xml:space="preserve">to </w:t>
            </w:r>
            <w:r>
              <w:rPr>
                <w:rFonts w:ascii="Times New Roman" w:hAnsi="Times New Roman"/>
                <w:noProof/>
                <w:sz w:val="18"/>
                <w:szCs w:val="18"/>
              </w:rPr>
              <w:t>advance</w:t>
            </w:r>
            <w:r w:rsidRPr="00D91F95">
              <w:rPr>
                <w:rFonts w:ascii="Times New Roman" w:hAnsi="Times New Roman"/>
                <w:noProof/>
                <w:sz w:val="18"/>
                <w:szCs w:val="18"/>
              </w:rPr>
              <w:t xml:space="preserve"> sustainable growth in the </w:t>
            </w:r>
            <w:r w:rsidRPr="00D91F95" w:rsidDel="002167CF">
              <w:rPr>
                <w:rFonts w:ascii="Times New Roman" w:hAnsi="Times New Roman"/>
                <w:noProof/>
                <w:sz w:val="18"/>
                <w:szCs w:val="18"/>
              </w:rPr>
              <w:t>tourism</w:t>
            </w:r>
            <w:r w:rsidRPr="00B555B3" w:rsidDel="002167CF">
              <w:rPr>
                <w:rFonts w:ascii="Times New Roman" w:hAnsi="Times New Roman"/>
                <w:noProof/>
                <w:sz w:val="18"/>
                <w:szCs w:val="18"/>
              </w:rPr>
              <w:t xml:space="preserve"> </w:t>
            </w:r>
            <w:r w:rsidRPr="00B555B3">
              <w:rPr>
                <w:rFonts w:ascii="Times New Roman" w:hAnsi="Times New Roman"/>
                <w:noProof/>
                <w:sz w:val="18"/>
                <w:szCs w:val="18"/>
              </w:rPr>
              <w:t>sector</w:t>
            </w:r>
          </w:p>
        </w:tc>
      </w:tr>
      <w:tr w:rsidR="00A7081A" w:rsidRPr="00374BE0" w14:paraId="0165B185" w14:textId="77777777" w:rsidTr="00A7081A">
        <w:trPr>
          <w:trHeight w:val="302"/>
          <w:jc w:val="center"/>
        </w:trPr>
        <w:tc>
          <w:tcPr>
            <w:tcW w:w="122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6C56D5D"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sz w:val="18"/>
                <w:szCs w:val="18"/>
              </w:rPr>
              <w:t>137</w:t>
            </w:r>
          </w:p>
        </w:tc>
        <w:tc>
          <w:tcPr>
            <w:tcW w:w="34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013C7C"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sz w:val="18"/>
                <w:szCs w:val="18"/>
              </w:rPr>
              <w:t xml:space="preserve">P4C1I2 - </w:t>
            </w:r>
            <w:r>
              <w:rPr>
                <w:rFonts w:ascii="Times New Roman" w:eastAsia="Times New Roman" w:hAnsi="Times New Roman"/>
                <w:noProof/>
                <w:sz w:val="18"/>
                <w:szCs w:val="18"/>
              </w:rPr>
              <w:t>P</w:t>
            </w:r>
            <w:r w:rsidRPr="00B555B3">
              <w:rPr>
                <w:rFonts w:ascii="Times New Roman" w:eastAsia="Times New Roman" w:hAnsi="Times New Roman"/>
                <w:noProof/>
                <w:sz w:val="18"/>
                <w:szCs w:val="18"/>
              </w:rPr>
              <w:t>revention and early identification of health problems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7A47A0"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sz w:val="18"/>
                <w:szCs w:val="18"/>
              </w:rPr>
              <w:t>Milestone</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1A9226" w14:textId="77777777" w:rsidR="00935FC8" w:rsidRPr="00B555B3" w:rsidRDefault="00935FC8" w:rsidP="00A7081A">
            <w:pPr>
              <w:rPr>
                <w:rFonts w:ascii="Times New Roman" w:eastAsia="Times New Roman" w:hAnsi="Times New Roman"/>
                <w:noProof/>
                <w:color w:val="000000"/>
                <w:sz w:val="18"/>
                <w:szCs w:val="18"/>
              </w:rPr>
            </w:pPr>
            <w:r w:rsidRPr="00D0136A">
              <w:rPr>
                <w:rFonts w:ascii="Times New Roman" w:eastAsia="Times New Roman" w:hAnsi="Times New Roman"/>
                <w:noProof/>
                <w:sz w:val="18"/>
                <w:szCs w:val="18"/>
              </w:rPr>
              <w:t>Regional multi-sector service management models provided in all</w:t>
            </w:r>
            <w:r w:rsidRPr="00A306A5">
              <w:rPr>
                <w:rFonts w:ascii="Times New Roman" w:eastAsia="Times New Roman" w:hAnsi="Times New Roman"/>
                <w:noProof/>
                <w:sz w:val="18"/>
                <w:szCs w:val="18"/>
              </w:rPr>
              <w:t xml:space="preserve"> </w:t>
            </w:r>
            <w:r w:rsidRPr="00D0136A">
              <w:rPr>
                <w:rFonts w:ascii="Times New Roman" w:eastAsia="Times New Roman" w:hAnsi="Times New Roman"/>
                <w:noProof/>
                <w:sz w:val="18"/>
                <w:szCs w:val="18"/>
              </w:rPr>
              <w:t>welfare areas</w:t>
            </w:r>
          </w:p>
        </w:tc>
      </w:tr>
      <w:tr w:rsidR="00A7081A" w:rsidRPr="00374BE0" w14:paraId="17F5A6C2" w14:textId="77777777" w:rsidTr="00A7081A">
        <w:trPr>
          <w:trHeight w:val="302"/>
          <w:jc w:val="center"/>
        </w:trPr>
        <w:tc>
          <w:tcPr>
            <w:tcW w:w="6035"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3557FC81"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Instalment amount</w:t>
            </w:r>
          </w:p>
        </w:tc>
        <w:tc>
          <w:tcPr>
            <w:tcW w:w="320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7EBBC2"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themeColor="text1"/>
                <w:sz w:val="18"/>
                <w:szCs w:val="18"/>
              </w:rPr>
              <w:t>EUR</w:t>
            </w:r>
            <w:r>
              <w:rPr>
                <w:rFonts w:ascii="Times New Roman" w:eastAsia="Times New Roman" w:hAnsi="Times New Roman"/>
                <w:noProof/>
                <w:color w:val="000000" w:themeColor="text1"/>
                <w:sz w:val="18"/>
                <w:szCs w:val="18"/>
              </w:rPr>
              <w:t> </w:t>
            </w:r>
            <w:r w:rsidRPr="00D0136A">
              <w:rPr>
                <w:rFonts w:ascii="Times New Roman" w:eastAsia="Times New Roman" w:hAnsi="Times New Roman"/>
                <w:noProof/>
                <w:sz w:val="18"/>
                <w:szCs w:val="18"/>
              </w:rPr>
              <w:t>308</w:t>
            </w:r>
            <w:r>
              <w:rPr>
                <w:rFonts w:ascii="Times New Roman" w:eastAsia="Times New Roman" w:hAnsi="Times New Roman"/>
                <w:noProof/>
                <w:sz w:val="18"/>
                <w:szCs w:val="18"/>
              </w:rPr>
              <w:t> </w:t>
            </w:r>
            <w:r w:rsidRPr="00D0136A">
              <w:rPr>
                <w:rFonts w:ascii="Times New Roman" w:eastAsia="Times New Roman" w:hAnsi="Times New Roman"/>
                <w:noProof/>
                <w:sz w:val="18"/>
                <w:szCs w:val="18"/>
              </w:rPr>
              <w:t>577</w:t>
            </w:r>
            <w:r>
              <w:rPr>
                <w:rFonts w:ascii="Times New Roman" w:eastAsia="Times New Roman" w:hAnsi="Times New Roman"/>
                <w:noProof/>
                <w:sz w:val="18"/>
                <w:szCs w:val="18"/>
              </w:rPr>
              <w:t> </w:t>
            </w:r>
            <w:r w:rsidRPr="00D0136A">
              <w:rPr>
                <w:rFonts w:ascii="Times New Roman" w:eastAsia="Times New Roman" w:hAnsi="Times New Roman"/>
                <w:noProof/>
                <w:sz w:val="18"/>
                <w:szCs w:val="18"/>
              </w:rPr>
              <w:t>468</w:t>
            </w:r>
          </w:p>
        </w:tc>
      </w:tr>
    </w:tbl>
    <w:p w14:paraId="460B0ED2" w14:textId="77777777" w:rsidR="00935FC8" w:rsidRDefault="00935FC8" w:rsidP="00A7081A">
      <w:pPr>
        <w:spacing w:before="240" w:after="120" w:line="240" w:lineRule="auto"/>
        <w:ind w:left="851"/>
        <w:jc w:val="both"/>
        <w:rPr>
          <w:rFonts w:ascii="Times New Roman" w:eastAsia="Times New Roman" w:hAnsi="Times New Roman"/>
          <w:noProof/>
          <w:sz w:val="24"/>
          <w:szCs w:val="24"/>
        </w:rPr>
      </w:pPr>
    </w:p>
    <w:p w14:paraId="3144622C" w14:textId="77777777" w:rsidR="00935FC8" w:rsidRPr="00B555B3" w:rsidRDefault="00935FC8" w:rsidP="00A7081A">
      <w:pPr>
        <w:numPr>
          <w:ilvl w:val="1"/>
          <w:numId w:val="32"/>
        </w:numPr>
        <w:spacing w:before="240" w:after="120" w:line="240" w:lineRule="auto"/>
        <w:ind w:left="851" w:hanging="851"/>
        <w:jc w:val="both"/>
        <w:rPr>
          <w:rFonts w:ascii="Times New Roman" w:eastAsia="Times New Roman" w:hAnsi="Times New Roman"/>
          <w:noProof/>
          <w:sz w:val="24"/>
          <w:szCs w:val="24"/>
        </w:rPr>
      </w:pPr>
      <w:r w:rsidRPr="00B555B3">
        <w:rPr>
          <w:rFonts w:ascii="Times New Roman" w:eastAsia="Times New Roman" w:hAnsi="Times New Roman"/>
          <w:noProof/>
          <w:sz w:val="24"/>
          <w:szCs w:val="24"/>
        </w:rPr>
        <w:t>Fifth Instalment (non-repayable support):</w:t>
      </w:r>
    </w:p>
    <w:tbl>
      <w:tblPr>
        <w:tblW w:w="9252" w:type="dxa"/>
        <w:jc w:val="center"/>
        <w:tblLook w:val="04A0" w:firstRow="1" w:lastRow="0" w:firstColumn="1" w:lastColumn="0" w:noHBand="0" w:noVBand="1"/>
      </w:tblPr>
      <w:tblGrid>
        <w:gridCol w:w="1217"/>
        <w:gridCol w:w="3280"/>
        <w:gridCol w:w="1406"/>
        <w:gridCol w:w="3349"/>
      </w:tblGrid>
      <w:tr w:rsidR="00A7081A" w:rsidRPr="00374BE0" w14:paraId="5E8464CF" w14:textId="77777777" w:rsidTr="00A7081A">
        <w:trPr>
          <w:trHeight w:val="1247"/>
          <w:tblHeader/>
          <w:jc w:val="center"/>
        </w:trPr>
        <w:tc>
          <w:tcPr>
            <w:tcW w:w="1217"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277705E8"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Number</w:t>
            </w:r>
          </w:p>
        </w:tc>
        <w:tc>
          <w:tcPr>
            <w:tcW w:w="3280"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C2A598B"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Related Measure (Reform or Investment)</w:t>
            </w:r>
          </w:p>
        </w:tc>
        <w:tc>
          <w:tcPr>
            <w:tcW w:w="1406"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1FB9EF2F"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Milestone / Target</w:t>
            </w:r>
          </w:p>
        </w:tc>
        <w:tc>
          <w:tcPr>
            <w:tcW w:w="3349" w:type="dxa"/>
            <w:tcBorders>
              <w:top w:val="single" w:sz="4" w:space="0" w:color="auto"/>
              <w:left w:val="nil"/>
              <w:bottom w:val="single" w:sz="4" w:space="0" w:color="000000" w:themeColor="text1"/>
              <w:right w:val="single" w:sz="4" w:space="0" w:color="auto"/>
            </w:tcBorders>
            <w:shd w:val="clear" w:color="auto" w:fill="BDD7EE"/>
            <w:vAlign w:val="center"/>
            <w:hideMark/>
          </w:tcPr>
          <w:p w14:paraId="3B198EB4"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Name</w:t>
            </w:r>
          </w:p>
        </w:tc>
      </w:tr>
      <w:tr w:rsidR="00A7081A" w:rsidRPr="00374BE0" w14:paraId="6CC14925"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81C35BD" w14:textId="77777777" w:rsidR="00935FC8" w:rsidRPr="00B555B3" w:rsidRDefault="00935FC8" w:rsidP="00A7081A">
            <w:pPr>
              <w:spacing w:after="0"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12</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4653A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P1C2R1 - Industrial reforms and investments supporting the green and digital transition – Reform of the Climate Act and low-carbon industrialisation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03E5C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6935218" w14:textId="77777777" w:rsidR="00935FC8" w:rsidRPr="00374BE0" w:rsidRDefault="00935FC8" w:rsidP="00A7081A">
            <w:pPr>
              <w:rPr>
                <w:rFonts w:ascii="Times New Roman" w:eastAsia="Times New Roman" w:hAnsi="Times New Roman"/>
                <w:noProof/>
                <w:sz w:val="18"/>
                <w:szCs w:val="18"/>
              </w:rPr>
            </w:pPr>
            <w:r w:rsidRPr="345C06F2">
              <w:rPr>
                <w:rFonts w:ascii="Times New Roman" w:eastAsia="Times New Roman" w:hAnsi="Times New Roman"/>
                <w:noProof/>
                <w:sz w:val="18"/>
                <w:szCs w:val="18"/>
              </w:rPr>
              <w:t xml:space="preserve">Publication </w:t>
            </w:r>
            <w:r w:rsidRPr="00B555B3">
              <w:rPr>
                <w:rFonts w:ascii="Times New Roman" w:eastAsia="Times New Roman" w:hAnsi="Times New Roman"/>
                <w:noProof/>
                <w:sz w:val="18"/>
                <w:szCs w:val="18"/>
              </w:rPr>
              <w:t>of the updated climate and energy strategy, medium-term climate change policy plan and sector-specific low-carbon roadmaps</w:t>
            </w:r>
          </w:p>
        </w:tc>
      </w:tr>
      <w:tr w:rsidR="00A7081A" w:rsidRPr="00374BE0" w14:paraId="76A09213"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E1FF5E5"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40</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2929E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P1C4I1 - Low carbon solutions for cities and transport – Public recharging and refuelling infrastructure for transport electricity and hydrogen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3A843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0EE7238" w14:textId="77777777" w:rsidR="00935FC8" w:rsidRPr="00B555B3" w:rsidRDefault="00935FC8" w:rsidP="00A7081A">
            <w:pPr>
              <w:rPr>
                <w:rFonts w:ascii="Times New Roman" w:eastAsia="Times New Roman" w:hAnsi="Times New Roman"/>
                <w:noProof/>
                <w:sz w:val="18"/>
                <w:szCs w:val="18"/>
              </w:rPr>
            </w:pPr>
            <w:r w:rsidRPr="00A67A58">
              <w:rPr>
                <w:rFonts w:ascii="Times New Roman" w:eastAsia="Times New Roman" w:hAnsi="Times New Roman"/>
                <w:noProof/>
                <w:sz w:val="18"/>
                <w:szCs w:val="18"/>
              </w:rPr>
              <w:t>Budget committed for electric vehicles chargers and/or</w:t>
            </w:r>
            <w:r w:rsidRPr="00A67A58" w:rsidDel="00480FB5">
              <w:rPr>
                <w:rFonts w:ascii="Times New Roman" w:eastAsia="Times New Roman" w:hAnsi="Times New Roman"/>
                <w:noProof/>
                <w:sz w:val="18"/>
                <w:szCs w:val="18"/>
              </w:rPr>
              <w:t xml:space="preserve"> </w:t>
            </w:r>
            <w:r w:rsidRPr="00A67A58">
              <w:rPr>
                <w:rFonts w:ascii="Times New Roman" w:eastAsia="Times New Roman" w:hAnsi="Times New Roman"/>
                <w:noProof/>
                <w:sz w:val="18"/>
                <w:szCs w:val="18"/>
              </w:rPr>
              <w:t>hydrogen refuelling points</w:t>
            </w:r>
          </w:p>
        </w:tc>
      </w:tr>
      <w:tr w:rsidR="00A7081A" w:rsidRPr="00374BE0" w14:paraId="00016353"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910EAE7"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49</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10471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P1C5I1 - Environmental sustainability and nature-based solutions – Gypsum treatment and nutrient recycling</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084B09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D76C21A" w14:textId="77777777" w:rsidR="00935FC8" w:rsidRPr="00374BE0"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 xml:space="preserve">Fields treated with gypsum </w:t>
            </w:r>
          </w:p>
        </w:tc>
      </w:tr>
      <w:tr w:rsidR="00A7081A" w:rsidRPr="00374BE0" w14:paraId="3408FC8A"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04C0EA4"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51</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DA78D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P1C5I1 - Environmental sustainability and nature-based solutions – Gypsum treatment and nutrient recycling</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5B31A4"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8C3060" w14:textId="77777777" w:rsidR="00935FC8" w:rsidRPr="00D0136A" w:rsidRDefault="00935FC8" w:rsidP="00A7081A">
            <w:pPr>
              <w:spacing w:after="0" w:line="240" w:lineRule="auto"/>
              <w:rPr>
                <w:rFonts w:ascii="Times New Roman" w:eastAsia="Times New Roman" w:hAnsi="Times New Roman"/>
                <w:noProof/>
                <w:sz w:val="18"/>
                <w:szCs w:val="18"/>
                <w:lang w:eastAsia="en-GB"/>
              </w:rPr>
            </w:pPr>
            <w:r w:rsidRPr="6BBE4E8E">
              <w:rPr>
                <w:rFonts w:ascii="Times New Roman" w:hAnsi="Times New Roman"/>
                <w:noProof/>
                <w:sz w:val="18"/>
                <w:szCs w:val="18"/>
              </w:rPr>
              <w:t>Project reports submitted</w:t>
            </w:r>
          </w:p>
          <w:p w14:paraId="1628BDE0" w14:textId="77777777" w:rsidR="00935FC8" w:rsidRPr="00374BE0" w:rsidRDefault="00935FC8" w:rsidP="00A7081A">
            <w:pPr>
              <w:rPr>
                <w:rFonts w:ascii="Times New Roman" w:eastAsia="Times New Roman" w:hAnsi="Times New Roman"/>
                <w:noProof/>
                <w:sz w:val="18"/>
                <w:szCs w:val="18"/>
              </w:rPr>
            </w:pPr>
          </w:p>
        </w:tc>
      </w:tr>
      <w:tr w:rsidR="00A7081A" w:rsidRPr="00374BE0" w14:paraId="081880D0"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CCFC85"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54</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00519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P1C5I2 - Environmental sustainability and nature-based solutions – climate-resilient measures in the land use sector</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47989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B617FF" w14:textId="77777777" w:rsidR="00935FC8" w:rsidRPr="00D0136A" w:rsidRDefault="00935FC8" w:rsidP="00A7081A">
            <w:pPr>
              <w:spacing w:after="0" w:line="240" w:lineRule="auto"/>
              <w:rPr>
                <w:rFonts w:ascii="Times New Roman" w:eastAsia="Times New Roman" w:hAnsi="Times New Roman"/>
                <w:noProof/>
                <w:sz w:val="18"/>
                <w:szCs w:val="18"/>
                <w:lang w:eastAsia="en-GB"/>
              </w:rPr>
            </w:pPr>
            <w:r w:rsidRPr="6BBE4E8E">
              <w:rPr>
                <w:rFonts w:ascii="Times New Roman" w:hAnsi="Times New Roman"/>
                <w:noProof/>
                <w:sz w:val="18"/>
                <w:szCs w:val="18"/>
              </w:rPr>
              <w:t>Project reports submitted</w:t>
            </w:r>
          </w:p>
          <w:p w14:paraId="0AC3797E" w14:textId="77777777" w:rsidR="00935FC8" w:rsidRPr="00374BE0" w:rsidRDefault="00935FC8" w:rsidP="00A7081A">
            <w:pPr>
              <w:rPr>
                <w:rFonts w:ascii="Times New Roman" w:eastAsia="Times New Roman" w:hAnsi="Times New Roman"/>
                <w:noProof/>
                <w:sz w:val="18"/>
                <w:szCs w:val="18"/>
              </w:rPr>
            </w:pPr>
          </w:p>
        </w:tc>
      </w:tr>
      <w:tr w:rsidR="00A7081A" w:rsidRPr="00374BE0" w14:paraId="76CBC3DB"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F125B38" w14:textId="77777777" w:rsidR="00935FC8" w:rsidRPr="00374BE0"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63</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423AE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P2C2I2 - Acceleration of data economy and digitalisation – Virtual Finland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DDA754C"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D2EC9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Virtual Finland platform</w:t>
            </w:r>
          </w:p>
        </w:tc>
      </w:tr>
      <w:tr w:rsidR="00A7081A" w:rsidRPr="00374BE0" w14:paraId="4D46AC1A"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25A8B1"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67</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C532C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P2C2I3 - Accelerating key technologies (microelectronics, 6G, artificial intelligence and quantum computing)</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D3A5AD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BB7A10" w14:textId="77777777" w:rsidR="00935FC8" w:rsidRPr="00B555B3" w:rsidRDefault="00935FC8" w:rsidP="00A7081A">
            <w:pPr>
              <w:rPr>
                <w:rFonts w:ascii="Times New Roman" w:eastAsia="Times New Roman" w:hAnsi="Times New Roman"/>
                <w:noProof/>
                <w:sz w:val="18"/>
                <w:szCs w:val="18"/>
              </w:rPr>
            </w:pPr>
            <w:r w:rsidRPr="00A67A58">
              <w:rPr>
                <w:rFonts w:ascii="Times New Roman" w:eastAsia="Times New Roman" w:hAnsi="Times New Roman"/>
                <w:noProof/>
                <w:sz w:val="18"/>
                <w:szCs w:val="18"/>
              </w:rPr>
              <w:t>Project reports submitted</w:t>
            </w:r>
          </w:p>
        </w:tc>
      </w:tr>
      <w:tr w:rsidR="00A7081A" w:rsidRPr="00374BE0" w14:paraId="762BB295"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4537B0"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69</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976376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P2C2R1 - Development of the residential and commercial property information system</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38237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4624A" w14:textId="77777777" w:rsidR="00935FC8" w:rsidRPr="00B555B3" w:rsidRDefault="00935FC8" w:rsidP="00A7081A">
            <w:pPr>
              <w:rPr>
                <w:rFonts w:ascii="Times New Roman" w:eastAsia="Times New Roman" w:hAnsi="Times New Roman"/>
                <w:noProof/>
                <w:sz w:val="18"/>
                <w:szCs w:val="18"/>
              </w:rPr>
            </w:pPr>
            <w:r w:rsidRPr="00B63638">
              <w:rPr>
                <w:rFonts w:ascii="Times New Roman" w:eastAsia="Times New Roman" w:hAnsi="Times New Roman"/>
                <w:noProof/>
                <w:sz w:val="18"/>
                <w:szCs w:val="18"/>
                <w:lang w:eastAsia="en-GB"/>
              </w:rPr>
              <w:t>Entry into force of legal acts</w:t>
            </w:r>
          </w:p>
        </w:tc>
      </w:tr>
      <w:tr w:rsidR="00A7081A" w:rsidRPr="00374BE0" w14:paraId="7EB97025"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6EE828"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73</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CCFAE9"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P2C3R1 - Ensuring effective supervision and enforcement of the prevention of money laundering</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4C26ED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234921" w14:textId="77777777" w:rsidR="00935FC8" w:rsidRPr="00B555B3" w:rsidRDefault="00935FC8" w:rsidP="00A7081A">
            <w:pPr>
              <w:rPr>
                <w:rFonts w:ascii="Times New Roman" w:eastAsia="Times New Roman" w:hAnsi="Times New Roman"/>
                <w:noProof/>
                <w:sz w:val="18"/>
                <w:szCs w:val="18"/>
              </w:rPr>
            </w:pPr>
            <w:r w:rsidRPr="00B63638">
              <w:rPr>
                <w:rFonts w:ascii="Times New Roman" w:eastAsia="Times New Roman" w:hAnsi="Times New Roman"/>
                <w:noProof/>
                <w:sz w:val="18"/>
                <w:szCs w:val="18"/>
                <w:lang w:eastAsia="en-GB"/>
              </w:rPr>
              <w:t>Entry into force of legal acts</w:t>
            </w:r>
          </w:p>
        </w:tc>
      </w:tr>
      <w:tr w:rsidR="00A7081A" w:rsidRPr="00374BE0" w14:paraId="4158B82A"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1030A1"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76</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7266DA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P2C3I2 – Cybersecurity exercises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48648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444004" w14:textId="77777777" w:rsidR="00935FC8" w:rsidRPr="00B555B3" w:rsidRDefault="00935FC8" w:rsidP="00A7081A">
            <w:pPr>
              <w:rPr>
                <w:rFonts w:ascii="Times New Roman" w:eastAsia="Times New Roman" w:hAnsi="Times New Roman"/>
                <w:noProof/>
                <w:sz w:val="18"/>
                <w:szCs w:val="18"/>
              </w:rPr>
            </w:pPr>
            <w:r w:rsidRPr="00B63638">
              <w:rPr>
                <w:rFonts w:ascii="Times New Roman" w:eastAsia="Times New Roman" w:hAnsi="Times New Roman"/>
                <w:noProof/>
                <w:sz w:val="18"/>
                <w:szCs w:val="18"/>
                <w:lang w:eastAsia="en-GB"/>
              </w:rPr>
              <w:t xml:space="preserve">Number of cybersecurity </w:t>
            </w:r>
            <w:r w:rsidRPr="00AC3BA4">
              <w:rPr>
                <w:rFonts w:ascii="Times New Roman" w:eastAsia="Times New Roman" w:hAnsi="Times New Roman"/>
                <w:noProof/>
                <w:sz w:val="18"/>
                <w:szCs w:val="18"/>
                <w:lang w:eastAsia="en-GB"/>
              </w:rPr>
              <w:t>exercise</w:t>
            </w:r>
            <w:r w:rsidRPr="00B63638">
              <w:rPr>
                <w:rFonts w:ascii="Times New Roman" w:eastAsia="Times New Roman" w:hAnsi="Times New Roman"/>
                <w:noProof/>
                <w:sz w:val="18"/>
                <w:szCs w:val="18"/>
                <w:lang w:eastAsia="en-GB"/>
              </w:rPr>
              <w:t>s</w:t>
            </w:r>
          </w:p>
        </w:tc>
      </w:tr>
      <w:tr w:rsidR="00A7081A" w:rsidRPr="00374BE0" w14:paraId="4A16025B"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9DED84" w14:textId="77777777" w:rsidR="00935FC8" w:rsidRPr="00B555B3" w:rsidRDefault="00935FC8" w:rsidP="00A7081A">
            <w:pPr>
              <w:spacing w:line="240" w:lineRule="auto"/>
              <w:rPr>
                <w:rFonts w:ascii="Times New Roman" w:eastAsia="Times New Roman" w:hAnsi="Times New Roman"/>
                <w:b/>
                <w:bCs/>
                <w:noProof/>
                <w:sz w:val="18"/>
                <w:szCs w:val="18"/>
              </w:rPr>
            </w:pPr>
            <w:r w:rsidRPr="00B555B3">
              <w:rPr>
                <w:rFonts w:ascii="Times New Roman" w:eastAsia="Times New Roman" w:hAnsi="Times New Roman"/>
                <w:noProof/>
                <w:sz w:val="18"/>
                <w:szCs w:val="18"/>
              </w:rPr>
              <w:t>85</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CAD94A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 xml:space="preserve">P3C1R4 - Employment and labour market </w:t>
            </w:r>
            <w:r w:rsidRPr="00D0136A">
              <w:rPr>
                <w:rFonts w:ascii="Times New Roman" w:eastAsia="Times New Roman" w:hAnsi="Times New Roman"/>
                <w:noProof/>
                <w:sz w:val="18"/>
                <w:szCs w:val="18"/>
              </w:rPr>
              <w:t xml:space="preserve">– </w:t>
            </w:r>
            <w:r>
              <w:rPr>
                <w:rFonts w:ascii="Times New Roman" w:eastAsia="Times New Roman" w:hAnsi="Times New Roman"/>
                <w:noProof/>
                <w:sz w:val="18"/>
                <w:szCs w:val="18"/>
              </w:rPr>
              <w:t>M</w:t>
            </w:r>
            <w:r w:rsidRPr="00B555B3">
              <w:rPr>
                <w:rFonts w:ascii="Times New Roman" w:eastAsia="Times New Roman" w:hAnsi="Times New Roman"/>
                <w:noProof/>
                <w:sz w:val="18"/>
                <w:szCs w:val="18"/>
              </w:rPr>
              <w:t>ulti-disciplinary services for young people (Ohjaamo services)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2CB140" w14:textId="77777777" w:rsidR="00935FC8" w:rsidRPr="00B555B3" w:rsidDel="00ED04D6"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988AE9" w14:textId="6AE4AAFB" w:rsidR="00935FC8" w:rsidRPr="00B555B3" w:rsidRDefault="00935FC8" w:rsidP="00A7081A">
            <w:pPr>
              <w:rPr>
                <w:rFonts w:ascii="Times New Roman" w:eastAsia="Times New Roman" w:hAnsi="Times New Roman"/>
                <w:noProof/>
                <w:sz w:val="18"/>
                <w:szCs w:val="18"/>
              </w:rPr>
            </w:pPr>
            <w:r w:rsidRPr="00A67A58">
              <w:rPr>
                <w:rFonts w:ascii="Times New Roman" w:eastAsia="Times New Roman" w:hAnsi="Times New Roman"/>
                <w:noProof/>
                <w:sz w:val="18"/>
                <w:szCs w:val="18"/>
              </w:rPr>
              <w:t>Number of persons</w:t>
            </w:r>
            <w:r w:rsidR="00EE67C5">
              <w:rPr>
                <w:rFonts w:ascii="Times New Roman" w:eastAsia="Times New Roman" w:hAnsi="Times New Roman"/>
                <w:noProof/>
                <w:sz w:val="18"/>
                <w:szCs w:val="18"/>
              </w:rPr>
              <w:t xml:space="preserve"> </w:t>
            </w:r>
            <w:r w:rsidRPr="00A67A58">
              <w:rPr>
                <w:rFonts w:ascii="Times New Roman" w:eastAsia="Times New Roman" w:hAnsi="Times New Roman"/>
                <w:noProof/>
                <w:sz w:val="18"/>
                <w:szCs w:val="18"/>
              </w:rPr>
              <w:t xml:space="preserve"> assigned for</w:t>
            </w:r>
            <w:r w:rsidRPr="00A67A58" w:rsidDel="00FF2F71">
              <w:rPr>
                <w:rFonts w:ascii="Times New Roman" w:eastAsia="Times New Roman" w:hAnsi="Times New Roman"/>
                <w:noProof/>
                <w:sz w:val="18"/>
                <w:szCs w:val="18"/>
              </w:rPr>
              <w:t xml:space="preserve"> </w:t>
            </w:r>
            <w:r w:rsidRPr="00A67A58">
              <w:rPr>
                <w:rFonts w:ascii="Times New Roman" w:eastAsia="Times New Roman" w:hAnsi="Times New Roman"/>
                <w:noProof/>
                <w:sz w:val="18"/>
                <w:szCs w:val="18"/>
              </w:rPr>
              <w:t>offering health, social and/or education services in the Ohjaamo One-Stop-Guidance centres</w:t>
            </w:r>
          </w:p>
        </w:tc>
      </w:tr>
      <w:tr w:rsidR="00A7081A" w:rsidRPr="00374BE0" w14:paraId="6867765D"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6544AF"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97</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8CF6E"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P3C2I1 - Digitalisation programme for continuous learning</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0A9157"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76A367" w14:textId="77777777" w:rsidR="00935FC8" w:rsidRPr="00B555B3" w:rsidRDefault="00935FC8" w:rsidP="00A7081A">
            <w:pPr>
              <w:spacing w:line="240" w:lineRule="auto"/>
              <w:rPr>
                <w:rFonts w:ascii="Times New Roman" w:eastAsia="Times New Roman" w:hAnsi="Times New Roman"/>
                <w:noProof/>
                <w:sz w:val="18"/>
                <w:szCs w:val="18"/>
              </w:rPr>
            </w:pPr>
            <w:r w:rsidRPr="00A67A58">
              <w:rPr>
                <w:rFonts w:ascii="Times New Roman" w:eastAsia="Times New Roman" w:hAnsi="Times New Roman"/>
                <w:noProof/>
                <w:sz w:val="18"/>
                <w:szCs w:val="18"/>
              </w:rPr>
              <w:t>Digital services for continuous learning</w:t>
            </w:r>
          </w:p>
        </w:tc>
      </w:tr>
      <w:tr w:rsidR="00A7081A" w:rsidRPr="00374BE0" w14:paraId="217FAA75"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34C6B8"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108</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B8612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P3C3I3 - RDI, research infrastructure and piloting –RDI funding package supporting the green transition – accelerating key sectors and strengthening competence (Business Finland)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772F21F" w14:textId="77777777" w:rsidR="00935FC8" w:rsidRPr="00B555B3" w:rsidRDefault="00935FC8" w:rsidP="00A7081A">
            <w:pPr>
              <w:rPr>
                <w:rFonts w:ascii="Times New Roman" w:eastAsia="Times New Roman" w:hAnsi="Times New Roman"/>
                <w:noProof/>
                <w:sz w:val="18"/>
                <w:szCs w:val="18"/>
              </w:rPr>
            </w:pPr>
            <w:r>
              <w:rPr>
                <w:rFonts w:ascii="Times New Roman" w:eastAsia="Times New Roman" w:hAnsi="Times New Roman"/>
                <w:noProof/>
                <w:sz w:val="18"/>
                <w:szCs w:val="18"/>
              </w:rPr>
              <w:t>Milestone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BF85DF" w14:textId="77777777" w:rsidR="00935FC8" w:rsidRPr="00B555B3" w:rsidRDefault="00935FC8" w:rsidP="00A7081A">
            <w:pPr>
              <w:rPr>
                <w:rFonts w:ascii="Times New Roman" w:eastAsia="Times New Roman" w:hAnsi="Times New Roman"/>
                <w:noProof/>
                <w:sz w:val="18"/>
                <w:szCs w:val="18"/>
              </w:rPr>
            </w:pPr>
            <w:r w:rsidRPr="00AD0F9B">
              <w:rPr>
                <w:rFonts w:ascii="Times New Roman" w:hAnsi="Times New Roman"/>
                <w:noProof/>
                <w:sz w:val="18"/>
                <w:szCs w:val="18"/>
              </w:rPr>
              <w:t>Project reports submitted</w:t>
            </w:r>
          </w:p>
        </w:tc>
      </w:tr>
      <w:tr w:rsidR="00A7081A" w:rsidRPr="00374BE0" w14:paraId="19CD55D6"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BB1A74"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111</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F2A6B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color w:val="000000"/>
                <w:sz w:val="18"/>
                <w:szCs w:val="18"/>
              </w:rPr>
              <w:t>P3C3I4</w:t>
            </w:r>
            <w:r w:rsidRPr="00B555B3">
              <w:rPr>
                <w:rFonts w:ascii="Times New Roman" w:eastAsia="Times New Roman" w:hAnsi="Times New Roman"/>
                <w:noProof/>
                <w:sz w:val="18"/>
                <w:szCs w:val="18"/>
              </w:rPr>
              <w:t xml:space="preserve"> -</w:t>
            </w:r>
            <w:r w:rsidRPr="00B555B3">
              <w:rPr>
                <w:rFonts w:ascii="Times New Roman" w:hAnsi="Times New Roman"/>
                <w:noProof/>
                <w:sz w:val="18"/>
                <w:szCs w:val="18"/>
              </w:rPr>
              <w:t xml:space="preserve"> RDI, research infrastructure and piloting – RDI funding package supporting the green transition – Supporting innovative growth companies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CF27466" w14:textId="77777777" w:rsidR="00935FC8" w:rsidRPr="00B555B3" w:rsidRDefault="00935FC8" w:rsidP="00A7081A">
            <w:pPr>
              <w:rPr>
                <w:rFonts w:ascii="Times New Roman" w:eastAsia="Times New Roman" w:hAnsi="Times New Roman"/>
                <w:noProof/>
                <w:sz w:val="18"/>
                <w:szCs w:val="18"/>
              </w:rPr>
            </w:pPr>
            <w:r>
              <w:rPr>
                <w:rFonts w:ascii="Times New Roman" w:eastAsia="Times New Roman" w:hAnsi="Times New Roman"/>
                <w:noProof/>
                <w:sz w:val="18"/>
                <w:szCs w:val="18"/>
              </w:rPr>
              <w:t>Milestone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C68568F" w14:textId="77777777" w:rsidR="00935FC8" w:rsidRPr="00B555B3" w:rsidRDefault="00935FC8" w:rsidP="00A7081A">
            <w:pPr>
              <w:rPr>
                <w:rFonts w:ascii="Times New Roman" w:eastAsia="Times New Roman" w:hAnsi="Times New Roman"/>
                <w:noProof/>
                <w:sz w:val="18"/>
                <w:szCs w:val="18"/>
              </w:rPr>
            </w:pPr>
            <w:r w:rsidRPr="00AD0F9B">
              <w:rPr>
                <w:rFonts w:ascii="Times New Roman" w:hAnsi="Times New Roman"/>
                <w:noProof/>
                <w:sz w:val="18"/>
                <w:szCs w:val="18"/>
              </w:rPr>
              <w:t>Project reports submitted</w:t>
            </w:r>
          </w:p>
        </w:tc>
      </w:tr>
      <w:tr w:rsidR="00A7081A" w:rsidRPr="00374BE0" w14:paraId="56CC4EC8"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62BAD2"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120</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7A6007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P3C3I7 - RDI, research infrastructure and piloting – Promoting innovation and research infrastructure – competitive funding for innovation infrastructures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6C26D9" w14:textId="77777777" w:rsidR="00935FC8" w:rsidRPr="00B555B3" w:rsidRDefault="00935FC8" w:rsidP="00A7081A">
            <w:pPr>
              <w:rPr>
                <w:rFonts w:ascii="Times New Roman" w:eastAsia="Times New Roman" w:hAnsi="Times New Roman"/>
                <w:noProof/>
                <w:sz w:val="18"/>
                <w:szCs w:val="18"/>
              </w:rPr>
            </w:pPr>
            <w:r>
              <w:rPr>
                <w:rFonts w:ascii="Times New Roman" w:eastAsia="Times New Roman" w:hAnsi="Times New Roman"/>
                <w:noProof/>
                <w:sz w:val="18"/>
                <w:szCs w:val="18"/>
              </w:rPr>
              <w:t>Milestone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E1B4253" w14:textId="77777777" w:rsidR="00935FC8" w:rsidRPr="00B555B3" w:rsidRDefault="00935FC8" w:rsidP="00A7081A">
            <w:pPr>
              <w:rPr>
                <w:rFonts w:ascii="Times New Roman" w:eastAsia="Times New Roman" w:hAnsi="Times New Roman"/>
                <w:noProof/>
                <w:sz w:val="18"/>
                <w:szCs w:val="18"/>
              </w:rPr>
            </w:pPr>
            <w:r w:rsidRPr="00AD0F9B">
              <w:rPr>
                <w:rFonts w:ascii="Times New Roman" w:hAnsi="Times New Roman"/>
                <w:noProof/>
                <w:sz w:val="18"/>
                <w:szCs w:val="18"/>
              </w:rPr>
              <w:t>Project reports submitted</w:t>
            </w:r>
          </w:p>
        </w:tc>
      </w:tr>
      <w:tr w:rsidR="00A7081A" w:rsidRPr="00374BE0" w14:paraId="16D59294"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6F72652"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126</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286059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P3C4I2 - Strengthening competitiveness and boosting growth in crisis-impacted sectors – Key programmes for international growth</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901CD5"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5AF0813" w14:textId="77777777" w:rsidR="00935FC8" w:rsidRPr="00B555B3" w:rsidRDefault="00935FC8" w:rsidP="00A7081A">
            <w:pPr>
              <w:rPr>
                <w:rFonts w:ascii="Times New Roman" w:eastAsia="Times New Roman" w:hAnsi="Times New Roman"/>
                <w:noProof/>
                <w:sz w:val="18"/>
                <w:szCs w:val="18"/>
              </w:rPr>
            </w:pPr>
            <w:r w:rsidRPr="00B555B3">
              <w:rPr>
                <w:rFonts w:ascii="Times New Roman" w:hAnsi="Times New Roman"/>
                <w:noProof/>
                <w:sz w:val="18"/>
                <w:szCs w:val="18"/>
              </w:rPr>
              <w:t>Project reports submitted</w:t>
            </w:r>
          </w:p>
        </w:tc>
      </w:tr>
      <w:tr w:rsidR="00A7081A" w:rsidRPr="00374BE0" w14:paraId="76594219"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A64EACB"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136</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C903BF9"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P4C1I1- Promoting the implementation of the care guarantee and reducing the service backlog due to the COVID-19 pandemic</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4598B3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3E629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Share of non-urgent</w:t>
            </w:r>
            <w:r>
              <w:rPr>
                <w:rFonts w:ascii="Times New Roman" w:eastAsia="Times New Roman" w:hAnsi="Times New Roman"/>
                <w:noProof/>
                <w:sz w:val="18"/>
                <w:szCs w:val="18"/>
              </w:rPr>
              <w:t xml:space="preserve"> primary health</w:t>
            </w:r>
            <w:r w:rsidRPr="00B555B3">
              <w:rPr>
                <w:rFonts w:ascii="Times New Roman" w:eastAsia="Times New Roman" w:hAnsi="Times New Roman"/>
                <w:noProof/>
                <w:sz w:val="18"/>
                <w:szCs w:val="18"/>
              </w:rPr>
              <w:t>care visits that reach the 7-day time limit for access to care</w:t>
            </w:r>
          </w:p>
        </w:tc>
      </w:tr>
      <w:tr w:rsidR="00A7081A" w:rsidRPr="00374BE0" w14:paraId="7E1AF6E9"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49B3F7"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138</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B89E05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 xml:space="preserve">P4C1I3 - </w:t>
            </w:r>
            <w:r>
              <w:rPr>
                <w:rFonts w:ascii="Times New Roman" w:eastAsia="Times New Roman" w:hAnsi="Times New Roman"/>
                <w:noProof/>
                <w:sz w:val="18"/>
                <w:szCs w:val="18"/>
              </w:rPr>
              <w:t>K</w:t>
            </w:r>
            <w:r w:rsidRPr="00B555B3">
              <w:rPr>
                <w:rFonts w:ascii="Times New Roman" w:eastAsia="Times New Roman" w:hAnsi="Times New Roman"/>
                <w:noProof/>
                <w:sz w:val="18"/>
                <w:szCs w:val="18"/>
              </w:rPr>
              <w:t>nowledge base to increase cost-effectiveness of social welfare and healthcare services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3718DF3" w14:textId="77777777" w:rsidR="00935FC8" w:rsidRPr="00B555B3" w:rsidRDefault="00935FC8" w:rsidP="00A7081A">
            <w:pPr>
              <w:rPr>
                <w:noProof/>
              </w:rPr>
            </w:pPr>
            <w:r w:rsidRPr="00B555B3">
              <w:rPr>
                <w:rFonts w:ascii="Times New Roman" w:eastAsia="Times New Roman" w:hAnsi="Times New Roman"/>
                <w:noProof/>
                <w:sz w:val="18"/>
                <w:szCs w:val="18"/>
              </w:rPr>
              <w:t>Milestone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65FA3C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 xml:space="preserve">National real-time monitoring system of the care guarantee used in all </w:t>
            </w:r>
            <w:r>
              <w:rPr>
                <w:rFonts w:ascii="Times New Roman" w:eastAsia="Times New Roman" w:hAnsi="Times New Roman"/>
                <w:noProof/>
                <w:sz w:val="18"/>
                <w:szCs w:val="18"/>
              </w:rPr>
              <w:t>welfare areas</w:t>
            </w:r>
          </w:p>
        </w:tc>
      </w:tr>
      <w:tr w:rsidR="00A7081A" w:rsidRPr="00374BE0" w14:paraId="7C7D3D14"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7F3EE1"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139</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B9C2FDC"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P4C1I4 - Introducing digital innovations for social welfare and healthcare services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E4B09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D583886" w14:textId="1B364DCF"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Increase of the share of population using social welfare and healthcare e-services</w:t>
            </w:r>
          </w:p>
        </w:tc>
      </w:tr>
      <w:tr w:rsidR="00A7081A" w:rsidRPr="00374BE0" w14:paraId="12A5FC4D"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9D1549"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141</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467674"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P5C1R1 – REPowerEU – Green transition permitting</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E3AE70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BDDBCC" w14:textId="77777777" w:rsidR="00935FC8" w:rsidRPr="00374BE0" w:rsidRDefault="00935FC8" w:rsidP="00A7081A">
            <w:pPr>
              <w:rPr>
                <w:rFonts w:ascii="Times New Roman" w:eastAsia="Times New Roman" w:hAnsi="Times New Roman"/>
                <w:noProof/>
                <w:sz w:val="18"/>
                <w:szCs w:val="18"/>
              </w:rPr>
            </w:pPr>
            <w:r w:rsidRPr="772FF657">
              <w:rPr>
                <w:rFonts w:ascii="Times New Roman" w:eastAsia="Times New Roman" w:hAnsi="Times New Roman"/>
                <w:noProof/>
                <w:sz w:val="18"/>
                <w:szCs w:val="18"/>
              </w:rPr>
              <w:t>Conclusion</w:t>
            </w:r>
            <w:r w:rsidRPr="00B555B3">
              <w:rPr>
                <w:rFonts w:ascii="Times New Roman" w:eastAsia="Times New Roman" w:hAnsi="Times New Roman"/>
                <w:noProof/>
                <w:sz w:val="18"/>
                <w:szCs w:val="18"/>
              </w:rPr>
              <w:t xml:space="preserve"> of environmental impact assessments</w:t>
            </w:r>
          </w:p>
        </w:tc>
      </w:tr>
      <w:tr w:rsidR="00A7081A" w:rsidRPr="00374BE0" w14:paraId="60AA7049"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4CCCBA0"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143</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FAC6EB3"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P5C1R1 – REPowerEU – Green transition permitting</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1F9DF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D18BA" w14:textId="77777777" w:rsidR="00935FC8" w:rsidRPr="00374BE0"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Entry into force of the legal acts establishing the new environmental permit procedure</w:t>
            </w:r>
          </w:p>
        </w:tc>
      </w:tr>
      <w:tr w:rsidR="00A7081A" w:rsidRPr="00374BE0" w14:paraId="06D0239E" w14:textId="77777777" w:rsidTr="00A7081A">
        <w:trPr>
          <w:trHeight w:val="302"/>
          <w:jc w:val="center"/>
        </w:trPr>
        <w:tc>
          <w:tcPr>
            <w:tcW w:w="121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A27CC3"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149</w:t>
            </w:r>
          </w:p>
        </w:tc>
        <w:tc>
          <w:tcPr>
            <w:tcW w:w="3280"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598E8F5"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P5C1I2 – REPowerEU – R&amp;D for the green transition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2DC79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4F85E2"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Assignment of researchers to REPowerEU-related research and development activities</w:t>
            </w:r>
          </w:p>
        </w:tc>
      </w:tr>
      <w:tr w:rsidR="00A7081A" w:rsidRPr="00374BE0" w14:paraId="2E42A289" w14:textId="77777777" w:rsidTr="00A7081A">
        <w:trPr>
          <w:trHeight w:val="302"/>
          <w:jc w:val="center"/>
        </w:trPr>
        <w:tc>
          <w:tcPr>
            <w:tcW w:w="5903"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79F32941"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Instalment amount</w:t>
            </w:r>
          </w:p>
        </w:tc>
        <w:tc>
          <w:tcPr>
            <w:tcW w:w="334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82A00C" w14:textId="77777777" w:rsidR="00935FC8" w:rsidRPr="00B555B3" w:rsidRDefault="00935FC8" w:rsidP="00A7081A">
            <w:pPr>
              <w:rPr>
                <w:rFonts w:ascii="Times New Roman" w:eastAsia="Times New Roman" w:hAnsi="Times New Roman"/>
                <w:noProof/>
                <w:color w:val="000000" w:themeColor="text1"/>
                <w:sz w:val="18"/>
                <w:szCs w:val="18"/>
              </w:rPr>
            </w:pPr>
            <w:r w:rsidRPr="00D0136A">
              <w:rPr>
                <w:rFonts w:ascii="Times New Roman" w:eastAsia="Times New Roman" w:hAnsi="Times New Roman"/>
                <w:noProof/>
                <w:sz w:val="18"/>
                <w:szCs w:val="18"/>
              </w:rPr>
              <w:t>EUR</w:t>
            </w:r>
            <w:r>
              <w:rPr>
                <w:rFonts w:ascii="Times New Roman" w:eastAsia="Times New Roman" w:hAnsi="Times New Roman"/>
                <w:noProof/>
                <w:sz w:val="18"/>
                <w:szCs w:val="18"/>
              </w:rPr>
              <w:t> </w:t>
            </w:r>
            <w:r w:rsidRPr="00D0136A">
              <w:rPr>
                <w:rFonts w:ascii="Times New Roman" w:eastAsia="Times New Roman" w:hAnsi="Times New Roman"/>
                <w:noProof/>
                <w:sz w:val="18"/>
                <w:szCs w:val="18"/>
              </w:rPr>
              <w:t>316</w:t>
            </w:r>
            <w:r>
              <w:rPr>
                <w:rFonts w:ascii="Times New Roman" w:eastAsia="Times New Roman" w:hAnsi="Times New Roman"/>
                <w:noProof/>
                <w:sz w:val="18"/>
                <w:szCs w:val="18"/>
              </w:rPr>
              <w:t> </w:t>
            </w:r>
            <w:r w:rsidRPr="00D0136A">
              <w:rPr>
                <w:rFonts w:ascii="Times New Roman" w:eastAsia="Times New Roman" w:hAnsi="Times New Roman"/>
                <w:noProof/>
                <w:sz w:val="18"/>
                <w:szCs w:val="18"/>
              </w:rPr>
              <w:t>340</w:t>
            </w:r>
            <w:r>
              <w:rPr>
                <w:rFonts w:ascii="Times New Roman" w:eastAsia="Times New Roman" w:hAnsi="Times New Roman"/>
                <w:noProof/>
                <w:sz w:val="18"/>
                <w:szCs w:val="18"/>
              </w:rPr>
              <w:t> </w:t>
            </w:r>
            <w:r w:rsidRPr="00D0136A">
              <w:rPr>
                <w:rFonts w:ascii="Times New Roman" w:eastAsia="Times New Roman" w:hAnsi="Times New Roman"/>
                <w:noProof/>
                <w:sz w:val="18"/>
                <w:szCs w:val="18"/>
              </w:rPr>
              <w:t>688</w:t>
            </w:r>
          </w:p>
        </w:tc>
      </w:tr>
    </w:tbl>
    <w:p w14:paraId="4D6221C2" w14:textId="77777777" w:rsidR="00935FC8" w:rsidRPr="00B555B3" w:rsidRDefault="00935FC8" w:rsidP="00A7081A">
      <w:pPr>
        <w:spacing w:before="120" w:after="120" w:line="240" w:lineRule="auto"/>
        <w:jc w:val="both"/>
        <w:rPr>
          <w:rFonts w:ascii="Times New Roman" w:eastAsia="Times New Roman" w:hAnsi="Times New Roman"/>
          <w:noProof/>
          <w:sz w:val="24"/>
          <w:szCs w:val="24"/>
        </w:rPr>
      </w:pPr>
    </w:p>
    <w:p w14:paraId="48B5F976" w14:textId="77777777" w:rsidR="00935FC8" w:rsidRPr="008B5D9C" w:rsidRDefault="00935FC8" w:rsidP="00A7081A">
      <w:pPr>
        <w:pStyle w:val="NumPar1"/>
        <w:rPr>
          <w:noProof/>
          <w:lang w:val="fr-FR"/>
        </w:rPr>
      </w:pPr>
      <w:r w:rsidRPr="008B5D9C">
        <w:rPr>
          <w:noProof/>
          <w:lang w:val="fr-FR"/>
        </w:rPr>
        <w:t>Sixth Instalment (non-repayable support):</w:t>
      </w:r>
    </w:p>
    <w:tbl>
      <w:tblPr>
        <w:tblW w:w="9165" w:type="dxa"/>
        <w:jc w:val="center"/>
        <w:tblLook w:val="04A0" w:firstRow="1" w:lastRow="0" w:firstColumn="1" w:lastColumn="0" w:noHBand="0" w:noVBand="1"/>
      </w:tblPr>
      <w:tblGrid>
        <w:gridCol w:w="1202"/>
        <w:gridCol w:w="3169"/>
        <w:gridCol w:w="1406"/>
        <w:gridCol w:w="3388"/>
      </w:tblGrid>
      <w:tr w:rsidR="00A7081A" w:rsidRPr="00374BE0" w14:paraId="60902F04" w14:textId="77777777" w:rsidTr="00A7081A">
        <w:trPr>
          <w:trHeight w:val="1021"/>
          <w:tblHeader/>
          <w:jc w:val="center"/>
        </w:trPr>
        <w:tc>
          <w:tcPr>
            <w:tcW w:w="1202"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08300E45"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Number</w:t>
            </w:r>
          </w:p>
        </w:tc>
        <w:tc>
          <w:tcPr>
            <w:tcW w:w="3169"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6A01DD8"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Related Measure (Reform or Investment)</w:t>
            </w:r>
          </w:p>
        </w:tc>
        <w:tc>
          <w:tcPr>
            <w:tcW w:w="1406" w:type="dxa"/>
            <w:tcBorders>
              <w:top w:val="single" w:sz="4" w:space="0" w:color="auto"/>
              <w:left w:val="single" w:sz="4" w:space="0" w:color="auto"/>
              <w:bottom w:val="single" w:sz="4" w:space="0" w:color="000000" w:themeColor="text1"/>
              <w:right w:val="single" w:sz="4" w:space="0" w:color="auto"/>
            </w:tcBorders>
            <w:shd w:val="clear" w:color="auto" w:fill="BDD7EE"/>
            <w:vAlign w:val="center"/>
            <w:hideMark/>
          </w:tcPr>
          <w:p w14:paraId="37A5CAD3"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Milestone / Target</w:t>
            </w:r>
          </w:p>
        </w:tc>
        <w:tc>
          <w:tcPr>
            <w:tcW w:w="3388" w:type="dxa"/>
            <w:tcBorders>
              <w:top w:val="single" w:sz="4" w:space="0" w:color="auto"/>
              <w:left w:val="nil"/>
              <w:bottom w:val="single" w:sz="4" w:space="0" w:color="000000" w:themeColor="text1"/>
              <w:right w:val="single" w:sz="4" w:space="0" w:color="auto"/>
            </w:tcBorders>
            <w:shd w:val="clear" w:color="auto" w:fill="BDD7EE"/>
            <w:vAlign w:val="center"/>
            <w:hideMark/>
          </w:tcPr>
          <w:p w14:paraId="6E62D4F2" w14:textId="77777777" w:rsidR="00935FC8" w:rsidRPr="00B555B3" w:rsidRDefault="00935FC8" w:rsidP="00A7081A">
            <w:pPr>
              <w:spacing w:after="0" w:line="240" w:lineRule="auto"/>
              <w:jc w:val="center"/>
              <w:rPr>
                <w:rFonts w:ascii="Times New Roman" w:eastAsia="Times New Roman" w:hAnsi="Times New Roman"/>
                <w:b/>
                <w:bCs/>
                <w:noProof/>
                <w:sz w:val="20"/>
                <w:szCs w:val="20"/>
                <w:lang w:eastAsia="en-GB"/>
              </w:rPr>
            </w:pPr>
            <w:r w:rsidRPr="00B555B3">
              <w:rPr>
                <w:rFonts w:ascii="Times New Roman" w:eastAsia="Times New Roman" w:hAnsi="Times New Roman"/>
                <w:b/>
                <w:bCs/>
                <w:noProof/>
                <w:sz w:val="20"/>
                <w:szCs w:val="20"/>
                <w:lang w:eastAsia="en-GB"/>
              </w:rPr>
              <w:t>Name</w:t>
            </w:r>
          </w:p>
        </w:tc>
      </w:tr>
      <w:tr w:rsidR="00A7081A" w:rsidRPr="00374BE0" w14:paraId="1C77331F"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66883E6"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5</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298C10E"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P1C1I1 - Transformation of the energy system – Energy infrastructure investments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9332042"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696C94" w14:textId="77777777" w:rsidR="00935FC8" w:rsidRPr="00374BE0" w:rsidRDefault="00935FC8" w:rsidP="00A7081A">
            <w:pPr>
              <w:rPr>
                <w:rFonts w:ascii="Times New Roman" w:eastAsia="Times New Roman" w:hAnsi="Times New Roman"/>
                <w:noProof/>
                <w:sz w:val="18"/>
                <w:szCs w:val="18"/>
              </w:rPr>
            </w:pPr>
            <w:r w:rsidRPr="0FF4339B">
              <w:rPr>
                <w:rFonts w:ascii="Times New Roman" w:eastAsia="Times New Roman" w:hAnsi="Times New Roman"/>
                <w:noProof/>
                <w:sz w:val="18"/>
                <w:szCs w:val="18"/>
              </w:rPr>
              <w:t>Project completion notices or project reports submitted</w:t>
            </w:r>
          </w:p>
        </w:tc>
      </w:tr>
      <w:tr w:rsidR="00A7081A" w:rsidRPr="00374BE0" w14:paraId="63E3E015"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F0FF6F" w14:textId="77777777" w:rsidR="00935FC8" w:rsidRPr="00B555B3" w:rsidRDefault="00935FC8" w:rsidP="00A7081A">
            <w:pPr>
              <w:spacing w:line="240" w:lineRule="auto"/>
              <w:rPr>
                <w:rFonts w:ascii="Times New Roman" w:eastAsia="Times New Roman" w:hAnsi="Times New Roman"/>
                <w:noProof/>
                <w:sz w:val="18"/>
                <w:szCs w:val="18"/>
              </w:rPr>
            </w:pPr>
            <w:r w:rsidRPr="00C14748">
              <w:rPr>
                <w:rFonts w:ascii="Times New Roman" w:eastAsia="Times New Roman" w:hAnsi="Times New Roman"/>
                <w:noProof/>
                <w:sz w:val="18"/>
                <w:szCs w:val="18"/>
              </w:rPr>
              <w:t>8</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8410A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P1C1I2 - Transformation of the energy system – Investments in new energy technologies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7EB905"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08CC80F" w14:textId="77777777" w:rsidR="00935FC8" w:rsidRPr="00B555B3" w:rsidRDefault="00935FC8" w:rsidP="00A7081A">
            <w:pPr>
              <w:rPr>
                <w:rFonts w:ascii="Times New Roman" w:eastAsia="Times New Roman" w:hAnsi="Times New Roman"/>
                <w:noProof/>
                <w:sz w:val="18"/>
                <w:szCs w:val="18"/>
              </w:rPr>
            </w:pPr>
            <w:r w:rsidRPr="3247A71C">
              <w:rPr>
                <w:rFonts w:ascii="Times New Roman" w:eastAsia="Times New Roman" w:hAnsi="Times New Roman"/>
                <w:noProof/>
                <w:sz w:val="18"/>
                <w:szCs w:val="18"/>
              </w:rPr>
              <w:t>Project completion notices or project reports submitted</w:t>
            </w:r>
          </w:p>
        </w:tc>
      </w:tr>
      <w:tr w:rsidR="00A7081A" w:rsidRPr="00374BE0" w14:paraId="0CE357CD"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18708D"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10</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A2B2C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P1C1I3 - Transformation of the energy system – Investment and reform package in Åland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B1692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1C472D" w14:textId="77777777" w:rsidR="00935FC8" w:rsidRPr="00374BE0" w:rsidRDefault="00935FC8" w:rsidP="00A7081A">
            <w:pPr>
              <w:rPr>
                <w:rFonts w:ascii="Times New Roman" w:eastAsia="Times New Roman" w:hAnsi="Times New Roman"/>
                <w:noProof/>
                <w:sz w:val="18"/>
                <w:szCs w:val="18"/>
              </w:rPr>
            </w:pPr>
            <w:r w:rsidRPr="5A9C6F6D">
              <w:rPr>
                <w:rFonts w:ascii="Times New Roman" w:eastAsia="Times New Roman" w:hAnsi="Times New Roman"/>
                <w:noProof/>
                <w:sz w:val="18"/>
                <w:szCs w:val="18"/>
              </w:rPr>
              <w:t>Project reports submitted</w:t>
            </w:r>
          </w:p>
        </w:tc>
      </w:tr>
      <w:tr w:rsidR="00A7081A" w:rsidRPr="00374BE0" w14:paraId="669E4EA9"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AC0DC5"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18</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B98FE2E"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P1C2I1 - Industrial reforms and investments in support of the green and digital transition – low-carbon hydrogen and carbon capture and utilisation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75C0CB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160B8C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Legal agreements signed with final beneficiaries</w:t>
            </w:r>
          </w:p>
        </w:tc>
      </w:tr>
      <w:tr w:rsidR="00A7081A" w:rsidRPr="00374BE0" w14:paraId="6B10B097"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23CA074"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18bis</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E4740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P1C2I1 - Industrial reforms and investments in support of the green and digital transition – low-carbon hydrogen and carbon capture and utilisation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44345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898DAD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Ministry has completed the investment</w:t>
            </w:r>
          </w:p>
        </w:tc>
      </w:tr>
      <w:tr w:rsidR="00A7081A" w:rsidRPr="00374BE0" w14:paraId="0F4CD426"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53710F"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21</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25555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P1C2I2 - Industrial reforms and investments supporting the green and digital transition – Direct electrification and decarbonisation of industrial processes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947E56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638E242" w14:textId="77777777" w:rsidR="00935FC8" w:rsidRPr="00374BE0" w:rsidRDefault="00935FC8" w:rsidP="00A7081A">
            <w:pPr>
              <w:rPr>
                <w:rFonts w:ascii="Times New Roman" w:eastAsia="Times New Roman" w:hAnsi="Times New Roman"/>
                <w:noProof/>
                <w:sz w:val="18"/>
                <w:szCs w:val="18"/>
              </w:rPr>
            </w:pPr>
            <w:r w:rsidRPr="0DC4BEE4">
              <w:rPr>
                <w:rFonts w:ascii="Times New Roman" w:eastAsia="Times New Roman" w:hAnsi="Times New Roman"/>
                <w:noProof/>
                <w:sz w:val="18"/>
                <w:szCs w:val="18"/>
              </w:rPr>
              <w:t xml:space="preserve">Project completion notices or project </w:t>
            </w:r>
            <w:r w:rsidRPr="6C43A74A">
              <w:rPr>
                <w:rFonts w:ascii="Times New Roman" w:eastAsia="Times New Roman" w:hAnsi="Times New Roman"/>
                <w:noProof/>
                <w:sz w:val="18"/>
                <w:szCs w:val="18"/>
              </w:rPr>
              <w:t>reports submitted</w:t>
            </w:r>
          </w:p>
        </w:tc>
      </w:tr>
      <w:tr w:rsidR="00A7081A" w:rsidRPr="00374BE0" w14:paraId="5B786F13"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17364F0"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25</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2F40855"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P1C3R1 - Reducing the climate and environmental impacts of the building stock – Reform of the Land Use and Building Act</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F060B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BC5E3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 xml:space="preserve">Entry into force of </w:t>
            </w:r>
            <w:r>
              <w:rPr>
                <w:rFonts w:ascii="Times New Roman" w:eastAsia="Times New Roman" w:hAnsi="Times New Roman"/>
                <w:noProof/>
                <w:sz w:val="18"/>
                <w:szCs w:val="18"/>
              </w:rPr>
              <w:t>legal act(s)</w:t>
            </w:r>
          </w:p>
        </w:tc>
      </w:tr>
      <w:tr w:rsidR="00A7081A" w:rsidRPr="00374BE0" w14:paraId="1E472943"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64A2417"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33</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574751"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P1C3I2 - Reducing the climate and environmental impacts of the building stock – Low-carbon built environment programme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57DAC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570AA6F" w14:textId="105A5E72" w:rsidR="00935FC8" w:rsidRPr="00374BE0" w:rsidRDefault="00935FC8" w:rsidP="00A7081A">
            <w:pPr>
              <w:rPr>
                <w:rFonts w:ascii="Times New Roman" w:eastAsia="Times New Roman" w:hAnsi="Times New Roman"/>
                <w:noProof/>
                <w:sz w:val="18"/>
                <w:szCs w:val="18"/>
              </w:rPr>
            </w:pPr>
            <w:r>
              <w:rPr>
                <w:rFonts w:ascii="Times New Roman" w:eastAsia="Times New Roman" w:hAnsi="Times New Roman"/>
                <w:noProof/>
                <w:sz w:val="18"/>
                <w:szCs w:val="18"/>
              </w:rPr>
              <w:t>F</w:t>
            </w:r>
            <w:r w:rsidRPr="00F47C9A">
              <w:rPr>
                <w:rFonts w:ascii="Times New Roman" w:eastAsia="Times New Roman" w:hAnsi="Times New Roman"/>
                <w:noProof/>
                <w:sz w:val="18"/>
                <w:szCs w:val="18"/>
              </w:rPr>
              <w:t xml:space="preserve">unding award </w:t>
            </w:r>
            <w:r w:rsidRPr="6B41712B">
              <w:rPr>
                <w:rFonts w:ascii="Times New Roman" w:eastAsia="Times New Roman" w:hAnsi="Times New Roman"/>
                <w:noProof/>
                <w:sz w:val="18"/>
                <w:szCs w:val="18"/>
              </w:rPr>
              <w:t>decisions</w:t>
            </w:r>
            <w:r w:rsidRPr="00F47C9A">
              <w:rPr>
                <w:rFonts w:ascii="Times New Roman" w:eastAsia="Times New Roman" w:hAnsi="Times New Roman"/>
                <w:noProof/>
                <w:sz w:val="18"/>
                <w:szCs w:val="18"/>
              </w:rPr>
              <w:t xml:space="preserve"> issued, project reports submitted and programme report published</w:t>
            </w:r>
            <w:r w:rsidR="00EE67C5">
              <w:rPr>
                <w:rFonts w:ascii="Times New Roman" w:eastAsia="Times New Roman" w:hAnsi="Times New Roman"/>
                <w:noProof/>
                <w:sz w:val="18"/>
                <w:szCs w:val="18"/>
              </w:rPr>
              <w:t xml:space="preserve"> </w:t>
            </w:r>
          </w:p>
        </w:tc>
      </w:tr>
      <w:tr w:rsidR="00A7081A" w:rsidRPr="00374BE0" w14:paraId="3A106EFE"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B06A703"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36</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41F65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P1C4R1 - Low-carbon solutions for cities and transport – Roadmap for fossil-free transport</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94D9D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3763D0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 xml:space="preserve">Reduction of at least </w:t>
            </w:r>
            <w:r w:rsidRPr="00D0136A">
              <w:rPr>
                <w:rFonts w:ascii="Times New Roman" w:hAnsi="Times New Roman"/>
                <w:noProof/>
                <w:sz w:val="18"/>
                <w:szCs w:val="18"/>
              </w:rPr>
              <w:t>24.5% in emissions from domestic transport by 2025 compared to 2005</w:t>
            </w:r>
          </w:p>
        </w:tc>
      </w:tr>
      <w:tr w:rsidR="00A7081A" w:rsidRPr="00374BE0" w14:paraId="1DD7A75A"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37ECF41"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57</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2E1C74E"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P2C1I1- Digital connectivity – Developing the quality and availability of communication networks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A7DB3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492C68B" w14:textId="77777777" w:rsidR="00935FC8" w:rsidRPr="00B555B3" w:rsidRDefault="00935FC8" w:rsidP="00A7081A">
            <w:pPr>
              <w:rPr>
                <w:rFonts w:ascii="Times New Roman" w:eastAsia="Times New Roman" w:hAnsi="Times New Roman"/>
                <w:noProof/>
                <w:color w:val="FF0000"/>
                <w:sz w:val="18"/>
                <w:szCs w:val="18"/>
              </w:rPr>
            </w:pPr>
            <w:r w:rsidRPr="00D0136A">
              <w:rPr>
                <w:rFonts w:ascii="Times New Roman" w:eastAsia="Times New Roman" w:hAnsi="Times New Roman"/>
                <w:noProof/>
                <w:sz w:val="18"/>
                <w:szCs w:val="18"/>
                <w:lang w:eastAsia="en-GB"/>
              </w:rPr>
              <w:t>High-s</w:t>
            </w:r>
            <w:r w:rsidRPr="00B63638">
              <w:rPr>
                <w:rFonts w:ascii="Times New Roman" w:eastAsia="Times New Roman" w:hAnsi="Times New Roman"/>
                <w:noProof/>
                <w:sz w:val="18"/>
                <w:szCs w:val="18"/>
                <w:lang w:eastAsia="en-GB"/>
              </w:rPr>
              <w:t>peed</w:t>
            </w:r>
            <w:r w:rsidRPr="00C37ED9">
              <w:rPr>
                <w:rFonts w:ascii="Times New Roman" w:eastAsia="Times New Roman" w:hAnsi="Times New Roman"/>
                <w:noProof/>
                <w:sz w:val="18"/>
                <w:szCs w:val="18"/>
                <w:lang w:eastAsia="en-GB"/>
              </w:rPr>
              <w:t xml:space="preserve"> (100/100</w:t>
            </w:r>
            <w:r w:rsidRPr="00374BE0">
              <w:rPr>
                <w:rFonts w:ascii="Times New Roman" w:eastAsia="Times New Roman" w:hAnsi="Times New Roman"/>
                <w:noProof/>
                <w:sz w:val="18"/>
                <w:szCs w:val="18"/>
                <w:lang w:eastAsia="en-GB"/>
              </w:rPr>
              <w:t xml:space="preserve"> Mbit/s) broadband</w:t>
            </w:r>
            <w:r>
              <w:rPr>
                <w:rFonts w:ascii="Times New Roman" w:eastAsia="Times New Roman" w:hAnsi="Times New Roman"/>
                <w:noProof/>
                <w:sz w:val="18"/>
                <w:szCs w:val="18"/>
                <w:lang w:eastAsia="en-GB"/>
              </w:rPr>
              <w:t xml:space="preserve"> </w:t>
            </w:r>
            <w:r w:rsidRPr="00D0136A">
              <w:rPr>
                <w:rFonts w:ascii="Times New Roman" w:eastAsia="Times New Roman" w:hAnsi="Times New Roman"/>
                <w:noProof/>
                <w:sz w:val="18"/>
                <w:szCs w:val="18"/>
                <w:lang w:eastAsia="en-GB"/>
              </w:rPr>
              <w:t>projects</w:t>
            </w:r>
            <w:r w:rsidRPr="00374BE0">
              <w:rPr>
                <w:rFonts w:ascii="Times New Roman" w:eastAsia="Times New Roman" w:hAnsi="Times New Roman"/>
                <w:noProof/>
                <w:sz w:val="18"/>
                <w:szCs w:val="18"/>
                <w:lang w:eastAsia="en-GB"/>
              </w:rPr>
              <w:t xml:space="preserve"> </w:t>
            </w:r>
          </w:p>
        </w:tc>
      </w:tr>
      <w:tr w:rsidR="00A7081A" w:rsidRPr="00374BE0" w14:paraId="7FF343DD"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53BEDE6"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60</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7229854"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P2C1I2 – Transport and land use - Digirail project</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3A8717" w14:textId="77777777" w:rsidR="00935FC8" w:rsidRPr="00B555B3" w:rsidRDefault="00935FC8" w:rsidP="00A7081A">
            <w:pPr>
              <w:rPr>
                <w:rFonts w:ascii="Times New Roman" w:eastAsia="Times New Roman" w:hAnsi="Times New Roman"/>
                <w:noProof/>
                <w:sz w:val="18"/>
                <w:szCs w:val="18"/>
              </w:rPr>
            </w:pPr>
            <w:r>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5D362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Commercial pilot track equipped with ERMTS</w:t>
            </w:r>
          </w:p>
        </w:tc>
      </w:tr>
      <w:tr w:rsidR="00A7081A" w:rsidRPr="00374BE0" w14:paraId="13042804"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7F835A"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70</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0DED62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P2C2R1 - Development of the residential and commercial property information system</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FCA9AC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A1248D" w14:textId="5975E746" w:rsidR="00935FC8" w:rsidRPr="00B555B3" w:rsidRDefault="00935FC8" w:rsidP="00A7081A">
            <w:pPr>
              <w:rPr>
                <w:rFonts w:ascii="Times New Roman" w:eastAsia="Times New Roman" w:hAnsi="Times New Roman"/>
                <w:noProof/>
                <w:sz w:val="18"/>
                <w:szCs w:val="18"/>
              </w:rPr>
            </w:pPr>
            <w:r w:rsidRPr="00B63638">
              <w:rPr>
                <w:rFonts w:ascii="Times New Roman" w:eastAsia="Times New Roman" w:hAnsi="Times New Roman"/>
                <w:noProof/>
                <w:sz w:val="18"/>
                <w:szCs w:val="18"/>
                <w:lang w:eastAsia="en-GB"/>
              </w:rPr>
              <w:t>The extension of the coverage of the residential and commercial property information system for housing company data</w:t>
            </w:r>
          </w:p>
        </w:tc>
      </w:tr>
      <w:tr w:rsidR="00A7081A" w:rsidRPr="00374BE0" w14:paraId="6D12AEA9"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17FDF6C"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74</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1AAEE0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P2C3R1 - Ensuring effective supervision and enforcement of the prevention of money laundering</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7A5A6F" w14:textId="77777777" w:rsidR="00935FC8" w:rsidRPr="00B555B3" w:rsidRDefault="00935FC8" w:rsidP="00A7081A">
            <w:pPr>
              <w:rPr>
                <w:rFonts w:ascii="Times New Roman" w:eastAsia="Times New Roman" w:hAnsi="Times New Roman"/>
                <w:noProof/>
                <w:sz w:val="18"/>
                <w:szCs w:val="18"/>
              </w:rPr>
            </w:pPr>
            <w:r>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EC30A3" w14:textId="77777777" w:rsidR="00935FC8" w:rsidRPr="00B555B3" w:rsidRDefault="00935FC8" w:rsidP="00A7081A">
            <w:pPr>
              <w:rPr>
                <w:rFonts w:ascii="Times New Roman" w:eastAsia="Times New Roman" w:hAnsi="Times New Roman"/>
                <w:noProof/>
                <w:sz w:val="18"/>
                <w:szCs w:val="18"/>
              </w:rPr>
            </w:pPr>
            <w:r w:rsidRPr="00B63638">
              <w:rPr>
                <w:rFonts w:ascii="Times New Roman" w:eastAsia="Times New Roman" w:hAnsi="Times New Roman"/>
                <w:noProof/>
                <w:sz w:val="18"/>
                <w:szCs w:val="18"/>
                <w:lang w:eastAsia="en-GB"/>
              </w:rPr>
              <w:t>Final report by the Steering group</w:t>
            </w:r>
          </w:p>
        </w:tc>
      </w:tr>
      <w:tr w:rsidR="00A7081A" w:rsidRPr="00374BE0" w14:paraId="6B34DC10"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0C3743F"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94</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4F4942" w14:textId="77777777" w:rsidR="00935FC8" w:rsidRPr="00B555B3" w:rsidRDefault="00935FC8" w:rsidP="00A7081A">
            <w:pPr>
              <w:rPr>
                <w:rFonts w:ascii="Times New Roman" w:eastAsia="Times New Roman" w:hAnsi="Times New Roman"/>
                <w:noProof/>
                <w:sz w:val="18"/>
                <w:szCs w:val="18"/>
              </w:rPr>
            </w:pPr>
            <w:r w:rsidRPr="00B555B3">
              <w:rPr>
                <w:rFonts w:ascii="Times New Roman" w:hAnsi="Times New Roman"/>
                <w:noProof/>
                <w:color w:val="000000"/>
                <w:sz w:val="18"/>
                <w:szCs w:val="18"/>
              </w:rPr>
              <w:t>P3C2R1- Reform of continuous learning</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DBA67E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31090B" w14:textId="77777777" w:rsidR="00935FC8" w:rsidRPr="00B555B3" w:rsidRDefault="00935FC8" w:rsidP="00A7081A">
            <w:pPr>
              <w:rPr>
                <w:rFonts w:ascii="Times New Roman" w:eastAsia="Times New Roman" w:hAnsi="Times New Roman"/>
                <w:noProof/>
                <w:sz w:val="18"/>
                <w:szCs w:val="18"/>
              </w:rPr>
            </w:pPr>
            <w:r w:rsidRPr="00B555B3">
              <w:rPr>
                <w:rFonts w:ascii="Times New Roman" w:hAnsi="Times New Roman"/>
                <w:noProof/>
                <w:color w:val="000000" w:themeColor="text1"/>
                <w:sz w:val="18"/>
                <w:szCs w:val="18"/>
              </w:rPr>
              <w:t>Number of persons having participated in training to respond to changes in working life, including digitalisation and the green transition</w:t>
            </w:r>
          </w:p>
        </w:tc>
      </w:tr>
      <w:tr w:rsidR="00A7081A" w:rsidRPr="00374BE0" w14:paraId="290C5C32"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5EB2F52"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color w:val="000000"/>
                <w:sz w:val="18"/>
                <w:szCs w:val="18"/>
              </w:rPr>
              <w:t>99</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835102" w14:textId="77777777" w:rsidR="00935FC8" w:rsidRPr="009C611C"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 xml:space="preserve">P3C2I3 </w:t>
            </w:r>
            <w:r>
              <w:rPr>
                <w:rFonts w:ascii="Times New Roman" w:eastAsia="Times New Roman" w:hAnsi="Times New Roman"/>
                <w:noProof/>
                <w:color w:val="000000"/>
                <w:sz w:val="18"/>
                <w:szCs w:val="18"/>
              </w:rPr>
              <w:t>–</w:t>
            </w:r>
            <w:r w:rsidRPr="00B555B3">
              <w:rPr>
                <w:rFonts w:ascii="Times New Roman" w:eastAsia="Times New Roman" w:hAnsi="Times New Roman"/>
                <w:noProof/>
                <w:color w:val="000000"/>
                <w:sz w:val="18"/>
                <w:szCs w:val="18"/>
              </w:rPr>
              <w:t xml:space="preserve"> </w:t>
            </w:r>
            <w:r>
              <w:rPr>
                <w:rFonts w:ascii="Times New Roman" w:eastAsia="Times New Roman" w:hAnsi="Times New Roman"/>
                <w:noProof/>
                <w:color w:val="000000"/>
                <w:sz w:val="18"/>
                <w:szCs w:val="18"/>
              </w:rPr>
              <w:t>Digitalisation of</w:t>
            </w:r>
            <w:r w:rsidRPr="00B555B3">
              <w:rPr>
                <w:rFonts w:ascii="Times New Roman" w:eastAsia="Times New Roman" w:hAnsi="Times New Roman"/>
                <w:noProof/>
                <w:color w:val="000000"/>
                <w:sz w:val="18"/>
                <w:szCs w:val="18"/>
              </w:rPr>
              <w:t xml:space="preserve"> education in Åland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AC762A3" w14:textId="77777777" w:rsidR="00935FC8" w:rsidRPr="00B555B3" w:rsidRDefault="00935FC8" w:rsidP="00A7081A">
            <w:pPr>
              <w:rPr>
                <w:rFonts w:ascii="Times New Roman" w:eastAsia="Times New Roman" w:hAnsi="Times New Roman"/>
                <w:noProof/>
                <w:sz w:val="18"/>
                <w:szCs w:val="18"/>
              </w:rPr>
            </w:pPr>
            <w:r>
              <w:rPr>
                <w:rFonts w:ascii="Times New Roman" w:eastAsia="Times New Roman" w:hAnsi="Times New Roman"/>
                <w:noProof/>
                <w:color w:val="000000"/>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1FE7CB" w14:textId="77777777" w:rsidR="00935FC8" w:rsidRPr="009C611C" w:rsidRDefault="00935FC8" w:rsidP="00A7081A">
            <w:pPr>
              <w:spacing w:line="240" w:lineRule="auto"/>
              <w:rPr>
                <w:rFonts w:ascii="Times New Roman" w:eastAsia="Times New Roman" w:hAnsi="Times New Roman"/>
                <w:noProof/>
                <w:color w:val="000000"/>
                <w:sz w:val="18"/>
                <w:szCs w:val="18"/>
              </w:rPr>
            </w:pPr>
            <w:r>
              <w:rPr>
                <w:rFonts w:ascii="Times New Roman" w:eastAsia="Times New Roman" w:hAnsi="Times New Roman"/>
                <w:noProof/>
                <w:color w:val="000000"/>
                <w:sz w:val="18"/>
                <w:szCs w:val="18"/>
              </w:rPr>
              <w:t>Digitalisation in</w:t>
            </w:r>
            <w:r w:rsidRPr="00B555B3">
              <w:rPr>
                <w:rFonts w:ascii="Times New Roman" w:eastAsia="Times New Roman" w:hAnsi="Times New Roman"/>
                <w:noProof/>
                <w:color w:val="000000"/>
                <w:sz w:val="18"/>
                <w:szCs w:val="18"/>
              </w:rPr>
              <w:t xml:space="preserve"> tertiary education in Åland</w:t>
            </w:r>
          </w:p>
        </w:tc>
      </w:tr>
      <w:tr w:rsidR="00A7081A" w:rsidRPr="00374BE0" w14:paraId="0C66EAAA"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A39B0F8"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sz w:val="18"/>
                <w:szCs w:val="18"/>
              </w:rPr>
              <w:t>102</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2470CE2"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B555B3">
              <w:rPr>
                <w:rFonts w:ascii="Times New Roman" w:eastAsia="Times New Roman" w:hAnsi="Times New Roman"/>
                <w:noProof/>
                <w:sz w:val="18"/>
                <w:szCs w:val="18"/>
              </w:rPr>
              <w:t>P3C3I1 - RDI, research infrastructure and piloting – RDI funding package promoting the green transition – Leading companies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AC61E6F" w14:textId="77777777" w:rsidR="00935FC8" w:rsidRPr="00B555B3" w:rsidRDefault="00935FC8" w:rsidP="00A7081A">
            <w:pPr>
              <w:rPr>
                <w:rFonts w:ascii="Times New Roman" w:eastAsia="Times New Roman" w:hAnsi="Times New Roman"/>
                <w:noProof/>
                <w:color w:val="000000"/>
                <w:sz w:val="18"/>
                <w:szCs w:val="18"/>
              </w:rPr>
            </w:pPr>
            <w:r>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D8A4432" w14:textId="77777777" w:rsidR="00935FC8" w:rsidRPr="00B555B3" w:rsidRDefault="00935FC8" w:rsidP="00A7081A">
            <w:pPr>
              <w:spacing w:line="240" w:lineRule="auto"/>
              <w:rPr>
                <w:rFonts w:ascii="Times New Roman" w:eastAsia="Times New Roman" w:hAnsi="Times New Roman"/>
                <w:noProof/>
                <w:color w:val="000000"/>
                <w:sz w:val="18"/>
                <w:szCs w:val="18"/>
              </w:rPr>
            </w:pPr>
            <w:r w:rsidRPr="00AD0F9B">
              <w:rPr>
                <w:rFonts w:ascii="Times New Roman" w:hAnsi="Times New Roman"/>
                <w:noProof/>
                <w:sz w:val="18"/>
                <w:szCs w:val="18"/>
              </w:rPr>
              <w:t>Project reports submitted</w:t>
            </w:r>
          </w:p>
        </w:tc>
      </w:tr>
      <w:tr w:rsidR="00A7081A" w:rsidRPr="00374BE0" w14:paraId="15816070"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3452D95"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105</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FF2A55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color w:val="000000"/>
                <w:sz w:val="18"/>
                <w:szCs w:val="18"/>
              </w:rPr>
              <w:t>P3C3I</w:t>
            </w:r>
            <w:r w:rsidRPr="00B555B3">
              <w:rPr>
                <w:rFonts w:ascii="Times New Roman" w:eastAsia="Times New Roman" w:hAnsi="Times New Roman"/>
                <w:noProof/>
                <w:sz w:val="18"/>
                <w:szCs w:val="18"/>
              </w:rPr>
              <w:t>2 -</w:t>
            </w:r>
            <w:r w:rsidRPr="00B555B3">
              <w:rPr>
                <w:rFonts w:ascii="Times New Roman" w:hAnsi="Times New Roman"/>
                <w:noProof/>
                <w:sz w:val="18"/>
                <w:szCs w:val="18"/>
              </w:rPr>
              <w:t xml:space="preserve"> RDI, research infrastructure and piloting – RDI funding package supporting the green transition – accelerating key sectors and strengthening competence (Academy of Finland)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ABCD563" w14:textId="77777777" w:rsidR="00935FC8" w:rsidRPr="00B555B3" w:rsidRDefault="00935FC8" w:rsidP="00A7081A">
            <w:pPr>
              <w:rPr>
                <w:rFonts w:ascii="Times New Roman" w:eastAsia="Times New Roman" w:hAnsi="Times New Roman"/>
                <w:noProof/>
                <w:sz w:val="18"/>
                <w:szCs w:val="18"/>
              </w:rPr>
            </w:pPr>
            <w:r>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532363" w14:textId="77777777" w:rsidR="00935FC8" w:rsidRPr="00B555B3" w:rsidRDefault="00935FC8" w:rsidP="00A7081A">
            <w:pPr>
              <w:rPr>
                <w:rFonts w:ascii="Times New Roman" w:eastAsia="Times New Roman" w:hAnsi="Times New Roman"/>
                <w:noProof/>
                <w:sz w:val="18"/>
                <w:szCs w:val="18"/>
              </w:rPr>
            </w:pPr>
            <w:r w:rsidRPr="00AD0F9B">
              <w:rPr>
                <w:rFonts w:ascii="Times New Roman" w:hAnsi="Times New Roman"/>
                <w:noProof/>
                <w:sz w:val="18"/>
                <w:szCs w:val="18"/>
              </w:rPr>
              <w:t>Project reports submitted</w:t>
            </w:r>
          </w:p>
        </w:tc>
      </w:tr>
      <w:tr w:rsidR="00A7081A" w:rsidRPr="00374BE0" w14:paraId="71B732AA"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F5D6981"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114</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A531E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P3C3I5 - RDI, research infrastructure and piloting – Promoting innovation and research infrastructure – Local research infrastructures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5788C64" w14:textId="77777777" w:rsidR="00935FC8" w:rsidRPr="00B555B3" w:rsidRDefault="00935FC8" w:rsidP="00A7081A">
            <w:pPr>
              <w:rPr>
                <w:rFonts w:ascii="Times New Roman" w:eastAsia="Times New Roman" w:hAnsi="Times New Roman"/>
                <w:noProof/>
                <w:sz w:val="18"/>
                <w:szCs w:val="18"/>
              </w:rPr>
            </w:pPr>
            <w:r>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AE9C84" w14:textId="77777777" w:rsidR="00935FC8" w:rsidRPr="00B555B3" w:rsidRDefault="00935FC8" w:rsidP="00A7081A">
            <w:pPr>
              <w:rPr>
                <w:rFonts w:ascii="Times New Roman" w:eastAsia="Times New Roman" w:hAnsi="Times New Roman"/>
                <w:noProof/>
                <w:sz w:val="18"/>
                <w:szCs w:val="18"/>
              </w:rPr>
            </w:pPr>
            <w:r w:rsidRPr="00AD0F9B">
              <w:rPr>
                <w:rFonts w:ascii="Times New Roman" w:hAnsi="Times New Roman"/>
                <w:noProof/>
                <w:sz w:val="18"/>
                <w:szCs w:val="18"/>
              </w:rPr>
              <w:t>Project reports submitted</w:t>
            </w:r>
          </w:p>
        </w:tc>
      </w:tr>
      <w:tr w:rsidR="00A7081A" w:rsidRPr="00374BE0" w14:paraId="4B8F71CE"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C1FA53D"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117</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512C3D8"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P3C3I6 - RDI, research infrastructure and piloting – Promoting innovation and research infrastructure – National research infrastructures</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BEFEF2A" w14:textId="77777777" w:rsidR="00935FC8" w:rsidRPr="00B555B3" w:rsidRDefault="00935FC8" w:rsidP="00A7081A">
            <w:pPr>
              <w:rPr>
                <w:rFonts w:ascii="Times New Roman" w:eastAsia="Times New Roman" w:hAnsi="Times New Roman"/>
                <w:noProof/>
                <w:sz w:val="18"/>
                <w:szCs w:val="18"/>
              </w:rPr>
            </w:pPr>
            <w:r>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EB6F2D9" w14:textId="77777777" w:rsidR="00935FC8" w:rsidRPr="00B555B3" w:rsidRDefault="00935FC8" w:rsidP="00A7081A">
            <w:pPr>
              <w:rPr>
                <w:rFonts w:ascii="Times New Roman" w:eastAsia="Times New Roman" w:hAnsi="Times New Roman"/>
                <w:noProof/>
                <w:sz w:val="18"/>
                <w:szCs w:val="18"/>
              </w:rPr>
            </w:pPr>
            <w:r w:rsidRPr="00AD0F9B">
              <w:rPr>
                <w:rFonts w:ascii="Times New Roman" w:hAnsi="Times New Roman"/>
                <w:noProof/>
                <w:sz w:val="18"/>
                <w:szCs w:val="18"/>
              </w:rPr>
              <w:t>Project reports submitted</w:t>
            </w:r>
          </w:p>
        </w:tc>
      </w:tr>
      <w:tr w:rsidR="00A7081A" w:rsidRPr="00374BE0" w14:paraId="5E961EE0"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90DD928"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123</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350ADE6"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P3C4I1 - Strengthening competitiveness and boosting growth in crisis-impacted sectors – Growth acceleration programme</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92C0647"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8F9B4B4" w14:textId="77777777" w:rsidR="00935FC8" w:rsidRPr="00B555B3" w:rsidRDefault="00935FC8" w:rsidP="00A7081A">
            <w:pPr>
              <w:rPr>
                <w:rFonts w:ascii="Times New Roman" w:eastAsia="Times New Roman" w:hAnsi="Times New Roman"/>
                <w:noProof/>
                <w:sz w:val="18"/>
                <w:szCs w:val="18"/>
              </w:rPr>
            </w:pPr>
            <w:r w:rsidRPr="00B555B3">
              <w:rPr>
                <w:rFonts w:ascii="Times New Roman" w:hAnsi="Times New Roman"/>
                <w:noProof/>
                <w:sz w:val="18"/>
                <w:szCs w:val="18"/>
              </w:rPr>
              <w:t>Project reports submitted</w:t>
            </w:r>
          </w:p>
        </w:tc>
      </w:tr>
      <w:tr w:rsidR="00A7081A" w:rsidRPr="00374BE0" w14:paraId="5A437A08"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02B6E23"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140</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D2D0AB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 xml:space="preserve">P4C1I5 - Introducing </w:t>
            </w:r>
            <w:r w:rsidRPr="00D0136A">
              <w:rPr>
                <w:rFonts w:ascii="Times New Roman" w:eastAsia="Times New Roman" w:hAnsi="Times New Roman"/>
                <w:noProof/>
                <w:sz w:val="18"/>
                <w:szCs w:val="18"/>
              </w:rPr>
              <w:t>new</w:t>
            </w:r>
            <w:r w:rsidRPr="00B555B3">
              <w:rPr>
                <w:rFonts w:ascii="Times New Roman" w:eastAsia="Times New Roman" w:hAnsi="Times New Roman"/>
                <w:noProof/>
                <w:sz w:val="18"/>
                <w:szCs w:val="18"/>
              </w:rPr>
              <w:t xml:space="preserve"> digital healthcare information system in Åland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40195D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Target</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DEB7F1"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 xml:space="preserve">Share of </w:t>
            </w:r>
            <w:r>
              <w:rPr>
                <w:rFonts w:ascii="Times New Roman" w:eastAsia="Times New Roman" w:hAnsi="Times New Roman"/>
                <w:noProof/>
                <w:sz w:val="18"/>
                <w:szCs w:val="18"/>
              </w:rPr>
              <w:t xml:space="preserve">public </w:t>
            </w:r>
            <w:r w:rsidRPr="00B555B3">
              <w:rPr>
                <w:rFonts w:ascii="Times New Roman" w:eastAsia="Times New Roman" w:hAnsi="Times New Roman"/>
                <w:noProof/>
                <w:sz w:val="18"/>
                <w:szCs w:val="18"/>
              </w:rPr>
              <w:t>social and health</w:t>
            </w:r>
            <w:r>
              <w:rPr>
                <w:rFonts w:ascii="Times New Roman" w:eastAsia="Times New Roman" w:hAnsi="Times New Roman"/>
                <w:noProof/>
                <w:sz w:val="18"/>
                <w:szCs w:val="18"/>
              </w:rPr>
              <w:t>care</w:t>
            </w:r>
            <w:r w:rsidRPr="00B555B3">
              <w:rPr>
                <w:rFonts w:ascii="Times New Roman" w:eastAsia="Times New Roman" w:hAnsi="Times New Roman"/>
                <w:noProof/>
                <w:sz w:val="18"/>
                <w:szCs w:val="18"/>
              </w:rPr>
              <w:t xml:space="preserve"> services having</w:t>
            </w:r>
            <w:r>
              <w:rPr>
                <w:rFonts w:ascii="Times New Roman" w:eastAsia="Times New Roman" w:hAnsi="Times New Roman"/>
                <w:noProof/>
                <w:sz w:val="18"/>
                <w:szCs w:val="18"/>
              </w:rPr>
              <w:t xml:space="preserve"> registered as users for the new</w:t>
            </w:r>
            <w:r w:rsidRPr="00B555B3">
              <w:rPr>
                <w:rFonts w:ascii="Times New Roman" w:eastAsia="Times New Roman" w:hAnsi="Times New Roman"/>
                <w:noProof/>
                <w:sz w:val="18"/>
                <w:szCs w:val="18"/>
              </w:rPr>
              <w:t xml:space="preserve"> health</w:t>
            </w:r>
            <w:r>
              <w:rPr>
                <w:rFonts w:ascii="Times New Roman" w:eastAsia="Times New Roman" w:hAnsi="Times New Roman"/>
                <w:noProof/>
                <w:sz w:val="18"/>
                <w:szCs w:val="18"/>
              </w:rPr>
              <w:t>care</w:t>
            </w:r>
            <w:r w:rsidRPr="00B555B3">
              <w:rPr>
                <w:rFonts w:ascii="Times New Roman" w:eastAsia="Times New Roman" w:hAnsi="Times New Roman"/>
                <w:noProof/>
                <w:sz w:val="18"/>
                <w:szCs w:val="18"/>
              </w:rPr>
              <w:t xml:space="preserve"> information system</w:t>
            </w:r>
          </w:p>
        </w:tc>
      </w:tr>
      <w:tr w:rsidR="00A7081A" w:rsidRPr="00374BE0" w14:paraId="7925CB68"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AD6AE2"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144</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CEA421C"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P5C1R1 – REPowerEU – Green transition permitting</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1F6F621"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7A4D0E2D" w14:textId="77777777" w:rsidR="00935FC8" w:rsidRPr="00374BE0" w:rsidRDefault="00935FC8" w:rsidP="00A7081A">
            <w:pPr>
              <w:rPr>
                <w:rFonts w:ascii="Times New Roman" w:hAnsi="Times New Roman"/>
                <w:noProof/>
                <w:sz w:val="18"/>
                <w:szCs w:val="18"/>
                <w:lang w:eastAsia="en-GB"/>
              </w:rPr>
            </w:pPr>
            <w:r w:rsidRPr="00B555B3">
              <w:rPr>
                <w:rFonts w:ascii="Times New Roman" w:hAnsi="Times New Roman"/>
                <w:noProof/>
                <w:sz w:val="18"/>
                <w:szCs w:val="18"/>
                <w:lang w:eastAsia="en-GB"/>
              </w:rPr>
              <w:t>Digital services for environmental permitting</w:t>
            </w:r>
          </w:p>
        </w:tc>
      </w:tr>
      <w:tr w:rsidR="00A7081A" w:rsidRPr="00374BE0" w14:paraId="07C1FB71"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9F95DAD"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147</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E8B8A4B"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P5C1I1 – REPowerEU – Investments for clean transition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A452DEC"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FF85F0" w14:textId="77777777" w:rsidR="00935FC8" w:rsidRPr="00374BE0" w:rsidRDefault="00935FC8" w:rsidP="00A7081A">
            <w:pPr>
              <w:rPr>
                <w:rFonts w:ascii="Times New Roman" w:eastAsia="Times New Roman" w:hAnsi="Times New Roman"/>
                <w:noProof/>
                <w:sz w:val="18"/>
                <w:szCs w:val="18"/>
              </w:rPr>
            </w:pPr>
            <w:r w:rsidRPr="6F1519F7">
              <w:rPr>
                <w:rFonts w:ascii="Times New Roman" w:hAnsi="Times New Roman"/>
                <w:noProof/>
                <w:sz w:val="18"/>
                <w:szCs w:val="18"/>
                <w:lang w:eastAsia="en-GB"/>
              </w:rPr>
              <w:t xml:space="preserve">Project </w:t>
            </w:r>
            <w:r w:rsidRPr="00B555B3">
              <w:rPr>
                <w:rFonts w:ascii="Times New Roman" w:hAnsi="Times New Roman"/>
                <w:noProof/>
                <w:sz w:val="18"/>
                <w:szCs w:val="18"/>
                <w:lang w:eastAsia="en-GB"/>
              </w:rPr>
              <w:t>completion notices or project</w:t>
            </w:r>
            <w:r w:rsidRPr="6F1519F7">
              <w:rPr>
                <w:rFonts w:ascii="Times New Roman" w:hAnsi="Times New Roman"/>
                <w:noProof/>
                <w:sz w:val="18"/>
                <w:szCs w:val="18"/>
                <w:lang w:eastAsia="en-GB"/>
              </w:rPr>
              <w:t xml:space="preserve"> reports submitted</w:t>
            </w:r>
          </w:p>
        </w:tc>
      </w:tr>
      <w:tr w:rsidR="00A7081A" w:rsidRPr="00374BE0" w14:paraId="5F1EE08A"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D7DAD2"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148</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EF269A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P5C1I2 – REPowerEU – R&amp;D for the green transition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4CD054F"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851A475" w14:textId="77777777" w:rsidR="00935FC8" w:rsidRPr="00D0136A" w:rsidRDefault="00935FC8" w:rsidP="00A7081A">
            <w:pPr>
              <w:rPr>
                <w:rFonts w:ascii="Times New Roman" w:hAnsi="Times New Roman"/>
                <w:noProof/>
                <w:sz w:val="18"/>
                <w:szCs w:val="18"/>
                <w:lang w:eastAsia="en-GB"/>
              </w:rPr>
            </w:pPr>
            <w:r w:rsidRPr="4C26DE14">
              <w:rPr>
                <w:rFonts w:ascii="Times New Roman" w:hAnsi="Times New Roman"/>
                <w:noProof/>
                <w:sz w:val="18"/>
                <w:szCs w:val="18"/>
                <w:lang w:eastAsia="en-GB"/>
              </w:rPr>
              <w:t>Inspection</w:t>
            </w:r>
            <w:r w:rsidRPr="4E108BC1">
              <w:rPr>
                <w:rFonts w:ascii="Times New Roman" w:hAnsi="Times New Roman"/>
                <w:noProof/>
                <w:sz w:val="18"/>
                <w:szCs w:val="18"/>
                <w:lang w:eastAsia="en-GB"/>
              </w:rPr>
              <w:t xml:space="preserve"> report issued</w:t>
            </w:r>
          </w:p>
        </w:tc>
      </w:tr>
      <w:tr w:rsidR="00A7081A" w:rsidRPr="00374BE0" w14:paraId="258096B3"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E98E546"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151</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0AA091CA"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P5C1I2 – REPowerEU – R&amp;D for the green transition</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D05A05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BE40429"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Publication of clean energy roadmaps</w:t>
            </w:r>
          </w:p>
        </w:tc>
      </w:tr>
      <w:tr w:rsidR="00A7081A" w:rsidRPr="00374BE0" w14:paraId="67AE8783" w14:textId="77777777" w:rsidTr="00A7081A">
        <w:trPr>
          <w:trHeight w:val="302"/>
          <w:jc w:val="center"/>
        </w:trPr>
        <w:tc>
          <w:tcPr>
            <w:tcW w:w="1202"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12229F7" w14:textId="77777777" w:rsidR="00935FC8" w:rsidRPr="00B555B3" w:rsidRDefault="00935FC8" w:rsidP="00A7081A">
            <w:pPr>
              <w:spacing w:line="240" w:lineRule="auto"/>
              <w:rPr>
                <w:rFonts w:ascii="Times New Roman" w:eastAsia="Times New Roman" w:hAnsi="Times New Roman"/>
                <w:noProof/>
                <w:sz w:val="18"/>
                <w:szCs w:val="18"/>
              </w:rPr>
            </w:pPr>
            <w:r w:rsidRPr="00B555B3">
              <w:rPr>
                <w:rFonts w:ascii="Times New Roman" w:eastAsia="Times New Roman" w:hAnsi="Times New Roman"/>
                <w:noProof/>
                <w:sz w:val="18"/>
                <w:szCs w:val="18"/>
              </w:rPr>
              <w:t>152</w:t>
            </w:r>
          </w:p>
        </w:tc>
        <w:tc>
          <w:tcPr>
            <w:tcW w:w="3169"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26B0D9E0"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 xml:space="preserve">P5C1I3 – REPowerEU – Offshore wind power in </w:t>
            </w:r>
            <w:r w:rsidRPr="00B555B3">
              <w:rPr>
                <w:rFonts w:ascii="Times New Roman" w:hAnsi="Times New Roman"/>
                <w:noProof/>
                <w:sz w:val="18"/>
                <w:szCs w:val="18"/>
                <w:lang w:eastAsia="en-GB"/>
              </w:rPr>
              <w:t>Åland</w:t>
            </w:r>
          </w:p>
        </w:tc>
        <w:tc>
          <w:tcPr>
            <w:tcW w:w="1406"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69A3247D"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Milestone</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2BBBF81" w14:textId="77777777" w:rsidR="00935FC8" w:rsidRPr="00B555B3" w:rsidRDefault="00935FC8" w:rsidP="00A7081A">
            <w:pPr>
              <w:rPr>
                <w:rFonts w:ascii="Times New Roman" w:eastAsia="Times New Roman" w:hAnsi="Times New Roman"/>
                <w:noProof/>
                <w:sz w:val="18"/>
                <w:szCs w:val="18"/>
              </w:rPr>
            </w:pPr>
            <w:r w:rsidRPr="00B555B3">
              <w:rPr>
                <w:rFonts w:ascii="Times New Roman" w:eastAsia="Times New Roman" w:hAnsi="Times New Roman"/>
                <w:noProof/>
                <w:sz w:val="18"/>
                <w:szCs w:val="18"/>
              </w:rPr>
              <w:t>Delivery of reports</w:t>
            </w:r>
          </w:p>
        </w:tc>
      </w:tr>
      <w:tr w:rsidR="00A7081A" w:rsidRPr="00374BE0" w14:paraId="053C188B" w14:textId="77777777" w:rsidTr="00A7081A">
        <w:trPr>
          <w:trHeight w:val="302"/>
          <w:jc w:val="center"/>
        </w:trPr>
        <w:tc>
          <w:tcPr>
            <w:tcW w:w="5777" w:type="dxa"/>
            <w:gridSpan w:val="3"/>
            <w:tcBorders>
              <w:top w:val="single" w:sz="4" w:space="0" w:color="auto"/>
              <w:left w:val="single" w:sz="4" w:space="0" w:color="auto"/>
              <w:bottom w:val="single" w:sz="4" w:space="0" w:color="auto"/>
              <w:right w:val="single" w:sz="4" w:space="0" w:color="auto"/>
            </w:tcBorders>
            <w:shd w:val="clear" w:color="auto" w:fill="C6EFCE"/>
            <w:noWrap/>
            <w:vAlign w:val="center"/>
          </w:tcPr>
          <w:p w14:paraId="2D9189A7" w14:textId="77777777" w:rsidR="00935FC8" w:rsidRPr="00B555B3" w:rsidRDefault="00935FC8" w:rsidP="00A7081A">
            <w:pPr>
              <w:rPr>
                <w:rFonts w:ascii="Times New Roman" w:eastAsia="Times New Roman" w:hAnsi="Times New Roman"/>
                <w:noProof/>
                <w:color w:val="000000"/>
                <w:sz w:val="18"/>
                <w:szCs w:val="18"/>
              </w:rPr>
            </w:pPr>
            <w:r w:rsidRPr="00B555B3">
              <w:rPr>
                <w:rFonts w:ascii="Times New Roman" w:eastAsia="Times New Roman" w:hAnsi="Times New Roman"/>
                <w:noProof/>
                <w:color w:val="000000"/>
                <w:sz w:val="18"/>
                <w:szCs w:val="18"/>
              </w:rPr>
              <w:t>Instalment amount</w:t>
            </w:r>
          </w:p>
        </w:tc>
        <w:tc>
          <w:tcPr>
            <w:tcW w:w="3388"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435A9612" w14:textId="77777777" w:rsidR="00935FC8" w:rsidRPr="00B555B3" w:rsidRDefault="00935FC8" w:rsidP="00A7081A">
            <w:pPr>
              <w:rPr>
                <w:rFonts w:ascii="Times New Roman" w:eastAsia="Times New Roman" w:hAnsi="Times New Roman"/>
                <w:noProof/>
                <w:color w:val="000000"/>
                <w:sz w:val="18"/>
                <w:szCs w:val="18"/>
              </w:rPr>
            </w:pPr>
            <w:r w:rsidRPr="00D0136A">
              <w:rPr>
                <w:rFonts w:ascii="Times New Roman" w:eastAsia="Times New Roman" w:hAnsi="Times New Roman"/>
                <w:noProof/>
                <w:sz w:val="18"/>
                <w:szCs w:val="18"/>
              </w:rPr>
              <w:t>EUR</w:t>
            </w:r>
            <w:r>
              <w:rPr>
                <w:rFonts w:ascii="Times New Roman" w:eastAsia="Times New Roman" w:hAnsi="Times New Roman"/>
                <w:noProof/>
                <w:sz w:val="18"/>
                <w:szCs w:val="18"/>
              </w:rPr>
              <w:t> </w:t>
            </w:r>
            <w:r w:rsidRPr="00D0136A">
              <w:rPr>
                <w:rFonts w:ascii="Times New Roman" w:eastAsia="Times New Roman" w:hAnsi="Times New Roman"/>
                <w:noProof/>
                <w:sz w:val="18"/>
                <w:szCs w:val="18"/>
              </w:rPr>
              <w:t>330</w:t>
            </w:r>
            <w:r>
              <w:rPr>
                <w:rFonts w:ascii="Times New Roman" w:eastAsia="Times New Roman" w:hAnsi="Times New Roman"/>
                <w:noProof/>
                <w:sz w:val="18"/>
                <w:szCs w:val="18"/>
              </w:rPr>
              <w:t> </w:t>
            </w:r>
            <w:r w:rsidRPr="00D0136A">
              <w:rPr>
                <w:rFonts w:ascii="Times New Roman" w:eastAsia="Times New Roman" w:hAnsi="Times New Roman"/>
                <w:noProof/>
                <w:sz w:val="18"/>
                <w:szCs w:val="18"/>
              </w:rPr>
              <w:t>914</w:t>
            </w:r>
            <w:r>
              <w:rPr>
                <w:rFonts w:ascii="Times New Roman" w:eastAsia="Times New Roman" w:hAnsi="Times New Roman"/>
                <w:noProof/>
                <w:sz w:val="18"/>
                <w:szCs w:val="18"/>
              </w:rPr>
              <w:t> </w:t>
            </w:r>
            <w:r w:rsidRPr="00D0136A">
              <w:rPr>
                <w:rFonts w:ascii="Times New Roman" w:eastAsia="Times New Roman" w:hAnsi="Times New Roman"/>
                <w:noProof/>
                <w:sz w:val="18"/>
                <w:szCs w:val="18"/>
              </w:rPr>
              <w:t>964</w:t>
            </w:r>
          </w:p>
        </w:tc>
      </w:tr>
    </w:tbl>
    <w:p w14:paraId="6D864477" w14:textId="77777777" w:rsidR="00935FC8" w:rsidRPr="00B555B3" w:rsidRDefault="00935FC8" w:rsidP="00A7081A">
      <w:pPr>
        <w:rPr>
          <w:noProof/>
        </w:rPr>
      </w:pPr>
    </w:p>
    <w:p w14:paraId="52FD7D5E" w14:textId="77777777" w:rsidR="00935FC8" w:rsidRPr="00B555B3" w:rsidRDefault="00935FC8" w:rsidP="00A7081A">
      <w:pPr>
        <w:pStyle w:val="Heading1"/>
        <w:numPr>
          <w:ilvl w:val="0"/>
          <w:numId w:val="0"/>
        </w:numPr>
        <w:rPr>
          <w:noProof/>
        </w:rPr>
      </w:pPr>
      <w:r w:rsidRPr="00B555B3">
        <w:rPr>
          <w:noProof/>
        </w:rPr>
        <w:br w:type="page"/>
        <w:t xml:space="preserve">SECTION 3: ADDITIONAL ARRANGEMENTS </w:t>
      </w:r>
    </w:p>
    <w:p w14:paraId="61BF6DF7" w14:textId="77777777" w:rsidR="00935FC8" w:rsidRPr="00B555B3" w:rsidRDefault="00935FC8" w:rsidP="00A7081A">
      <w:pPr>
        <w:pStyle w:val="NumPar1"/>
        <w:numPr>
          <w:ilvl w:val="0"/>
          <w:numId w:val="33"/>
        </w:numPr>
        <w:rPr>
          <w:b/>
          <w:bCs/>
          <w:noProof/>
        </w:rPr>
      </w:pPr>
      <w:r w:rsidRPr="00B555B3">
        <w:rPr>
          <w:b/>
          <w:bCs/>
          <w:noProof/>
        </w:rPr>
        <w:t>Arrangements for monitoring and implementation of the recovery and resilience plan</w:t>
      </w:r>
    </w:p>
    <w:p w14:paraId="07EA8F60" w14:textId="485E609A" w:rsidR="00935FC8" w:rsidRPr="00B555B3" w:rsidRDefault="00935FC8">
      <w:pPr>
        <w:spacing w:before="120" w:after="120"/>
        <w:jc w:val="both"/>
        <w:rPr>
          <w:rFonts w:ascii="Times New Roman" w:hAnsi="Times New Roman"/>
          <w:noProof/>
          <w:sz w:val="24"/>
          <w:szCs w:val="24"/>
        </w:rPr>
      </w:pPr>
      <w:r w:rsidRPr="00B555B3">
        <w:rPr>
          <w:rFonts w:ascii="Times New Roman" w:hAnsi="Times New Roman"/>
          <w:noProof/>
          <w:sz w:val="24"/>
          <w:szCs w:val="24"/>
        </w:rPr>
        <w:t>The monitoring and implementation of the recovery and resilience plan of Finland shall take place in accordance with the following arrangements:</w:t>
      </w:r>
    </w:p>
    <w:p w14:paraId="4C8B05E7" w14:textId="67ACC611" w:rsidR="00935FC8" w:rsidRPr="00B555B3" w:rsidRDefault="00935FC8" w:rsidP="00A7081A">
      <w:pPr>
        <w:numPr>
          <w:ilvl w:val="0"/>
          <w:numId w:val="34"/>
        </w:num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The implementation, monitoring and reporting process of the Finnish recovery and resilience plan shall be ensured at the highest level of the Finnish Government by a Working Group composed of Ministers and chaired by the Minister of Finance. Its role shall be to guide and monitor the implementation of Finland’s Sustainable Growth Programme financed by the Finland’s recovery and resilience plan. The Ministerial Working Group shall also follow at the political level the implementation of reforms and investments related to the programme and shall address related business and entrepreneurship policy issues.</w:t>
      </w:r>
    </w:p>
    <w:p w14:paraId="0C6E5952" w14:textId="6A375702" w:rsidR="00935FC8" w:rsidRPr="00B555B3" w:rsidRDefault="00935FC8" w:rsidP="00A7081A">
      <w:pPr>
        <w:numPr>
          <w:ilvl w:val="0"/>
          <w:numId w:val="34"/>
        </w:num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In addition, the implementation of Finland’s Sustainable Growth Programme shall be administratively coordinated by Inter-ministerial Co-ordination Group consisting of Permanent Secretaries of all ministries and chaired by the Ministry of Finance. Central-level tasks related to the coordination, management, control and audit of the Finnish recovery and resilience program shall be consolidated with the Ministry of Finance.</w:t>
      </w:r>
    </w:p>
    <w:p w14:paraId="00654F92" w14:textId="6811E9F3" w:rsidR="00935FC8" w:rsidRPr="00B555B3" w:rsidRDefault="00935FC8" w:rsidP="00A7081A">
      <w:pPr>
        <w:numPr>
          <w:ilvl w:val="0"/>
          <w:numId w:val="34"/>
        </w:num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The Ministry of Finance shall be supported in the implementation and monitoring process of the plan by a Technical Secretariat, which shall operate in connection with the State Treasury under the administration of the Ministry of Finance. The Secretariat shall act as a national level liaison body between the ministries and agencies responsible for the implementation and monitoring of the plan.</w:t>
      </w:r>
    </w:p>
    <w:p w14:paraId="49AA5108" w14:textId="124903A5" w:rsidR="00935FC8" w:rsidRPr="00B555B3" w:rsidRDefault="00935FC8" w:rsidP="00A7081A">
      <w:pPr>
        <w:numPr>
          <w:ilvl w:val="0"/>
          <w:numId w:val="34"/>
        </w:num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The Ministry of Finance shall regularly monitor the achievement of the targets and milestones related to reforms and investments, on the basis of information collected and reported by the responsible public administrations concerned (Ministry of Economic Affairs and Employment, Ministry of Environment, Ministry of Transport and Communications, Business Finland, Energy Authority, The Housing Finance and Development Centre of Finland (ARA), Regional Centres for Economic Development, Transport and the Environment, etc.).</w:t>
      </w:r>
    </w:p>
    <w:p w14:paraId="25F37434" w14:textId="161D87CB" w:rsidR="00935FC8" w:rsidRPr="00B555B3" w:rsidRDefault="00935FC8" w:rsidP="00A7081A">
      <w:pPr>
        <w:numPr>
          <w:ilvl w:val="0"/>
          <w:numId w:val="34"/>
        </w:num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The Ministry of Finance, in its role as the Financial Controller, shall be responsible for carrying out controls and audits and for drawing up a summary of audits. It shall define an audit strategy and shall conduct audits of both the control systems and projects and measures. Different ministries and agencies responsible for the reforms and investments shall be responsible for controls, audit, corrections and recoveries, in their respective remits.</w:t>
      </w:r>
    </w:p>
    <w:p w14:paraId="07BDBE05" w14:textId="77777777" w:rsidR="00935FC8" w:rsidRPr="00B555B3" w:rsidRDefault="00935FC8" w:rsidP="00A7081A">
      <w:pPr>
        <w:pStyle w:val="NumPar1"/>
        <w:numPr>
          <w:ilvl w:val="0"/>
          <w:numId w:val="33"/>
        </w:numPr>
        <w:rPr>
          <w:b/>
          <w:bCs/>
          <w:noProof/>
        </w:rPr>
      </w:pPr>
      <w:r w:rsidRPr="00B555B3">
        <w:rPr>
          <w:b/>
          <w:bCs/>
          <w:noProof/>
        </w:rPr>
        <w:t>Arrangements for providing full access by the Commission to the underlying data</w:t>
      </w:r>
    </w:p>
    <w:p w14:paraId="152F721A" w14:textId="77777777" w:rsidR="00935FC8" w:rsidRPr="00B555B3" w:rsidRDefault="00935FC8">
      <w:pPr>
        <w:spacing w:before="120" w:after="120"/>
        <w:jc w:val="both"/>
        <w:rPr>
          <w:rFonts w:ascii="Times New Roman" w:hAnsi="Times New Roman"/>
          <w:noProof/>
          <w:sz w:val="24"/>
          <w:szCs w:val="24"/>
        </w:rPr>
      </w:pPr>
      <w:r w:rsidRPr="00B555B3">
        <w:rPr>
          <w:rFonts w:ascii="Times New Roman" w:hAnsi="Times New Roman"/>
          <w:noProof/>
          <w:sz w:val="24"/>
          <w:szCs w:val="24"/>
        </w:rPr>
        <w:t>In order to provide full access to the Commission to the underlying relevant data, Finland shall have in place the following arrangements:</w:t>
      </w:r>
    </w:p>
    <w:p w14:paraId="58391055" w14:textId="77777777" w:rsidR="00935FC8" w:rsidRPr="00B555B3" w:rsidRDefault="00935FC8" w:rsidP="00A7081A">
      <w:pPr>
        <w:numPr>
          <w:ilvl w:val="0"/>
          <w:numId w:val="35"/>
        </w:numPr>
        <w:spacing w:before="120" w:after="120" w:line="240" w:lineRule="auto"/>
        <w:jc w:val="both"/>
        <w:rPr>
          <w:rFonts w:ascii="Times New Roman" w:hAnsi="Times New Roman"/>
          <w:noProof/>
          <w:sz w:val="24"/>
          <w:szCs w:val="24"/>
        </w:rPr>
      </w:pPr>
      <w:r w:rsidRPr="00B555B3">
        <w:rPr>
          <w:rFonts w:ascii="Times New Roman" w:hAnsi="Times New Roman"/>
          <w:noProof/>
          <w:sz w:val="24"/>
          <w:szCs w:val="24"/>
        </w:rPr>
        <w:t>The Ministry of Finance as the central coordinating body for Finland’s recovery and resilience plan shall collect information on the progress of the indicators chosen as milestones and targets for the reforms and investments funded by the plan. Relevant data shall be submitted at local level and centralised at national level in a dedicated IT tool and shall be used to monitor progress in the achievement of milestones and targets. The IT tool shall also be used as a repository of qualitative financial information and other mandatory data, such as on final recipients. The Technical Secretariat shall extract data information from the IT tool and report it to the Ministry of Finance. The EU-Secretariat of the Ministry of Finance shall prepare payment requests to be submitted to the European Commission.</w:t>
      </w:r>
    </w:p>
    <w:p w14:paraId="20347242" w14:textId="77777777" w:rsidR="00935FC8" w:rsidRDefault="00935FC8" w:rsidP="00A7081A">
      <w:pPr>
        <w:numPr>
          <w:ilvl w:val="0"/>
          <w:numId w:val="35"/>
        </w:numPr>
        <w:spacing w:before="120" w:after="120" w:line="240" w:lineRule="auto"/>
        <w:jc w:val="both"/>
        <w:rPr>
          <w:noProof/>
          <w:color w:val="1F497D"/>
        </w:rPr>
      </w:pPr>
      <w:r w:rsidRPr="00B555B3">
        <w:rPr>
          <w:rFonts w:ascii="Times New Roman" w:hAnsi="Times New Roman"/>
          <w:noProof/>
          <w:sz w:val="24"/>
          <w:szCs w:val="24"/>
        </w:rPr>
        <w:t>In accordance with Article 24(2) of Regulation (EU) 2021/241, upon completion of the relevant agreed milestones and targets in Section 2.1 of this Annex, Finland shall submit to the Commission a duly justified request for payment of the financial contribution. Finland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sectPr w:rsidR="00935FC8" w:rsidSect="00A7081A">
      <w:headerReference w:type="even" r:id="rId179"/>
      <w:headerReference w:type="default" r:id="rId180"/>
      <w:footerReference w:type="even" r:id="rId181"/>
      <w:footerReference w:type="default" r:id="rId182"/>
      <w:headerReference w:type="first" r:id="rId183"/>
      <w:footerReference w:type="first" r:id="rId184"/>
      <w:pgSz w:w="11907" w:h="16839"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D8CFC8" w14:textId="77777777" w:rsidR="0020066F" w:rsidRDefault="0020066F" w:rsidP="00A43C50">
      <w:r>
        <w:separator/>
      </w:r>
    </w:p>
  </w:endnote>
  <w:endnote w:type="continuationSeparator" w:id="0">
    <w:p w14:paraId="423EC07B" w14:textId="77777777" w:rsidR="0020066F" w:rsidRDefault="0020066F"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D9C696" w14:textId="0C7EF1F5" w:rsidR="00727059" w:rsidRPr="00727059" w:rsidRDefault="00727059" w:rsidP="00727059">
    <w:pPr>
      <w:pStyle w:val="FooterCoverPage"/>
      <w:rPr>
        <w:rFonts w:ascii="Arial" w:hAnsi="Arial" w:cs="Arial"/>
        <w:b/>
        <w:sz w:val="48"/>
      </w:rPr>
    </w:pPr>
    <w:r w:rsidRPr="00727059">
      <w:rPr>
        <w:rFonts w:ascii="Arial" w:hAnsi="Arial" w:cs="Arial"/>
        <w:b/>
        <w:sz w:val="48"/>
      </w:rPr>
      <w:t>EN</w:t>
    </w:r>
    <w:r w:rsidRPr="00727059">
      <w:rPr>
        <w:rFonts w:ascii="Arial" w:hAnsi="Arial" w:cs="Arial"/>
        <w:b/>
        <w:sz w:val="48"/>
      </w:rPr>
      <w:tab/>
    </w:r>
    <w:r w:rsidRPr="00727059">
      <w:rPr>
        <w:rFonts w:ascii="Arial" w:hAnsi="Arial" w:cs="Arial"/>
        <w:b/>
        <w:sz w:val="48"/>
      </w:rPr>
      <w:tab/>
    </w:r>
    <w:r w:rsidRPr="00727059">
      <w:tab/>
    </w:r>
    <w:r w:rsidRPr="0072705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14E62" w14:textId="7F19E0CA" w:rsidR="00727059" w:rsidRPr="00727059" w:rsidRDefault="00727059" w:rsidP="00727059">
    <w:pPr>
      <w:pStyle w:val="FooterCoverPage"/>
      <w:rPr>
        <w:rFonts w:ascii="Arial" w:hAnsi="Arial" w:cs="Arial"/>
        <w:b/>
        <w:sz w:val="48"/>
      </w:rPr>
    </w:pPr>
    <w:r w:rsidRPr="00727059">
      <w:rPr>
        <w:rFonts w:ascii="Arial" w:hAnsi="Arial" w:cs="Arial"/>
        <w:b/>
        <w:sz w:val="48"/>
      </w:rPr>
      <w:t>EN</w:t>
    </w:r>
    <w:r w:rsidRPr="00727059">
      <w:rPr>
        <w:rFonts w:ascii="Arial" w:hAnsi="Arial" w:cs="Arial"/>
        <w:b/>
        <w:sz w:val="48"/>
      </w:rPr>
      <w:tab/>
    </w:r>
    <w:r w:rsidRPr="00727059">
      <w:rPr>
        <w:rFonts w:ascii="Arial" w:hAnsi="Arial" w:cs="Arial"/>
        <w:b/>
        <w:sz w:val="48"/>
      </w:rPr>
      <w:tab/>
    </w:r>
    <w:r w:rsidRPr="00727059">
      <w:tab/>
    </w:r>
    <w:r w:rsidRPr="0072705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B121C" w14:textId="77777777" w:rsidR="00727059" w:rsidRPr="00727059" w:rsidRDefault="00727059" w:rsidP="0072705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77DBA" w14:textId="77777777" w:rsidR="00D823E9" w:rsidRPr="00C4790A" w:rsidRDefault="00D823E9" w:rsidP="00A7081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1794609"/>
      <w:docPartObj>
        <w:docPartGallery w:val="Page Numbers (Bottom of Page)"/>
        <w:docPartUnique/>
      </w:docPartObj>
    </w:sdtPr>
    <w:sdtEndPr>
      <w:rPr>
        <w:noProof/>
      </w:rPr>
    </w:sdtEndPr>
    <w:sdtContent>
      <w:p w14:paraId="52823A27" w14:textId="4D03B689" w:rsidR="00D823E9" w:rsidRDefault="00D823E9">
        <w:pPr>
          <w:pStyle w:val="Footer"/>
          <w:jc w:val="center"/>
        </w:pPr>
        <w:r>
          <w:fldChar w:fldCharType="begin"/>
        </w:r>
        <w:r>
          <w:instrText xml:space="preserve"> PAGE   \* MERGEFORMAT </w:instrText>
        </w:r>
        <w:r>
          <w:fldChar w:fldCharType="separate"/>
        </w:r>
        <w:r w:rsidR="00727059">
          <w:rPr>
            <w:noProof/>
          </w:rPr>
          <w:t>2</w:t>
        </w:r>
        <w:r>
          <w:rPr>
            <w:noProof/>
          </w:rPr>
          <w:fldChar w:fldCharType="end"/>
        </w:r>
      </w:p>
    </w:sdtContent>
  </w:sdt>
  <w:p w14:paraId="68FDD337" w14:textId="77777777" w:rsidR="00D823E9" w:rsidRPr="00577DC1" w:rsidRDefault="00D823E9" w:rsidP="00577DC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ECC15" w14:textId="77777777" w:rsidR="00D823E9" w:rsidRPr="00C4790A" w:rsidRDefault="00D823E9" w:rsidP="00A7081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2848B" w14:textId="77777777" w:rsidR="00935FC8" w:rsidRPr="00C4790A" w:rsidRDefault="00935FC8" w:rsidP="00A7081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506637"/>
      <w:docPartObj>
        <w:docPartGallery w:val="Page Numbers (Bottom of Page)"/>
        <w:docPartUnique/>
      </w:docPartObj>
    </w:sdtPr>
    <w:sdtEndPr>
      <w:rPr>
        <w:noProof/>
      </w:rPr>
    </w:sdtEndPr>
    <w:sdtContent>
      <w:p w14:paraId="2A36E8E0" w14:textId="55C2BD5B" w:rsidR="00577DC1" w:rsidRDefault="00577DC1">
        <w:pPr>
          <w:pStyle w:val="Footer"/>
          <w:jc w:val="center"/>
        </w:pPr>
        <w:r>
          <w:fldChar w:fldCharType="begin"/>
        </w:r>
        <w:r>
          <w:instrText xml:space="preserve"> PAGE   \* MERGEFORMAT </w:instrText>
        </w:r>
        <w:r>
          <w:fldChar w:fldCharType="separate"/>
        </w:r>
        <w:r w:rsidR="00727059">
          <w:rPr>
            <w:noProof/>
          </w:rPr>
          <w:t>3</w:t>
        </w:r>
        <w:r>
          <w:rPr>
            <w:noProof/>
          </w:rPr>
          <w:fldChar w:fldCharType="end"/>
        </w:r>
      </w:p>
    </w:sdtContent>
  </w:sdt>
  <w:p w14:paraId="2A630970" w14:textId="77777777" w:rsidR="002D7955" w:rsidRPr="00577DC1" w:rsidRDefault="002D7955" w:rsidP="00577DC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437FC9" w14:textId="77777777" w:rsidR="00935FC8" w:rsidRPr="00C4790A" w:rsidRDefault="00935FC8" w:rsidP="00A7081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EF933" w14:textId="77777777" w:rsidR="00935FC8" w:rsidRPr="00C4790A" w:rsidRDefault="00935FC8" w:rsidP="00A7081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523784"/>
      <w:docPartObj>
        <w:docPartGallery w:val="Page Numbers (Bottom of Page)"/>
        <w:docPartUnique/>
      </w:docPartObj>
    </w:sdtPr>
    <w:sdtEndPr>
      <w:rPr>
        <w:noProof/>
      </w:rPr>
    </w:sdtEndPr>
    <w:sdtContent>
      <w:p w14:paraId="20F333B2" w14:textId="71F06B43" w:rsidR="00577DC1" w:rsidRDefault="00577DC1">
        <w:pPr>
          <w:pStyle w:val="Footer"/>
          <w:jc w:val="center"/>
        </w:pPr>
        <w:r>
          <w:fldChar w:fldCharType="begin"/>
        </w:r>
        <w:r>
          <w:instrText xml:space="preserve"> PAGE   \* MERGEFORMAT </w:instrText>
        </w:r>
        <w:r>
          <w:fldChar w:fldCharType="separate"/>
        </w:r>
        <w:r w:rsidR="00D23BCA">
          <w:rPr>
            <w:noProof/>
          </w:rPr>
          <w:t>6</w:t>
        </w:r>
        <w:r>
          <w:rPr>
            <w:noProof/>
          </w:rPr>
          <w:fldChar w:fldCharType="end"/>
        </w:r>
      </w:p>
    </w:sdtContent>
  </w:sdt>
  <w:p w14:paraId="367B46E5" w14:textId="77777777" w:rsidR="002D7955" w:rsidRPr="00577DC1" w:rsidRDefault="002D7955" w:rsidP="00577DC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1772C" w14:textId="77777777" w:rsidR="00935FC8" w:rsidRPr="00C4790A" w:rsidRDefault="00935FC8" w:rsidP="00A7081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9AF6D3" w14:textId="77777777" w:rsidR="00935FC8" w:rsidRPr="00C4790A" w:rsidRDefault="00935FC8" w:rsidP="00A7081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0193161"/>
      <w:docPartObj>
        <w:docPartGallery w:val="Page Numbers (Bottom of Page)"/>
        <w:docPartUnique/>
      </w:docPartObj>
    </w:sdtPr>
    <w:sdtEndPr>
      <w:rPr>
        <w:noProof/>
      </w:rPr>
    </w:sdtEndPr>
    <w:sdtContent>
      <w:p w14:paraId="0C983B0A" w14:textId="3133670F" w:rsidR="00577DC1" w:rsidRDefault="00577D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B9DE5B" w14:textId="77777777" w:rsidR="002D7955" w:rsidRPr="00577DC1" w:rsidRDefault="002D7955" w:rsidP="00577DC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FC6AF" w14:textId="77777777" w:rsidR="00935FC8" w:rsidRPr="00C4790A" w:rsidRDefault="00935FC8" w:rsidP="00A7081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D8E04" w14:textId="77777777" w:rsidR="00935FC8" w:rsidRPr="00C4790A" w:rsidRDefault="00935FC8" w:rsidP="00A7081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748959"/>
      <w:docPartObj>
        <w:docPartGallery w:val="Page Numbers (Bottom of Page)"/>
        <w:docPartUnique/>
      </w:docPartObj>
    </w:sdtPr>
    <w:sdtEndPr>
      <w:rPr>
        <w:noProof/>
      </w:rPr>
    </w:sdtEndPr>
    <w:sdtContent>
      <w:p w14:paraId="56395538" w14:textId="60DECE9D" w:rsidR="00577DC1" w:rsidRDefault="00577D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A39DAF" w14:textId="77777777" w:rsidR="002D7955" w:rsidRPr="00577DC1" w:rsidRDefault="002D7955" w:rsidP="00577DC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CEF76" w14:textId="77777777" w:rsidR="00935FC8" w:rsidRPr="00C4790A" w:rsidRDefault="00935FC8" w:rsidP="00A7081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BCE70" w14:textId="77777777" w:rsidR="00935FC8" w:rsidRPr="00C4790A" w:rsidRDefault="00935FC8" w:rsidP="00A7081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485349"/>
      <w:docPartObj>
        <w:docPartGallery w:val="Page Numbers (Bottom of Page)"/>
        <w:docPartUnique/>
      </w:docPartObj>
    </w:sdtPr>
    <w:sdtEndPr>
      <w:rPr>
        <w:noProof/>
      </w:rPr>
    </w:sdtEndPr>
    <w:sdtContent>
      <w:p w14:paraId="1F372C40" w14:textId="7D78FCDA" w:rsidR="00577DC1" w:rsidRDefault="00577D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C37B6A" w14:textId="77777777" w:rsidR="002D7955" w:rsidRPr="00577DC1" w:rsidRDefault="002D7955" w:rsidP="00577DC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A9585" w14:textId="77777777" w:rsidR="00935FC8" w:rsidRPr="00C4790A" w:rsidRDefault="00935FC8" w:rsidP="00A7081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1FB89" w14:textId="77777777" w:rsidR="00935FC8" w:rsidRPr="00C4790A" w:rsidRDefault="00935FC8" w:rsidP="00A7081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0113616"/>
      <w:docPartObj>
        <w:docPartGallery w:val="Page Numbers (Bottom of Page)"/>
        <w:docPartUnique/>
      </w:docPartObj>
    </w:sdtPr>
    <w:sdtEndPr>
      <w:rPr>
        <w:noProof/>
      </w:rPr>
    </w:sdtEndPr>
    <w:sdtContent>
      <w:p w14:paraId="3087ABDD" w14:textId="5DC3895E" w:rsidR="00577DC1" w:rsidRDefault="00577D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3C450E" w14:textId="77777777" w:rsidR="002D7955" w:rsidRPr="00577DC1" w:rsidRDefault="002D7955" w:rsidP="00577DC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6855A" w14:textId="77777777" w:rsidR="00935FC8" w:rsidRPr="00C4790A" w:rsidRDefault="00935FC8" w:rsidP="00A7081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C7AAE" w14:textId="77777777" w:rsidR="00935FC8" w:rsidRPr="00C4790A" w:rsidRDefault="00935FC8" w:rsidP="00A7081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84549"/>
      <w:docPartObj>
        <w:docPartGallery w:val="Page Numbers (Bottom of Page)"/>
        <w:docPartUnique/>
      </w:docPartObj>
    </w:sdtPr>
    <w:sdtEndPr>
      <w:rPr>
        <w:noProof/>
      </w:rPr>
    </w:sdtEndPr>
    <w:sdtContent>
      <w:p w14:paraId="5A4767C8" w14:textId="4DFD105D" w:rsidR="00577DC1" w:rsidRDefault="00577D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C5EA60" w14:textId="77777777" w:rsidR="002D7955" w:rsidRPr="00577DC1" w:rsidRDefault="002D7955" w:rsidP="00577DC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D1A7D" w14:textId="77777777" w:rsidR="00935FC8" w:rsidRPr="00C4790A" w:rsidRDefault="00935FC8" w:rsidP="00A7081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39ED2E" w14:textId="77777777" w:rsidR="00935FC8" w:rsidRPr="00C4790A" w:rsidRDefault="00935FC8" w:rsidP="00A7081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981918"/>
      <w:docPartObj>
        <w:docPartGallery w:val="Page Numbers (Bottom of Page)"/>
        <w:docPartUnique/>
      </w:docPartObj>
    </w:sdtPr>
    <w:sdtEndPr>
      <w:rPr>
        <w:noProof/>
      </w:rPr>
    </w:sdtEndPr>
    <w:sdtContent>
      <w:p w14:paraId="65D500F1" w14:textId="33D05643" w:rsidR="00577DC1" w:rsidRDefault="00577D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C71A7D" w14:textId="77777777" w:rsidR="002D7955" w:rsidRPr="00577DC1" w:rsidRDefault="002D7955" w:rsidP="00577DC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8E3C4" w14:textId="77777777" w:rsidR="00935FC8" w:rsidRPr="00C4790A" w:rsidRDefault="00935FC8" w:rsidP="00A7081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367CE" w14:textId="77777777" w:rsidR="00935FC8" w:rsidRPr="00C4790A" w:rsidRDefault="00935FC8" w:rsidP="00A7081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37334490"/>
      <w:docPartObj>
        <w:docPartGallery w:val="Page Numbers (Bottom of Page)"/>
        <w:docPartUnique/>
      </w:docPartObj>
    </w:sdtPr>
    <w:sdtEndPr>
      <w:rPr>
        <w:noProof/>
      </w:rPr>
    </w:sdtEndPr>
    <w:sdtContent>
      <w:p w14:paraId="74249B84" w14:textId="7F8CF836" w:rsidR="00577DC1" w:rsidRDefault="00577D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EB40B9" w14:textId="77777777" w:rsidR="002D7955" w:rsidRPr="00577DC1" w:rsidRDefault="002D7955" w:rsidP="00577DC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1862D" w14:textId="77777777" w:rsidR="00935FC8" w:rsidRPr="00C4790A" w:rsidRDefault="00935FC8" w:rsidP="00A7081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9BABE" w14:textId="77777777" w:rsidR="00935FC8" w:rsidRPr="00C4790A" w:rsidRDefault="00935FC8" w:rsidP="00A7081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3929975"/>
      <w:docPartObj>
        <w:docPartGallery w:val="Page Numbers (Bottom of Page)"/>
        <w:docPartUnique/>
      </w:docPartObj>
    </w:sdtPr>
    <w:sdtEndPr>
      <w:rPr>
        <w:noProof/>
      </w:rPr>
    </w:sdtEndPr>
    <w:sdtContent>
      <w:p w14:paraId="0299BDBC" w14:textId="62FAC2B2" w:rsidR="00E654A0" w:rsidRDefault="00E654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13853F" w14:textId="77777777" w:rsidR="002D7955" w:rsidRPr="00E654A0" w:rsidRDefault="002D7955" w:rsidP="00E654A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4CDCA" w14:textId="77777777" w:rsidR="00935FC8" w:rsidRPr="00C4790A" w:rsidRDefault="00935FC8" w:rsidP="00A7081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154FC" w14:textId="77777777" w:rsidR="00935FC8" w:rsidRPr="00C4790A" w:rsidRDefault="00935FC8" w:rsidP="00A7081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450089"/>
      <w:docPartObj>
        <w:docPartGallery w:val="Page Numbers (Bottom of Page)"/>
        <w:docPartUnique/>
      </w:docPartObj>
    </w:sdtPr>
    <w:sdtEndPr>
      <w:rPr>
        <w:noProof/>
      </w:rPr>
    </w:sdtEndPr>
    <w:sdtContent>
      <w:p w14:paraId="7644881F" w14:textId="1689C029" w:rsidR="00E654A0" w:rsidRDefault="00E654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674E45" w14:textId="77777777" w:rsidR="002D7955" w:rsidRPr="00E654A0" w:rsidRDefault="002D7955" w:rsidP="00E654A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2944E" w14:textId="77777777" w:rsidR="00935FC8" w:rsidRPr="00C4790A" w:rsidRDefault="00935FC8" w:rsidP="00A7081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A606E" w14:textId="77777777" w:rsidR="00935FC8" w:rsidRPr="00C4790A" w:rsidRDefault="00935FC8" w:rsidP="00A7081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6233391"/>
      <w:docPartObj>
        <w:docPartGallery w:val="Page Numbers (Bottom of Page)"/>
        <w:docPartUnique/>
      </w:docPartObj>
    </w:sdtPr>
    <w:sdtEndPr>
      <w:rPr>
        <w:noProof/>
      </w:rPr>
    </w:sdtEndPr>
    <w:sdtContent>
      <w:p w14:paraId="30FB6678" w14:textId="00ECA0C4" w:rsidR="00E654A0" w:rsidRDefault="00E654A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D930EB" w14:textId="77777777" w:rsidR="002D7955" w:rsidRPr="00E654A0" w:rsidRDefault="002D7955" w:rsidP="00E654A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9F8F8" w14:textId="77777777" w:rsidR="00935FC8" w:rsidRPr="00C4790A" w:rsidRDefault="00935FC8" w:rsidP="00A7081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40574" w14:textId="77777777" w:rsidR="00935FC8" w:rsidRPr="00C4790A" w:rsidRDefault="00935FC8" w:rsidP="00A7081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7427971"/>
      <w:docPartObj>
        <w:docPartGallery w:val="Page Numbers (Bottom of Page)"/>
        <w:docPartUnique/>
      </w:docPartObj>
    </w:sdtPr>
    <w:sdtEndPr>
      <w:rPr>
        <w:noProof/>
      </w:rPr>
    </w:sdtEndPr>
    <w:sdtContent>
      <w:p w14:paraId="1BF872CE" w14:textId="0439108A" w:rsidR="00D44988" w:rsidRDefault="00D449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F9FF0E" w14:textId="77777777" w:rsidR="002D7955" w:rsidRPr="00D44988" w:rsidRDefault="002D7955" w:rsidP="00D44988">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6359E" w14:textId="77777777" w:rsidR="00935FC8" w:rsidRPr="00C4790A" w:rsidRDefault="00935FC8" w:rsidP="00A7081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06DA2" w14:textId="77777777" w:rsidR="00935FC8" w:rsidRPr="00C4790A" w:rsidRDefault="00935FC8" w:rsidP="00A7081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2131858"/>
      <w:docPartObj>
        <w:docPartGallery w:val="Page Numbers (Bottom of Page)"/>
        <w:docPartUnique/>
      </w:docPartObj>
    </w:sdtPr>
    <w:sdtEndPr>
      <w:rPr>
        <w:noProof/>
      </w:rPr>
    </w:sdtEndPr>
    <w:sdtContent>
      <w:p w14:paraId="555E4BF3" w14:textId="2B48F6CD" w:rsidR="00D44988" w:rsidRDefault="00D449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68911A" w14:textId="77777777" w:rsidR="002D7955" w:rsidRPr="00D44988" w:rsidRDefault="002D7955" w:rsidP="00D44988">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953FD4" w14:textId="77777777" w:rsidR="00935FC8" w:rsidRPr="00C4790A" w:rsidRDefault="00935FC8" w:rsidP="00A7081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728E7" w14:textId="77777777" w:rsidR="00935FC8" w:rsidRPr="00C4790A" w:rsidRDefault="00935FC8" w:rsidP="00A7081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8827286"/>
      <w:docPartObj>
        <w:docPartGallery w:val="Page Numbers (Bottom of Page)"/>
        <w:docPartUnique/>
      </w:docPartObj>
    </w:sdtPr>
    <w:sdtEndPr>
      <w:rPr>
        <w:noProof/>
      </w:rPr>
    </w:sdtEndPr>
    <w:sdtContent>
      <w:p w14:paraId="6A8BFD4C" w14:textId="5350D282" w:rsidR="00D44988" w:rsidRDefault="00D449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EBBE53" w14:textId="77777777" w:rsidR="002D7955" w:rsidRPr="00D44988" w:rsidRDefault="002D7955" w:rsidP="00D44988">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88853" w14:textId="77777777" w:rsidR="00935FC8" w:rsidRPr="00C4790A" w:rsidRDefault="00935FC8" w:rsidP="00A7081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BBE2C" w14:textId="77777777" w:rsidR="00935FC8" w:rsidRPr="00C4790A" w:rsidRDefault="00935FC8" w:rsidP="00A7081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7383505"/>
      <w:docPartObj>
        <w:docPartGallery w:val="Page Numbers (Bottom of Page)"/>
        <w:docPartUnique/>
      </w:docPartObj>
    </w:sdtPr>
    <w:sdtEndPr>
      <w:rPr>
        <w:noProof/>
      </w:rPr>
    </w:sdtEndPr>
    <w:sdtContent>
      <w:p w14:paraId="5316B552" w14:textId="3410EC42" w:rsidR="00D44988" w:rsidRDefault="00D449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DB58D9" w14:textId="77777777" w:rsidR="002D7955" w:rsidRPr="00D44988" w:rsidRDefault="002D7955" w:rsidP="00D44988">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5AF35" w14:textId="77777777" w:rsidR="00935FC8" w:rsidRPr="00C4790A" w:rsidRDefault="00935FC8" w:rsidP="00A7081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FBC9D" w14:textId="77777777" w:rsidR="00935FC8" w:rsidRPr="00C4790A" w:rsidRDefault="00935FC8" w:rsidP="00A7081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559626"/>
      <w:docPartObj>
        <w:docPartGallery w:val="Page Numbers (Bottom of Page)"/>
        <w:docPartUnique/>
      </w:docPartObj>
    </w:sdtPr>
    <w:sdtEndPr>
      <w:rPr>
        <w:noProof/>
      </w:rPr>
    </w:sdtEndPr>
    <w:sdtContent>
      <w:p w14:paraId="122ED607" w14:textId="69FF3947" w:rsidR="009E7709" w:rsidRDefault="009E77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0FEEB5" w14:textId="77777777" w:rsidR="002D7955" w:rsidRPr="009E7709" w:rsidRDefault="002D7955" w:rsidP="009E770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CCF5B" w14:textId="77777777" w:rsidR="00935FC8" w:rsidRPr="00C4790A" w:rsidRDefault="00935FC8" w:rsidP="00A7081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278A7" w14:textId="77777777" w:rsidR="00935FC8" w:rsidRPr="00C4790A" w:rsidRDefault="00935FC8" w:rsidP="00A7081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6331593"/>
      <w:docPartObj>
        <w:docPartGallery w:val="Page Numbers (Bottom of Page)"/>
        <w:docPartUnique/>
      </w:docPartObj>
    </w:sdtPr>
    <w:sdtEndPr>
      <w:rPr>
        <w:noProof/>
      </w:rPr>
    </w:sdtEndPr>
    <w:sdtContent>
      <w:p w14:paraId="19BE33A3" w14:textId="3BF93C03" w:rsidR="009E7709" w:rsidRDefault="009E770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31EBD9" w14:textId="77777777" w:rsidR="002D7955" w:rsidRPr="009E7709" w:rsidRDefault="002D7955" w:rsidP="009E770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9B20B" w14:textId="77777777" w:rsidR="00935FC8" w:rsidRPr="00C4790A" w:rsidRDefault="00935FC8" w:rsidP="00A7081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ED362" w14:textId="77777777" w:rsidR="00935FC8" w:rsidRPr="00C4790A" w:rsidRDefault="00935FC8" w:rsidP="00A7081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0837261"/>
      <w:docPartObj>
        <w:docPartGallery w:val="Page Numbers (Bottom of Page)"/>
        <w:docPartUnique/>
      </w:docPartObj>
    </w:sdtPr>
    <w:sdtEndPr>
      <w:rPr>
        <w:noProof/>
      </w:rPr>
    </w:sdtEndPr>
    <w:sdtContent>
      <w:p w14:paraId="7D30E644" w14:textId="54B78DFC" w:rsidR="009673EC" w:rsidRDefault="009673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2B5E9B" w14:textId="77777777" w:rsidR="002D7955" w:rsidRPr="009673EC" w:rsidRDefault="002D7955" w:rsidP="009673E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D2EC9" w14:textId="77777777" w:rsidR="00935FC8" w:rsidRPr="00C4790A" w:rsidRDefault="00935FC8" w:rsidP="00A7081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8A37A" w14:textId="77777777" w:rsidR="00935FC8" w:rsidRPr="00C4790A" w:rsidRDefault="00935FC8" w:rsidP="00A7081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473300"/>
      <w:docPartObj>
        <w:docPartGallery w:val="Page Numbers (Bottom of Page)"/>
        <w:docPartUnique/>
      </w:docPartObj>
    </w:sdtPr>
    <w:sdtEndPr>
      <w:rPr>
        <w:noProof/>
      </w:rPr>
    </w:sdtEndPr>
    <w:sdtContent>
      <w:p w14:paraId="25F7EFCA" w14:textId="18E4C7FF" w:rsidR="009673EC" w:rsidRDefault="009673E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BDB021" w14:textId="77777777" w:rsidR="002D7955" w:rsidRPr="009673EC" w:rsidRDefault="002D7955" w:rsidP="009673E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DFDA9" w14:textId="77777777" w:rsidR="00935FC8" w:rsidRPr="00C4790A" w:rsidRDefault="00935FC8" w:rsidP="00A7081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2E049E" w14:textId="77777777" w:rsidR="00935FC8" w:rsidRPr="00C4790A" w:rsidRDefault="00935FC8" w:rsidP="00A7081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0047450"/>
      <w:docPartObj>
        <w:docPartGallery w:val="Page Numbers (Bottom of Page)"/>
        <w:docPartUnique/>
      </w:docPartObj>
    </w:sdtPr>
    <w:sdtEndPr>
      <w:rPr>
        <w:noProof/>
      </w:rPr>
    </w:sdtEndPr>
    <w:sdtContent>
      <w:p w14:paraId="1396740D" w14:textId="7E747170" w:rsidR="008E1AB8" w:rsidRDefault="008E1A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29A610" w14:textId="77777777" w:rsidR="002D7955" w:rsidRPr="008E1AB8" w:rsidRDefault="002D7955" w:rsidP="008E1AB8">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07E7F" w14:textId="77777777" w:rsidR="00935FC8" w:rsidRPr="00C4790A" w:rsidRDefault="00935FC8" w:rsidP="00A7081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AAD18" w14:textId="77777777" w:rsidR="00935FC8" w:rsidRPr="00C4790A" w:rsidRDefault="00935FC8" w:rsidP="00A7081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6076689"/>
      <w:docPartObj>
        <w:docPartGallery w:val="Page Numbers (Bottom of Page)"/>
        <w:docPartUnique/>
      </w:docPartObj>
    </w:sdtPr>
    <w:sdtEndPr>
      <w:rPr>
        <w:noProof/>
      </w:rPr>
    </w:sdtEndPr>
    <w:sdtContent>
      <w:p w14:paraId="4E977DA0" w14:textId="09FD88AE" w:rsidR="008E1AB8" w:rsidRDefault="008E1A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A05CC0" w14:textId="77777777" w:rsidR="002D7955" w:rsidRPr="008E1AB8" w:rsidRDefault="002D7955" w:rsidP="008E1AB8">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CE1CB" w14:textId="77777777" w:rsidR="00935FC8" w:rsidRPr="00C4790A" w:rsidRDefault="00935FC8" w:rsidP="00A7081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66BCA" w14:textId="77777777" w:rsidR="00935FC8" w:rsidRPr="00C4790A" w:rsidRDefault="00935FC8" w:rsidP="00A7081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257308"/>
      <w:docPartObj>
        <w:docPartGallery w:val="Page Numbers (Bottom of Page)"/>
        <w:docPartUnique/>
      </w:docPartObj>
    </w:sdtPr>
    <w:sdtEndPr>
      <w:rPr>
        <w:noProof/>
      </w:rPr>
    </w:sdtEndPr>
    <w:sdtContent>
      <w:p w14:paraId="0A4707A5" w14:textId="25DBE07C" w:rsidR="008E1AB8" w:rsidRDefault="008E1A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23A911" w14:textId="77777777" w:rsidR="002D7955" w:rsidRPr="008E1AB8" w:rsidRDefault="002D7955" w:rsidP="008E1AB8">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40B3C" w14:textId="77777777" w:rsidR="00935FC8" w:rsidRPr="00C4790A" w:rsidRDefault="00935FC8" w:rsidP="00A7081A">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9C98C5" w14:textId="77777777" w:rsidR="00935FC8" w:rsidRPr="00C4790A" w:rsidRDefault="00935FC8" w:rsidP="00A7081A">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0490185"/>
      <w:docPartObj>
        <w:docPartGallery w:val="Page Numbers (Bottom of Page)"/>
        <w:docPartUnique/>
      </w:docPartObj>
    </w:sdtPr>
    <w:sdtEndPr>
      <w:rPr>
        <w:noProof/>
      </w:rPr>
    </w:sdtEndPr>
    <w:sdtContent>
      <w:p w14:paraId="10DCDDDA" w14:textId="45ECEB1C" w:rsidR="008E1AB8" w:rsidRDefault="008E1A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2E8A6D" w14:textId="77777777" w:rsidR="002D7955" w:rsidRPr="008E1AB8" w:rsidRDefault="002D7955" w:rsidP="008E1AB8">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D868C" w14:textId="77777777" w:rsidR="00935FC8" w:rsidRPr="00C4790A" w:rsidRDefault="00935FC8" w:rsidP="00A7081A">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9459D" w14:textId="77777777" w:rsidR="00935FC8" w:rsidRPr="00C4790A" w:rsidRDefault="00935FC8" w:rsidP="00A7081A">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3591273"/>
      <w:docPartObj>
        <w:docPartGallery w:val="Page Numbers (Bottom of Page)"/>
        <w:docPartUnique/>
      </w:docPartObj>
    </w:sdtPr>
    <w:sdtEndPr>
      <w:rPr>
        <w:noProof/>
      </w:rPr>
    </w:sdtEndPr>
    <w:sdtContent>
      <w:p w14:paraId="475ABFDD" w14:textId="2F11E63A" w:rsidR="008E1AB8" w:rsidRDefault="008E1A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A461D4" w14:textId="77777777" w:rsidR="002D7955" w:rsidRPr="008E1AB8" w:rsidRDefault="002D7955" w:rsidP="008E1AB8">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9A54B" w14:textId="77777777" w:rsidR="00935FC8" w:rsidRPr="00C4790A" w:rsidRDefault="00935FC8" w:rsidP="00A7081A">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D0DA2" w14:textId="77777777" w:rsidR="00935FC8" w:rsidRPr="00C4790A" w:rsidRDefault="00935FC8" w:rsidP="00A7081A">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4933F" w14:textId="0E0E3C20" w:rsidR="002D7955" w:rsidRPr="008E1AB8" w:rsidRDefault="002D7955" w:rsidP="008E1AB8">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48919" w14:textId="77777777" w:rsidR="00935FC8" w:rsidRPr="00C4790A" w:rsidRDefault="00935FC8" w:rsidP="00A7081A">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1B7E7" w14:textId="77777777" w:rsidR="00935FC8" w:rsidRPr="00C4790A" w:rsidRDefault="00935FC8" w:rsidP="00A7081A">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5720961"/>
      <w:docPartObj>
        <w:docPartGallery w:val="Page Numbers (Bottom of Page)"/>
        <w:docPartUnique/>
      </w:docPartObj>
    </w:sdtPr>
    <w:sdtEndPr>
      <w:rPr>
        <w:noProof/>
      </w:rPr>
    </w:sdtEndPr>
    <w:sdtContent>
      <w:p w14:paraId="7A5CDC6B" w14:textId="63B4CB37" w:rsidR="008E1AB8" w:rsidRDefault="008E1AB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51A2D1" w14:textId="77777777" w:rsidR="002D7955" w:rsidRPr="008E1AB8" w:rsidRDefault="002D7955" w:rsidP="008E1AB8">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E3ADE" w14:textId="77777777" w:rsidR="00935FC8" w:rsidRPr="00C4790A" w:rsidRDefault="00935FC8" w:rsidP="00A708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9C1100" w14:textId="77777777" w:rsidR="0020066F" w:rsidRPr="00374BE0" w:rsidRDefault="0020066F">
      <w:pPr>
        <w:spacing w:after="0" w:line="240" w:lineRule="auto"/>
      </w:pPr>
      <w:r w:rsidRPr="00374BE0">
        <w:separator/>
      </w:r>
    </w:p>
  </w:footnote>
  <w:footnote w:type="continuationSeparator" w:id="0">
    <w:p w14:paraId="72AAFAAD" w14:textId="77777777" w:rsidR="0020066F" w:rsidRPr="00374BE0" w:rsidRDefault="0020066F">
      <w:pPr>
        <w:spacing w:after="0" w:line="240" w:lineRule="auto"/>
      </w:pPr>
      <w:r w:rsidRPr="00374BE0">
        <w:continuationSeparator/>
      </w:r>
    </w:p>
  </w:footnote>
  <w:footnote w:type="continuationNotice" w:id="1">
    <w:p w14:paraId="0725D393" w14:textId="77777777" w:rsidR="0020066F" w:rsidRPr="00374BE0" w:rsidRDefault="0020066F">
      <w:pPr>
        <w:spacing w:after="0" w:line="240" w:lineRule="auto"/>
      </w:pPr>
    </w:p>
  </w:footnote>
  <w:footnote w:id="2">
    <w:p w14:paraId="7B2FDA63" w14:textId="77777777" w:rsidR="00935FC8" w:rsidRPr="00374BE0" w:rsidRDefault="00935FC8" w:rsidP="00A7081A">
      <w:pPr>
        <w:pStyle w:val="FootnoteText"/>
        <w:ind w:left="0" w:firstLine="0"/>
      </w:pPr>
      <w:r w:rsidRPr="00374BE0">
        <w:rPr>
          <w:rStyle w:val="FootnoteReference"/>
        </w:rPr>
        <w:footnoteRef/>
      </w:r>
      <w:r w:rsidRPr="00374BE0">
        <w:t xml:space="preserve"> </w:t>
      </w:r>
      <w:r w:rsidRPr="00B555B3">
        <w:rPr>
          <w:rFonts w:eastAsia="Times New Roman"/>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
    <w:p w14:paraId="75D9FD60" w14:textId="77777777" w:rsidR="00935FC8" w:rsidRPr="00374BE0" w:rsidRDefault="00935FC8" w:rsidP="00A7081A">
      <w:pPr>
        <w:pStyle w:val="FootnoteText"/>
        <w:ind w:left="0" w:firstLine="0"/>
      </w:pPr>
      <w:r w:rsidRPr="00374BE0">
        <w:rPr>
          <w:rStyle w:val="FootnoteReference"/>
        </w:rPr>
        <w:footnoteRef/>
      </w:r>
      <w:r w:rsidRPr="00374BE0">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4">
    <w:p w14:paraId="46DA3DFE" w14:textId="21C78835" w:rsidR="00935FC8" w:rsidRPr="00374BE0" w:rsidRDefault="00935FC8" w:rsidP="00A7081A">
      <w:pPr>
        <w:pStyle w:val="FootnoteText"/>
        <w:ind w:left="0" w:firstLine="0"/>
      </w:pPr>
      <w:r w:rsidRPr="00374BE0">
        <w:rPr>
          <w:rStyle w:val="FootnoteReference"/>
        </w:rPr>
        <w:footnoteRef/>
      </w:r>
      <w:r w:rsidRPr="00374BE0">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5">
    <w:p w14:paraId="3D890553" w14:textId="7EC12035" w:rsidR="00935FC8" w:rsidRPr="00374BE0" w:rsidRDefault="00935FC8" w:rsidP="00A7081A">
      <w:pPr>
        <w:pStyle w:val="FootnoteText"/>
        <w:ind w:left="0" w:firstLine="0"/>
      </w:pPr>
      <w:r w:rsidRPr="00374BE0">
        <w:rPr>
          <w:rStyle w:val="FootnoteReference"/>
        </w:rPr>
        <w:footnoteRef/>
      </w:r>
      <w:r w:rsidRPr="00374BE0">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 w:id="6">
    <w:p w14:paraId="4C9E2901" w14:textId="77777777" w:rsidR="00935FC8" w:rsidRPr="00374BE0" w:rsidRDefault="00935FC8" w:rsidP="00A7081A">
      <w:pPr>
        <w:pStyle w:val="FootnoteText"/>
        <w:ind w:left="0" w:firstLine="0"/>
        <w:rPr>
          <w:rStyle w:val="FootnoteReference"/>
        </w:rPr>
      </w:pPr>
      <w:r w:rsidRPr="00374BE0">
        <w:rPr>
          <w:rStyle w:val="FootnoteReference"/>
        </w:rPr>
        <w:footnoteRef/>
      </w:r>
      <w:r w:rsidRPr="00374BE0">
        <w:rPr>
          <w:rStyle w:val="FootnoteReference"/>
        </w:rPr>
        <w:t xml:space="preserve"> </w:t>
      </w:r>
      <w:r w:rsidRPr="00374BE0">
        <w:rPr>
          <w:rStyle w:val="FootnoteReference"/>
          <w:vertAlign w:val="baseline"/>
        </w:rPr>
        <w:t>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7">
    <w:p w14:paraId="6A97DBC2" w14:textId="77777777" w:rsidR="00935FC8" w:rsidRPr="00374BE0" w:rsidRDefault="00935FC8" w:rsidP="00A7081A">
      <w:pPr>
        <w:pStyle w:val="FootnoteText"/>
        <w:ind w:left="0" w:firstLine="0"/>
      </w:pPr>
      <w:r w:rsidRPr="00374BE0">
        <w:rPr>
          <w:rStyle w:val="FootnoteReference"/>
        </w:rPr>
        <w:footnoteRef/>
      </w:r>
      <w:r w:rsidRPr="00374BE0">
        <w:rPr>
          <w:rStyle w:val="FootnoteReference"/>
        </w:rPr>
        <w:t xml:space="preserve"> </w:t>
      </w:r>
      <w:r w:rsidRPr="00374BE0">
        <w:t>Where the activity supported achieves projected greenhouse gas emissions that are not significantly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8">
    <w:p w14:paraId="5ED69DDB" w14:textId="77777777" w:rsidR="00935FC8" w:rsidRPr="00B555B3" w:rsidRDefault="00935FC8" w:rsidP="00A7081A">
      <w:pPr>
        <w:pStyle w:val="FootnoteText"/>
        <w:ind w:left="0" w:firstLine="0"/>
      </w:pPr>
      <w:r w:rsidRPr="00374BE0">
        <w:rPr>
          <w:rStyle w:val="FootnoteReference"/>
        </w:rPr>
        <w:footnoteRef/>
      </w:r>
      <w:r w:rsidRPr="00374BE0">
        <w:t xml:space="preserve"> </w:t>
      </w:r>
      <w:r w:rsidRPr="00374BE0">
        <w:rPr>
          <w:rFonts w:eastAsia="Times New Roman"/>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9">
    <w:p w14:paraId="6A72C87A" w14:textId="77777777" w:rsidR="00935FC8" w:rsidRPr="00D0136A" w:rsidRDefault="00935FC8" w:rsidP="00A7081A">
      <w:pPr>
        <w:pStyle w:val="FootnoteText"/>
        <w:ind w:left="0" w:firstLine="0"/>
      </w:pPr>
      <w:r w:rsidRPr="00374BE0">
        <w:rPr>
          <w:rStyle w:val="FootnoteReference"/>
        </w:rPr>
        <w:footnoteRef/>
      </w:r>
      <w:r w:rsidRPr="00374BE0">
        <w:t xml:space="preserve"> </w:t>
      </w:r>
      <w:r w:rsidRPr="00374BE0">
        <w:rPr>
          <w:rStyle w:val="FootnoteReference"/>
          <w:vertAlign w:val="baseline"/>
        </w:rPr>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FF8A7" w14:textId="77777777" w:rsidR="00727059" w:rsidRPr="00727059" w:rsidRDefault="00727059" w:rsidP="0072705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05035" w14:textId="77777777" w:rsidR="00727059" w:rsidRPr="00727059" w:rsidRDefault="00727059" w:rsidP="0072705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AC1D7" w14:textId="77777777" w:rsidR="00727059" w:rsidRPr="00727059" w:rsidRDefault="00727059" w:rsidP="0072705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385D3" w14:textId="77777777" w:rsidR="00D823E9" w:rsidRPr="00C4790A" w:rsidRDefault="00D823E9" w:rsidP="00A708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6AD2A" w14:textId="77777777" w:rsidR="00D823E9" w:rsidRDefault="00D823E9">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4DAF2" w14:textId="77777777" w:rsidR="00D823E9" w:rsidRPr="00C4790A" w:rsidRDefault="00D823E9" w:rsidP="00A7081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89DAF" w14:textId="77777777" w:rsidR="00935FC8" w:rsidRPr="00C4790A" w:rsidRDefault="00935FC8" w:rsidP="00A7081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BC210" w14:textId="77777777" w:rsidR="002D7955" w:rsidRDefault="00935FC8">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486A8" w14:textId="77777777" w:rsidR="00935FC8" w:rsidRPr="00C4790A" w:rsidRDefault="00935FC8" w:rsidP="00A7081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065BA" w14:textId="77777777" w:rsidR="00935FC8" w:rsidRPr="00C4790A" w:rsidRDefault="00935FC8" w:rsidP="00A7081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E5022" w14:textId="77777777" w:rsidR="002D7955" w:rsidRDefault="00935FC8">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D6F0B" w14:textId="77777777" w:rsidR="00935FC8" w:rsidRPr="00C4790A" w:rsidRDefault="00935FC8" w:rsidP="00A7081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188D5" w14:textId="77777777" w:rsidR="00935FC8" w:rsidRPr="00C4790A" w:rsidRDefault="00935FC8" w:rsidP="00A7081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3E932" w14:textId="77777777" w:rsidR="002D7955" w:rsidRDefault="00935FC8">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0F0FE" w14:textId="77777777" w:rsidR="00935FC8" w:rsidRPr="00C4790A" w:rsidRDefault="00935FC8" w:rsidP="00A7081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805BE" w14:textId="77777777" w:rsidR="00935FC8" w:rsidRPr="00C4790A" w:rsidRDefault="00935FC8" w:rsidP="00A7081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7E426E" w14:textId="77777777" w:rsidR="002D7955" w:rsidRDefault="00935FC8">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3CF84" w14:textId="77777777" w:rsidR="00935FC8" w:rsidRPr="00C4790A" w:rsidRDefault="00935FC8" w:rsidP="00A7081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D7361" w14:textId="77777777" w:rsidR="00935FC8" w:rsidRPr="00C4790A" w:rsidRDefault="00935FC8" w:rsidP="00A7081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FE40" w14:textId="77777777" w:rsidR="002D7955" w:rsidRDefault="00935FC8">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4B403" w14:textId="77777777" w:rsidR="00935FC8" w:rsidRPr="00C4790A" w:rsidRDefault="00935FC8" w:rsidP="00A7081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25F5D" w14:textId="77777777" w:rsidR="00935FC8" w:rsidRPr="00C4790A" w:rsidRDefault="00935FC8" w:rsidP="00A7081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0E747" w14:textId="77777777" w:rsidR="002D7955" w:rsidRDefault="00935FC8">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FE511" w14:textId="77777777" w:rsidR="00935FC8" w:rsidRPr="00C4790A" w:rsidRDefault="00935FC8" w:rsidP="00A7081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02FE6" w14:textId="77777777" w:rsidR="00935FC8" w:rsidRPr="00C4790A" w:rsidRDefault="00935FC8" w:rsidP="00A7081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904E3" w14:textId="77777777" w:rsidR="002D7955" w:rsidRDefault="00935FC8">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4D247B" w14:textId="77777777" w:rsidR="00935FC8" w:rsidRPr="00C4790A" w:rsidRDefault="00935FC8" w:rsidP="00A7081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211D0" w14:textId="77777777" w:rsidR="00935FC8" w:rsidRPr="00C4790A" w:rsidRDefault="00935FC8" w:rsidP="00A7081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1ECA4" w14:textId="77777777" w:rsidR="002D7955" w:rsidRDefault="00935FC8">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2F3A94" w14:textId="77777777" w:rsidR="00935FC8" w:rsidRPr="00C4790A" w:rsidRDefault="00935FC8" w:rsidP="00A7081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28D16" w14:textId="77777777" w:rsidR="00935FC8" w:rsidRPr="00C4790A" w:rsidRDefault="00935FC8" w:rsidP="00A7081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22FAB" w14:textId="77777777" w:rsidR="002D7955" w:rsidRDefault="00935FC8">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12802" w14:textId="77777777" w:rsidR="00935FC8" w:rsidRPr="00C4790A" w:rsidRDefault="00935FC8" w:rsidP="00A7081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A2444" w14:textId="77777777" w:rsidR="00935FC8" w:rsidRPr="00C4790A" w:rsidRDefault="00935FC8" w:rsidP="00A7081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22087" w14:textId="77777777" w:rsidR="002D7955" w:rsidRDefault="00935FC8">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2AE48" w14:textId="77777777" w:rsidR="00935FC8" w:rsidRPr="00C4790A" w:rsidRDefault="00935FC8" w:rsidP="00A7081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D0DA8" w14:textId="77777777" w:rsidR="00935FC8" w:rsidRPr="00C4790A" w:rsidRDefault="00935FC8" w:rsidP="00A7081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B0741" w14:textId="77777777" w:rsidR="002D7955" w:rsidRDefault="00935FC8">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6323A" w14:textId="77777777" w:rsidR="00935FC8" w:rsidRPr="00C4790A" w:rsidRDefault="00935FC8" w:rsidP="00A7081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80DAA4" w14:textId="77777777" w:rsidR="00935FC8" w:rsidRPr="00C4790A" w:rsidRDefault="00935FC8" w:rsidP="00A7081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547C52" w14:textId="77777777" w:rsidR="002D7955" w:rsidRDefault="00935FC8">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2576C" w14:textId="77777777" w:rsidR="00935FC8" w:rsidRPr="00C4790A" w:rsidRDefault="00935FC8" w:rsidP="00A7081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94A63" w14:textId="77777777" w:rsidR="00935FC8" w:rsidRPr="00C4790A" w:rsidRDefault="00935FC8" w:rsidP="00A7081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FF2C6" w14:textId="77777777" w:rsidR="002D7955" w:rsidRDefault="00935FC8">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95CCB" w14:textId="77777777" w:rsidR="00935FC8" w:rsidRPr="00C4790A" w:rsidRDefault="00935FC8" w:rsidP="00A7081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7F6EB" w14:textId="77777777" w:rsidR="00935FC8" w:rsidRPr="00C4790A" w:rsidRDefault="00935FC8" w:rsidP="00A7081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20574" w14:textId="77777777" w:rsidR="002D7955" w:rsidRDefault="00935FC8">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FD4C0" w14:textId="77777777" w:rsidR="00935FC8" w:rsidRPr="00C4790A" w:rsidRDefault="00935FC8" w:rsidP="00A7081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BCB56" w14:textId="77777777" w:rsidR="00935FC8" w:rsidRPr="00C4790A" w:rsidRDefault="00935FC8" w:rsidP="00A7081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D6D43" w14:textId="77777777" w:rsidR="002D7955" w:rsidRDefault="00935FC8">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4FEC7" w14:textId="77777777" w:rsidR="00935FC8" w:rsidRPr="00C4790A" w:rsidRDefault="00935FC8" w:rsidP="00A7081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E364D" w14:textId="77777777" w:rsidR="00935FC8" w:rsidRPr="00C4790A" w:rsidRDefault="00935FC8" w:rsidP="00A7081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45E5F" w14:textId="77777777" w:rsidR="002D7955" w:rsidRDefault="00935FC8">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F1342" w14:textId="77777777" w:rsidR="00935FC8" w:rsidRPr="00C4790A" w:rsidRDefault="00935FC8" w:rsidP="00A7081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2047F" w14:textId="77777777" w:rsidR="00935FC8" w:rsidRPr="00C4790A" w:rsidRDefault="00935FC8" w:rsidP="00A7081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1A4BA" w14:textId="77777777" w:rsidR="002D7955" w:rsidRDefault="00935FC8">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6FC72" w14:textId="77777777" w:rsidR="00935FC8" w:rsidRPr="00C4790A" w:rsidRDefault="00935FC8" w:rsidP="00A7081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F111A" w14:textId="77777777" w:rsidR="00935FC8" w:rsidRPr="00C4790A" w:rsidRDefault="00935FC8" w:rsidP="00A7081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84C9B" w14:textId="77777777" w:rsidR="002D7955" w:rsidRDefault="00935FC8">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C4136" w14:textId="77777777" w:rsidR="00935FC8" w:rsidRPr="00C4790A" w:rsidRDefault="00935FC8" w:rsidP="00A7081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56B22" w14:textId="77777777" w:rsidR="00935FC8" w:rsidRPr="00C4790A" w:rsidRDefault="00935FC8" w:rsidP="00A7081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CA886" w14:textId="77777777" w:rsidR="002D7955" w:rsidRDefault="00935FC8">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480CA" w14:textId="77777777" w:rsidR="00935FC8" w:rsidRPr="00C4790A" w:rsidRDefault="00935FC8" w:rsidP="00A7081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06A62" w14:textId="77777777" w:rsidR="00935FC8" w:rsidRPr="00C4790A" w:rsidRDefault="00935FC8" w:rsidP="00A7081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1A6E4" w14:textId="77777777" w:rsidR="002D7955" w:rsidRDefault="00935FC8">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B5998D" w14:textId="77777777" w:rsidR="00935FC8" w:rsidRPr="00C4790A" w:rsidRDefault="00935FC8" w:rsidP="00A7081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45B53" w14:textId="77777777" w:rsidR="00935FC8" w:rsidRPr="00C4790A" w:rsidRDefault="00935FC8" w:rsidP="00A7081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78F0B4" w14:textId="77777777" w:rsidR="002D7955" w:rsidRDefault="00935FC8">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36455" w14:textId="77777777" w:rsidR="00935FC8" w:rsidRPr="00C4790A" w:rsidRDefault="00935FC8" w:rsidP="00A7081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519F2" w14:textId="77777777" w:rsidR="00935FC8" w:rsidRPr="00C4790A" w:rsidRDefault="00935FC8" w:rsidP="00A7081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91D95" w14:textId="77777777" w:rsidR="002D7955" w:rsidRDefault="00935FC8">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8FC55" w14:textId="77777777" w:rsidR="00935FC8" w:rsidRPr="00C4790A" w:rsidRDefault="00935FC8" w:rsidP="00A7081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DB401A" w14:textId="77777777" w:rsidR="00935FC8" w:rsidRPr="00C4790A" w:rsidRDefault="00935FC8" w:rsidP="00A7081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31DB0" w14:textId="77777777" w:rsidR="002D7955" w:rsidRDefault="00935FC8">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E0085" w14:textId="77777777" w:rsidR="00935FC8" w:rsidRPr="00C4790A" w:rsidRDefault="00935FC8" w:rsidP="00A7081A">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06AAB" w14:textId="77777777" w:rsidR="00935FC8" w:rsidRPr="00C4790A" w:rsidRDefault="00935FC8" w:rsidP="00A7081A">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DDD01" w14:textId="77777777" w:rsidR="002D7955" w:rsidRDefault="00935FC8">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537FD" w14:textId="77777777" w:rsidR="00935FC8" w:rsidRPr="00C4790A" w:rsidRDefault="00935FC8" w:rsidP="00A7081A">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054DF" w14:textId="77777777" w:rsidR="00935FC8" w:rsidRPr="00C4790A" w:rsidRDefault="00935FC8" w:rsidP="00A7081A">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77082" w14:textId="77777777" w:rsidR="002D7955" w:rsidRDefault="00935FC8">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3D6F7" w14:textId="77777777" w:rsidR="00935FC8" w:rsidRPr="00C4790A" w:rsidRDefault="00935FC8" w:rsidP="00A7081A">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C1007E" w14:textId="77777777" w:rsidR="00935FC8" w:rsidRPr="00C4790A" w:rsidRDefault="00935FC8" w:rsidP="00A7081A">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1C24" w14:textId="77777777" w:rsidR="002D7955" w:rsidRDefault="00935FC8">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0FB24" w14:textId="77777777" w:rsidR="00935FC8" w:rsidRPr="00C4790A" w:rsidRDefault="00935FC8" w:rsidP="00A7081A">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45BF5" w14:textId="77777777" w:rsidR="00935FC8" w:rsidRPr="00C4790A" w:rsidRDefault="00935FC8" w:rsidP="00A7081A">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45DD1" w14:textId="77777777" w:rsidR="002D7955" w:rsidRDefault="00935FC8">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C8052" w14:textId="77777777" w:rsidR="00935FC8" w:rsidRPr="00C4790A" w:rsidRDefault="00935FC8" w:rsidP="00A708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5287975"/>
    <w:multiLevelType w:val="hybridMultilevel"/>
    <w:tmpl w:val="6B725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567FF5"/>
    <w:multiLevelType w:val="hybridMultilevel"/>
    <w:tmpl w:val="52F01A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E1D216E"/>
    <w:multiLevelType w:val="hybridMultilevel"/>
    <w:tmpl w:val="5BCE5284"/>
    <w:lvl w:ilvl="0" w:tplc="1692442A">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3numb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pStyle w:val="Point0letter"/>
      <w:lvlText w:val="(%4)"/>
      <w:lvlJc w:val="left"/>
      <w:pPr>
        <w:tabs>
          <w:tab w:val="num" w:pos="1417"/>
        </w:tabs>
        <w:ind w:left="1417" w:hanging="567"/>
      </w:pPr>
    </w:lvl>
    <w:lvl w:ilvl="4">
      <w:start w:val="1"/>
      <w:numFmt w:val="decimal"/>
      <w:pStyle w:val="Point1number"/>
      <w:lvlText w:val="(%5)"/>
      <w:lvlJc w:val="left"/>
      <w:pPr>
        <w:tabs>
          <w:tab w:val="num" w:pos="1984"/>
        </w:tabs>
        <w:ind w:left="1984" w:hanging="567"/>
      </w:pPr>
    </w:lvl>
    <w:lvl w:ilvl="5">
      <w:start w:val="1"/>
      <w:numFmt w:val="lowerLetter"/>
      <w:pStyle w:val="Point1letter"/>
      <w:lvlText w:val="(%6)"/>
      <w:lvlJc w:val="left"/>
      <w:pPr>
        <w:tabs>
          <w:tab w:val="num" w:pos="1984"/>
        </w:tabs>
        <w:ind w:left="1984" w:hanging="567"/>
      </w:pPr>
    </w:lvl>
    <w:lvl w:ilvl="6">
      <w:start w:val="1"/>
      <w:numFmt w:val="decimal"/>
      <w:pStyle w:val="Point2number"/>
      <w:lvlText w:val="(%7)"/>
      <w:lvlJc w:val="left"/>
      <w:pPr>
        <w:tabs>
          <w:tab w:val="num" w:pos="2551"/>
        </w:tabs>
        <w:ind w:left="2551" w:hanging="567"/>
      </w:pPr>
    </w:lvl>
    <w:lvl w:ilvl="7">
      <w:start w:val="1"/>
      <w:numFmt w:val="lowerLetter"/>
      <w:pStyle w:val="Point2letter"/>
      <w:lvlText w:val="(%8)"/>
      <w:lvlJc w:val="left"/>
      <w:pPr>
        <w:tabs>
          <w:tab w:val="num" w:pos="2551"/>
        </w:tabs>
        <w:ind w:left="2551" w:hanging="567"/>
      </w:pPr>
    </w:lvl>
    <w:lvl w:ilvl="8">
      <w:start w:val="1"/>
      <w:numFmt w:val="lowerLetter"/>
      <w:pStyle w:val="Point3letter"/>
      <w:lvlText w:val="(%9)"/>
      <w:lvlJc w:val="left"/>
      <w:pPr>
        <w:tabs>
          <w:tab w:val="num" w:pos="3118"/>
        </w:tabs>
        <w:ind w:left="3118" w:hanging="567"/>
      </w:pPr>
    </w:lvl>
  </w:abstractNum>
  <w:abstractNum w:abstractNumId="12" w15:restartNumberingAfterBreak="0">
    <w:nsid w:val="22E44180"/>
    <w:multiLevelType w:val="multilevel"/>
    <w:tmpl w:val="2C7CE802"/>
    <w:lvl w:ilvl="0">
      <w:start w:val="1"/>
      <w:numFmt w:val="decimal"/>
      <w:lvlRestart w:val="0"/>
      <w:lvlText w:val="%1."/>
      <w:lvlJc w:val="left"/>
      <w:pPr>
        <w:tabs>
          <w:tab w:val="num" w:pos="850"/>
        </w:tabs>
        <w:ind w:left="850" w:hanging="850"/>
      </w:pPr>
    </w:lvl>
    <w:lvl w:ilvl="1">
      <w:start w:val="1"/>
      <w:numFmt w:val="decimal"/>
      <w:pStyle w:val="NumPar1"/>
      <w:lvlText w:val="%1.%2."/>
      <w:lvlJc w:val="left"/>
      <w:pPr>
        <w:tabs>
          <w:tab w:val="num" w:pos="850"/>
        </w:tabs>
        <w:ind w:left="850" w:hanging="850"/>
      </w:pPr>
    </w:lvl>
    <w:lvl w:ilvl="2">
      <w:start w:val="1"/>
      <w:numFmt w:val="decimal"/>
      <w:pStyle w:val="NumPar2"/>
      <w:lvlText w:val="%1.%2.%3."/>
      <w:lvlJc w:val="left"/>
      <w:pPr>
        <w:tabs>
          <w:tab w:val="num" w:pos="850"/>
        </w:tabs>
        <w:ind w:left="850" w:hanging="850"/>
      </w:pPr>
    </w:lvl>
    <w:lvl w:ilvl="3">
      <w:start w:val="1"/>
      <w:numFmt w:val="decimal"/>
      <w:pStyle w:val="NumPar3"/>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2E58B6"/>
    <w:multiLevelType w:val="hybridMultilevel"/>
    <w:tmpl w:val="24A09642"/>
    <w:lvl w:ilvl="0" w:tplc="E92866A4">
      <w:start w:val="1"/>
      <w:numFmt w:val="bullet"/>
      <w:lvlText w:val=""/>
      <w:lvlJc w:val="left"/>
      <w:pPr>
        <w:ind w:left="360" w:hanging="360"/>
      </w:pPr>
      <w:rPr>
        <w:rFonts w:ascii="Symbol" w:hAnsi="Symbol" w:hint="default"/>
      </w:rPr>
    </w:lvl>
    <w:lvl w:ilvl="1" w:tplc="0C56AA34">
      <w:start w:val="1"/>
      <w:numFmt w:val="bullet"/>
      <w:lvlText w:val="o"/>
      <w:lvlJc w:val="left"/>
      <w:pPr>
        <w:ind w:left="1080" w:hanging="360"/>
      </w:pPr>
      <w:rPr>
        <w:rFonts w:ascii="Courier New" w:hAnsi="Courier New" w:hint="default"/>
      </w:rPr>
    </w:lvl>
    <w:lvl w:ilvl="2" w:tplc="33664946">
      <w:start w:val="1"/>
      <w:numFmt w:val="bullet"/>
      <w:lvlText w:val=""/>
      <w:lvlJc w:val="left"/>
      <w:pPr>
        <w:ind w:left="1800" w:hanging="360"/>
      </w:pPr>
      <w:rPr>
        <w:rFonts w:ascii="Wingdings" w:hAnsi="Wingdings" w:hint="default"/>
      </w:rPr>
    </w:lvl>
    <w:lvl w:ilvl="3" w:tplc="5D8ACA58">
      <w:start w:val="1"/>
      <w:numFmt w:val="bullet"/>
      <w:lvlText w:val=""/>
      <w:lvlJc w:val="left"/>
      <w:pPr>
        <w:ind w:left="2520" w:hanging="360"/>
      </w:pPr>
      <w:rPr>
        <w:rFonts w:ascii="Symbol" w:hAnsi="Symbol" w:hint="default"/>
      </w:rPr>
    </w:lvl>
    <w:lvl w:ilvl="4" w:tplc="480A2E54">
      <w:start w:val="1"/>
      <w:numFmt w:val="bullet"/>
      <w:lvlText w:val="o"/>
      <w:lvlJc w:val="left"/>
      <w:pPr>
        <w:ind w:left="3240" w:hanging="360"/>
      </w:pPr>
      <w:rPr>
        <w:rFonts w:ascii="Courier New" w:hAnsi="Courier New" w:hint="default"/>
      </w:rPr>
    </w:lvl>
    <w:lvl w:ilvl="5" w:tplc="A8B4AB96">
      <w:start w:val="1"/>
      <w:numFmt w:val="bullet"/>
      <w:lvlText w:val=""/>
      <w:lvlJc w:val="left"/>
      <w:pPr>
        <w:ind w:left="3960" w:hanging="360"/>
      </w:pPr>
      <w:rPr>
        <w:rFonts w:ascii="Wingdings" w:hAnsi="Wingdings" w:hint="default"/>
      </w:rPr>
    </w:lvl>
    <w:lvl w:ilvl="6" w:tplc="1E283BA2">
      <w:start w:val="1"/>
      <w:numFmt w:val="bullet"/>
      <w:lvlText w:val=""/>
      <w:lvlJc w:val="left"/>
      <w:pPr>
        <w:ind w:left="4680" w:hanging="360"/>
      </w:pPr>
      <w:rPr>
        <w:rFonts w:ascii="Symbol" w:hAnsi="Symbol" w:hint="default"/>
      </w:rPr>
    </w:lvl>
    <w:lvl w:ilvl="7" w:tplc="00062A40">
      <w:start w:val="1"/>
      <w:numFmt w:val="bullet"/>
      <w:lvlText w:val="o"/>
      <w:lvlJc w:val="left"/>
      <w:pPr>
        <w:ind w:left="5400" w:hanging="360"/>
      </w:pPr>
      <w:rPr>
        <w:rFonts w:ascii="Courier New" w:hAnsi="Courier New" w:hint="default"/>
      </w:rPr>
    </w:lvl>
    <w:lvl w:ilvl="8" w:tplc="598018BE">
      <w:start w:val="1"/>
      <w:numFmt w:val="bullet"/>
      <w:lvlText w:val=""/>
      <w:lvlJc w:val="left"/>
      <w:pPr>
        <w:ind w:left="6120" w:hanging="360"/>
      </w:pPr>
      <w:rPr>
        <w:rFonts w:ascii="Wingdings" w:hAnsi="Wingdings" w:hint="default"/>
      </w:rPr>
    </w:lvl>
  </w:abstractNum>
  <w:abstractNum w:abstractNumId="14" w15:restartNumberingAfterBreak="0">
    <w:nsid w:val="2C1B52AC"/>
    <w:multiLevelType w:val="hybridMultilevel"/>
    <w:tmpl w:val="CD3C34D6"/>
    <w:lvl w:ilvl="0" w:tplc="5240F1E6">
      <w:start w:val="1"/>
      <w:numFmt w:val="bullet"/>
      <w:lvlText w:val="-"/>
      <w:lvlJc w:val="left"/>
      <w:pPr>
        <w:ind w:left="360" w:hanging="360"/>
      </w:pPr>
      <w:rPr>
        <w:rFonts w:ascii="Calibri" w:hAnsi="Calibri" w:hint="default"/>
      </w:rPr>
    </w:lvl>
    <w:lvl w:ilvl="1" w:tplc="8424E93E">
      <w:start w:val="1"/>
      <w:numFmt w:val="bullet"/>
      <w:lvlText w:val="o"/>
      <w:lvlJc w:val="left"/>
      <w:pPr>
        <w:ind w:left="1080" w:hanging="360"/>
      </w:pPr>
      <w:rPr>
        <w:rFonts w:ascii="Courier New" w:hAnsi="Courier New" w:hint="default"/>
      </w:rPr>
    </w:lvl>
    <w:lvl w:ilvl="2" w:tplc="726031F2">
      <w:start w:val="1"/>
      <w:numFmt w:val="bullet"/>
      <w:lvlText w:val=""/>
      <w:lvlJc w:val="left"/>
      <w:pPr>
        <w:ind w:left="1800" w:hanging="360"/>
      </w:pPr>
      <w:rPr>
        <w:rFonts w:ascii="Wingdings" w:hAnsi="Wingdings" w:hint="default"/>
      </w:rPr>
    </w:lvl>
    <w:lvl w:ilvl="3" w:tplc="940615BA">
      <w:start w:val="1"/>
      <w:numFmt w:val="bullet"/>
      <w:lvlText w:val=""/>
      <w:lvlJc w:val="left"/>
      <w:pPr>
        <w:ind w:left="2520" w:hanging="360"/>
      </w:pPr>
      <w:rPr>
        <w:rFonts w:ascii="Symbol" w:hAnsi="Symbol" w:hint="default"/>
      </w:rPr>
    </w:lvl>
    <w:lvl w:ilvl="4" w:tplc="D554AB5E">
      <w:start w:val="1"/>
      <w:numFmt w:val="bullet"/>
      <w:lvlText w:val="o"/>
      <w:lvlJc w:val="left"/>
      <w:pPr>
        <w:ind w:left="3240" w:hanging="360"/>
      </w:pPr>
      <w:rPr>
        <w:rFonts w:ascii="Courier New" w:hAnsi="Courier New" w:hint="default"/>
      </w:rPr>
    </w:lvl>
    <w:lvl w:ilvl="5" w:tplc="ACB66CCC">
      <w:start w:val="1"/>
      <w:numFmt w:val="bullet"/>
      <w:lvlText w:val=""/>
      <w:lvlJc w:val="left"/>
      <w:pPr>
        <w:ind w:left="3960" w:hanging="360"/>
      </w:pPr>
      <w:rPr>
        <w:rFonts w:ascii="Wingdings" w:hAnsi="Wingdings" w:hint="default"/>
      </w:rPr>
    </w:lvl>
    <w:lvl w:ilvl="6" w:tplc="2A9E3498">
      <w:start w:val="1"/>
      <w:numFmt w:val="bullet"/>
      <w:lvlText w:val=""/>
      <w:lvlJc w:val="left"/>
      <w:pPr>
        <w:ind w:left="4680" w:hanging="360"/>
      </w:pPr>
      <w:rPr>
        <w:rFonts w:ascii="Symbol" w:hAnsi="Symbol" w:hint="default"/>
      </w:rPr>
    </w:lvl>
    <w:lvl w:ilvl="7" w:tplc="1398FFDA">
      <w:start w:val="1"/>
      <w:numFmt w:val="bullet"/>
      <w:lvlText w:val="o"/>
      <w:lvlJc w:val="left"/>
      <w:pPr>
        <w:ind w:left="5400" w:hanging="360"/>
      </w:pPr>
      <w:rPr>
        <w:rFonts w:ascii="Courier New" w:hAnsi="Courier New" w:hint="default"/>
      </w:rPr>
    </w:lvl>
    <w:lvl w:ilvl="8" w:tplc="EAFC5382">
      <w:start w:val="1"/>
      <w:numFmt w:val="bullet"/>
      <w:lvlText w:val=""/>
      <w:lvlJc w:val="left"/>
      <w:pPr>
        <w:ind w:left="6120" w:hanging="360"/>
      </w:pPr>
      <w:rPr>
        <w:rFonts w:ascii="Wingdings" w:hAnsi="Wingdings" w:hint="default"/>
      </w:rPr>
    </w:lvl>
  </w:abstractNum>
  <w:abstractNum w:abstractNumId="1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7" w15:restartNumberingAfterBreak="0">
    <w:nsid w:val="375C042B"/>
    <w:multiLevelType w:val="hybridMultilevel"/>
    <w:tmpl w:val="486A7B3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49D124F3"/>
    <w:multiLevelType w:val="hybridMultilevel"/>
    <w:tmpl w:val="87E4A9E0"/>
    <w:lvl w:ilvl="0" w:tplc="18090001">
      <w:start w:val="1"/>
      <w:numFmt w:val="bullet"/>
      <w:lvlText w:val=""/>
      <w:lvlJc w:val="left"/>
      <w:pPr>
        <w:ind w:left="-452" w:hanging="360"/>
      </w:pPr>
      <w:rPr>
        <w:rFonts w:ascii="Symbol" w:hAnsi="Symbol" w:hint="default"/>
      </w:rPr>
    </w:lvl>
    <w:lvl w:ilvl="1" w:tplc="18090003" w:tentative="1">
      <w:start w:val="1"/>
      <w:numFmt w:val="bullet"/>
      <w:lvlText w:val="o"/>
      <w:lvlJc w:val="left"/>
      <w:pPr>
        <w:ind w:left="268" w:hanging="360"/>
      </w:pPr>
      <w:rPr>
        <w:rFonts w:ascii="Courier New" w:hAnsi="Courier New" w:cs="Courier New" w:hint="default"/>
      </w:rPr>
    </w:lvl>
    <w:lvl w:ilvl="2" w:tplc="18090005" w:tentative="1">
      <w:start w:val="1"/>
      <w:numFmt w:val="bullet"/>
      <w:lvlText w:val=""/>
      <w:lvlJc w:val="left"/>
      <w:pPr>
        <w:ind w:left="988" w:hanging="360"/>
      </w:pPr>
      <w:rPr>
        <w:rFonts w:ascii="Wingdings" w:hAnsi="Wingdings" w:hint="default"/>
      </w:rPr>
    </w:lvl>
    <w:lvl w:ilvl="3" w:tplc="18090001" w:tentative="1">
      <w:start w:val="1"/>
      <w:numFmt w:val="bullet"/>
      <w:lvlText w:val=""/>
      <w:lvlJc w:val="left"/>
      <w:pPr>
        <w:ind w:left="1708" w:hanging="360"/>
      </w:pPr>
      <w:rPr>
        <w:rFonts w:ascii="Symbol" w:hAnsi="Symbol" w:hint="default"/>
      </w:rPr>
    </w:lvl>
    <w:lvl w:ilvl="4" w:tplc="18090003" w:tentative="1">
      <w:start w:val="1"/>
      <w:numFmt w:val="bullet"/>
      <w:lvlText w:val="o"/>
      <w:lvlJc w:val="left"/>
      <w:pPr>
        <w:ind w:left="2428" w:hanging="360"/>
      </w:pPr>
      <w:rPr>
        <w:rFonts w:ascii="Courier New" w:hAnsi="Courier New" w:cs="Courier New" w:hint="default"/>
      </w:rPr>
    </w:lvl>
    <w:lvl w:ilvl="5" w:tplc="18090005" w:tentative="1">
      <w:start w:val="1"/>
      <w:numFmt w:val="bullet"/>
      <w:lvlText w:val=""/>
      <w:lvlJc w:val="left"/>
      <w:pPr>
        <w:ind w:left="3148" w:hanging="360"/>
      </w:pPr>
      <w:rPr>
        <w:rFonts w:ascii="Wingdings" w:hAnsi="Wingdings" w:hint="default"/>
      </w:rPr>
    </w:lvl>
    <w:lvl w:ilvl="6" w:tplc="18090001" w:tentative="1">
      <w:start w:val="1"/>
      <w:numFmt w:val="bullet"/>
      <w:lvlText w:val=""/>
      <w:lvlJc w:val="left"/>
      <w:pPr>
        <w:ind w:left="3868" w:hanging="360"/>
      </w:pPr>
      <w:rPr>
        <w:rFonts w:ascii="Symbol" w:hAnsi="Symbol" w:hint="default"/>
      </w:rPr>
    </w:lvl>
    <w:lvl w:ilvl="7" w:tplc="18090003" w:tentative="1">
      <w:start w:val="1"/>
      <w:numFmt w:val="bullet"/>
      <w:lvlText w:val="o"/>
      <w:lvlJc w:val="left"/>
      <w:pPr>
        <w:ind w:left="4588" w:hanging="360"/>
      </w:pPr>
      <w:rPr>
        <w:rFonts w:ascii="Courier New" w:hAnsi="Courier New" w:cs="Courier New" w:hint="default"/>
      </w:rPr>
    </w:lvl>
    <w:lvl w:ilvl="8" w:tplc="18090005" w:tentative="1">
      <w:start w:val="1"/>
      <w:numFmt w:val="bullet"/>
      <w:lvlText w:val=""/>
      <w:lvlJc w:val="left"/>
      <w:pPr>
        <w:ind w:left="5308" w:hanging="360"/>
      </w:pPr>
      <w:rPr>
        <w:rFonts w:ascii="Wingdings" w:hAnsi="Wingdings" w:hint="default"/>
      </w:rPr>
    </w:lvl>
  </w:abstractNum>
  <w:abstractNum w:abstractNumId="2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6" w15:restartNumberingAfterBreak="0">
    <w:nsid w:val="64A12FA4"/>
    <w:multiLevelType w:val="multilevel"/>
    <w:tmpl w:val="DBE0D6DA"/>
    <w:lvl w:ilvl="0">
      <w:start w:val="1"/>
      <w:numFmt w:val="decimal"/>
      <w:lvlRestart w:val="0"/>
      <w:pStyle w:val="Heading1"/>
      <w:lvlText w:val="%1."/>
      <w:lvlJc w:val="left"/>
      <w:pPr>
        <w:tabs>
          <w:tab w:val="num" w:pos="850"/>
        </w:tabs>
        <w:ind w:left="850" w:hanging="850"/>
      </w:pPr>
      <w:rPr>
        <w:rFonts w:hint="default"/>
      </w:rPr>
    </w:lvl>
    <w:lvl w:ilvl="1">
      <w:start w:val="2"/>
      <w:numFmt w:val="decimal"/>
      <w:pStyle w:val="Heading2"/>
      <w:lvlText w:val="%1.%2."/>
      <w:lvlJc w:val="left"/>
      <w:pPr>
        <w:tabs>
          <w:tab w:val="num" w:pos="850"/>
        </w:tabs>
        <w:ind w:left="850" w:hanging="850"/>
      </w:pPr>
      <w:rPr>
        <w:rFonts w:hint="default"/>
      </w:rPr>
    </w:lvl>
    <w:lvl w:ilvl="2">
      <w:start w:val="1"/>
      <w:numFmt w:val="decimal"/>
      <w:pStyle w:val="Heading3"/>
      <w:lvlText w:val="%1.%2.%3."/>
      <w:lvlJc w:val="left"/>
      <w:pPr>
        <w:tabs>
          <w:tab w:val="num" w:pos="850"/>
        </w:tabs>
        <w:ind w:left="850" w:hanging="850"/>
      </w:pPr>
      <w:rPr>
        <w:rFonts w:hint="default"/>
      </w:rPr>
    </w:lvl>
    <w:lvl w:ilvl="3">
      <w:start w:val="1"/>
      <w:numFmt w:val="decimal"/>
      <w:pStyle w:val="Heading4"/>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56E0750"/>
    <w:multiLevelType w:val="hybridMultilevel"/>
    <w:tmpl w:val="7C403112"/>
    <w:lvl w:ilvl="0" w:tplc="DC86AAD2">
      <w:start w:val="1"/>
      <w:numFmt w:val="bullet"/>
      <w:lvlText w:val="-"/>
      <w:lvlJc w:val="left"/>
      <w:pPr>
        <w:ind w:left="720" w:hanging="360"/>
      </w:pPr>
      <w:rPr>
        <w:rFonts w:ascii="Calibri" w:hAnsi="Calibri" w:hint="default"/>
      </w:rPr>
    </w:lvl>
    <w:lvl w:ilvl="1" w:tplc="EB084644">
      <w:start w:val="1"/>
      <w:numFmt w:val="bullet"/>
      <w:lvlText w:val="o"/>
      <w:lvlJc w:val="left"/>
      <w:pPr>
        <w:ind w:left="1440" w:hanging="360"/>
      </w:pPr>
      <w:rPr>
        <w:rFonts w:ascii="Courier New" w:hAnsi="Courier New" w:hint="default"/>
      </w:rPr>
    </w:lvl>
    <w:lvl w:ilvl="2" w:tplc="02B094C4">
      <w:start w:val="1"/>
      <w:numFmt w:val="bullet"/>
      <w:lvlText w:val=""/>
      <w:lvlJc w:val="left"/>
      <w:pPr>
        <w:ind w:left="2160" w:hanging="360"/>
      </w:pPr>
      <w:rPr>
        <w:rFonts w:ascii="Wingdings" w:hAnsi="Wingdings" w:hint="default"/>
      </w:rPr>
    </w:lvl>
    <w:lvl w:ilvl="3" w:tplc="BCBE6812">
      <w:start w:val="1"/>
      <w:numFmt w:val="bullet"/>
      <w:lvlText w:val=""/>
      <w:lvlJc w:val="left"/>
      <w:pPr>
        <w:ind w:left="2880" w:hanging="360"/>
      </w:pPr>
      <w:rPr>
        <w:rFonts w:ascii="Symbol" w:hAnsi="Symbol" w:hint="default"/>
      </w:rPr>
    </w:lvl>
    <w:lvl w:ilvl="4" w:tplc="D61C7428">
      <w:start w:val="1"/>
      <w:numFmt w:val="bullet"/>
      <w:lvlText w:val="o"/>
      <w:lvlJc w:val="left"/>
      <w:pPr>
        <w:ind w:left="3600" w:hanging="360"/>
      </w:pPr>
      <w:rPr>
        <w:rFonts w:ascii="Courier New" w:hAnsi="Courier New" w:hint="default"/>
      </w:rPr>
    </w:lvl>
    <w:lvl w:ilvl="5" w:tplc="9AC854C0">
      <w:start w:val="1"/>
      <w:numFmt w:val="bullet"/>
      <w:lvlText w:val=""/>
      <w:lvlJc w:val="left"/>
      <w:pPr>
        <w:ind w:left="4320" w:hanging="360"/>
      </w:pPr>
      <w:rPr>
        <w:rFonts w:ascii="Wingdings" w:hAnsi="Wingdings" w:hint="default"/>
      </w:rPr>
    </w:lvl>
    <w:lvl w:ilvl="6" w:tplc="C8064036">
      <w:start w:val="1"/>
      <w:numFmt w:val="bullet"/>
      <w:lvlText w:val=""/>
      <w:lvlJc w:val="left"/>
      <w:pPr>
        <w:ind w:left="5040" w:hanging="360"/>
      </w:pPr>
      <w:rPr>
        <w:rFonts w:ascii="Symbol" w:hAnsi="Symbol" w:hint="default"/>
      </w:rPr>
    </w:lvl>
    <w:lvl w:ilvl="7" w:tplc="A70C1D08">
      <w:start w:val="1"/>
      <w:numFmt w:val="bullet"/>
      <w:lvlText w:val="o"/>
      <w:lvlJc w:val="left"/>
      <w:pPr>
        <w:ind w:left="5760" w:hanging="360"/>
      </w:pPr>
      <w:rPr>
        <w:rFonts w:ascii="Courier New" w:hAnsi="Courier New" w:hint="default"/>
      </w:rPr>
    </w:lvl>
    <w:lvl w:ilvl="8" w:tplc="12B4E4B2">
      <w:start w:val="1"/>
      <w:numFmt w:val="bullet"/>
      <w:lvlText w:val=""/>
      <w:lvlJc w:val="left"/>
      <w:pPr>
        <w:ind w:left="6480" w:hanging="360"/>
      </w:pPr>
      <w:rPr>
        <w:rFonts w:ascii="Wingdings" w:hAnsi="Wingdings" w:hint="default"/>
      </w:rPr>
    </w:lvl>
  </w:abstractNum>
  <w:abstractNum w:abstractNumId="28" w15:restartNumberingAfterBreak="0">
    <w:nsid w:val="67796C5F"/>
    <w:multiLevelType w:val="hybridMultilevel"/>
    <w:tmpl w:val="854E65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6898596F"/>
    <w:multiLevelType w:val="hybridMultilevel"/>
    <w:tmpl w:val="7A267EE4"/>
    <w:lvl w:ilvl="0" w:tplc="8376AB58">
      <w:start w:val="1"/>
      <w:numFmt w:val="bullet"/>
      <w:lvlText w:val="-"/>
      <w:lvlJc w:val="left"/>
      <w:pPr>
        <w:ind w:left="360" w:hanging="360"/>
      </w:pPr>
      <w:rPr>
        <w:rFonts w:ascii="Calibri" w:hAnsi="Calibri" w:hint="default"/>
      </w:rPr>
    </w:lvl>
    <w:lvl w:ilvl="1" w:tplc="00786D40">
      <w:start w:val="1"/>
      <w:numFmt w:val="bullet"/>
      <w:lvlText w:val="o"/>
      <w:lvlJc w:val="left"/>
      <w:pPr>
        <w:ind w:left="1080" w:hanging="360"/>
      </w:pPr>
      <w:rPr>
        <w:rFonts w:ascii="Courier New" w:hAnsi="Courier New" w:hint="default"/>
      </w:rPr>
    </w:lvl>
    <w:lvl w:ilvl="2" w:tplc="9A4AA342">
      <w:start w:val="1"/>
      <w:numFmt w:val="bullet"/>
      <w:lvlText w:val=""/>
      <w:lvlJc w:val="left"/>
      <w:pPr>
        <w:ind w:left="1800" w:hanging="360"/>
      </w:pPr>
      <w:rPr>
        <w:rFonts w:ascii="Wingdings" w:hAnsi="Wingdings" w:hint="default"/>
      </w:rPr>
    </w:lvl>
    <w:lvl w:ilvl="3" w:tplc="B0B22DD2">
      <w:start w:val="1"/>
      <w:numFmt w:val="bullet"/>
      <w:lvlText w:val=""/>
      <w:lvlJc w:val="left"/>
      <w:pPr>
        <w:ind w:left="2520" w:hanging="360"/>
      </w:pPr>
      <w:rPr>
        <w:rFonts w:ascii="Symbol" w:hAnsi="Symbol" w:hint="default"/>
      </w:rPr>
    </w:lvl>
    <w:lvl w:ilvl="4" w:tplc="5C60463C">
      <w:start w:val="1"/>
      <w:numFmt w:val="bullet"/>
      <w:lvlText w:val="o"/>
      <w:lvlJc w:val="left"/>
      <w:pPr>
        <w:ind w:left="3240" w:hanging="360"/>
      </w:pPr>
      <w:rPr>
        <w:rFonts w:ascii="Courier New" w:hAnsi="Courier New" w:hint="default"/>
      </w:rPr>
    </w:lvl>
    <w:lvl w:ilvl="5" w:tplc="C99E2A20">
      <w:start w:val="1"/>
      <w:numFmt w:val="bullet"/>
      <w:lvlText w:val=""/>
      <w:lvlJc w:val="left"/>
      <w:pPr>
        <w:ind w:left="3960" w:hanging="360"/>
      </w:pPr>
      <w:rPr>
        <w:rFonts w:ascii="Wingdings" w:hAnsi="Wingdings" w:hint="default"/>
      </w:rPr>
    </w:lvl>
    <w:lvl w:ilvl="6" w:tplc="779C2E9A">
      <w:start w:val="1"/>
      <w:numFmt w:val="bullet"/>
      <w:lvlText w:val=""/>
      <w:lvlJc w:val="left"/>
      <w:pPr>
        <w:ind w:left="4680" w:hanging="360"/>
      </w:pPr>
      <w:rPr>
        <w:rFonts w:ascii="Symbol" w:hAnsi="Symbol" w:hint="default"/>
      </w:rPr>
    </w:lvl>
    <w:lvl w:ilvl="7" w:tplc="21C84E7A">
      <w:start w:val="1"/>
      <w:numFmt w:val="bullet"/>
      <w:lvlText w:val="o"/>
      <w:lvlJc w:val="left"/>
      <w:pPr>
        <w:ind w:left="5400" w:hanging="360"/>
      </w:pPr>
      <w:rPr>
        <w:rFonts w:ascii="Courier New" w:hAnsi="Courier New" w:hint="default"/>
      </w:rPr>
    </w:lvl>
    <w:lvl w:ilvl="8" w:tplc="1FEA9AB6">
      <w:start w:val="1"/>
      <w:numFmt w:val="bullet"/>
      <w:lvlText w:val=""/>
      <w:lvlJc w:val="left"/>
      <w:pPr>
        <w:ind w:left="6120" w:hanging="360"/>
      </w:pPr>
      <w:rPr>
        <w:rFonts w:ascii="Wingdings" w:hAnsi="Wingdings" w:hint="default"/>
      </w:rPr>
    </w:lvl>
  </w:abstractNum>
  <w:abstractNum w:abstractNumId="31" w15:restartNumberingAfterBreak="0">
    <w:nsid w:val="73DA37E1"/>
    <w:multiLevelType w:val="hybridMultilevel"/>
    <w:tmpl w:val="090A2B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A6EE2A7"/>
    <w:multiLevelType w:val="hybridMultilevel"/>
    <w:tmpl w:val="FFFFFFFF"/>
    <w:lvl w:ilvl="0" w:tplc="8DE642FE">
      <w:start w:val="1"/>
      <w:numFmt w:val="bullet"/>
      <w:lvlText w:val=""/>
      <w:lvlJc w:val="left"/>
      <w:pPr>
        <w:ind w:left="720" w:hanging="360"/>
      </w:pPr>
      <w:rPr>
        <w:rFonts w:ascii="Symbol" w:hAnsi="Symbol" w:hint="default"/>
      </w:rPr>
    </w:lvl>
    <w:lvl w:ilvl="1" w:tplc="76FC354C">
      <w:start w:val="1"/>
      <w:numFmt w:val="bullet"/>
      <w:lvlText w:val="o"/>
      <w:lvlJc w:val="left"/>
      <w:pPr>
        <w:ind w:left="1440" w:hanging="360"/>
      </w:pPr>
      <w:rPr>
        <w:rFonts w:ascii="Courier New" w:hAnsi="Courier New" w:hint="default"/>
      </w:rPr>
    </w:lvl>
    <w:lvl w:ilvl="2" w:tplc="F1A28D9E">
      <w:start w:val="1"/>
      <w:numFmt w:val="bullet"/>
      <w:lvlText w:val=""/>
      <w:lvlJc w:val="left"/>
      <w:pPr>
        <w:ind w:left="2160" w:hanging="360"/>
      </w:pPr>
      <w:rPr>
        <w:rFonts w:ascii="Wingdings" w:hAnsi="Wingdings" w:hint="default"/>
      </w:rPr>
    </w:lvl>
    <w:lvl w:ilvl="3" w:tplc="5C3A94C6">
      <w:start w:val="1"/>
      <w:numFmt w:val="bullet"/>
      <w:lvlText w:val=""/>
      <w:lvlJc w:val="left"/>
      <w:pPr>
        <w:ind w:left="2880" w:hanging="360"/>
      </w:pPr>
      <w:rPr>
        <w:rFonts w:ascii="Symbol" w:hAnsi="Symbol" w:hint="default"/>
      </w:rPr>
    </w:lvl>
    <w:lvl w:ilvl="4" w:tplc="0192C08A">
      <w:start w:val="1"/>
      <w:numFmt w:val="bullet"/>
      <w:lvlText w:val="o"/>
      <w:lvlJc w:val="left"/>
      <w:pPr>
        <w:ind w:left="3600" w:hanging="360"/>
      </w:pPr>
      <w:rPr>
        <w:rFonts w:ascii="Courier New" w:hAnsi="Courier New" w:hint="default"/>
      </w:rPr>
    </w:lvl>
    <w:lvl w:ilvl="5" w:tplc="FCFE4424">
      <w:start w:val="1"/>
      <w:numFmt w:val="bullet"/>
      <w:lvlText w:val=""/>
      <w:lvlJc w:val="left"/>
      <w:pPr>
        <w:ind w:left="4320" w:hanging="360"/>
      </w:pPr>
      <w:rPr>
        <w:rFonts w:ascii="Wingdings" w:hAnsi="Wingdings" w:hint="default"/>
      </w:rPr>
    </w:lvl>
    <w:lvl w:ilvl="6" w:tplc="7A929E52">
      <w:start w:val="1"/>
      <w:numFmt w:val="bullet"/>
      <w:lvlText w:val=""/>
      <w:lvlJc w:val="left"/>
      <w:pPr>
        <w:ind w:left="5040" w:hanging="360"/>
      </w:pPr>
      <w:rPr>
        <w:rFonts w:ascii="Symbol" w:hAnsi="Symbol" w:hint="default"/>
      </w:rPr>
    </w:lvl>
    <w:lvl w:ilvl="7" w:tplc="1E8C4600">
      <w:start w:val="1"/>
      <w:numFmt w:val="bullet"/>
      <w:lvlText w:val="o"/>
      <w:lvlJc w:val="left"/>
      <w:pPr>
        <w:ind w:left="5760" w:hanging="360"/>
      </w:pPr>
      <w:rPr>
        <w:rFonts w:ascii="Courier New" w:hAnsi="Courier New" w:hint="default"/>
      </w:rPr>
    </w:lvl>
    <w:lvl w:ilvl="8" w:tplc="E81C35C4">
      <w:start w:val="1"/>
      <w:numFmt w:val="bullet"/>
      <w:lvlText w:val=""/>
      <w:lvlJc w:val="left"/>
      <w:pPr>
        <w:ind w:left="6480" w:hanging="360"/>
      </w:pPr>
      <w:rPr>
        <w:rFonts w:ascii="Wingdings" w:hAnsi="Wingdings" w:hint="default"/>
      </w:r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6"/>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5"/>
  </w:num>
  <w:num w:numId="11">
    <w:abstractNumId w:val="18"/>
  </w:num>
  <w:num w:numId="12">
    <w:abstractNumId w:val="29"/>
  </w:num>
  <w:num w:numId="13">
    <w:abstractNumId w:val="16"/>
  </w:num>
  <w:num w:numId="14">
    <w:abstractNumId w:val="19"/>
  </w:num>
  <w:num w:numId="15">
    <w:abstractNumId w:val="12"/>
  </w:num>
  <w:num w:numId="16">
    <w:abstractNumId w:val="11"/>
  </w:num>
  <w:num w:numId="17">
    <w:abstractNumId w:val="20"/>
  </w:num>
  <w:num w:numId="18">
    <w:abstractNumId w:val="23"/>
  </w:num>
  <w:num w:numId="19">
    <w:abstractNumId w:val="24"/>
  </w:num>
  <w:num w:numId="20">
    <w:abstractNumId w:val="15"/>
  </w:num>
  <w:num w:numId="21">
    <w:abstractNumId w:val="22"/>
  </w:num>
  <w:num w:numId="22">
    <w:abstractNumId w:val="33"/>
  </w:num>
  <w:num w:numId="23">
    <w:abstractNumId w:val="8"/>
  </w:num>
  <w:num w:numId="24">
    <w:abstractNumId w:val="10"/>
  </w:num>
  <w:num w:numId="25">
    <w:abstractNumId w:val="27"/>
  </w:num>
  <w:num w:numId="26">
    <w:abstractNumId w:val="32"/>
  </w:num>
  <w:num w:numId="27">
    <w:abstractNumId w:val="9"/>
  </w:num>
  <w:num w:numId="28">
    <w:abstractNumId w:val="21"/>
  </w:num>
  <w:num w:numId="29">
    <w:abstractNumId w:val="30"/>
  </w:num>
  <w:num w:numId="30">
    <w:abstractNumId w:val="14"/>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8"/>
  </w:num>
  <w:num w:numId="35">
    <w:abstractNumId w:val="13"/>
  </w:num>
  <w:num w:numId="36">
    <w:abstractNumId w:val="31"/>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457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13&lt;/text&gt;_x000d__x000a_  &lt;/metadata&gt;_x000d__x000a_  &lt;metadata key=&quot;md_Prefix&quot;&gt;_x000d__x000a_    &lt;text&gt;&lt;/text&gt;_x000d__x000a_  &lt;/metadata&gt;_x000d__x000a_  &lt;metadata key=&quot;md_DocumentNumber&quot;&gt;_x000d__x000a_    &lt;text&gt;16877&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750&lt;/text&gt;_x000d__x000a_      &lt;text&gt;UEM 636&lt;/text&gt;_x000d__x000a_      &lt;text&gt;FIN 1563&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29 October 2021 on the approval of the assessment of the recovery and resilience plan for Finland.&quot;&gt;&amp;lt;FlowDocument xmlns=&quot;http://schemas.microsoft.com/winfx/2006/xaml/presentation&quot;&amp;gt;&amp;lt;Paragraph&amp;gt;Annex to the COUNCIL IMPLEMENTING DECISION amending the Implementing Decision of 29 October 2021 on the approval of the assessment of the recovery and resilience plan for Finland.&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ocuWriteMetaDataSource1" w:val="&lt;metadataset docuwriteversion=&quot;4.9.1&quot; technicalblockguid=&quot;5417781244054105483&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gt;_x000d__x000a_    &lt;basicdatatype&gt;_x000d__x000a_      &lt;dgname key=&quot;&quot; /&gt;_x000d__x000a_    &lt;/basicdatatype&gt;_x000d__x000a_  &lt;/metadata&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3-11-23&lt;/text&gt;_x000d__x000a_  &lt;/metadata&gt;_x000d__x000a_  &lt;metadata key=&quot;md_Prefix&quot;&gt;_x000d__x000a_    &lt;text&gt;&lt;/text&gt;_x000d__x000a_  &lt;/metadata&gt;_x000d__x000a_  &lt;metadata key=&quot;md_DocumentNumber&quot;&gt;_x000d__x000a_    &lt;text&gt;15836&lt;/text&gt;_x000d__x000a_  &lt;/metadata&gt;_x000d__x000a_  &lt;metadata key=&quot;md_YearDocumentNumber&quot;&gt;_x000d__x000a_    &lt;text&gt;2023&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257&lt;/text&gt;_x000d__x000a_      &lt;text&gt;UEM 406&lt;/text&gt;_x000d__x000a_      &lt;text&gt;FIN 1217&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3/0423(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amending Implementing Decision of 29 October 2021 on the approval of the assessment of the recovery and resilience plan for Finland&quot;&gt;&amp;lt;FlowDocument FontFamily=&quot;Segoe UI&quot; FontSize=&quot;12&quot; LineHeight=&quot;6&quot; PageWidth=&quot;329&quot; PagePadding=&quot;2,2,2,2&quot; AllowDrop=&quot;False&quot; xmlns=&quot;http://schemas.microsoft.com/winfx/2006/xaml/presentation&quot;&amp;gt;&amp;lt;Paragraph&amp;gt;ANNEX to the COUNCIL IMPLEMENTING DECISION amending Implementing Decision of 29 October 2021 on the approval of the assessment of the recovery and resilience plan for Finland&amp;lt;/Paragraph&amp;gt;&amp;lt;/FlowDocument&amp;gt;&lt;/xaml&gt;_x000d__x000a_  &lt;/metadata&gt;_x000d__x000a_  &lt;metadata key=&quot;md_SubjectFootnote&quot; /&gt;_x000d__x000a_  &lt;metadata key=&quot;md_DG&quot;&gt;_x000d__x000a_    &lt;text&gt;ECOFIN 1A&lt;/text&gt;_x000d__x000a_  &lt;/metadata&gt;_x000d__x000a_  &lt;metadata key=&quot;md_Initials&quot;&gt;_x000d__x000a_    &lt;text&gt;JGR/sr&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lt;/text&gt;_x000d__x000a_  &lt;/metadata&gt;_x000d__x000a_  &lt;metadata key=&quot;md_Rectif_Source2_Suffixes&quot;&gt;_x000d__x000a_    &lt;text&gt;&lt;/text&gt;_x000d__x000a_  &lt;/metadata&gt;_x000d__x000a_  &lt;metadata key=&quot;md_CoverPageDocWithCouncilFooter&quot;&gt;_x000d__x000a_    &lt;text&gt;true&lt;/text&gt;_x000d__x000a_  &lt;/metadata&gt;_x000d__x000a_  &lt;metadata key=&quot;md_SourceDocLanguage&quot;&gt;_x000d__x000a_    &lt;text&gt;EN&lt;/text&gt;_x000d__x000a_  &lt;/metadata&gt;_x000d__x000a_  &lt;metadata key=&quot;md_SourceDocType&quot;&gt;_x000d__x000a_    &lt;text&gt;ANNEX_x000d__x000a_&lt;/text&gt;_x000d__x000a_  &lt;/metadata&gt;_x000d__x000a_  &lt;metadata key=&quot;md_SourceDocTitle&quot;&gt;_x000d__x000a_    &lt;text&gt;to the _x000d__x000a_Proposal for a COUNCIL IMPLEMENTING DECISION _x000d__x000a_amending Implementing Decision (EU) (ST 12524/21 INIT and ST 12524/21 ADD 1) of 29 October 2021 on the approval of the assessment of the recovery and resilience plan for Finland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KeepCompatibilityMode" w:val="true"/>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3E215AA4-E874-430D-BBE4-C2640A3ABDC5"/>
    <w:docVar w:name="LW_COVERPAGE_TYPE" w:val="1"/>
    <w:docVar w:name="LW_CROSSREFERENCE" w:val="&lt;UNUSED&gt;"/>
    <w:docVar w:name="LW_DocType" w:val="NORMAL"/>
    <w:docVar w:name="LW_EMISSION" w:val="18.6.2026"/>
    <w:docVar w:name="LW_EMISSION_ISODATE" w:val="2026-06-18"/>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29 October 2021 on the approval of the assessment of the recovery and resilience plan for Finland_x000d__x000d__x000d__x000d__x000d__x000d__x000d__x000b_"/>
    <w:docVar w:name="LW_PART_NBR" w:val="1"/>
    <w:docVar w:name="LW_PART_NBR_TOTAL" w:val="1"/>
    <w:docVar w:name="LW_REF.INST.NEW" w:val="COM"/>
    <w:docVar w:name="LW_REF.INST.NEW_ADOPTED" w:val="final"/>
    <w:docVar w:name="LW_REF.INST.NEW_TEXT" w:val="(2026) 30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A86151"/>
    <w:rsid w:val="00000529"/>
    <w:rsid w:val="00000637"/>
    <w:rsid w:val="0000089C"/>
    <w:rsid w:val="00000943"/>
    <w:rsid w:val="00000D42"/>
    <w:rsid w:val="000022E1"/>
    <w:rsid w:val="0000273A"/>
    <w:rsid w:val="00002BE4"/>
    <w:rsid w:val="00002C68"/>
    <w:rsid w:val="00003265"/>
    <w:rsid w:val="000033FB"/>
    <w:rsid w:val="000039AF"/>
    <w:rsid w:val="00004820"/>
    <w:rsid w:val="000049F5"/>
    <w:rsid w:val="00004B59"/>
    <w:rsid w:val="00004BD9"/>
    <w:rsid w:val="00004E72"/>
    <w:rsid w:val="000052A0"/>
    <w:rsid w:val="00005929"/>
    <w:rsid w:val="00005CAD"/>
    <w:rsid w:val="00006412"/>
    <w:rsid w:val="0000652E"/>
    <w:rsid w:val="0000669D"/>
    <w:rsid w:val="00006815"/>
    <w:rsid w:val="000073C6"/>
    <w:rsid w:val="000075DD"/>
    <w:rsid w:val="00011046"/>
    <w:rsid w:val="00011400"/>
    <w:rsid w:val="000116AE"/>
    <w:rsid w:val="00011B58"/>
    <w:rsid w:val="00011CBF"/>
    <w:rsid w:val="00011E76"/>
    <w:rsid w:val="000125CB"/>
    <w:rsid w:val="000128E3"/>
    <w:rsid w:val="000135F0"/>
    <w:rsid w:val="00013E3D"/>
    <w:rsid w:val="00013F5C"/>
    <w:rsid w:val="0001473E"/>
    <w:rsid w:val="00014BE1"/>
    <w:rsid w:val="00014D8F"/>
    <w:rsid w:val="00014E3C"/>
    <w:rsid w:val="00015B93"/>
    <w:rsid w:val="00015E1F"/>
    <w:rsid w:val="000167AA"/>
    <w:rsid w:val="00017550"/>
    <w:rsid w:val="0001756A"/>
    <w:rsid w:val="00017A4B"/>
    <w:rsid w:val="00017BCC"/>
    <w:rsid w:val="00017E90"/>
    <w:rsid w:val="00020078"/>
    <w:rsid w:val="0002008D"/>
    <w:rsid w:val="000207A1"/>
    <w:rsid w:val="00020F9A"/>
    <w:rsid w:val="00021036"/>
    <w:rsid w:val="00021B64"/>
    <w:rsid w:val="00021FA4"/>
    <w:rsid w:val="0002339E"/>
    <w:rsid w:val="000234D8"/>
    <w:rsid w:val="000235CC"/>
    <w:rsid w:val="000240BD"/>
    <w:rsid w:val="000241AC"/>
    <w:rsid w:val="00024DAD"/>
    <w:rsid w:val="00025002"/>
    <w:rsid w:val="0002558C"/>
    <w:rsid w:val="000255F6"/>
    <w:rsid w:val="00026705"/>
    <w:rsid w:val="0002695B"/>
    <w:rsid w:val="00026E98"/>
    <w:rsid w:val="00027DE0"/>
    <w:rsid w:val="000301BE"/>
    <w:rsid w:val="00030EBD"/>
    <w:rsid w:val="000318C2"/>
    <w:rsid w:val="000329E1"/>
    <w:rsid w:val="00032AC9"/>
    <w:rsid w:val="00032CAC"/>
    <w:rsid w:val="00033036"/>
    <w:rsid w:val="00033299"/>
    <w:rsid w:val="000334BC"/>
    <w:rsid w:val="000339E8"/>
    <w:rsid w:val="00033C0C"/>
    <w:rsid w:val="00033D3D"/>
    <w:rsid w:val="00033FFB"/>
    <w:rsid w:val="00034435"/>
    <w:rsid w:val="00034A20"/>
    <w:rsid w:val="000357BF"/>
    <w:rsid w:val="00035A41"/>
    <w:rsid w:val="000360C3"/>
    <w:rsid w:val="00036537"/>
    <w:rsid w:val="0003694B"/>
    <w:rsid w:val="00037119"/>
    <w:rsid w:val="00037563"/>
    <w:rsid w:val="0003780D"/>
    <w:rsid w:val="000402CF"/>
    <w:rsid w:val="000405FB"/>
    <w:rsid w:val="000407F2"/>
    <w:rsid w:val="0004080F"/>
    <w:rsid w:val="00040B06"/>
    <w:rsid w:val="000410DF"/>
    <w:rsid w:val="000411C8"/>
    <w:rsid w:val="00041219"/>
    <w:rsid w:val="000425C5"/>
    <w:rsid w:val="00042EB1"/>
    <w:rsid w:val="0004352A"/>
    <w:rsid w:val="00043A77"/>
    <w:rsid w:val="00043B24"/>
    <w:rsid w:val="00044111"/>
    <w:rsid w:val="000441A4"/>
    <w:rsid w:val="00044763"/>
    <w:rsid w:val="00044B01"/>
    <w:rsid w:val="000457F9"/>
    <w:rsid w:val="00045D5C"/>
    <w:rsid w:val="00045FA1"/>
    <w:rsid w:val="0004775B"/>
    <w:rsid w:val="00050683"/>
    <w:rsid w:val="00050B25"/>
    <w:rsid w:val="00050B9B"/>
    <w:rsid w:val="00050FAE"/>
    <w:rsid w:val="00051051"/>
    <w:rsid w:val="00051423"/>
    <w:rsid w:val="000517D8"/>
    <w:rsid w:val="0005181D"/>
    <w:rsid w:val="00052203"/>
    <w:rsid w:val="00052404"/>
    <w:rsid w:val="00052D7C"/>
    <w:rsid w:val="0005328B"/>
    <w:rsid w:val="00054FC6"/>
    <w:rsid w:val="00055687"/>
    <w:rsid w:val="000556FC"/>
    <w:rsid w:val="00055D54"/>
    <w:rsid w:val="00056351"/>
    <w:rsid w:val="000565CD"/>
    <w:rsid w:val="00056C68"/>
    <w:rsid w:val="00057033"/>
    <w:rsid w:val="000570AD"/>
    <w:rsid w:val="00057185"/>
    <w:rsid w:val="00060165"/>
    <w:rsid w:val="000602E1"/>
    <w:rsid w:val="00060A23"/>
    <w:rsid w:val="0006139A"/>
    <w:rsid w:val="000621DD"/>
    <w:rsid w:val="00062383"/>
    <w:rsid w:val="00062B0A"/>
    <w:rsid w:val="000636AF"/>
    <w:rsid w:val="00064B97"/>
    <w:rsid w:val="000650E8"/>
    <w:rsid w:val="00065200"/>
    <w:rsid w:val="0006521A"/>
    <w:rsid w:val="0006606F"/>
    <w:rsid w:val="000660E8"/>
    <w:rsid w:val="0006628C"/>
    <w:rsid w:val="00066587"/>
    <w:rsid w:val="00066B84"/>
    <w:rsid w:val="00067A55"/>
    <w:rsid w:val="000703CB"/>
    <w:rsid w:val="000713EB"/>
    <w:rsid w:val="0007183E"/>
    <w:rsid w:val="000718E3"/>
    <w:rsid w:val="0007191B"/>
    <w:rsid w:val="00071C0D"/>
    <w:rsid w:val="000723A8"/>
    <w:rsid w:val="000729EF"/>
    <w:rsid w:val="00072DFB"/>
    <w:rsid w:val="00073068"/>
    <w:rsid w:val="00073572"/>
    <w:rsid w:val="00073ADB"/>
    <w:rsid w:val="00073D2B"/>
    <w:rsid w:val="000746D5"/>
    <w:rsid w:val="00074D9E"/>
    <w:rsid w:val="00074DE9"/>
    <w:rsid w:val="00074E89"/>
    <w:rsid w:val="00075D72"/>
    <w:rsid w:val="000766D6"/>
    <w:rsid w:val="00076772"/>
    <w:rsid w:val="00076C14"/>
    <w:rsid w:val="00076E05"/>
    <w:rsid w:val="000772A7"/>
    <w:rsid w:val="0007755E"/>
    <w:rsid w:val="00077C96"/>
    <w:rsid w:val="0008003B"/>
    <w:rsid w:val="0008020E"/>
    <w:rsid w:val="00080280"/>
    <w:rsid w:val="00080B09"/>
    <w:rsid w:val="00080CF3"/>
    <w:rsid w:val="00081B4D"/>
    <w:rsid w:val="00081BC0"/>
    <w:rsid w:val="00081FF9"/>
    <w:rsid w:val="0008465D"/>
    <w:rsid w:val="00084882"/>
    <w:rsid w:val="000848C2"/>
    <w:rsid w:val="000849B5"/>
    <w:rsid w:val="00084A16"/>
    <w:rsid w:val="00084D6A"/>
    <w:rsid w:val="00084E3E"/>
    <w:rsid w:val="000852DD"/>
    <w:rsid w:val="000854EA"/>
    <w:rsid w:val="0008559E"/>
    <w:rsid w:val="000859B7"/>
    <w:rsid w:val="00085A57"/>
    <w:rsid w:val="00085E93"/>
    <w:rsid w:val="00085FA3"/>
    <w:rsid w:val="000864B6"/>
    <w:rsid w:val="00086851"/>
    <w:rsid w:val="000868F1"/>
    <w:rsid w:val="00086D93"/>
    <w:rsid w:val="00086FA9"/>
    <w:rsid w:val="0008758D"/>
    <w:rsid w:val="00087AF4"/>
    <w:rsid w:val="00087BD1"/>
    <w:rsid w:val="0009045F"/>
    <w:rsid w:val="0009107B"/>
    <w:rsid w:val="00091874"/>
    <w:rsid w:val="000920C3"/>
    <w:rsid w:val="0009269C"/>
    <w:rsid w:val="00092BC7"/>
    <w:rsid w:val="000931E7"/>
    <w:rsid w:val="000933A6"/>
    <w:rsid w:val="000936D7"/>
    <w:rsid w:val="00094288"/>
    <w:rsid w:val="00094AFF"/>
    <w:rsid w:val="00095443"/>
    <w:rsid w:val="00095660"/>
    <w:rsid w:val="00095F95"/>
    <w:rsid w:val="000966C7"/>
    <w:rsid w:val="000969DA"/>
    <w:rsid w:val="00097A7D"/>
    <w:rsid w:val="00097D31"/>
    <w:rsid w:val="000A0BC0"/>
    <w:rsid w:val="000A1413"/>
    <w:rsid w:val="000A1841"/>
    <w:rsid w:val="000A1AFF"/>
    <w:rsid w:val="000A203E"/>
    <w:rsid w:val="000A24B1"/>
    <w:rsid w:val="000A2568"/>
    <w:rsid w:val="000A349F"/>
    <w:rsid w:val="000A35F3"/>
    <w:rsid w:val="000A4A4B"/>
    <w:rsid w:val="000A4BFD"/>
    <w:rsid w:val="000A586D"/>
    <w:rsid w:val="000A65A8"/>
    <w:rsid w:val="000A69E2"/>
    <w:rsid w:val="000A6B53"/>
    <w:rsid w:val="000A6B57"/>
    <w:rsid w:val="000A6C09"/>
    <w:rsid w:val="000A6C3B"/>
    <w:rsid w:val="000A6D2E"/>
    <w:rsid w:val="000A72C0"/>
    <w:rsid w:val="000A7943"/>
    <w:rsid w:val="000A7DF9"/>
    <w:rsid w:val="000B02E7"/>
    <w:rsid w:val="000B0575"/>
    <w:rsid w:val="000B1AC4"/>
    <w:rsid w:val="000B1ECE"/>
    <w:rsid w:val="000B2095"/>
    <w:rsid w:val="000B23F2"/>
    <w:rsid w:val="000B2513"/>
    <w:rsid w:val="000B2593"/>
    <w:rsid w:val="000B2950"/>
    <w:rsid w:val="000B302F"/>
    <w:rsid w:val="000B36FA"/>
    <w:rsid w:val="000B3777"/>
    <w:rsid w:val="000B38A2"/>
    <w:rsid w:val="000B3BCE"/>
    <w:rsid w:val="000B4499"/>
    <w:rsid w:val="000B4984"/>
    <w:rsid w:val="000B5F28"/>
    <w:rsid w:val="000B67A2"/>
    <w:rsid w:val="000B6A88"/>
    <w:rsid w:val="000B6CE5"/>
    <w:rsid w:val="000B6F13"/>
    <w:rsid w:val="000B78BE"/>
    <w:rsid w:val="000C0D05"/>
    <w:rsid w:val="000C116F"/>
    <w:rsid w:val="000C13E0"/>
    <w:rsid w:val="000C173F"/>
    <w:rsid w:val="000C1913"/>
    <w:rsid w:val="000C217C"/>
    <w:rsid w:val="000C317A"/>
    <w:rsid w:val="000C32BA"/>
    <w:rsid w:val="000C3367"/>
    <w:rsid w:val="000C478C"/>
    <w:rsid w:val="000C4B4A"/>
    <w:rsid w:val="000C4E7C"/>
    <w:rsid w:val="000C4FE7"/>
    <w:rsid w:val="000C50EA"/>
    <w:rsid w:val="000C5352"/>
    <w:rsid w:val="000C56C5"/>
    <w:rsid w:val="000C5833"/>
    <w:rsid w:val="000C7126"/>
    <w:rsid w:val="000C7F8C"/>
    <w:rsid w:val="000D04EB"/>
    <w:rsid w:val="000D097F"/>
    <w:rsid w:val="000D0CFE"/>
    <w:rsid w:val="000D1870"/>
    <w:rsid w:val="000D2D72"/>
    <w:rsid w:val="000D306C"/>
    <w:rsid w:val="000D31F5"/>
    <w:rsid w:val="000D34C6"/>
    <w:rsid w:val="000D38B4"/>
    <w:rsid w:val="000D3FF3"/>
    <w:rsid w:val="000D40BC"/>
    <w:rsid w:val="000D4285"/>
    <w:rsid w:val="000D49FE"/>
    <w:rsid w:val="000D4FAB"/>
    <w:rsid w:val="000D517D"/>
    <w:rsid w:val="000D58E7"/>
    <w:rsid w:val="000D64DE"/>
    <w:rsid w:val="000D79F1"/>
    <w:rsid w:val="000D7A2A"/>
    <w:rsid w:val="000E0661"/>
    <w:rsid w:val="000E149C"/>
    <w:rsid w:val="000E1607"/>
    <w:rsid w:val="000E1A61"/>
    <w:rsid w:val="000E1D37"/>
    <w:rsid w:val="000E2EFF"/>
    <w:rsid w:val="000E39F2"/>
    <w:rsid w:val="000E56F1"/>
    <w:rsid w:val="000E5820"/>
    <w:rsid w:val="000E5CAA"/>
    <w:rsid w:val="000E5D04"/>
    <w:rsid w:val="000E676E"/>
    <w:rsid w:val="000E6A7B"/>
    <w:rsid w:val="000E6B34"/>
    <w:rsid w:val="000E6D6D"/>
    <w:rsid w:val="000E7537"/>
    <w:rsid w:val="000E7952"/>
    <w:rsid w:val="000E7E29"/>
    <w:rsid w:val="000E7FC2"/>
    <w:rsid w:val="000F03FE"/>
    <w:rsid w:val="000F056C"/>
    <w:rsid w:val="000F098C"/>
    <w:rsid w:val="000F0A68"/>
    <w:rsid w:val="000F1164"/>
    <w:rsid w:val="000F1437"/>
    <w:rsid w:val="000F1815"/>
    <w:rsid w:val="000F1CE8"/>
    <w:rsid w:val="000F281C"/>
    <w:rsid w:val="000F2A12"/>
    <w:rsid w:val="000F2BF6"/>
    <w:rsid w:val="000F2C98"/>
    <w:rsid w:val="000F2E37"/>
    <w:rsid w:val="000F3161"/>
    <w:rsid w:val="000F3E3A"/>
    <w:rsid w:val="000F3F37"/>
    <w:rsid w:val="000F4406"/>
    <w:rsid w:val="000F449A"/>
    <w:rsid w:val="000F475F"/>
    <w:rsid w:val="000F4BBB"/>
    <w:rsid w:val="000F52DF"/>
    <w:rsid w:val="000F5664"/>
    <w:rsid w:val="000F575D"/>
    <w:rsid w:val="000F59FE"/>
    <w:rsid w:val="000F5FDE"/>
    <w:rsid w:val="000F62D6"/>
    <w:rsid w:val="000F6761"/>
    <w:rsid w:val="000F6DAA"/>
    <w:rsid w:val="000F6FF6"/>
    <w:rsid w:val="000F731D"/>
    <w:rsid w:val="000F7520"/>
    <w:rsid w:val="000F7C84"/>
    <w:rsid w:val="00100558"/>
    <w:rsid w:val="001006D3"/>
    <w:rsid w:val="001007B3"/>
    <w:rsid w:val="0010084B"/>
    <w:rsid w:val="00100B85"/>
    <w:rsid w:val="00101F69"/>
    <w:rsid w:val="001026C5"/>
    <w:rsid w:val="00102D77"/>
    <w:rsid w:val="001035B8"/>
    <w:rsid w:val="00103CEA"/>
    <w:rsid w:val="00104620"/>
    <w:rsid w:val="00104EDB"/>
    <w:rsid w:val="001055C7"/>
    <w:rsid w:val="00105B39"/>
    <w:rsid w:val="001061E1"/>
    <w:rsid w:val="00106A25"/>
    <w:rsid w:val="00106CAC"/>
    <w:rsid w:val="00107025"/>
    <w:rsid w:val="001072F2"/>
    <w:rsid w:val="00107BD0"/>
    <w:rsid w:val="00110030"/>
    <w:rsid w:val="00110440"/>
    <w:rsid w:val="0011054A"/>
    <w:rsid w:val="001108EB"/>
    <w:rsid w:val="001108FB"/>
    <w:rsid w:val="00110C91"/>
    <w:rsid w:val="001116D4"/>
    <w:rsid w:val="001118C2"/>
    <w:rsid w:val="00111D75"/>
    <w:rsid w:val="00111F84"/>
    <w:rsid w:val="00112264"/>
    <w:rsid w:val="00112A14"/>
    <w:rsid w:val="00112CAE"/>
    <w:rsid w:val="0011346C"/>
    <w:rsid w:val="001136A2"/>
    <w:rsid w:val="00113862"/>
    <w:rsid w:val="00113BA4"/>
    <w:rsid w:val="00114083"/>
    <w:rsid w:val="00114F54"/>
    <w:rsid w:val="0011551A"/>
    <w:rsid w:val="001157DB"/>
    <w:rsid w:val="0011586A"/>
    <w:rsid w:val="0011594B"/>
    <w:rsid w:val="00116774"/>
    <w:rsid w:val="00117668"/>
    <w:rsid w:val="001177E4"/>
    <w:rsid w:val="00120AC7"/>
    <w:rsid w:val="00120AD4"/>
    <w:rsid w:val="00120AE9"/>
    <w:rsid w:val="00121829"/>
    <w:rsid w:val="00122105"/>
    <w:rsid w:val="00122680"/>
    <w:rsid w:val="0012297B"/>
    <w:rsid w:val="00122C77"/>
    <w:rsid w:val="00122ED5"/>
    <w:rsid w:val="00123900"/>
    <w:rsid w:val="00123C55"/>
    <w:rsid w:val="0012457B"/>
    <w:rsid w:val="00124862"/>
    <w:rsid w:val="00124E26"/>
    <w:rsid w:val="001251D5"/>
    <w:rsid w:val="00125C9F"/>
    <w:rsid w:val="00126AC0"/>
    <w:rsid w:val="001270A8"/>
    <w:rsid w:val="001274E5"/>
    <w:rsid w:val="001275BE"/>
    <w:rsid w:val="00127DCF"/>
    <w:rsid w:val="0013000E"/>
    <w:rsid w:val="001302D3"/>
    <w:rsid w:val="00130305"/>
    <w:rsid w:val="00130645"/>
    <w:rsid w:val="001313DB"/>
    <w:rsid w:val="001314BC"/>
    <w:rsid w:val="00131BFE"/>
    <w:rsid w:val="00132322"/>
    <w:rsid w:val="00132843"/>
    <w:rsid w:val="00132C0C"/>
    <w:rsid w:val="001336EA"/>
    <w:rsid w:val="001339A6"/>
    <w:rsid w:val="001339F5"/>
    <w:rsid w:val="00133FA6"/>
    <w:rsid w:val="00134215"/>
    <w:rsid w:val="001342D8"/>
    <w:rsid w:val="00134484"/>
    <w:rsid w:val="00134692"/>
    <w:rsid w:val="00134C95"/>
    <w:rsid w:val="00135369"/>
    <w:rsid w:val="001367B0"/>
    <w:rsid w:val="00137276"/>
    <w:rsid w:val="001378AD"/>
    <w:rsid w:val="00137FB3"/>
    <w:rsid w:val="001407C0"/>
    <w:rsid w:val="001411EB"/>
    <w:rsid w:val="00141577"/>
    <w:rsid w:val="00141632"/>
    <w:rsid w:val="00141E51"/>
    <w:rsid w:val="00143068"/>
    <w:rsid w:val="0014312A"/>
    <w:rsid w:val="00143473"/>
    <w:rsid w:val="00143B57"/>
    <w:rsid w:val="00144D59"/>
    <w:rsid w:val="00144FF1"/>
    <w:rsid w:val="00145FD6"/>
    <w:rsid w:val="00146169"/>
    <w:rsid w:val="001466F3"/>
    <w:rsid w:val="00146E20"/>
    <w:rsid w:val="00147185"/>
    <w:rsid w:val="001472B7"/>
    <w:rsid w:val="0015042F"/>
    <w:rsid w:val="001514A8"/>
    <w:rsid w:val="001514AC"/>
    <w:rsid w:val="00151B15"/>
    <w:rsid w:val="00151B80"/>
    <w:rsid w:val="00151FBD"/>
    <w:rsid w:val="001522EB"/>
    <w:rsid w:val="0015260E"/>
    <w:rsid w:val="00152CE4"/>
    <w:rsid w:val="00152E03"/>
    <w:rsid w:val="00152EB3"/>
    <w:rsid w:val="00152FB3"/>
    <w:rsid w:val="00153134"/>
    <w:rsid w:val="00153371"/>
    <w:rsid w:val="0015427A"/>
    <w:rsid w:val="0015486B"/>
    <w:rsid w:val="00154CBC"/>
    <w:rsid w:val="00157791"/>
    <w:rsid w:val="0015785A"/>
    <w:rsid w:val="00157933"/>
    <w:rsid w:val="00157AA3"/>
    <w:rsid w:val="0016028E"/>
    <w:rsid w:val="00160B57"/>
    <w:rsid w:val="00160F06"/>
    <w:rsid w:val="00161DEB"/>
    <w:rsid w:val="001624C6"/>
    <w:rsid w:val="001625C5"/>
    <w:rsid w:val="001626D1"/>
    <w:rsid w:val="00162E34"/>
    <w:rsid w:val="00162E84"/>
    <w:rsid w:val="00163297"/>
    <w:rsid w:val="0016349C"/>
    <w:rsid w:val="00163543"/>
    <w:rsid w:val="00163AE0"/>
    <w:rsid w:val="00163FAF"/>
    <w:rsid w:val="00164049"/>
    <w:rsid w:val="00164B40"/>
    <w:rsid w:val="00164D65"/>
    <w:rsid w:val="00164EEB"/>
    <w:rsid w:val="00166571"/>
    <w:rsid w:val="00167B0E"/>
    <w:rsid w:val="00167E1E"/>
    <w:rsid w:val="00167FD5"/>
    <w:rsid w:val="00170215"/>
    <w:rsid w:val="001713B8"/>
    <w:rsid w:val="00171768"/>
    <w:rsid w:val="00171BA5"/>
    <w:rsid w:val="00171C16"/>
    <w:rsid w:val="00172436"/>
    <w:rsid w:val="00172478"/>
    <w:rsid w:val="00172E8E"/>
    <w:rsid w:val="00173399"/>
    <w:rsid w:val="00173588"/>
    <w:rsid w:val="00173A1F"/>
    <w:rsid w:val="00173F16"/>
    <w:rsid w:val="001740B5"/>
    <w:rsid w:val="00174C28"/>
    <w:rsid w:val="00174EE0"/>
    <w:rsid w:val="00175559"/>
    <w:rsid w:val="00175C1A"/>
    <w:rsid w:val="00176335"/>
    <w:rsid w:val="001764CE"/>
    <w:rsid w:val="001767A9"/>
    <w:rsid w:val="00176964"/>
    <w:rsid w:val="00177538"/>
    <w:rsid w:val="001811AC"/>
    <w:rsid w:val="001814D8"/>
    <w:rsid w:val="0018205C"/>
    <w:rsid w:val="0018218A"/>
    <w:rsid w:val="00182641"/>
    <w:rsid w:val="00182956"/>
    <w:rsid w:val="00182D42"/>
    <w:rsid w:val="00184EB9"/>
    <w:rsid w:val="00185701"/>
    <w:rsid w:val="00185852"/>
    <w:rsid w:val="00186908"/>
    <w:rsid w:val="0018698D"/>
    <w:rsid w:val="00186B98"/>
    <w:rsid w:val="00190574"/>
    <w:rsid w:val="00191050"/>
    <w:rsid w:val="001920BA"/>
    <w:rsid w:val="00192713"/>
    <w:rsid w:val="00192B8A"/>
    <w:rsid w:val="00192F20"/>
    <w:rsid w:val="00192FB2"/>
    <w:rsid w:val="00193558"/>
    <w:rsid w:val="00193AE1"/>
    <w:rsid w:val="00193D4F"/>
    <w:rsid w:val="00194339"/>
    <w:rsid w:val="0019458F"/>
    <w:rsid w:val="00195C31"/>
    <w:rsid w:val="00196F7D"/>
    <w:rsid w:val="001976AC"/>
    <w:rsid w:val="00197AC5"/>
    <w:rsid w:val="00197C9E"/>
    <w:rsid w:val="001A0044"/>
    <w:rsid w:val="001A07F7"/>
    <w:rsid w:val="001A12E2"/>
    <w:rsid w:val="001A1867"/>
    <w:rsid w:val="001A214D"/>
    <w:rsid w:val="001A2163"/>
    <w:rsid w:val="001A251C"/>
    <w:rsid w:val="001A266C"/>
    <w:rsid w:val="001A3761"/>
    <w:rsid w:val="001A393D"/>
    <w:rsid w:val="001A4297"/>
    <w:rsid w:val="001A498E"/>
    <w:rsid w:val="001A4EE4"/>
    <w:rsid w:val="001A53A5"/>
    <w:rsid w:val="001A555C"/>
    <w:rsid w:val="001A625C"/>
    <w:rsid w:val="001A63C2"/>
    <w:rsid w:val="001A6491"/>
    <w:rsid w:val="001A71E8"/>
    <w:rsid w:val="001A72FF"/>
    <w:rsid w:val="001A7395"/>
    <w:rsid w:val="001A756C"/>
    <w:rsid w:val="001A75B3"/>
    <w:rsid w:val="001A7768"/>
    <w:rsid w:val="001A79C9"/>
    <w:rsid w:val="001B07E5"/>
    <w:rsid w:val="001B0AAD"/>
    <w:rsid w:val="001B265F"/>
    <w:rsid w:val="001B27BB"/>
    <w:rsid w:val="001B2DB7"/>
    <w:rsid w:val="001B2E19"/>
    <w:rsid w:val="001B34AB"/>
    <w:rsid w:val="001B36F7"/>
    <w:rsid w:val="001B3837"/>
    <w:rsid w:val="001B47C1"/>
    <w:rsid w:val="001B4C51"/>
    <w:rsid w:val="001B561F"/>
    <w:rsid w:val="001B5A60"/>
    <w:rsid w:val="001B61BC"/>
    <w:rsid w:val="001B631E"/>
    <w:rsid w:val="001B64B4"/>
    <w:rsid w:val="001B67B7"/>
    <w:rsid w:val="001B6C27"/>
    <w:rsid w:val="001B6DFE"/>
    <w:rsid w:val="001B7313"/>
    <w:rsid w:val="001B738F"/>
    <w:rsid w:val="001B782A"/>
    <w:rsid w:val="001C0930"/>
    <w:rsid w:val="001C0BEA"/>
    <w:rsid w:val="001C0DFB"/>
    <w:rsid w:val="001C1303"/>
    <w:rsid w:val="001C16E9"/>
    <w:rsid w:val="001C175B"/>
    <w:rsid w:val="001C1854"/>
    <w:rsid w:val="001C1D8B"/>
    <w:rsid w:val="001C21D5"/>
    <w:rsid w:val="001C23CC"/>
    <w:rsid w:val="001C273E"/>
    <w:rsid w:val="001C2911"/>
    <w:rsid w:val="001C2959"/>
    <w:rsid w:val="001C2970"/>
    <w:rsid w:val="001C2D87"/>
    <w:rsid w:val="001C2F46"/>
    <w:rsid w:val="001C302F"/>
    <w:rsid w:val="001C3862"/>
    <w:rsid w:val="001C40BB"/>
    <w:rsid w:val="001C4388"/>
    <w:rsid w:val="001C4D3A"/>
    <w:rsid w:val="001C517A"/>
    <w:rsid w:val="001C587B"/>
    <w:rsid w:val="001C5BD5"/>
    <w:rsid w:val="001C6046"/>
    <w:rsid w:val="001C6200"/>
    <w:rsid w:val="001C6CE4"/>
    <w:rsid w:val="001C7771"/>
    <w:rsid w:val="001C796F"/>
    <w:rsid w:val="001C7BB2"/>
    <w:rsid w:val="001C7C97"/>
    <w:rsid w:val="001C7E18"/>
    <w:rsid w:val="001D0C6F"/>
    <w:rsid w:val="001D12FD"/>
    <w:rsid w:val="001D1682"/>
    <w:rsid w:val="001D16BE"/>
    <w:rsid w:val="001D1AF2"/>
    <w:rsid w:val="001D1CF2"/>
    <w:rsid w:val="001D20BE"/>
    <w:rsid w:val="001D262D"/>
    <w:rsid w:val="001D2835"/>
    <w:rsid w:val="001D2AE9"/>
    <w:rsid w:val="001D302E"/>
    <w:rsid w:val="001D3268"/>
    <w:rsid w:val="001D3577"/>
    <w:rsid w:val="001D35F5"/>
    <w:rsid w:val="001D38D2"/>
    <w:rsid w:val="001D433C"/>
    <w:rsid w:val="001D4417"/>
    <w:rsid w:val="001D475F"/>
    <w:rsid w:val="001D4A06"/>
    <w:rsid w:val="001D5326"/>
    <w:rsid w:val="001D5847"/>
    <w:rsid w:val="001D5CF4"/>
    <w:rsid w:val="001D6139"/>
    <w:rsid w:val="001D75A7"/>
    <w:rsid w:val="001D7C24"/>
    <w:rsid w:val="001D7ED8"/>
    <w:rsid w:val="001D7F1D"/>
    <w:rsid w:val="001E0C9E"/>
    <w:rsid w:val="001E0E38"/>
    <w:rsid w:val="001E1079"/>
    <w:rsid w:val="001E2694"/>
    <w:rsid w:val="001E2913"/>
    <w:rsid w:val="001E2A0C"/>
    <w:rsid w:val="001E2DBE"/>
    <w:rsid w:val="001E38F6"/>
    <w:rsid w:val="001E3A07"/>
    <w:rsid w:val="001E3B3E"/>
    <w:rsid w:val="001E3C33"/>
    <w:rsid w:val="001E4065"/>
    <w:rsid w:val="001E56C7"/>
    <w:rsid w:val="001E58E7"/>
    <w:rsid w:val="001E6119"/>
    <w:rsid w:val="001E641D"/>
    <w:rsid w:val="001E6D65"/>
    <w:rsid w:val="001E6E3B"/>
    <w:rsid w:val="001E7045"/>
    <w:rsid w:val="001E7210"/>
    <w:rsid w:val="001E77C5"/>
    <w:rsid w:val="001E7BF5"/>
    <w:rsid w:val="001F066F"/>
    <w:rsid w:val="001F0D09"/>
    <w:rsid w:val="001F0D85"/>
    <w:rsid w:val="001F117A"/>
    <w:rsid w:val="001F157F"/>
    <w:rsid w:val="001F15AF"/>
    <w:rsid w:val="001F1902"/>
    <w:rsid w:val="001F1F3E"/>
    <w:rsid w:val="001F2287"/>
    <w:rsid w:val="001F2AEC"/>
    <w:rsid w:val="001F2CCE"/>
    <w:rsid w:val="001F3123"/>
    <w:rsid w:val="001F34A9"/>
    <w:rsid w:val="001F4350"/>
    <w:rsid w:val="001F558F"/>
    <w:rsid w:val="001F583A"/>
    <w:rsid w:val="001F5A22"/>
    <w:rsid w:val="001F5A94"/>
    <w:rsid w:val="001F5C82"/>
    <w:rsid w:val="001F5E1F"/>
    <w:rsid w:val="001F60E0"/>
    <w:rsid w:val="001F6809"/>
    <w:rsid w:val="001F680C"/>
    <w:rsid w:val="001F6E80"/>
    <w:rsid w:val="001F6FB9"/>
    <w:rsid w:val="001F7249"/>
    <w:rsid w:val="001F73B6"/>
    <w:rsid w:val="001F74AB"/>
    <w:rsid w:val="001F7867"/>
    <w:rsid w:val="001F7BBD"/>
    <w:rsid w:val="001F7CE6"/>
    <w:rsid w:val="0020066F"/>
    <w:rsid w:val="00200A5C"/>
    <w:rsid w:val="00201084"/>
    <w:rsid w:val="00201844"/>
    <w:rsid w:val="00201AF2"/>
    <w:rsid w:val="00201C60"/>
    <w:rsid w:val="00201FB5"/>
    <w:rsid w:val="0020288E"/>
    <w:rsid w:val="00202CFD"/>
    <w:rsid w:val="00202FCB"/>
    <w:rsid w:val="00203B82"/>
    <w:rsid w:val="002041A1"/>
    <w:rsid w:val="00204246"/>
    <w:rsid w:val="00204881"/>
    <w:rsid w:val="0020489D"/>
    <w:rsid w:val="002049C4"/>
    <w:rsid w:val="00204E05"/>
    <w:rsid w:val="00205CA8"/>
    <w:rsid w:val="00206D4E"/>
    <w:rsid w:val="00207607"/>
    <w:rsid w:val="0021039D"/>
    <w:rsid w:val="0021075C"/>
    <w:rsid w:val="00210C21"/>
    <w:rsid w:val="00210E04"/>
    <w:rsid w:val="0021187C"/>
    <w:rsid w:val="00211D8C"/>
    <w:rsid w:val="00212A83"/>
    <w:rsid w:val="00212BD3"/>
    <w:rsid w:val="00213411"/>
    <w:rsid w:val="00213680"/>
    <w:rsid w:val="00213A81"/>
    <w:rsid w:val="00213AB6"/>
    <w:rsid w:val="00213B16"/>
    <w:rsid w:val="00213C93"/>
    <w:rsid w:val="00215225"/>
    <w:rsid w:val="0021535B"/>
    <w:rsid w:val="0021541F"/>
    <w:rsid w:val="00215B31"/>
    <w:rsid w:val="002161FC"/>
    <w:rsid w:val="0021624A"/>
    <w:rsid w:val="00216BD7"/>
    <w:rsid w:val="002171B9"/>
    <w:rsid w:val="0021758F"/>
    <w:rsid w:val="0021794A"/>
    <w:rsid w:val="00217BA0"/>
    <w:rsid w:val="00217C0C"/>
    <w:rsid w:val="00220059"/>
    <w:rsid w:val="002201E9"/>
    <w:rsid w:val="00220862"/>
    <w:rsid w:val="002210AF"/>
    <w:rsid w:val="0022168F"/>
    <w:rsid w:val="00221F75"/>
    <w:rsid w:val="002222E2"/>
    <w:rsid w:val="00222704"/>
    <w:rsid w:val="00222D5D"/>
    <w:rsid w:val="002230C0"/>
    <w:rsid w:val="002236C5"/>
    <w:rsid w:val="002236E2"/>
    <w:rsid w:val="002239CD"/>
    <w:rsid w:val="00223C9E"/>
    <w:rsid w:val="00223DEC"/>
    <w:rsid w:val="00224253"/>
    <w:rsid w:val="00224638"/>
    <w:rsid w:val="00225AE6"/>
    <w:rsid w:val="00226BB9"/>
    <w:rsid w:val="00226C92"/>
    <w:rsid w:val="00226CC2"/>
    <w:rsid w:val="00226DEC"/>
    <w:rsid w:val="0022796C"/>
    <w:rsid w:val="00230A76"/>
    <w:rsid w:val="00230C51"/>
    <w:rsid w:val="00231318"/>
    <w:rsid w:val="0023146B"/>
    <w:rsid w:val="00231BE2"/>
    <w:rsid w:val="00232439"/>
    <w:rsid w:val="00232BFC"/>
    <w:rsid w:val="002336FC"/>
    <w:rsid w:val="002337AA"/>
    <w:rsid w:val="00233A64"/>
    <w:rsid w:val="00233E3E"/>
    <w:rsid w:val="00233FA9"/>
    <w:rsid w:val="002346EA"/>
    <w:rsid w:val="00234800"/>
    <w:rsid w:val="00235231"/>
    <w:rsid w:val="002353A1"/>
    <w:rsid w:val="00235553"/>
    <w:rsid w:val="002355AD"/>
    <w:rsid w:val="00235C5F"/>
    <w:rsid w:val="0023676E"/>
    <w:rsid w:val="00236983"/>
    <w:rsid w:val="00236A14"/>
    <w:rsid w:val="00237214"/>
    <w:rsid w:val="002415A2"/>
    <w:rsid w:val="0024175F"/>
    <w:rsid w:val="002418E0"/>
    <w:rsid w:val="00241CF8"/>
    <w:rsid w:val="0024212D"/>
    <w:rsid w:val="00242401"/>
    <w:rsid w:val="00242527"/>
    <w:rsid w:val="002429E8"/>
    <w:rsid w:val="00242E8C"/>
    <w:rsid w:val="00243979"/>
    <w:rsid w:val="00244235"/>
    <w:rsid w:val="00244705"/>
    <w:rsid w:val="00245074"/>
    <w:rsid w:val="002454F0"/>
    <w:rsid w:val="00245841"/>
    <w:rsid w:val="00245AC0"/>
    <w:rsid w:val="0024628C"/>
    <w:rsid w:val="00246365"/>
    <w:rsid w:val="00246589"/>
    <w:rsid w:val="002466EE"/>
    <w:rsid w:val="002468F7"/>
    <w:rsid w:val="002471A2"/>
    <w:rsid w:val="00247408"/>
    <w:rsid w:val="00247506"/>
    <w:rsid w:val="002475D0"/>
    <w:rsid w:val="00250218"/>
    <w:rsid w:val="0025046D"/>
    <w:rsid w:val="0025081F"/>
    <w:rsid w:val="00251CA1"/>
    <w:rsid w:val="00251DD7"/>
    <w:rsid w:val="00252392"/>
    <w:rsid w:val="00252E7D"/>
    <w:rsid w:val="00253AFB"/>
    <w:rsid w:val="00253B64"/>
    <w:rsid w:val="00253D50"/>
    <w:rsid w:val="00254972"/>
    <w:rsid w:val="00254ABE"/>
    <w:rsid w:val="00255019"/>
    <w:rsid w:val="002551C1"/>
    <w:rsid w:val="0025539A"/>
    <w:rsid w:val="002558DA"/>
    <w:rsid w:val="002570D9"/>
    <w:rsid w:val="002579A6"/>
    <w:rsid w:val="00257C83"/>
    <w:rsid w:val="002608D1"/>
    <w:rsid w:val="00260EF1"/>
    <w:rsid w:val="0026112A"/>
    <w:rsid w:val="00261909"/>
    <w:rsid w:val="00261F62"/>
    <w:rsid w:val="0026340D"/>
    <w:rsid w:val="00263778"/>
    <w:rsid w:val="00263B53"/>
    <w:rsid w:val="00263F09"/>
    <w:rsid w:val="002643DF"/>
    <w:rsid w:val="00265011"/>
    <w:rsid w:val="00265C44"/>
    <w:rsid w:val="0026613C"/>
    <w:rsid w:val="002661EA"/>
    <w:rsid w:val="002666F4"/>
    <w:rsid w:val="00266787"/>
    <w:rsid w:val="00266C7A"/>
    <w:rsid w:val="00266D5A"/>
    <w:rsid w:val="00267049"/>
    <w:rsid w:val="00270532"/>
    <w:rsid w:val="00270877"/>
    <w:rsid w:val="00270B30"/>
    <w:rsid w:val="00271D42"/>
    <w:rsid w:val="002722F6"/>
    <w:rsid w:val="002725AA"/>
    <w:rsid w:val="0027365E"/>
    <w:rsid w:val="00273F99"/>
    <w:rsid w:val="002752ED"/>
    <w:rsid w:val="00276130"/>
    <w:rsid w:val="002763F2"/>
    <w:rsid w:val="0027655E"/>
    <w:rsid w:val="00276D56"/>
    <w:rsid w:val="00276ED6"/>
    <w:rsid w:val="00276F71"/>
    <w:rsid w:val="0027717C"/>
    <w:rsid w:val="002776C6"/>
    <w:rsid w:val="002802D6"/>
    <w:rsid w:val="00280858"/>
    <w:rsid w:val="002808D2"/>
    <w:rsid w:val="0028102A"/>
    <w:rsid w:val="00281194"/>
    <w:rsid w:val="002812F0"/>
    <w:rsid w:val="00281A5F"/>
    <w:rsid w:val="00281DDA"/>
    <w:rsid w:val="00285485"/>
    <w:rsid w:val="002857D8"/>
    <w:rsid w:val="002858C4"/>
    <w:rsid w:val="00285DAA"/>
    <w:rsid w:val="00286607"/>
    <w:rsid w:val="0028675F"/>
    <w:rsid w:val="00286A34"/>
    <w:rsid w:val="00287784"/>
    <w:rsid w:val="00287832"/>
    <w:rsid w:val="002879E1"/>
    <w:rsid w:val="00290538"/>
    <w:rsid w:val="002905C6"/>
    <w:rsid w:val="002905E7"/>
    <w:rsid w:val="00290631"/>
    <w:rsid w:val="00290A59"/>
    <w:rsid w:val="00290ED4"/>
    <w:rsid w:val="00291299"/>
    <w:rsid w:val="00291749"/>
    <w:rsid w:val="00292101"/>
    <w:rsid w:val="00292452"/>
    <w:rsid w:val="00292E93"/>
    <w:rsid w:val="00293083"/>
    <w:rsid w:val="00293458"/>
    <w:rsid w:val="002940CE"/>
    <w:rsid w:val="002940D7"/>
    <w:rsid w:val="0029497D"/>
    <w:rsid w:val="00294AEF"/>
    <w:rsid w:val="00294FD0"/>
    <w:rsid w:val="00295198"/>
    <w:rsid w:val="00296448"/>
    <w:rsid w:val="002965B8"/>
    <w:rsid w:val="00296B46"/>
    <w:rsid w:val="002970FE"/>
    <w:rsid w:val="00297828"/>
    <w:rsid w:val="002A01AA"/>
    <w:rsid w:val="002A0354"/>
    <w:rsid w:val="002A055A"/>
    <w:rsid w:val="002A1508"/>
    <w:rsid w:val="002A159E"/>
    <w:rsid w:val="002A161D"/>
    <w:rsid w:val="002A2AEB"/>
    <w:rsid w:val="002A3358"/>
    <w:rsid w:val="002A33E1"/>
    <w:rsid w:val="002A4206"/>
    <w:rsid w:val="002A4798"/>
    <w:rsid w:val="002A4F0A"/>
    <w:rsid w:val="002A59B8"/>
    <w:rsid w:val="002A5AD8"/>
    <w:rsid w:val="002A60F1"/>
    <w:rsid w:val="002A67AE"/>
    <w:rsid w:val="002B0743"/>
    <w:rsid w:val="002B12A1"/>
    <w:rsid w:val="002B14E0"/>
    <w:rsid w:val="002B19C6"/>
    <w:rsid w:val="002B21CA"/>
    <w:rsid w:val="002B2802"/>
    <w:rsid w:val="002B2AE9"/>
    <w:rsid w:val="002B2C9D"/>
    <w:rsid w:val="002B2D5C"/>
    <w:rsid w:val="002B306B"/>
    <w:rsid w:val="002B31A3"/>
    <w:rsid w:val="002B3211"/>
    <w:rsid w:val="002B41B0"/>
    <w:rsid w:val="002B4377"/>
    <w:rsid w:val="002B48BD"/>
    <w:rsid w:val="002B5263"/>
    <w:rsid w:val="002B5652"/>
    <w:rsid w:val="002B5E97"/>
    <w:rsid w:val="002B6087"/>
    <w:rsid w:val="002B60FB"/>
    <w:rsid w:val="002B6CBF"/>
    <w:rsid w:val="002B7871"/>
    <w:rsid w:val="002B7E21"/>
    <w:rsid w:val="002B7E64"/>
    <w:rsid w:val="002B7EC5"/>
    <w:rsid w:val="002B7EF6"/>
    <w:rsid w:val="002C01D9"/>
    <w:rsid w:val="002C033F"/>
    <w:rsid w:val="002C0872"/>
    <w:rsid w:val="002C1065"/>
    <w:rsid w:val="002C1777"/>
    <w:rsid w:val="002C1A56"/>
    <w:rsid w:val="002C1EDF"/>
    <w:rsid w:val="002C299D"/>
    <w:rsid w:val="002C33BB"/>
    <w:rsid w:val="002C43FC"/>
    <w:rsid w:val="002C4CB1"/>
    <w:rsid w:val="002C5125"/>
    <w:rsid w:val="002C5A6F"/>
    <w:rsid w:val="002C5E99"/>
    <w:rsid w:val="002C5F14"/>
    <w:rsid w:val="002C6C33"/>
    <w:rsid w:val="002C72D4"/>
    <w:rsid w:val="002C772F"/>
    <w:rsid w:val="002C7AF9"/>
    <w:rsid w:val="002C7B0E"/>
    <w:rsid w:val="002D0D5E"/>
    <w:rsid w:val="002D1248"/>
    <w:rsid w:val="002D1391"/>
    <w:rsid w:val="002D1408"/>
    <w:rsid w:val="002D14FD"/>
    <w:rsid w:val="002D153F"/>
    <w:rsid w:val="002D1F8D"/>
    <w:rsid w:val="002D38E3"/>
    <w:rsid w:val="002D4380"/>
    <w:rsid w:val="002D4CD9"/>
    <w:rsid w:val="002D4D98"/>
    <w:rsid w:val="002D5A80"/>
    <w:rsid w:val="002D6081"/>
    <w:rsid w:val="002D6580"/>
    <w:rsid w:val="002D65CD"/>
    <w:rsid w:val="002D678B"/>
    <w:rsid w:val="002D6859"/>
    <w:rsid w:val="002D6C37"/>
    <w:rsid w:val="002D70D7"/>
    <w:rsid w:val="002D7955"/>
    <w:rsid w:val="002D7E89"/>
    <w:rsid w:val="002E01C7"/>
    <w:rsid w:val="002E07F5"/>
    <w:rsid w:val="002E0921"/>
    <w:rsid w:val="002E0A09"/>
    <w:rsid w:val="002E0A12"/>
    <w:rsid w:val="002E0B04"/>
    <w:rsid w:val="002E1DF4"/>
    <w:rsid w:val="002E2170"/>
    <w:rsid w:val="002E337A"/>
    <w:rsid w:val="002E3422"/>
    <w:rsid w:val="002E3B04"/>
    <w:rsid w:val="002E4745"/>
    <w:rsid w:val="002E4B4C"/>
    <w:rsid w:val="002E529D"/>
    <w:rsid w:val="002E5ED9"/>
    <w:rsid w:val="002E6520"/>
    <w:rsid w:val="002E68E2"/>
    <w:rsid w:val="002E73D5"/>
    <w:rsid w:val="002E7403"/>
    <w:rsid w:val="002E7911"/>
    <w:rsid w:val="002E7ADD"/>
    <w:rsid w:val="002E7DBC"/>
    <w:rsid w:val="002E7E63"/>
    <w:rsid w:val="002F00DC"/>
    <w:rsid w:val="002F0216"/>
    <w:rsid w:val="002F0220"/>
    <w:rsid w:val="002F04BE"/>
    <w:rsid w:val="002F08B4"/>
    <w:rsid w:val="002F1291"/>
    <w:rsid w:val="002F137E"/>
    <w:rsid w:val="002F1501"/>
    <w:rsid w:val="002F215A"/>
    <w:rsid w:val="002F2D7D"/>
    <w:rsid w:val="002F32A6"/>
    <w:rsid w:val="002F44D6"/>
    <w:rsid w:val="002F5189"/>
    <w:rsid w:val="002F5562"/>
    <w:rsid w:val="002F5E39"/>
    <w:rsid w:val="002F604A"/>
    <w:rsid w:val="002F6776"/>
    <w:rsid w:val="002F68E4"/>
    <w:rsid w:val="002F69AB"/>
    <w:rsid w:val="002F6BC3"/>
    <w:rsid w:val="002F6F13"/>
    <w:rsid w:val="00300502"/>
    <w:rsid w:val="0030127C"/>
    <w:rsid w:val="0030214F"/>
    <w:rsid w:val="00302378"/>
    <w:rsid w:val="00302B04"/>
    <w:rsid w:val="00302CB6"/>
    <w:rsid w:val="00302D75"/>
    <w:rsid w:val="00303D3E"/>
    <w:rsid w:val="00303F29"/>
    <w:rsid w:val="003041AA"/>
    <w:rsid w:val="003050F9"/>
    <w:rsid w:val="0030523A"/>
    <w:rsid w:val="003054A2"/>
    <w:rsid w:val="00306305"/>
    <w:rsid w:val="00307227"/>
    <w:rsid w:val="00307FF5"/>
    <w:rsid w:val="00310A18"/>
    <w:rsid w:val="003110AE"/>
    <w:rsid w:val="00312882"/>
    <w:rsid w:val="003132DE"/>
    <w:rsid w:val="003136C7"/>
    <w:rsid w:val="003144AC"/>
    <w:rsid w:val="00314525"/>
    <w:rsid w:val="00314558"/>
    <w:rsid w:val="003151C6"/>
    <w:rsid w:val="003157D7"/>
    <w:rsid w:val="00315E7E"/>
    <w:rsid w:val="003163AE"/>
    <w:rsid w:val="00316D6E"/>
    <w:rsid w:val="00317C65"/>
    <w:rsid w:val="003201B1"/>
    <w:rsid w:val="00320322"/>
    <w:rsid w:val="00320448"/>
    <w:rsid w:val="003208F2"/>
    <w:rsid w:val="003209DA"/>
    <w:rsid w:val="00320AB1"/>
    <w:rsid w:val="0032103C"/>
    <w:rsid w:val="00321D82"/>
    <w:rsid w:val="00321DFE"/>
    <w:rsid w:val="0032274C"/>
    <w:rsid w:val="00322BE2"/>
    <w:rsid w:val="003234B7"/>
    <w:rsid w:val="0032371F"/>
    <w:rsid w:val="00323D70"/>
    <w:rsid w:val="00324064"/>
    <w:rsid w:val="0032414C"/>
    <w:rsid w:val="003253F0"/>
    <w:rsid w:val="0032576E"/>
    <w:rsid w:val="003259D7"/>
    <w:rsid w:val="00325BCE"/>
    <w:rsid w:val="00325F5C"/>
    <w:rsid w:val="003263BB"/>
    <w:rsid w:val="00326C9B"/>
    <w:rsid w:val="0032750E"/>
    <w:rsid w:val="00327C9C"/>
    <w:rsid w:val="00327D91"/>
    <w:rsid w:val="00330212"/>
    <w:rsid w:val="00330BAD"/>
    <w:rsid w:val="00330F75"/>
    <w:rsid w:val="00331028"/>
    <w:rsid w:val="003313F3"/>
    <w:rsid w:val="00331A5B"/>
    <w:rsid w:val="003321B9"/>
    <w:rsid w:val="0033248F"/>
    <w:rsid w:val="00332820"/>
    <w:rsid w:val="00332EE0"/>
    <w:rsid w:val="0033303D"/>
    <w:rsid w:val="00333229"/>
    <w:rsid w:val="00333FC9"/>
    <w:rsid w:val="00334540"/>
    <w:rsid w:val="00334DA1"/>
    <w:rsid w:val="00335128"/>
    <w:rsid w:val="00335328"/>
    <w:rsid w:val="003356FB"/>
    <w:rsid w:val="00335ADF"/>
    <w:rsid w:val="00336206"/>
    <w:rsid w:val="00336757"/>
    <w:rsid w:val="003403EE"/>
    <w:rsid w:val="00340650"/>
    <w:rsid w:val="0034096B"/>
    <w:rsid w:val="00342962"/>
    <w:rsid w:val="00343277"/>
    <w:rsid w:val="00343622"/>
    <w:rsid w:val="00343B19"/>
    <w:rsid w:val="00343D14"/>
    <w:rsid w:val="00343DDD"/>
    <w:rsid w:val="003444B6"/>
    <w:rsid w:val="003448E7"/>
    <w:rsid w:val="00345066"/>
    <w:rsid w:val="00345149"/>
    <w:rsid w:val="00345630"/>
    <w:rsid w:val="00345BEE"/>
    <w:rsid w:val="003474EA"/>
    <w:rsid w:val="00347941"/>
    <w:rsid w:val="00347FB0"/>
    <w:rsid w:val="003501B2"/>
    <w:rsid w:val="0035036A"/>
    <w:rsid w:val="00350B06"/>
    <w:rsid w:val="00350FE6"/>
    <w:rsid w:val="00351274"/>
    <w:rsid w:val="00351950"/>
    <w:rsid w:val="00352FC7"/>
    <w:rsid w:val="003531E4"/>
    <w:rsid w:val="0035391A"/>
    <w:rsid w:val="00353A55"/>
    <w:rsid w:val="00353CAA"/>
    <w:rsid w:val="00353DCC"/>
    <w:rsid w:val="00354F88"/>
    <w:rsid w:val="003555A5"/>
    <w:rsid w:val="003558E4"/>
    <w:rsid w:val="00356F3C"/>
    <w:rsid w:val="0035775F"/>
    <w:rsid w:val="00357875"/>
    <w:rsid w:val="00357B86"/>
    <w:rsid w:val="00357D0D"/>
    <w:rsid w:val="003603D0"/>
    <w:rsid w:val="00361325"/>
    <w:rsid w:val="00361648"/>
    <w:rsid w:val="00361817"/>
    <w:rsid w:val="003621FE"/>
    <w:rsid w:val="00362581"/>
    <w:rsid w:val="003629F7"/>
    <w:rsid w:val="00362F96"/>
    <w:rsid w:val="00363051"/>
    <w:rsid w:val="0036358C"/>
    <w:rsid w:val="00363795"/>
    <w:rsid w:val="00363D8F"/>
    <w:rsid w:val="00363FF0"/>
    <w:rsid w:val="00364C60"/>
    <w:rsid w:val="00365BD5"/>
    <w:rsid w:val="003665CB"/>
    <w:rsid w:val="003665D1"/>
    <w:rsid w:val="003671AC"/>
    <w:rsid w:val="00370053"/>
    <w:rsid w:val="00370BC2"/>
    <w:rsid w:val="00370BE5"/>
    <w:rsid w:val="00370D54"/>
    <w:rsid w:val="00371793"/>
    <w:rsid w:val="0037190E"/>
    <w:rsid w:val="00372B9F"/>
    <w:rsid w:val="00372D53"/>
    <w:rsid w:val="0037349F"/>
    <w:rsid w:val="0037357C"/>
    <w:rsid w:val="003736F4"/>
    <w:rsid w:val="003738F6"/>
    <w:rsid w:val="00373C16"/>
    <w:rsid w:val="00374412"/>
    <w:rsid w:val="00374ADB"/>
    <w:rsid w:val="00374B30"/>
    <w:rsid w:val="00375394"/>
    <w:rsid w:val="00376157"/>
    <w:rsid w:val="00376443"/>
    <w:rsid w:val="00376C8A"/>
    <w:rsid w:val="00377996"/>
    <w:rsid w:val="00377B7A"/>
    <w:rsid w:val="00377F11"/>
    <w:rsid w:val="00380864"/>
    <w:rsid w:val="00381075"/>
    <w:rsid w:val="00381A05"/>
    <w:rsid w:val="00381BDA"/>
    <w:rsid w:val="00381C7A"/>
    <w:rsid w:val="00382096"/>
    <w:rsid w:val="00382C35"/>
    <w:rsid w:val="00383B77"/>
    <w:rsid w:val="00383F91"/>
    <w:rsid w:val="003840F7"/>
    <w:rsid w:val="00384EC3"/>
    <w:rsid w:val="00384F3E"/>
    <w:rsid w:val="00386671"/>
    <w:rsid w:val="00386A5E"/>
    <w:rsid w:val="00386F23"/>
    <w:rsid w:val="00387844"/>
    <w:rsid w:val="00387D42"/>
    <w:rsid w:val="003900B0"/>
    <w:rsid w:val="00390805"/>
    <w:rsid w:val="00390900"/>
    <w:rsid w:val="00390CDF"/>
    <w:rsid w:val="0039102B"/>
    <w:rsid w:val="0039118C"/>
    <w:rsid w:val="003916EC"/>
    <w:rsid w:val="003919D2"/>
    <w:rsid w:val="003921D5"/>
    <w:rsid w:val="0039247D"/>
    <w:rsid w:val="003925D7"/>
    <w:rsid w:val="00392604"/>
    <w:rsid w:val="003928D0"/>
    <w:rsid w:val="003937A9"/>
    <w:rsid w:val="00393AD4"/>
    <w:rsid w:val="00393CA9"/>
    <w:rsid w:val="00393D80"/>
    <w:rsid w:val="003941C4"/>
    <w:rsid w:val="003945F9"/>
    <w:rsid w:val="00394654"/>
    <w:rsid w:val="00394B53"/>
    <w:rsid w:val="00395493"/>
    <w:rsid w:val="00395888"/>
    <w:rsid w:val="0039631C"/>
    <w:rsid w:val="00396AF1"/>
    <w:rsid w:val="00396BC1"/>
    <w:rsid w:val="003973B1"/>
    <w:rsid w:val="0039796A"/>
    <w:rsid w:val="00397D73"/>
    <w:rsid w:val="003A0159"/>
    <w:rsid w:val="003A046D"/>
    <w:rsid w:val="003A04F5"/>
    <w:rsid w:val="003A0D69"/>
    <w:rsid w:val="003A14EF"/>
    <w:rsid w:val="003A167B"/>
    <w:rsid w:val="003A188B"/>
    <w:rsid w:val="003A19E9"/>
    <w:rsid w:val="003A218E"/>
    <w:rsid w:val="003A34F1"/>
    <w:rsid w:val="003A3B37"/>
    <w:rsid w:val="003A4029"/>
    <w:rsid w:val="003A416A"/>
    <w:rsid w:val="003A4696"/>
    <w:rsid w:val="003A5C5B"/>
    <w:rsid w:val="003A64B3"/>
    <w:rsid w:val="003A6D92"/>
    <w:rsid w:val="003A6F52"/>
    <w:rsid w:val="003A7182"/>
    <w:rsid w:val="003A7DC9"/>
    <w:rsid w:val="003B0368"/>
    <w:rsid w:val="003B0835"/>
    <w:rsid w:val="003B0EFB"/>
    <w:rsid w:val="003B10B5"/>
    <w:rsid w:val="003B175E"/>
    <w:rsid w:val="003B2046"/>
    <w:rsid w:val="003B250C"/>
    <w:rsid w:val="003B270A"/>
    <w:rsid w:val="003B2950"/>
    <w:rsid w:val="003B2A8A"/>
    <w:rsid w:val="003B2B18"/>
    <w:rsid w:val="003B3627"/>
    <w:rsid w:val="003B39B2"/>
    <w:rsid w:val="003B3BEC"/>
    <w:rsid w:val="003B3EB7"/>
    <w:rsid w:val="003B4383"/>
    <w:rsid w:val="003B4876"/>
    <w:rsid w:val="003B4988"/>
    <w:rsid w:val="003B58D9"/>
    <w:rsid w:val="003B593F"/>
    <w:rsid w:val="003B5F88"/>
    <w:rsid w:val="003B606A"/>
    <w:rsid w:val="003B7349"/>
    <w:rsid w:val="003C00CC"/>
    <w:rsid w:val="003C0B6A"/>
    <w:rsid w:val="003C1620"/>
    <w:rsid w:val="003C184A"/>
    <w:rsid w:val="003C18B3"/>
    <w:rsid w:val="003C1950"/>
    <w:rsid w:val="003C195B"/>
    <w:rsid w:val="003C199E"/>
    <w:rsid w:val="003C1B60"/>
    <w:rsid w:val="003C2266"/>
    <w:rsid w:val="003C2B23"/>
    <w:rsid w:val="003C3F2B"/>
    <w:rsid w:val="003C4097"/>
    <w:rsid w:val="003C410F"/>
    <w:rsid w:val="003C4DA3"/>
    <w:rsid w:val="003C4F67"/>
    <w:rsid w:val="003C5772"/>
    <w:rsid w:val="003C5CD9"/>
    <w:rsid w:val="003C686B"/>
    <w:rsid w:val="003C726E"/>
    <w:rsid w:val="003C75B0"/>
    <w:rsid w:val="003C7C97"/>
    <w:rsid w:val="003C7EFD"/>
    <w:rsid w:val="003D0F3E"/>
    <w:rsid w:val="003D0F69"/>
    <w:rsid w:val="003D248B"/>
    <w:rsid w:val="003D2711"/>
    <w:rsid w:val="003D34A5"/>
    <w:rsid w:val="003D416C"/>
    <w:rsid w:val="003D47A8"/>
    <w:rsid w:val="003D4A73"/>
    <w:rsid w:val="003D4C05"/>
    <w:rsid w:val="003D53F9"/>
    <w:rsid w:val="003D54F7"/>
    <w:rsid w:val="003D5D01"/>
    <w:rsid w:val="003D6158"/>
    <w:rsid w:val="003D6602"/>
    <w:rsid w:val="003D69ED"/>
    <w:rsid w:val="003D6EBB"/>
    <w:rsid w:val="003D7E86"/>
    <w:rsid w:val="003E03D3"/>
    <w:rsid w:val="003E0676"/>
    <w:rsid w:val="003E0C22"/>
    <w:rsid w:val="003E0D45"/>
    <w:rsid w:val="003E1013"/>
    <w:rsid w:val="003E15E2"/>
    <w:rsid w:val="003E183F"/>
    <w:rsid w:val="003E1C3A"/>
    <w:rsid w:val="003E1CE8"/>
    <w:rsid w:val="003E2094"/>
    <w:rsid w:val="003E2744"/>
    <w:rsid w:val="003E2B7A"/>
    <w:rsid w:val="003E3F11"/>
    <w:rsid w:val="003E41F8"/>
    <w:rsid w:val="003E42D2"/>
    <w:rsid w:val="003E47A3"/>
    <w:rsid w:val="003E4B48"/>
    <w:rsid w:val="003E5652"/>
    <w:rsid w:val="003E59EA"/>
    <w:rsid w:val="003E5F19"/>
    <w:rsid w:val="003E6003"/>
    <w:rsid w:val="003E6A33"/>
    <w:rsid w:val="003E71CB"/>
    <w:rsid w:val="003E7478"/>
    <w:rsid w:val="003E7B14"/>
    <w:rsid w:val="003E7C5A"/>
    <w:rsid w:val="003F039D"/>
    <w:rsid w:val="003F0E99"/>
    <w:rsid w:val="003F0EFC"/>
    <w:rsid w:val="003F1FEF"/>
    <w:rsid w:val="003F2036"/>
    <w:rsid w:val="003F3790"/>
    <w:rsid w:val="003F42B8"/>
    <w:rsid w:val="003F4648"/>
    <w:rsid w:val="003F4988"/>
    <w:rsid w:val="003F4CA2"/>
    <w:rsid w:val="003F505E"/>
    <w:rsid w:val="003F5182"/>
    <w:rsid w:val="003F56A1"/>
    <w:rsid w:val="003F5926"/>
    <w:rsid w:val="003F5973"/>
    <w:rsid w:val="003F5BC7"/>
    <w:rsid w:val="003F666D"/>
    <w:rsid w:val="003F6C27"/>
    <w:rsid w:val="003F7174"/>
    <w:rsid w:val="003F7747"/>
    <w:rsid w:val="003F7953"/>
    <w:rsid w:val="003F7956"/>
    <w:rsid w:val="003F7EB4"/>
    <w:rsid w:val="0040028E"/>
    <w:rsid w:val="004008EA"/>
    <w:rsid w:val="0040109C"/>
    <w:rsid w:val="0040112C"/>
    <w:rsid w:val="00401AEF"/>
    <w:rsid w:val="00401F2E"/>
    <w:rsid w:val="00402C0A"/>
    <w:rsid w:val="004031C6"/>
    <w:rsid w:val="00404271"/>
    <w:rsid w:val="00404574"/>
    <w:rsid w:val="004049D2"/>
    <w:rsid w:val="00405315"/>
    <w:rsid w:val="0040555B"/>
    <w:rsid w:val="00405A92"/>
    <w:rsid w:val="0040606F"/>
    <w:rsid w:val="00406FB7"/>
    <w:rsid w:val="004078B9"/>
    <w:rsid w:val="00407C66"/>
    <w:rsid w:val="00410E9F"/>
    <w:rsid w:val="004117B6"/>
    <w:rsid w:val="00412882"/>
    <w:rsid w:val="00412E47"/>
    <w:rsid w:val="004130DB"/>
    <w:rsid w:val="00413CD6"/>
    <w:rsid w:val="00414427"/>
    <w:rsid w:val="004146B0"/>
    <w:rsid w:val="004156DC"/>
    <w:rsid w:val="00415C9F"/>
    <w:rsid w:val="00415E1A"/>
    <w:rsid w:val="004166D6"/>
    <w:rsid w:val="00417262"/>
    <w:rsid w:val="00417679"/>
    <w:rsid w:val="00417B60"/>
    <w:rsid w:val="00417C09"/>
    <w:rsid w:val="00417F28"/>
    <w:rsid w:val="00417F9A"/>
    <w:rsid w:val="00417FE5"/>
    <w:rsid w:val="00420398"/>
    <w:rsid w:val="00420689"/>
    <w:rsid w:val="00420E9C"/>
    <w:rsid w:val="00421529"/>
    <w:rsid w:val="00422194"/>
    <w:rsid w:val="00422307"/>
    <w:rsid w:val="004225D4"/>
    <w:rsid w:val="0042321B"/>
    <w:rsid w:val="00423FF7"/>
    <w:rsid w:val="00424473"/>
    <w:rsid w:val="004248A3"/>
    <w:rsid w:val="00424B5C"/>
    <w:rsid w:val="00424D04"/>
    <w:rsid w:val="004252A1"/>
    <w:rsid w:val="0042555C"/>
    <w:rsid w:val="00425ACB"/>
    <w:rsid w:val="004264CD"/>
    <w:rsid w:val="0042711F"/>
    <w:rsid w:val="00427246"/>
    <w:rsid w:val="00427659"/>
    <w:rsid w:val="004276DB"/>
    <w:rsid w:val="00427AF4"/>
    <w:rsid w:val="0043012F"/>
    <w:rsid w:val="00430654"/>
    <w:rsid w:val="004326E3"/>
    <w:rsid w:val="0043273B"/>
    <w:rsid w:val="00432B6E"/>
    <w:rsid w:val="00432CC9"/>
    <w:rsid w:val="00432F42"/>
    <w:rsid w:val="004331A4"/>
    <w:rsid w:val="00434188"/>
    <w:rsid w:val="0043442F"/>
    <w:rsid w:val="00435326"/>
    <w:rsid w:val="004355B6"/>
    <w:rsid w:val="0043613F"/>
    <w:rsid w:val="00436794"/>
    <w:rsid w:val="00436E51"/>
    <w:rsid w:val="00440124"/>
    <w:rsid w:val="00440234"/>
    <w:rsid w:val="00440F23"/>
    <w:rsid w:val="00441464"/>
    <w:rsid w:val="00442C2E"/>
    <w:rsid w:val="0044302F"/>
    <w:rsid w:val="0044330C"/>
    <w:rsid w:val="00443360"/>
    <w:rsid w:val="00443369"/>
    <w:rsid w:val="00443A64"/>
    <w:rsid w:val="00444678"/>
    <w:rsid w:val="00444943"/>
    <w:rsid w:val="0044500E"/>
    <w:rsid w:val="00445338"/>
    <w:rsid w:val="00445665"/>
    <w:rsid w:val="0044578B"/>
    <w:rsid w:val="00445985"/>
    <w:rsid w:val="00446832"/>
    <w:rsid w:val="00446FDD"/>
    <w:rsid w:val="00447053"/>
    <w:rsid w:val="00447066"/>
    <w:rsid w:val="00447AD3"/>
    <w:rsid w:val="00450291"/>
    <w:rsid w:val="0045043F"/>
    <w:rsid w:val="004505B9"/>
    <w:rsid w:val="004507BA"/>
    <w:rsid w:val="00451401"/>
    <w:rsid w:val="00451BE0"/>
    <w:rsid w:val="00452381"/>
    <w:rsid w:val="004523C5"/>
    <w:rsid w:val="004529D3"/>
    <w:rsid w:val="00452C95"/>
    <w:rsid w:val="00453277"/>
    <w:rsid w:val="00453960"/>
    <w:rsid w:val="00454B6E"/>
    <w:rsid w:val="00456067"/>
    <w:rsid w:val="00456604"/>
    <w:rsid w:val="00456695"/>
    <w:rsid w:val="00457639"/>
    <w:rsid w:val="004576BB"/>
    <w:rsid w:val="00457706"/>
    <w:rsid w:val="00457AC8"/>
    <w:rsid w:val="00457C57"/>
    <w:rsid w:val="00457C5A"/>
    <w:rsid w:val="004600CA"/>
    <w:rsid w:val="00460AB1"/>
    <w:rsid w:val="004611A5"/>
    <w:rsid w:val="0046132E"/>
    <w:rsid w:val="0046205C"/>
    <w:rsid w:val="0046237D"/>
    <w:rsid w:val="00463549"/>
    <w:rsid w:val="00463675"/>
    <w:rsid w:val="004636D7"/>
    <w:rsid w:val="00463920"/>
    <w:rsid w:val="00464149"/>
    <w:rsid w:val="004649FB"/>
    <w:rsid w:val="00464C03"/>
    <w:rsid w:val="00465388"/>
    <w:rsid w:val="004668B4"/>
    <w:rsid w:val="00466C52"/>
    <w:rsid w:val="00466D97"/>
    <w:rsid w:val="00466DED"/>
    <w:rsid w:val="0046711C"/>
    <w:rsid w:val="00467132"/>
    <w:rsid w:val="00467E3C"/>
    <w:rsid w:val="0047028E"/>
    <w:rsid w:val="0047046B"/>
    <w:rsid w:val="00470921"/>
    <w:rsid w:val="0047104C"/>
    <w:rsid w:val="00471094"/>
    <w:rsid w:val="00471496"/>
    <w:rsid w:val="00471906"/>
    <w:rsid w:val="00471C31"/>
    <w:rsid w:val="00471C93"/>
    <w:rsid w:val="00471E1E"/>
    <w:rsid w:val="00472109"/>
    <w:rsid w:val="0047239A"/>
    <w:rsid w:val="00472653"/>
    <w:rsid w:val="00472826"/>
    <w:rsid w:val="00472AAE"/>
    <w:rsid w:val="00472DB3"/>
    <w:rsid w:val="00473ECA"/>
    <w:rsid w:val="00475074"/>
    <w:rsid w:val="00475BBA"/>
    <w:rsid w:val="00476927"/>
    <w:rsid w:val="0047693B"/>
    <w:rsid w:val="004769E3"/>
    <w:rsid w:val="00476A4E"/>
    <w:rsid w:val="00476B94"/>
    <w:rsid w:val="00477282"/>
    <w:rsid w:val="00477A30"/>
    <w:rsid w:val="00477B10"/>
    <w:rsid w:val="00477CBC"/>
    <w:rsid w:val="0048010C"/>
    <w:rsid w:val="00480DAA"/>
    <w:rsid w:val="004826A8"/>
    <w:rsid w:val="00482CB0"/>
    <w:rsid w:val="00483071"/>
    <w:rsid w:val="00483187"/>
    <w:rsid w:val="004839A6"/>
    <w:rsid w:val="00483AE3"/>
    <w:rsid w:val="00483B11"/>
    <w:rsid w:val="00483D38"/>
    <w:rsid w:val="00484092"/>
    <w:rsid w:val="00484784"/>
    <w:rsid w:val="00484B0B"/>
    <w:rsid w:val="00484B8D"/>
    <w:rsid w:val="00484FBC"/>
    <w:rsid w:val="004854A0"/>
    <w:rsid w:val="00485A5D"/>
    <w:rsid w:val="00485FD9"/>
    <w:rsid w:val="004862EE"/>
    <w:rsid w:val="004867BD"/>
    <w:rsid w:val="004867F1"/>
    <w:rsid w:val="00486A7D"/>
    <w:rsid w:val="00487454"/>
    <w:rsid w:val="00487639"/>
    <w:rsid w:val="00487C9C"/>
    <w:rsid w:val="00490331"/>
    <w:rsid w:val="004908CD"/>
    <w:rsid w:val="004916AE"/>
    <w:rsid w:val="00491CBC"/>
    <w:rsid w:val="0049345A"/>
    <w:rsid w:val="00493BA4"/>
    <w:rsid w:val="00493F76"/>
    <w:rsid w:val="00494151"/>
    <w:rsid w:val="00494326"/>
    <w:rsid w:val="0049441E"/>
    <w:rsid w:val="00494617"/>
    <w:rsid w:val="0049472B"/>
    <w:rsid w:val="004948F8"/>
    <w:rsid w:val="00494939"/>
    <w:rsid w:val="00495084"/>
    <w:rsid w:val="0049582F"/>
    <w:rsid w:val="00495873"/>
    <w:rsid w:val="00495E0E"/>
    <w:rsid w:val="00495E8D"/>
    <w:rsid w:val="00496046"/>
    <w:rsid w:val="00496690"/>
    <w:rsid w:val="00497249"/>
    <w:rsid w:val="004A02AD"/>
    <w:rsid w:val="004A044A"/>
    <w:rsid w:val="004A09D5"/>
    <w:rsid w:val="004A1BD0"/>
    <w:rsid w:val="004A1F21"/>
    <w:rsid w:val="004A23A7"/>
    <w:rsid w:val="004A25B5"/>
    <w:rsid w:val="004A2984"/>
    <w:rsid w:val="004A34D7"/>
    <w:rsid w:val="004A40ED"/>
    <w:rsid w:val="004A5583"/>
    <w:rsid w:val="004A56CD"/>
    <w:rsid w:val="004A5BA5"/>
    <w:rsid w:val="004A7E86"/>
    <w:rsid w:val="004A7FF0"/>
    <w:rsid w:val="004B03D0"/>
    <w:rsid w:val="004B092C"/>
    <w:rsid w:val="004B0B2C"/>
    <w:rsid w:val="004B168A"/>
    <w:rsid w:val="004B1C3D"/>
    <w:rsid w:val="004B1E96"/>
    <w:rsid w:val="004B295C"/>
    <w:rsid w:val="004B296B"/>
    <w:rsid w:val="004B2A0D"/>
    <w:rsid w:val="004B306E"/>
    <w:rsid w:val="004B39E5"/>
    <w:rsid w:val="004B40A4"/>
    <w:rsid w:val="004B4202"/>
    <w:rsid w:val="004B4D95"/>
    <w:rsid w:val="004B61AA"/>
    <w:rsid w:val="004B7717"/>
    <w:rsid w:val="004C0084"/>
    <w:rsid w:val="004C070D"/>
    <w:rsid w:val="004C078E"/>
    <w:rsid w:val="004C1E15"/>
    <w:rsid w:val="004C24E6"/>
    <w:rsid w:val="004C2A69"/>
    <w:rsid w:val="004C2FE9"/>
    <w:rsid w:val="004C336B"/>
    <w:rsid w:val="004C35E0"/>
    <w:rsid w:val="004C380B"/>
    <w:rsid w:val="004C463F"/>
    <w:rsid w:val="004C4B5C"/>
    <w:rsid w:val="004C4E92"/>
    <w:rsid w:val="004C4F38"/>
    <w:rsid w:val="004C5014"/>
    <w:rsid w:val="004C6011"/>
    <w:rsid w:val="004C6442"/>
    <w:rsid w:val="004C692C"/>
    <w:rsid w:val="004C6A61"/>
    <w:rsid w:val="004C6C5A"/>
    <w:rsid w:val="004C7A3F"/>
    <w:rsid w:val="004C7DDF"/>
    <w:rsid w:val="004D0118"/>
    <w:rsid w:val="004D133E"/>
    <w:rsid w:val="004D155F"/>
    <w:rsid w:val="004D1A2D"/>
    <w:rsid w:val="004D1AD2"/>
    <w:rsid w:val="004D1E0A"/>
    <w:rsid w:val="004D2356"/>
    <w:rsid w:val="004D243B"/>
    <w:rsid w:val="004D2657"/>
    <w:rsid w:val="004D27E7"/>
    <w:rsid w:val="004D2EC6"/>
    <w:rsid w:val="004D2FC2"/>
    <w:rsid w:val="004D3F7C"/>
    <w:rsid w:val="004D43E0"/>
    <w:rsid w:val="004D47D2"/>
    <w:rsid w:val="004D4B37"/>
    <w:rsid w:val="004D4DB0"/>
    <w:rsid w:val="004D4F83"/>
    <w:rsid w:val="004D59E5"/>
    <w:rsid w:val="004D5CBC"/>
    <w:rsid w:val="004D5ED3"/>
    <w:rsid w:val="004D6225"/>
    <w:rsid w:val="004D6368"/>
    <w:rsid w:val="004D63BC"/>
    <w:rsid w:val="004D7945"/>
    <w:rsid w:val="004D796D"/>
    <w:rsid w:val="004D7CB4"/>
    <w:rsid w:val="004E0170"/>
    <w:rsid w:val="004E07A9"/>
    <w:rsid w:val="004E0FDE"/>
    <w:rsid w:val="004E1360"/>
    <w:rsid w:val="004E143A"/>
    <w:rsid w:val="004E148A"/>
    <w:rsid w:val="004E296A"/>
    <w:rsid w:val="004E30F9"/>
    <w:rsid w:val="004E3694"/>
    <w:rsid w:val="004E3B89"/>
    <w:rsid w:val="004E3C42"/>
    <w:rsid w:val="004E3C94"/>
    <w:rsid w:val="004E418A"/>
    <w:rsid w:val="004E4256"/>
    <w:rsid w:val="004E4643"/>
    <w:rsid w:val="004E4B32"/>
    <w:rsid w:val="004E4D51"/>
    <w:rsid w:val="004E4F72"/>
    <w:rsid w:val="004E5A7B"/>
    <w:rsid w:val="004E5B94"/>
    <w:rsid w:val="004E62DF"/>
    <w:rsid w:val="004E6410"/>
    <w:rsid w:val="004E6971"/>
    <w:rsid w:val="004E6F2E"/>
    <w:rsid w:val="004E7766"/>
    <w:rsid w:val="004F072E"/>
    <w:rsid w:val="004F1401"/>
    <w:rsid w:val="004F1CC9"/>
    <w:rsid w:val="004F1FC0"/>
    <w:rsid w:val="004F2AEA"/>
    <w:rsid w:val="004F30F7"/>
    <w:rsid w:val="004F3241"/>
    <w:rsid w:val="004F32D4"/>
    <w:rsid w:val="004F347D"/>
    <w:rsid w:val="004F4B9E"/>
    <w:rsid w:val="004F4F5F"/>
    <w:rsid w:val="004F4FAF"/>
    <w:rsid w:val="004F56BF"/>
    <w:rsid w:val="004F5903"/>
    <w:rsid w:val="004F5B7E"/>
    <w:rsid w:val="004F66A4"/>
    <w:rsid w:val="004F6A23"/>
    <w:rsid w:val="004F777C"/>
    <w:rsid w:val="004F7D0C"/>
    <w:rsid w:val="005002A2"/>
    <w:rsid w:val="00500840"/>
    <w:rsid w:val="00500F78"/>
    <w:rsid w:val="0050114C"/>
    <w:rsid w:val="005011F6"/>
    <w:rsid w:val="0050272E"/>
    <w:rsid w:val="00502A89"/>
    <w:rsid w:val="00503FAD"/>
    <w:rsid w:val="005042FD"/>
    <w:rsid w:val="00504E36"/>
    <w:rsid w:val="00504FC5"/>
    <w:rsid w:val="0050649A"/>
    <w:rsid w:val="00506FB3"/>
    <w:rsid w:val="00506FC0"/>
    <w:rsid w:val="0050740B"/>
    <w:rsid w:val="00507482"/>
    <w:rsid w:val="00510B17"/>
    <w:rsid w:val="00510CC7"/>
    <w:rsid w:val="005111F7"/>
    <w:rsid w:val="0051148A"/>
    <w:rsid w:val="00511778"/>
    <w:rsid w:val="005125C8"/>
    <w:rsid w:val="0051282B"/>
    <w:rsid w:val="00512845"/>
    <w:rsid w:val="00513123"/>
    <w:rsid w:val="00513755"/>
    <w:rsid w:val="00513B4B"/>
    <w:rsid w:val="00513BAE"/>
    <w:rsid w:val="00513E1F"/>
    <w:rsid w:val="0051405F"/>
    <w:rsid w:val="00514117"/>
    <w:rsid w:val="00514768"/>
    <w:rsid w:val="00514909"/>
    <w:rsid w:val="00514BF0"/>
    <w:rsid w:val="0051548E"/>
    <w:rsid w:val="00515CDB"/>
    <w:rsid w:val="00515DAD"/>
    <w:rsid w:val="00515F4D"/>
    <w:rsid w:val="00515F87"/>
    <w:rsid w:val="00515FBE"/>
    <w:rsid w:val="005160C9"/>
    <w:rsid w:val="00516307"/>
    <w:rsid w:val="005165C1"/>
    <w:rsid w:val="00516B5A"/>
    <w:rsid w:val="00517598"/>
    <w:rsid w:val="005176F3"/>
    <w:rsid w:val="005201DC"/>
    <w:rsid w:val="0052086A"/>
    <w:rsid w:val="0052139C"/>
    <w:rsid w:val="00522392"/>
    <w:rsid w:val="00522395"/>
    <w:rsid w:val="0052358F"/>
    <w:rsid w:val="00523FAB"/>
    <w:rsid w:val="00524425"/>
    <w:rsid w:val="0052458F"/>
    <w:rsid w:val="00524BAC"/>
    <w:rsid w:val="0052543E"/>
    <w:rsid w:val="00526536"/>
    <w:rsid w:val="005265BF"/>
    <w:rsid w:val="00526941"/>
    <w:rsid w:val="00526F9D"/>
    <w:rsid w:val="00527267"/>
    <w:rsid w:val="0052730C"/>
    <w:rsid w:val="00527AD4"/>
    <w:rsid w:val="00527D6A"/>
    <w:rsid w:val="00527D85"/>
    <w:rsid w:val="00530C2D"/>
    <w:rsid w:val="00532141"/>
    <w:rsid w:val="005325AA"/>
    <w:rsid w:val="005325C2"/>
    <w:rsid w:val="0053269A"/>
    <w:rsid w:val="005330A3"/>
    <w:rsid w:val="00533898"/>
    <w:rsid w:val="00533DC4"/>
    <w:rsid w:val="00534398"/>
    <w:rsid w:val="00535818"/>
    <w:rsid w:val="00535C38"/>
    <w:rsid w:val="00535D06"/>
    <w:rsid w:val="00536332"/>
    <w:rsid w:val="005364E5"/>
    <w:rsid w:val="00536BF1"/>
    <w:rsid w:val="00536EF3"/>
    <w:rsid w:val="00537269"/>
    <w:rsid w:val="005378D7"/>
    <w:rsid w:val="005408B5"/>
    <w:rsid w:val="00540996"/>
    <w:rsid w:val="00540C9D"/>
    <w:rsid w:val="00540EDE"/>
    <w:rsid w:val="005410A5"/>
    <w:rsid w:val="005411B3"/>
    <w:rsid w:val="005411EA"/>
    <w:rsid w:val="00541203"/>
    <w:rsid w:val="00541246"/>
    <w:rsid w:val="0054146C"/>
    <w:rsid w:val="00541C8A"/>
    <w:rsid w:val="00541EBD"/>
    <w:rsid w:val="00542622"/>
    <w:rsid w:val="00542AD7"/>
    <w:rsid w:val="005431C2"/>
    <w:rsid w:val="005434D6"/>
    <w:rsid w:val="005436F2"/>
    <w:rsid w:val="00543A82"/>
    <w:rsid w:val="00543B98"/>
    <w:rsid w:val="00543CA0"/>
    <w:rsid w:val="00544249"/>
    <w:rsid w:val="00545257"/>
    <w:rsid w:val="005455A4"/>
    <w:rsid w:val="00545996"/>
    <w:rsid w:val="00546796"/>
    <w:rsid w:val="005467A7"/>
    <w:rsid w:val="00547585"/>
    <w:rsid w:val="00547781"/>
    <w:rsid w:val="0055010F"/>
    <w:rsid w:val="00550205"/>
    <w:rsid w:val="00550374"/>
    <w:rsid w:val="00551074"/>
    <w:rsid w:val="005510CE"/>
    <w:rsid w:val="005514D2"/>
    <w:rsid w:val="005518A5"/>
    <w:rsid w:val="00551ECA"/>
    <w:rsid w:val="005520C5"/>
    <w:rsid w:val="005525BC"/>
    <w:rsid w:val="00552DE2"/>
    <w:rsid w:val="00552FF3"/>
    <w:rsid w:val="00553231"/>
    <w:rsid w:val="00553326"/>
    <w:rsid w:val="00553FEA"/>
    <w:rsid w:val="005540BB"/>
    <w:rsid w:val="0055470B"/>
    <w:rsid w:val="00554856"/>
    <w:rsid w:val="00555017"/>
    <w:rsid w:val="00555245"/>
    <w:rsid w:val="00555B1B"/>
    <w:rsid w:val="0055602E"/>
    <w:rsid w:val="00556263"/>
    <w:rsid w:val="005568B7"/>
    <w:rsid w:val="005570CA"/>
    <w:rsid w:val="0055778E"/>
    <w:rsid w:val="0055782A"/>
    <w:rsid w:val="00561A50"/>
    <w:rsid w:val="00561E06"/>
    <w:rsid w:val="0056212E"/>
    <w:rsid w:val="00562689"/>
    <w:rsid w:val="005634E6"/>
    <w:rsid w:val="005636A3"/>
    <w:rsid w:val="00563806"/>
    <w:rsid w:val="0056478E"/>
    <w:rsid w:val="00564F47"/>
    <w:rsid w:val="0056515C"/>
    <w:rsid w:val="00565A56"/>
    <w:rsid w:val="00565E1C"/>
    <w:rsid w:val="0056619E"/>
    <w:rsid w:val="00566423"/>
    <w:rsid w:val="005664C0"/>
    <w:rsid w:val="0056712D"/>
    <w:rsid w:val="005674F5"/>
    <w:rsid w:val="0056769C"/>
    <w:rsid w:val="00567D79"/>
    <w:rsid w:val="0057067B"/>
    <w:rsid w:val="005708E2"/>
    <w:rsid w:val="00570BCA"/>
    <w:rsid w:val="00570C91"/>
    <w:rsid w:val="00570E49"/>
    <w:rsid w:val="0057220E"/>
    <w:rsid w:val="00572479"/>
    <w:rsid w:val="0057249E"/>
    <w:rsid w:val="00573330"/>
    <w:rsid w:val="00573894"/>
    <w:rsid w:val="005747A8"/>
    <w:rsid w:val="00575169"/>
    <w:rsid w:val="0057520A"/>
    <w:rsid w:val="00575475"/>
    <w:rsid w:val="005757FC"/>
    <w:rsid w:val="005761F3"/>
    <w:rsid w:val="00576958"/>
    <w:rsid w:val="00576DA9"/>
    <w:rsid w:val="0057728C"/>
    <w:rsid w:val="005772DD"/>
    <w:rsid w:val="00577DC1"/>
    <w:rsid w:val="00577E98"/>
    <w:rsid w:val="005805C0"/>
    <w:rsid w:val="00580CD7"/>
    <w:rsid w:val="00580DBD"/>
    <w:rsid w:val="00581218"/>
    <w:rsid w:val="00581221"/>
    <w:rsid w:val="00581616"/>
    <w:rsid w:val="00581CB3"/>
    <w:rsid w:val="00581F3A"/>
    <w:rsid w:val="0058209F"/>
    <w:rsid w:val="00582419"/>
    <w:rsid w:val="00582579"/>
    <w:rsid w:val="0058301D"/>
    <w:rsid w:val="0058304C"/>
    <w:rsid w:val="00583883"/>
    <w:rsid w:val="00583BCC"/>
    <w:rsid w:val="00583E06"/>
    <w:rsid w:val="005846CA"/>
    <w:rsid w:val="0058513C"/>
    <w:rsid w:val="005858F7"/>
    <w:rsid w:val="00585A04"/>
    <w:rsid w:val="00585B5D"/>
    <w:rsid w:val="00585DA2"/>
    <w:rsid w:val="00586254"/>
    <w:rsid w:val="005862F9"/>
    <w:rsid w:val="0058691F"/>
    <w:rsid w:val="005869C1"/>
    <w:rsid w:val="00590278"/>
    <w:rsid w:val="0059052C"/>
    <w:rsid w:val="0059062B"/>
    <w:rsid w:val="00590D58"/>
    <w:rsid w:val="005924F7"/>
    <w:rsid w:val="005927CD"/>
    <w:rsid w:val="00592FA8"/>
    <w:rsid w:val="005934DC"/>
    <w:rsid w:val="005935D1"/>
    <w:rsid w:val="00593762"/>
    <w:rsid w:val="00593CD1"/>
    <w:rsid w:val="00593FC5"/>
    <w:rsid w:val="005943D8"/>
    <w:rsid w:val="0059440C"/>
    <w:rsid w:val="005949DD"/>
    <w:rsid w:val="005952CE"/>
    <w:rsid w:val="005954B3"/>
    <w:rsid w:val="00595859"/>
    <w:rsid w:val="005961CC"/>
    <w:rsid w:val="00596323"/>
    <w:rsid w:val="005969E5"/>
    <w:rsid w:val="00596A8A"/>
    <w:rsid w:val="00597828"/>
    <w:rsid w:val="00597E83"/>
    <w:rsid w:val="005A04BF"/>
    <w:rsid w:val="005A0B72"/>
    <w:rsid w:val="005A13ED"/>
    <w:rsid w:val="005A15A2"/>
    <w:rsid w:val="005A17FF"/>
    <w:rsid w:val="005A199D"/>
    <w:rsid w:val="005A1AE0"/>
    <w:rsid w:val="005A2BD2"/>
    <w:rsid w:val="005A396B"/>
    <w:rsid w:val="005A3C0B"/>
    <w:rsid w:val="005A3C48"/>
    <w:rsid w:val="005A4629"/>
    <w:rsid w:val="005A52A9"/>
    <w:rsid w:val="005A5541"/>
    <w:rsid w:val="005A5DC0"/>
    <w:rsid w:val="005A60B3"/>
    <w:rsid w:val="005A645B"/>
    <w:rsid w:val="005A6522"/>
    <w:rsid w:val="005A6899"/>
    <w:rsid w:val="005A6CDB"/>
    <w:rsid w:val="005A6ECB"/>
    <w:rsid w:val="005A7310"/>
    <w:rsid w:val="005A7412"/>
    <w:rsid w:val="005A748C"/>
    <w:rsid w:val="005A78A5"/>
    <w:rsid w:val="005B02B6"/>
    <w:rsid w:val="005B0470"/>
    <w:rsid w:val="005B04EB"/>
    <w:rsid w:val="005B0908"/>
    <w:rsid w:val="005B0C24"/>
    <w:rsid w:val="005B14E4"/>
    <w:rsid w:val="005B2548"/>
    <w:rsid w:val="005B26B2"/>
    <w:rsid w:val="005B2C8A"/>
    <w:rsid w:val="005B33DB"/>
    <w:rsid w:val="005B3C39"/>
    <w:rsid w:val="005B3F44"/>
    <w:rsid w:val="005B4850"/>
    <w:rsid w:val="005B4A6C"/>
    <w:rsid w:val="005B4FCB"/>
    <w:rsid w:val="005B53B0"/>
    <w:rsid w:val="005B55F5"/>
    <w:rsid w:val="005B5A04"/>
    <w:rsid w:val="005B6991"/>
    <w:rsid w:val="005B6DED"/>
    <w:rsid w:val="005B72BB"/>
    <w:rsid w:val="005B7B2D"/>
    <w:rsid w:val="005B7BCA"/>
    <w:rsid w:val="005C03E2"/>
    <w:rsid w:val="005C0A0B"/>
    <w:rsid w:val="005C1778"/>
    <w:rsid w:val="005C201B"/>
    <w:rsid w:val="005C233B"/>
    <w:rsid w:val="005C2ACD"/>
    <w:rsid w:val="005C2F7D"/>
    <w:rsid w:val="005C2FCE"/>
    <w:rsid w:val="005C34C5"/>
    <w:rsid w:val="005C34E0"/>
    <w:rsid w:val="005C37F0"/>
    <w:rsid w:val="005C3DB1"/>
    <w:rsid w:val="005C3FD6"/>
    <w:rsid w:val="005C56A5"/>
    <w:rsid w:val="005C649C"/>
    <w:rsid w:val="005C6650"/>
    <w:rsid w:val="005C68CA"/>
    <w:rsid w:val="005C729A"/>
    <w:rsid w:val="005C77EC"/>
    <w:rsid w:val="005C7FC0"/>
    <w:rsid w:val="005D06CD"/>
    <w:rsid w:val="005D09E1"/>
    <w:rsid w:val="005D16E7"/>
    <w:rsid w:val="005D28B3"/>
    <w:rsid w:val="005D29B4"/>
    <w:rsid w:val="005D2AE0"/>
    <w:rsid w:val="005D2D79"/>
    <w:rsid w:val="005D3000"/>
    <w:rsid w:val="005D3C23"/>
    <w:rsid w:val="005D3D9A"/>
    <w:rsid w:val="005D3E2B"/>
    <w:rsid w:val="005D40E9"/>
    <w:rsid w:val="005D4454"/>
    <w:rsid w:val="005D5169"/>
    <w:rsid w:val="005D623C"/>
    <w:rsid w:val="005D62E2"/>
    <w:rsid w:val="005D656D"/>
    <w:rsid w:val="005D7A03"/>
    <w:rsid w:val="005D7D7E"/>
    <w:rsid w:val="005E0352"/>
    <w:rsid w:val="005E0357"/>
    <w:rsid w:val="005E109D"/>
    <w:rsid w:val="005E1220"/>
    <w:rsid w:val="005E1332"/>
    <w:rsid w:val="005E1361"/>
    <w:rsid w:val="005E13F2"/>
    <w:rsid w:val="005E1E23"/>
    <w:rsid w:val="005E1F05"/>
    <w:rsid w:val="005E27E4"/>
    <w:rsid w:val="005E2BE2"/>
    <w:rsid w:val="005E3976"/>
    <w:rsid w:val="005E3978"/>
    <w:rsid w:val="005E3DF2"/>
    <w:rsid w:val="005E4CDC"/>
    <w:rsid w:val="005E4D58"/>
    <w:rsid w:val="005E4E0A"/>
    <w:rsid w:val="005E5260"/>
    <w:rsid w:val="005E5A0A"/>
    <w:rsid w:val="005E6101"/>
    <w:rsid w:val="005E64DB"/>
    <w:rsid w:val="005E68FF"/>
    <w:rsid w:val="005E6CD4"/>
    <w:rsid w:val="005E6D47"/>
    <w:rsid w:val="005E7670"/>
    <w:rsid w:val="005E7F09"/>
    <w:rsid w:val="005F050F"/>
    <w:rsid w:val="005F083B"/>
    <w:rsid w:val="005F1651"/>
    <w:rsid w:val="005F16F9"/>
    <w:rsid w:val="005F1E13"/>
    <w:rsid w:val="005F200C"/>
    <w:rsid w:val="005F2495"/>
    <w:rsid w:val="005F3788"/>
    <w:rsid w:val="005F3F9B"/>
    <w:rsid w:val="005F4444"/>
    <w:rsid w:val="005F4E4F"/>
    <w:rsid w:val="005F5001"/>
    <w:rsid w:val="005F55BD"/>
    <w:rsid w:val="005F5650"/>
    <w:rsid w:val="005F5A05"/>
    <w:rsid w:val="005F6B84"/>
    <w:rsid w:val="005F6F88"/>
    <w:rsid w:val="005F70A6"/>
    <w:rsid w:val="005F7EF6"/>
    <w:rsid w:val="00600608"/>
    <w:rsid w:val="006010AC"/>
    <w:rsid w:val="00601727"/>
    <w:rsid w:val="00601872"/>
    <w:rsid w:val="00602CA3"/>
    <w:rsid w:val="00605C3B"/>
    <w:rsid w:val="00606789"/>
    <w:rsid w:val="00606923"/>
    <w:rsid w:val="00606CA4"/>
    <w:rsid w:val="00607288"/>
    <w:rsid w:val="006077AD"/>
    <w:rsid w:val="00607BD9"/>
    <w:rsid w:val="00607CF4"/>
    <w:rsid w:val="0061081D"/>
    <w:rsid w:val="00610841"/>
    <w:rsid w:val="00611586"/>
    <w:rsid w:val="00611801"/>
    <w:rsid w:val="00611925"/>
    <w:rsid w:val="006122D3"/>
    <w:rsid w:val="0061250E"/>
    <w:rsid w:val="0061260A"/>
    <w:rsid w:val="00612A91"/>
    <w:rsid w:val="00612B41"/>
    <w:rsid w:val="00612E93"/>
    <w:rsid w:val="00614739"/>
    <w:rsid w:val="00615C31"/>
    <w:rsid w:val="00615C4F"/>
    <w:rsid w:val="0061602D"/>
    <w:rsid w:val="00616056"/>
    <w:rsid w:val="00616AD3"/>
    <w:rsid w:val="00616D4E"/>
    <w:rsid w:val="006170E6"/>
    <w:rsid w:val="00617BC6"/>
    <w:rsid w:val="00617DCD"/>
    <w:rsid w:val="0062011F"/>
    <w:rsid w:val="00620763"/>
    <w:rsid w:val="00620BF2"/>
    <w:rsid w:val="0062141F"/>
    <w:rsid w:val="0062217C"/>
    <w:rsid w:val="00622AB7"/>
    <w:rsid w:val="00623A01"/>
    <w:rsid w:val="00623C82"/>
    <w:rsid w:val="00623DC0"/>
    <w:rsid w:val="006252BA"/>
    <w:rsid w:val="00625855"/>
    <w:rsid w:val="00626420"/>
    <w:rsid w:val="006266FA"/>
    <w:rsid w:val="006277CA"/>
    <w:rsid w:val="00627A29"/>
    <w:rsid w:val="0063175F"/>
    <w:rsid w:val="006322EB"/>
    <w:rsid w:val="006324FB"/>
    <w:rsid w:val="00632833"/>
    <w:rsid w:val="006333A3"/>
    <w:rsid w:val="0063384F"/>
    <w:rsid w:val="00634A29"/>
    <w:rsid w:val="00635727"/>
    <w:rsid w:val="006357A5"/>
    <w:rsid w:val="0063606F"/>
    <w:rsid w:val="00636529"/>
    <w:rsid w:val="00636E50"/>
    <w:rsid w:val="006377B0"/>
    <w:rsid w:val="00640406"/>
    <w:rsid w:val="0064117C"/>
    <w:rsid w:val="00642370"/>
    <w:rsid w:val="0064346B"/>
    <w:rsid w:val="00643744"/>
    <w:rsid w:val="00643A6C"/>
    <w:rsid w:val="006442BD"/>
    <w:rsid w:val="00644B33"/>
    <w:rsid w:val="00644C23"/>
    <w:rsid w:val="0064680D"/>
    <w:rsid w:val="00646D82"/>
    <w:rsid w:val="00646DF1"/>
    <w:rsid w:val="00646DF3"/>
    <w:rsid w:val="00646F1E"/>
    <w:rsid w:val="00646FCE"/>
    <w:rsid w:val="0064732D"/>
    <w:rsid w:val="00650580"/>
    <w:rsid w:val="00650DFB"/>
    <w:rsid w:val="00651184"/>
    <w:rsid w:val="0065144D"/>
    <w:rsid w:val="00651F8B"/>
    <w:rsid w:val="00652090"/>
    <w:rsid w:val="00652263"/>
    <w:rsid w:val="00652CC8"/>
    <w:rsid w:val="0065317F"/>
    <w:rsid w:val="00653792"/>
    <w:rsid w:val="00653A71"/>
    <w:rsid w:val="00653AA2"/>
    <w:rsid w:val="006548A2"/>
    <w:rsid w:val="006548D8"/>
    <w:rsid w:val="006551C2"/>
    <w:rsid w:val="00655322"/>
    <w:rsid w:val="006553D0"/>
    <w:rsid w:val="00655A56"/>
    <w:rsid w:val="00655E47"/>
    <w:rsid w:val="00655FA6"/>
    <w:rsid w:val="0065759A"/>
    <w:rsid w:val="006600FD"/>
    <w:rsid w:val="0066049F"/>
    <w:rsid w:val="006609A6"/>
    <w:rsid w:val="00661614"/>
    <w:rsid w:val="00661660"/>
    <w:rsid w:val="00661A81"/>
    <w:rsid w:val="00661BFA"/>
    <w:rsid w:val="006620C2"/>
    <w:rsid w:val="006637A5"/>
    <w:rsid w:val="00663C10"/>
    <w:rsid w:val="00664278"/>
    <w:rsid w:val="006647EE"/>
    <w:rsid w:val="00664F81"/>
    <w:rsid w:val="006654B6"/>
    <w:rsid w:val="006660FD"/>
    <w:rsid w:val="00667290"/>
    <w:rsid w:val="006672F5"/>
    <w:rsid w:val="0066736A"/>
    <w:rsid w:val="00667BA9"/>
    <w:rsid w:val="006705DC"/>
    <w:rsid w:val="006708E9"/>
    <w:rsid w:val="00671012"/>
    <w:rsid w:val="006713C3"/>
    <w:rsid w:val="00671643"/>
    <w:rsid w:val="0067184D"/>
    <w:rsid w:val="00671852"/>
    <w:rsid w:val="006730DD"/>
    <w:rsid w:val="006731AC"/>
    <w:rsid w:val="00673A89"/>
    <w:rsid w:val="006741A7"/>
    <w:rsid w:val="00674CAB"/>
    <w:rsid w:val="00674F43"/>
    <w:rsid w:val="00675381"/>
    <w:rsid w:val="006761BA"/>
    <w:rsid w:val="006767BB"/>
    <w:rsid w:val="00676EEC"/>
    <w:rsid w:val="00676F92"/>
    <w:rsid w:val="00677018"/>
    <w:rsid w:val="00677CBA"/>
    <w:rsid w:val="00677DEA"/>
    <w:rsid w:val="00680915"/>
    <w:rsid w:val="00680EB4"/>
    <w:rsid w:val="0068114D"/>
    <w:rsid w:val="00681BD5"/>
    <w:rsid w:val="00681E14"/>
    <w:rsid w:val="00682489"/>
    <w:rsid w:val="006825E8"/>
    <w:rsid w:val="00682E4F"/>
    <w:rsid w:val="00683475"/>
    <w:rsid w:val="00683B45"/>
    <w:rsid w:val="00684121"/>
    <w:rsid w:val="00684181"/>
    <w:rsid w:val="006848C0"/>
    <w:rsid w:val="006851A0"/>
    <w:rsid w:val="00685C03"/>
    <w:rsid w:val="00685C2F"/>
    <w:rsid w:val="00685FD4"/>
    <w:rsid w:val="0068680B"/>
    <w:rsid w:val="00687EB0"/>
    <w:rsid w:val="00687F09"/>
    <w:rsid w:val="00690141"/>
    <w:rsid w:val="0069054F"/>
    <w:rsid w:val="00691386"/>
    <w:rsid w:val="00691778"/>
    <w:rsid w:val="00691860"/>
    <w:rsid w:val="00691BC9"/>
    <w:rsid w:val="00691EB2"/>
    <w:rsid w:val="0069220D"/>
    <w:rsid w:val="00692367"/>
    <w:rsid w:val="00692592"/>
    <w:rsid w:val="00692939"/>
    <w:rsid w:val="006930CE"/>
    <w:rsid w:val="00693AA0"/>
    <w:rsid w:val="0069410C"/>
    <w:rsid w:val="00694223"/>
    <w:rsid w:val="0069434F"/>
    <w:rsid w:val="00694745"/>
    <w:rsid w:val="006950C4"/>
    <w:rsid w:val="0069516D"/>
    <w:rsid w:val="006951F4"/>
    <w:rsid w:val="00695386"/>
    <w:rsid w:val="006953F4"/>
    <w:rsid w:val="00695975"/>
    <w:rsid w:val="00695FDE"/>
    <w:rsid w:val="006961C6"/>
    <w:rsid w:val="006969C4"/>
    <w:rsid w:val="00696B33"/>
    <w:rsid w:val="006A046F"/>
    <w:rsid w:val="006A0842"/>
    <w:rsid w:val="006A1E49"/>
    <w:rsid w:val="006A2935"/>
    <w:rsid w:val="006A2A65"/>
    <w:rsid w:val="006A300E"/>
    <w:rsid w:val="006A349C"/>
    <w:rsid w:val="006A357F"/>
    <w:rsid w:val="006A3804"/>
    <w:rsid w:val="006A3B56"/>
    <w:rsid w:val="006A496E"/>
    <w:rsid w:val="006A5143"/>
    <w:rsid w:val="006A52DA"/>
    <w:rsid w:val="006A57DD"/>
    <w:rsid w:val="006A59F1"/>
    <w:rsid w:val="006A5CDA"/>
    <w:rsid w:val="006A6491"/>
    <w:rsid w:val="006A6C7C"/>
    <w:rsid w:val="006A78FA"/>
    <w:rsid w:val="006A790C"/>
    <w:rsid w:val="006A791C"/>
    <w:rsid w:val="006A798E"/>
    <w:rsid w:val="006A7A43"/>
    <w:rsid w:val="006A7AF0"/>
    <w:rsid w:val="006A7B21"/>
    <w:rsid w:val="006A7F1F"/>
    <w:rsid w:val="006B0567"/>
    <w:rsid w:val="006B09D0"/>
    <w:rsid w:val="006B0B9C"/>
    <w:rsid w:val="006B0D9B"/>
    <w:rsid w:val="006B1006"/>
    <w:rsid w:val="006B10DE"/>
    <w:rsid w:val="006B220A"/>
    <w:rsid w:val="006B23A8"/>
    <w:rsid w:val="006B32ED"/>
    <w:rsid w:val="006B3D75"/>
    <w:rsid w:val="006B43FA"/>
    <w:rsid w:val="006B46F6"/>
    <w:rsid w:val="006B4707"/>
    <w:rsid w:val="006B51B4"/>
    <w:rsid w:val="006B5EAE"/>
    <w:rsid w:val="006B5F26"/>
    <w:rsid w:val="006B6DB5"/>
    <w:rsid w:val="006B70E4"/>
    <w:rsid w:val="006B76E5"/>
    <w:rsid w:val="006B775E"/>
    <w:rsid w:val="006B77B5"/>
    <w:rsid w:val="006B7B8A"/>
    <w:rsid w:val="006B7BBE"/>
    <w:rsid w:val="006B7F8A"/>
    <w:rsid w:val="006C04D8"/>
    <w:rsid w:val="006C0527"/>
    <w:rsid w:val="006C09CD"/>
    <w:rsid w:val="006C0BDD"/>
    <w:rsid w:val="006C0F17"/>
    <w:rsid w:val="006C18C4"/>
    <w:rsid w:val="006C1D9D"/>
    <w:rsid w:val="006C2027"/>
    <w:rsid w:val="006C33C5"/>
    <w:rsid w:val="006C39EB"/>
    <w:rsid w:val="006C478E"/>
    <w:rsid w:val="006C4B30"/>
    <w:rsid w:val="006C4D41"/>
    <w:rsid w:val="006C4E6F"/>
    <w:rsid w:val="006C4FC5"/>
    <w:rsid w:val="006C5BFC"/>
    <w:rsid w:val="006C5F62"/>
    <w:rsid w:val="006C7591"/>
    <w:rsid w:val="006C79BE"/>
    <w:rsid w:val="006D00BA"/>
    <w:rsid w:val="006D0BF8"/>
    <w:rsid w:val="006D0D4F"/>
    <w:rsid w:val="006D0EDE"/>
    <w:rsid w:val="006D0F93"/>
    <w:rsid w:val="006D291A"/>
    <w:rsid w:val="006D3321"/>
    <w:rsid w:val="006D3951"/>
    <w:rsid w:val="006D3DBE"/>
    <w:rsid w:val="006D455D"/>
    <w:rsid w:val="006D4E02"/>
    <w:rsid w:val="006D5D4B"/>
    <w:rsid w:val="006D5EF2"/>
    <w:rsid w:val="006D5FFB"/>
    <w:rsid w:val="006D6336"/>
    <w:rsid w:val="006D74C0"/>
    <w:rsid w:val="006D7F76"/>
    <w:rsid w:val="006E03D2"/>
    <w:rsid w:val="006E05C0"/>
    <w:rsid w:val="006E0B78"/>
    <w:rsid w:val="006E12E9"/>
    <w:rsid w:val="006E136D"/>
    <w:rsid w:val="006E1860"/>
    <w:rsid w:val="006E204A"/>
    <w:rsid w:val="006E22EC"/>
    <w:rsid w:val="006E2D54"/>
    <w:rsid w:val="006E3227"/>
    <w:rsid w:val="006E390A"/>
    <w:rsid w:val="006E3B84"/>
    <w:rsid w:val="006E4349"/>
    <w:rsid w:val="006E44B0"/>
    <w:rsid w:val="006E4FC3"/>
    <w:rsid w:val="006E554D"/>
    <w:rsid w:val="006E5721"/>
    <w:rsid w:val="006E5BA2"/>
    <w:rsid w:val="006E668D"/>
    <w:rsid w:val="006E72F6"/>
    <w:rsid w:val="006E7856"/>
    <w:rsid w:val="006E796C"/>
    <w:rsid w:val="006F00EA"/>
    <w:rsid w:val="006F12A9"/>
    <w:rsid w:val="006F1885"/>
    <w:rsid w:val="006F1CAA"/>
    <w:rsid w:val="006F1D83"/>
    <w:rsid w:val="006F2722"/>
    <w:rsid w:val="006F28E4"/>
    <w:rsid w:val="006F31DF"/>
    <w:rsid w:val="006F3A91"/>
    <w:rsid w:val="006F4111"/>
    <w:rsid w:val="006F4136"/>
    <w:rsid w:val="006F497B"/>
    <w:rsid w:val="006F4BFE"/>
    <w:rsid w:val="006F5F94"/>
    <w:rsid w:val="006F645F"/>
    <w:rsid w:val="006F6B67"/>
    <w:rsid w:val="006F7035"/>
    <w:rsid w:val="00700FFB"/>
    <w:rsid w:val="007038BD"/>
    <w:rsid w:val="0070392A"/>
    <w:rsid w:val="00703DBA"/>
    <w:rsid w:val="00703EDC"/>
    <w:rsid w:val="00704284"/>
    <w:rsid w:val="00704B97"/>
    <w:rsid w:val="00705E84"/>
    <w:rsid w:val="007066B2"/>
    <w:rsid w:val="00707888"/>
    <w:rsid w:val="007100AE"/>
    <w:rsid w:val="007105FE"/>
    <w:rsid w:val="00711756"/>
    <w:rsid w:val="0071194E"/>
    <w:rsid w:val="00711B5C"/>
    <w:rsid w:val="00711C0C"/>
    <w:rsid w:val="00711CBF"/>
    <w:rsid w:val="0071278A"/>
    <w:rsid w:val="007130D9"/>
    <w:rsid w:val="00713115"/>
    <w:rsid w:val="007132CA"/>
    <w:rsid w:val="00713704"/>
    <w:rsid w:val="00713A5B"/>
    <w:rsid w:val="007148F4"/>
    <w:rsid w:val="00714977"/>
    <w:rsid w:val="0071551F"/>
    <w:rsid w:val="00715EEA"/>
    <w:rsid w:val="0072051A"/>
    <w:rsid w:val="00720770"/>
    <w:rsid w:val="00720BCE"/>
    <w:rsid w:val="00720C09"/>
    <w:rsid w:val="007213CD"/>
    <w:rsid w:val="00721AF1"/>
    <w:rsid w:val="00721D98"/>
    <w:rsid w:val="007222C9"/>
    <w:rsid w:val="007222EE"/>
    <w:rsid w:val="00722894"/>
    <w:rsid w:val="00722FCC"/>
    <w:rsid w:val="007235E3"/>
    <w:rsid w:val="0072369E"/>
    <w:rsid w:val="0072420D"/>
    <w:rsid w:val="00724602"/>
    <w:rsid w:val="0072467E"/>
    <w:rsid w:val="00724979"/>
    <w:rsid w:val="00724E0D"/>
    <w:rsid w:val="007250C0"/>
    <w:rsid w:val="007256F9"/>
    <w:rsid w:val="0072580B"/>
    <w:rsid w:val="007258E2"/>
    <w:rsid w:val="00727059"/>
    <w:rsid w:val="007270FA"/>
    <w:rsid w:val="00727429"/>
    <w:rsid w:val="0072774B"/>
    <w:rsid w:val="00727993"/>
    <w:rsid w:val="0073013D"/>
    <w:rsid w:val="00730666"/>
    <w:rsid w:val="00730961"/>
    <w:rsid w:val="007309CE"/>
    <w:rsid w:val="00730DC1"/>
    <w:rsid w:val="00730EC2"/>
    <w:rsid w:val="007310E5"/>
    <w:rsid w:val="007313EF"/>
    <w:rsid w:val="00731468"/>
    <w:rsid w:val="00731B5B"/>
    <w:rsid w:val="00731BA8"/>
    <w:rsid w:val="0073212A"/>
    <w:rsid w:val="007321ED"/>
    <w:rsid w:val="00732263"/>
    <w:rsid w:val="0073280E"/>
    <w:rsid w:val="00732FC8"/>
    <w:rsid w:val="00733867"/>
    <w:rsid w:val="0073392D"/>
    <w:rsid w:val="00734996"/>
    <w:rsid w:val="007359FF"/>
    <w:rsid w:val="00735D61"/>
    <w:rsid w:val="0073666C"/>
    <w:rsid w:val="00736C03"/>
    <w:rsid w:val="00736C41"/>
    <w:rsid w:val="0073728F"/>
    <w:rsid w:val="007406AD"/>
    <w:rsid w:val="007410C5"/>
    <w:rsid w:val="00741A4E"/>
    <w:rsid w:val="00741A84"/>
    <w:rsid w:val="00741FEC"/>
    <w:rsid w:val="00742535"/>
    <w:rsid w:val="0074268F"/>
    <w:rsid w:val="007426E8"/>
    <w:rsid w:val="00742722"/>
    <w:rsid w:val="00743072"/>
    <w:rsid w:val="00743738"/>
    <w:rsid w:val="007443DC"/>
    <w:rsid w:val="00744F68"/>
    <w:rsid w:val="007454C1"/>
    <w:rsid w:val="007455DA"/>
    <w:rsid w:val="00746116"/>
    <w:rsid w:val="0074632B"/>
    <w:rsid w:val="007469CD"/>
    <w:rsid w:val="00747FED"/>
    <w:rsid w:val="00750300"/>
    <w:rsid w:val="00750D24"/>
    <w:rsid w:val="00750D48"/>
    <w:rsid w:val="00750D57"/>
    <w:rsid w:val="007511C0"/>
    <w:rsid w:val="007516D6"/>
    <w:rsid w:val="00751A6D"/>
    <w:rsid w:val="00751ED0"/>
    <w:rsid w:val="007524FE"/>
    <w:rsid w:val="00752C9E"/>
    <w:rsid w:val="007534DD"/>
    <w:rsid w:val="00753734"/>
    <w:rsid w:val="007537FF"/>
    <w:rsid w:val="007539E7"/>
    <w:rsid w:val="007549B7"/>
    <w:rsid w:val="00754BED"/>
    <w:rsid w:val="00755CF3"/>
    <w:rsid w:val="00756336"/>
    <w:rsid w:val="007563D6"/>
    <w:rsid w:val="007567F2"/>
    <w:rsid w:val="0075683D"/>
    <w:rsid w:val="00757218"/>
    <w:rsid w:val="00757376"/>
    <w:rsid w:val="0076008E"/>
    <w:rsid w:val="007607A2"/>
    <w:rsid w:val="007609C8"/>
    <w:rsid w:val="00760EA4"/>
    <w:rsid w:val="00761A36"/>
    <w:rsid w:val="00762533"/>
    <w:rsid w:val="007625C6"/>
    <w:rsid w:val="007626ED"/>
    <w:rsid w:val="00762BD4"/>
    <w:rsid w:val="007633F6"/>
    <w:rsid w:val="007637AD"/>
    <w:rsid w:val="00763BD3"/>
    <w:rsid w:val="00763E10"/>
    <w:rsid w:val="00763E8E"/>
    <w:rsid w:val="00764217"/>
    <w:rsid w:val="00764572"/>
    <w:rsid w:val="007648B8"/>
    <w:rsid w:val="00764AD6"/>
    <w:rsid w:val="00764FB3"/>
    <w:rsid w:val="007656A3"/>
    <w:rsid w:val="00765C16"/>
    <w:rsid w:val="0076606B"/>
    <w:rsid w:val="00766528"/>
    <w:rsid w:val="00766569"/>
    <w:rsid w:val="00766573"/>
    <w:rsid w:val="00766771"/>
    <w:rsid w:val="0076694E"/>
    <w:rsid w:val="00767126"/>
    <w:rsid w:val="007672FC"/>
    <w:rsid w:val="007678A6"/>
    <w:rsid w:val="00767922"/>
    <w:rsid w:val="00767BE8"/>
    <w:rsid w:val="00767DEA"/>
    <w:rsid w:val="00767F03"/>
    <w:rsid w:val="00770200"/>
    <w:rsid w:val="00770283"/>
    <w:rsid w:val="007702D7"/>
    <w:rsid w:val="007705F3"/>
    <w:rsid w:val="00770E8A"/>
    <w:rsid w:val="00771BC9"/>
    <w:rsid w:val="00771E80"/>
    <w:rsid w:val="00772218"/>
    <w:rsid w:val="0077386F"/>
    <w:rsid w:val="00773C6B"/>
    <w:rsid w:val="00773FEC"/>
    <w:rsid w:val="00775996"/>
    <w:rsid w:val="00775A8D"/>
    <w:rsid w:val="007764B8"/>
    <w:rsid w:val="00776859"/>
    <w:rsid w:val="0077685F"/>
    <w:rsid w:val="007769B2"/>
    <w:rsid w:val="0077767B"/>
    <w:rsid w:val="00777BAF"/>
    <w:rsid w:val="007806D8"/>
    <w:rsid w:val="00781329"/>
    <w:rsid w:val="007817D4"/>
    <w:rsid w:val="00781B1F"/>
    <w:rsid w:val="00781D1C"/>
    <w:rsid w:val="0078266C"/>
    <w:rsid w:val="00782819"/>
    <w:rsid w:val="00782C5D"/>
    <w:rsid w:val="00783244"/>
    <w:rsid w:val="0078350D"/>
    <w:rsid w:val="007837E7"/>
    <w:rsid w:val="00783CF8"/>
    <w:rsid w:val="007846EF"/>
    <w:rsid w:val="007849D9"/>
    <w:rsid w:val="007849F2"/>
    <w:rsid w:val="00784BB5"/>
    <w:rsid w:val="00785B61"/>
    <w:rsid w:val="0078628C"/>
    <w:rsid w:val="007864F1"/>
    <w:rsid w:val="007902B2"/>
    <w:rsid w:val="00790771"/>
    <w:rsid w:val="00790BD7"/>
    <w:rsid w:val="00790C61"/>
    <w:rsid w:val="0079134E"/>
    <w:rsid w:val="00791DA3"/>
    <w:rsid w:val="00791F7B"/>
    <w:rsid w:val="00791FD5"/>
    <w:rsid w:val="007920EE"/>
    <w:rsid w:val="007924B7"/>
    <w:rsid w:val="00792B22"/>
    <w:rsid w:val="00792B28"/>
    <w:rsid w:val="00792CDD"/>
    <w:rsid w:val="00792D8A"/>
    <w:rsid w:val="0079312B"/>
    <w:rsid w:val="00793554"/>
    <w:rsid w:val="00793A8E"/>
    <w:rsid w:val="00793B9C"/>
    <w:rsid w:val="00793C8F"/>
    <w:rsid w:val="00793D18"/>
    <w:rsid w:val="007943AB"/>
    <w:rsid w:val="00794501"/>
    <w:rsid w:val="007946A4"/>
    <w:rsid w:val="00794D54"/>
    <w:rsid w:val="00794DB1"/>
    <w:rsid w:val="007950BE"/>
    <w:rsid w:val="007954BC"/>
    <w:rsid w:val="00796223"/>
    <w:rsid w:val="0079671C"/>
    <w:rsid w:val="0079676D"/>
    <w:rsid w:val="00796797"/>
    <w:rsid w:val="00796964"/>
    <w:rsid w:val="00797452"/>
    <w:rsid w:val="007A0BFD"/>
    <w:rsid w:val="007A0D89"/>
    <w:rsid w:val="007A0FAD"/>
    <w:rsid w:val="007A1372"/>
    <w:rsid w:val="007A138B"/>
    <w:rsid w:val="007A21BA"/>
    <w:rsid w:val="007A239D"/>
    <w:rsid w:val="007A274E"/>
    <w:rsid w:val="007A355B"/>
    <w:rsid w:val="007A3AD3"/>
    <w:rsid w:val="007A3EF0"/>
    <w:rsid w:val="007A43BA"/>
    <w:rsid w:val="007A4E70"/>
    <w:rsid w:val="007A5461"/>
    <w:rsid w:val="007A5591"/>
    <w:rsid w:val="007A5A98"/>
    <w:rsid w:val="007A62D0"/>
    <w:rsid w:val="007A63DA"/>
    <w:rsid w:val="007A68E7"/>
    <w:rsid w:val="007A6B92"/>
    <w:rsid w:val="007A6E41"/>
    <w:rsid w:val="007A703D"/>
    <w:rsid w:val="007A7B1A"/>
    <w:rsid w:val="007A7BF7"/>
    <w:rsid w:val="007B0105"/>
    <w:rsid w:val="007B0FA9"/>
    <w:rsid w:val="007B1947"/>
    <w:rsid w:val="007B1A82"/>
    <w:rsid w:val="007B22EA"/>
    <w:rsid w:val="007B28B7"/>
    <w:rsid w:val="007B2A0F"/>
    <w:rsid w:val="007B2BD5"/>
    <w:rsid w:val="007B2EBC"/>
    <w:rsid w:val="007B3C15"/>
    <w:rsid w:val="007B4290"/>
    <w:rsid w:val="007B42B0"/>
    <w:rsid w:val="007B4EBE"/>
    <w:rsid w:val="007B561F"/>
    <w:rsid w:val="007B5735"/>
    <w:rsid w:val="007B596E"/>
    <w:rsid w:val="007B5C07"/>
    <w:rsid w:val="007B6038"/>
    <w:rsid w:val="007B60A1"/>
    <w:rsid w:val="007B6CC1"/>
    <w:rsid w:val="007B71EB"/>
    <w:rsid w:val="007B72D1"/>
    <w:rsid w:val="007B786E"/>
    <w:rsid w:val="007B78D8"/>
    <w:rsid w:val="007B7C36"/>
    <w:rsid w:val="007C0320"/>
    <w:rsid w:val="007C032B"/>
    <w:rsid w:val="007C0554"/>
    <w:rsid w:val="007C06B6"/>
    <w:rsid w:val="007C0D03"/>
    <w:rsid w:val="007C1040"/>
    <w:rsid w:val="007C11A5"/>
    <w:rsid w:val="007C12A1"/>
    <w:rsid w:val="007C1452"/>
    <w:rsid w:val="007C1B60"/>
    <w:rsid w:val="007C1C1A"/>
    <w:rsid w:val="007C1C99"/>
    <w:rsid w:val="007C2BBA"/>
    <w:rsid w:val="007C2D65"/>
    <w:rsid w:val="007C2ED4"/>
    <w:rsid w:val="007C348E"/>
    <w:rsid w:val="007C3835"/>
    <w:rsid w:val="007C3D41"/>
    <w:rsid w:val="007C3E98"/>
    <w:rsid w:val="007C4502"/>
    <w:rsid w:val="007C46B0"/>
    <w:rsid w:val="007C4A91"/>
    <w:rsid w:val="007C4D2E"/>
    <w:rsid w:val="007C50CC"/>
    <w:rsid w:val="007C5265"/>
    <w:rsid w:val="007C554C"/>
    <w:rsid w:val="007C575E"/>
    <w:rsid w:val="007C59BD"/>
    <w:rsid w:val="007C5A58"/>
    <w:rsid w:val="007C5C14"/>
    <w:rsid w:val="007C60B8"/>
    <w:rsid w:val="007C6836"/>
    <w:rsid w:val="007C6E48"/>
    <w:rsid w:val="007C708B"/>
    <w:rsid w:val="007C70FE"/>
    <w:rsid w:val="007C7F04"/>
    <w:rsid w:val="007D0383"/>
    <w:rsid w:val="007D1D6F"/>
    <w:rsid w:val="007D1E66"/>
    <w:rsid w:val="007D226C"/>
    <w:rsid w:val="007D226D"/>
    <w:rsid w:val="007D31A8"/>
    <w:rsid w:val="007D343D"/>
    <w:rsid w:val="007D3D93"/>
    <w:rsid w:val="007D418A"/>
    <w:rsid w:val="007D4D93"/>
    <w:rsid w:val="007D586D"/>
    <w:rsid w:val="007D616E"/>
    <w:rsid w:val="007D630D"/>
    <w:rsid w:val="007D651F"/>
    <w:rsid w:val="007D653D"/>
    <w:rsid w:val="007D6D84"/>
    <w:rsid w:val="007D78FE"/>
    <w:rsid w:val="007D7E38"/>
    <w:rsid w:val="007D7E57"/>
    <w:rsid w:val="007E05D8"/>
    <w:rsid w:val="007E1CB2"/>
    <w:rsid w:val="007E1FE4"/>
    <w:rsid w:val="007E31EC"/>
    <w:rsid w:val="007E330E"/>
    <w:rsid w:val="007E3ADD"/>
    <w:rsid w:val="007E3C66"/>
    <w:rsid w:val="007E4ED6"/>
    <w:rsid w:val="007E4F96"/>
    <w:rsid w:val="007E5BC6"/>
    <w:rsid w:val="007E630B"/>
    <w:rsid w:val="007E6A7A"/>
    <w:rsid w:val="007E6ED2"/>
    <w:rsid w:val="007E70D1"/>
    <w:rsid w:val="007E72B7"/>
    <w:rsid w:val="007E74C3"/>
    <w:rsid w:val="007F0467"/>
    <w:rsid w:val="007F06EB"/>
    <w:rsid w:val="007F1437"/>
    <w:rsid w:val="007F190B"/>
    <w:rsid w:val="007F1B16"/>
    <w:rsid w:val="007F1C37"/>
    <w:rsid w:val="007F1DFC"/>
    <w:rsid w:val="007F2660"/>
    <w:rsid w:val="007F30BF"/>
    <w:rsid w:val="007F3237"/>
    <w:rsid w:val="007F3640"/>
    <w:rsid w:val="007F37CC"/>
    <w:rsid w:val="007F4027"/>
    <w:rsid w:val="007F43B4"/>
    <w:rsid w:val="007F495F"/>
    <w:rsid w:val="007F499B"/>
    <w:rsid w:val="007F4D7A"/>
    <w:rsid w:val="007F50F0"/>
    <w:rsid w:val="007F5CAA"/>
    <w:rsid w:val="007F716F"/>
    <w:rsid w:val="007F7DD7"/>
    <w:rsid w:val="007F7F5F"/>
    <w:rsid w:val="008001C2"/>
    <w:rsid w:val="008002D7"/>
    <w:rsid w:val="008002E6"/>
    <w:rsid w:val="008005EC"/>
    <w:rsid w:val="00801578"/>
    <w:rsid w:val="0080184C"/>
    <w:rsid w:val="00801995"/>
    <w:rsid w:val="00801A48"/>
    <w:rsid w:val="00801F7D"/>
    <w:rsid w:val="008025A3"/>
    <w:rsid w:val="00802662"/>
    <w:rsid w:val="00802D8E"/>
    <w:rsid w:val="00802DCC"/>
    <w:rsid w:val="00802E6C"/>
    <w:rsid w:val="008031D9"/>
    <w:rsid w:val="0080332B"/>
    <w:rsid w:val="0080336A"/>
    <w:rsid w:val="008038DC"/>
    <w:rsid w:val="00803D62"/>
    <w:rsid w:val="00804DF5"/>
    <w:rsid w:val="00804ED3"/>
    <w:rsid w:val="008055F4"/>
    <w:rsid w:val="0080580B"/>
    <w:rsid w:val="0081031C"/>
    <w:rsid w:val="008113D5"/>
    <w:rsid w:val="00811779"/>
    <w:rsid w:val="008118EC"/>
    <w:rsid w:val="0081289D"/>
    <w:rsid w:val="00812918"/>
    <w:rsid w:val="00812A7D"/>
    <w:rsid w:val="00813398"/>
    <w:rsid w:val="008138D4"/>
    <w:rsid w:val="00813BD2"/>
    <w:rsid w:val="00813CCD"/>
    <w:rsid w:val="008141B2"/>
    <w:rsid w:val="00814317"/>
    <w:rsid w:val="00814632"/>
    <w:rsid w:val="008150CF"/>
    <w:rsid w:val="00815EFA"/>
    <w:rsid w:val="00816851"/>
    <w:rsid w:val="00816BF4"/>
    <w:rsid w:val="008172F3"/>
    <w:rsid w:val="00817587"/>
    <w:rsid w:val="00817599"/>
    <w:rsid w:val="008175AC"/>
    <w:rsid w:val="00817A29"/>
    <w:rsid w:val="0082003C"/>
    <w:rsid w:val="008202AF"/>
    <w:rsid w:val="00820847"/>
    <w:rsid w:val="00820B0F"/>
    <w:rsid w:val="00820C70"/>
    <w:rsid w:val="00820FDE"/>
    <w:rsid w:val="00821BCD"/>
    <w:rsid w:val="008223A6"/>
    <w:rsid w:val="008224FA"/>
    <w:rsid w:val="0082252C"/>
    <w:rsid w:val="00823A8A"/>
    <w:rsid w:val="008244F7"/>
    <w:rsid w:val="00824826"/>
    <w:rsid w:val="00824877"/>
    <w:rsid w:val="00824E52"/>
    <w:rsid w:val="00825FA9"/>
    <w:rsid w:val="00826553"/>
    <w:rsid w:val="00826636"/>
    <w:rsid w:val="008272AA"/>
    <w:rsid w:val="00827713"/>
    <w:rsid w:val="00830C68"/>
    <w:rsid w:val="00830F71"/>
    <w:rsid w:val="008314B1"/>
    <w:rsid w:val="0083191B"/>
    <w:rsid w:val="00831B91"/>
    <w:rsid w:val="00831CE4"/>
    <w:rsid w:val="00832293"/>
    <w:rsid w:val="008323A3"/>
    <w:rsid w:val="008328C2"/>
    <w:rsid w:val="00832946"/>
    <w:rsid w:val="00833E4E"/>
    <w:rsid w:val="008347AD"/>
    <w:rsid w:val="00834840"/>
    <w:rsid w:val="00834B38"/>
    <w:rsid w:val="008351FC"/>
    <w:rsid w:val="00835336"/>
    <w:rsid w:val="00835759"/>
    <w:rsid w:val="00835852"/>
    <w:rsid w:val="00835F54"/>
    <w:rsid w:val="00836476"/>
    <w:rsid w:val="00836C7F"/>
    <w:rsid w:val="008379E1"/>
    <w:rsid w:val="00837F24"/>
    <w:rsid w:val="00837FE2"/>
    <w:rsid w:val="008405FC"/>
    <w:rsid w:val="0084166A"/>
    <w:rsid w:val="00841804"/>
    <w:rsid w:val="00843379"/>
    <w:rsid w:val="00843565"/>
    <w:rsid w:val="00843877"/>
    <w:rsid w:val="00843B47"/>
    <w:rsid w:val="00843C83"/>
    <w:rsid w:val="00843F5F"/>
    <w:rsid w:val="00844F36"/>
    <w:rsid w:val="00844FB1"/>
    <w:rsid w:val="00845B1B"/>
    <w:rsid w:val="00845F61"/>
    <w:rsid w:val="00846DFF"/>
    <w:rsid w:val="0084731B"/>
    <w:rsid w:val="00847541"/>
    <w:rsid w:val="00847EFF"/>
    <w:rsid w:val="008500ED"/>
    <w:rsid w:val="00850863"/>
    <w:rsid w:val="00850CD7"/>
    <w:rsid w:val="008519C4"/>
    <w:rsid w:val="0085215A"/>
    <w:rsid w:val="0085292D"/>
    <w:rsid w:val="00852F38"/>
    <w:rsid w:val="00853236"/>
    <w:rsid w:val="00853417"/>
    <w:rsid w:val="00853732"/>
    <w:rsid w:val="0085383D"/>
    <w:rsid w:val="008540ED"/>
    <w:rsid w:val="008547A2"/>
    <w:rsid w:val="00854E58"/>
    <w:rsid w:val="00855438"/>
    <w:rsid w:val="008557EC"/>
    <w:rsid w:val="00855A6F"/>
    <w:rsid w:val="00855B96"/>
    <w:rsid w:val="008562E5"/>
    <w:rsid w:val="008565D5"/>
    <w:rsid w:val="008568D8"/>
    <w:rsid w:val="008569ED"/>
    <w:rsid w:val="008617B8"/>
    <w:rsid w:val="00862B8A"/>
    <w:rsid w:val="00862C4B"/>
    <w:rsid w:val="0086310C"/>
    <w:rsid w:val="008632DE"/>
    <w:rsid w:val="008637E2"/>
    <w:rsid w:val="008639F6"/>
    <w:rsid w:val="00863C40"/>
    <w:rsid w:val="00863F43"/>
    <w:rsid w:val="00863F56"/>
    <w:rsid w:val="008645E6"/>
    <w:rsid w:val="00864EEE"/>
    <w:rsid w:val="00865798"/>
    <w:rsid w:val="00865BC1"/>
    <w:rsid w:val="00866868"/>
    <w:rsid w:val="00866B9B"/>
    <w:rsid w:val="00866C8D"/>
    <w:rsid w:val="008701CD"/>
    <w:rsid w:val="00870610"/>
    <w:rsid w:val="0087061D"/>
    <w:rsid w:val="0087099B"/>
    <w:rsid w:val="00872262"/>
    <w:rsid w:val="0087232E"/>
    <w:rsid w:val="00873023"/>
    <w:rsid w:val="008735CF"/>
    <w:rsid w:val="00873BBD"/>
    <w:rsid w:val="00873C9F"/>
    <w:rsid w:val="00874014"/>
    <w:rsid w:val="00874081"/>
    <w:rsid w:val="0087409C"/>
    <w:rsid w:val="0087514B"/>
    <w:rsid w:val="00875313"/>
    <w:rsid w:val="00875569"/>
    <w:rsid w:val="008758ED"/>
    <w:rsid w:val="00875989"/>
    <w:rsid w:val="00875C20"/>
    <w:rsid w:val="00875E69"/>
    <w:rsid w:val="00875EA7"/>
    <w:rsid w:val="008762C1"/>
    <w:rsid w:val="008766F1"/>
    <w:rsid w:val="00876AB9"/>
    <w:rsid w:val="00876C85"/>
    <w:rsid w:val="00877BD3"/>
    <w:rsid w:val="008804F9"/>
    <w:rsid w:val="0088083C"/>
    <w:rsid w:val="00880C3C"/>
    <w:rsid w:val="00882DD1"/>
    <w:rsid w:val="00882E73"/>
    <w:rsid w:val="008835B6"/>
    <w:rsid w:val="008839E7"/>
    <w:rsid w:val="00884BF4"/>
    <w:rsid w:val="0088514C"/>
    <w:rsid w:val="008859F8"/>
    <w:rsid w:val="00885EBC"/>
    <w:rsid w:val="00885FB3"/>
    <w:rsid w:val="0088676E"/>
    <w:rsid w:val="008870D1"/>
    <w:rsid w:val="00887872"/>
    <w:rsid w:val="00887896"/>
    <w:rsid w:val="00890520"/>
    <w:rsid w:val="0089056C"/>
    <w:rsid w:val="0089077E"/>
    <w:rsid w:val="008909D5"/>
    <w:rsid w:val="008914B0"/>
    <w:rsid w:val="00891C5F"/>
    <w:rsid w:val="0089258E"/>
    <w:rsid w:val="0089293B"/>
    <w:rsid w:val="00892E8C"/>
    <w:rsid w:val="00892FA2"/>
    <w:rsid w:val="008937BF"/>
    <w:rsid w:val="008938A4"/>
    <w:rsid w:val="00893C51"/>
    <w:rsid w:val="00894139"/>
    <w:rsid w:val="00894260"/>
    <w:rsid w:val="00894D16"/>
    <w:rsid w:val="00894F82"/>
    <w:rsid w:val="008954F0"/>
    <w:rsid w:val="0089558F"/>
    <w:rsid w:val="008964B0"/>
    <w:rsid w:val="008966C1"/>
    <w:rsid w:val="00896870"/>
    <w:rsid w:val="008978FB"/>
    <w:rsid w:val="00897A83"/>
    <w:rsid w:val="008A03AF"/>
    <w:rsid w:val="008A07DA"/>
    <w:rsid w:val="008A0A51"/>
    <w:rsid w:val="008A0FDB"/>
    <w:rsid w:val="008A1018"/>
    <w:rsid w:val="008A1090"/>
    <w:rsid w:val="008A1A00"/>
    <w:rsid w:val="008A1F42"/>
    <w:rsid w:val="008A20A0"/>
    <w:rsid w:val="008A24BA"/>
    <w:rsid w:val="008A25CC"/>
    <w:rsid w:val="008A2CB8"/>
    <w:rsid w:val="008A3670"/>
    <w:rsid w:val="008A41C3"/>
    <w:rsid w:val="008A45A7"/>
    <w:rsid w:val="008A4724"/>
    <w:rsid w:val="008A4AFA"/>
    <w:rsid w:val="008A52A8"/>
    <w:rsid w:val="008A571D"/>
    <w:rsid w:val="008A5813"/>
    <w:rsid w:val="008A6CC8"/>
    <w:rsid w:val="008A7172"/>
    <w:rsid w:val="008A755C"/>
    <w:rsid w:val="008A7719"/>
    <w:rsid w:val="008B0273"/>
    <w:rsid w:val="008B0307"/>
    <w:rsid w:val="008B05B5"/>
    <w:rsid w:val="008B0BE8"/>
    <w:rsid w:val="008B17D8"/>
    <w:rsid w:val="008B1844"/>
    <w:rsid w:val="008B1BAA"/>
    <w:rsid w:val="008B2470"/>
    <w:rsid w:val="008B272D"/>
    <w:rsid w:val="008B2A19"/>
    <w:rsid w:val="008B2C08"/>
    <w:rsid w:val="008B2C2A"/>
    <w:rsid w:val="008B42A6"/>
    <w:rsid w:val="008B437D"/>
    <w:rsid w:val="008B4BAB"/>
    <w:rsid w:val="008B4C89"/>
    <w:rsid w:val="008B55D8"/>
    <w:rsid w:val="008B5C3B"/>
    <w:rsid w:val="008B5E38"/>
    <w:rsid w:val="008B67DE"/>
    <w:rsid w:val="008B6807"/>
    <w:rsid w:val="008B6FE0"/>
    <w:rsid w:val="008B7BE2"/>
    <w:rsid w:val="008B7F2F"/>
    <w:rsid w:val="008C044F"/>
    <w:rsid w:val="008C069B"/>
    <w:rsid w:val="008C1375"/>
    <w:rsid w:val="008C17C9"/>
    <w:rsid w:val="008C1EE4"/>
    <w:rsid w:val="008C259C"/>
    <w:rsid w:val="008C27E2"/>
    <w:rsid w:val="008C28E6"/>
    <w:rsid w:val="008C293A"/>
    <w:rsid w:val="008C2F25"/>
    <w:rsid w:val="008C30B5"/>
    <w:rsid w:val="008C312C"/>
    <w:rsid w:val="008C43BA"/>
    <w:rsid w:val="008C4869"/>
    <w:rsid w:val="008C5C12"/>
    <w:rsid w:val="008C6816"/>
    <w:rsid w:val="008C6FEA"/>
    <w:rsid w:val="008C78D7"/>
    <w:rsid w:val="008D0641"/>
    <w:rsid w:val="008D0E55"/>
    <w:rsid w:val="008D1410"/>
    <w:rsid w:val="008D168F"/>
    <w:rsid w:val="008D1882"/>
    <w:rsid w:val="008D1CD1"/>
    <w:rsid w:val="008D1EC0"/>
    <w:rsid w:val="008D2177"/>
    <w:rsid w:val="008D2997"/>
    <w:rsid w:val="008D2B68"/>
    <w:rsid w:val="008D2C17"/>
    <w:rsid w:val="008D313C"/>
    <w:rsid w:val="008D3CB0"/>
    <w:rsid w:val="008D41A4"/>
    <w:rsid w:val="008D43C5"/>
    <w:rsid w:val="008D4B52"/>
    <w:rsid w:val="008D50AB"/>
    <w:rsid w:val="008D532C"/>
    <w:rsid w:val="008D5378"/>
    <w:rsid w:val="008D5636"/>
    <w:rsid w:val="008D57DC"/>
    <w:rsid w:val="008D584E"/>
    <w:rsid w:val="008D5DDA"/>
    <w:rsid w:val="008D62DE"/>
    <w:rsid w:val="008D633C"/>
    <w:rsid w:val="008D6407"/>
    <w:rsid w:val="008D7081"/>
    <w:rsid w:val="008D70EF"/>
    <w:rsid w:val="008D7322"/>
    <w:rsid w:val="008D76E5"/>
    <w:rsid w:val="008E084B"/>
    <w:rsid w:val="008E0BD1"/>
    <w:rsid w:val="008E1325"/>
    <w:rsid w:val="008E175F"/>
    <w:rsid w:val="008E1AB8"/>
    <w:rsid w:val="008E2148"/>
    <w:rsid w:val="008E22C9"/>
    <w:rsid w:val="008E2A31"/>
    <w:rsid w:val="008E2AA6"/>
    <w:rsid w:val="008E2FFB"/>
    <w:rsid w:val="008E36C8"/>
    <w:rsid w:val="008E3742"/>
    <w:rsid w:val="008E38CA"/>
    <w:rsid w:val="008E39C5"/>
    <w:rsid w:val="008E3AB1"/>
    <w:rsid w:val="008E3C8D"/>
    <w:rsid w:val="008E4273"/>
    <w:rsid w:val="008E4AB9"/>
    <w:rsid w:val="008E4B09"/>
    <w:rsid w:val="008E4B78"/>
    <w:rsid w:val="008E661D"/>
    <w:rsid w:val="008E6FA5"/>
    <w:rsid w:val="008F0222"/>
    <w:rsid w:val="008F0706"/>
    <w:rsid w:val="008F089F"/>
    <w:rsid w:val="008F0C8A"/>
    <w:rsid w:val="008F10DD"/>
    <w:rsid w:val="008F1277"/>
    <w:rsid w:val="008F1523"/>
    <w:rsid w:val="008F1663"/>
    <w:rsid w:val="008F1983"/>
    <w:rsid w:val="008F23DF"/>
    <w:rsid w:val="008F269F"/>
    <w:rsid w:val="008F2AD3"/>
    <w:rsid w:val="008F2B34"/>
    <w:rsid w:val="008F2DC8"/>
    <w:rsid w:val="008F34E1"/>
    <w:rsid w:val="008F3950"/>
    <w:rsid w:val="008F42FC"/>
    <w:rsid w:val="008F4632"/>
    <w:rsid w:val="008F46A5"/>
    <w:rsid w:val="008F4841"/>
    <w:rsid w:val="008F4E8E"/>
    <w:rsid w:val="008F5295"/>
    <w:rsid w:val="008F58D9"/>
    <w:rsid w:val="008F5D05"/>
    <w:rsid w:val="008F68D1"/>
    <w:rsid w:val="008F6E99"/>
    <w:rsid w:val="008F72AB"/>
    <w:rsid w:val="008F7974"/>
    <w:rsid w:val="008F7C72"/>
    <w:rsid w:val="008F7EA6"/>
    <w:rsid w:val="009002DF"/>
    <w:rsid w:val="0090049E"/>
    <w:rsid w:val="00900564"/>
    <w:rsid w:val="009007A5"/>
    <w:rsid w:val="00900920"/>
    <w:rsid w:val="00901216"/>
    <w:rsid w:val="00902059"/>
    <w:rsid w:val="00902233"/>
    <w:rsid w:val="0090267C"/>
    <w:rsid w:val="00902845"/>
    <w:rsid w:val="00902F66"/>
    <w:rsid w:val="00903685"/>
    <w:rsid w:val="0090378B"/>
    <w:rsid w:val="00903988"/>
    <w:rsid w:val="00904500"/>
    <w:rsid w:val="00904B3E"/>
    <w:rsid w:val="0090542E"/>
    <w:rsid w:val="009054E4"/>
    <w:rsid w:val="009056A5"/>
    <w:rsid w:val="0090642C"/>
    <w:rsid w:val="00906C38"/>
    <w:rsid w:val="0090714D"/>
    <w:rsid w:val="0091035D"/>
    <w:rsid w:val="0091074A"/>
    <w:rsid w:val="00910862"/>
    <w:rsid w:val="00910967"/>
    <w:rsid w:val="00910D2C"/>
    <w:rsid w:val="00910E78"/>
    <w:rsid w:val="00911555"/>
    <w:rsid w:val="00911692"/>
    <w:rsid w:val="0091171F"/>
    <w:rsid w:val="00912CFA"/>
    <w:rsid w:val="009138EC"/>
    <w:rsid w:val="00914101"/>
    <w:rsid w:val="00914710"/>
    <w:rsid w:val="009148E5"/>
    <w:rsid w:val="0091534A"/>
    <w:rsid w:val="009159BD"/>
    <w:rsid w:val="00915B20"/>
    <w:rsid w:val="00916122"/>
    <w:rsid w:val="00916413"/>
    <w:rsid w:val="00916446"/>
    <w:rsid w:val="0091687F"/>
    <w:rsid w:val="0091786B"/>
    <w:rsid w:val="00920816"/>
    <w:rsid w:val="0092128D"/>
    <w:rsid w:val="00921C25"/>
    <w:rsid w:val="00921E91"/>
    <w:rsid w:val="009222D2"/>
    <w:rsid w:val="00922776"/>
    <w:rsid w:val="00924201"/>
    <w:rsid w:val="00924707"/>
    <w:rsid w:val="00924D24"/>
    <w:rsid w:val="00924D38"/>
    <w:rsid w:val="00924F42"/>
    <w:rsid w:val="0092576E"/>
    <w:rsid w:val="0092587F"/>
    <w:rsid w:val="00926442"/>
    <w:rsid w:val="0092731B"/>
    <w:rsid w:val="00927883"/>
    <w:rsid w:val="00927AF7"/>
    <w:rsid w:val="009302BC"/>
    <w:rsid w:val="009306D1"/>
    <w:rsid w:val="009306E9"/>
    <w:rsid w:val="00930C37"/>
    <w:rsid w:val="00930C3D"/>
    <w:rsid w:val="00930E05"/>
    <w:rsid w:val="00930E2F"/>
    <w:rsid w:val="00931641"/>
    <w:rsid w:val="00931670"/>
    <w:rsid w:val="00931A14"/>
    <w:rsid w:val="00932D7D"/>
    <w:rsid w:val="00932E23"/>
    <w:rsid w:val="00933A11"/>
    <w:rsid w:val="00933A60"/>
    <w:rsid w:val="00934591"/>
    <w:rsid w:val="00934CF1"/>
    <w:rsid w:val="00934FE8"/>
    <w:rsid w:val="0093536F"/>
    <w:rsid w:val="0093594C"/>
    <w:rsid w:val="00935FC8"/>
    <w:rsid w:val="00936132"/>
    <w:rsid w:val="009369DF"/>
    <w:rsid w:val="0093738B"/>
    <w:rsid w:val="0093757A"/>
    <w:rsid w:val="00937BAC"/>
    <w:rsid w:val="00937C33"/>
    <w:rsid w:val="0094000F"/>
    <w:rsid w:val="009410DF"/>
    <w:rsid w:val="00941A6C"/>
    <w:rsid w:val="00942261"/>
    <w:rsid w:val="00942CA2"/>
    <w:rsid w:val="00942DCB"/>
    <w:rsid w:val="00943241"/>
    <w:rsid w:val="00943342"/>
    <w:rsid w:val="0094362C"/>
    <w:rsid w:val="00943FF8"/>
    <w:rsid w:val="00944214"/>
    <w:rsid w:val="0094437D"/>
    <w:rsid w:val="00944454"/>
    <w:rsid w:val="00944FBB"/>
    <w:rsid w:val="0094514B"/>
    <w:rsid w:val="00945519"/>
    <w:rsid w:val="0094615E"/>
    <w:rsid w:val="0094633A"/>
    <w:rsid w:val="009464A6"/>
    <w:rsid w:val="00947110"/>
    <w:rsid w:val="009473A2"/>
    <w:rsid w:val="0094765A"/>
    <w:rsid w:val="00950CE1"/>
    <w:rsid w:val="00951319"/>
    <w:rsid w:val="009514ED"/>
    <w:rsid w:val="00951EA4"/>
    <w:rsid w:val="0095200B"/>
    <w:rsid w:val="0095226B"/>
    <w:rsid w:val="00952C11"/>
    <w:rsid w:val="009530D0"/>
    <w:rsid w:val="009531BB"/>
    <w:rsid w:val="0095438B"/>
    <w:rsid w:val="00954522"/>
    <w:rsid w:val="00954979"/>
    <w:rsid w:val="00954E79"/>
    <w:rsid w:val="00955DE5"/>
    <w:rsid w:val="00957170"/>
    <w:rsid w:val="00957AC6"/>
    <w:rsid w:val="00957BBA"/>
    <w:rsid w:val="00957D58"/>
    <w:rsid w:val="0096055E"/>
    <w:rsid w:val="0096077E"/>
    <w:rsid w:val="0096091F"/>
    <w:rsid w:val="00960A4F"/>
    <w:rsid w:val="00960B05"/>
    <w:rsid w:val="00961781"/>
    <w:rsid w:val="00961D68"/>
    <w:rsid w:val="00961EF7"/>
    <w:rsid w:val="00961F28"/>
    <w:rsid w:val="00962557"/>
    <w:rsid w:val="00962B75"/>
    <w:rsid w:val="00962C89"/>
    <w:rsid w:val="00963224"/>
    <w:rsid w:val="009632E2"/>
    <w:rsid w:val="00963460"/>
    <w:rsid w:val="0096364B"/>
    <w:rsid w:val="00964F5D"/>
    <w:rsid w:val="00964FFF"/>
    <w:rsid w:val="009656A2"/>
    <w:rsid w:val="00965ED6"/>
    <w:rsid w:val="00966031"/>
    <w:rsid w:val="00966695"/>
    <w:rsid w:val="00966E11"/>
    <w:rsid w:val="00967223"/>
    <w:rsid w:val="00967381"/>
    <w:rsid w:val="009673EC"/>
    <w:rsid w:val="009674BB"/>
    <w:rsid w:val="00967D5B"/>
    <w:rsid w:val="00970195"/>
    <w:rsid w:val="009708D8"/>
    <w:rsid w:val="00971A70"/>
    <w:rsid w:val="00971D5E"/>
    <w:rsid w:val="00972941"/>
    <w:rsid w:val="00973271"/>
    <w:rsid w:val="009733F5"/>
    <w:rsid w:val="00974120"/>
    <w:rsid w:val="009746FE"/>
    <w:rsid w:val="00974784"/>
    <w:rsid w:val="0097490D"/>
    <w:rsid w:val="00974F46"/>
    <w:rsid w:val="00975213"/>
    <w:rsid w:val="00975892"/>
    <w:rsid w:val="00975A4E"/>
    <w:rsid w:val="00975D83"/>
    <w:rsid w:val="009760D1"/>
    <w:rsid w:val="0097617B"/>
    <w:rsid w:val="009761FD"/>
    <w:rsid w:val="0097681B"/>
    <w:rsid w:val="00977562"/>
    <w:rsid w:val="0098095F"/>
    <w:rsid w:val="00980B4E"/>
    <w:rsid w:val="0098118F"/>
    <w:rsid w:val="00982DB9"/>
    <w:rsid w:val="0098315B"/>
    <w:rsid w:val="00983735"/>
    <w:rsid w:val="0098376D"/>
    <w:rsid w:val="009837DB"/>
    <w:rsid w:val="00983ACD"/>
    <w:rsid w:val="00984759"/>
    <w:rsid w:val="0098492C"/>
    <w:rsid w:val="0098527B"/>
    <w:rsid w:val="00985977"/>
    <w:rsid w:val="00985DEF"/>
    <w:rsid w:val="00985F19"/>
    <w:rsid w:val="0098698B"/>
    <w:rsid w:val="00986A7B"/>
    <w:rsid w:val="00986BCD"/>
    <w:rsid w:val="00986FCE"/>
    <w:rsid w:val="009874C4"/>
    <w:rsid w:val="00987BE7"/>
    <w:rsid w:val="00987CA0"/>
    <w:rsid w:val="00987D60"/>
    <w:rsid w:val="00987FD2"/>
    <w:rsid w:val="009904DC"/>
    <w:rsid w:val="0099084C"/>
    <w:rsid w:val="00990941"/>
    <w:rsid w:val="00990D3A"/>
    <w:rsid w:val="0099169A"/>
    <w:rsid w:val="009917D2"/>
    <w:rsid w:val="009933A3"/>
    <w:rsid w:val="00993473"/>
    <w:rsid w:val="00993816"/>
    <w:rsid w:val="009943FE"/>
    <w:rsid w:val="009945F5"/>
    <w:rsid w:val="0099473D"/>
    <w:rsid w:val="00994886"/>
    <w:rsid w:val="00994897"/>
    <w:rsid w:val="009956C2"/>
    <w:rsid w:val="00996A62"/>
    <w:rsid w:val="00996A91"/>
    <w:rsid w:val="00996B3D"/>
    <w:rsid w:val="00996D8E"/>
    <w:rsid w:val="00997358"/>
    <w:rsid w:val="009A0A47"/>
    <w:rsid w:val="009A0CC3"/>
    <w:rsid w:val="009A1C1D"/>
    <w:rsid w:val="009A23A5"/>
    <w:rsid w:val="009A2A23"/>
    <w:rsid w:val="009A2AC9"/>
    <w:rsid w:val="009A2AF3"/>
    <w:rsid w:val="009A2D51"/>
    <w:rsid w:val="009A3CCB"/>
    <w:rsid w:val="009A3DAD"/>
    <w:rsid w:val="009A43B7"/>
    <w:rsid w:val="009A5224"/>
    <w:rsid w:val="009A52E8"/>
    <w:rsid w:val="009A55B7"/>
    <w:rsid w:val="009A63DA"/>
    <w:rsid w:val="009A64AC"/>
    <w:rsid w:val="009A71F1"/>
    <w:rsid w:val="009A741B"/>
    <w:rsid w:val="009A77F1"/>
    <w:rsid w:val="009A7DD4"/>
    <w:rsid w:val="009B00FA"/>
    <w:rsid w:val="009B1A59"/>
    <w:rsid w:val="009B1C97"/>
    <w:rsid w:val="009B242F"/>
    <w:rsid w:val="009B24E8"/>
    <w:rsid w:val="009B2739"/>
    <w:rsid w:val="009B29A0"/>
    <w:rsid w:val="009B3138"/>
    <w:rsid w:val="009B3585"/>
    <w:rsid w:val="009B36A1"/>
    <w:rsid w:val="009B3B5D"/>
    <w:rsid w:val="009B496D"/>
    <w:rsid w:val="009B4C8D"/>
    <w:rsid w:val="009B6562"/>
    <w:rsid w:val="009B6699"/>
    <w:rsid w:val="009B6770"/>
    <w:rsid w:val="009B7872"/>
    <w:rsid w:val="009B7BA8"/>
    <w:rsid w:val="009B7D2F"/>
    <w:rsid w:val="009C070D"/>
    <w:rsid w:val="009C081B"/>
    <w:rsid w:val="009C0859"/>
    <w:rsid w:val="009C0B7A"/>
    <w:rsid w:val="009C1AAA"/>
    <w:rsid w:val="009C1B9F"/>
    <w:rsid w:val="009C20A1"/>
    <w:rsid w:val="009C234C"/>
    <w:rsid w:val="009C2623"/>
    <w:rsid w:val="009C3CD3"/>
    <w:rsid w:val="009C461F"/>
    <w:rsid w:val="009C559F"/>
    <w:rsid w:val="009C5BB0"/>
    <w:rsid w:val="009C649F"/>
    <w:rsid w:val="009C65F3"/>
    <w:rsid w:val="009C6786"/>
    <w:rsid w:val="009C6914"/>
    <w:rsid w:val="009C6CF6"/>
    <w:rsid w:val="009C6E89"/>
    <w:rsid w:val="009C7297"/>
    <w:rsid w:val="009C74EF"/>
    <w:rsid w:val="009C75A7"/>
    <w:rsid w:val="009C7C75"/>
    <w:rsid w:val="009D0152"/>
    <w:rsid w:val="009D17C5"/>
    <w:rsid w:val="009D2BD0"/>
    <w:rsid w:val="009D319B"/>
    <w:rsid w:val="009D3B74"/>
    <w:rsid w:val="009D428C"/>
    <w:rsid w:val="009D6B60"/>
    <w:rsid w:val="009D72A3"/>
    <w:rsid w:val="009D7321"/>
    <w:rsid w:val="009D7649"/>
    <w:rsid w:val="009D766A"/>
    <w:rsid w:val="009D77D0"/>
    <w:rsid w:val="009D795B"/>
    <w:rsid w:val="009D7EE5"/>
    <w:rsid w:val="009D7F9E"/>
    <w:rsid w:val="009E00A0"/>
    <w:rsid w:val="009E0724"/>
    <w:rsid w:val="009E0F8A"/>
    <w:rsid w:val="009E28A1"/>
    <w:rsid w:val="009E3B14"/>
    <w:rsid w:val="009E414C"/>
    <w:rsid w:val="009E4172"/>
    <w:rsid w:val="009E45B7"/>
    <w:rsid w:val="009E460A"/>
    <w:rsid w:val="009E4875"/>
    <w:rsid w:val="009E4930"/>
    <w:rsid w:val="009E517E"/>
    <w:rsid w:val="009E5217"/>
    <w:rsid w:val="009E5249"/>
    <w:rsid w:val="009E5818"/>
    <w:rsid w:val="009E5CB3"/>
    <w:rsid w:val="009E655F"/>
    <w:rsid w:val="009E6C6C"/>
    <w:rsid w:val="009E7709"/>
    <w:rsid w:val="009E7855"/>
    <w:rsid w:val="009F0FF8"/>
    <w:rsid w:val="009F194E"/>
    <w:rsid w:val="009F247A"/>
    <w:rsid w:val="009F2C36"/>
    <w:rsid w:val="009F310A"/>
    <w:rsid w:val="009F32DE"/>
    <w:rsid w:val="009F34F1"/>
    <w:rsid w:val="009F3A1C"/>
    <w:rsid w:val="009F3CA4"/>
    <w:rsid w:val="009F422E"/>
    <w:rsid w:val="009F51C7"/>
    <w:rsid w:val="009F575A"/>
    <w:rsid w:val="009F5C3A"/>
    <w:rsid w:val="009F5DF1"/>
    <w:rsid w:val="009F618D"/>
    <w:rsid w:val="009F6209"/>
    <w:rsid w:val="009F70CE"/>
    <w:rsid w:val="009F7581"/>
    <w:rsid w:val="009F7C07"/>
    <w:rsid w:val="00A00121"/>
    <w:rsid w:val="00A00354"/>
    <w:rsid w:val="00A00B2B"/>
    <w:rsid w:val="00A00ECE"/>
    <w:rsid w:val="00A01261"/>
    <w:rsid w:val="00A013E0"/>
    <w:rsid w:val="00A0160C"/>
    <w:rsid w:val="00A0270F"/>
    <w:rsid w:val="00A02D7A"/>
    <w:rsid w:val="00A02EBA"/>
    <w:rsid w:val="00A03318"/>
    <w:rsid w:val="00A03A08"/>
    <w:rsid w:val="00A0410D"/>
    <w:rsid w:val="00A04247"/>
    <w:rsid w:val="00A04B66"/>
    <w:rsid w:val="00A04C0B"/>
    <w:rsid w:val="00A055C5"/>
    <w:rsid w:val="00A059D4"/>
    <w:rsid w:val="00A060B8"/>
    <w:rsid w:val="00A0707D"/>
    <w:rsid w:val="00A0753A"/>
    <w:rsid w:val="00A1019D"/>
    <w:rsid w:val="00A1050D"/>
    <w:rsid w:val="00A10C77"/>
    <w:rsid w:val="00A10E75"/>
    <w:rsid w:val="00A10EA3"/>
    <w:rsid w:val="00A10EF7"/>
    <w:rsid w:val="00A1168F"/>
    <w:rsid w:val="00A118DB"/>
    <w:rsid w:val="00A11E66"/>
    <w:rsid w:val="00A1252A"/>
    <w:rsid w:val="00A1360F"/>
    <w:rsid w:val="00A13C01"/>
    <w:rsid w:val="00A13E56"/>
    <w:rsid w:val="00A140FE"/>
    <w:rsid w:val="00A14AFE"/>
    <w:rsid w:val="00A154D7"/>
    <w:rsid w:val="00A1554B"/>
    <w:rsid w:val="00A15AF8"/>
    <w:rsid w:val="00A16EDA"/>
    <w:rsid w:val="00A172D2"/>
    <w:rsid w:val="00A17467"/>
    <w:rsid w:val="00A1769E"/>
    <w:rsid w:val="00A17B80"/>
    <w:rsid w:val="00A205FC"/>
    <w:rsid w:val="00A20B3F"/>
    <w:rsid w:val="00A20BE6"/>
    <w:rsid w:val="00A20E1B"/>
    <w:rsid w:val="00A211A9"/>
    <w:rsid w:val="00A21E36"/>
    <w:rsid w:val="00A21E41"/>
    <w:rsid w:val="00A2283A"/>
    <w:rsid w:val="00A22D1C"/>
    <w:rsid w:val="00A231F7"/>
    <w:rsid w:val="00A232B5"/>
    <w:rsid w:val="00A233AD"/>
    <w:rsid w:val="00A23A1A"/>
    <w:rsid w:val="00A23ED3"/>
    <w:rsid w:val="00A245B0"/>
    <w:rsid w:val="00A245B4"/>
    <w:rsid w:val="00A247FF"/>
    <w:rsid w:val="00A249AB"/>
    <w:rsid w:val="00A24D96"/>
    <w:rsid w:val="00A25312"/>
    <w:rsid w:val="00A25475"/>
    <w:rsid w:val="00A2625D"/>
    <w:rsid w:val="00A2667D"/>
    <w:rsid w:val="00A27451"/>
    <w:rsid w:val="00A30202"/>
    <w:rsid w:val="00A30251"/>
    <w:rsid w:val="00A303EC"/>
    <w:rsid w:val="00A3050F"/>
    <w:rsid w:val="00A30E37"/>
    <w:rsid w:val="00A30F9E"/>
    <w:rsid w:val="00A3108F"/>
    <w:rsid w:val="00A310DD"/>
    <w:rsid w:val="00A313E2"/>
    <w:rsid w:val="00A322C6"/>
    <w:rsid w:val="00A32D53"/>
    <w:rsid w:val="00A339D2"/>
    <w:rsid w:val="00A33A05"/>
    <w:rsid w:val="00A3406E"/>
    <w:rsid w:val="00A340C3"/>
    <w:rsid w:val="00A3429B"/>
    <w:rsid w:val="00A34310"/>
    <w:rsid w:val="00A34768"/>
    <w:rsid w:val="00A34C9A"/>
    <w:rsid w:val="00A350B0"/>
    <w:rsid w:val="00A350CE"/>
    <w:rsid w:val="00A35467"/>
    <w:rsid w:val="00A36125"/>
    <w:rsid w:val="00A36A27"/>
    <w:rsid w:val="00A36E12"/>
    <w:rsid w:val="00A3747C"/>
    <w:rsid w:val="00A37A86"/>
    <w:rsid w:val="00A37F6C"/>
    <w:rsid w:val="00A40A41"/>
    <w:rsid w:val="00A40E90"/>
    <w:rsid w:val="00A40FC0"/>
    <w:rsid w:val="00A41B2B"/>
    <w:rsid w:val="00A42681"/>
    <w:rsid w:val="00A426F7"/>
    <w:rsid w:val="00A42B6D"/>
    <w:rsid w:val="00A42E44"/>
    <w:rsid w:val="00A4310C"/>
    <w:rsid w:val="00A43C50"/>
    <w:rsid w:val="00A43DE4"/>
    <w:rsid w:val="00A43FBA"/>
    <w:rsid w:val="00A44AE1"/>
    <w:rsid w:val="00A44D42"/>
    <w:rsid w:val="00A4503A"/>
    <w:rsid w:val="00A4539E"/>
    <w:rsid w:val="00A4557C"/>
    <w:rsid w:val="00A4579B"/>
    <w:rsid w:val="00A4609D"/>
    <w:rsid w:val="00A46471"/>
    <w:rsid w:val="00A46489"/>
    <w:rsid w:val="00A46CC4"/>
    <w:rsid w:val="00A4755F"/>
    <w:rsid w:val="00A47600"/>
    <w:rsid w:val="00A500B1"/>
    <w:rsid w:val="00A508C0"/>
    <w:rsid w:val="00A50A19"/>
    <w:rsid w:val="00A51192"/>
    <w:rsid w:val="00A5255C"/>
    <w:rsid w:val="00A5269F"/>
    <w:rsid w:val="00A52E63"/>
    <w:rsid w:val="00A53353"/>
    <w:rsid w:val="00A5356D"/>
    <w:rsid w:val="00A53672"/>
    <w:rsid w:val="00A53EF9"/>
    <w:rsid w:val="00A54040"/>
    <w:rsid w:val="00A54482"/>
    <w:rsid w:val="00A54649"/>
    <w:rsid w:val="00A549E5"/>
    <w:rsid w:val="00A557E2"/>
    <w:rsid w:val="00A5588D"/>
    <w:rsid w:val="00A564C9"/>
    <w:rsid w:val="00A56CC4"/>
    <w:rsid w:val="00A56D6A"/>
    <w:rsid w:val="00A573B4"/>
    <w:rsid w:val="00A5758F"/>
    <w:rsid w:val="00A57851"/>
    <w:rsid w:val="00A6020C"/>
    <w:rsid w:val="00A605EB"/>
    <w:rsid w:val="00A60B45"/>
    <w:rsid w:val="00A60E5F"/>
    <w:rsid w:val="00A6101D"/>
    <w:rsid w:val="00A610E4"/>
    <w:rsid w:val="00A61D1F"/>
    <w:rsid w:val="00A61EF3"/>
    <w:rsid w:val="00A61F49"/>
    <w:rsid w:val="00A6232C"/>
    <w:rsid w:val="00A6391C"/>
    <w:rsid w:val="00A64107"/>
    <w:rsid w:val="00A644D2"/>
    <w:rsid w:val="00A64A80"/>
    <w:rsid w:val="00A6534D"/>
    <w:rsid w:val="00A6554F"/>
    <w:rsid w:val="00A66468"/>
    <w:rsid w:val="00A66AD7"/>
    <w:rsid w:val="00A67842"/>
    <w:rsid w:val="00A678CC"/>
    <w:rsid w:val="00A67CDD"/>
    <w:rsid w:val="00A7081A"/>
    <w:rsid w:val="00A70B17"/>
    <w:rsid w:val="00A70E7D"/>
    <w:rsid w:val="00A715C3"/>
    <w:rsid w:val="00A72093"/>
    <w:rsid w:val="00A720F8"/>
    <w:rsid w:val="00A72754"/>
    <w:rsid w:val="00A72B02"/>
    <w:rsid w:val="00A72F16"/>
    <w:rsid w:val="00A734EA"/>
    <w:rsid w:val="00A737B3"/>
    <w:rsid w:val="00A73A0F"/>
    <w:rsid w:val="00A74437"/>
    <w:rsid w:val="00A74535"/>
    <w:rsid w:val="00A745AB"/>
    <w:rsid w:val="00A745C4"/>
    <w:rsid w:val="00A74A09"/>
    <w:rsid w:val="00A750DB"/>
    <w:rsid w:val="00A75C42"/>
    <w:rsid w:val="00A75DD8"/>
    <w:rsid w:val="00A763D1"/>
    <w:rsid w:val="00A778A4"/>
    <w:rsid w:val="00A7791C"/>
    <w:rsid w:val="00A77B4B"/>
    <w:rsid w:val="00A77D9A"/>
    <w:rsid w:val="00A77FA8"/>
    <w:rsid w:val="00A80E5A"/>
    <w:rsid w:val="00A80FAB"/>
    <w:rsid w:val="00A814E5"/>
    <w:rsid w:val="00A81BE1"/>
    <w:rsid w:val="00A81CEC"/>
    <w:rsid w:val="00A823D7"/>
    <w:rsid w:val="00A82DB7"/>
    <w:rsid w:val="00A83B2A"/>
    <w:rsid w:val="00A844B8"/>
    <w:rsid w:val="00A848B1"/>
    <w:rsid w:val="00A85734"/>
    <w:rsid w:val="00A85AC7"/>
    <w:rsid w:val="00A85F33"/>
    <w:rsid w:val="00A85F8F"/>
    <w:rsid w:val="00A86151"/>
    <w:rsid w:val="00A862C4"/>
    <w:rsid w:val="00A8681F"/>
    <w:rsid w:val="00A86CE7"/>
    <w:rsid w:val="00A871FC"/>
    <w:rsid w:val="00A87AE3"/>
    <w:rsid w:val="00A87EE1"/>
    <w:rsid w:val="00A902ED"/>
    <w:rsid w:val="00A912A1"/>
    <w:rsid w:val="00A912DF"/>
    <w:rsid w:val="00A91ACA"/>
    <w:rsid w:val="00A92D5B"/>
    <w:rsid w:val="00A931C4"/>
    <w:rsid w:val="00A939DD"/>
    <w:rsid w:val="00A943CA"/>
    <w:rsid w:val="00A9478B"/>
    <w:rsid w:val="00A94E5C"/>
    <w:rsid w:val="00A953CA"/>
    <w:rsid w:val="00A95A2C"/>
    <w:rsid w:val="00A965EE"/>
    <w:rsid w:val="00A97ADD"/>
    <w:rsid w:val="00A97B0E"/>
    <w:rsid w:val="00A97E64"/>
    <w:rsid w:val="00A97E8A"/>
    <w:rsid w:val="00A97F51"/>
    <w:rsid w:val="00AA005F"/>
    <w:rsid w:val="00AA0B46"/>
    <w:rsid w:val="00AA14DA"/>
    <w:rsid w:val="00AA1528"/>
    <w:rsid w:val="00AA16D0"/>
    <w:rsid w:val="00AA1A5D"/>
    <w:rsid w:val="00AA1E22"/>
    <w:rsid w:val="00AA253A"/>
    <w:rsid w:val="00AA3957"/>
    <w:rsid w:val="00AA3A2A"/>
    <w:rsid w:val="00AA4299"/>
    <w:rsid w:val="00AA44E3"/>
    <w:rsid w:val="00AA5087"/>
    <w:rsid w:val="00AA513E"/>
    <w:rsid w:val="00AA5D83"/>
    <w:rsid w:val="00AA677B"/>
    <w:rsid w:val="00AA6FEA"/>
    <w:rsid w:val="00AA7BF7"/>
    <w:rsid w:val="00AB05F7"/>
    <w:rsid w:val="00AB0FFE"/>
    <w:rsid w:val="00AB1663"/>
    <w:rsid w:val="00AB17F8"/>
    <w:rsid w:val="00AB2B23"/>
    <w:rsid w:val="00AB2B2F"/>
    <w:rsid w:val="00AB2F18"/>
    <w:rsid w:val="00AB3842"/>
    <w:rsid w:val="00AB389D"/>
    <w:rsid w:val="00AB472C"/>
    <w:rsid w:val="00AB48B4"/>
    <w:rsid w:val="00AB4B14"/>
    <w:rsid w:val="00AB5090"/>
    <w:rsid w:val="00AB5253"/>
    <w:rsid w:val="00AB5F72"/>
    <w:rsid w:val="00AB60E3"/>
    <w:rsid w:val="00AB622E"/>
    <w:rsid w:val="00AB652C"/>
    <w:rsid w:val="00AB6C96"/>
    <w:rsid w:val="00AB6DFD"/>
    <w:rsid w:val="00AB6E62"/>
    <w:rsid w:val="00AB7F89"/>
    <w:rsid w:val="00AC0133"/>
    <w:rsid w:val="00AC068D"/>
    <w:rsid w:val="00AC0BA7"/>
    <w:rsid w:val="00AC0D32"/>
    <w:rsid w:val="00AC0F9C"/>
    <w:rsid w:val="00AC179D"/>
    <w:rsid w:val="00AC1885"/>
    <w:rsid w:val="00AC193B"/>
    <w:rsid w:val="00AC1E52"/>
    <w:rsid w:val="00AC2A48"/>
    <w:rsid w:val="00AC36FA"/>
    <w:rsid w:val="00AC3953"/>
    <w:rsid w:val="00AC50CE"/>
    <w:rsid w:val="00AC55ED"/>
    <w:rsid w:val="00AC5885"/>
    <w:rsid w:val="00AC5C58"/>
    <w:rsid w:val="00AC5FD7"/>
    <w:rsid w:val="00AC6051"/>
    <w:rsid w:val="00AC624A"/>
    <w:rsid w:val="00AC6975"/>
    <w:rsid w:val="00AC6B07"/>
    <w:rsid w:val="00AC75AF"/>
    <w:rsid w:val="00AC75C0"/>
    <w:rsid w:val="00AC7608"/>
    <w:rsid w:val="00AC7617"/>
    <w:rsid w:val="00AC77A9"/>
    <w:rsid w:val="00AC7A14"/>
    <w:rsid w:val="00AC7EA7"/>
    <w:rsid w:val="00AD0838"/>
    <w:rsid w:val="00AD13E6"/>
    <w:rsid w:val="00AD1B68"/>
    <w:rsid w:val="00AD29FF"/>
    <w:rsid w:val="00AD2DF5"/>
    <w:rsid w:val="00AD2F10"/>
    <w:rsid w:val="00AD354E"/>
    <w:rsid w:val="00AD35A9"/>
    <w:rsid w:val="00AD3AD3"/>
    <w:rsid w:val="00AD591C"/>
    <w:rsid w:val="00AD5D47"/>
    <w:rsid w:val="00AD637F"/>
    <w:rsid w:val="00AD654A"/>
    <w:rsid w:val="00AD6CD1"/>
    <w:rsid w:val="00AD6D2C"/>
    <w:rsid w:val="00AD756B"/>
    <w:rsid w:val="00AD788B"/>
    <w:rsid w:val="00AD7D38"/>
    <w:rsid w:val="00AE04C3"/>
    <w:rsid w:val="00AE083C"/>
    <w:rsid w:val="00AE0E31"/>
    <w:rsid w:val="00AE1489"/>
    <w:rsid w:val="00AE1755"/>
    <w:rsid w:val="00AE1A8B"/>
    <w:rsid w:val="00AE1DB6"/>
    <w:rsid w:val="00AE1E09"/>
    <w:rsid w:val="00AE254D"/>
    <w:rsid w:val="00AE2737"/>
    <w:rsid w:val="00AE27F8"/>
    <w:rsid w:val="00AE2BC8"/>
    <w:rsid w:val="00AE37EF"/>
    <w:rsid w:val="00AE38FE"/>
    <w:rsid w:val="00AE3AFB"/>
    <w:rsid w:val="00AE4751"/>
    <w:rsid w:val="00AE4A15"/>
    <w:rsid w:val="00AE5001"/>
    <w:rsid w:val="00AE5041"/>
    <w:rsid w:val="00AE5188"/>
    <w:rsid w:val="00AE52B8"/>
    <w:rsid w:val="00AE5678"/>
    <w:rsid w:val="00AE57D5"/>
    <w:rsid w:val="00AE6323"/>
    <w:rsid w:val="00AE65D5"/>
    <w:rsid w:val="00AE67EA"/>
    <w:rsid w:val="00AE6B3D"/>
    <w:rsid w:val="00AE6DF4"/>
    <w:rsid w:val="00AE7138"/>
    <w:rsid w:val="00AE771C"/>
    <w:rsid w:val="00AE79A9"/>
    <w:rsid w:val="00AE79AF"/>
    <w:rsid w:val="00AE7A2D"/>
    <w:rsid w:val="00AE7D67"/>
    <w:rsid w:val="00AF0D6A"/>
    <w:rsid w:val="00AF15BE"/>
    <w:rsid w:val="00AF2CB6"/>
    <w:rsid w:val="00AF361A"/>
    <w:rsid w:val="00AF39ED"/>
    <w:rsid w:val="00AF3B16"/>
    <w:rsid w:val="00AF3B44"/>
    <w:rsid w:val="00AF3D37"/>
    <w:rsid w:val="00AF4373"/>
    <w:rsid w:val="00AF4A47"/>
    <w:rsid w:val="00AF4CD6"/>
    <w:rsid w:val="00AF5779"/>
    <w:rsid w:val="00AF5A2A"/>
    <w:rsid w:val="00AF615B"/>
    <w:rsid w:val="00AF6668"/>
    <w:rsid w:val="00AF69FF"/>
    <w:rsid w:val="00AF6CE8"/>
    <w:rsid w:val="00AF7452"/>
    <w:rsid w:val="00B00274"/>
    <w:rsid w:val="00B00A86"/>
    <w:rsid w:val="00B0136D"/>
    <w:rsid w:val="00B019D3"/>
    <w:rsid w:val="00B01E4D"/>
    <w:rsid w:val="00B023F2"/>
    <w:rsid w:val="00B029B6"/>
    <w:rsid w:val="00B03C88"/>
    <w:rsid w:val="00B03FDC"/>
    <w:rsid w:val="00B04AF5"/>
    <w:rsid w:val="00B04BE3"/>
    <w:rsid w:val="00B04CC2"/>
    <w:rsid w:val="00B05573"/>
    <w:rsid w:val="00B05591"/>
    <w:rsid w:val="00B058DD"/>
    <w:rsid w:val="00B059B5"/>
    <w:rsid w:val="00B05CCB"/>
    <w:rsid w:val="00B06610"/>
    <w:rsid w:val="00B068BE"/>
    <w:rsid w:val="00B06B86"/>
    <w:rsid w:val="00B06C8E"/>
    <w:rsid w:val="00B071EA"/>
    <w:rsid w:val="00B07473"/>
    <w:rsid w:val="00B07F23"/>
    <w:rsid w:val="00B07F4B"/>
    <w:rsid w:val="00B100D9"/>
    <w:rsid w:val="00B10900"/>
    <w:rsid w:val="00B11019"/>
    <w:rsid w:val="00B11215"/>
    <w:rsid w:val="00B11C1D"/>
    <w:rsid w:val="00B11DA0"/>
    <w:rsid w:val="00B123EF"/>
    <w:rsid w:val="00B13A09"/>
    <w:rsid w:val="00B14A05"/>
    <w:rsid w:val="00B14B49"/>
    <w:rsid w:val="00B15CA6"/>
    <w:rsid w:val="00B15FCD"/>
    <w:rsid w:val="00B17FD5"/>
    <w:rsid w:val="00B20182"/>
    <w:rsid w:val="00B20F05"/>
    <w:rsid w:val="00B21A40"/>
    <w:rsid w:val="00B21B74"/>
    <w:rsid w:val="00B2200C"/>
    <w:rsid w:val="00B223DB"/>
    <w:rsid w:val="00B2248B"/>
    <w:rsid w:val="00B2320E"/>
    <w:rsid w:val="00B235DE"/>
    <w:rsid w:val="00B238D7"/>
    <w:rsid w:val="00B24CFB"/>
    <w:rsid w:val="00B24DE6"/>
    <w:rsid w:val="00B251A5"/>
    <w:rsid w:val="00B25379"/>
    <w:rsid w:val="00B25923"/>
    <w:rsid w:val="00B2616B"/>
    <w:rsid w:val="00B266CD"/>
    <w:rsid w:val="00B26D6F"/>
    <w:rsid w:val="00B27080"/>
    <w:rsid w:val="00B275CD"/>
    <w:rsid w:val="00B27A39"/>
    <w:rsid w:val="00B30054"/>
    <w:rsid w:val="00B30399"/>
    <w:rsid w:val="00B3249C"/>
    <w:rsid w:val="00B339EE"/>
    <w:rsid w:val="00B340B4"/>
    <w:rsid w:val="00B34635"/>
    <w:rsid w:val="00B348FB"/>
    <w:rsid w:val="00B34EF3"/>
    <w:rsid w:val="00B3504B"/>
    <w:rsid w:val="00B35561"/>
    <w:rsid w:val="00B35D99"/>
    <w:rsid w:val="00B35FCF"/>
    <w:rsid w:val="00B36007"/>
    <w:rsid w:val="00B369D5"/>
    <w:rsid w:val="00B370E3"/>
    <w:rsid w:val="00B376EE"/>
    <w:rsid w:val="00B37CDC"/>
    <w:rsid w:val="00B402ED"/>
    <w:rsid w:val="00B403E1"/>
    <w:rsid w:val="00B40474"/>
    <w:rsid w:val="00B40E41"/>
    <w:rsid w:val="00B41B14"/>
    <w:rsid w:val="00B41BB8"/>
    <w:rsid w:val="00B41F1E"/>
    <w:rsid w:val="00B42448"/>
    <w:rsid w:val="00B42DE8"/>
    <w:rsid w:val="00B43167"/>
    <w:rsid w:val="00B43298"/>
    <w:rsid w:val="00B4342E"/>
    <w:rsid w:val="00B434C4"/>
    <w:rsid w:val="00B44620"/>
    <w:rsid w:val="00B44851"/>
    <w:rsid w:val="00B4539D"/>
    <w:rsid w:val="00B45426"/>
    <w:rsid w:val="00B460E1"/>
    <w:rsid w:val="00B463A1"/>
    <w:rsid w:val="00B4733F"/>
    <w:rsid w:val="00B47601"/>
    <w:rsid w:val="00B47922"/>
    <w:rsid w:val="00B47D71"/>
    <w:rsid w:val="00B5005D"/>
    <w:rsid w:val="00B50559"/>
    <w:rsid w:val="00B505F2"/>
    <w:rsid w:val="00B507B0"/>
    <w:rsid w:val="00B50E33"/>
    <w:rsid w:val="00B517B5"/>
    <w:rsid w:val="00B51F00"/>
    <w:rsid w:val="00B52987"/>
    <w:rsid w:val="00B52E8F"/>
    <w:rsid w:val="00B531BA"/>
    <w:rsid w:val="00B53206"/>
    <w:rsid w:val="00B53230"/>
    <w:rsid w:val="00B544A4"/>
    <w:rsid w:val="00B5472B"/>
    <w:rsid w:val="00B55BC2"/>
    <w:rsid w:val="00B56500"/>
    <w:rsid w:val="00B56AD7"/>
    <w:rsid w:val="00B56DE2"/>
    <w:rsid w:val="00B570D1"/>
    <w:rsid w:val="00B574A5"/>
    <w:rsid w:val="00B574C2"/>
    <w:rsid w:val="00B57502"/>
    <w:rsid w:val="00B57937"/>
    <w:rsid w:val="00B60931"/>
    <w:rsid w:val="00B60BD6"/>
    <w:rsid w:val="00B60ED1"/>
    <w:rsid w:val="00B60F20"/>
    <w:rsid w:val="00B615F0"/>
    <w:rsid w:val="00B617B7"/>
    <w:rsid w:val="00B619A2"/>
    <w:rsid w:val="00B61E04"/>
    <w:rsid w:val="00B61E45"/>
    <w:rsid w:val="00B62C74"/>
    <w:rsid w:val="00B62F23"/>
    <w:rsid w:val="00B6312C"/>
    <w:rsid w:val="00B631F8"/>
    <w:rsid w:val="00B63416"/>
    <w:rsid w:val="00B63700"/>
    <w:rsid w:val="00B63864"/>
    <w:rsid w:val="00B63A2A"/>
    <w:rsid w:val="00B64877"/>
    <w:rsid w:val="00B64BFE"/>
    <w:rsid w:val="00B6621F"/>
    <w:rsid w:val="00B669FB"/>
    <w:rsid w:val="00B6744C"/>
    <w:rsid w:val="00B674A8"/>
    <w:rsid w:val="00B67766"/>
    <w:rsid w:val="00B67FCA"/>
    <w:rsid w:val="00B70EE2"/>
    <w:rsid w:val="00B713D8"/>
    <w:rsid w:val="00B71C06"/>
    <w:rsid w:val="00B71C30"/>
    <w:rsid w:val="00B71FDB"/>
    <w:rsid w:val="00B7306E"/>
    <w:rsid w:val="00B7316C"/>
    <w:rsid w:val="00B73382"/>
    <w:rsid w:val="00B73BA0"/>
    <w:rsid w:val="00B73FE5"/>
    <w:rsid w:val="00B74295"/>
    <w:rsid w:val="00B74716"/>
    <w:rsid w:val="00B7476B"/>
    <w:rsid w:val="00B75029"/>
    <w:rsid w:val="00B751C1"/>
    <w:rsid w:val="00B753D1"/>
    <w:rsid w:val="00B754C7"/>
    <w:rsid w:val="00B7586A"/>
    <w:rsid w:val="00B75D02"/>
    <w:rsid w:val="00B75D88"/>
    <w:rsid w:val="00B76120"/>
    <w:rsid w:val="00B7662F"/>
    <w:rsid w:val="00B769B8"/>
    <w:rsid w:val="00B76AFC"/>
    <w:rsid w:val="00B76FB2"/>
    <w:rsid w:val="00B770DB"/>
    <w:rsid w:val="00B770E0"/>
    <w:rsid w:val="00B77460"/>
    <w:rsid w:val="00B77E86"/>
    <w:rsid w:val="00B805A2"/>
    <w:rsid w:val="00B8098C"/>
    <w:rsid w:val="00B80E3A"/>
    <w:rsid w:val="00B810F2"/>
    <w:rsid w:val="00B8125A"/>
    <w:rsid w:val="00B818AA"/>
    <w:rsid w:val="00B834EB"/>
    <w:rsid w:val="00B83632"/>
    <w:rsid w:val="00B838E5"/>
    <w:rsid w:val="00B83AAC"/>
    <w:rsid w:val="00B84A7F"/>
    <w:rsid w:val="00B85196"/>
    <w:rsid w:val="00B8583F"/>
    <w:rsid w:val="00B85D04"/>
    <w:rsid w:val="00B85F22"/>
    <w:rsid w:val="00B8644D"/>
    <w:rsid w:val="00B86868"/>
    <w:rsid w:val="00B86CEB"/>
    <w:rsid w:val="00B8705B"/>
    <w:rsid w:val="00B879F6"/>
    <w:rsid w:val="00B90651"/>
    <w:rsid w:val="00B91420"/>
    <w:rsid w:val="00B91462"/>
    <w:rsid w:val="00B91697"/>
    <w:rsid w:val="00B91DBC"/>
    <w:rsid w:val="00B91EA1"/>
    <w:rsid w:val="00B920AD"/>
    <w:rsid w:val="00B9226A"/>
    <w:rsid w:val="00B92517"/>
    <w:rsid w:val="00B92931"/>
    <w:rsid w:val="00B92A42"/>
    <w:rsid w:val="00B9314D"/>
    <w:rsid w:val="00B93CF9"/>
    <w:rsid w:val="00B94387"/>
    <w:rsid w:val="00B946F3"/>
    <w:rsid w:val="00B95FF2"/>
    <w:rsid w:val="00B965DB"/>
    <w:rsid w:val="00B96A18"/>
    <w:rsid w:val="00B96F68"/>
    <w:rsid w:val="00B973EA"/>
    <w:rsid w:val="00B977E0"/>
    <w:rsid w:val="00B97927"/>
    <w:rsid w:val="00BA01D2"/>
    <w:rsid w:val="00BA085D"/>
    <w:rsid w:val="00BA10B9"/>
    <w:rsid w:val="00BA1765"/>
    <w:rsid w:val="00BA2655"/>
    <w:rsid w:val="00BA28EE"/>
    <w:rsid w:val="00BA2B66"/>
    <w:rsid w:val="00BA2F96"/>
    <w:rsid w:val="00BA3284"/>
    <w:rsid w:val="00BA3656"/>
    <w:rsid w:val="00BA3BD0"/>
    <w:rsid w:val="00BA3E2E"/>
    <w:rsid w:val="00BA3F1A"/>
    <w:rsid w:val="00BA4317"/>
    <w:rsid w:val="00BA477C"/>
    <w:rsid w:val="00BA4A86"/>
    <w:rsid w:val="00BA54DA"/>
    <w:rsid w:val="00BA5A2E"/>
    <w:rsid w:val="00BA5BBA"/>
    <w:rsid w:val="00BA60A5"/>
    <w:rsid w:val="00BB012B"/>
    <w:rsid w:val="00BB026E"/>
    <w:rsid w:val="00BB03CA"/>
    <w:rsid w:val="00BB03F2"/>
    <w:rsid w:val="00BB42E1"/>
    <w:rsid w:val="00BB4B6F"/>
    <w:rsid w:val="00BB4B75"/>
    <w:rsid w:val="00BB4EEE"/>
    <w:rsid w:val="00BB4FC6"/>
    <w:rsid w:val="00BB5180"/>
    <w:rsid w:val="00BB52DB"/>
    <w:rsid w:val="00BB56F4"/>
    <w:rsid w:val="00BB6020"/>
    <w:rsid w:val="00BB622F"/>
    <w:rsid w:val="00BB66D8"/>
    <w:rsid w:val="00BB76E3"/>
    <w:rsid w:val="00BC015A"/>
    <w:rsid w:val="00BC0173"/>
    <w:rsid w:val="00BC1516"/>
    <w:rsid w:val="00BC1C77"/>
    <w:rsid w:val="00BC2625"/>
    <w:rsid w:val="00BC27D4"/>
    <w:rsid w:val="00BC3235"/>
    <w:rsid w:val="00BC340F"/>
    <w:rsid w:val="00BC370F"/>
    <w:rsid w:val="00BC396B"/>
    <w:rsid w:val="00BC3AE0"/>
    <w:rsid w:val="00BC3CB3"/>
    <w:rsid w:val="00BC414B"/>
    <w:rsid w:val="00BC467C"/>
    <w:rsid w:val="00BC57BB"/>
    <w:rsid w:val="00BC57BC"/>
    <w:rsid w:val="00BC57F8"/>
    <w:rsid w:val="00BC5AD1"/>
    <w:rsid w:val="00BC65C7"/>
    <w:rsid w:val="00BC6715"/>
    <w:rsid w:val="00BC6BA1"/>
    <w:rsid w:val="00BC713C"/>
    <w:rsid w:val="00BC71B2"/>
    <w:rsid w:val="00BC751B"/>
    <w:rsid w:val="00BC7565"/>
    <w:rsid w:val="00BC7F48"/>
    <w:rsid w:val="00BD1915"/>
    <w:rsid w:val="00BD1B4F"/>
    <w:rsid w:val="00BD2555"/>
    <w:rsid w:val="00BD3787"/>
    <w:rsid w:val="00BD3965"/>
    <w:rsid w:val="00BD3DEB"/>
    <w:rsid w:val="00BD3E2D"/>
    <w:rsid w:val="00BD4BEA"/>
    <w:rsid w:val="00BD5214"/>
    <w:rsid w:val="00BD573D"/>
    <w:rsid w:val="00BD59D5"/>
    <w:rsid w:val="00BD667F"/>
    <w:rsid w:val="00BE03D5"/>
    <w:rsid w:val="00BE09AF"/>
    <w:rsid w:val="00BE0F2F"/>
    <w:rsid w:val="00BE114D"/>
    <w:rsid w:val="00BE124C"/>
    <w:rsid w:val="00BE219D"/>
    <w:rsid w:val="00BE24FB"/>
    <w:rsid w:val="00BE2790"/>
    <w:rsid w:val="00BE2A11"/>
    <w:rsid w:val="00BE2AF6"/>
    <w:rsid w:val="00BE38A2"/>
    <w:rsid w:val="00BE3E33"/>
    <w:rsid w:val="00BE456B"/>
    <w:rsid w:val="00BE482F"/>
    <w:rsid w:val="00BE48DE"/>
    <w:rsid w:val="00BE4B21"/>
    <w:rsid w:val="00BE4D0D"/>
    <w:rsid w:val="00BE4E27"/>
    <w:rsid w:val="00BE4F73"/>
    <w:rsid w:val="00BE5029"/>
    <w:rsid w:val="00BE5214"/>
    <w:rsid w:val="00BE58DC"/>
    <w:rsid w:val="00BE5A87"/>
    <w:rsid w:val="00BE5CC0"/>
    <w:rsid w:val="00BE5F9F"/>
    <w:rsid w:val="00BE6441"/>
    <w:rsid w:val="00BE6529"/>
    <w:rsid w:val="00BE7958"/>
    <w:rsid w:val="00BF0BB4"/>
    <w:rsid w:val="00BF1025"/>
    <w:rsid w:val="00BF190C"/>
    <w:rsid w:val="00BF1ECA"/>
    <w:rsid w:val="00BF1F09"/>
    <w:rsid w:val="00BF2271"/>
    <w:rsid w:val="00BF27FA"/>
    <w:rsid w:val="00BF2F29"/>
    <w:rsid w:val="00BF31F7"/>
    <w:rsid w:val="00BF33C9"/>
    <w:rsid w:val="00BF3441"/>
    <w:rsid w:val="00BF362D"/>
    <w:rsid w:val="00BF3637"/>
    <w:rsid w:val="00BF42A7"/>
    <w:rsid w:val="00BF436C"/>
    <w:rsid w:val="00BF4524"/>
    <w:rsid w:val="00BF4FD3"/>
    <w:rsid w:val="00BF5143"/>
    <w:rsid w:val="00BF54B4"/>
    <w:rsid w:val="00BF5990"/>
    <w:rsid w:val="00BF5E2A"/>
    <w:rsid w:val="00BF6A72"/>
    <w:rsid w:val="00BF71BF"/>
    <w:rsid w:val="00BF7C32"/>
    <w:rsid w:val="00BF7F45"/>
    <w:rsid w:val="00C0060C"/>
    <w:rsid w:val="00C00734"/>
    <w:rsid w:val="00C01700"/>
    <w:rsid w:val="00C01708"/>
    <w:rsid w:val="00C018C1"/>
    <w:rsid w:val="00C02282"/>
    <w:rsid w:val="00C029DE"/>
    <w:rsid w:val="00C02F81"/>
    <w:rsid w:val="00C03347"/>
    <w:rsid w:val="00C046F1"/>
    <w:rsid w:val="00C04CFD"/>
    <w:rsid w:val="00C04EEC"/>
    <w:rsid w:val="00C073C2"/>
    <w:rsid w:val="00C07704"/>
    <w:rsid w:val="00C079C8"/>
    <w:rsid w:val="00C1084A"/>
    <w:rsid w:val="00C10E32"/>
    <w:rsid w:val="00C11315"/>
    <w:rsid w:val="00C118E2"/>
    <w:rsid w:val="00C11EB6"/>
    <w:rsid w:val="00C1217C"/>
    <w:rsid w:val="00C122F1"/>
    <w:rsid w:val="00C13926"/>
    <w:rsid w:val="00C139E8"/>
    <w:rsid w:val="00C13AA2"/>
    <w:rsid w:val="00C13C3B"/>
    <w:rsid w:val="00C140AD"/>
    <w:rsid w:val="00C145F9"/>
    <w:rsid w:val="00C15839"/>
    <w:rsid w:val="00C1597F"/>
    <w:rsid w:val="00C159B9"/>
    <w:rsid w:val="00C163AE"/>
    <w:rsid w:val="00C1743C"/>
    <w:rsid w:val="00C17F39"/>
    <w:rsid w:val="00C20D44"/>
    <w:rsid w:val="00C21A39"/>
    <w:rsid w:val="00C22363"/>
    <w:rsid w:val="00C22AE3"/>
    <w:rsid w:val="00C22D11"/>
    <w:rsid w:val="00C22E1C"/>
    <w:rsid w:val="00C22F8B"/>
    <w:rsid w:val="00C23BC0"/>
    <w:rsid w:val="00C23EEE"/>
    <w:rsid w:val="00C23EF8"/>
    <w:rsid w:val="00C24461"/>
    <w:rsid w:val="00C24504"/>
    <w:rsid w:val="00C24F0B"/>
    <w:rsid w:val="00C2534D"/>
    <w:rsid w:val="00C2596F"/>
    <w:rsid w:val="00C25F2A"/>
    <w:rsid w:val="00C25F8C"/>
    <w:rsid w:val="00C26688"/>
    <w:rsid w:val="00C268AD"/>
    <w:rsid w:val="00C26A75"/>
    <w:rsid w:val="00C305FA"/>
    <w:rsid w:val="00C30823"/>
    <w:rsid w:val="00C30AC2"/>
    <w:rsid w:val="00C30AF1"/>
    <w:rsid w:val="00C315E3"/>
    <w:rsid w:val="00C31D9D"/>
    <w:rsid w:val="00C3228B"/>
    <w:rsid w:val="00C3253C"/>
    <w:rsid w:val="00C328F1"/>
    <w:rsid w:val="00C32B9D"/>
    <w:rsid w:val="00C3321F"/>
    <w:rsid w:val="00C33B44"/>
    <w:rsid w:val="00C33DD6"/>
    <w:rsid w:val="00C3508C"/>
    <w:rsid w:val="00C35308"/>
    <w:rsid w:val="00C3651E"/>
    <w:rsid w:val="00C368C2"/>
    <w:rsid w:val="00C36BB9"/>
    <w:rsid w:val="00C37383"/>
    <w:rsid w:val="00C40607"/>
    <w:rsid w:val="00C40AAE"/>
    <w:rsid w:val="00C40E13"/>
    <w:rsid w:val="00C414DE"/>
    <w:rsid w:val="00C419BA"/>
    <w:rsid w:val="00C424FD"/>
    <w:rsid w:val="00C429A6"/>
    <w:rsid w:val="00C42FDA"/>
    <w:rsid w:val="00C431BC"/>
    <w:rsid w:val="00C436C3"/>
    <w:rsid w:val="00C44BF2"/>
    <w:rsid w:val="00C4553A"/>
    <w:rsid w:val="00C455C4"/>
    <w:rsid w:val="00C4563B"/>
    <w:rsid w:val="00C46BA4"/>
    <w:rsid w:val="00C46C71"/>
    <w:rsid w:val="00C4702B"/>
    <w:rsid w:val="00C4727C"/>
    <w:rsid w:val="00C47D12"/>
    <w:rsid w:val="00C506BD"/>
    <w:rsid w:val="00C50B73"/>
    <w:rsid w:val="00C50F43"/>
    <w:rsid w:val="00C51724"/>
    <w:rsid w:val="00C51D83"/>
    <w:rsid w:val="00C5234C"/>
    <w:rsid w:val="00C523D4"/>
    <w:rsid w:val="00C52471"/>
    <w:rsid w:val="00C524EB"/>
    <w:rsid w:val="00C52867"/>
    <w:rsid w:val="00C53179"/>
    <w:rsid w:val="00C536FC"/>
    <w:rsid w:val="00C5396F"/>
    <w:rsid w:val="00C539D3"/>
    <w:rsid w:val="00C53A94"/>
    <w:rsid w:val="00C53B03"/>
    <w:rsid w:val="00C54224"/>
    <w:rsid w:val="00C54919"/>
    <w:rsid w:val="00C54AE4"/>
    <w:rsid w:val="00C55CC5"/>
    <w:rsid w:val="00C5645C"/>
    <w:rsid w:val="00C56CB8"/>
    <w:rsid w:val="00C56D7A"/>
    <w:rsid w:val="00C56E15"/>
    <w:rsid w:val="00C57991"/>
    <w:rsid w:val="00C57A1C"/>
    <w:rsid w:val="00C57FDB"/>
    <w:rsid w:val="00C60888"/>
    <w:rsid w:val="00C609BD"/>
    <w:rsid w:val="00C60E68"/>
    <w:rsid w:val="00C611A5"/>
    <w:rsid w:val="00C61489"/>
    <w:rsid w:val="00C61937"/>
    <w:rsid w:val="00C623AC"/>
    <w:rsid w:val="00C627FD"/>
    <w:rsid w:val="00C628A6"/>
    <w:rsid w:val="00C63799"/>
    <w:rsid w:val="00C637F2"/>
    <w:rsid w:val="00C63D93"/>
    <w:rsid w:val="00C63EF3"/>
    <w:rsid w:val="00C63FEF"/>
    <w:rsid w:val="00C6442E"/>
    <w:rsid w:val="00C647E0"/>
    <w:rsid w:val="00C64C28"/>
    <w:rsid w:val="00C64E18"/>
    <w:rsid w:val="00C65117"/>
    <w:rsid w:val="00C652B8"/>
    <w:rsid w:val="00C653A8"/>
    <w:rsid w:val="00C656DF"/>
    <w:rsid w:val="00C65E46"/>
    <w:rsid w:val="00C65E8B"/>
    <w:rsid w:val="00C66871"/>
    <w:rsid w:val="00C66C1A"/>
    <w:rsid w:val="00C67041"/>
    <w:rsid w:val="00C670F8"/>
    <w:rsid w:val="00C67186"/>
    <w:rsid w:val="00C674E9"/>
    <w:rsid w:val="00C677EC"/>
    <w:rsid w:val="00C7005B"/>
    <w:rsid w:val="00C701BA"/>
    <w:rsid w:val="00C70263"/>
    <w:rsid w:val="00C70678"/>
    <w:rsid w:val="00C707F2"/>
    <w:rsid w:val="00C7126E"/>
    <w:rsid w:val="00C71841"/>
    <w:rsid w:val="00C722C6"/>
    <w:rsid w:val="00C7285D"/>
    <w:rsid w:val="00C72CFC"/>
    <w:rsid w:val="00C72FBB"/>
    <w:rsid w:val="00C73182"/>
    <w:rsid w:val="00C731FC"/>
    <w:rsid w:val="00C7321E"/>
    <w:rsid w:val="00C7377D"/>
    <w:rsid w:val="00C741AB"/>
    <w:rsid w:val="00C7421B"/>
    <w:rsid w:val="00C7483F"/>
    <w:rsid w:val="00C75178"/>
    <w:rsid w:val="00C7519B"/>
    <w:rsid w:val="00C7682E"/>
    <w:rsid w:val="00C76C5D"/>
    <w:rsid w:val="00C77312"/>
    <w:rsid w:val="00C77678"/>
    <w:rsid w:val="00C77682"/>
    <w:rsid w:val="00C77825"/>
    <w:rsid w:val="00C77A62"/>
    <w:rsid w:val="00C80132"/>
    <w:rsid w:val="00C80173"/>
    <w:rsid w:val="00C80957"/>
    <w:rsid w:val="00C817EA"/>
    <w:rsid w:val="00C82495"/>
    <w:rsid w:val="00C829D0"/>
    <w:rsid w:val="00C83142"/>
    <w:rsid w:val="00C832B1"/>
    <w:rsid w:val="00C83741"/>
    <w:rsid w:val="00C83D61"/>
    <w:rsid w:val="00C83FB9"/>
    <w:rsid w:val="00C84B66"/>
    <w:rsid w:val="00C85005"/>
    <w:rsid w:val="00C85326"/>
    <w:rsid w:val="00C85B0F"/>
    <w:rsid w:val="00C860AF"/>
    <w:rsid w:val="00C86BE7"/>
    <w:rsid w:val="00C86CC2"/>
    <w:rsid w:val="00C874A9"/>
    <w:rsid w:val="00C874FA"/>
    <w:rsid w:val="00C87B84"/>
    <w:rsid w:val="00C87F3D"/>
    <w:rsid w:val="00C90917"/>
    <w:rsid w:val="00C90A94"/>
    <w:rsid w:val="00C914B7"/>
    <w:rsid w:val="00C915B2"/>
    <w:rsid w:val="00C921E8"/>
    <w:rsid w:val="00C92CA7"/>
    <w:rsid w:val="00C93092"/>
    <w:rsid w:val="00C93898"/>
    <w:rsid w:val="00C93CD9"/>
    <w:rsid w:val="00C94697"/>
    <w:rsid w:val="00C947A3"/>
    <w:rsid w:val="00C94E17"/>
    <w:rsid w:val="00C94EFA"/>
    <w:rsid w:val="00C952C7"/>
    <w:rsid w:val="00C954B7"/>
    <w:rsid w:val="00C95972"/>
    <w:rsid w:val="00C960C3"/>
    <w:rsid w:val="00C962D9"/>
    <w:rsid w:val="00C966AA"/>
    <w:rsid w:val="00C97242"/>
    <w:rsid w:val="00C976F7"/>
    <w:rsid w:val="00C977C7"/>
    <w:rsid w:val="00C9796D"/>
    <w:rsid w:val="00C97D1B"/>
    <w:rsid w:val="00C97E6A"/>
    <w:rsid w:val="00C97EF6"/>
    <w:rsid w:val="00CA0236"/>
    <w:rsid w:val="00CA2517"/>
    <w:rsid w:val="00CA27A2"/>
    <w:rsid w:val="00CA2B54"/>
    <w:rsid w:val="00CA2D0D"/>
    <w:rsid w:val="00CA34AB"/>
    <w:rsid w:val="00CA4019"/>
    <w:rsid w:val="00CA47EF"/>
    <w:rsid w:val="00CA489D"/>
    <w:rsid w:val="00CA4F67"/>
    <w:rsid w:val="00CA5902"/>
    <w:rsid w:val="00CA598A"/>
    <w:rsid w:val="00CA5C7E"/>
    <w:rsid w:val="00CA66AD"/>
    <w:rsid w:val="00CA7229"/>
    <w:rsid w:val="00CA731C"/>
    <w:rsid w:val="00CA7365"/>
    <w:rsid w:val="00CB0D11"/>
    <w:rsid w:val="00CB10A2"/>
    <w:rsid w:val="00CB10FB"/>
    <w:rsid w:val="00CB1698"/>
    <w:rsid w:val="00CB233C"/>
    <w:rsid w:val="00CB2402"/>
    <w:rsid w:val="00CB331F"/>
    <w:rsid w:val="00CB3A77"/>
    <w:rsid w:val="00CB3C79"/>
    <w:rsid w:val="00CB3F7D"/>
    <w:rsid w:val="00CB5734"/>
    <w:rsid w:val="00CB5BCA"/>
    <w:rsid w:val="00CB5EC0"/>
    <w:rsid w:val="00CB5EF2"/>
    <w:rsid w:val="00CB61AE"/>
    <w:rsid w:val="00CB7788"/>
    <w:rsid w:val="00CB7BEF"/>
    <w:rsid w:val="00CC1D82"/>
    <w:rsid w:val="00CC26FF"/>
    <w:rsid w:val="00CC2906"/>
    <w:rsid w:val="00CC29E3"/>
    <w:rsid w:val="00CC2A47"/>
    <w:rsid w:val="00CC302A"/>
    <w:rsid w:val="00CC337E"/>
    <w:rsid w:val="00CC3623"/>
    <w:rsid w:val="00CC4E19"/>
    <w:rsid w:val="00CC514E"/>
    <w:rsid w:val="00CC5ABF"/>
    <w:rsid w:val="00CC5E60"/>
    <w:rsid w:val="00CC70EC"/>
    <w:rsid w:val="00CC7B7C"/>
    <w:rsid w:val="00CC7E51"/>
    <w:rsid w:val="00CD0096"/>
    <w:rsid w:val="00CD0F06"/>
    <w:rsid w:val="00CD1066"/>
    <w:rsid w:val="00CD2366"/>
    <w:rsid w:val="00CD2447"/>
    <w:rsid w:val="00CD2717"/>
    <w:rsid w:val="00CD2E6B"/>
    <w:rsid w:val="00CD30A5"/>
    <w:rsid w:val="00CD3105"/>
    <w:rsid w:val="00CD3228"/>
    <w:rsid w:val="00CD3397"/>
    <w:rsid w:val="00CD359D"/>
    <w:rsid w:val="00CD38B0"/>
    <w:rsid w:val="00CD3B21"/>
    <w:rsid w:val="00CD3DE2"/>
    <w:rsid w:val="00CD3F88"/>
    <w:rsid w:val="00CD4138"/>
    <w:rsid w:val="00CD4768"/>
    <w:rsid w:val="00CD5A06"/>
    <w:rsid w:val="00CD61DF"/>
    <w:rsid w:val="00CD6A2B"/>
    <w:rsid w:val="00CD726C"/>
    <w:rsid w:val="00CE18B5"/>
    <w:rsid w:val="00CE2657"/>
    <w:rsid w:val="00CE3477"/>
    <w:rsid w:val="00CE3901"/>
    <w:rsid w:val="00CE3AF8"/>
    <w:rsid w:val="00CE3E76"/>
    <w:rsid w:val="00CE3F8D"/>
    <w:rsid w:val="00CE412E"/>
    <w:rsid w:val="00CE4314"/>
    <w:rsid w:val="00CE44EF"/>
    <w:rsid w:val="00CE48B5"/>
    <w:rsid w:val="00CE4F8A"/>
    <w:rsid w:val="00CE4F91"/>
    <w:rsid w:val="00CE5F11"/>
    <w:rsid w:val="00CE69ED"/>
    <w:rsid w:val="00CE6D55"/>
    <w:rsid w:val="00CE7045"/>
    <w:rsid w:val="00CE70FC"/>
    <w:rsid w:val="00CE7575"/>
    <w:rsid w:val="00CE7A0C"/>
    <w:rsid w:val="00CE7EA1"/>
    <w:rsid w:val="00CF0473"/>
    <w:rsid w:val="00CF07DB"/>
    <w:rsid w:val="00CF14AF"/>
    <w:rsid w:val="00CF19E3"/>
    <w:rsid w:val="00CF1E56"/>
    <w:rsid w:val="00CF251D"/>
    <w:rsid w:val="00CF28A8"/>
    <w:rsid w:val="00CF31CE"/>
    <w:rsid w:val="00CF34AD"/>
    <w:rsid w:val="00CF396C"/>
    <w:rsid w:val="00CF3A12"/>
    <w:rsid w:val="00CF437E"/>
    <w:rsid w:val="00CF4456"/>
    <w:rsid w:val="00CF54B2"/>
    <w:rsid w:val="00CF5880"/>
    <w:rsid w:val="00CF664A"/>
    <w:rsid w:val="00CF7E19"/>
    <w:rsid w:val="00CF7E7F"/>
    <w:rsid w:val="00CF7EE6"/>
    <w:rsid w:val="00D00931"/>
    <w:rsid w:val="00D014D0"/>
    <w:rsid w:val="00D02060"/>
    <w:rsid w:val="00D02A70"/>
    <w:rsid w:val="00D02CBF"/>
    <w:rsid w:val="00D0336B"/>
    <w:rsid w:val="00D03670"/>
    <w:rsid w:val="00D042C5"/>
    <w:rsid w:val="00D049FB"/>
    <w:rsid w:val="00D04C44"/>
    <w:rsid w:val="00D04FF4"/>
    <w:rsid w:val="00D05003"/>
    <w:rsid w:val="00D051D9"/>
    <w:rsid w:val="00D0558D"/>
    <w:rsid w:val="00D056DB"/>
    <w:rsid w:val="00D05BC0"/>
    <w:rsid w:val="00D0665E"/>
    <w:rsid w:val="00D06A57"/>
    <w:rsid w:val="00D075FE"/>
    <w:rsid w:val="00D07A70"/>
    <w:rsid w:val="00D1056F"/>
    <w:rsid w:val="00D10D43"/>
    <w:rsid w:val="00D11FD0"/>
    <w:rsid w:val="00D120DA"/>
    <w:rsid w:val="00D1294B"/>
    <w:rsid w:val="00D13A43"/>
    <w:rsid w:val="00D1430D"/>
    <w:rsid w:val="00D1451B"/>
    <w:rsid w:val="00D145F7"/>
    <w:rsid w:val="00D14A59"/>
    <w:rsid w:val="00D14C33"/>
    <w:rsid w:val="00D156C1"/>
    <w:rsid w:val="00D15CF3"/>
    <w:rsid w:val="00D1668C"/>
    <w:rsid w:val="00D16CC3"/>
    <w:rsid w:val="00D16E81"/>
    <w:rsid w:val="00D172E5"/>
    <w:rsid w:val="00D176B5"/>
    <w:rsid w:val="00D17C83"/>
    <w:rsid w:val="00D17D6B"/>
    <w:rsid w:val="00D17DDD"/>
    <w:rsid w:val="00D17F30"/>
    <w:rsid w:val="00D20624"/>
    <w:rsid w:val="00D20853"/>
    <w:rsid w:val="00D20AE8"/>
    <w:rsid w:val="00D20D31"/>
    <w:rsid w:val="00D20E99"/>
    <w:rsid w:val="00D211A7"/>
    <w:rsid w:val="00D21442"/>
    <w:rsid w:val="00D21839"/>
    <w:rsid w:val="00D219FA"/>
    <w:rsid w:val="00D21CA8"/>
    <w:rsid w:val="00D22810"/>
    <w:rsid w:val="00D22B6A"/>
    <w:rsid w:val="00D22E31"/>
    <w:rsid w:val="00D22EB2"/>
    <w:rsid w:val="00D2304B"/>
    <w:rsid w:val="00D23276"/>
    <w:rsid w:val="00D23292"/>
    <w:rsid w:val="00D23433"/>
    <w:rsid w:val="00D2363F"/>
    <w:rsid w:val="00D2379C"/>
    <w:rsid w:val="00D237F2"/>
    <w:rsid w:val="00D2389A"/>
    <w:rsid w:val="00D23BCA"/>
    <w:rsid w:val="00D23F1F"/>
    <w:rsid w:val="00D250B8"/>
    <w:rsid w:val="00D26426"/>
    <w:rsid w:val="00D26602"/>
    <w:rsid w:val="00D2688F"/>
    <w:rsid w:val="00D275D1"/>
    <w:rsid w:val="00D27614"/>
    <w:rsid w:val="00D27D2E"/>
    <w:rsid w:val="00D27E39"/>
    <w:rsid w:val="00D3039B"/>
    <w:rsid w:val="00D3085E"/>
    <w:rsid w:val="00D31623"/>
    <w:rsid w:val="00D3269D"/>
    <w:rsid w:val="00D329E2"/>
    <w:rsid w:val="00D32A88"/>
    <w:rsid w:val="00D32D75"/>
    <w:rsid w:val="00D32DA9"/>
    <w:rsid w:val="00D33EEB"/>
    <w:rsid w:val="00D34383"/>
    <w:rsid w:val="00D34DE2"/>
    <w:rsid w:val="00D34FD4"/>
    <w:rsid w:val="00D35A9E"/>
    <w:rsid w:val="00D35F88"/>
    <w:rsid w:val="00D363E3"/>
    <w:rsid w:val="00D36AE4"/>
    <w:rsid w:val="00D372BD"/>
    <w:rsid w:val="00D376D2"/>
    <w:rsid w:val="00D37A74"/>
    <w:rsid w:val="00D407F9"/>
    <w:rsid w:val="00D40CF1"/>
    <w:rsid w:val="00D41240"/>
    <w:rsid w:val="00D4217D"/>
    <w:rsid w:val="00D42330"/>
    <w:rsid w:val="00D426FD"/>
    <w:rsid w:val="00D42C75"/>
    <w:rsid w:val="00D443FB"/>
    <w:rsid w:val="00D44988"/>
    <w:rsid w:val="00D44EAB"/>
    <w:rsid w:val="00D453BB"/>
    <w:rsid w:val="00D46596"/>
    <w:rsid w:val="00D46BC7"/>
    <w:rsid w:val="00D47285"/>
    <w:rsid w:val="00D47B5A"/>
    <w:rsid w:val="00D47F60"/>
    <w:rsid w:val="00D50BB6"/>
    <w:rsid w:val="00D51154"/>
    <w:rsid w:val="00D511BB"/>
    <w:rsid w:val="00D512FC"/>
    <w:rsid w:val="00D51433"/>
    <w:rsid w:val="00D51CD2"/>
    <w:rsid w:val="00D51EF5"/>
    <w:rsid w:val="00D524DC"/>
    <w:rsid w:val="00D52A9C"/>
    <w:rsid w:val="00D540BC"/>
    <w:rsid w:val="00D5471B"/>
    <w:rsid w:val="00D5499C"/>
    <w:rsid w:val="00D5545D"/>
    <w:rsid w:val="00D554B8"/>
    <w:rsid w:val="00D55CCB"/>
    <w:rsid w:val="00D5692C"/>
    <w:rsid w:val="00D571FC"/>
    <w:rsid w:val="00D57739"/>
    <w:rsid w:val="00D5773C"/>
    <w:rsid w:val="00D57958"/>
    <w:rsid w:val="00D57D65"/>
    <w:rsid w:val="00D60C33"/>
    <w:rsid w:val="00D614B4"/>
    <w:rsid w:val="00D61524"/>
    <w:rsid w:val="00D6186B"/>
    <w:rsid w:val="00D629A7"/>
    <w:rsid w:val="00D640A7"/>
    <w:rsid w:val="00D641A4"/>
    <w:rsid w:val="00D647A9"/>
    <w:rsid w:val="00D64EEC"/>
    <w:rsid w:val="00D65676"/>
    <w:rsid w:val="00D65734"/>
    <w:rsid w:val="00D65786"/>
    <w:rsid w:val="00D6591C"/>
    <w:rsid w:val="00D65E30"/>
    <w:rsid w:val="00D65F97"/>
    <w:rsid w:val="00D66097"/>
    <w:rsid w:val="00D66943"/>
    <w:rsid w:val="00D66AD3"/>
    <w:rsid w:val="00D66BB3"/>
    <w:rsid w:val="00D676EE"/>
    <w:rsid w:val="00D67AD4"/>
    <w:rsid w:val="00D67CCA"/>
    <w:rsid w:val="00D7024C"/>
    <w:rsid w:val="00D7096E"/>
    <w:rsid w:val="00D70E05"/>
    <w:rsid w:val="00D7131B"/>
    <w:rsid w:val="00D723F5"/>
    <w:rsid w:val="00D730A5"/>
    <w:rsid w:val="00D732F6"/>
    <w:rsid w:val="00D73DD6"/>
    <w:rsid w:val="00D73FA4"/>
    <w:rsid w:val="00D7454D"/>
    <w:rsid w:val="00D761CC"/>
    <w:rsid w:val="00D76909"/>
    <w:rsid w:val="00D76D35"/>
    <w:rsid w:val="00D7785C"/>
    <w:rsid w:val="00D7795F"/>
    <w:rsid w:val="00D77A4F"/>
    <w:rsid w:val="00D801C8"/>
    <w:rsid w:val="00D80378"/>
    <w:rsid w:val="00D8195E"/>
    <w:rsid w:val="00D81A20"/>
    <w:rsid w:val="00D81DED"/>
    <w:rsid w:val="00D8239E"/>
    <w:rsid w:val="00D823E9"/>
    <w:rsid w:val="00D82567"/>
    <w:rsid w:val="00D837E5"/>
    <w:rsid w:val="00D83AD5"/>
    <w:rsid w:val="00D83B57"/>
    <w:rsid w:val="00D8442B"/>
    <w:rsid w:val="00D84583"/>
    <w:rsid w:val="00D84B14"/>
    <w:rsid w:val="00D8556A"/>
    <w:rsid w:val="00D85CAD"/>
    <w:rsid w:val="00D86276"/>
    <w:rsid w:val="00D8681D"/>
    <w:rsid w:val="00D86CF2"/>
    <w:rsid w:val="00D86D9C"/>
    <w:rsid w:val="00D86F34"/>
    <w:rsid w:val="00D87479"/>
    <w:rsid w:val="00D87A3C"/>
    <w:rsid w:val="00D90280"/>
    <w:rsid w:val="00D90999"/>
    <w:rsid w:val="00D90E84"/>
    <w:rsid w:val="00D91069"/>
    <w:rsid w:val="00D911BD"/>
    <w:rsid w:val="00D914B3"/>
    <w:rsid w:val="00D9161D"/>
    <w:rsid w:val="00D91D73"/>
    <w:rsid w:val="00D921CB"/>
    <w:rsid w:val="00D92788"/>
    <w:rsid w:val="00D927F8"/>
    <w:rsid w:val="00D92A2B"/>
    <w:rsid w:val="00D92BC7"/>
    <w:rsid w:val="00D93319"/>
    <w:rsid w:val="00D93956"/>
    <w:rsid w:val="00D93DFA"/>
    <w:rsid w:val="00D940FA"/>
    <w:rsid w:val="00D94C9B"/>
    <w:rsid w:val="00D94F8C"/>
    <w:rsid w:val="00D95D47"/>
    <w:rsid w:val="00D95F78"/>
    <w:rsid w:val="00D9622D"/>
    <w:rsid w:val="00D963D2"/>
    <w:rsid w:val="00D966E5"/>
    <w:rsid w:val="00D96C4D"/>
    <w:rsid w:val="00D96C85"/>
    <w:rsid w:val="00D96CD0"/>
    <w:rsid w:val="00D97633"/>
    <w:rsid w:val="00DA0D08"/>
    <w:rsid w:val="00DA11C3"/>
    <w:rsid w:val="00DA1277"/>
    <w:rsid w:val="00DA14E9"/>
    <w:rsid w:val="00DA161E"/>
    <w:rsid w:val="00DA1D55"/>
    <w:rsid w:val="00DA2008"/>
    <w:rsid w:val="00DA24EA"/>
    <w:rsid w:val="00DA2AD2"/>
    <w:rsid w:val="00DA2B5A"/>
    <w:rsid w:val="00DA2D1F"/>
    <w:rsid w:val="00DA3243"/>
    <w:rsid w:val="00DA3C00"/>
    <w:rsid w:val="00DA48CC"/>
    <w:rsid w:val="00DA4DC4"/>
    <w:rsid w:val="00DA6066"/>
    <w:rsid w:val="00DA61D7"/>
    <w:rsid w:val="00DA62A8"/>
    <w:rsid w:val="00DA6358"/>
    <w:rsid w:val="00DA6379"/>
    <w:rsid w:val="00DA6462"/>
    <w:rsid w:val="00DA6584"/>
    <w:rsid w:val="00DA66E2"/>
    <w:rsid w:val="00DA679E"/>
    <w:rsid w:val="00DA6D51"/>
    <w:rsid w:val="00DA7275"/>
    <w:rsid w:val="00DA7595"/>
    <w:rsid w:val="00DA7D2B"/>
    <w:rsid w:val="00DB05B9"/>
    <w:rsid w:val="00DB0CE0"/>
    <w:rsid w:val="00DB10B7"/>
    <w:rsid w:val="00DB1112"/>
    <w:rsid w:val="00DB1C58"/>
    <w:rsid w:val="00DB1F66"/>
    <w:rsid w:val="00DB2025"/>
    <w:rsid w:val="00DB2046"/>
    <w:rsid w:val="00DB209D"/>
    <w:rsid w:val="00DB238C"/>
    <w:rsid w:val="00DB29AF"/>
    <w:rsid w:val="00DB2D9C"/>
    <w:rsid w:val="00DB3D45"/>
    <w:rsid w:val="00DB403E"/>
    <w:rsid w:val="00DB4606"/>
    <w:rsid w:val="00DB4934"/>
    <w:rsid w:val="00DB56C5"/>
    <w:rsid w:val="00DB5808"/>
    <w:rsid w:val="00DB5D4C"/>
    <w:rsid w:val="00DB6917"/>
    <w:rsid w:val="00DB77A0"/>
    <w:rsid w:val="00DB782C"/>
    <w:rsid w:val="00DB797D"/>
    <w:rsid w:val="00DB7F0B"/>
    <w:rsid w:val="00DC05DB"/>
    <w:rsid w:val="00DC077A"/>
    <w:rsid w:val="00DC098C"/>
    <w:rsid w:val="00DC1B78"/>
    <w:rsid w:val="00DC2471"/>
    <w:rsid w:val="00DC28D6"/>
    <w:rsid w:val="00DC2A57"/>
    <w:rsid w:val="00DC2BA9"/>
    <w:rsid w:val="00DC328F"/>
    <w:rsid w:val="00DC3757"/>
    <w:rsid w:val="00DC3A4E"/>
    <w:rsid w:val="00DC3A92"/>
    <w:rsid w:val="00DC3FC6"/>
    <w:rsid w:val="00DC40FB"/>
    <w:rsid w:val="00DC48D7"/>
    <w:rsid w:val="00DC4A7F"/>
    <w:rsid w:val="00DC5A37"/>
    <w:rsid w:val="00DC709E"/>
    <w:rsid w:val="00DC711B"/>
    <w:rsid w:val="00DC758D"/>
    <w:rsid w:val="00DC769F"/>
    <w:rsid w:val="00DD0ABE"/>
    <w:rsid w:val="00DD1B36"/>
    <w:rsid w:val="00DD300A"/>
    <w:rsid w:val="00DD31F7"/>
    <w:rsid w:val="00DD37AD"/>
    <w:rsid w:val="00DD388F"/>
    <w:rsid w:val="00DD392A"/>
    <w:rsid w:val="00DD3A61"/>
    <w:rsid w:val="00DD3C3B"/>
    <w:rsid w:val="00DD3F05"/>
    <w:rsid w:val="00DD408C"/>
    <w:rsid w:val="00DD40C3"/>
    <w:rsid w:val="00DD47E1"/>
    <w:rsid w:val="00DD48FF"/>
    <w:rsid w:val="00DD4D23"/>
    <w:rsid w:val="00DD4F0F"/>
    <w:rsid w:val="00DD5D2E"/>
    <w:rsid w:val="00DD5FD0"/>
    <w:rsid w:val="00DD601E"/>
    <w:rsid w:val="00DD7751"/>
    <w:rsid w:val="00DD7BE0"/>
    <w:rsid w:val="00DE0945"/>
    <w:rsid w:val="00DE0E6B"/>
    <w:rsid w:val="00DE1734"/>
    <w:rsid w:val="00DE1B4C"/>
    <w:rsid w:val="00DE2533"/>
    <w:rsid w:val="00DE2B90"/>
    <w:rsid w:val="00DE2EB7"/>
    <w:rsid w:val="00DE2F8D"/>
    <w:rsid w:val="00DE3E5D"/>
    <w:rsid w:val="00DE3F76"/>
    <w:rsid w:val="00DE419E"/>
    <w:rsid w:val="00DE47AC"/>
    <w:rsid w:val="00DE4EFF"/>
    <w:rsid w:val="00DE53C9"/>
    <w:rsid w:val="00DE5A53"/>
    <w:rsid w:val="00DE5ADF"/>
    <w:rsid w:val="00DE5F9F"/>
    <w:rsid w:val="00DE72B1"/>
    <w:rsid w:val="00DE792C"/>
    <w:rsid w:val="00DF0042"/>
    <w:rsid w:val="00DF0209"/>
    <w:rsid w:val="00DF0CDF"/>
    <w:rsid w:val="00DF0F4E"/>
    <w:rsid w:val="00DF1440"/>
    <w:rsid w:val="00DF14F2"/>
    <w:rsid w:val="00DF193C"/>
    <w:rsid w:val="00DF1A32"/>
    <w:rsid w:val="00DF1C56"/>
    <w:rsid w:val="00DF291D"/>
    <w:rsid w:val="00DF356A"/>
    <w:rsid w:val="00DF3A28"/>
    <w:rsid w:val="00DF3A74"/>
    <w:rsid w:val="00DF3C2C"/>
    <w:rsid w:val="00DF4CD5"/>
    <w:rsid w:val="00DF50AA"/>
    <w:rsid w:val="00DF55AE"/>
    <w:rsid w:val="00DF5A96"/>
    <w:rsid w:val="00DF5AE3"/>
    <w:rsid w:val="00DF5D3B"/>
    <w:rsid w:val="00DF5F37"/>
    <w:rsid w:val="00DF638E"/>
    <w:rsid w:val="00DF6B6A"/>
    <w:rsid w:val="00DF6CF9"/>
    <w:rsid w:val="00DF7F06"/>
    <w:rsid w:val="00E005A1"/>
    <w:rsid w:val="00E008B2"/>
    <w:rsid w:val="00E00A05"/>
    <w:rsid w:val="00E00F64"/>
    <w:rsid w:val="00E0134F"/>
    <w:rsid w:val="00E014B5"/>
    <w:rsid w:val="00E015F5"/>
    <w:rsid w:val="00E016A4"/>
    <w:rsid w:val="00E018E0"/>
    <w:rsid w:val="00E02777"/>
    <w:rsid w:val="00E02E96"/>
    <w:rsid w:val="00E038E3"/>
    <w:rsid w:val="00E03E06"/>
    <w:rsid w:val="00E042CB"/>
    <w:rsid w:val="00E069EA"/>
    <w:rsid w:val="00E06A5C"/>
    <w:rsid w:val="00E06A79"/>
    <w:rsid w:val="00E06BA0"/>
    <w:rsid w:val="00E06E60"/>
    <w:rsid w:val="00E0753E"/>
    <w:rsid w:val="00E076A3"/>
    <w:rsid w:val="00E07B16"/>
    <w:rsid w:val="00E07C90"/>
    <w:rsid w:val="00E10557"/>
    <w:rsid w:val="00E10595"/>
    <w:rsid w:val="00E10DCD"/>
    <w:rsid w:val="00E11708"/>
    <w:rsid w:val="00E11B22"/>
    <w:rsid w:val="00E1218B"/>
    <w:rsid w:val="00E12218"/>
    <w:rsid w:val="00E1228B"/>
    <w:rsid w:val="00E12603"/>
    <w:rsid w:val="00E12C24"/>
    <w:rsid w:val="00E13C82"/>
    <w:rsid w:val="00E141E6"/>
    <w:rsid w:val="00E14223"/>
    <w:rsid w:val="00E14500"/>
    <w:rsid w:val="00E14DD7"/>
    <w:rsid w:val="00E1507B"/>
    <w:rsid w:val="00E15381"/>
    <w:rsid w:val="00E15464"/>
    <w:rsid w:val="00E15693"/>
    <w:rsid w:val="00E158FA"/>
    <w:rsid w:val="00E15E97"/>
    <w:rsid w:val="00E1648C"/>
    <w:rsid w:val="00E169C2"/>
    <w:rsid w:val="00E172F7"/>
    <w:rsid w:val="00E174A6"/>
    <w:rsid w:val="00E1786B"/>
    <w:rsid w:val="00E17A67"/>
    <w:rsid w:val="00E20316"/>
    <w:rsid w:val="00E209B2"/>
    <w:rsid w:val="00E210D2"/>
    <w:rsid w:val="00E21A0C"/>
    <w:rsid w:val="00E21A2A"/>
    <w:rsid w:val="00E21EDF"/>
    <w:rsid w:val="00E22B17"/>
    <w:rsid w:val="00E22BAF"/>
    <w:rsid w:val="00E22BC3"/>
    <w:rsid w:val="00E23089"/>
    <w:rsid w:val="00E23309"/>
    <w:rsid w:val="00E23738"/>
    <w:rsid w:val="00E23972"/>
    <w:rsid w:val="00E24778"/>
    <w:rsid w:val="00E24DC1"/>
    <w:rsid w:val="00E25622"/>
    <w:rsid w:val="00E25B8F"/>
    <w:rsid w:val="00E25EF0"/>
    <w:rsid w:val="00E25EF2"/>
    <w:rsid w:val="00E260EA"/>
    <w:rsid w:val="00E26779"/>
    <w:rsid w:val="00E26CDF"/>
    <w:rsid w:val="00E26D02"/>
    <w:rsid w:val="00E26D8F"/>
    <w:rsid w:val="00E27C5D"/>
    <w:rsid w:val="00E304C7"/>
    <w:rsid w:val="00E305EE"/>
    <w:rsid w:val="00E30B51"/>
    <w:rsid w:val="00E30B82"/>
    <w:rsid w:val="00E30EF4"/>
    <w:rsid w:val="00E30F4F"/>
    <w:rsid w:val="00E31F6C"/>
    <w:rsid w:val="00E320E1"/>
    <w:rsid w:val="00E32A77"/>
    <w:rsid w:val="00E32D11"/>
    <w:rsid w:val="00E32F75"/>
    <w:rsid w:val="00E3318B"/>
    <w:rsid w:val="00E33FD1"/>
    <w:rsid w:val="00E34251"/>
    <w:rsid w:val="00E34F2A"/>
    <w:rsid w:val="00E350AE"/>
    <w:rsid w:val="00E35564"/>
    <w:rsid w:val="00E36091"/>
    <w:rsid w:val="00E3669A"/>
    <w:rsid w:val="00E3690E"/>
    <w:rsid w:val="00E37C98"/>
    <w:rsid w:val="00E37DE4"/>
    <w:rsid w:val="00E4062F"/>
    <w:rsid w:val="00E40832"/>
    <w:rsid w:val="00E411AD"/>
    <w:rsid w:val="00E412D3"/>
    <w:rsid w:val="00E41481"/>
    <w:rsid w:val="00E41E0A"/>
    <w:rsid w:val="00E41F11"/>
    <w:rsid w:val="00E41F14"/>
    <w:rsid w:val="00E43308"/>
    <w:rsid w:val="00E43522"/>
    <w:rsid w:val="00E44489"/>
    <w:rsid w:val="00E45120"/>
    <w:rsid w:val="00E4595A"/>
    <w:rsid w:val="00E45D21"/>
    <w:rsid w:val="00E47AC4"/>
    <w:rsid w:val="00E500D7"/>
    <w:rsid w:val="00E5123B"/>
    <w:rsid w:val="00E51358"/>
    <w:rsid w:val="00E51671"/>
    <w:rsid w:val="00E517CC"/>
    <w:rsid w:val="00E51C75"/>
    <w:rsid w:val="00E52A4B"/>
    <w:rsid w:val="00E52B0E"/>
    <w:rsid w:val="00E52B30"/>
    <w:rsid w:val="00E5335A"/>
    <w:rsid w:val="00E53433"/>
    <w:rsid w:val="00E536B5"/>
    <w:rsid w:val="00E5381D"/>
    <w:rsid w:val="00E53A4E"/>
    <w:rsid w:val="00E53AC6"/>
    <w:rsid w:val="00E54161"/>
    <w:rsid w:val="00E5431C"/>
    <w:rsid w:val="00E5440C"/>
    <w:rsid w:val="00E54ACB"/>
    <w:rsid w:val="00E551CB"/>
    <w:rsid w:val="00E55255"/>
    <w:rsid w:val="00E55301"/>
    <w:rsid w:val="00E556C9"/>
    <w:rsid w:val="00E5648E"/>
    <w:rsid w:val="00E56669"/>
    <w:rsid w:val="00E566C9"/>
    <w:rsid w:val="00E56BEE"/>
    <w:rsid w:val="00E56CC9"/>
    <w:rsid w:val="00E570D1"/>
    <w:rsid w:val="00E57300"/>
    <w:rsid w:val="00E5796E"/>
    <w:rsid w:val="00E57C34"/>
    <w:rsid w:val="00E57CF6"/>
    <w:rsid w:val="00E60EAF"/>
    <w:rsid w:val="00E6142E"/>
    <w:rsid w:val="00E61D5F"/>
    <w:rsid w:val="00E62383"/>
    <w:rsid w:val="00E6274C"/>
    <w:rsid w:val="00E63130"/>
    <w:rsid w:val="00E63DD0"/>
    <w:rsid w:val="00E64113"/>
    <w:rsid w:val="00E6437C"/>
    <w:rsid w:val="00E650C5"/>
    <w:rsid w:val="00E6549C"/>
    <w:rsid w:val="00E654A0"/>
    <w:rsid w:val="00E65BE1"/>
    <w:rsid w:val="00E661DE"/>
    <w:rsid w:val="00E663C7"/>
    <w:rsid w:val="00E67487"/>
    <w:rsid w:val="00E67C1D"/>
    <w:rsid w:val="00E67F37"/>
    <w:rsid w:val="00E7043D"/>
    <w:rsid w:val="00E712DF"/>
    <w:rsid w:val="00E7140D"/>
    <w:rsid w:val="00E719B5"/>
    <w:rsid w:val="00E720B4"/>
    <w:rsid w:val="00E72C9E"/>
    <w:rsid w:val="00E73906"/>
    <w:rsid w:val="00E73B14"/>
    <w:rsid w:val="00E73C88"/>
    <w:rsid w:val="00E76A11"/>
    <w:rsid w:val="00E7775C"/>
    <w:rsid w:val="00E77C10"/>
    <w:rsid w:val="00E80625"/>
    <w:rsid w:val="00E80EF0"/>
    <w:rsid w:val="00E8158C"/>
    <w:rsid w:val="00E81B13"/>
    <w:rsid w:val="00E82562"/>
    <w:rsid w:val="00E8318E"/>
    <w:rsid w:val="00E841D8"/>
    <w:rsid w:val="00E84439"/>
    <w:rsid w:val="00E852C4"/>
    <w:rsid w:val="00E85332"/>
    <w:rsid w:val="00E87137"/>
    <w:rsid w:val="00E8715C"/>
    <w:rsid w:val="00E872E2"/>
    <w:rsid w:val="00E87D0F"/>
    <w:rsid w:val="00E905BE"/>
    <w:rsid w:val="00E90866"/>
    <w:rsid w:val="00E90AAB"/>
    <w:rsid w:val="00E90AB8"/>
    <w:rsid w:val="00E9170B"/>
    <w:rsid w:val="00E91B22"/>
    <w:rsid w:val="00E92A4F"/>
    <w:rsid w:val="00E93AF4"/>
    <w:rsid w:val="00E94CEA"/>
    <w:rsid w:val="00E951F9"/>
    <w:rsid w:val="00E95672"/>
    <w:rsid w:val="00E9599D"/>
    <w:rsid w:val="00E95D52"/>
    <w:rsid w:val="00E96098"/>
    <w:rsid w:val="00E964A6"/>
    <w:rsid w:val="00E9686B"/>
    <w:rsid w:val="00E974BF"/>
    <w:rsid w:val="00E97C43"/>
    <w:rsid w:val="00EA019E"/>
    <w:rsid w:val="00EA0394"/>
    <w:rsid w:val="00EA0627"/>
    <w:rsid w:val="00EA0801"/>
    <w:rsid w:val="00EA1079"/>
    <w:rsid w:val="00EA13A5"/>
    <w:rsid w:val="00EA1A9D"/>
    <w:rsid w:val="00EA1D0E"/>
    <w:rsid w:val="00EA1DC9"/>
    <w:rsid w:val="00EA202C"/>
    <w:rsid w:val="00EA2051"/>
    <w:rsid w:val="00EA2386"/>
    <w:rsid w:val="00EA255B"/>
    <w:rsid w:val="00EA26FB"/>
    <w:rsid w:val="00EA35A4"/>
    <w:rsid w:val="00EA3920"/>
    <w:rsid w:val="00EA3A2B"/>
    <w:rsid w:val="00EA3C81"/>
    <w:rsid w:val="00EA4352"/>
    <w:rsid w:val="00EA44B1"/>
    <w:rsid w:val="00EA5711"/>
    <w:rsid w:val="00EA5ABA"/>
    <w:rsid w:val="00EA65C6"/>
    <w:rsid w:val="00EA6CD7"/>
    <w:rsid w:val="00EA6CE1"/>
    <w:rsid w:val="00EA6DF5"/>
    <w:rsid w:val="00EA7DDC"/>
    <w:rsid w:val="00EA7E9F"/>
    <w:rsid w:val="00EB006E"/>
    <w:rsid w:val="00EB0220"/>
    <w:rsid w:val="00EB02A9"/>
    <w:rsid w:val="00EB032E"/>
    <w:rsid w:val="00EB04DA"/>
    <w:rsid w:val="00EB050B"/>
    <w:rsid w:val="00EB0A12"/>
    <w:rsid w:val="00EB11D9"/>
    <w:rsid w:val="00EB15B0"/>
    <w:rsid w:val="00EB2637"/>
    <w:rsid w:val="00EB39EC"/>
    <w:rsid w:val="00EB3A76"/>
    <w:rsid w:val="00EB3D71"/>
    <w:rsid w:val="00EB40BF"/>
    <w:rsid w:val="00EB42FD"/>
    <w:rsid w:val="00EB53F9"/>
    <w:rsid w:val="00EB5AF7"/>
    <w:rsid w:val="00EB5C2B"/>
    <w:rsid w:val="00EB615D"/>
    <w:rsid w:val="00EB61F0"/>
    <w:rsid w:val="00EB620C"/>
    <w:rsid w:val="00EB67F8"/>
    <w:rsid w:val="00EB6DE5"/>
    <w:rsid w:val="00EB7BA0"/>
    <w:rsid w:val="00EB7DF6"/>
    <w:rsid w:val="00EC0CF5"/>
    <w:rsid w:val="00EC11D7"/>
    <w:rsid w:val="00EC1EC4"/>
    <w:rsid w:val="00EC2944"/>
    <w:rsid w:val="00EC2AC1"/>
    <w:rsid w:val="00EC3CA4"/>
    <w:rsid w:val="00EC3E73"/>
    <w:rsid w:val="00EC3EAC"/>
    <w:rsid w:val="00EC3FA9"/>
    <w:rsid w:val="00EC407D"/>
    <w:rsid w:val="00EC45D7"/>
    <w:rsid w:val="00EC472A"/>
    <w:rsid w:val="00EC4EB2"/>
    <w:rsid w:val="00EC4EC5"/>
    <w:rsid w:val="00EC4F54"/>
    <w:rsid w:val="00EC5D1F"/>
    <w:rsid w:val="00EC6D9E"/>
    <w:rsid w:val="00EC700D"/>
    <w:rsid w:val="00EC7095"/>
    <w:rsid w:val="00EC79A9"/>
    <w:rsid w:val="00EC7DD6"/>
    <w:rsid w:val="00ED025B"/>
    <w:rsid w:val="00ED02EC"/>
    <w:rsid w:val="00ED193C"/>
    <w:rsid w:val="00ED1B8E"/>
    <w:rsid w:val="00ED2737"/>
    <w:rsid w:val="00ED2A9A"/>
    <w:rsid w:val="00ED2C56"/>
    <w:rsid w:val="00ED3448"/>
    <w:rsid w:val="00ED34F2"/>
    <w:rsid w:val="00ED3948"/>
    <w:rsid w:val="00ED4349"/>
    <w:rsid w:val="00ED4AAF"/>
    <w:rsid w:val="00ED541D"/>
    <w:rsid w:val="00ED58B1"/>
    <w:rsid w:val="00ED5F0C"/>
    <w:rsid w:val="00ED6F2B"/>
    <w:rsid w:val="00ED70E2"/>
    <w:rsid w:val="00ED75A0"/>
    <w:rsid w:val="00ED7DC6"/>
    <w:rsid w:val="00EE028C"/>
    <w:rsid w:val="00EE035E"/>
    <w:rsid w:val="00EE098F"/>
    <w:rsid w:val="00EE09D9"/>
    <w:rsid w:val="00EE0C48"/>
    <w:rsid w:val="00EE0F0D"/>
    <w:rsid w:val="00EE0FA7"/>
    <w:rsid w:val="00EE2683"/>
    <w:rsid w:val="00EE272C"/>
    <w:rsid w:val="00EE2E70"/>
    <w:rsid w:val="00EE337F"/>
    <w:rsid w:val="00EE3E4B"/>
    <w:rsid w:val="00EE461E"/>
    <w:rsid w:val="00EE464E"/>
    <w:rsid w:val="00EE46C1"/>
    <w:rsid w:val="00EE4C3F"/>
    <w:rsid w:val="00EE4CB1"/>
    <w:rsid w:val="00EE5087"/>
    <w:rsid w:val="00EE57EF"/>
    <w:rsid w:val="00EE67C5"/>
    <w:rsid w:val="00EE6C70"/>
    <w:rsid w:val="00EE6DB6"/>
    <w:rsid w:val="00EE70E7"/>
    <w:rsid w:val="00EE7B31"/>
    <w:rsid w:val="00EE7F3E"/>
    <w:rsid w:val="00EF05B3"/>
    <w:rsid w:val="00EF0D7D"/>
    <w:rsid w:val="00EF11A2"/>
    <w:rsid w:val="00EF19D1"/>
    <w:rsid w:val="00EF2CB6"/>
    <w:rsid w:val="00EF2FC1"/>
    <w:rsid w:val="00EF3B66"/>
    <w:rsid w:val="00EF5362"/>
    <w:rsid w:val="00EF548C"/>
    <w:rsid w:val="00EF55F2"/>
    <w:rsid w:val="00EF5D38"/>
    <w:rsid w:val="00EF5E42"/>
    <w:rsid w:val="00EF62D0"/>
    <w:rsid w:val="00EF6535"/>
    <w:rsid w:val="00EF71F8"/>
    <w:rsid w:val="00EF7322"/>
    <w:rsid w:val="00EF7E57"/>
    <w:rsid w:val="00F00040"/>
    <w:rsid w:val="00F010A2"/>
    <w:rsid w:val="00F01682"/>
    <w:rsid w:val="00F01A84"/>
    <w:rsid w:val="00F01B19"/>
    <w:rsid w:val="00F026D7"/>
    <w:rsid w:val="00F02DE1"/>
    <w:rsid w:val="00F0323F"/>
    <w:rsid w:val="00F03872"/>
    <w:rsid w:val="00F038AF"/>
    <w:rsid w:val="00F03EAF"/>
    <w:rsid w:val="00F03F92"/>
    <w:rsid w:val="00F046C5"/>
    <w:rsid w:val="00F048B2"/>
    <w:rsid w:val="00F04F27"/>
    <w:rsid w:val="00F0521B"/>
    <w:rsid w:val="00F05449"/>
    <w:rsid w:val="00F05B20"/>
    <w:rsid w:val="00F05C22"/>
    <w:rsid w:val="00F05C4A"/>
    <w:rsid w:val="00F05DFE"/>
    <w:rsid w:val="00F06570"/>
    <w:rsid w:val="00F06C74"/>
    <w:rsid w:val="00F06F78"/>
    <w:rsid w:val="00F0782C"/>
    <w:rsid w:val="00F07C7E"/>
    <w:rsid w:val="00F103D0"/>
    <w:rsid w:val="00F10FCA"/>
    <w:rsid w:val="00F11365"/>
    <w:rsid w:val="00F116F8"/>
    <w:rsid w:val="00F12437"/>
    <w:rsid w:val="00F124E4"/>
    <w:rsid w:val="00F12645"/>
    <w:rsid w:val="00F1294D"/>
    <w:rsid w:val="00F12B25"/>
    <w:rsid w:val="00F12DA2"/>
    <w:rsid w:val="00F13319"/>
    <w:rsid w:val="00F136FD"/>
    <w:rsid w:val="00F147BB"/>
    <w:rsid w:val="00F14FD2"/>
    <w:rsid w:val="00F15007"/>
    <w:rsid w:val="00F150A0"/>
    <w:rsid w:val="00F150B5"/>
    <w:rsid w:val="00F1522A"/>
    <w:rsid w:val="00F15971"/>
    <w:rsid w:val="00F15F10"/>
    <w:rsid w:val="00F16355"/>
    <w:rsid w:val="00F16B9D"/>
    <w:rsid w:val="00F16E9D"/>
    <w:rsid w:val="00F17222"/>
    <w:rsid w:val="00F1738E"/>
    <w:rsid w:val="00F17831"/>
    <w:rsid w:val="00F204EC"/>
    <w:rsid w:val="00F208CF"/>
    <w:rsid w:val="00F20C8D"/>
    <w:rsid w:val="00F21952"/>
    <w:rsid w:val="00F21A99"/>
    <w:rsid w:val="00F21D43"/>
    <w:rsid w:val="00F21EE1"/>
    <w:rsid w:val="00F22C30"/>
    <w:rsid w:val="00F22FC7"/>
    <w:rsid w:val="00F2343C"/>
    <w:rsid w:val="00F2343E"/>
    <w:rsid w:val="00F236C2"/>
    <w:rsid w:val="00F23EE2"/>
    <w:rsid w:val="00F24458"/>
    <w:rsid w:val="00F2478F"/>
    <w:rsid w:val="00F24AD4"/>
    <w:rsid w:val="00F24EB7"/>
    <w:rsid w:val="00F25D65"/>
    <w:rsid w:val="00F25E7C"/>
    <w:rsid w:val="00F261EA"/>
    <w:rsid w:val="00F26210"/>
    <w:rsid w:val="00F277AC"/>
    <w:rsid w:val="00F27E69"/>
    <w:rsid w:val="00F3079C"/>
    <w:rsid w:val="00F30C6A"/>
    <w:rsid w:val="00F3117F"/>
    <w:rsid w:val="00F32A0B"/>
    <w:rsid w:val="00F32FEF"/>
    <w:rsid w:val="00F33153"/>
    <w:rsid w:val="00F336EC"/>
    <w:rsid w:val="00F3440F"/>
    <w:rsid w:val="00F354E4"/>
    <w:rsid w:val="00F35942"/>
    <w:rsid w:val="00F35B46"/>
    <w:rsid w:val="00F35CD7"/>
    <w:rsid w:val="00F361FF"/>
    <w:rsid w:val="00F36758"/>
    <w:rsid w:val="00F36A6A"/>
    <w:rsid w:val="00F37635"/>
    <w:rsid w:val="00F37C9C"/>
    <w:rsid w:val="00F37FFA"/>
    <w:rsid w:val="00F4056D"/>
    <w:rsid w:val="00F4070F"/>
    <w:rsid w:val="00F4079B"/>
    <w:rsid w:val="00F41991"/>
    <w:rsid w:val="00F41B54"/>
    <w:rsid w:val="00F41D48"/>
    <w:rsid w:val="00F4238B"/>
    <w:rsid w:val="00F42E86"/>
    <w:rsid w:val="00F430A6"/>
    <w:rsid w:val="00F43308"/>
    <w:rsid w:val="00F4339B"/>
    <w:rsid w:val="00F43436"/>
    <w:rsid w:val="00F43B06"/>
    <w:rsid w:val="00F43B44"/>
    <w:rsid w:val="00F4440B"/>
    <w:rsid w:val="00F448C8"/>
    <w:rsid w:val="00F4547F"/>
    <w:rsid w:val="00F45C7E"/>
    <w:rsid w:val="00F468F6"/>
    <w:rsid w:val="00F46F18"/>
    <w:rsid w:val="00F47528"/>
    <w:rsid w:val="00F479C2"/>
    <w:rsid w:val="00F503F9"/>
    <w:rsid w:val="00F50B8D"/>
    <w:rsid w:val="00F50EA0"/>
    <w:rsid w:val="00F50F87"/>
    <w:rsid w:val="00F51104"/>
    <w:rsid w:val="00F51189"/>
    <w:rsid w:val="00F51BCD"/>
    <w:rsid w:val="00F51D54"/>
    <w:rsid w:val="00F51DC7"/>
    <w:rsid w:val="00F51EA6"/>
    <w:rsid w:val="00F52186"/>
    <w:rsid w:val="00F52542"/>
    <w:rsid w:val="00F525CF"/>
    <w:rsid w:val="00F52D30"/>
    <w:rsid w:val="00F52E3E"/>
    <w:rsid w:val="00F532A2"/>
    <w:rsid w:val="00F53E36"/>
    <w:rsid w:val="00F543A2"/>
    <w:rsid w:val="00F54666"/>
    <w:rsid w:val="00F54C0D"/>
    <w:rsid w:val="00F553B0"/>
    <w:rsid w:val="00F5540D"/>
    <w:rsid w:val="00F55557"/>
    <w:rsid w:val="00F5556D"/>
    <w:rsid w:val="00F55F3A"/>
    <w:rsid w:val="00F56DBA"/>
    <w:rsid w:val="00F56FCF"/>
    <w:rsid w:val="00F57126"/>
    <w:rsid w:val="00F572E1"/>
    <w:rsid w:val="00F57A3B"/>
    <w:rsid w:val="00F57A63"/>
    <w:rsid w:val="00F57BBD"/>
    <w:rsid w:val="00F57F60"/>
    <w:rsid w:val="00F600E8"/>
    <w:rsid w:val="00F60157"/>
    <w:rsid w:val="00F60328"/>
    <w:rsid w:val="00F60648"/>
    <w:rsid w:val="00F60D45"/>
    <w:rsid w:val="00F61538"/>
    <w:rsid w:val="00F615C0"/>
    <w:rsid w:val="00F625BE"/>
    <w:rsid w:val="00F6271A"/>
    <w:rsid w:val="00F62DBC"/>
    <w:rsid w:val="00F638DA"/>
    <w:rsid w:val="00F63C69"/>
    <w:rsid w:val="00F6458E"/>
    <w:rsid w:val="00F64A30"/>
    <w:rsid w:val="00F64E68"/>
    <w:rsid w:val="00F65505"/>
    <w:rsid w:val="00F65B90"/>
    <w:rsid w:val="00F6658D"/>
    <w:rsid w:val="00F667B6"/>
    <w:rsid w:val="00F66B1F"/>
    <w:rsid w:val="00F66EAB"/>
    <w:rsid w:val="00F67078"/>
    <w:rsid w:val="00F7027D"/>
    <w:rsid w:val="00F702F3"/>
    <w:rsid w:val="00F709E2"/>
    <w:rsid w:val="00F71992"/>
    <w:rsid w:val="00F71D6C"/>
    <w:rsid w:val="00F72160"/>
    <w:rsid w:val="00F72527"/>
    <w:rsid w:val="00F72927"/>
    <w:rsid w:val="00F72938"/>
    <w:rsid w:val="00F72E36"/>
    <w:rsid w:val="00F73AFA"/>
    <w:rsid w:val="00F742D9"/>
    <w:rsid w:val="00F74994"/>
    <w:rsid w:val="00F74F2E"/>
    <w:rsid w:val="00F74F32"/>
    <w:rsid w:val="00F7507F"/>
    <w:rsid w:val="00F75D73"/>
    <w:rsid w:val="00F76D62"/>
    <w:rsid w:val="00F76E83"/>
    <w:rsid w:val="00F771A4"/>
    <w:rsid w:val="00F7767D"/>
    <w:rsid w:val="00F77C8F"/>
    <w:rsid w:val="00F77DFA"/>
    <w:rsid w:val="00F77E89"/>
    <w:rsid w:val="00F77E8C"/>
    <w:rsid w:val="00F80100"/>
    <w:rsid w:val="00F81A2B"/>
    <w:rsid w:val="00F84163"/>
    <w:rsid w:val="00F84514"/>
    <w:rsid w:val="00F84650"/>
    <w:rsid w:val="00F85221"/>
    <w:rsid w:val="00F853AE"/>
    <w:rsid w:val="00F86224"/>
    <w:rsid w:val="00F86493"/>
    <w:rsid w:val="00F86592"/>
    <w:rsid w:val="00F86625"/>
    <w:rsid w:val="00F874BD"/>
    <w:rsid w:val="00F879DC"/>
    <w:rsid w:val="00F908A6"/>
    <w:rsid w:val="00F90C22"/>
    <w:rsid w:val="00F90C8C"/>
    <w:rsid w:val="00F90EA1"/>
    <w:rsid w:val="00F912C9"/>
    <w:rsid w:val="00F915C7"/>
    <w:rsid w:val="00F91BA6"/>
    <w:rsid w:val="00F931FB"/>
    <w:rsid w:val="00F93A00"/>
    <w:rsid w:val="00F93CDC"/>
    <w:rsid w:val="00F93D0E"/>
    <w:rsid w:val="00F94155"/>
    <w:rsid w:val="00F94393"/>
    <w:rsid w:val="00F944D8"/>
    <w:rsid w:val="00F94766"/>
    <w:rsid w:val="00F94AF0"/>
    <w:rsid w:val="00F94BB5"/>
    <w:rsid w:val="00F95EEB"/>
    <w:rsid w:val="00F96488"/>
    <w:rsid w:val="00F96C73"/>
    <w:rsid w:val="00FA06A4"/>
    <w:rsid w:val="00FA0F6C"/>
    <w:rsid w:val="00FA18B7"/>
    <w:rsid w:val="00FA1F2D"/>
    <w:rsid w:val="00FA2217"/>
    <w:rsid w:val="00FA2230"/>
    <w:rsid w:val="00FA2248"/>
    <w:rsid w:val="00FA2842"/>
    <w:rsid w:val="00FA3140"/>
    <w:rsid w:val="00FA3539"/>
    <w:rsid w:val="00FA3E6B"/>
    <w:rsid w:val="00FA54AA"/>
    <w:rsid w:val="00FA5F44"/>
    <w:rsid w:val="00FA6213"/>
    <w:rsid w:val="00FA66E5"/>
    <w:rsid w:val="00FA717E"/>
    <w:rsid w:val="00FA79C5"/>
    <w:rsid w:val="00FB081F"/>
    <w:rsid w:val="00FB11C5"/>
    <w:rsid w:val="00FB1575"/>
    <w:rsid w:val="00FB1C29"/>
    <w:rsid w:val="00FB20E9"/>
    <w:rsid w:val="00FB22BC"/>
    <w:rsid w:val="00FB2579"/>
    <w:rsid w:val="00FB28CB"/>
    <w:rsid w:val="00FB3F4C"/>
    <w:rsid w:val="00FB41A3"/>
    <w:rsid w:val="00FB5050"/>
    <w:rsid w:val="00FB5246"/>
    <w:rsid w:val="00FB5251"/>
    <w:rsid w:val="00FB5BFB"/>
    <w:rsid w:val="00FB5D75"/>
    <w:rsid w:val="00FB6C99"/>
    <w:rsid w:val="00FB6D73"/>
    <w:rsid w:val="00FB7148"/>
    <w:rsid w:val="00FB733B"/>
    <w:rsid w:val="00FB7566"/>
    <w:rsid w:val="00FB78B8"/>
    <w:rsid w:val="00FB790C"/>
    <w:rsid w:val="00FB7AC2"/>
    <w:rsid w:val="00FB7BF6"/>
    <w:rsid w:val="00FB7E14"/>
    <w:rsid w:val="00FC01A6"/>
    <w:rsid w:val="00FC041C"/>
    <w:rsid w:val="00FC068A"/>
    <w:rsid w:val="00FC0699"/>
    <w:rsid w:val="00FC0EEE"/>
    <w:rsid w:val="00FC1764"/>
    <w:rsid w:val="00FC1C97"/>
    <w:rsid w:val="00FC274C"/>
    <w:rsid w:val="00FC2927"/>
    <w:rsid w:val="00FC2F2E"/>
    <w:rsid w:val="00FC342D"/>
    <w:rsid w:val="00FC43A8"/>
    <w:rsid w:val="00FC5518"/>
    <w:rsid w:val="00FC6422"/>
    <w:rsid w:val="00FC7580"/>
    <w:rsid w:val="00FC7680"/>
    <w:rsid w:val="00FC7D72"/>
    <w:rsid w:val="00FD0147"/>
    <w:rsid w:val="00FD04E5"/>
    <w:rsid w:val="00FD1FFE"/>
    <w:rsid w:val="00FD2187"/>
    <w:rsid w:val="00FD24C5"/>
    <w:rsid w:val="00FD2A46"/>
    <w:rsid w:val="00FD2EAD"/>
    <w:rsid w:val="00FD3381"/>
    <w:rsid w:val="00FD3CB6"/>
    <w:rsid w:val="00FD3FC4"/>
    <w:rsid w:val="00FD45F1"/>
    <w:rsid w:val="00FD4C8F"/>
    <w:rsid w:val="00FD5B8A"/>
    <w:rsid w:val="00FD5C71"/>
    <w:rsid w:val="00FD5D52"/>
    <w:rsid w:val="00FD637B"/>
    <w:rsid w:val="00FD6D65"/>
    <w:rsid w:val="00FD6D72"/>
    <w:rsid w:val="00FD6F7F"/>
    <w:rsid w:val="00FD7074"/>
    <w:rsid w:val="00FD7E0F"/>
    <w:rsid w:val="00FD7F06"/>
    <w:rsid w:val="00FE0545"/>
    <w:rsid w:val="00FE0B01"/>
    <w:rsid w:val="00FE1D8F"/>
    <w:rsid w:val="00FE238F"/>
    <w:rsid w:val="00FE2DF3"/>
    <w:rsid w:val="00FE30EC"/>
    <w:rsid w:val="00FE3517"/>
    <w:rsid w:val="00FE3878"/>
    <w:rsid w:val="00FE39E6"/>
    <w:rsid w:val="00FE42D5"/>
    <w:rsid w:val="00FE4389"/>
    <w:rsid w:val="00FE46B7"/>
    <w:rsid w:val="00FE470A"/>
    <w:rsid w:val="00FE470E"/>
    <w:rsid w:val="00FE4BF8"/>
    <w:rsid w:val="00FE5B41"/>
    <w:rsid w:val="00FE6298"/>
    <w:rsid w:val="00FE64E0"/>
    <w:rsid w:val="00FE6D44"/>
    <w:rsid w:val="00FE6EDD"/>
    <w:rsid w:val="00FE78B2"/>
    <w:rsid w:val="00FF004A"/>
    <w:rsid w:val="00FF0DAD"/>
    <w:rsid w:val="00FF1849"/>
    <w:rsid w:val="00FF1923"/>
    <w:rsid w:val="00FF1967"/>
    <w:rsid w:val="00FF1BEA"/>
    <w:rsid w:val="00FF1C3F"/>
    <w:rsid w:val="00FF288C"/>
    <w:rsid w:val="00FF2F45"/>
    <w:rsid w:val="00FF32CD"/>
    <w:rsid w:val="00FF32EC"/>
    <w:rsid w:val="00FF3E85"/>
    <w:rsid w:val="00FF4732"/>
    <w:rsid w:val="00FF4FD4"/>
    <w:rsid w:val="00FF5339"/>
    <w:rsid w:val="00FF5517"/>
    <w:rsid w:val="00FF55B8"/>
    <w:rsid w:val="00FF5D6E"/>
    <w:rsid w:val="00FF615F"/>
    <w:rsid w:val="00FF65E7"/>
    <w:rsid w:val="00FF6928"/>
    <w:rsid w:val="00FF7B08"/>
    <w:rsid w:val="00FF7C27"/>
    <w:rsid w:val="00FF7F48"/>
    <w:rsid w:val="01357058"/>
    <w:rsid w:val="0AB4B10A"/>
    <w:rsid w:val="0F23FBD6"/>
    <w:rsid w:val="18FD67AD"/>
    <w:rsid w:val="1C0CE41C"/>
    <w:rsid w:val="1C25636F"/>
    <w:rsid w:val="1F723E3D"/>
    <w:rsid w:val="2A64E4DF"/>
    <w:rsid w:val="2D1DED2C"/>
    <w:rsid w:val="35513F76"/>
    <w:rsid w:val="381D0259"/>
    <w:rsid w:val="3CCB3115"/>
    <w:rsid w:val="42F4065A"/>
    <w:rsid w:val="44D29BAA"/>
    <w:rsid w:val="48557D14"/>
    <w:rsid w:val="49F64BDE"/>
    <w:rsid w:val="4C488E17"/>
    <w:rsid w:val="4D9389AB"/>
    <w:rsid w:val="4E3B592F"/>
    <w:rsid w:val="4FEB7566"/>
    <w:rsid w:val="517DDEB8"/>
    <w:rsid w:val="5B3477C4"/>
    <w:rsid w:val="5B8841B9"/>
    <w:rsid w:val="654E0A0D"/>
    <w:rsid w:val="6AC4C264"/>
    <w:rsid w:val="72C3DC77"/>
    <w:rsid w:val="7A4725D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EB016DC"/>
  <w15:chartTrackingRefBased/>
  <w15:docId w15:val="{51CC51CA-B11D-48F4-AE5F-54DDD8158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Text1"/>
    <w:link w:val="Heading1Char"/>
    <w:uiPriority w:val="9"/>
    <w:qFormat/>
    <w:pPr>
      <w:keepNext/>
      <w:numPr>
        <w:numId w:val="1"/>
      </w:numPr>
      <w:spacing w:before="360" w:after="120" w:line="240" w:lineRule="auto"/>
      <w:jc w:val="both"/>
      <w:outlineLvl w:val="0"/>
    </w:pPr>
    <w:rPr>
      <w:rFonts w:ascii="Times New Roman" w:eastAsia="Times New Roman" w:hAnsi="Times New Roman"/>
      <w:b/>
      <w:bCs/>
      <w:smallCaps/>
      <w:sz w:val="24"/>
      <w:szCs w:val="28"/>
    </w:rPr>
  </w:style>
  <w:style w:type="paragraph" w:styleId="Heading2">
    <w:name w:val="heading 2"/>
    <w:basedOn w:val="Normal"/>
    <w:next w:val="Text1"/>
    <w:link w:val="Heading2Char"/>
    <w:uiPriority w:val="9"/>
    <w:unhideWhenUsed/>
    <w:qFormat/>
    <w:pPr>
      <w:keepNext/>
      <w:numPr>
        <w:ilvl w:val="1"/>
        <w:numId w:val="1"/>
      </w:numPr>
      <w:spacing w:before="120" w:after="120" w:line="240" w:lineRule="auto"/>
      <w:jc w:val="both"/>
      <w:outlineLvl w:val="1"/>
    </w:pPr>
    <w:rPr>
      <w:rFonts w:ascii="Times New Roman" w:eastAsia="Times New Roman" w:hAnsi="Times New Roman"/>
      <w:b/>
      <w:bCs/>
      <w:sz w:val="24"/>
      <w:szCs w:val="26"/>
    </w:rPr>
  </w:style>
  <w:style w:type="paragraph" w:styleId="Heading3">
    <w:name w:val="heading 3"/>
    <w:basedOn w:val="Normal"/>
    <w:next w:val="Text1"/>
    <w:link w:val="Heading3Char"/>
    <w:uiPriority w:val="9"/>
    <w:unhideWhenUsed/>
    <w:qFormat/>
    <w:pPr>
      <w:keepNext/>
      <w:numPr>
        <w:ilvl w:val="2"/>
        <w:numId w:val="1"/>
      </w:numPr>
      <w:spacing w:before="120" w:after="120" w:line="240" w:lineRule="auto"/>
      <w:jc w:val="both"/>
      <w:outlineLvl w:val="2"/>
    </w:pPr>
    <w:rPr>
      <w:rFonts w:ascii="Times New Roman" w:eastAsia="Times New Roman" w:hAnsi="Times New Roman"/>
      <w:bCs/>
      <w:i/>
      <w:sz w:val="24"/>
    </w:rPr>
  </w:style>
  <w:style w:type="paragraph" w:styleId="Heading4">
    <w:name w:val="heading 4"/>
    <w:basedOn w:val="Normal"/>
    <w:next w:val="Text1"/>
    <w:link w:val="Heading4Char"/>
    <w:uiPriority w:val="9"/>
    <w:unhideWhenUsed/>
    <w:qFormat/>
    <w:pPr>
      <w:keepNext/>
      <w:numPr>
        <w:ilvl w:val="3"/>
        <w:numId w:val="1"/>
      </w:numPr>
      <w:spacing w:before="120" w:after="120" w:line="240" w:lineRule="auto"/>
      <w:jc w:val="both"/>
      <w:outlineLvl w:val="3"/>
    </w:pPr>
    <w:rPr>
      <w:rFonts w:ascii="Times New Roman" w:eastAsia="Times New Roman" w:hAnsi="Times New Roman"/>
      <w:bCs/>
      <w:iCs/>
      <w:sz w:val="24"/>
    </w:rPr>
  </w:style>
  <w:style w:type="paragraph" w:styleId="Heading5">
    <w:name w:val="heading 5"/>
    <w:basedOn w:val="Normal"/>
    <w:next w:val="Normal"/>
    <w:link w:val="Heading5Char"/>
    <w:uiPriority w:val="9"/>
    <w:semiHidden/>
    <w:unhideWhenUsed/>
    <w:qFormat/>
    <w:pPr>
      <w:keepNext/>
      <w:keepLines/>
      <w:spacing w:before="40" w:after="0" w:line="240" w:lineRule="auto"/>
      <w:jc w:val="both"/>
      <w:outlineLvl w:val="4"/>
    </w:pPr>
    <w:rPr>
      <w:rFonts w:ascii="Cambria" w:eastAsia="Times New Roman" w:hAnsi="Cambria"/>
      <w:color w:val="365F91"/>
      <w:sz w:val="24"/>
    </w:rPr>
  </w:style>
  <w:style w:type="paragraph" w:styleId="Heading6">
    <w:name w:val="heading 6"/>
    <w:basedOn w:val="Normal"/>
    <w:next w:val="Normal"/>
    <w:link w:val="Heading6Char"/>
    <w:uiPriority w:val="9"/>
    <w:semiHidden/>
    <w:unhideWhenUsed/>
    <w:qFormat/>
    <w:pPr>
      <w:keepNext/>
      <w:keepLines/>
      <w:spacing w:before="40" w:after="0" w:line="240" w:lineRule="auto"/>
      <w:jc w:val="both"/>
      <w:outlineLvl w:val="5"/>
    </w:pPr>
    <w:rPr>
      <w:rFonts w:ascii="Cambria" w:eastAsia="Times New Roman" w:hAnsi="Cambria"/>
      <w:color w:val="243F60"/>
      <w:sz w:val="24"/>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A86151"/>
    <w:rPr>
      <w:i/>
      <w:iCs/>
      <w:color w:val="404040" w:themeColor="text1" w:themeTint="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w w:val="98"/>
      <w:sz w:val="10"/>
      <w:u w:val="words" w:color="606060"/>
      <w:lang w:eastAsia="fr-BE"/>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character" w:customStyle="1" w:styleId="Heading1Char">
    <w:name w:val="Heading 1 Char"/>
    <w:link w:val="Heading1"/>
    <w:uiPriority w:val="9"/>
    <w:rPr>
      <w:rFonts w:ascii="Times New Roman" w:eastAsia="Times New Roman" w:hAnsi="Times New Roman"/>
      <w:b/>
      <w:bCs/>
      <w:smallCaps/>
      <w:sz w:val="24"/>
      <w:szCs w:val="28"/>
      <w:lang w:eastAsia="en-US"/>
    </w:rPr>
  </w:style>
  <w:style w:type="character" w:customStyle="1" w:styleId="Heading2Char">
    <w:name w:val="Heading 2 Char"/>
    <w:link w:val="Heading2"/>
    <w:uiPriority w:val="9"/>
    <w:rPr>
      <w:rFonts w:ascii="Times New Roman" w:eastAsia="Times New Roman" w:hAnsi="Times New Roman"/>
      <w:b/>
      <w:bCs/>
      <w:sz w:val="24"/>
      <w:szCs w:val="26"/>
      <w:lang w:eastAsia="en-US"/>
    </w:rPr>
  </w:style>
  <w:style w:type="character" w:customStyle="1" w:styleId="Heading3Char">
    <w:name w:val="Heading 3 Char"/>
    <w:link w:val="Heading3"/>
    <w:uiPriority w:val="9"/>
    <w:rPr>
      <w:rFonts w:ascii="Times New Roman" w:eastAsia="Times New Roman" w:hAnsi="Times New Roman"/>
      <w:bCs/>
      <w:i/>
      <w:sz w:val="24"/>
      <w:szCs w:val="22"/>
      <w:lang w:eastAsia="en-US"/>
    </w:rPr>
  </w:style>
  <w:style w:type="character" w:customStyle="1" w:styleId="Heading4Char">
    <w:name w:val="Heading 4 Char"/>
    <w:link w:val="Heading4"/>
    <w:uiPriority w:val="9"/>
    <w:rPr>
      <w:rFonts w:ascii="Times New Roman" w:eastAsia="Times New Roman" w:hAnsi="Times New Roman"/>
      <w:bCs/>
      <w:iCs/>
      <w:sz w:val="24"/>
      <w:szCs w:val="22"/>
      <w:lang w:eastAsia="en-US"/>
    </w:rPr>
  </w:style>
  <w:style w:type="character" w:customStyle="1" w:styleId="Heading5Char">
    <w:name w:val="Heading 5 Char"/>
    <w:link w:val="Heading5"/>
    <w:uiPriority w:val="9"/>
    <w:semiHidden/>
    <w:rPr>
      <w:rFonts w:ascii="Cambria" w:eastAsia="Times New Roman" w:hAnsi="Cambria" w:cs="Times New Roman"/>
      <w:color w:val="365F91"/>
      <w:sz w:val="24"/>
    </w:rPr>
  </w:style>
  <w:style w:type="character" w:customStyle="1" w:styleId="Heading6Char">
    <w:name w:val="Heading 6 Char"/>
    <w:link w:val="Heading6"/>
    <w:uiPriority w:val="9"/>
    <w:semiHidden/>
    <w:rPr>
      <w:rFonts w:ascii="Cambria" w:eastAsia="Times New Roman" w:hAnsi="Cambria" w:cs="Times New Roman"/>
      <w:color w:val="243F60"/>
      <w:sz w:val="24"/>
    </w:rPr>
  </w:style>
  <w:style w:type="paragraph" w:customStyle="1" w:styleId="Text1">
    <w:name w:val="Text 1"/>
    <w:basedOn w:val="Normal"/>
    <w:uiPriority w:val="90"/>
    <w:qFormat/>
    <w:pPr>
      <w:spacing w:before="120" w:after="120" w:line="240" w:lineRule="auto"/>
      <w:ind w:left="850"/>
      <w:jc w:val="both"/>
    </w:pPr>
    <w:rPr>
      <w:rFonts w:ascii="Times New Roman" w:hAnsi="Times New Roman"/>
      <w:sz w:val="24"/>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spacing w:before="120" w:after="120" w:line="240" w:lineRule="auto"/>
      <w:jc w:val="both"/>
    </w:pPr>
    <w:rPr>
      <w:rFonts w:ascii="Times New Roman" w:hAnsi="Times New Roman"/>
      <w:sz w:val="20"/>
      <w:szCs w:val="20"/>
    </w:rPr>
  </w:style>
  <w:style w:type="character" w:customStyle="1" w:styleId="CommentTextChar">
    <w:name w:val="Comment Text Char"/>
    <w:link w:val="CommentText"/>
    <w:uiPriority w:val="99"/>
    <w:rPr>
      <w:rFonts w:ascii="Times New Roman" w:hAnsi="Times New Roman" w:cs="Times New Roman"/>
      <w:sz w:val="20"/>
      <w:szCs w:val="20"/>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
    <w:basedOn w:val="Normal"/>
    <w:link w:val="ListParagraphChar"/>
    <w:uiPriority w:val="34"/>
    <w:qFormat/>
    <w:pPr>
      <w:spacing w:after="160" w:line="259" w:lineRule="auto"/>
      <w:ind w:left="720"/>
      <w:contextualSpacing/>
    </w:pPr>
    <w:rPr>
      <w:lang w:val="en-US"/>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locked/>
    <w:rPr>
      <w:lang w:val="en-US"/>
    </w:rPr>
  </w:style>
  <w:style w:type="character" w:styleId="IntenseEmphasis">
    <w:name w:val="Intense Emphasis"/>
    <w:uiPriority w:val="21"/>
    <w:qFormat/>
    <w:rPr>
      <w:i/>
      <w:iCs/>
      <w:color w:val="4F81BD"/>
    </w:rPr>
  </w:style>
  <w:style w:type="paragraph" w:styleId="BalloonText">
    <w:name w:val="Balloon Text"/>
    <w:basedOn w:val="Normal"/>
    <w:link w:val="BalloonTextChar"/>
    <w:uiPriority w:val="99"/>
    <w:semiHidden/>
    <w:unhideWhenUsed/>
    <w:pPr>
      <w:spacing w:after="0" w:line="240" w:lineRule="auto"/>
      <w:jc w:val="both"/>
    </w:pPr>
    <w:rPr>
      <w:rFonts w:ascii="Segoe UI" w:hAnsi="Segoe UI" w:cs="Segoe UI"/>
      <w:sz w:val="18"/>
      <w:szCs w:val="18"/>
    </w:rPr>
  </w:style>
  <w:style w:type="character" w:customStyle="1" w:styleId="BalloonTextChar">
    <w:name w:val="Balloon Text Char"/>
    <w:link w:val="BalloonText"/>
    <w:uiPriority w:val="99"/>
    <w:semiHidden/>
    <w:rPr>
      <w:rFonts w:ascii="Segoe UI" w:hAnsi="Segoe UI" w:cs="Segoe UI"/>
      <w:sz w:val="18"/>
      <w:szCs w:val="18"/>
    </w:rPr>
  </w:style>
  <w:style w:type="paragraph" w:styleId="ListBullet">
    <w:name w:val="List Bullet"/>
    <w:basedOn w:val="Normal"/>
    <w:uiPriority w:val="99"/>
    <w:semiHidden/>
    <w:unhideWhenUsed/>
    <w:pPr>
      <w:numPr>
        <w:numId w:val="2"/>
      </w:numPr>
      <w:spacing w:before="120" w:after="120" w:line="240" w:lineRule="auto"/>
      <w:contextualSpacing/>
      <w:jc w:val="both"/>
    </w:pPr>
    <w:rPr>
      <w:rFonts w:ascii="Times New Roman" w:hAnsi="Times New Roman"/>
      <w:sz w:val="24"/>
    </w:rPr>
  </w:style>
  <w:style w:type="paragraph" w:styleId="ListBullet2">
    <w:name w:val="List Bullet 2"/>
    <w:basedOn w:val="Normal"/>
    <w:uiPriority w:val="99"/>
    <w:semiHidden/>
    <w:unhideWhenUsed/>
    <w:pPr>
      <w:numPr>
        <w:numId w:val="3"/>
      </w:numPr>
      <w:spacing w:before="120" w:after="120" w:line="240" w:lineRule="auto"/>
      <w:contextualSpacing/>
      <w:jc w:val="both"/>
    </w:pPr>
    <w:rPr>
      <w:rFonts w:ascii="Times New Roman" w:hAnsi="Times New Roman"/>
      <w:sz w:val="24"/>
    </w:rPr>
  </w:style>
  <w:style w:type="paragraph" w:styleId="ListBullet3">
    <w:name w:val="List Bullet 3"/>
    <w:basedOn w:val="Normal"/>
    <w:uiPriority w:val="99"/>
    <w:semiHidden/>
    <w:unhideWhenUsed/>
    <w:pPr>
      <w:numPr>
        <w:numId w:val="4"/>
      </w:numPr>
      <w:spacing w:before="120" w:after="120" w:line="240" w:lineRule="auto"/>
      <w:contextualSpacing/>
      <w:jc w:val="both"/>
    </w:pPr>
    <w:rPr>
      <w:rFonts w:ascii="Times New Roman" w:hAnsi="Times New Roman"/>
      <w:sz w:val="24"/>
    </w:rPr>
  </w:style>
  <w:style w:type="paragraph" w:styleId="ListBullet4">
    <w:name w:val="List Bullet 4"/>
    <w:basedOn w:val="Normal"/>
    <w:uiPriority w:val="99"/>
    <w:semiHidden/>
    <w:unhideWhenUsed/>
    <w:pPr>
      <w:numPr>
        <w:numId w:val="5"/>
      </w:numPr>
      <w:spacing w:before="120" w:after="120" w:line="240" w:lineRule="auto"/>
      <w:contextualSpacing/>
      <w:jc w:val="both"/>
    </w:pPr>
    <w:rPr>
      <w:rFonts w:ascii="Times New Roman" w:hAnsi="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cs="Times New Roman"/>
      <w:b/>
      <w:bCs/>
      <w:sz w:val="20"/>
      <w:szCs w:val="20"/>
    </w:rPr>
  </w:style>
  <w:style w:type="paragraph" w:styleId="Revision">
    <w:name w:val="Revision"/>
    <w:hidden/>
    <w:uiPriority w:val="99"/>
    <w:semiHidden/>
    <w:rPr>
      <w:rFonts w:ascii="Times New Roman" w:hAnsi="Times New Roman"/>
      <w:sz w:val="24"/>
      <w:szCs w:val="22"/>
      <w:lang w:eastAsia="en-US"/>
    </w:rPr>
  </w:style>
  <w:style w:type="paragraph" w:styleId="Caption">
    <w:name w:val="caption"/>
    <w:basedOn w:val="Normal"/>
    <w:next w:val="Normal"/>
    <w:uiPriority w:val="35"/>
    <w:semiHidden/>
    <w:unhideWhenUsed/>
    <w:qFormat/>
    <w:pPr>
      <w:spacing w:line="240" w:lineRule="auto"/>
      <w:jc w:val="both"/>
    </w:pPr>
    <w:rPr>
      <w:rFonts w:ascii="Times New Roman" w:hAnsi="Times New Roman"/>
      <w:i/>
      <w:iCs/>
      <w:color w:val="1F497D"/>
      <w:sz w:val="18"/>
      <w:szCs w:val="18"/>
    </w:rPr>
  </w:style>
  <w:style w:type="paragraph" w:styleId="TableofFigures">
    <w:name w:val="table of figures"/>
    <w:basedOn w:val="Normal"/>
    <w:next w:val="Normal"/>
    <w:uiPriority w:val="99"/>
    <w:semiHidden/>
    <w:unhideWhenUsed/>
    <w:pPr>
      <w:spacing w:before="120" w:after="0" w:line="240" w:lineRule="auto"/>
      <w:jc w:val="both"/>
    </w:pPr>
    <w:rPr>
      <w:rFonts w:ascii="Times New Roman" w:hAnsi="Times New Roman"/>
      <w:sz w:val="24"/>
    </w:rPr>
  </w:style>
  <w:style w:type="paragraph" w:styleId="ListNumber">
    <w:name w:val="List Number"/>
    <w:basedOn w:val="Normal"/>
    <w:uiPriority w:val="99"/>
    <w:semiHidden/>
    <w:unhideWhenUsed/>
    <w:pPr>
      <w:numPr>
        <w:numId w:val="6"/>
      </w:numPr>
      <w:spacing w:before="120" w:after="120" w:line="240" w:lineRule="auto"/>
      <w:contextualSpacing/>
      <w:jc w:val="both"/>
    </w:pPr>
    <w:rPr>
      <w:rFonts w:ascii="Times New Roman" w:hAnsi="Times New Roman"/>
      <w:sz w:val="24"/>
    </w:rPr>
  </w:style>
  <w:style w:type="paragraph" w:styleId="ListNumber2">
    <w:name w:val="List Number 2"/>
    <w:basedOn w:val="Normal"/>
    <w:uiPriority w:val="99"/>
    <w:semiHidden/>
    <w:unhideWhenUsed/>
    <w:pPr>
      <w:numPr>
        <w:numId w:val="7"/>
      </w:numPr>
      <w:spacing w:before="120" w:after="120" w:line="240" w:lineRule="auto"/>
      <w:contextualSpacing/>
      <w:jc w:val="both"/>
    </w:pPr>
    <w:rPr>
      <w:rFonts w:ascii="Times New Roman" w:hAnsi="Times New Roman"/>
      <w:sz w:val="24"/>
    </w:rPr>
  </w:style>
  <w:style w:type="paragraph" w:styleId="ListNumber3">
    <w:name w:val="List Number 3"/>
    <w:basedOn w:val="Normal"/>
    <w:uiPriority w:val="99"/>
    <w:semiHidden/>
    <w:unhideWhenUsed/>
    <w:pPr>
      <w:numPr>
        <w:numId w:val="8"/>
      </w:numPr>
      <w:spacing w:before="120" w:after="120" w:line="240" w:lineRule="auto"/>
      <w:contextualSpacing/>
      <w:jc w:val="both"/>
    </w:pPr>
    <w:rPr>
      <w:rFonts w:ascii="Times New Roman" w:hAnsi="Times New Roman"/>
      <w:sz w:val="24"/>
    </w:rPr>
  </w:style>
  <w:style w:type="paragraph" w:styleId="ListNumber4">
    <w:name w:val="List Number 4"/>
    <w:basedOn w:val="Normal"/>
    <w:uiPriority w:val="99"/>
    <w:semiHidden/>
    <w:unhideWhenUsed/>
    <w:pPr>
      <w:numPr>
        <w:numId w:val="9"/>
      </w:numPr>
      <w:spacing w:before="120" w:after="120" w:line="240" w:lineRule="auto"/>
      <w:contextualSpacing/>
      <w:jc w:val="both"/>
    </w:pPr>
    <w:rPr>
      <w:rFonts w:ascii="Times New Roman" w:hAnsi="Times New Roman"/>
      <w:sz w:val="24"/>
    </w:rPr>
  </w:style>
  <w:style w:type="character" w:styleId="Hyperlink">
    <w:name w:val="Hyperlink"/>
    <w:uiPriority w:val="99"/>
    <w:unhideWhenUsed/>
    <w:rPr>
      <w:color w:val="0000FF"/>
      <w:u w:val="single"/>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Pr>
      <w:rFonts w:ascii="Times New Roman" w:hAnsi="Times New Roman" w:cs="Times New Roman"/>
      <w:sz w:val="24"/>
    </w:rPr>
  </w:style>
  <w:style w:type="paragraph" w:styleId="FootnoteText">
    <w:name w:val="footnote text"/>
    <w:basedOn w:val="Normal"/>
    <w:link w:val="FootnoteTextChar"/>
    <w:uiPriority w:val="99"/>
    <w:unhideWhenUsed/>
    <w:pPr>
      <w:spacing w:after="0" w:line="240" w:lineRule="auto"/>
      <w:ind w:left="720" w:hanging="720"/>
      <w:jc w:val="both"/>
    </w:pPr>
    <w:rPr>
      <w:rFonts w:ascii="Times New Roman" w:hAnsi="Times New Roman"/>
      <w:sz w:val="20"/>
      <w:szCs w:val="20"/>
    </w:rPr>
  </w:style>
  <w:style w:type="character" w:customStyle="1" w:styleId="FootnoteTextChar">
    <w:name w:val="Footnote Text Char"/>
    <w:link w:val="FootnoteText"/>
    <w:uiPriority w:val="99"/>
    <w:rPr>
      <w:rFonts w:ascii="Times New Roman" w:hAnsi="Times New Roman" w:cs="Times New Roman"/>
      <w:sz w:val="20"/>
      <w:szCs w:val="20"/>
    </w:rPr>
  </w:style>
  <w:style w:type="paragraph" w:styleId="TOCHeading">
    <w:name w:val="TOC Heading"/>
    <w:basedOn w:val="Normal"/>
    <w:next w:val="Normal"/>
    <w:uiPriority w:val="39"/>
    <w:semiHidden/>
    <w:unhideWhenUsed/>
    <w:qFormat/>
    <w:pPr>
      <w:spacing w:before="120" w:after="240" w:line="240" w:lineRule="auto"/>
      <w:jc w:val="center"/>
    </w:pPr>
    <w:rPr>
      <w:rFonts w:ascii="Times New Roman" w:hAnsi="Times New Roman"/>
      <w:b/>
      <w:sz w:val="28"/>
    </w:rPr>
  </w:style>
  <w:style w:type="paragraph" w:styleId="TOC1">
    <w:name w:val="toc 1"/>
    <w:basedOn w:val="Normal"/>
    <w:next w:val="Normal"/>
    <w:uiPriority w:val="39"/>
    <w:semiHidden/>
    <w:unhideWhenUsed/>
    <w:pPr>
      <w:tabs>
        <w:tab w:val="right" w:leader="dot" w:pos="9071"/>
      </w:tabs>
      <w:spacing w:before="60" w:after="120" w:line="240" w:lineRule="auto"/>
      <w:ind w:left="850" w:hanging="850"/>
    </w:pPr>
    <w:rPr>
      <w:rFonts w:ascii="Times New Roman" w:hAnsi="Times New Roman"/>
      <w:sz w:val="24"/>
    </w:rPr>
  </w:style>
  <w:style w:type="paragraph" w:styleId="TOC2">
    <w:name w:val="toc 2"/>
    <w:basedOn w:val="Normal"/>
    <w:next w:val="Normal"/>
    <w:uiPriority w:val="39"/>
    <w:semiHidden/>
    <w:unhideWhenUsed/>
    <w:pPr>
      <w:tabs>
        <w:tab w:val="right" w:leader="dot" w:pos="9071"/>
      </w:tabs>
      <w:spacing w:before="60" w:after="120" w:line="240" w:lineRule="auto"/>
      <w:ind w:left="850" w:hanging="850"/>
    </w:pPr>
    <w:rPr>
      <w:rFonts w:ascii="Times New Roman" w:hAnsi="Times New Roman"/>
      <w:sz w:val="24"/>
    </w:rPr>
  </w:style>
  <w:style w:type="paragraph" w:styleId="TOC3">
    <w:name w:val="toc 3"/>
    <w:basedOn w:val="Normal"/>
    <w:next w:val="Normal"/>
    <w:uiPriority w:val="39"/>
    <w:semiHidden/>
    <w:unhideWhenUsed/>
    <w:pPr>
      <w:tabs>
        <w:tab w:val="right" w:leader="dot" w:pos="9071"/>
      </w:tabs>
      <w:spacing w:before="60" w:after="120" w:line="240" w:lineRule="auto"/>
      <w:ind w:left="850" w:hanging="850"/>
    </w:pPr>
    <w:rPr>
      <w:rFonts w:ascii="Times New Roman" w:hAnsi="Times New Roman"/>
      <w:sz w:val="24"/>
    </w:rPr>
  </w:style>
  <w:style w:type="paragraph" w:styleId="TOC4">
    <w:name w:val="toc 4"/>
    <w:basedOn w:val="Normal"/>
    <w:next w:val="Normal"/>
    <w:uiPriority w:val="39"/>
    <w:semiHidden/>
    <w:unhideWhenUsed/>
    <w:pPr>
      <w:tabs>
        <w:tab w:val="right" w:leader="dot" w:pos="9071"/>
      </w:tabs>
      <w:spacing w:before="60" w:after="120" w:line="240" w:lineRule="auto"/>
      <w:ind w:left="850" w:hanging="850"/>
    </w:pPr>
    <w:rPr>
      <w:rFonts w:ascii="Times New Roman" w:hAnsi="Times New Roman"/>
      <w:sz w:val="24"/>
    </w:rPr>
  </w:style>
  <w:style w:type="paragraph" w:styleId="TOC5">
    <w:name w:val="toc 5"/>
    <w:basedOn w:val="Normal"/>
    <w:next w:val="Normal"/>
    <w:uiPriority w:val="39"/>
    <w:semiHidden/>
    <w:unhideWhenUsed/>
    <w:pPr>
      <w:tabs>
        <w:tab w:val="right" w:leader="dot" w:pos="9071"/>
      </w:tabs>
      <w:spacing w:before="300" w:after="120" w:line="240" w:lineRule="auto"/>
    </w:pPr>
    <w:rPr>
      <w:rFonts w:ascii="Times New Roman" w:hAnsi="Times New Roman"/>
      <w:sz w:val="24"/>
    </w:rPr>
  </w:style>
  <w:style w:type="paragraph" w:styleId="TOC6">
    <w:name w:val="toc 6"/>
    <w:basedOn w:val="Normal"/>
    <w:next w:val="Normal"/>
    <w:uiPriority w:val="39"/>
    <w:semiHidden/>
    <w:unhideWhenUsed/>
    <w:pPr>
      <w:tabs>
        <w:tab w:val="right" w:leader="dot" w:pos="9071"/>
      </w:tabs>
      <w:spacing w:before="240" w:after="120" w:line="240" w:lineRule="auto"/>
    </w:pPr>
    <w:rPr>
      <w:rFonts w:ascii="Times New Roman" w:hAnsi="Times New Roman"/>
      <w:sz w:val="24"/>
    </w:rPr>
  </w:style>
  <w:style w:type="paragraph" w:styleId="TOC7">
    <w:name w:val="toc 7"/>
    <w:basedOn w:val="Normal"/>
    <w:next w:val="Normal"/>
    <w:uiPriority w:val="39"/>
    <w:semiHidden/>
    <w:unhideWhenUsed/>
    <w:pPr>
      <w:tabs>
        <w:tab w:val="right" w:leader="dot" w:pos="9071"/>
      </w:tabs>
      <w:spacing w:before="180" w:after="120" w:line="240" w:lineRule="auto"/>
    </w:pPr>
    <w:rPr>
      <w:rFonts w:ascii="Times New Roman" w:hAnsi="Times New Roman"/>
      <w:sz w:val="24"/>
    </w:rPr>
  </w:style>
  <w:style w:type="paragraph" w:styleId="TOC8">
    <w:name w:val="toc 8"/>
    <w:basedOn w:val="Normal"/>
    <w:next w:val="Normal"/>
    <w:uiPriority w:val="39"/>
    <w:semiHidden/>
    <w:unhideWhenUsed/>
    <w:pPr>
      <w:tabs>
        <w:tab w:val="right" w:leader="dot" w:pos="9071"/>
      </w:tabs>
      <w:spacing w:before="120" w:after="120" w:line="240" w:lineRule="auto"/>
    </w:pPr>
    <w:rPr>
      <w:rFonts w:ascii="Times New Roman" w:hAnsi="Times New Roman"/>
      <w:sz w:val="24"/>
    </w:rPr>
  </w:style>
  <w:style w:type="paragraph" w:styleId="TOC9">
    <w:name w:val="toc 9"/>
    <w:basedOn w:val="Normal"/>
    <w:next w:val="Normal"/>
    <w:uiPriority w:val="39"/>
    <w:semiHidden/>
    <w:unhideWhenUsed/>
    <w:pPr>
      <w:tabs>
        <w:tab w:val="right" w:leader="dot" w:pos="9071"/>
      </w:tabs>
      <w:spacing w:before="120" w:after="120" w:line="240" w:lineRule="auto"/>
      <w:jc w:val="both"/>
    </w:pPr>
    <w:rPr>
      <w:rFonts w:ascii="Times New Roman"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sz w:val="24"/>
    </w:rPr>
  </w:style>
  <w:style w:type="character" w:styleId="FootnoteReference">
    <w:name w:val="footnote reference"/>
    <w:uiPriority w:val="99"/>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HeaderSensitivityRight">
    <w:name w:val="Header Sensitivity Right"/>
    <w:basedOn w:val="Normal"/>
    <w:rsid w:val="00577DC1"/>
    <w:pPr>
      <w:spacing w:after="120" w:line="240" w:lineRule="auto"/>
      <w:jc w:val="right"/>
    </w:pPr>
    <w:rPr>
      <w:rFonts w:ascii="Times New Roman" w:hAnsi="Times New Roman"/>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Text2">
    <w:name w:val="Text 2"/>
    <w:basedOn w:val="Normal"/>
    <w:pPr>
      <w:spacing w:before="120" w:after="120" w:line="240" w:lineRule="auto"/>
      <w:ind w:left="1417"/>
      <w:jc w:val="both"/>
    </w:pPr>
    <w:rPr>
      <w:rFonts w:ascii="Times New Roman" w:hAnsi="Times New Roman"/>
      <w:sz w:val="24"/>
    </w:rPr>
  </w:style>
  <w:style w:type="paragraph" w:customStyle="1" w:styleId="Text3">
    <w:name w:val="Text 3"/>
    <w:basedOn w:val="Normal"/>
    <w:pPr>
      <w:spacing w:before="120" w:after="120" w:line="240" w:lineRule="auto"/>
      <w:ind w:left="1984"/>
      <w:jc w:val="both"/>
    </w:pPr>
    <w:rPr>
      <w:rFonts w:ascii="Times New Roman" w:hAnsi="Times New Roman"/>
      <w:sz w:val="24"/>
    </w:rPr>
  </w:style>
  <w:style w:type="paragraph" w:customStyle="1" w:styleId="Text4">
    <w:name w:val="Text 4"/>
    <w:basedOn w:val="Normal"/>
    <w:pPr>
      <w:spacing w:before="120" w:after="120" w:line="240" w:lineRule="auto"/>
      <w:ind w:left="2551"/>
      <w:jc w:val="both"/>
    </w:pPr>
    <w:rPr>
      <w:rFonts w:ascii="Times New Roman" w:hAnsi="Times New Roman"/>
      <w:sz w:val="24"/>
    </w:rPr>
  </w:style>
  <w:style w:type="paragraph" w:customStyle="1" w:styleId="NormalCentered">
    <w:name w:val="Normal Centered"/>
    <w:basedOn w:val="Normal"/>
    <w:pPr>
      <w:spacing w:before="120" w:after="120" w:line="240" w:lineRule="auto"/>
      <w:jc w:val="center"/>
    </w:pPr>
    <w:rPr>
      <w:rFonts w:ascii="Times New Roman" w:hAnsi="Times New Roman"/>
      <w:sz w:val="24"/>
    </w:rPr>
  </w:style>
  <w:style w:type="paragraph" w:customStyle="1" w:styleId="NormalLeft">
    <w:name w:val="Normal Left"/>
    <w:basedOn w:val="Normal"/>
    <w:pPr>
      <w:spacing w:before="120" w:after="120" w:line="240" w:lineRule="auto"/>
    </w:pPr>
    <w:rPr>
      <w:rFonts w:ascii="Times New Roman" w:hAnsi="Times New Roman"/>
      <w:sz w:val="24"/>
    </w:rPr>
  </w:style>
  <w:style w:type="paragraph" w:customStyle="1" w:styleId="NormalRight">
    <w:name w:val="Normal Right"/>
    <w:basedOn w:val="Normal"/>
    <w:pPr>
      <w:spacing w:before="120" w:after="120" w:line="240" w:lineRule="auto"/>
      <w:jc w:val="right"/>
    </w:pPr>
    <w:rPr>
      <w:rFonts w:ascii="Times New Roman" w:hAnsi="Times New Roman"/>
      <w:sz w:val="24"/>
    </w:rPr>
  </w:style>
  <w:style w:type="paragraph" w:customStyle="1" w:styleId="QuotedText">
    <w:name w:val="Quoted Text"/>
    <w:basedOn w:val="Normal"/>
    <w:pPr>
      <w:spacing w:before="120" w:after="120" w:line="240" w:lineRule="auto"/>
      <w:ind w:left="1417"/>
      <w:jc w:val="both"/>
    </w:pPr>
    <w:rPr>
      <w:rFonts w:ascii="Times New Roman" w:hAnsi="Times New Roman"/>
      <w:sz w:val="24"/>
    </w:rPr>
  </w:style>
  <w:style w:type="paragraph" w:customStyle="1" w:styleId="Point0">
    <w:name w:val="Point 0"/>
    <w:basedOn w:val="Normal"/>
    <w:pPr>
      <w:spacing w:before="120" w:after="120" w:line="240" w:lineRule="auto"/>
      <w:ind w:left="850" w:hanging="850"/>
      <w:jc w:val="both"/>
    </w:pPr>
    <w:rPr>
      <w:rFonts w:ascii="Times New Roman" w:hAnsi="Times New Roman"/>
      <w:sz w:val="24"/>
    </w:rPr>
  </w:style>
  <w:style w:type="paragraph" w:customStyle="1" w:styleId="Point1">
    <w:name w:val="Point 1"/>
    <w:basedOn w:val="Normal"/>
    <w:pPr>
      <w:spacing w:before="120" w:after="120" w:line="240" w:lineRule="auto"/>
      <w:ind w:left="1417" w:hanging="567"/>
      <w:jc w:val="both"/>
    </w:pPr>
    <w:rPr>
      <w:rFonts w:ascii="Times New Roman" w:hAnsi="Times New Roman"/>
      <w:sz w:val="24"/>
    </w:rPr>
  </w:style>
  <w:style w:type="paragraph" w:customStyle="1" w:styleId="Point2">
    <w:name w:val="Point 2"/>
    <w:basedOn w:val="Normal"/>
    <w:pPr>
      <w:spacing w:before="120" w:after="120" w:line="240" w:lineRule="auto"/>
      <w:ind w:left="1984" w:hanging="567"/>
      <w:jc w:val="both"/>
    </w:pPr>
    <w:rPr>
      <w:rFonts w:ascii="Times New Roman" w:hAnsi="Times New Roman"/>
      <w:sz w:val="24"/>
    </w:rPr>
  </w:style>
  <w:style w:type="paragraph" w:customStyle="1" w:styleId="Point3">
    <w:name w:val="Point 3"/>
    <w:basedOn w:val="Normal"/>
    <w:pPr>
      <w:spacing w:before="120" w:after="120" w:line="240" w:lineRule="auto"/>
      <w:ind w:left="2551" w:hanging="567"/>
      <w:jc w:val="both"/>
    </w:pPr>
    <w:rPr>
      <w:rFonts w:ascii="Times New Roman" w:hAnsi="Times New Roman"/>
      <w:sz w:val="24"/>
    </w:rPr>
  </w:style>
  <w:style w:type="paragraph" w:customStyle="1" w:styleId="Point4">
    <w:name w:val="Point 4"/>
    <w:basedOn w:val="Normal"/>
    <w:pPr>
      <w:spacing w:before="120" w:after="120" w:line="240" w:lineRule="auto"/>
      <w:ind w:left="3118" w:hanging="567"/>
      <w:jc w:val="both"/>
    </w:pPr>
    <w:rPr>
      <w:rFonts w:ascii="Times New Roman" w:hAnsi="Times New Roman"/>
      <w:sz w:val="24"/>
    </w:r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hAnsi="Times New Roman"/>
      <w:sz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hAnsi="Times New Roman"/>
      <w:sz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hAnsi="Times New Roman"/>
      <w:sz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hAnsi="Times New Roman"/>
      <w:sz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hAnsi="Times New Roman"/>
      <w:sz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hAnsi="Times New Roman"/>
      <w:sz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hAnsi="Times New Roman"/>
      <w:sz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hAnsi="Times New Roman"/>
      <w:sz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hAnsi="Times New Roman"/>
      <w:sz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hAnsi="Times New Roman"/>
      <w:sz w:val="24"/>
    </w:rPr>
  </w:style>
  <w:style w:type="paragraph" w:customStyle="1" w:styleId="NumPar1">
    <w:name w:val="NumPar 1"/>
    <w:basedOn w:val="Normal"/>
    <w:next w:val="Text1"/>
    <w:pPr>
      <w:numPr>
        <w:ilvl w:val="1"/>
        <w:numId w:val="15"/>
      </w:numPr>
      <w:spacing w:before="120" w:after="120" w:line="240" w:lineRule="auto"/>
      <w:jc w:val="both"/>
    </w:pPr>
    <w:rPr>
      <w:rFonts w:ascii="Times New Roman" w:hAnsi="Times New Roman"/>
      <w:sz w:val="24"/>
    </w:rPr>
  </w:style>
  <w:style w:type="paragraph" w:customStyle="1" w:styleId="NumPar2">
    <w:name w:val="NumPar 2"/>
    <w:basedOn w:val="Normal"/>
    <w:next w:val="Text1"/>
    <w:pPr>
      <w:numPr>
        <w:ilvl w:val="2"/>
        <w:numId w:val="15"/>
      </w:numPr>
      <w:spacing w:before="120" w:after="120" w:line="240" w:lineRule="auto"/>
      <w:jc w:val="both"/>
    </w:pPr>
    <w:rPr>
      <w:rFonts w:ascii="Times New Roman" w:hAnsi="Times New Roman"/>
      <w:sz w:val="24"/>
    </w:rPr>
  </w:style>
  <w:style w:type="paragraph" w:customStyle="1" w:styleId="NumPar3">
    <w:name w:val="NumPar 3"/>
    <w:basedOn w:val="Normal"/>
    <w:next w:val="Text1"/>
    <w:pPr>
      <w:numPr>
        <w:ilvl w:val="3"/>
        <w:numId w:val="15"/>
      </w:numPr>
      <w:spacing w:before="120" w:after="120" w:line="240" w:lineRule="auto"/>
      <w:jc w:val="both"/>
    </w:pPr>
    <w:rPr>
      <w:rFonts w:ascii="Times New Roman" w:hAnsi="Times New Roman"/>
      <w:sz w:val="24"/>
    </w:rPr>
  </w:style>
  <w:style w:type="paragraph" w:customStyle="1" w:styleId="NumPar4">
    <w:name w:val="NumPar 4"/>
    <w:basedOn w:val="Normal"/>
    <w:next w:val="Text1"/>
    <w:pPr>
      <w:tabs>
        <w:tab w:val="num" w:pos="850"/>
      </w:tabs>
      <w:spacing w:before="120" w:after="120" w:line="240" w:lineRule="auto"/>
      <w:ind w:left="850" w:hanging="850"/>
      <w:jc w:val="both"/>
    </w:pPr>
    <w:rPr>
      <w:rFonts w:ascii="Times New Roman" w:hAnsi="Times New Roman"/>
      <w:sz w:val="24"/>
    </w:rPr>
  </w:style>
  <w:style w:type="paragraph" w:customStyle="1" w:styleId="ManualNumPar1">
    <w:name w:val="Manual NumPar 1"/>
    <w:basedOn w:val="Normal"/>
    <w:next w:val="Text1"/>
    <w:pPr>
      <w:spacing w:before="120" w:after="120" w:line="240" w:lineRule="auto"/>
      <w:ind w:left="850" w:hanging="850"/>
      <w:jc w:val="both"/>
    </w:pPr>
    <w:rPr>
      <w:rFonts w:ascii="Times New Roman" w:hAnsi="Times New Roman"/>
      <w:sz w:val="24"/>
    </w:rPr>
  </w:style>
  <w:style w:type="paragraph" w:customStyle="1" w:styleId="ManualNumPar2">
    <w:name w:val="Manual NumPar 2"/>
    <w:basedOn w:val="Normal"/>
    <w:next w:val="Text1"/>
    <w:pPr>
      <w:spacing w:before="120" w:after="120" w:line="240" w:lineRule="auto"/>
      <w:ind w:left="850" w:hanging="850"/>
      <w:jc w:val="both"/>
    </w:pPr>
    <w:rPr>
      <w:rFonts w:ascii="Times New Roman" w:hAnsi="Times New Roman"/>
      <w:sz w:val="24"/>
    </w:rPr>
  </w:style>
  <w:style w:type="paragraph" w:customStyle="1" w:styleId="ManualNumPar3">
    <w:name w:val="Manual NumPar 3"/>
    <w:basedOn w:val="Normal"/>
    <w:next w:val="Text1"/>
    <w:pPr>
      <w:spacing w:before="120" w:after="120" w:line="240" w:lineRule="auto"/>
      <w:ind w:left="850" w:hanging="850"/>
      <w:jc w:val="both"/>
    </w:pPr>
    <w:rPr>
      <w:rFonts w:ascii="Times New Roman" w:hAnsi="Times New Roman"/>
      <w:sz w:val="24"/>
    </w:rPr>
  </w:style>
  <w:style w:type="paragraph" w:customStyle="1" w:styleId="ManualNumPar4">
    <w:name w:val="Manual NumPar 4"/>
    <w:basedOn w:val="Normal"/>
    <w:next w:val="Text1"/>
    <w:pPr>
      <w:spacing w:before="120" w:after="120" w:line="240" w:lineRule="auto"/>
      <w:ind w:left="850" w:hanging="850"/>
      <w:jc w:val="both"/>
    </w:pPr>
    <w:rPr>
      <w:rFonts w:ascii="Times New Roman" w:hAnsi="Times New Roman"/>
      <w:sz w:val="24"/>
    </w:rPr>
  </w:style>
  <w:style w:type="paragraph" w:customStyle="1" w:styleId="QuotedNumPar">
    <w:name w:val="Quoted NumPar"/>
    <w:basedOn w:val="Normal"/>
    <w:pPr>
      <w:spacing w:before="120" w:after="120" w:line="240" w:lineRule="auto"/>
      <w:ind w:left="1417" w:hanging="567"/>
      <w:jc w:val="both"/>
    </w:pPr>
    <w:rPr>
      <w:rFonts w:ascii="Times New Roman" w:hAnsi="Times New Roman"/>
      <w:sz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hAnsi="Times New Roman"/>
      <w:b/>
      <w:smallCaps/>
      <w:sz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hAnsi="Times New Roman"/>
      <w:b/>
      <w:sz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hAnsi="Times New Roman"/>
      <w:i/>
      <w:sz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hAnsi="Times New Roman"/>
      <w:sz w:val="24"/>
    </w:rPr>
  </w:style>
  <w:style w:type="paragraph" w:customStyle="1" w:styleId="ChapterTitle">
    <w:name w:val="ChapterTitle"/>
    <w:basedOn w:val="Normal"/>
    <w:next w:val="Normal"/>
    <w:pPr>
      <w:keepNext/>
      <w:spacing w:before="120" w:after="360" w:line="240" w:lineRule="auto"/>
      <w:jc w:val="center"/>
    </w:pPr>
    <w:rPr>
      <w:rFonts w:ascii="Times New Roman" w:hAnsi="Times New Roman"/>
      <w:b/>
      <w:sz w:val="32"/>
    </w:rPr>
  </w:style>
  <w:style w:type="paragraph" w:customStyle="1" w:styleId="PartTitle">
    <w:name w:val="PartTitle"/>
    <w:basedOn w:val="Normal"/>
    <w:next w:val="ChapterTitle"/>
    <w:pPr>
      <w:keepNext/>
      <w:pageBreakBefore/>
      <w:spacing w:before="120" w:after="360" w:line="240" w:lineRule="auto"/>
      <w:jc w:val="center"/>
    </w:pPr>
    <w:rPr>
      <w:rFonts w:ascii="Times New Roman" w:hAnsi="Times New Roman"/>
      <w:b/>
      <w:sz w:val="36"/>
    </w:rPr>
  </w:style>
  <w:style w:type="paragraph" w:customStyle="1" w:styleId="SectionTitle">
    <w:name w:val="SectionTitle"/>
    <w:basedOn w:val="Normal"/>
    <w:next w:val="Heading1"/>
    <w:pPr>
      <w:keepNext/>
      <w:spacing w:before="120" w:after="360" w:line="240" w:lineRule="auto"/>
      <w:jc w:val="center"/>
    </w:pPr>
    <w:rPr>
      <w:rFonts w:ascii="Times New Roman" w:hAnsi="Times New Roman"/>
      <w:b/>
      <w:smallCaps/>
      <w:sz w:val="28"/>
    </w:rPr>
  </w:style>
  <w:style w:type="paragraph" w:customStyle="1" w:styleId="TableTitle">
    <w:name w:val="Table Title"/>
    <w:basedOn w:val="Normal"/>
    <w:next w:val="Normal"/>
    <w:pPr>
      <w:spacing w:before="120" w:after="120" w:line="240" w:lineRule="auto"/>
      <w:jc w:val="center"/>
    </w:pPr>
    <w:rPr>
      <w:rFonts w:ascii="Times New Roman" w:hAnsi="Times New Roman"/>
      <w:b/>
      <w:sz w:val="24"/>
    </w:rPr>
  </w:style>
  <w:style w:type="character" w:customStyle="1" w:styleId="Marker">
    <w:name w:val="Marker"/>
    <w:basedOn w:val="DefaultParagraphFont"/>
    <w:rsid w:val="00F104FC"/>
    <w:rPr>
      <w:color w:val="0000FF"/>
      <w:bdr w:val="none" w:sz="0" w:space="0" w:color="auto"/>
      <w:shd w:val="clear" w:color="auto" w:fill="auto"/>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customStyle="1" w:styleId="Point0number">
    <w:name w:val="Point 0 (number)"/>
    <w:basedOn w:val="Normal"/>
    <w:pPr>
      <w:numPr>
        <w:ilvl w:val="2"/>
        <w:numId w:val="16"/>
      </w:numPr>
      <w:tabs>
        <w:tab w:val="clear" w:pos="1417"/>
        <w:tab w:val="num" w:pos="850"/>
      </w:tabs>
      <w:spacing w:before="120" w:after="120" w:line="240" w:lineRule="auto"/>
      <w:ind w:left="850" w:hanging="850"/>
      <w:jc w:val="both"/>
    </w:pPr>
    <w:rPr>
      <w:rFonts w:ascii="Times New Roman" w:hAnsi="Times New Roman"/>
      <w:sz w:val="24"/>
    </w:rPr>
  </w:style>
  <w:style w:type="paragraph" w:customStyle="1" w:styleId="Point1number">
    <w:name w:val="Point 1 (number)"/>
    <w:basedOn w:val="Normal"/>
    <w:pPr>
      <w:numPr>
        <w:ilvl w:val="4"/>
        <w:numId w:val="16"/>
      </w:numPr>
      <w:tabs>
        <w:tab w:val="clear" w:pos="1984"/>
        <w:tab w:val="num" w:pos="1417"/>
      </w:tabs>
      <w:spacing w:before="120" w:after="120" w:line="240" w:lineRule="auto"/>
      <w:ind w:left="1417"/>
      <w:jc w:val="both"/>
    </w:pPr>
    <w:rPr>
      <w:rFonts w:ascii="Times New Roman" w:hAnsi="Times New Roman"/>
      <w:sz w:val="24"/>
    </w:rPr>
  </w:style>
  <w:style w:type="paragraph" w:customStyle="1" w:styleId="Point2number">
    <w:name w:val="Point 2 (number)"/>
    <w:basedOn w:val="Normal"/>
    <w:pPr>
      <w:numPr>
        <w:ilvl w:val="6"/>
        <w:numId w:val="16"/>
      </w:numPr>
      <w:tabs>
        <w:tab w:val="clear" w:pos="2551"/>
        <w:tab w:val="num" w:pos="1984"/>
      </w:tabs>
      <w:spacing w:before="120" w:after="120" w:line="240" w:lineRule="auto"/>
      <w:ind w:left="1984"/>
      <w:jc w:val="both"/>
    </w:pPr>
    <w:rPr>
      <w:rFonts w:ascii="Times New Roman" w:hAnsi="Times New Roman"/>
      <w:sz w:val="24"/>
    </w:rPr>
  </w:style>
  <w:style w:type="paragraph" w:customStyle="1" w:styleId="Point3number">
    <w:name w:val="Point 3 (number)"/>
    <w:basedOn w:val="Normal"/>
    <w:pPr>
      <w:numPr>
        <w:ilvl w:val="1"/>
        <w:numId w:val="16"/>
      </w:numPr>
      <w:tabs>
        <w:tab w:val="clear" w:pos="850"/>
        <w:tab w:val="num" w:pos="2551"/>
      </w:tabs>
      <w:spacing w:before="120" w:after="120" w:line="240" w:lineRule="auto"/>
      <w:ind w:left="2551" w:hanging="567"/>
      <w:jc w:val="both"/>
    </w:pPr>
    <w:rPr>
      <w:rFonts w:ascii="Times New Roman" w:hAnsi="Times New Roman"/>
      <w:sz w:val="24"/>
    </w:rPr>
  </w:style>
  <w:style w:type="paragraph" w:customStyle="1" w:styleId="Point0letter">
    <w:name w:val="Point 0 (letter)"/>
    <w:basedOn w:val="Normal"/>
    <w:pPr>
      <w:numPr>
        <w:ilvl w:val="3"/>
        <w:numId w:val="16"/>
      </w:numPr>
      <w:tabs>
        <w:tab w:val="clear" w:pos="1417"/>
        <w:tab w:val="num" w:pos="850"/>
      </w:tabs>
      <w:spacing w:before="120" w:after="120" w:line="240" w:lineRule="auto"/>
      <w:ind w:left="850" w:hanging="850"/>
      <w:jc w:val="both"/>
    </w:pPr>
    <w:rPr>
      <w:rFonts w:ascii="Times New Roman" w:hAnsi="Times New Roman"/>
      <w:sz w:val="24"/>
    </w:rPr>
  </w:style>
  <w:style w:type="paragraph" w:customStyle="1" w:styleId="Point1letter">
    <w:name w:val="Point 1 (letter)"/>
    <w:basedOn w:val="Normal"/>
    <w:pPr>
      <w:numPr>
        <w:ilvl w:val="5"/>
        <w:numId w:val="16"/>
      </w:numPr>
      <w:tabs>
        <w:tab w:val="clear" w:pos="1984"/>
        <w:tab w:val="num" w:pos="1417"/>
      </w:tabs>
      <w:spacing w:before="120" w:after="120" w:line="240" w:lineRule="auto"/>
      <w:ind w:left="1417"/>
      <w:jc w:val="both"/>
    </w:pPr>
    <w:rPr>
      <w:rFonts w:ascii="Times New Roman" w:hAnsi="Times New Roman"/>
      <w:sz w:val="24"/>
    </w:rPr>
  </w:style>
  <w:style w:type="paragraph" w:customStyle="1" w:styleId="Point2letter">
    <w:name w:val="Point 2 (letter)"/>
    <w:basedOn w:val="Normal"/>
    <w:pPr>
      <w:numPr>
        <w:ilvl w:val="7"/>
        <w:numId w:val="16"/>
      </w:numPr>
      <w:tabs>
        <w:tab w:val="clear" w:pos="2551"/>
        <w:tab w:val="num" w:pos="1984"/>
      </w:tabs>
      <w:spacing w:before="120" w:after="120" w:line="240" w:lineRule="auto"/>
      <w:ind w:left="1984"/>
      <w:jc w:val="both"/>
    </w:pPr>
    <w:rPr>
      <w:rFonts w:ascii="Times New Roman" w:hAnsi="Times New Roman"/>
      <w:sz w:val="24"/>
    </w:rPr>
  </w:style>
  <w:style w:type="paragraph" w:customStyle="1" w:styleId="Point3letter">
    <w:name w:val="Point 3 (letter)"/>
    <w:basedOn w:val="Normal"/>
    <w:pPr>
      <w:numPr>
        <w:ilvl w:val="8"/>
        <w:numId w:val="16"/>
      </w:numPr>
      <w:tabs>
        <w:tab w:val="clear" w:pos="3118"/>
        <w:tab w:val="num" w:pos="2551"/>
      </w:tabs>
      <w:spacing w:before="120" w:after="120" w:line="240" w:lineRule="auto"/>
      <w:ind w:left="2551"/>
      <w:jc w:val="both"/>
    </w:pPr>
    <w:rPr>
      <w:rFonts w:ascii="Times New Roman" w:hAnsi="Times New Roman"/>
      <w:sz w:val="24"/>
    </w:rPr>
  </w:style>
  <w:style w:type="paragraph" w:customStyle="1" w:styleId="Point4letter">
    <w:name w:val="Point 4 (letter)"/>
    <w:basedOn w:val="Normal"/>
    <w:pPr>
      <w:tabs>
        <w:tab w:val="num" w:pos="3118"/>
      </w:tabs>
      <w:spacing w:before="120" w:after="120" w:line="240" w:lineRule="auto"/>
      <w:ind w:left="3118" w:hanging="567"/>
      <w:jc w:val="both"/>
    </w:pPr>
    <w:rPr>
      <w:rFonts w:ascii="Times New Roman" w:hAnsi="Times New Roman"/>
      <w:sz w:val="24"/>
    </w:rPr>
  </w:style>
  <w:style w:type="paragraph" w:customStyle="1" w:styleId="Bullet0">
    <w:name w:val="Bullet 0"/>
    <w:basedOn w:val="Normal"/>
    <w:pPr>
      <w:numPr>
        <w:numId w:val="17"/>
      </w:numPr>
      <w:spacing w:before="120" w:after="120" w:line="240" w:lineRule="auto"/>
      <w:jc w:val="both"/>
    </w:pPr>
    <w:rPr>
      <w:rFonts w:ascii="Times New Roman" w:hAnsi="Times New Roman"/>
      <w:sz w:val="24"/>
    </w:rPr>
  </w:style>
  <w:style w:type="paragraph" w:customStyle="1" w:styleId="Bullet1">
    <w:name w:val="Bullet 1"/>
    <w:basedOn w:val="Normal"/>
    <w:pPr>
      <w:numPr>
        <w:numId w:val="18"/>
      </w:numPr>
      <w:spacing w:before="120" w:after="120" w:line="240" w:lineRule="auto"/>
      <w:jc w:val="both"/>
    </w:pPr>
    <w:rPr>
      <w:rFonts w:ascii="Times New Roman" w:hAnsi="Times New Roman"/>
      <w:sz w:val="24"/>
    </w:rPr>
  </w:style>
  <w:style w:type="paragraph" w:customStyle="1" w:styleId="Bullet2">
    <w:name w:val="Bullet 2"/>
    <w:basedOn w:val="Normal"/>
    <w:pPr>
      <w:numPr>
        <w:numId w:val="19"/>
      </w:numPr>
      <w:spacing w:before="120" w:after="120" w:line="240" w:lineRule="auto"/>
      <w:jc w:val="both"/>
    </w:pPr>
    <w:rPr>
      <w:rFonts w:ascii="Times New Roman" w:hAnsi="Times New Roman"/>
      <w:sz w:val="24"/>
    </w:rPr>
  </w:style>
  <w:style w:type="paragraph" w:customStyle="1" w:styleId="Bullet3">
    <w:name w:val="Bullet 3"/>
    <w:basedOn w:val="Normal"/>
    <w:pPr>
      <w:numPr>
        <w:numId w:val="20"/>
      </w:numPr>
      <w:spacing w:before="120" w:after="120" w:line="240" w:lineRule="auto"/>
      <w:jc w:val="both"/>
    </w:pPr>
    <w:rPr>
      <w:rFonts w:ascii="Times New Roman" w:hAnsi="Times New Roman"/>
      <w:sz w:val="24"/>
    </w:rPr>
  </w:style>
  <w:style w:type="paragraph" w:customStyle="1" w:styleId="Bullet4">
    <w:name w:val="Bullet 4"/>
    <w:basedOn w:val="Normal"/>
    <w:pPr>
      <w:numPr>
        <w:numId w:val="21"/>
      </w:numPr>
      <w:spacing w:before="120" w:after="120" w:line="240" w:lineRule="auto"/>
      <w:jc w:val="both"/>
    </w:pPr>
    <w:rPr>
      <w:rFonts w:ascii="Times New Roman" w:hAnsi="Times New Roman"/>
      <w:sz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hAnsi="Times New Roman"/>
      <w:b/>
      <w:caps/>
      <w:sz w:val="24"/>
    </w:rPr>
  </w:style>
  <w:style w:type="paragraph" w:customStyle="1" w:styleId="Rfrenceinterne">
    <w:name w:val="Référence interne"/>
    <w:basedOn w:val="Normal"/>
    <w:next w:val="Rfrenceinterinstitutionnelle"/>
    <w:pPr>
      <w:spacing w:after="0" w:line="240" w:lineRule="auto"/>
      <w:ind w:left="5103"/>
    </w:pPr>
    <w:rPr>
      <w:rFonts w:ascii="Times New Roman" w:hAnsi="Times New Roman"/>
      <w:sz w:val="24"/>
    </w:rPr>
  </w:style>
  <w:style w:type="paragraph" w:customStyle="1" w:styleId="Rfrenceinterinstitutionnelle">
    <w:name w:val="Référence interinstitutionnelle"/>
    <w:basedOn w:val="Normal"/>
    <w:next w:val="Statut"/>
    <w:pPr>
      <w:spacing w:after="0" w:line="240" w:lineRule="auto"/>
      <w:ind w:left="5103"/>
    </w:pPr>
    <w:rPr>
      <w:rFonts w:ascii="Times New Roman" w:hAnsi="Times New Roman"/>
      <w:sz w:val="24"/>
    </w:rPr>
  </w:style>
  <w:style w:type="paragraph" w:customStyle="1" w:styleId="Statut">
    <w:name w:val="Statut"/>
    <w:basedOn w:val="Normal"/>
    <w:next w:val="Typedudocument"/>
    <w:pPr>
      <w:spacing w:after="240" w:line="240" w:lineRule="auto"/>
      <w:jc w:val="center"/>
    </w:pPr>
    <w:rPr>
      <w:rFonts w:ascii="Times New Roman" w:hAnsi="Times New Roman"/>
      <w:sz w:val="24"/>
    </w:rPr>
  </w:style>
  <w:style w:type="paragraph" w:customStyle="1" w:styleId="Typedudocument">
    <w:name w:val="Type du document"/>
    <w:basedOn w:val="Normal"/>
    <w:next w:val="Accompagnant"/>
    <w:pPr>
      <w:spacing w:before="360" w:after="180" w:line="240" w:lineRule="auto"/>
      <w:jc w:val="center"/>
    </w:pPr>
    <w:rPr>
      <w:rFonts w:ascii="Times New Roman" w:hAnsi="Times New Roman"/>
      <w:b/>
      <w:sz w:val="24"/>
    </w:rPr>
  </w:style>
  <w:style w:type="paragraph" w:customStyle="1" w:styleId="Accompagnant">
    <w:name w:val="Accompagnant"/>
    <w:basedOn w:val="Normal"/>
    <w:next w:val="Typeacteprincipal"/>
    <w:pPr>
      <w:spacing w:before="180" w:after="240" w:line="240" w:lineRule="auto"/>
      <w:jc w:val="center"/>
    </w:pPr>
    <w:rPr>
      <w:rFonts w:ascii="Times New Roman" w:hAnsi="Times New Roman"/>
      <w:b/>
      <w:sz w:val="24"/>
    </w:rPr>
  </w:style>
  <w:style w:type="paragraph" w:customStyle="1" w:styleId="Typeacteprincipal">
    <w:name w:val="Type acte principal"/>
    <w:basedOn w:val="Normal"/>
    <w:next w:val="Objetacteprincipal"/>
    <w:pPr>
      <w:spacing w:after="240" w:line="240" w:lineRule="auto"/>
      <w:jc w:val="center"/>
    </w:pPr>
    <w:rPr>
      <w:rFonts w:ascii="Times New Roman" w:hAnsi="Times New Roman"/>
      <w:b/>
      <w:sz w:val="24"/>
    </w:rPr>
  </w:style>
  <w:style w:type="paragraph" w:customStyle="1" w:styleId="Objetacteprincipal">
    <w:name w:val="Objet acte principal"/>
    <w:basedOn w:val="Normal"/>
    <w:next w:val="Titrearticle"/>
    <w:pPr>
      <w:spacing w:after="360" w:line="240" w:lineRule="auto"/>
      <w:jc w:val="center"/>
    </w:pPr>
    <w:rPr>
      <w:rFonts w:ascii="Times New Roman" w:hAnsi="Times New Roman"/>
      <w:b/>
      <w:sz w:val="24"/>
    </w:rPr>
  </w:style>
  <w:style w:type="paragraph" w:customStyle="1" w:styleId="Titrearticle">
    <w:name w:val="Titre article"/>
    <w:basedOn w:val="Normal"/>
    <w:next w:val="Normal"/>
    <w:pPr>
      <w:keepNext/>
      <w:spacing w:before="360" w:after="120" w:line="240" w:lineRule="auto"/>
      <w:jc w:val="center"/>
    </w:pPr>
    <w:rPr>
      <w:rFonts w:ascii="Times New Roman" w:hAnsi="Times New Roman"/>
      <w:i/>
      <w:sz w:val="24"/>
    </w:rPr>
  </w:style>
  <w:style w:type="paragraph" w:customStyle="1" w:styleId="Nomdelinstitution">
    <w:name w:val="Nom de l'institution"/>
    <w:basedOn w:val="Normal"/>
    <w:next w:val="Emission"/>
    <w:pPr>
      <w:spacing w:after="0" w:line="240" w:lineRule="auto"/>
    </w:pPr>
    <w:rPr>
      <w:rFonts w:ascii="Arial" w:hAnsi="Arial" w:cs="Arial"/>
      <w:sz w:val="24"/>
    </w:rPr>
  </w:style>
  <w:style w:type="paragraph" w:customStyle="1" w:styleId="Emission">
    <w:name w:val="Emission"/>
    <w:basedOn w:val="Normal"/>
    <w:next w:val="Rfrenceinstitutionnelle"/>
    <w:pPr>
      <w:spacing w:after="0" w:line="240" w:lineRule="auto"/>
      <w:ind w:left="5103"/>
    </w:pPr>
    <w:rPr>
      <w:rFonts w:ascii="Times New Roman" w:hAnsi="Times New Roman"/>
      <w:sz w:val="24"/>
    </w:rPr>
  </w:style>
  <w:style w:type="paragraph" w:customStyle="1" w:styleId="Rfrenceinstitutionnelle">
    <w:name w:val="Référence institutionnelle"/>
    <w:basedOn w:val="Normal"/>
    <w:next w:val="Confidentialit"/>
    <w:pPr>
      <w:spacing w:after="240" w:line="240" w:lineRule="auto"/>
      <w:ind w:left="5103"/>
    </w:pPr>
    <w:rPr>
      <w:rFonts w:ascii="Times New Roman" w:hAnsi="Times New Roman"/>
      <w:sz w:val="24"/>
    </w:rPr>
  </w:style>
  <w:style w:type="paragraph" w:customStyle="1" w:styleId="Confidentialit">
    <w:name w:val="Confidentialité"/>
    <w:basedOn w:val="Normal"/>
    <w:next w:val="TypedudocumentPagedecouverture"/>
    <w:pPr>
      <w:spacing w:before="240" w:after="240" w:line="240" w:lineRule="auto"/>
      <w:ind w:left="5103"/>
    </w:pPr>
    <w:rPr>
      <w:rFonts w:ascii="Times New Roman" w:hAnsi="Times New Roman"/>
      <w:i/>
      <w:sz w:val="32"/>
    </w:rPr>
  </w:style>
  <w:style w:type="paragraph" w:customStyle="1" w:styleId="TypedudocumentPagedecouverture">
    <w:name w:val="Type du document (Page de couverture)"/>
    <w:basedOn w:val="Typedudocument"/>
    <w:next w:val="AccompagnantPagedecouvertur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Rfrencecroise">
    <w:name w:val="Référence croisée"/>
    <w:basedOn w:val="Normal"/>
    <w:pPr>
      <w:spacing w:after="0" w:line="240" w:lineRule="auto"/>
      <w:jc w:val="center"/>
    </w:pPr>
    <w:rPr>
      <w:rFonts w:ascii="Times New Roman" w:hAnsi="Times New Roman"/>
      <w:sz w:val="24"/>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Declassification">
    <w:name w:val="Declassification"/>
    <w:basedOn w:val="Normal"/>
    <w:next w:val="Normal"/>
    <w:pPr>
      <w:spacing w:after="0" w:line="240" w:lineRule="auto"/>
      <w:jc w:val="both"/>
    </w:pPr>
    <w:rPr>
      <w:rFonts w:ascii="Times New Roman" w:hAnsi="Times New Roman"/>
      <w:sz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sz w:val="24"/>
    </w:rPr>
  </w:style>
  <w:style w:type="paragraph" w:customStyle="1" w:styleId="SecurityMarking">
    <w:name w:val="SecurityMarking"/>
    <w:basedOn w:val="Normal"/>
    <w:rsid w:val="00577DC1"/>
    <w:pPr>
      <w:spacing w:after="0"/>
      <w:ind w:left="5103"/>
    </w:pPr>
    <w:rPr>
      <w:rFonts w:ascii="Times New Roman" w:eastAsiaTheme="minorHAnsi" w:hAnsi="Times New Roman"/>
      <w:sz w:val="28"/>
    </w:rPr>
  </w:style>
  <w:style w:type="paragraph" w:customStyle="1" w:styleId="DateMarking">
    <w:name w:val="DateMarking"/>
    <w:basedOn w:val="Normal"/>
    <w:rsid w:val="00577DC1"/>
    <w:pPr>
      <w:spacing w:after="0"/>
      <w:ind w:left="5103"/>
    </w:pPr>
    <w:rPr>
      <w:rFonts w:ascii="Times New Roman" w:eastAsiaTheme="minorHAnsi" w:hAnsi="Times New Roman"/>
      <w:i/>
      <w:sz w:val="28"/>
    </w:rPr>
  </w:style>
  <w:style w:type="paragraph" w:customStyle="1" w:styleId="ReleasableTo">
    <w:name w:val="ReleasableTo"/>
    <w:basedOn w:val="Normal"/>
    <w:rsid w:val="00577DC1"/>
    <w:pPr>
      <w:spacing w:after="0"/>
      <w:ind w:left="5103"/>
    </w:pPr>
    <w:rPr>
      <w:rFonts w:ascii="Times New Roman" w:eastAsiaTheme="minorHAnsi" w:hAnsi="Times New Roman"/>
      <w:i/>
      <w:sz w:val="28"/>
    </w:rPr>
  </w:style>
  <w:style w:type="paragraph" w:customStyle="1" w:styleId="Annexetitreexpos">
    <w:name w:val="Annexe titre (exposé)"/>
    <w:basedOn w:val="Normal"/>
    <w:next w:val="Normal"/>
    <w:pPr>
      <w:spacing w:before="120" w:after="120" w:line="240" w:lineRule="auto"/>
      <w:jc w:val="center"/>
    </w:pPr>
    <w:rPr>
      <w:rFonts w:ascii="Times New Roman" w:hAnsi="Times New Roman"/>
      <w:b/>
      <w:sz w:val="24"/>
      <w:u w:val="single"/>
    </w:rPr>
  </w:style>
  <w:style w:type="paragraph" w:customStyle="1" w:styleId="Annexetitre">
    <w:name w:val="Annexe titre"/>
    <w:basedOn w:val="Normal"/>
    <w:next w:val="Normal"/>
    <w:pPr>
      <w:spacing w:before="120" w:after="120" w:line="240" w:lineRule="auto"/>
      <w:jc w:val="center"/>
    </w:pPr>
    <w:rPr>
      <w:rFonts w:ascii="Times New Roman" w:hAnsi="Times New Roman"/>
      <w:b/>
      <w:sz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hAnsi="Times New Roman"/>
      <w:b/>
      <w:sz w:val="24"/>
      <w:u w:val="single"/>
    </w:rPr>
  </w:style>
  <w:style w:type="paragraph" w:customStyle="1" w:styleId="Applicationdirecte">
    <w:name w:val="Application directe"/>
    <w:basedOn w:val="Normal"/>
    <w:next w:val="Fait"/>
    <w:pPr>
      <w:spacing w:before="480" w:after="120" w:line="240" w:lineRule="auto"/>
      <w:jc w:val="both"/>
    </w:pPr>
    <w:rPr>
      <w:rFonts w:ascii="Times New Roman" w:hAnsi="Times New Roman"/>
      <w:sz w:val="24"/>
    </w:rPr>
  </w:style>
  <w:style w:type="paragraph" w:customStyle="1" w:styleId="Fait">
    <w:name w:val="Fait à"/>
    <w:basedOn w:val="Normal"/>
    <w:next w:val="Institutionquisigne"/>
    <w:pPr>
      <w:keepNext/>
      <w:spacing w:before="120" w:after="0" w:line="240" w:lineRule="auto"/>
      <w:jc w:val="both"/>
    </w:pPr>
    <w:rPr>
      <w:rFonts w:ascii="Times New Roman" w:hAnsi="Times New Roman"/>
      <w:sz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hAnsi="Times New Roman"/>
      <w:i/>
      <w:sz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hAnsi="Times New Roman"/>
      <w:i/>
      <w:sz w:val="24"/>
    </w:rPr>
  </w:style>
  <w:style w:type="paragraph" w:customStyle="1" w:styleId="Avertissementtitre">
    <w:name w:val="Avertissement titre"/>
    <w:basedOn w:val="Normal"/>
    <w:next w:val="Normal"/>
    <w:pPr>
      <w:keepNext/>
      <w:spacing w:before="480" w:after="120" w:line="240" w:lineRule="auto"/>
      <w:jc w:val="both"/>
    </w:pPr>
    <w:rPr>
      <w:rFonts w:ascii="Times New Roman" w:hAnsi="Times New Roman"/>
      <w:sz w:val="24"/>
      <w:u w:val="single"/>
    </w:rPr>
  </w:style>
  <w:style w:type="paragraph" w:customStyle="1" w:styleId="Confidence">
    <w:name w:val="Confidence"/>
    <w:basedOn w:val="Normal"/>
    <w:next w:val="Normal"/>
    <w:pPr>
      <w:spacing w:before="360" w:after="120" w:line="240" w:lineRule="auto"/>
      <w:jc w:val="center"/>
    </w:pPr>
    <w:rPr>
      <w:rFonts w:ascii="Times New Roman" w:hAnsi="Times New Roman"/>
      <w:sz w:val="24"/>
    </w:rPr>
  </w:style>
  <w:style w:type="paragraph" w:customStyle="1" w:styleId="Considrant">
    <w:name w:val="Considérant"/>
    <w:basedOn w:val="Normal"/>
    <w:pPr>
      <w:numPr>
        <w:numId w:val="22"/>
      </w:numPr>
      <w:spacing w:before="120" w:after="120" w:line="240" w:lineRule="auto"/>
      <w:jc w:val="both"/>
    </w:pPr>
    <w:rPr>
      <w:rFonts w:ascii="Times New Roman" w:hAnsi="Times New Roman"/>
      <w:sz w:val="24"/>
    </w:rPr>
  </w:style>
  <w:style w:type="paragraph" w:customStyle="1" w:styleId="Corrigendum">
    <w:name w:val="Corrigendum"/>
    <w:basedOn w:val="Normal"/>
    <w:next w:val="Normal"/>
    <w:pPr>
      <w:spacing w:after="240" w:line="240" w:lineRule="auto"/>
    </w:pPr>
    <w:rPr>
      <w:rFonts w:ascii="Times New Roman" w:hAnsi="Times New Roman"/>
      <w:sz w:val="24"/>
    </w:rPr>
  </w:style>
  <w:style w:type="paragraph" w:customStyle="1" w:styleId="Datedadoption">
    <w:name w:val="Date d'adoption"/>
    <w:basedOn w:val="Normal"/>
    <w:next w:val="IntrtEEE"/>
    <w:pPr>
      <w:spacing w:before="360" w:after="0" w:line="240" w:lineRule="auto"/>
      <w:jc w:val="center"/>
    </w:pPr>
    <w:rPr>
      <w:rFonts w:ascii="Times New Roman" w:hAnsi="Times New Roman"/>
      <w:b/>
      <w:sz w:val="24"/>
    </w:rPr>
  </w:style>
  <w:style w:type="paragraph" w:customStyle="1" w:styleId="IntrtEEE">
    <w:name w:val="Intérêt EEE"/>
    <w:basedOn w:val="Languesfaisantfoi"/>
    <w:next w:val="Normal"/>
    <w:rsid w:val="00577DC1"/>
    <w:pPr>
      <w:spacing w:after="0"/>
    </w:pPr>
  </w:style>
  <w:style w:type="paragraph" w:customStyle="1" w:styleId="Languesfaisantfoi">
    <w:name w:val="Langues faisant foi"/>
    <w:basedOn w:val="Normal"/>
    <w:next w:val="Normal"/>
    <w:rsid w:val="00577DC1"/>
    <w:pPr>
      <w:spacing w:before="360" w:after="240" w:line="240" w:lineRule="auto"/>
      <w:jc w:val="center"/>
    </w:pPr>
    <w:rPr>
      <w:rFonts w:ascii="Times New Roman" w:eastAsiaTheme="minorHAnsi" w:hAnsi="Times New Roman"/>
      <w:sz w:val="24"/>
    </w:rPr>
  </w:style>
  <w:style w:type="paragraph" w:customStyle="1" w:styleId="Exposdesmotifstitre">
    <w:name w:val="Exposé des motifs titre"/>
    <w:basedOn w:val="Normal"/>
    <w:next w:val="Normal"/>
    <w:pPr>
      <w:spacing w:before="120" w:after="120" w:line="240" w:lineRule="auto"/>
      <w:jc w:val="center"/>
    </w:pPr>
    <w:rPr>
      <w:rFonts w:ascii="Times New Roman" w:hAnsi="Times New Roman"/>
      <w:b/>
      <w:sz w:val="24"/>
      <w:u w:val="single"/>
    </w:rPr>
  </w:style>
  <w:style w:type="paragraph" w:customStyle="1" w:styleId="Formuledadoption">
    <w:name w:val="Formule d'adoption"/>
    <w:basedOn w:val="Normal"/>
    <w:next w:val="Titrearticle"/>
    <w:pPr>
      <w:keepNext/>
      <w:spacing w:before="120" w:after="120" w:line="240" w:lineRule="auto"/>
      <w:jc w:val="both"/>
    </w:pPr>
    <w:rPr>
      <w:rFonts w:ascii="Times New Roman" w:hAnsi="Times New Roman"/>
      <w:sz w:val="24"/>
    </w:rPr>
  </w:style>
  <w:style w:type="paragraph" w:customStyle="1" w:styleId="Institutionquiagit">
    <w:name w:val="Institution qui agit"/>
    <w:basedOn w:val="Normal"/>
    <w:next w:val="Normal"/>
    <w:pPr>
      <w:keepNext/>
      <w:spacing w:before="600" w:after="120" w:line="240" w:lineRule="auto"/>
      <w:jc w:val="both"/>
    </w:pPr>
    <w:rPr>
      <w:rFonts w:ascii="Times New Roman" w:hAnsi="Times New Roman"/>
      <w:sz w:val="24"/>
    </w:rPr>
  </w:style>
  <w:style w:type="paragraph" w:customStyle="1" w:styleId="ManualConsidrant">
    <w:name w:val="Manual Considérant"/>
    <w:basedOn w:val="Normal"/>
    <w:pPr>
      <w:spacing w:before="120" w:after="120" w:line="240" w:lineRule="auto"/>
      <w:ind w:left="709" w:hanging="709"/>
      <w:jc w:val="both"/>
    </w:pPr>
    <w:rPr>
      <w:rFonts w:ascii="Times New Roman" w:hAnsi="Times New Roman"/>
      <w:sz w:val="24"/>
    </w:rPr>
  </w:style>
  <w:style w:type="character" w:customStyle="1" w:styleId="Added">
    <w:name w:val="Added"/>
    <w:rPr>
      <w:b/>
      <w:u w:val="single"/>
      <w:shd w:val="clear" w:color="auto" w:fill="auto"/>
    </w:rPr>
  </w:style>
  <w:style w:type="character" w:customStyle="1" w:styleId="Deleted">
    <w:name w:val="Deleted"/>
    <w:rPr>
      <w:strike/>
      <w:dstrike w:val="0"/>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pPr>
      <w:spacing w:before="120" w:after="120" w:line="240" w:lineRule="auto"/>
      <w:jc w:val="both"/>
    </w:pPr>
    <w:rPr>
      <w:rFonts w:ascii="Times New Roman" w:hAnsi="Times New Roman"/>
      <w:i/>
      <w:caps/>
      <w:sz w:val="24"/>
    </w:rPr>
  </w:style>
  <w:style w:type="paragraph" w:customStyle="1" w:styleId="Supertitre">
    <w:name w:val="Supertitre"/>
    <w:basedOn w:val="Normal"/>
    <w:next w:val="Normal"/>
    <w:pPr>
      <w:spacing w:after="600" w:line="240" w:lineRule="auto"/>
      <w:jc w:val="center"/>
    </w:pPr>
    <w:rPr>
      <w:rFonts w:ascii="Times New Roman" w:hAnsi="Times New Roman"/>
      <w:b/>
      <w:sz w:val="24"/>
    </w:rPr>
  </w:style>
  <w:style w:type="paragraph" w:customStyle="1" w:styleId="Fichefinanciretitre">
    <w:name w:val="Fiche financière titre"/>
    <w:basedOn w:val="Normal"/>
    <w:next w:val="Normal"/>
    <w:pPr>
      <w:spacing w:before="120" w:after="120" w:line="240" w:lineRule="auto"/>
      <w:jc w:val="center"/>
    </w:pPr>
    <w:rPr>
      <w:rFonts w:ascii="Times New Roman" w:hAnsi="Times New Roman"/>
      <w:b/>
      <w:sz w:val="24"/>
      <w:u w:val="single"/>
    </w:rPr>
  </w:style>
  <w:style w:type="paragraph" w:customStyle="1" w:styleId="DatedadoptionPagedecouverture">
    <w:name w:val="Date d'adoption (Page de couverture)"/>
    <w:basedOn w:val="Datedadoption"/>
    <w:next w:val="IntrtEEEPagedecouverture"/>
  </w:style>
  <w:style w:type="paragraph" w:customStyle="1" w:styleId="IntrtEEEPagedecouverture">
    <w:name w:val="Intérêt EEE (Page de couverture)"/>
    <w:basedOn w:val="IntrtEEE"/>
    <w:next w:val="Normal"/>
    <w:rsid w:val="00577DC1"/>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hAnsi="Times New Roman"/>
      <w:sz w:val="24"/>
    </w:rPr>
  </w:style>
  <w:style w:type="paragraph" w:customStyle="1" w:styleId="LanguesfaisantfoiPagedecouverture">
    <w:name w:val="Langues faisant foi (Page de couverture)"/>
    <w:basedOn w:val="Normal"/>
    <w:next w:val="Rfrencecroise"/>
    <w:rsid w:val="00577DC1"/>
    <w:pPr>
      <w:spacing w:before="360" w:after="240" w:line="240" w:lineRule="auto"/>
      <w:jc w:val="center"/>
    </w:pPr>
    <w:rPr>
      <w:rFonts w:ascii="Times New Roman" w:eastAsiaTheme="minorHAnsi" w:hAnsi="Times New Roman"/>
      <w:sz w:val="24"/>
    </w:rPr>
  </w:style>
  <w:style w:type="paragraph" w:styleId="BodyText">
    <w:name w:val="Body Text"/>
    <w:basedOn w:val="Normal"/>
    <w:link w:val="BodyTextChar"/>
    <w:uiPriority w:val="1"/>
    <w:qFormat/>
    <w:pPr>
      <w:widowControl w:val="0"/>
      <w:autoSpaceDE w:val="0"/>
      <w:autoSpaceDN w:val="0"/>
      <w:spacing w:after="0" w:line="240" w:lineRule="auto"/>
    </w:pPr>
    <w:rPr>
      <w:rFonts w:ascii="Myriad Pro" w:eastAsia="Myriad Pro" w:hAnsi="Myriad Pro" w:cs="Myriad Pro"/>
      <w:sz w:val="20"/>
      <w:szCs w:val="20"/>
      <w:lang w:val="en"/>
    </w:rPr>
  </w:style>
  <w:style w:type="character" w:customStyle="1" w:styleId="BodyTextChar">
    <w:name w:val="Body Text Char"/>
    <w:link w:val="BodyText"/>
    <w:uiPriority w:val="1"/>
    <w:rPr>
      <w:rFonts w:ascii="Myriad Pro" w:eastAsia="Myriad Pro" w:hAnsi="Myriad Pro" w:cs="Myriad Pro"/>
      <w:sz w:val="20"/>
      <w:szCs w:val="20"/>
      <w:lang w:val="en"/>
    </w:rPr>
  </w:style>
  <w:style w:type="character" w:customStyle="1" w:styleId="Bodytext2">
    <w:name w:val="Body text|2_"/>
    <w:link w:val="Bodytext20"/>
    <w:rPr>
      <w:rFonts w:ascii="Arial" w:eastAsia="Arial" w:hAnsi="Arial" w:cs="Arial"/>
      <w:sz w:val="19"/>
      <w:szCs w:val="19"/>
      <w:shd w:val="clear" w:color="auto" w:fill="FFFFFF"/>
    </w:rPr>
  </w:style>
  <w:style w:type="paragraph" w:customStyle="1" w:styleId="Bodytext20">
    <w:name w:val="Body text|2"/>
    <w:basedOn w:val="Normal"/>
    <w:link w:val="Bodytext2"/>
    <w:qFormat/>
    <w:pPr>
      <w:widowControl w:val="0"/>
      <w:shd w:val="clear" w:color="auto" w:fill="FFFFFF"/>
      <w:spacing w:after="3320" w:line="212" w:lineRule="exact"/>
      <w:ind w:hanging="360"/>
    </w:pPr>
    <w:rPr>
      <w:rFonts w:ascii="Arial" w:eastAsia="Arial" w:hAnsi="Arial" w:cs="Arial"/>
      <w:sz w:val="19"/>
      <w:szCs w:val="19"/>
    </w:rPr>
  </w:style>
  <w:style w:type="character" w:customStyle="1" w:styleId="Bodytext2Bold">
    <w:name w:val="Body text|2 + Bold"/>
    <w:semiHidden/>
    <w:unhideWhenUsed/>
    <w:rPr>
      <w:rFonts w:ascii="Arial" w:eastAsia="Arial" w:hAnsi="Arial" w:cs="Arial"/>
      <w:b/>
      <w:bCs/>
      <w:color w:val="000000"/>
      <w:spacing w:val="0"/>
      <w:w w:val="100"/>
      <w:position w:val="0"/>
      <w:sz w:val="19"/>
      <w:szCs w:val="19"/>
      <w:shd w:val="clear" w:color="auto" w:fill="FFFFFF"/>
      <w:lang w:val="en" w:eastAsia="fi-FI" w:bidi="fi-FI"/>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Bodytext26">
    <w:name w:val="Body text|26"/>
    <w:basedOn w:val="Normal"/>
    <w:qFormat/>
    <w:pPr>
      <w:widowControl w:val="0"/>
      <w:shd w:val="clear" w:color="auto" w:fill="FFFFFF"/>
      <w:spacing w:after="3320" w:line="212" w:lineRule="exact"/>
      <w:ind w:hanging="360"/>
    </w:pPr>
    <w:rPr>
      <w:rFonts w:ascii="Arial" w:eastAsia="Arial" w:hAnsi="Arial" w:cs="Arial"/>
      <w:sz w:val="19"/>
      <w:szCs w:val="19"/>
      <w:lang w:val="en-US"/>
    </w:rPr>
  </w:style>
  <w:style w:type="character" w:customStyle="1" w:styleId="Heading61">
    <w:name w:val="Heading #6|1_"/>
    <w:link w:val="Heading610"/>
    <w:locked/>
    <w:rPr>
      <w:rFonts w:ascii="Arial" w:eastAsia="Arial" w:hAnsi="Arial" w:cs="Arial"/>
      <w:b/>
      <w:bCs/>
      <w:sz w:val="19"/>
      <w:szCs w:val="19"/>
      <w:shd w:val="clear" w:color="auto" w:fill="FFFFFF"/>
    </w:rPr>
  </w:style>
  <w:style w:type="paragraph" w:customStyle="1" w:styleId="Heading610">
    <w:name w:val="Heading #6|10"/>
    <w:basedOn w:val="Normal"/>
    <w:link w:val="Heading61"/>
    <w:pPr>
      <w:widowControl w:val="0"/>
      <w:shd w:val="clear" w:color="auto" w:fill="FFFFFF"/>
      <w:spacing w:before="160" w:after="0" w:line="212" w:lineRule="exact"/>
      <w:outlineLvl w:val="5"/>
    </w:pPr>
    <w:rPr>
      <w:rFonts w:ascii="Arial" w:eastAsia="Arial" w:hAnsi="Arial" w:cs="Arial"/>
      <w:b/>
      <w:bCs/>
      <w:sz w:val="19"/>
      <w:szCs w:val="19"/>
    </w:rPr>
  </w:style>
  <w:style w:type="character" w:customStyle="1" w:styleId="Bodytext16">
    <w:name w:val="Body text|16_"/>
    <w:link w:val="Bodytext160"/>
    <w:rPr>
      <w:rFonts w:ascii="Arial" w:eastAsia="Arial" w:hAnsi="Arial" w:cs="Arial"/>
      <w:i/>
      <w:iCs/>
      <w:sz w:val="19"/>
      <w:szCs w:val="19"/>
      <w:shd w:val="clear" w:color="auto" w:fill="FFFFFF"/>
    </w:rPr>
  </w:style>
  <w:style w:type="paragraph" w:customStyle="1" w:styleId="Bodytext160">
    <w:name w:val="Body text|160"/>
    <w:basedOn w:val="Normal"/>
    <w:link w:val="Bodytext16"/>
    <w:pPr>
      <w:widowControl w:val="0"/>
      <w:shd w:val="clear" w:color="auto" w:fill="FFFFFF"/>
      <w:spacing w:before="160" w:after="380" w:line="212" w:lineRule="exact"/>
    </w:pPr>
    <w:rPr>
      <w:rFonts w:ascii="Arial" w:eastAsia="Arial" w:hAnsi="Arial" w:cs="Arial"/>
      <w:i/>
      <w:iCs/>
      <w:sz w:val="19"/>
      <w:szCs w:val="19"/>
    </w:rPr>
  </w:style>
  <w:style w:type="table" w:styleId="TableGrid">
    <w:name w:val="Table Grid"/>
    <w:basedOn w:val="TableNormal"/>
    <w:uiPriority w:val="59"/>
    <w:tblPr/>
  </w:style>
  <w:style w:type="table" w:customStyle="1" w:styleId="GridTable1Light-Accent11">
    <w:name w:val="Grid Table 1 Light - Accent 11"/>
    <w:basedOn w:val="TableNormal"/>
    <w:uiPriority w:val="46"/>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eading62">
    <w:name w:val="Heading #6|2"/>
    <w:semiHidden/>
    <w:unhideWhenUsed/>
    <w:rPr>
      <w:rFonts w:ascii="Arial" w:eastAsia="Arial" w:hAnsi="Arial" w:cs="Arial"/>
      <w:b w:val="0"/>
      <w:bCs w:val="0"/>
      <w:i w:val="0"/>
      <w:iCs w:val="0"/>
      <w:smallCaps w:val="0"/>
      <w:strike w:val="0"/>
      <w:color w:val="105AC1"/>
      <w:spacing w:val="0"/>
      <w:w w:val="100"/>
      <w:position w:val="0"/>
      <w:sz w:val="19"/>
      <w:szCs w:val="19"/>
      <w:u w:val="none"/>
      <w:lang w:val="en" w:eastAsia="fi-FI" w:bidi="fi-FI"/>
    </w:rPr>
  </w:style>
  <w:style w:type="character" w:customStyle="1" w:styleId="normaltextrun">
    <w:name w:val="normaltextrun"/>
    <w:basedOn w:val="DefaultParagraphFont"/>
  </w:style>
  <w:style w:type="paragraph" w:styleId="NoSpacing">
    <w:name w:val="No Spacing"/>
    <w:uiPriority w:val="1"/>
    <w:qFormat/>
    <w:pPr>
      <w:jc w:val="both"/>
    </w:pPr>
    <w:rPr>
      <w:rFonts w:ascii="Times New Roman" w:hAnsi="Times New Roman"/>
      <w:sz w:val="24"/>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lang w:eastAsia="en-US"/>
    </w:rPr>
  </w:style>
  <w:style w:type="character" w:customStyle="1" w:styleId="Mention1">
    <w:name w:val="Mention1"/>
    <w:uiPriority w:val="99"/>
    <w:unhideWhenUsed/>
    <w:rPr>
      <w:color w:val="2B579A"/>
      <w:shd w:val="clear" w:color="auto" w:fill="E6E6E6"/>
    </w:rPr>
  </w:style>
  <w:style w:type="character" w:customStyle="1" w:styleId="eop">
    <w:name w:val="eop"/>
  </w:style>
  <w:style w:type="paragraph" w:customStyle="1" w:styleId="PILLAR">
    <w:name w:val="PILLAR"/>
    <w:basedOn w:val="Normal"/>
    <w:pPr>
      <w:spacing w:before="120" w:after="120" w:line="240" w:lineRule="auto"/>
      <w:jc w:val="both"/>
    </w:pPr>
    <w:rPr>
      <w:rFonts w:ascii="Times New Roman" w:hAnsi="Times New Roman"/>
      <w:color w:val="000000"/>
      <w:sz w:val="24"/>
      <w:szCs w:val="24"/>
    </w:rPr>
  </w:style>
  <w:style w:type="paragraph" w:customStyle="1" w:styleId="TechnicalBlock">
    <w:name w:val="Technical Block"/>
    <w:basedOn w:val="Normal"/>
    <w:link w:val="TechnicalBlockChar"/>
    <w:rsid w:val="00BC3B5A"/>
    <w:pPr>
      <w:spacing w:after="240" w:line="240" w:lineRule="auto"/>
      <w:jc w:val="center"/>
    </w:pPr>
  </w:style>
  <w:style w:type="character" w:customStyle="1" w:styleId="TechnicalBlockChar">
    <w:name w:val="Technical Block Char"/>
    <w:basedOn w:val="DefaultParagraphFont"/>
    <w:link w:val="TechnicalBlock"/>
    <w:rsid w:val="00BC3B5A"/>
    <w:rPr>
      <w:sz w:val="22"/>
      <w:szCs w:val="22"/>
      <w:lang w:eastAsia="en-US"/>
    </w:rPr>
  </w:style>
  <w:style w:type="paragraph" w:customStyle="1" w:styleId="EntText">
    <w:name w:val="EntText"/>
    <w:basedOn w:val="Normal"/>
    <w:rsid w:val="00F104FC"/>
    <w:pPr>
      <w:spacing w:before="120" w:after="120" w:line="360" w:lineRule="auto"/>
    </w:pPr>
    <w:rPr>
      <w:rFonts w:ascii="Times New Roman" w:eastAsiaTheme="minorHAnsi" w:hAnsi="Times New Roman"/>
      <w:sz w:val="24"/>
    </w:rPr>
  </w:style>
  <w:style w:type="paragraph" w:customStyle="1" w:styleId="Lignefinal">
    <w:name w:val="Ligne final"/>
    <w:basedOn w:val="Normal"/>
    <w:next w:val="Normal"/>
    <w:rsid w:val="00F104FC"/>
    <w:pPr>
      <w:pBdr>
        <w:bottom w:val="single" w:sz="4" w:space="0" w:color="000000"/>
      </w:pBdr>
      <w:spacing w:before="360" w:after="120" w:line="360" w:lineRule="auto"/>
      <w:ind w:left="3400" w:right="3400"/>
      <w:jc w:val="center"/>
    </w:pPr>
    <w:rPr>
      <w:rFonts w:ascii="Times New Roman" w:eastAsiaTheme="minorHAnsi" w:hAnsi="Times New Roman"/>
      <w:b/>
      <w:sz w:val="24"/>
    </w:rPr>
  </w:style>
  <w:style w:type="paragraph" w:customStyle="1" w:styleId="pj">
    <w:name w:val="p.j."/>
    <w:basedOn w:val="Normal"/>
    <w:link w:val="pjChar"/>
    <w:rsid w:val="00BC3B5A"/>
    <w:pPr>
      <w:spacing w:before="1200" w:after="120" w:line="240" w:lineRule="auto"/>
      <w:ind w:left="1440" w:hanging="1440"/>
    </w:pPr>
    <w:rPr>
      <w:rFonts w:ascii="Times New Roman" w:hAnsi="Times New Roman"/>
      <w:sz w:val="24"/>
    </w:rPr>
  </w:style>
  <w:style w:type="character" w:customStyle="1" w:styleId="pjChar">
    <w:name w:val="p.j. Char"/>
    <w:basedOn w:val="TechnicalBlockChar"/>
    <w:link w:val="pj"/>
    <w:rsid w:val="00BC3B5A"/>
    <w:rPr>
      <w:rFonts w:ascii="Times New Roman" w:hAnsi="Times New Roman"/>
      <w:sz w:val="24"/>
      <w:szCs w:val="22"/>
      <w:lang w:eastAsia="en-US"/>
    </w:rPr>
  </w:style>
  <w:style w:type="paragraph" w:customStyle="1" w:styleId="nbbordered">
    <w:name w:val="nb bordered"/>
    <w:basedOn w:val="Normal"/>
    <w:link w:val="nbborderedChar"/>
    <w:rsid w:val="00BC3B5A"/>
    <w:pPr>
      <w:pBdr>
        <w:top w:val="single" w:sz="4" w:space="1" w:color="auto"/>
        <w:left w:val="single" w:sz="4" w:space="4" w:color="auto"/>
        <w:bottom w:val="single" w:sz="4" w:space="1" w:color="auto"/>
        <w:right w:val="single" w:sz="4" w:space="4" w:color="auto"/>
        <w:between w:val="single" w:sz="4" w:space="0" w:color="auto"/>
      </w:pBdr>
      <w:spacing w:after="160" w:line="240" w:lineRule="auto"/>
      <w:ind w:left="480" w:hanging="480"/>
    </w:pPr>
    <w:rPr>
      <w:rFonts w:ascii="Times New Roman" w:hAnsi="Times New Roman"/>
      <w:b/>
      <w:sz w:val="24"/>
    </w:rPr>
  </w:style>
  <w:style w:type="character" w:customStyle="1" w:styleId="nbborderedChar">
    <w:name w:val="nb bordered Char"/>
    <w:basedOn w:val="TechnicalBlockChar"/>
    <w:link w:val="nbbordered"/>
    <w:rsid w:val="00BC3B5A"/>
    <w:rPr>
      <w:rFonts w:ascii="Times New Roman" w:hAnsi="Times New Roman"/>
      <w:b/>
      <w:sz w:val="24"/>
      <w:szCs w:val="22"/>
      <w:lang w:eastAsia="en-US"/>
    </w:rPr>
  </w:style>
  <w:style w:type="paragraph" w:customStyle="1" w:styleId="HeaderCouncil">
    <w:name w:val="Header Council"/>
    <w:basedOn w:val="Normal"/>
    <w:link w:val="HeaderCouncilChar"/>
    <w:rsid w:val="00BC3B5A"/>
    <w:pPr>
      <w:spacing w:after="0"/>
    </w:pPr>
    <w:rPr>
      <w:rFonts w:ascii="Times New Roman" w:hAnsi="Times New Roman"/>
      <w:noProof/>
      <w:sz w:val="2"/>
    </w:rPr>
  </w:style>
  <w:style w:type="character" w:customStyle="1" w:styleId="HeaderCouncilChar">
    <w:name w:val="Header Council Char"/>
    <w:basedOn w:val="DefaultParagraphFont"/>
    <w:link w:val="HeaderCouncil"/>
    <w:rsid w:val="00BC3B5A"/>
    <w:rPr>
      <w:noProof/>
      <w:sz w:val="2"/>
      <w:szCs w:val="22"/>
      <w:lang w:eastAsia="en-US"/>
    </w:rPr>
  </w:style>
  <w:style w:type="paragraph" w:customStyle="1" w:styleId="HeaderCouncilLarge">
    <w:name w:val="Header Council Large"/>
    <w:basedOn w:val="Normal"/>
    <w:link w:val="HeaderCouncilLargeChar"/>
    <w:rsid w:val="00BC3B5A"/>
    <w:pPr>
      <w:spacing w:after="440"/>
    </w:pPr>
    <w:rPr>
      <w:rFonts w:ascii="Times New Roman" w:hAnsi="Times New Roman"/>
      <w:noProof/>
      <w:sz w:val="2"/>
    </w:rPr>
  </w:style>
  <w:style w:type="character" w:customStyle="1" w:styleId="HeaderCouncilLargeChar">
    <w:name w:val="Header Council Large Char"/>
    <w:basedOn w:val="DefaultParagraphFont"/>
    <w:link w:val="HeaderCouncilLarge"/>
    <w:rsid w:val="00BC3B5A"/>
    <w:rPr>
      <w:noProof/>
      <w:sz w:val="2"/>
      <w:szCs w:val="22"/>
      <w:lang w:eastAsia="en-US"/>
    </w:rPr>
  </w:style>
  <w:style w:type="paragraph" w:customStyle="1" w:styleId="FooterCouncil">
    <w:name w:val="Footer Council"/>
    <w:basedOn w:val="Normal"/>
    <w:link w:val="FooterCouncilChar"/>
    <w:rsid w:val="00BC3B5A"/>
    <w:pPr>
      <w:spacing w:after="0"/>
    </w:pPr>
    <w:rPr>
      <w:rFonts w:ascii="Times New Roman" w:hAnsi="Times New Roman"/>
      <w:noProof/>
      <w:sz w:val="2"/>
    </w:rPr>
  </w:style>
  <w:style w:type="character" w:customStyle="1" w:styleId="FooterCouncilChar">
    <w:name w:val="Footer Council Char"/>
    <w:basedOn w:val="DefaultParagraphFont"/>
    <w:link w:val="FooterCouncil"/>
    <w:rsid w:val="00BC3B5A"/>
    <w:rPr>
      <w:noProof/>
      <w:sz w:val="2"/>
      <w:szCs w:val="22"/>
      <w:lang w:eastAsia="en-US"/>
    </w:rPr>
  </w:style>
  <w:style w:type="paragraph" w:customStyle="1" w:styleId="FooterText">
    <w:name w:val="Footer Text"/>
    <w:basedOn w:val="Normal"/>
    <w:rsid w:val="00BC3B5A"/>
    <w:pPr>
      <w:spacing w:after="0" w:line="240" w:lineRule="auto"/>
    </w:pPr>
    <w:rPr>
      <w:rFonts w:ascii="Times New Roman" w:eastAsia="Times New Roman" w:hAnsi="Times New Roman"/>
      <w:sz w:val="24"/>
      <w:szCs w:val="24"/>
    </w:rPr>
  </w:style>
  <w:style w:type="character" w:styleId="PlaceholderText">
    <w:name w:val="Placeholder Text"/>
    <w:uiPriority w:val="99"/>
    <w:semiHidden/>
    <w:rsid w:val="00BC3B5A"/>
    <w:rPr>
      <w:color w:val="808080"/>
    </w:rPr>
  </w:style>
  <w:style w:type="character" w:customStyle="1" w:styleId="Mention3">
    <w:name w:val="Mention3"/>
    <w:basedOn w:val="DefaultParagraphFont"/>
    <w:uiPriority w:val="99"/>
    <w:unhideWhenUsed/>
    <w:rsid w:val="00B8798E"/>
    <w:rPr>
      <w:color w:val="2B579A"/>
      <w:shd w:val="clear" w:color="auto" w:fill="E6E6E6"/>
    </w:rPr>
  </w:style>
  <w:style w:type="character" w:customStyle="1" w:styleId="UnresolvedMention1">
    <w:name w:val="Unresolved Mention1"/>
    <w:basedOn w:val="DefaultParagraphFont"/>
    <w:uiPriority w:val="99"/>
    <w:unhideWhenUsed/>
    <w:rsid w:val="00777E1F"/>
    <w:rPr>
      <w:color w:val="605E5C"/>
      <w:shd w:val="clear" w:color="auto" w:fill="E1DFDD"/>
    </w:rPr>
  </w:style>
  <w:style w:type="character" w:customStyle="1" w:styleId="Mention2">
    <w:name w:val="Mention2"/>
    <w:basedOn w:val="DefaultParagraphFont"/>
    <w:uiPriority w:val="99"/>
    <w:unhideWhenUsed/>
    <w:rsid w:val="005958D6"/>
    <w:rPr>
      <w:color w:val="2B579A"/>
      <w:shd w:val="clear" w:color="auto" w:fill="E6E6E6"/>
    </w:rPr>
  </w:style>
  <w:style w:type="character" w:customStyle="1" w:styleId="UnresolvedMention2">
    <w:name w:val="Unresolved Mention2"/>
    <w:basedOn w:val="DefaultParagraphFont"/>
    <w:uiPriority w:val="99"/>
    <w:unhideWhenUsed/>
    <w:rsid w:val="000F7E46"/>
    <w:rPr>
      <w:color w:val="605E5C"/>
      <w:shd w:val="clear" w:color="auto" w:fill="E1DFDD"/>
    </w:rPr>
  </w:style>
  <w:style w:type="character" w:customStyle="1" w:styleId="Mention4">
    <w:name w:val="Mention4"/>
    <w:basedOn w:val="DefaultParagraphFont"/>
    <w:uiPriority w:val="99"/>
    <w:unhideWhenUsed/>
    <w:rsid w:val="00157A97"/>
    <w:rPr>
      <w:color w:val="2B579A"/>
      <w:shd w:val="clear" w:color="auto" w:fill="E1DFDD"/>
    </w:rPr>
  </w:style>
  <w:style w:type="character" w:customStyle="1" w:styleId="UnresolvedMention3">
    <w:name w:val="Unresolved Mention3"/>
    <w:basedOn w:val="DefaultParagraphFont"/>
    <w:uiPriority w:val="99"/>
    <w:unhideWhenUsed/>
    <w:rsid w:val="006563F6"/>
    <w:rPr>
      <w:color w:val="605E5C"/>
      <w:shd w:val="clear" w:color="auto" w:fill="E1DFDD"/>
    </w:rPr>
  </w:style>
  <w:style w:type="character" w:customStyle="1" w:styleId="Mention5">
    <w:name w:val="Mention5"/>
    <w:basedOn w:val="DefaultParagraphFont"/>
    <w:uiPriority w:val="99"/>
    <w:unhideWhenUsed/>
    <w:rsid w:val="006563F6"/>
    <w:rPr>
      <w:color w:val="2B579A"/>
      <w:shd w:val="clear" w:color="auto" w:fill="E1DFDD"/>
    </w:rPr>
  </w:style>
  <w:style w:type="paragraph" w:customStyle="1" w:styleId="paragraph">
    <w:name w:val="paragraph"/>
    <w:basedOn w:val="Normal"/>
    <w:rsid w:val="00452384"/>
    <w:pPr>
      <w:spacing w:before="100" w:beforeAutospacing="1" w:after="100" w:afterAutospacing="1" w:line="240" w:lineRule="auto"/>
    </w:pPr>
    <w:rPr>
      <w:rFonts w:ascii="Times New Roman" w:eastAsia="Times New Roman" w:hAnsi="Times New Roman"/>
      <w:sz w:val="24"/>
      <w:szCs w:val="24"/>
      <w:lang w:eastAsia="fr-BE"/>
    </w:rPr>
  </w:style>
  <w:style w:type="character" w:customStyle="1" w:styleId="subscript">
    <w:name w:val="subscript"/>
    <w:basedOn w:val="DefaultParagraphFont"/>
    <w:rsid w:val="00270393"/>
  </w:style>
  <w:style w:type="character" w:customStyle="1" w:styleId="Mention6">
    <w:name w:val="Mention6"/>
    <w:basedOn w:val="DefaultParagraphFont"/>
    <w:uiPriority w:val="99"/>
    <w:unhideWhenUsed/>
    <w:rsid w:val="0027079F"/>
    <w:rPr>
      <w:color w:val="2B579A"/>
      <w:shd w:val="clear" w:color="auto" w:fill="E1DFDD"/>
    </w:rPr>
  </w:style>
  <w:style w:type="character" w:customStyle="1" w:styleId="Mention7">
    <w:name w:val="Mention7"/>
    <w:basedOn w:val="DefaultParagraphFont"/>
    <w:uiPriority w:val="99"/>
    <w:unhideWhenUsed/>
    <w:rsid w:val="006A0306"/>
    <w:rPr>
      <w:color w:val="2B579A"/>
      <w:shd w:val="clear" w:color="auto" w:fill="E1DFDD"/>
    </w:rPr>
  </w:style>
  <w:style w:type="character" w:customStyle="1" w:styleId="ui-provider">
    <w:name w:val="ui-provider"/>
    <w:basedOn w:val="DefaultParagraphFont"/>
    <w:rsid w:val="00886F93"/>
  </w:style>
  <w:style w:type="character" w:customStyle="1" w:styleId="Mention8">
    <w:name w:val="Mention8"/>
    <w:basedOn w:val="DefaultParagraphFont"/>
    <w:uiPriority w:val="99"/>
    <w:unhideWhenUsed/>
    <w:rsid w:val="009C5C73"/>
    <w:rPr>
      <w:color w:val="2B579A"/>
      <w:shd w:val="clear" w:color="auto" w:fill="E1DFDD"/>
    </w:rPr>
  </w:style>
  <w:style w:type="character" w:customStyle="1" w:styleId="UnresolvedMention4">
    <w:name w:val="Unresolved Mention4"/>
    <w:basedOn w:val="DefaultParagraphFont"/>
    <w:uiPriority w:val="99"/>
    <w:semiHidden/>
    <w:unhideWhenUsed/>
    <w:rsid w:val="00170595"/>
    <w:rPr>
      <w:color w:val="605E5C"/>
      <w:shd w:val="clear" w:color="auto" w:fill="E1DFDD"/>
    </w:rPr>
  </w:style>
  <w:style w:type="character" w:customStyle="1" w:styleId="Mention9">
    <w:name w:val="Mention9"/>
    <w:basedOn w:val="DefaultParagraphFont"/>
    <w:uiPriority w:val="99"/>
    <w:unhideWhenUsed/>
    <w:rsid w:val="004865FA"/>
    <w:rPr>
      <w:color w:val="2B579A"/>
      <w:shd w:val="clear" w:color="auto" w:fill="E1DFDD"/>
    </w:rPr>
  </w:style>
  <w:style w:type="paragraph" w:customStyle="1" w:styleId="EPKitTCFrame">
    <w:name w:val="EPKit TC Frame"/>
    <w:basedOn w:val="Normal"/>
    <w:rsid w:val="00DC5C50"/>
    <w:pPr>
      <w:ind w:left="-1134" w:right="-1134"/>
    </w:pPr>
  </w:style>
  <w:style w:type="character" w:customStyle="1" w:styleId="UnresolvedMention5">
    <w:name w:val="Unresolved Mention5"/>
    <w:basedOn w:val="DefaultParagraphFont"/>
    <w:uiPriority w:val="99"/>
    <w:semiHidden/>
    <w:unhideWhenUsed/>
    <w:rsid w:val="00CF5103"/>
    <w:rPr>
      <w:color w:val="605E5C"/>
      <w:shd w:val="clear" w:color="auto" w:fill="E1DFDD"/>
    </w:rPr>
  </w:style>
  <w:style w:type="character" w:customStyle="1" w:styleId="cf01">
    <w:name w:val="cf01"/>
    <w:basedOn w:val="DefaultParagraphFont"/>
    <w:rPr>
      <w:rFonts w:ascii="Segoe UI" w:hAnsi="Segoe UI" w:cs="Segoe UI" w:hint="default"/>
      <w:sz w:val="18"/>
      <w:szCs w:val="18"/>
    </w:rPr>
  </w:style>
  <w:style w:type="paragraph" w:customStyle="1" w:styleId="Annex">
    <w:name w:val="Annex"/>
    <w:basedOn w:val="Normal"/>
    <w:next w:val="Normal"/>
    <w:rsid w:val="00C4790A"/>
    <w:pPr>
      <w:spacing w:before="120" w:after="120" w:line="360" w:lineRule="auto"/>
      <w:jc w:val="right"/>
    </w:pPr>
    <w:rPr>
      <w:rFonts w:ascii="Times New Roman" w:eastAsiaTheme="minorHAnsi" w:hAnsi="Times New Roman"/>
      <w:b/>
      <w:sz w:val="24"/>
      <w:u w:val="single"/>
    </w:rPr>
  </w:style>
  <w:style w:type="character" w:customStyle="1" w:styleId="Mention">
    <w:name w:val="Mention"/>
    <w:basedOn w:val="DefaultParagraphFont"/>
    <w:uiPriority w:val="99"/>
    <w:unhideWhenUsed/>
    <w:rsid w:val="0054758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117" Type="http://schemas.openxmlformats.org/officeDocument/2006/relationships/header" Target="header54.xml"/><Relationship Id="rId21" Type="http://schemas.openxmlformats.org/officeDocument/2006/relationships/header" Target="header6.xml"/><Relationship Id="rId42" Type="http://schemas.openxmlformats.org/officeDocument/2006/relationships/header" Target="header17.xml"/><Relationship Id="rId47" Type="http://schemas.openxmlformats.org/officeDocument/2006/relationships/header" Target="header19.xml"/><Relationship Id="rId63" Type="http://schemas.openxmlformats.org/officeDocument/2006/relationships/header" Target="header27.xml"/><Relationship Id="rId68" Type="http://schemas.openxmlformats.org/officeDocument/2006/relationships/footer" Target="footer29.xml"/><Relationship Id="rId84" Type="http://schemas.openxmlformats.org/officeDocument/2006/relationships/header" Target="header38.xml"/><Relationship Id="rId89" Type="http://schemas.openxmlformats.org/officeDocument/2006/relationships/header" Target="header40.xml"/><Relationship Id="rId112" Type="http://schemas.openxmlformats.org/officeDocument/2006/relationships/footer" Target="footer51.xml"/><Relationship Id="rId133" Type="http://schemas.openxmlformats.org/officeDocument/2006/relationships/footer" Target="footer61.xml"/><Relationship Id="rId138" Type="http://schemas.openxmlformats.org/officeDocument/2006/relationships/header" Target="header65.xml"/><Relationship Id="rId154" Type="http://schemas.openxmlformats.org/officeDocument/2006/relationships/footer" Target="footer72.xml"/><Relationship Id="rId159" Type="http://schemas.openxmlformats.org/officeDocument/2006/relationships/header" Target="header75.xml"/><Relationship Id="rId175" Type="http://schemas.openxmlformats.org/officeDocument/2006/relationships/footer" Target="footer82.xml"/><Relationship Id="rId170" Type="http://schemas.openxmlformats.org/officeDocument/2006/relationships/footer" Target="footer80.xml"/><Relationship Id="rId16" Type="http://schemas.openxmlformats.org/officeDocument/2006/relationships/footer" Target="footer3.xml"/><Relationship Id="rId107" Type="http://schemas.openxmlformats.org/officeDocument/2006/relationships/header" Target="header49.xml"/><Relationship Id="rId11" Type="http://schemas.openxmlformats.org/officeDocument/2006/relationships/header" Target="header1.xml"/><Relationship Id="rId32" Type="http://schemas.openxmlformats.org/officeDocument/2006/relationships/footer" Target="footer11.xml"/><Relationship Id="rId37" Type="http://schemas.openxmlformats.org/officeDocument/2006/relationships/footer" Target="footer13.xml"/><Relationship Id="rId53" Type="http://schemas.openxmlformats.org/officeDocument/2006/relationships/header" Target="header22.xml"/><Relationship Id="rId58" Type="http://schemas.openxmlformats.org/officeDocument/2006/relationships/footer" Target="footer24.xml"/><Relationship Id="rId74" Type="http://schemas.openxmlformats.org/officeDocument/2006/relationships/footer" Target="footer32.xml"/><Relationship Id="rId79" Type="http://schemas.openxmlformats.org/officeDocument/2006/relationships/footer" Target="footer34.xml"/><Relationship Id="rId102" Type="http://schemas.openxmlformats.org/officeDocument/2006/relationships/header" Target="header47.xml"/><Relationship Id="rId123" Type="http://schemas.openxmlformats.org/officeDocument/2006/relationships/header" Target="header57.xml"/><Relationship Id="rId128" Type="http://schemas.openxmlformats.org/officeDocument/2006/relationships/footer" Target="footer59.xml"/><Relationship Id="rId144" Type="http://schemas.openxmlformats.org/officeDocument/2006/relationships/header" Target="header68.xml"/><Relationship Id="rId149" Type="http://schemas.openxmlformats.org/officeDocument/2006/relationships/header" Target="header70.xml"/><Relationship Id="rId5" Type="http://schemas.openxmlformats.org/officeDocument/2006/relationships/styles" Target="styles.xml"/><Relationship Id="rId90" Type="http://schemas.openxmlformats.org/officeDocument/2006/relationships/header" Target="header41.xml"/><Relationship Id="rId95" Type="http://schemas.openxmlformats.org/officeDocument/2006/relationships/header" Target="header43.xml"/><Relationship Id="rId160" Type="http://schemas.openxmlformats.org/officeDocument/2006/relationships/footer" Target="footer75.xml"/><Relationship Id="rId165" Type="http://schemas.openxmlformats.org/officeDocument/2006/relationships/header" Target="header78.xml"/><Relationship Id="rId181" Type="http://schemas.openxmlformats.org/officeDocument/2006/relationships/footer" Target="footer85.xml"/><Relationship Id="rId186" Type="http://schemas.openxmlformats.org/officeDocument/2006/relationships/theme" Target="theme/theme1.xml"/><Relationship Id="rId22" Type="http://schemas.openxmlformats.org/officeDocument/2006/relationships/footer" Target="footer6.xml"/><Relationship Id="rId27" Type="http://schemas.openxmlformats.org/officeDocument/2006/relationships/header" Target="header9.xml"/><Relationship Id="rId43" Type="http://schemas.openxmlformats.org/officeDocument/2006/relationships/footer" Target="footer16.xml"/><Relationship Id="rId48" Type="http://schemas.openxmlformats.org/officeDocument/2006/relationships/header" Target="header20.xml"/><Relationship Id="rId64" Type="http://schemas.openxmlformats.org/officeDocument/2006/relationships/footer" Target="footer27.xml"/><Relationship Id="rId69" Type="http://schemas.openxmlformats.org/officeDocument/2006/relationships/header" Target="header30.xml"/><Relationship Id="rId113" Type="http://schemas.openxmlformats.org/officeDocument/2006/relationships/header" Target="header52.xml"/><Relationship Id="rId118" Type="http://schemas.openxmlformats.org/officeDocument/2006/relationships/footer" Target="footer54.xml"/><Relationship Id="rId134" Type="http://schemas.openxmlformats.org/officeDocument/2006/relationships/footer" Target="footer62.xml"/><Relationship Id="rId139" Type="http://schemas.openxmlformats.org/officeDocument/2006/relationships/footer" Target="footer64.xml"/><Relationship Id="rId80" Type="http://schemas.openxmlformats.org/officeDocument/2006/relationships/footer" Target="footer35.xml"/><Relationship Id="rId85" Type="http://schemas.openxmlformats.org/officeDocument/2006/relationships/footer" Target="footer37.xml"/><Relationship Id="rId150" Type="http://schemas.openxmlformats.org/officeDocument/2006/relationships/header" Target="header71.xml"/><Relationship Id="rId155" Type="http://schemas.openxmlformats.org/officeDocument/2006/relationships/header" Target="header73.xml"/><Relationship Id="rId171" Type="http://schemas.openxmlformats.org/officeDocument/2006/relationships/header" Target="header81.xml"/><Relationship Id="rId176" Type="http://schemas.openxmlformats.org/officeDocument/2006/relationships/footer" Target="footer83.xml"/><Relationship Id="rId12" Type="http://schemas.openxmlformats.org/officeDocument/2006/relationships/header" Target="header2.xml"/><Relationship Id="rId17" Type="http://schemas.openxmlformats.org/officeDocument/2006/relationships/header" Target="header4.xml"/><Relationship Id="rId33" Type="http://schemas.openxmlformats.org/officeDocument/2006/relationships/header" Target="header12.xml"/><Relationship Id="rId38" Type="http://schemas.openxmlformats.org/officeDocument/2006/relationships/footer" Target="footer14.xml"/><Relationship Id="rId59" Type="http://schemas.openxmlformats.org/officeDocument/2006/relationships/header" Target="header25.xml"/><Relationship Id="rId103" Type="http://schemas.openxmlformats.org/officeDocument/2006/relationships/footer" Target="footer46.xml"/><Relationship Id="rId108" Type="http://schemas.openxmlformats.org/officeDocument/2006/relationships/header" Target="header50.xml"/><Relationship Id="rId124" Type="http://schemas.openxmlformats.org/officeDocument/2006/relationships/footer" Target="footer57.xml"/><Relationship Id="rId129" Type="http://schemas.openxmlformats.org/officeDocument/2006/relationships/header" Target="header60.xml"/><Relationship Id="rId54" Type="http://schemas.openxmlformats.org/officeDocument/2006/relationships/header" Target="header23.xml"/><Relationship Id="rId70" Type="http://schemas.openxmlformats.org/officeDocument/2006/relationships/footer" Target="footer30.xml"/><Relationship Id="rId75" Type="http://schemas.openxmlformats.org/officeDocument/2006/relationships/header" Target="header33.xml"/><Relationship Id="rId91" Type="http://schemas.openxmlformats.org/officeDocument/2006/relationships/footer" Target="footer40.xml"/><Relationship Id="rId96" Type="http://schemas.openxmlformats.org/officeDocument/2006/relationships/header" Target="header44.xml"/><Relationship Id="rId140" Type="http://schemas.openxmlformats.org/officeDocument/2006/relationships/footer" Target="footer65.xml"/><Relationship Id="rId145" Type="http://schemas.openxmlformats.org/officeDocument/2006/relationships/footer" Target="footer67.xml"/><Relationship Id="rId161" Type="http://schemas.openxmlformats.org/officeDocument/2006/relationships/header" Target="header76.xml"/><Relationship Id="rId166" Type="http://schemas.openxmlformats.org/officeDocument/2006/relationships/footer" Target="footer78.xml"/><Relationship Id="rId182" Type="http://schemas.openxmlformats.org/officeDocument/2006/relationships/footer" Target="footer86.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eader" Target="header7.xml"/><Relationship Id="rId28" Type="http://schemas.openxmlformats.org/officeDocument/2006/relationships/footer" Target="footer9.xml"/><Relationship Id="rId49" Type="http://schemas.openxmlformats.org/officeDocument/2006/relationships/footer" Target="footer19.xml"/><Relationship Id="rId114" Type="http://schemas.openxmlformats.org/officeDocument/2006/relationships/header" Target="header53.xml"/><Relationship Id="rId119" Type="http://schemas.openxmlformats.org/officeDocument/2006/relationships/header" Target="header55.xml"/><Relationship Id="rId44" Type="http://schemas.openxmlformats.org/officeDocument/2006/relationships/footer" Target="footer17.xml"/><Relationship Id="rId60" Type="http://schemas.openxmlformats.org/officeDocument/2006/relationships/header" Target="header26.xml"/><Relationship Id="rId65" Type="http://schemas.openxmlformats.org/officeDocument/2006/relationships/header" Target="header28.xml"/><Relationship Id="rId81" Type="http://schemas.openxmlformats.org/officeDocument/2006/relationships/header" Target="header36.xml"/><Relationship Id="rId86" Type="http://schemas.openxmlformats.org/officeDocument/2006/relationships/footer" Target="footer38.xml"/><Relationship Id="rId130" Type="http://schemas.openxmlformats.org/officeDocument/2006/relationships/footer" Target="footer60.xml"/><Relationship Id="rId135" Type="http://schemas.openxmlformats.org/officeDocument/2006/relationships/header" Target="header63.xml"/><Relationship Id="rId151" Type="http://schemas.openxmlformats.org/officeDocument/2006/relationships/footer" Target="footer70.xml"/><Relationship Id="rId156" Type="http://schemas.openxmlformats.org/officeDocument/2006/relationships/header" Target="header74.xml"/><Relationship Id="rId177" Type="http://schemas.openxmlformats.org/officeDocument/2006/relationships/header" Target="header84.xml"/><Relationship Id="rId4" Type="http://schemas.openxmlformats.org/officeDocument/2006/relationships/numbering" Target="numbering.xml"/><Relationship Id="rId9" Type="http://schemas.openxmlformats.org/officeDocument/2006/relationships/endnotes" Target="endnotes.xml"/><Relationship Id="rId172" Type="http://schemas.openxmlformats.org/officeDocument/2006/relationships/footer" Target="footer81.xml"/><Relationship Id="rId180" Type="http://schemas.openxmlformats.org/officeDocument/2006/relationships/header" Target="header86.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eader" Target="header15.xml"/><Relationship Id="rId109" Type="http://schemas.openxmlformats.org/officeDocument/2006/relationships/footer" Target="footer49.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footer" Target="footer43.xml"/><Relationship Id="rId104" Type="http://schemas.openxmlformats.org/officeDocument/2006/relationships/footer" Target="footer47.xml"/><Relationship Id="rId120" Type="http://schemas.openxmlformats.org/officeDocument/2006/relationships/header" Target="header56.xml"/><Relationship Id="rId125" Type="http://schemas.openxmlformats.org/officeDocument/2006/relationships/header" Target="header58.xml"/><Relationship Id="rId141" Type="http://schemas.openxmlformats.org/officeDocument/2006/relationships/header" Target="header66.xml"/><Relationship Id="rId146" Type="http://schemas.openxmlformats.org/officeDocument/2006/relationships/footer" Target="footer68.xml"/><Relationship Id="rId167" Type="http://schemas.openxmlformats.org/officeDocument/2006/relationships/header" Target="header79.xml"/><Relationship Id="rId7" Type="http://schemas.openxmlformats.org/officeDocument/2006/relationships/webSettings" Target="webSettings.xml"/><Relationship Id="rId71" Type="http://schemas.openxmlformats.org/officeDocument/2006/relationships/header" Target="header31.xml"/><Relationship Id="rId92" Type="http://schemas.openxmlformats.org/officeDocument/2006/relationships/footer" Target="footer41.xml"/><Relationship Id="rId162" Type="http://schemas.openxmlformats.org/officeDocument/2006/relationships/header" Target="header77.xml"/><Relationship Id="rId183" Type="http://schemas.openxmlformats.org/officeDocument/2006/relationships/header" Target="header87.xml"/><Relationship Id="rId2" Type="http://schemas.openxmlformats.org/officeDocument/2006/relationships/customXml" Target="../customXml/item2.xml"/><Relationship Id="rId29" Type="http://schemas.openxmlformats.org/officeDocument/2006/relationships/header" Target="header10.xml"/><Relationship Id="rId24" Type="http://schemas.openxmlformats.org/officeDocument/2006/relationships/header" Target="header8.xml"/><Relationship Id="rId40" Type="http://schemas.openxmlformats.org/officeDocument/2006/relationships/footer" Target="footer15.xml"/><Relationship Id="rId45" Type="http://schemas.openxmlformats.org/officeDocument/2006/relationships/header" Target="header18.xml"/><Relationship Id="rId66" Type="http://schemas.openxmlformats.org/officeDocument/2006/relationships/header" Target="header29.xml"/><Relationship Id="rId87" Type="http://schemas.openxmlformats.org/officeDocument/2006/relationships/header" Target="header39.xml"/><Relationship Id="rId110" Type="http://schemas.openxmlformats.org/officeDocument/2006/relationships/footer" Target="footer50.xml"/><Relationship Id="rId115" Type="http://schemas.openxmlformats.org/officeDocument/2006/relationships/footer" Target="footer52.xml"/><Relationship Id="rId131" Type="http://schemas.openxmlformats.org/officeDocument/2006/relationships/header" Target="header61.xml"/><Relationship Id="rId136" Type="http://schemas.openxmlformats.org/officeDocument/2006/relationships/footer" Target="footer63.xml"/><Relationship Id="rId157" Type="http://schemas.openxmlformats.org/officeDocument/2006/relationships/footer" Target="footer73.xml"/><Relationship Id="rId178" Type="http://schemas.openxmlformats.org/officeDocument/2006/relationships/footer" Target="footer84.xml"/><Relationship Id="rId61" Type="http://schemas.openxmlformats.org/officeDocument/2006/relationships/footer" Target="footer25.xml"/><Relationship Id="rId82" Type="http://schemas.openxmlformats.org/officeDocument/2006/relationships/footer" Target="footer36.xml"/><Relationship Id="rId152" Type="http://schemas.openxmlformats.org/officeDocument/2006/relationships/footer" Target="footer71.xml"/><Relationship Id="rId173" Type="http://schemas.openxmlformats.org/officeDocument/2006/relationships/header" Target="header82.xml"/><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header" Target="header11.xml"/><Relationship Id="rId35" Type="http://schemas.openxmlformats.org/officeDocument/2006/relationships/header" Target="header13.xml"/><Relationship Id="rId56" Type="http://schemas.openxmlformats.org/officeDocument/2006/relationships/footer" Target="footer23.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header" Target="header48.xml"/><Relationship Id="rId126" Type="http://schemas.openxmlformats.org/officeDocument/2006/relationships/header" Target="header59.xml"/><Relationship Id="rId147" Type="http://schemas.openxmlformats.org/officeDocument/2006/relationships/header" Target="header69.xml"/><Relationship Id="rId168" Type="http://schemas.openxmlformats.org/officeDocument/2006/relationships/header" Target="header80.xml"/><Relationship Id="rId8" Type="http://schemas.openxmlformats.org/officeDocument/2006/relationships/footnotes" Target="footnotes.xml"/><Relationship Id="rId51" Type="http://schemas.openxmlformats.org/officeDocument/2006/relationships/header" Target="header21.xml"/><Relationship Id="rId72" Type="http://schemas.openxmlformats.org/officeDocument/2006/relationships/header" Target="header32.xml"/><Relationship Id="rId93" Type="http://schemas.openxmlformats.org/officeDocument/2006/relationships/header" Target="header42.xml"/><Relationship Id="rId98" Type="http://schemas.openxmlformats.org/officeDocument/2006/relationships/footer" Target="footer44.xml"/><Relationship Id="rId121" Type="http://schemas.openxmlformats.org/officeDocument/2006/relationships/footer" Target="footer55.xml"/><Relationship Id="rId142" Type="http://schemas.openxmlformats.org/officeDocument/2006/relationships/footer" Target="footer66.xml"/><Relationship Id="rId163" Type="http://schemas.openxmlformats.org/officeDocument/2006/relationships/footer" Target="footer76.xml"/><Relationship Id="rId184" Type="http://schemas.openxmlformats.org/officeDocument/2006/relationships/footer" Target="footer87.xml"/><Relationship Id="rId3" Type="http://schemas.openxmlformats.org/officeDocument/2006/relationships/customXml" Target="../customXml/item3.xml"/><Relationship Id="rId25" Type="http://schemas.openxmlformats.org/officeDocument/2006/relationships/footer" Target="footer7.xml"/><Relationship Id="rId46" Type="http://schemas.openxmlformats.org/officeDocument/2006/relationships/footer" Target="footer18.xml"/><Relationship Id="rId67" Type="http://schemas.openxmlformats.org/officeDocument/2006/relationships/footer" Target="footer28.xml"/><Relationship Id="rId116" Type="http://schemas.openxmlformats.org/officeDocument/2006/relationships/footer" Target="footer53.xml"/><Relationship Id="rId137" Type="http://schemas.openxmlformats.org/officeDocument/2006/relationships/header" Target="header64.xml"/><Relationship Id="rId158" Type="http://schemas.openxmlformats.org/officeDocument/2006/relationships/footer" Target="footer74.xml"/><Relationship Id="rId20" Type="http://schemas.openxmlformats.org/officeDocument/2006/relationships/footer" Target="footer5.xml"/><Relationship Id="rId41" Type="http://schemas.openxmlformats.org/officeDocument/2006/relationships/header" Target="header16.xml"/><Relationship Id="rId62" Type="http://schemas.openxmlformats.org/officeDocument/2006/relationships/footer" Target="footer26.xml"/><Relationship Id="rId83" Type="http://schemas.openxmlformats.org/officeDocument/2006/relationships/header" Target="header37.xml"/><Relationship Id="rId88" Type="http://schemas.openxmlformats.org/officeDocument/2006/relationships/footer" Target="footer39.xml"/><Relationship Id="rId111" Type="http://schemas.openxmlformats.org/officeDocument/2006/relationships/header" Target="header51.xml"/><Relationship Id="rId132" Type="http://schemas.openxmlformats.org/officeDocument/2006/relationships/header" Target="header62.xml"/><Relationship Id="rId153" Type="http://schemas.openxmlformats.org/officeDocument/2006/relationships/header" Target="header72.xml"/><Relationship Id="rId174" Type="http://schemas.openxmlformats.org/officeDocument/2006/relationships/header" Target="header83.xml"/><Relationship Id="rId179" Type="http://schemas.openxmlformats.org/officeDocument/2006/relationships/header" Target="header85.xml"/><Relationship Id="rId15" Type="http://schemas.openxmlformats.org/officeDocument/2006/relationships/header" Target="header3.xml"/><Relationship Id="rId36" Type="http://schemas.openxmlformats.org/officeDocument/2006/relationships/header" Target="header14.xml"/><Relationship Id="rId57" Type="http://schemas.openxmlformats.org/officeDocument/2006/relationships/header" Target="header24.xml"/><Relationship Id="rId106" Type="http://schemas.openxmlformats.org/officeDocument/2006/relationships/footer" Target="footer48.xml"/><Relationship Id="rId127" Type="http://schemas.openxmlformats.org/officeDocument/2006/relationships/footer" Target="footer58.xml"/><Relationship Id="rId10" Type="http://schemas.openxmlformats.org/officeDocument/2006/relationships/image" Target="media/image1.emf"/><Relationship Id="rId31" Type="http://schemas.openxmlformats.org/officeDocument/2006/relationships/footer" Target="footer10.xml"/><Relationship Id="rId52" Type="http://schemas.openxmlformats.org/officeDocument/2006/relationships/footer" Target="footer21.xml"/><Relationship Id="rId73" Type="http://schemas.openxmlformats.org/officeDocument/2006/relationships/footer" Target="footer31.xml"/><Relationship Id="rId78" Type="http://schemas.openxmlformats.org/officeDocument/2006/relationships/header" Target="header35.xml"/><Relationship Id="rId94" Type="http://schemas.openxmlformats.org/officeDocument/2006/relationships/footer" Target="footer42.xml"/><Relationship Id="rId99" Type="http://schemas.openxmlformats.org/officeDocument/2006/relationships/header" Target="header45.xml"/><Relationship Id="rId101" Type="http://schemas.openxmlformats.org/officeDocument/2006/relationships/header" Target="header46.xml"/><Relationship Id="rId122" Type="http://schemas.openxmlformats.org/officeDocument/2006/relationships/footer" Target="footer56.xml"/><Relationship Id="rId143" Type="http://schemas.openxmlformats.org/officeDocument/2006/relationships/header" Target="header67.xml"/><Relationship Id="rId148" Type="http://schemas.openxmlformats.org/officeDocument/2006/relationships/footer" Target="footer69.xml"/><Relationship Id="rId164" Type="http://schemas.openxmlformats.org/officeDocument/2006/relationships/footer" Target="footer77.xml"/><Relationship Id="rId169" Type="http://schemas.openxmlformats.org/officeDocument/2006/relationships/footer" Target="footer79.xml"/><Relationship Id="rId18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3" ma:contentTypeDescription="Create a new document." ma:contentTypeScope="" ma:versionID="b72f66ab3e3b10f8fe9f258f947c85db">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4c5fcd0a0bc2421e26d50c2cf815de47"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AresRegNumber"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1" nillable="true" ma:displayName="Declared Record" ma:hidden="true" ma:internalName="_vti_ItemDeclaredRecord" ma:readOnly="true">
      <xsd:simpleType>
        <xsd:restriction base="dms:DateTime"/>
      </xsd:simpleType>
    </xsd:element>
    <xsd:element name="_vti_ItemHoldRecordStatus" ma:index="22"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AresRegNumber" ma:index="15" nillable="true" ma:displayName="Ares Reg Number" ma:format="Dropdown" ma:internalName="AresRegNumber">
      <xsd:simpleType>
        <xsd:restriction base="dms:Text">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EC_ARES_NUMBER" ma:index="17" nillable="true" ma:displayName="ARES" ma:format="Hyperlink"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8" nillable="true" ma:displayName="Transferred to Ares" ma:format="DateTime" ma:hidden="true" ma:internalName="EC_ARES_DATE_TRANSFERRED">
      <xsd:simpleType>
        <xsd:restriction base="dms:DateTime"/>
      </xsd:simpleType>
    </xsd:element>
    <xsd:element name="EC_ARES_TRANSFERRED_BY" ma:index="19" nillable="true" ma:displayName="Transferred By" ma:hidden="true" ma:internalName="EC_ARES_TRANSFERRED_BY">
      <xsd:simpleType>
        <xsd:restriction base="dms:Text"/>
      </xsd:simpleType>
    </xsd:element>
    <xsd:element name="TaxCatchAll" ma:index="25" nillable="true" ma:displayName="Taxonomy Catch All Column" ma:hidden="true" ma:list="{86693cb2-b63e-42ad-aaaa-4e8fdc6d320a}"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resRegNumber xmlns="1700ab43-7395-48ff-866c-657c86ba7f4e" xsi:nil="true"/>
    <EC_ARES_NUMBER xmlns="e6c3bc29-9e11-4027-900b-c73633d7928a">
      <Url xsi:nil="true"/>
      <Description xsi:nil="true"/>
    </EC_ARES_NUMBER>
    <EC_ARES_TRANSFERRED_BY xmlns="e6c3bc29-9e11-4027-900b-c73633d7928a" xsi:nil="true"/>
    <IconOverlay xmlns="http://schemas.microsoft.com/sharepoint/v4" xsi:nil="true"/>
    <EC_ARES_DATE_TRANSFERRED xmlns="e6c3bc29-9e11-4027-900b-c73633d7928a" xsi:nil="true"/>
    <lcf76f155ced4ddcb4097134ff3c332f xmlns="1700ab43-7395-48ff-866c-657c86ba7f4e">
      <Terms xmlns="http://schemas.microsoft.com/office/infopath/2007/PartnerControls"/>
    </lcf76f155ced4ddcb4097134ff3c332f>
    <TaxCatchAll xmlns="e6c3bc29-9e11-4027-900b-c73633d7928a" xsi:nil="true"/>
  </documentManagement>
</p:properties>
</file>

<file path=customXml/itemProps1.xml><?xml version="1.0" encoding="utf-8"?>
<ds:datastoreItem xmlns:ds="http://schemas.openxmlformats.org/officeDocument/2006/customXml" ds:itemID="{2DE83C35-D777-4D8D-BA24-0E7EE6719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D4DC9E-9D0E-4884-9AB7-C35295ACD704}">
  <ds:schemaRefs>
    <ds:schemaRef ds:uri="http://schemas.microsoft.com/sharepoint/v3/contenttype/forms"/>
  </ds:schemaRefs>
</ds:datastoreItem>
</file>

<file path=customXml/itemProps3.xml><?xml version="1.0" encoding="utf-8"?>
<ds:datastoreItem xmlns:ds="http://schemas.openxmlformats.org/officeDocument/2006/customXml" ds:itemID="{C674C8B9-5C05-4336-865A-1C6EA582E962}">
  <ds:schemaRefs>
    <ds:schemaRef ds:uri="http://schemas.microsoft.com/office/2006/metadata/properties"/>
    <ds:schemaRef ds:uri="http://schemas.microsoft.com/office/infopath/2007/PartnerControls"/>
    <ds:schemaRef ds:uri="1700ab43-7395-48ff-866c-657c86ba7f4e"/>
    <ds:schemaRef ds:uri="e6c3bc29-9e11-4027-900b-c73633d7928a"/>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5</Pages>
  <Words>28212</Words>
  <Characters>160815</Characters>
  <Application>Microsoft Office Word</Application>
  <DocSecurity>0</DocSecurity>
  <Lines>1340</Lines>
  <Paragraphs>377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188650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41</cp:revision>
  <dcterms:created xsi:type="dcterms:W3CDTF">2026-06-10T13:47:00Z</dcterms:created>
  <dcterms:modified xsi:type="dcterms:W3CDTF">2026-06-16T10:40:00Z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2026-06-10T11:24:55Z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ec2d4e4b-6a5d-4516-81a5-ec782dfd6fba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MediaServiceImageTags">
    <vt:lpwstr/>
  </property>
  <property fmtid="{D5CDD505-2E9C-101B-9397-08002B2CF9AE}" pid="12" name="ContentTypeId">
    <vt:lpwstr>0x01010062094E9F29D6C04F85860C631ABC812A</vt:lpwstr>
  </property>
  <property fmtid="{D5CDD505-2E9C-101B-9397-08002B2CF9AE}" pid="13" name="MSIP_Label_af60b174-6478-47f9-866e-33f097bb6603_SiteId">
    <vt:lpwstr>03ad1c97-0a4d-4e82-8f93-27291a6a0767</vt:lpwstr>
  </property>
  <property fmtid="{D5CDD505-2E9C-101B-9397-08002B2CF9AE}" pid="14" name="MSIP_Label_af60b174-6478-47f9-866e-33f097bb6603_Method">
    <vt:lpwstr>Privileged</vt:lpwstr>
  </property>
  <property fmtid="{D5CDD505-2E9C-101B-9397-08002B2CF9AE}" pid="15" name="MSIP_Label_af60b174-6478-47f9-866e-33f097bb6603_ContentBits">
    <vt:lpwstr>0</vt:lpwstr>
  </property>
  <property fmtid="{D5CDD505-2E9C-101B-9397-08002B2CF9AE}" pid="16" name="MSIP_Label_af60b174-6478-47f9-866e-33f097bb6603_Name">
    <vt:lpwstr>GSCEU - PUBLIC Label</vt:lpwstr>
  </property>
  <property fmtid="{D5CDD505-2E9C-101B-9397-08002B2CF9AE}" pid="17" name="MSIP_Label_af60b174-6478-47f9-866e-33f097bb6603_Enabled">
    <vt:lpwstr>true</vt:lpwstr>
  </property>
  <property fmtid="{D5CDD505-2E9C-101B-9397-08002B2CF9AE}" pid="18" name="MSIP_Label_af60b174-6478-47f9-866e-33f097bb6603_ActionId">
    <vt:lpwstr>084F11E1-6C8D-4405-B782-C0714F842605</vt:lpwstr>
  </property>
  <property fmtid="{D5CDD505-2E9C-101B-9397-08002B2CF9AE}" pid="19" name="MSIP_Label_af60b174-6478-47f9-866e-33f097bb6603_SetDate">
    <vt:lpwstr>2026-01-13T16:11:27Z</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