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244680" w14:textId="255A499C" w:rsidR="00446D5D" w:rsidRPr="00F829E9" w:rsidRDefault="000F6745" w:rsidP="000F6745">
      <w:pPr>
        <w:pStyle w:val="Pagedecouverture"/>
        <w:rPr>
          <w:noProof/>
        </w:rPr>
      </w:pPr>
      <w:r>
        <w:rPr>
          <w:noProof/>
        </w:rPr>
        <w:pict w14:anchorId="20A67D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48E7C41-C76D-4856-868B-1CA8E23BBE0C" style="width:455.25pt;height:357.75pt">
            <v:imagedata r:id="rId11" o:title=""/>
          </v:shape>
        </w:pict>
      </w:r>
    </w:p>
    <w:p w14:paraId="39B19A61" w14:textId="77777777" w:rsidR="00945E1A" w:rsidRPr="00F829E9" w:rsidRDefault="00945E1A" w:rsidP="008F3A8B">
      <w:pPr>
        <w:spacing w:line="276" w:lineRule="auto"/>
        <w:rPr>
          <w:noProof/>
        </w:rPr>
        <w:sectPr w:rsidR="00945E1A" w:rsidRPr="00F829E9" w:rsidSect="000F6745">
          <w:footerReference w:type="even" r:id="rId12"/>
          <w:footerReference w:type="default" r:id="rId13"/>
          <w:pgSz w:w="11907" w:h="16839"/>
          <w:pgMar w:top="1134" w:right="1417" w:bottom="1134" w:left="1417" w:header="709" w:footer="709" w:gutter="0"/>
          <w:pgNumType w:start="0"/>
          <w:cols w:space="720"/>
          <w:docGrid w:linePitch="360"/>
        </w:sectPr>
      </w:pPr>
    </w:p>
    <w:p w14:paraId="6D7C5B12" w14:textId="77777777" w:rsidR="00C064F5" w:rsidRPr="00F829E9" w:rsidRDefault="00C064F5" w:rsidP="008F3A8B">
      <w:pPr>
        <w:pStyle w:val="Exposdesmotifstitre"/>
        <w:spacing w:line="276" w:lineRule="auto"/>
        <w:ind w:left="360"/>
        <w:rPr>
          <w:noProof/>
          <w:sz w:val="2"/>
          <w:szCs w:val="2"/>
        </w:rPr>
      </w:pPr>
      <w:bookmarkStart w:id="0" w:name="_GoBack"/>
      <w:bookmarkEnd w:id="0"/>
    </w:p>
    <w:p w14:paraId="56BEA797" w14:textId="77777777" w:rsidR="00C064F5" w:rsidRPr="00F829E9" w:rsidRDefault="00C064F5" w:rsidP="008F3A8B">
      <w:pPr>
        <w:spacing w:line="276" w:lineRule="auto"/>
        <w:rPr>
          <w:noProof/>
          <w:sz w:val="2"/>
          <w:szCs w:val="2"/>
        </w:rPr>
      </w:pPr>
    </w:p>
    <w:p w14:paraId="6B3034FA" w14:textId="26F9D50D" w:rsidR="00A04C54" w:rsidRPr="00F829E9" w:rsidRDefault="007059DB" w:rsidP="007059DB">
      <w:pPr>
        <w:pStyle w:val="Rfrenceinterinstitutionnelle"/>
        <w:rPr>
          <w:noProof/>
        </w:rPr>
      </w:pPr>
      <w:r>
        <w:rPr>
          <w:noProof/>
        </w:rPr>
        <w:t>2026/0167 (NLE)</w:t>
      </w:r>
    </w:p>
    <w:p w14:paraId="336D54F4" w14:textId="17ACD093" w:rsidR="00446D5D" w:rsidRPr="00F829E9" w:rsidRDefault="007059DB" w:rsidP="007059DB">
      <w:pPr>
        <w:pStyle w:val="Statut"/>
        <w:rPr>
          <w:noProof/>
        </w:rPr>
      </w:pPr>
      <w:r w:rsidRPr="00F829E9">
        <w:rPr>
          <w:noProof/>
        </w:rPr>
        <w:t>Proposition de</w:t>
      </w:r>
    </w:p>
    <w:p w14:paraId="0460F17B" w14:textId="7E1703D5" w:rsidR="00446D5D" w:rsidRPr="00F829E9" w:rsidRDefault="007059DB" w:rsidP="007059DB">
      <w:pPr>
        <w:pStyle w:val="Typedudocument"/>
        <w:rPr>
          <w:noProof/>
        </w:rPr>
      </w:pPr>
      <w:r w:rsidRPr="00F829E9">
        <w:rPr>
          <w:noProof/>
        </w:rPr>
        <w:t>DÉCISION D’EXÉCUTION DU CONSEIL</w:t>
      </w:r>
    </w:p>
    <w:p w14:paraId="161CB12F" w14:textId="4580462C" w:rsidR="00446D5D" w:rsidRPr="00F829E9" w:rsidRDefault="007059DB" w:rsidP="007059DB">
      <w:pPr>
        <w:pStyle w:val="Titreobjet"/>
        <w:rPr>
          <w:noProof/>
        </w:rPr>
      </w:pPr>
      <w:r w:rsidRPr="00F829E9">
        <w:rPr>
          <w:noProof/>
        </w:rPr>
        <w:t xml:space="preserve">modifiant la décision d’exécution (UE) 2024/1447 relative à l’approbation de l’évaluation du plan pour l’Ukraine </w:t>
      </w:r>
      <w:r w:rsidRPr="00F829E9">
        <w:rPr>
          <w:noProof/>
        </w:rPr>
        <w:br/>
      </w:r>
    </w:p>
    <w:p w14:paraId="08B1986E" w14:textId="77777777" w:rsidR="00C0112C" w:rsidRPr="00F829E9" w:rsidRDefault="00C0112C" w:rsidP="00C0112C">
      <w:pPr>
        <w:pStyle w:val="Institutionquiagit"/>
        <w:rPr>
          <w:noProof/>
        </w:rPr>
      </w:pPr>
      <w:r w:rsidRPr="00F829E9">
        <w:rPr>
          <w:noProof/>
        </w:rPr>
        <w:t>LE CONSEIL DE L’UNION EUROPÉENNE,</w:t>
      </w:r>
    </w:p>
    <w:p w14:paraId="6D82A1E9" w14:textId="77777777" w:rsidR="00DC09DB" w:rsidRPr="00F829E9" w:rsidRDefault="00DC09DB" w:rsidP="00DC09DB">
      <w:pPr>
        <w:rPr>
          <w:noProof/>
        </w:rPr>
      </w:pPr>
      <w:r w:rsidRPr="00F829E9">
        <w:rPr>
          <w:noProof/>
        </w:rPr>
        <w:t xml:space="preserve">vu le traité sur le fonctionnement de l’Union européenne, </w:t>
      </w:r>
    </w:p>
    <w:p w14:paraId="478A4920" w14:textId="77777777" w:rsidR="00DC09DB" w:rsidRPr="00F829E9" w:rsidRDefault="00DC09DB" w:rsidP="00DC09DB">
      <w:pPr>
        <w:rPr>
          <w:noProof/>
        </w:rPr>
      </w:pPr>
      <w:r w:rsidRPr="00F829E9">
        <w:rPr>
          <w:noProof/>
        </w:rPr>
        <w:t>vu le règlement (UE) 2024/792 du Parlement européen et du Conseil du 29 février 2024 établissant la facilité pour l’Ukraine</w:t>
      </w:r>
      <w:r w:rsidRPr="00F829E9">
        <w:rPr>
          <w:rStyle w:val="FootnoteReference"/>
          <w:noProof/>
        </w:rPr>
        <w:footnoteReference w:id="2"/>
      </w:r>
      <w:r w:rsidRPr="00F829E9">
        <w:rPr>
          <w:noProof/>
        </w:rPr>
        <w:t>, et notamment son article 20, paragraphe 2,</w:t>
      </w:r>
    </w:p>
    <w:p w14:paraId="1F24369B" w14:textId="77777777" w:rsidR="00DC09DB" w:rsidRPr="00F829E9" w:rsidRDefault="00DC09DB" w:rsidP="00DC09DB">
      <w:pPr>
        <w:rPr>
          <w:noProof/>
        </w:rPr>
      </w:pPr>
      <w:r w:rsidRPr="00F829E9">
        <w:rPr>
          <w:noProof/>
        </w:rPr>
        <w:t>vu la proposition de la Commission européenne,</w:t>
      </w:r>
    </w:p>
    <w:p w14:paraId="4B4F93F3" w14:textId="77777777" w:rsidR="00DC09DB" w:rsidRPr="00F829E9" w:rsidRDefault="00DC09DB" w:rsidP="00DC09DB">
      <w:pPr>
        <w:rPr>
          <w:noProof/>
        </w:rPr>
      </w:pPr>
      <w:r w:rsidRPr="00F829E9">
        <w:rPr>
          <w:noProof/>
        </w:rPr>
        <w:t>considérant ce qui suit:</w:t>
      </w:r>
    </w:p>
    <w:p w14:paraId="46EBC198" w14:textId="27B815AA" w:rsidR="00DC09DB" w:rsidRPr="00F829E9" w:rsidRDefault="00DC09DB" w:rsidP="009325DD">
      <w:pPr>
        <w:pStyle w:val="ManualConsidrant"/>
        <w:rPr>
          <w:noProof/>
        </w:rPr>
      </w:pPr>
      <w:r>
        <w:rPr>
          <w:noProof/>
        </w:rPr>
        <w:t>(1)</w:t>
      </w:r>
      <w:r>
        <w:rPr>
          <w:noProof/>
        </w:rPr>
        <w:tab/>
      </w:r>
      <w:r w:rsidRPr="00F829E9">
        <w:rPr>
          <w:noProof/>
        </w:rPr>
        <w:t>Après la présentation du plan pour l’Ukraine (ci-après le «plan») par cette dernière le 20 mars 2024, la Commission a proposé au Conseil que ce plan reçoive une évaluation positive.</w:t>
      </w:r>
      <w:r w:rsidRPr="00F829E9">
        <w:rPr>
          <w:noProof/>
          <w:color w:val="000000"/>
          <w:shd w:val="clear" w:color="auto" w:fill="FFFFFF"/>
        </w:rPr>
        <w:t xml:space="preserve"> </w:t>
      </w:r>
      <w:r w:rsidRPr="00F829E9">
        <w:rPr>
          <w:noProof/>
        </w:rPr>
        <w:t>Le Conseil a approuvé cette évaluation positive par sa décision d’exécution (UE) 2024/1447</w:t>
      </w:r>
      <w:r w:rsidRPr="00F829E9">
        <w:rPr>
          <w:rStyle w:val="FootnoteReference"/>
          <w:noProof/>
        </w:rPr>
        <w:footnoteReference w:id="3"/>
      </w:r>
      <w:r w:rsidRPr="00F829E9">
        <w:rPr>
          <w:noProof/>
        </w:rPr>
        <w:t>.</w:t>
      </w:r>
    </w:p>
    <w:p w14:paraId="5D6EC8C5" w14:textId="3EFBE776" w:rsidR="00DC09DB" w:rsidRPr="00F829E9" w:rsidRDefault="00DC09DB" w:rsidP="7A64FB69">
      <w:pPr>
        <w:pStyle w:val="ManualConsidrant"/>
        <w:rPr>
          <w:noProof/>
        </w:rPr>
      </w:pPr>
      <w:r>
        <w:rPr>
          <w:noProof/>
        </w:rPr>
        <w:t>(2)</w:t>
      </w:r>
      <w:r>
        <w:rPr>
          <w:noProof/>
        </w:rPr>
        <w:tab/>
      </w:r>
      <w:r w:rsidRPr="00F829E9">
        <w:rPr>
          <w:noProof/>
        </w:rPr>
        <w:t>Depuis l’approbation du plan par le Conseil, et conformément aux articles 24 et 25 du règlement (UE) 2024/792, un montant de 6 000 000 000 EUR a été versé à l’Ukraine à titre de financement-relais exceptionnel, et un montant de 1 890 000 000 EUR a été versé à l’Ukraine sous la forme d’un préfinancement représentant un paiement anticipé de 7 % du soutien sous forme de prêt que l’Ukraine est habilitée à recevoir au titre du plan. Un montant supplémentaire de 21 640 176 104 EUR a été versé à l’Ukraine lors du décaissement des sept premières tranches au titre du plan, conformément à l’article 26, paragraphe 4, du règlement (UE) 2024/792.</w:t>
      </w:r>
    </w:p>
    <w:p w14:paraId="7E1924A0" w14:textId="647516DD" w:rsidR="00DC09DB" w:rsidRPr="00F829E9" w:rsidRDefault="00DC09DB" w:rsidP="009325DD">
      <w:pPr>
        <w:pStyle w:val="ManualConsidrant"/>
        <w:rPr>
          <w:noProof/>
        </w:rPr>
      </w:pPr>
      <w:r>
        <w:rPr>
          <w:noProof/>
        </w:rPr>
        <w:t>(3)</w:t>
      </w:r>
      <w:r>
        <w:rPr>
          <w:noProof/>
        </w:rPr>
        <w:tab/>
      </w:r>
      <w:r w:rsidRPr="00F829E9">
        <w:rPr>
          <w:noProof/>
        </w:rPr>
        <w:t>Le 24 février 2026, le Parlement européen et le Conseil ont adopté le règlement (UE) 2026/467 mettant en œuvre une coopération renforcée concernant l’établissement du prêt de soutien à l’Ukraine pour 2026 et 2027.</w:t>
      </w:r>
    </w:p>
    <w:p w14:paraId="259F0005" w14:textId="20171D1F" w:rsidR="00DC09DB" w:rsidRPr="00F829E9" w:rsidRDefault="00DC09DB" w:rsidP="009325DD">
      <w:pPr>
        <w:pStyle w:val="ManualConsidrant"/>
        <w:rPr>
          <w:noProof/>
        </w:rPr>
      </w:pPr>
      <w:r>
        <w:rPr>
          <w:noProof/>
        </w:rPr>
        <w:t>(4)</w:t>
      </w:r>
      <w:r>
        <w:rPr>
          <w:noProof/>
        </w:rPr>
        <w:tab/>
      </w:r>
      <w:r w:rsidRPr="00F829E9">
        <w:rPr>
          <w:noProof/>
        </w:rPr>
        <w:t>Conformément au règlement (UE) 2026/467, en vertu de la décision d’exécution (UE) 2026/919 du Conseil du 23 avril 2026</w:t>
      </w:r>
      <w:r w:rsidRPr="00F829E9">
        <w:rPr>
          <w:rStyle w:val="FootnoteReference"/>
          <w:noProof/>
        </w:rPr>
        <w:footnoteReference w:id="4"/>
      </w:r>
      <w:r w:rsidRPr="00F829E9">
        <w:rPr>
          <w:noProof/>
        </w:rPr>
        <w:t xml:space="preserve">, une assistance d’un montant maximal de 45 000 000 000 EUR a été mise à la disposition de l’Ukraine afin de contribuer à la mise en œuvre de la stratégie de financement ukrainienne. Cette assistance devrait couvrir </w:t>
      </w:r>
      <w:r w:rsidRPr="00F829E9">
        <w:rPr>
          <w:noProof/>
        </w:rPr>
        <w:lastRenderedPageBreak/>
        <w:t xml:space="preserve">les besoins de financement recensés par l’Ukraine dans la stratégie de financement ukrainienne pour la période allant jusqu’au 31 décembre 2026. </w:t>
      </w:r>
    </w:p>
    <w:p w14:paraId="5FD076E3" w14:textId="3A90AB94" w:rsidR="00DC09DB" w:rsidRPr="00F829E9" w:rsidRDefault="00DC09DB" w:rsidP="009325DD">
      <w:pPr>
        <w:pStyle w:val="ManualConsidrant"/>
        <w:rPr>
          <w:noProof/>
        </w:rPr>
      </w:pPr>
      <w:r>
        <w:rPr>
          <w:noProof/>
        </w:rPr>
        <w:t>(5)</w:t>
      </w:r>
      <w:r>
        <w:rPr>
          <w:noProof/>
        </w:rPr>
        <w:tab/>
      </w:r>
      <w:r w:rsidRPr="00F829E9">
        <w:rPr>
          <w:noProof/>
        </w:rPr>
        <w:t>La décision d’exécution (UE) 2026/919 fixe un montant maximal de 8 350 000 000 EUR pour une assistance budgétaire sous la forme d’un prêt à mettre en œuvre en vertu du chapitre III du règlement (UE) 2024/792.</w:t>
      </w:r>
    </w:p>
    <w:p w14:paraId="5B6DCFB5" w14:textId="73FD5164" w:rsidR="00DC09DB" w:rsidRPr="00F829E9" w:rsidRDefault="00DC09DB" w:rsidP="62459DDA">
      <w:pPr>
        <w:pStyle w:val="ManualConsidrant"/>
        <w:rPr>
          <w:noProof/>
        </w:rPr>
      </w:pPr>
      <w:r>
        <w:rPr>
          <w:noProof/>
        </w:rPr>
        <w:t>(6)</w:t>
      </w:r>
      <w:r>
        <w:rPr>
          <w:noProof/>
        </w:rPr>
        <w:tab/>
      </w:r>
      <w:r w:rsidRPr="00F829E9">
        <w:rPr>
          <w:noProof/>
        </w:rPr>
        <w:t>Le 12 juin 2026, après avoir consulté la Verkhovna Rada, l’Ukraine a proposé des modifications du plan conformément à l’article 20, paragraphe 1, du règlement (UE) 2024/792 (ci-après les «modifications proposées»), au motif que le plan n’était en partie plus réalisable en raison de circonstances objectives. La demande tient également compte des montants supplémentaires mis à disposition au titre du prêt de soutien à l’Ukraine.</w:t>
      </w:r>
    </w:p>
    <w:p w14:paraId="49D1284C" w14:textId="4FA261A7" w:rsidR="00945D16" w:rsidRPr="00F829E9" w:rsidRDefault="00DC09DB" w:rsidP="214CAFF8">
      <w:pPr>
        <w:pStyle w:val="ManualConsidrant"/>
        <w:rPr>
          <w:noProof/>
        </w:rPr>
      </w:pPr>
      <w:r>
        <w:rPr>
          <w:noProof/>
        </w:rPr>
        <w:t>(7)</w:t>
      </w:r>
      <w:r>
        <w:rPr>
          <w:noProof/>
        </w:rPr>
        <w:tab/>
      </w:r>
      <w:r w:rsidRPr="00F829E9">
        <w:rPr>
          <w:noProof/>
        </w:rPr>
        <w:t>Les modifications proposées ont trait à 34 des 146 étapes qualitatives et quantitatives prévues dans la décision d’exécution (UE) 2024/1447 et se rapportent aux étapes dont la mise en œuvre est prévue entre le premier trimestre de 2026 et le quatrième trimestre de 2027. Pour 12 de ces étapes, l’Ukraine a proposé de prolonger le délai initial, la mise en œuvre de ces réformes prenant plus de temps que prévu initialement, et de permettre l'adoption en priorité de réformes plus urgentes, notamment celles qui requièrent une législation primaire. La description de six mesures de réforme a été modifiée pour corriger des erreurs matérielles dans la formulation et revoir les priorités qu’elles définissent</w:t>
      </w:r>
      <w:r w:rsidRPr="00F829E9">
        <w:rPr>
          <w:i/>
          <w:noProof/>
        </w:rPr>
        <w:t xml:space="preserve">. </w:t>
      </w:r>
      <w:r w:rsidRPr="00F829E9">
        <w:rPr>
          <w:noProof/>
        </w:rPr>
        <w:t>La description ou les dotations pour les étapes d’investissement ont été modifiées dans cinq cas afin de tenir compte de l’évolution de la situation sur le terrain résultant de la poursuite de la guerre d’agression menée par la Russie. Deux étapes ont été scindées en deux étapes supplémentaires afin, dans chaque cas, de préciser le contenu et l’enchaînement de ces réformes. Deux étapes ont été supprimées et remplacées par de nouvelles étapes de réforme, ce qui a considérablement modifié la portée des réformes. Une étape a été supprimée, car elle n’était pas liée à l’acquis de l’Union et n’était plus considérée comme une priorité par l’Ukraine. La suppression de ces étapes a en outre été jugée nécessaire pour que le calendrier législatif puisse être consacré à des réformes considérées comme hautement prioritaires. Enfin, toutes les étapes du quatrième trimestre de 2027 ont été avancées au troisième trimestre de 2027 afin de tenir compte du fait que l’Ukraine doit présenter plus</w:t>
      </w:r>
      <w:r w:rsidR="00EC503D" w:rsidRPr="00F829E9">
        <w:rPr>
          <w:noProof/>
        </w:rPr>
        <w:t xml:space="preserve"> </w:t>
      </w:r>
      <w:r w:rsidRPr="00F829E9">
        <w:rPr>
          <w:noProof/>
        </w:rPr>
        <w:t>tôt la demande de paiement final au titre du plan pour l’Ukraine, de façon à ce que le versement au titre de la facilité pour l’Ukraine puisse être effectué au plus tard le 31 décembre 2027.</w:t>
      </w:r>
    </w:p>
    <w:p w14:paraId="57BE2219" w14:textId="397A44D2" w:rsidR="00945D16" w:rsidRPr="00F829E9" w:rsidRDefault="00945D16" w:rsidP="214CAFF8">
      <w:pPr>
        <w:pStyle w:val="ManualConsidrant"/>
        <w:rPr>
          <w:noProof/>
        </w:rPr>
      </w:pPr>
      <w:r>
        <w:rPr>
          <w:noProof/>
        </w:rPr>
        <w:t>(8)</w:t>
      </w:r>
      <w:r>
        <w:rPr>
          <w:noProof/>
        </w:rPr>
        <w:tab/>
      </w:r>
      <w:r w:rsidRPr="00F829E9">
        <w:rPr>
          <w:noProof/>
        </w:rPr>
        <w:t xml:space="preserve">Les modifications proposées comprennent également l’introduction de 27 nouvelles étapes qualitatives et quantitatives, dont 10 requièrent des modifications du droit primaire. Comme rappelé au considérant 23 du règlement (UE) 2026/467,  il faudrait mettre à jour le plan pour l’Ukraine afin de tenir compte de cette assistance budgétaire supplémentaire. Étant donné que l’assistance budgétaire supplémentaire couvre les besoins de financement recensés par l’Ukraine dans la stratégie de financement ukrainienne pour la période allant jusqu’au 31 décembre 2026, le calendrier de mise en œuvre des mesures supplémentaires s’étend jusqu’au 31 décembre 2026. Ces mesures supplémentaires visent à renforcer l’état de droit et la lutte contre la corruption tout en faisant progresser les réformes mises en œuvre dans </w:t>
      </w:r>
      <w:r w:rsidRPr="00F829E9">
        <w:rPr>
          <w:noProof/>
          <w:color w:val="000000" w:themeColor="text1"/>
        </w:rPr>
        <w:t>des domaines pertinents pour l’adhésion de l’Ukraine à l’Union, tels que le secteur de l’énergie et l’intégration progressive du marché</w:t>
      </w:r>
      <w:r w:rsidRPr="00F829E9">
        <w:rPr>
          <w:noProof/>
        </w:rPr>
        <w:t xml:space="preserve">. </w:t>
      </w:r>
    </w:p>
    <w:p w14:paraId="1EC64C84" w14:textId="2BCADCDB" w:rsidR="00DC09DB" w:rsidRPr="00F829E9" w:rsidRDefault="00DC09DB" w:rsidP="214CAFF8">
      <w:pPr>
        <w:pStyle w:val="ManualConsidrant"/>
        <w:rPr>
          <w:noProof/>
        </w:rPr>
      </w:pPr>
      <w:r>
        <w:rPr>
          <w:noProof/>
        </w:rPr>
        <w:t>(9)</w:t>
      </w:r>
      <w:r>
        <w:rPr>
          <w:noProof/>
        </w:rPr>
        <w:tab/>
      </w:r>
      <w:r w:rsidRPr="00F829E9">
        <w:rPr>
          <w:noProof/>
        </w:rPr>
        <w:t>Les modifications proposées portent donc à 172 le nombre total d’étapes prévues dans le plan.</w:t>
      </w:r>
    </w:p>
    <w:p w14:paraId="38721DCC" w14:textId="2ED183C4" w:rsidR="00DC09DB" w:rsidRPr="00F829E9" w:rsidRDefault="00DC09DB" w:rsidP="009325DD">
      <w:pPr>
        <w:pStyle w:val="ManualConsidrant"/>
        <w:rPr>
          <w:noProof/>
        </w:rPr>
      </w:pPr>
      <w:r>
        <w:rPr>
          <w:noProof/>
        </w:rPr>
        <w:lastRenderedPageBreak/>
        <w:t>(10)</w:t>
      </w:r>
      <w:r>
        <w:rPr>
          <w:noProof/>
        </w:rPr>
        <w:tab/>
      </w:r>
      <w:r w:rsidRPr="00F829E9">
        <w:rPr>
          <w:noProof/>
        </w:rPr>
        <w:t>Conformément à l’article 18 du règlement (UE) 2024/792, la Commission a évalué la pertinence, le caractère exhaustif et le bien-fondé des modifications proposées. Pour réaliser cette évaluation, elle a coopéré autant que possible avec l’Ukraine. Elle a évalué, en particulier, si les modifications proposées constituaient une réponse aux objectifs de la facilité pour l’Ukraine fondée sur les besoins, globale et adéquatement équilibrée, si elles cadraient avec les défis correspondants recensés dans le contexte du parcours d’adhésion de l’Ukraine à l’Union et si elles contribuaient à les relever, si elles étaient cohérentes avec les principes généraux de la facilité pour l’Ukraine exposés à l’article 4 du règlement (UE) 2024/792 et si elles couvraient les besoins de l’Ukraine en matière de redressement, de reconstruction et de modernisation. Les modifications proposées maintiennent l’ambition du plan de contribuer à l’atténuation du changement climatique et à l’adaptation à celui-ci, à la promotion de l’état de droit, à la réalisation des objectifs sociaux, à l’égalité entre les hommes et les femmes et à l’autonomisation des femmes et des filles. Elles n’ont pas d’incidence sur les dispositions actuelles en matière de protection des intérêts financiers de l’Union. Enfin, la Commission a vérifié si la Verkhovna Rada avait été dûment consultée conformément au cadre juridique national de l’Ukraine, si les modifications proposées tenaient compte, le cas échéant, des contributions des parties prenantes, et si les modifications proposées permettaient de faire en sorte que d’autres donateurs puissent soutenir les objectifs du plan.</w:t>
      </w:r>
    </w:p>
    <w:p w14:paraId="0CEDFDA5" w14:textId="77777777" w:rsidR="00DC09DB" w:rsidRPr="00F829E9" w:rsidRDefault="00DC09DB" w:rsidP="009325DD">
      <w:pPr>
        <w:pStyle w:val="ManualConsidrant"/>
        <w:rPr>
          <w:noProof/>
        </w:rPr>
      </w:pPr>
      <w:r>
        <w:rPr>
          <w:noProof/>
        </w:rPr>
        <w:t>(11)</w:t>
      </w:r>
      <w:r>
        <w:rPr>
          <w:noProof/>
        </w:rPr>
        <w:tab/>
      </w:r>
      <w:r w:rsidRPr="00F829E9">
        <w:rPr>
          <w:noProof/>
        </w:rPr>
        <w:t>La Commission considère que les modifications proposées n’ont pas d’incidence sur l’évaluation positive du plan exposée dans la décision d’exécution (UE) 2024/1447 en ce qui concerne la pertinence du plan, ainsi que le caractère exhaustif et le bien-fondé de celui-ci. Dans son évaluation, elle a notamment pris en considération les critères d’évaluation énoncés à l’article 18, paragraphe 3, points a) à l), du règlement (UE) 2024/792.</w:t>
      </w:r>
    </w:p>
    <w:p w14:paraId="212850F3" w14:textId="77777777" w:rsidR="00DC09DB" w:rsidRPr="00F829E9" w:rsidRDefault="00DC09DB" w:rsidP="009325DD">
      <w:pPr>
        <w:pStyle w:val="ManualConsidrant"/>
        <w:rPr>
          <w:noProof/>
        </w:rPr>
      </w:pPr>
      <w:r>
        <w:rPr>
          <w:noProof/>
        </w:rPr>
        <w:t>(12)</w:t>
      </w:r>
      <w:r>
        <w:rPr>
          <w:noProof/>
        </w:rPr>
        <w:tab/>
      </w:r>
      <w:r w:rsidRPr="00F829E9">
        <w:rPr>
          <w:noProof/>
        </w:rPr>
        <w:t>Conformément à l’article 20, paragraphe 3, du règlement (UE) 2024/792, la Commission considère que les modifications proposées sont justifiées.</w:t>
      </w:r>
    </w:p>
    <w:p w14:paraId="22B641FC" w14:textId="0C047E86" w:rsidR="00DC09DB" w:rsidRPr="00F829E9" w:rsidRDefault="00DC09DB" w:rsidP="009325DD">
      <w:pPr>
        <w:pStyle w:val="ManualConsidrant"/>
        <w:rPr>
          <w:noProof/>
        </w:rPr>
      </w:pPr>
      <w:r>
        <w:rPr>
          <w:noProof/>
        </w:rPr>
        <w:t>(13)</w:t>
      </w:r>
      <w:r>
        <w:rPr>
          <w:noProof/>
        </w:rPr>
        <w:tab/>
      </w:r>
      <w:r w:rsidRPr="00F829E9">
        <w:rPr>
          <w:noProof/>
        </w:rPr>
        <w:t>À la suite de la réception de la deuxième contribution supplémentaire de 2 000 000 000 SEK visée à l’article 2, paragraphe 5, de la décision d’exécution (UE) 2024/1447, la valeur finale en euros de cette contribution a été déterminée sur la base du taux de change applicable au moment du transfert. Afin de refléter la valeur finale réelle, il convient d’adapter les montants indiqués à l’annexe de ladite décision d’exécution.</w:t>
      </w:r>
    </w:p>
    <w:p w14:paraId="1AFC6AA9" w14:textId="77777777" w:rsidR="00F62B0D" w:rsidRPr="00F829E9" w:rsidRDefault="00DC09DB" w:rsidP="009325DD">
      <w:pPr>
        <w:pStyle w:val="ManualConsidrant"/>
        <w:rPr>
          <w:noProof/>
        </w:rPr>
      </w:pPr>
      <w:r>
        <w:rPr>
          <w:noProof/>
        </w:rPr>
        <w:t>(14)</w:t>
      </w:r>
      <w:r>
        <w:rPr>
          <w:noProof/>
        </w:rPr>
        <w:tab/>
      </w:r>
      <w:r w:rsidRPr="00F829E9">
        <w:rPr>
          <w:noProof/>
        </w:rPr>
        <w:t>Il y a donc lieu de modifier la décision d’exécution (UE) 2024/1447 en conséquence.</w:t>
      </w:r>
    </w:p>
    <w:p w14:paraId="450E33DE" w14:textId="23769966" w:rsidR="00DC09DB" w:rsidRPr="00F829E9" w:rsidRDefault="00F62B0D" w:rsidP="009325DD">
      <w:pPr>
        <w:pStyle w:val="ManualConsidrant"/>
        <w:rPr>
          <w:noProof/>
        </w:rPr>
      </w:pPr>
      <w:r>
        <w:rPr>
          <w:noProof/>
        </w:rPr>
        <w:t>(15)</w:t>
      </w:r>
      <w:r>
        <w:rPr>
          <w:noProof/>
        </w:rPr>
        <w:tab/>
      </w:r>
      <w:r w:rsidRPr="00F829E9">
        <w:rPr>
          <w:noProof/>
        </w:rPr>
        <w:t xml:space="preserve">Compte tenu de la situation en Ukraine et afin d’assurer la continuité du soutien apporté au pays, il convient que la présente décision entre en vigueur d’urgence le jour de sa publication au </w:t>
      </w:r>
      <w:r w:rsidRPr="00F829E9">
        <w:rPr>
          <w:i/>
          <w:noProof/>
        </w:rPr>
        <w:t>Journal officiel de l’Union européenne</w:t>
      </w:r>
      <w:r w:rsidRPr="00F829E9">
        <w:rPr>
          <w:noProof/>
        </w:rPr>
        <w:t xml:space="preserve"> et qu’elle s’applique à compter de la date de son adoption,</w:t>
      </w:r>
    </w:p>
    <w:p w14:paraId="4CE8A4E3" w14:textId="77777777" w:rsidR="00DC09DB" w:rsidRPr="00F829E9" w:rsidRDefault="00DC09DB" w:rsidP="00DC09DB">
      <w:pPr>
        <w:pStyle w:val="Formuledadoption"/>
        <w:rPr>
          <w:noProof/>
        </w:rPr>
      </w:pPr>
      <w:r w:rsidRPr="00F829E9">
        <w:rPr>
          <w:noProof/>
        </w:rPr>
        <w:t xml:space="preserve">A ADOPTÉ LA PRÉSENTE DÉCISION: </w:t>
      </w:r>
    </w:p>
    <w:p w14:paraId="140A7F1F" w14:textId="77777777" w:rsidR="00DC09DB" w:rsidRPr="00F829E9" w:rsidRDefault="00DC09DB" w:rsidP="00DC09DB">
      <w:pPr>
        <w:pStyle w:val="Titrearticle"/>
        <w:rPr>
          <w:noProof/>
        </w:rPr>
      </w:pPr>
      <w:r w:rsidRPr="00F829E9">
        <w:rPr>
          <w:noProof/>
        </w:rPr>
        <w:t>Article premier</w:t>
      </w:r>
    </w:p>
    <w:p w14:paraId="71BB75E4" w14:textId="77777777" w:rsidR="00DC09DB" w:rsidRPr="00F829E9" w:rsidRDefault="00DC09DB" w:rsidP="00DC09DB">
      <w:pPr>
        <w:rPr>
          <w:noProof/>
        </w:rPr>
      </w:pPr>
      <w:r w:rsidRPr="00F829E9">
        <w:rPr>
          <w:noProof/>
        </w:rPr>
        <w:t>La décision d’exécution (UE) 2024/1447 est modifiée comme suit:</w:t>
      </w:r>
    </w:p>
    <w:p w14:paraId="3FA69D6B" w14:textId="7652CFC2" w:rsidR="00DC09DB" w:rsidRPr="00F829E9" w:rsidRDefault="00DC09DB" w:rsidP="00695364">
      <w:pPr>
        <w:pStyle w:val="Point0"/>
        <w:rPr>
          <w:noProof/>
        </w:rPr>
      </w:pPr>
      <w:r>
        <w:rPr>
          <w:noProof/>
        </w:rPr>
        <w:t>(1)</w:t>
      </w:r>
      <w:r>
        <w:rPr>
          <w:noProof/>
        </w:rPr>
        <w:tab/>
      </w:r>
      <w:r w:rsidRPr="00F829E9">
        <w:rPr>
          <w:noProof/>
        </w:rPr>
        <w:t>À l’article 1</w:t>
      </w:r>
      <w:r w:rsidRPr="00F829E9">
        <w:rPr>
          <w:noProof/>
          <w:vertAlign w:val="superscript"/>
        </w:rPr>
        <w:t>er</w:t>
      </w:r>
      <w:r w:rsidRPr="00F829E9">
        <w:rPr>
          <w:noProof/>
        </w:rPr>
        <w:t>, la première phrase est remplacée par le texte suivant:</w:t>
      </w:r>
    </w:p>
    <w:p w14:paraId="75F1F9CB" w14:textId="77777777" w:rsidR="00DC09DB" w:rsidRPr="00F829E9" w:rsidRDefault="00DC09DB" w:rsidP="00DC09DB">
      <w:pPr>
        <w:pStyle w:val="ListParagraph"/>
        <w:spacing w:line="360" w:lineRule="auto"/>
        <w:jc w:val="center"/>
        <w:rPr>
          <w:noProof/>
        </w:rPr>
      </w:pPr>
      <w:r w:rsidRPr="00F829E9">
        <w:rPr>
          <w:noProof/>
        </w:rPr>
        <w:t>«Article premier</w:t>
      </w:r>
    </w:p>
    <w:p w14:paraId="5F08DE79" w14:textId="77777777" w:rsidR="00DC09DB" w:rsidRPr="00F829E9" w:rsidRDefault="00DC09DB" w:rsidP="00DC09DB">
      <w:pPr>
        <w:pStyle w:val="ListParagraph"/>
        <w:spacing w:line="360" w:lineRule="auto"/>
        <w:jc w:val="center"/>
        <w:rPr>
          <w:b/>
          <w:bCs/>
          <w:noProof/>
        </w:rPr>
      </w:pPr>
      <w:r w:rsidRPr="00F829E9">
        <w:rPr>
          <w:b/>
          <w:noProof/>
        </w:rPr>
        <w:t>Approbation de l’évaluation du plan pour l’Ukraine</w:t>
      </w:r>
    </w:p>
    <w:p w14:paraId="724BC05D" w14:textId="7631B768" w:rsidR="00DC09DB" w:rsidRPr="00F829E9" w:rsidRDefault="000D1608" w:rsidP="00DC09DB">
      <w:pPr>
        <w:ind w:left="357"/>
        <w:rPr>
          <w:noProof/>
        </w:rPr>
      </w:pPr>
      <w:r w:rsidRPr="00F829E9">
        <w:rPr>
          <w:noProof/>
        </w:rPr>
        <w:lastRenderedPageBreak/>
        <w:t>L’évaluation du plan pour l’Ukraine par la Commission, sur la base des critères énoncés à l’article 18 du règlement (UE) 2024/792, est approuvée.».</w:t>
      </w:r>
    </w:p>
    <w:p w14:paraId="5F1FAC04" w14:textId="64F240A8" w:rsidR="00DC09DB" w:rsidRPr="00F829E9" w:rsidRDefault="00DC09DB" w:rsidP="00DE5D83">
      <w:pPr>
        <w:pStyle w:val="Point0"/>
        <w:rPr>
          <w:noProof/>
        </w:rPr>
      </w:pPr>
      <w:r>
        <w:rPr>
          <w:noProof/>
        </w:rPr>
        <w:t>(2)</w:t>
      </w:r>
      <w:r>
        <w:rPr>
          <w:noProof/>
        </w:rPr>
        <w:tab/>
      </w:r>
      <w:r w:rsidRPr="00F829E9">
        <w:rPr>
          <w:noProof/>
        </w:rPr>
        <w:t>L’annexe est remplacée par le texte figurant dans l’annexe de la présente décision.</w:t>
      </w:r>
    </w:p>
    <w:p w14:paraId="5D16F596" w14:textId="77777777" w:rsidR="00DC09DB" w:rsidRPr="00F829E9" w:rsidRDefault="00DC09DB" w:rsidP="00DC09DB">
      <w:pPr>
        <w:rPr>
          <w:noProof/>
        </w:rPr>
      </w:pPr>
    </w:p>
    <w:p w14:paraId="54D8570E" w14:textId="77777777" w:rsidR="00DC09DB" w:rsidRPr="00F829E9" w:rsidRDefault="00DC09DB" w:rsidP="00DC09DB">
      <w:pPr>
        <w:pStyle w:val="Titrearticle"/>
        <w:rPr>
          <w:noProof/>
        </w:rPr>
      </w:pPr>
      <w:r w:rsidRPr="00F829E9">
        <w:rPr>
          <w:noProof/>
        </w:rPr>
        <w:t>Article 2</w:t>
      </w:r>
    </w:p>
    <w:p w14:paraId="0A908C94" w14:textId="2F377B3F" w:rsidR="00DC09DB" w:rsidRPr="00F829E9" w:rsidRDefault="00DC09DB" w:rsidP="00DC09DB">
      <w:pPr>
        <w:keepNext/>
        <w:keepLines/>
        <w:rPr>
          <w:noProof/>
        </w:rPr>
      </w:pPr>
      <w:r w:rsidRPr="00F829E9">
        <w:rPr>
          <w:noProof/>
        </w:rPr>
        <w:t xml:space="preserve">La présente décision entre en vigueur le jour de sa publication au </w:t>
      </w:r>
      <w:r w:rsidRPr="00F829E9">
        <w:rPr>
          <w:i/>
          <w:noProof/>
        </w:rPr>
        <w:t>Journal officiel de l’Union européenne</w:t>
      </w:r>
      <w:r w:rsidRPr="00F829E9">
        <w:rPr>
          <w:noProof/>
        </w:rPr>
        <w:t>.</w:t>
      </w:r>
    </w:p>
    <w:p w14:paraId="666DD118" w14:textId="77777777" w:rsidR="00DC09DB" w:rsidRPr="00F829E9" w:rsidRDefault="00DC09DB" w:rsidP="00DC09DB">
      <w:pPr>
        <w:keepNext/>
        <w:keepLines/>
        <w:rPr>
          <w:noProof/>
        </w:rPr>
      </w:pPr>
      <w:r w:rsidRPr="00F829E9">
        <w:rPr>
          <w:noProof/>
        </w:rPr>
        <w:t>Elle est applicable à partir de la date de son adoption.</w:t>
      </w:r>
    </w:p>
    <w:p w14:paraId="214A2AA2" w14:textId="7D67F9CD" w:rsidR="008E4815" w:rsidRPr="00F829E9" w:rsidRDefault="00F829E9" w:rsidP="002472CC">
      <w:pPr>
        <w:pStyle w:val="Fait"/>
        <w:rPr>
          <w:noProof/>
        </w:rPr>
      </w:pPr>
      <w:r>
        <w:rPr>
          <w:noProof/>
        </w:rPr>
        <w:t>Fait à Bruxelles, le</w:t>
      </w:r>
    </w:p>
    <w:p w14:paraId="35525B59" w14:textId="77777777" w:rsidR="008E4815" w:rsidRPr="00F829E9" w:rsidRDefault="008E4815" w:rsidP="002472CC">
      <w:pPr>
        <w:pStyle w:val="Institutionquisigne"/>
        <w:rPr>
          <w:noProof/>
        </w:rPr>
      </w:pPr>
      <w:r w:rsidRPr="00F829E9">
        <w:rPr>
          <w:noProof/>
        </w:rPr>
        <w:tab/>
        <w:t>Par le Conseil</w:t>
      </w:r>
    </w:p>
    <w:p w14:paraId="3928F1D1" w14:textId="3CBF65C9" w:rsidR="00446D5D" w:rsidRPr="00F829E9" w:rsidRDefault="008E4815" w:rsidP="008E4815">
      <w:pPr>
        <w:pStyle w:val="Personnequisigne"/>
        <w:rPr>
          <w:noProof/>
        </w:rPr>
      </w:pPr>
      <w:r w:rsidRPr="00F829E9">
        <w:rPr>
          <w:noProof/>
        </w:rPr>
        <w:tab/>
        <w:t>Le président/La présidente</w:t>
      </w:r>
    </w:p>
    <w:sectPr w:rsidR="00446D5D" w:rsidRPr="00F829E9" w:rsidSect="000F6745">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B96F2" w14:textId="77777777" w:rsidR="005979FC" w:rsidRDefault="005979FC" w:rsidP="00446D5D">
      <w:pPr>
        <w:spacing w:before="0" w:after="0"/>
      </w:pPr>
      <w:r>
        <w:separator/>
      </w:r>
    </w:p>
  </w:endnote>
  <w:endnote w:type="continuationSeparator" w:id="0">
    <w:p w14:paraId="69EB860F" w14:textId="77777777" w:rsidR="005979FC" w:rsidRDefault="005979FC" w:rsidP="00446D5D">
      <w:pPr>
        <w:spacing w:before="0" w:after="0"/>
      </w:pPr>
      <w:r>
        <w:continuationSeparator/>
      </w:r>
    </w:p>
  </w:endnote>
  <w:endnote w:type="continuationNotice" w:id="1">
    <w:p w14:paraId="357A18A8" w14:textId="77777777" w:rsidR="005979FC" w:rsidRDefault="005979F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E3314" w14:textId="1ED02CC1" w:rsidR="000F6745" w:rsidRPr="000F6745" w:rsidRDefault="000F6745" w:rsidP="000F6745">
    <w:pPr>
      <w:pStyle w:val="Footer"/>
      <w:rPr>
        <w:rFonts w:ascii="Arial" w:hAnsi="Arial" w:cs="Arial"/>
        <w:b/>
        <w:sz w:val="48"/>
      </w:rPr>
    </w:pPr>
    <w:r w:rsidRPr="000F6745">
      <w:rPr>
        <w:rFonts w:ascii="Arial" w:hAnsi="Arial" w:cs="Arial"/>
        <w:b/>
        <w:sz w:val="48"/>
      </w:rPr>
      <w:t>FR</w:t>
    </w:r>
    <w:r w:rsidRPr="000F6745">
      <w:rPr>
        <w:rFonts w:ascii="Arial" w:hAnsi="Arial" w:cs="Arial"/>
        <w:b/>
        <w:sz w:val="48"/>
      </w:rPr>
      <w:tab/>
    </w:r>
    <w:r w:rsidRPr="000F6745">
      <w:rPr>
        <w:rFonts w:ascii="Arial" w:hAnsi="Arial" w:cs="Arial"/>
        <w:b/>
        <w:sz w:val="48"/>
      </w:rPr>
      <w:tab/>
    </w:r>
    <w:r w:rsidRPr="000F6745">
      <w:tab/>
    </w:r>
    <w:r w:rsidRPr="000F674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D4F87" w14:textId="4DE64063" w:rsidR="000F6745" w:rsidRPr="000F6745" w:rsidRDefault="000F6745" w:rsidP="000F6745">
    <w:pPr>
      <w:pStyle w:val="Footer"/>
      <w:rPr>
        <w:rFonts w:ascii="Arial" w:hAnsi="Arial" w:cs="Arial"/>
        <w:b/>
        <w:sz w:val="48"/>
      </w:rPr>
    </w:pPr>
    <w:r w:rsidRPr="000F6745">
      <w:rPr>
        <w:rFonts w:ascii="Arial" w:hAnsi="Arial" w:cs="Arial"/>
        <w:b/>
        <w:sz w:val="48"/>
      </w:rPr>
      <w:t>FR</w:t>
    </w:r>
    <w:r w:rsidRPr="000F6745">
      <w:rPr>
        <w:rFonts w:ascii="Arial" w:hAnsi="Arial" w:cs="Arial"/>
        <w:b/>
        <w:sz w:val="48"/>
      </w:rPr>
      <w:tab/>
    </w:r>
    <w:r w:rsidRPr="000F6745">
      <w:rPr>
        <w:rFonts w:ascii="Arial" w:hAnsi="Arial" w:cs="Arial"/>
        <w:b/>
        <w:sz w:val="48"/>
      </w:rPr>
      <w:tab/>
    </w:r>
    <w:r w:rsidRPr="000F6745">
      <w:tab/>
    </w:r>
    <w:r w:rsidRPr="000F674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D2687" w14:textId="77777777" w:rsidR="000F6745" w:rsidRDefault="000F674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08521" w14:textId="5D75DE7D" w:rsidR="000F6745" w:rsidRPr="000F6745" w:rsidRDefault="000F6745" w:rsidP="000F6745">
    <w:pPr>
      <w:pStyle w:val="Footer"/>
      <w:rPr>
        <w:rFonts w:ascii="Arial" w:hAnsi="Arial" w:cs="Arial"/>
        <w:b/>
        <w:sz w:val="48"/>
      </w:rPr>
    </w:pPr>
    <w:r w:rsidRPr="000F6745">
      <w:rPr>
        <w:rFonts w:ascii="Arial" w:hAnsi="Arial" w:cs="Arial"/>
        <w:b/>
        <w:sz w:val="48"/>
      </w:rPr>
      <w:t>FR</w:t>
    </w:r>
    <w:r w:rsidRPr="000F6745">
      <w:rPr>
        <w:rFonts w:ascii="Arial" w:hAnsi="Arial" w:cs="Arial"/>
        <w:b/>
        <w:sz w:val="48"/>
      </w:rPr>
      <w:tab/>
    </w:r>
    <w:r>
      <w:fldChar w:fldCharType="begin"/>
    </w:r>
    <w:r>
      <w:instrText xml:space="preserve"> PAGE  \* MERGEFORMAT </w:instrText>
    </w:r>
    <w:r>
      <w:fldChar w:fldCharType="separate"/>
    </w:r>
    <w:r w:rsidR="002472CC">
      <w:rPr>
        <w:noProof/>
      </w:rPr>
      <w:t>4</w:t>
    </w:r>
    <w:r>
      <w:fldChar w:fldCharType="end"/>
    </w:r>
    <w:r>
      <w:tab/>
    </w:r>
    <w:r w:rsidRPr="000F6745">
      <w:tab/>
    </w:r>
    <w:r w:rsidRPr="000F6745">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4B8EF" w14:textId="77777777" w:rsidR="000F6745" w:rsidRDefault="000F6745" w:rsidP="000F67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984B6B" w14:textId="77777777" w:rsidR="005979FC" w:rsidRDefault="005979FC" w:rsidP="00446D5D">
      <w:pPr>
        <w:spacing w:before="0" w:after="0"/>
      </w:pPr>
      <w:r>
        <w:separator/>
      </w:r>
    </w:p>
  </w:footnote>
  <w:footnote w:type="continuationSeparator" w:id="0">
    <w:p w14:paraId="1455CC25" w14:textId="77777777" w:rsidR="005979FC" w:rsidRDefault="005979FC" w:rsidP="00446D5D">
      <w:pPr>
        <w:spacing w:before="0" w:after="0"/>
      </w:pPr>
      <w:r>
        <w:continuationSeparator/>
      </w:r>
    </w:p>
  </w:footnote>
  <w:footnote w:type="continuationNotice" w:id="1">
    <w:p w14:paraId="28CFBD1D" w14:textId="77777777" w:rsidR="005979FC" w:rsidRDefault="005979FC">
      <w:pPr>
        <w:spacing w:before="0" w:after="0"/>
      </w:pPr>
    </w:p>
  </w:footnote>
  <w:footnote w:id="2">
    <w:p w14:paraId="1DFB82ED" w14:textId="051D1090" w:rsidR="00DC09DB" w:rsidRPr="00EC503D" w:rsidRDefault="00DC09DB" w:rsidP="00DC09DB">
      <w:pPr>
        <w:pStyle w:val="FootnoteText"/>
        <w:rPr>
          <w:lang w:val="en-IE"/>
        </w:rPr>
      </w:pPr>
      <w:r>
        <w:rPr>
          <w:rStyle w:val="FootnoteReference"/>
        </w:rPr>
        <w:footnoteRef/>
      </w:r>
      <w:r w:rsidRPr="00EC503D">
        <w:rPr>
          <w:lang w:val="en-IE"/>
        </w:rPr>
        <w:tab/>
        <w:t>JO L, 2024/792, 29.2.2024, ELI: </w:t>
      </w:r>
      <w:hyperlink r:id="rId1" w:history="1">
        <w:r w:rsidRPr="00EC503D">
          <w:rPr>
            <w:rStyle w:val="Hyperlink"/>
            <w:lang w:val="en-IE"/>
          </w:rPr>
          <w:t>http://data.europa.eu/eli/reg/2024/792/oj</w:t>
        </w:r>
      </w:hyperlink>
      <w:r w:rsidRPr="00EC503D">
        <w:rPr>
          <w:lang w:val="en-IE"/>
        </w:rPr>
        <w:t>.</w:t>
      </w:r>
    </w:p>
  </w:footnote>
  <w:footnote w:id="3">
    <w:p w14:paraId="54DA8594" w14:textId="0C241EE8" w:rsidR="00DC09DB" w:rsidRPr="00BA3E10" w:rsidRDefault="00DC09DB" w:rsidP="00DC09DB">
      <w:pPr>
        <w:pStyle w:val="FootnoteText"/>
      </w:pPr>
      <w:r>
        <w:rPr>
          <w:rStyle w:val="FootnoteReference"/>
        </w:rPr>
        <w:footnoteRef/>
      </w:r>
      <w:r>
        <w:tab/>
        <w:t xml:space="preserve">Décision d’exécution (UE) 2024/1447 du Conseil du 14 mai 2024 relative à l’approbation de l’évaluation du plan pour l’Ukraine (JO L, 2024/1447, 24.5.2024, ELI: </w:t>
      </w:r>
      <w:hyperlink r:id="rId2" w:history="1">
        <w:r>
          <w:rPr>
            <w:rStyle w:val="Hyperlink"/>
          </w:rPr>
          <w:t>http://data.europa.eu/eli/dec_impl/2024/1447/oj</w:t>
        </w:r>
      </w:hyperlink>
      <w:r>
        <w:t>).</w:t>
      </w:r>
    </w:p>
  </w:footnote>
  <w:footnote w:id="4">
    <w:p w14:paraId="5E43638B" w14:textId="301EEB9A" w:rsidR="00DC09DB" w:rsidRPr="00945D16" w:rsidRDefault="00DC09DB" w:rsidP="00DC09DB">
      <w:pPr>
        <w:pStyle w:val="FootnoteText"/>
      </w:pPr>
      <w:r>
        <w:rPr>
          <w:rStyle w:val="FootnoteReference"/>
        </w:rPr>
        <w:footnoteRef/>
      </w:r>
      <w:r>
        <w:tab/>
        <w:t xml:space="preserve">Décision d’exécution (UE) 2026/919 du Conseil du 23 avril 2026 portant approbation d’une assistance à l’Ukraine pour la mise en œuvre de la stratégie de financement ukrainienne (JO L, 2026/919, 23.4.2026, ELI: </w:t>
      </w:r>
      <w:hyperlink r:id="rId3" w:history="1">
        <w:r>
          <w:rPr>
            <w:rStyle w:val="Hyperlink"/>
          </w:rPr>
          <w:t>http://data.europa.eu/eli/dec_impl/2026/919/oj</w:t>
        </w:r>
      </w:hyperlink>
      <w:r>
        <w:t>).</w:t>
      </w:r>
      <w:r>
        <w:rPr>
          <w: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94712" w14:textId="77777777" w:rsidR="000F6745" w:rsidRDefault="000F67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D2CA8" w14:textId="77777777" w:rsidR="000F6745" w:rsidRDefault="000F67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5268B1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DBA85A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9125FB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4A6FF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F00674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A0ADE4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936D6A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9C6C1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2"/>
  </w:num>
  <w:num w:numId="6">
    <w:abstractNumId w:val="6"/>
  </w:num>
  <w:num w:numId="7">
    <w:abstractNumId w:val="2"/>
  </w:num>
  <w:num w:numId="8">
    <w:abstractNumId w:val="1"/>
  </w:num>
  <w:num w:numId="9">
    <w:abstractNumId w:val="0"/>
  </w:num>
  <w:num w:numId="10">
    <w:abstractNumId w:val="23"/>
    <w:lvlOverride w:ilvl="0">
      <w:startOverride w:val="1"/>
    </w:lvlOverride>
  </w:num>
  <w:num w:numId="11">
    <w:abstractNumId w:val="23"/>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13"/>
  </w:num>
  <w:num w:numId="15">
    <w:abstractNumId w:val="22"/>
  </w:num>
  <w:num w:numId="16">
    <w:abstractNumId w:val="11"/>
  </w:num>
  <w:num w:numId="17">
    <w:abstractNumId w:val="14"/>
  </w:num>
  <w:num w:numId="18">
    <w:abstractNumId w:val="15"/>
  </w:num>
  <w:num w:numId="19">
    <w:abstractNumId w:val="9"/>
  </w:num>
  <w:num w:numId="20">
    <w:abstractNumId w:val="21"/>
  </w:num>
  <w:num w:numId="21">
    <w:abstractNumId w:val="8"/>
  </w:num>
  <w:num w:numId="22">
    <w:abstractNumId w:val="16"/>
  </w:num>
  <w:num w:numId="23">
    <w:abstractNumId w:val="18"/>
  </w:num>
  <w:num w:numId="24">
    <w:abstractNumId w:val="19"/>
  </w:num>
  <w:num w:numId="25">
    <w:abstractNumId w:val="10"/>
  </w:num>
  <w:num w:numId="26">
    <w:abstractNumId w:val="17"/>
  </w:num>
  <w:num w:numId="27">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24 20:05: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48E7C41-C76D-4856-868B-1CA8E23BBE0C"/>
    <w:docVar w:name="LW_COVERPAGE_TYPE" w:val="1"/>
    <w:docVar w:name="LW_CROSSREFERENCE" w:val="&lt;UNUSED&gt;"/>
    <w:docVar w:name="LW_DocType" w:val="COM"/>
    <w:docVar w:name="LW_EMISSION" w:val="17.6.2026"/>
    <w:docVar w:name="LW_EMISSION_ISODATE" w:val="2026-06-17"/>
    <w:docVar w:name="LW_EMISSION_LOCATION" w:val="BRX"/>
    <w:docVar w:name="LW_EMISSION_PREFIX" w:val="Bruxelles, le "/>
    <w:docVar w:name="LW_EMISSION_SUFFIX" w:val=" "/>
    <w:docVar w:name="LW_ID_DOCMODEL" w:val="SJ-021"/>
    <w:docVar w:name="LW_ID_DOCSIGNATURE" w:val="SJ-021"/>
    <w:docVar w:name="LW_ID_DOCSTRUCTURE" w:val="COM/PL/ORG"/>
    <w:docVar w:name="LW_ID_DOCTYPE" w:val="SJ-021"/>
    <w:docVar w:name="LW_ID_STATUT" w:val="SJ-021"/>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67"/>
    <w:docVar w:name="LW_REF.II.NEW.CP_YEAR" w:val="2026"/>
    <w:docVar w:name="LW_REF.INST.NEW" w:val="COM"/>
    <w:docVar w:name="LW_REF.INST.NEW_ADOPTED" w:val="final"/>
    <w:docVar w:name="LW_REF.INST.NEW_TEXT" w:val="(2026) 30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Proposition de"/>
    <w:docVar w:name="LW_STATUT.CP" w:val="Proposition de"/>
    <w:docVar w:name="LW_SUPERTITRE" w:val="&lt;UNUSED&gt;"/>
    <w:docVar w:name="LW_TITRE.OBJ" w:val="modifiant la décision d\u8217?exécution (UE) 2024/1447 relative à l\u8217?approbation de l\u8217?évaluation du plan pour l\u8217?Ukraine _x000b_"/>
    <w:docVar w:name="LW_TITRE.OBJ.CP" w:val="modifiant la décision d\u8217?exécution (UE) 2024/1447 relative à l\u8217?approbation de l\u8217?évaluation du plan pour l\u8217?Ukraine _x000b_"/>
    <w:docVar w:name="LW_TYPE.DOC" w:val="DÉCISION D\u8217?EXÉCUTION DU CONSEIL"/>
    <w:docVar w:name="LW_TYPE.DOC.CP" w:val="DÉCISION D\u8217?EXÉCUTION DU CONSEIL"/>
    <w:docVar w:name="LwApiVersions" w:val="LW4CoDe 1.24.5.0; LW 9.2, Build 20251112"/>
  </w:docVars>
  <w:rsids>
    <w:rsidRoot w:val="00446D5D"/>
    <w:rsid w:val="00000EEA"/>
    <w:rsid w:val="0000782C"/>
    <w:rsid w:val="000105AA"/>
    <w:rsid w:val="00012F91"/>
    <w:rsid w:val="00012FF1"/>
    <w:rsid w:val="00016F49"/>
    <w:rsid w:val="000209A9"/>
    <w:rsid w:val="00021430"/>
    <w:rsid w:val="000273D6"/>
    <w:rsid w:val="00027B5D"/>
    <w:rsid w:val="00027F02"/>
    <w:rsid w:val="0003128F"/>
    <w:rsid w:val="00032527"/>
    <w:rsid w:val="00034A97"/>
    <w:rsid w:val="00034EE9"/>
    <w:rsid w:val="000351B1"/>
    <w:rsid w:val="00040BF9"/>
    <w:rsid w:val="00040CE6"/>
    <w:rsid w:val="00040F9D"/>
    <w:rsid w:val="000425B0"/>
    <w:rsid w:val="00042C15"/>
    <w:rsid w:val="00043EF4"/>
    <w:rsid w:val="00044922"/>
    <w:rsid w:val="000477CA"/>
    <w:rsid w:val="00047B7D"/>
    <w:rsid w:val="00050027"/>
    <w:rsid w:val="00050B92"/>
    <w:rsid w:val="00050E94"/>
    <w:rsid w:val="000516C4"/>
    <w:rsid w:val="00052C06"/>
    <w:rsid w:val="00052DA8"/>
    <w:rsid w:val="00053231"/>
    <w:rsid w:val="00055A60"/>
    <w:rsid w:val="000563EE"/>
    <w:rsid w:val="00057C81"/>
    <w:rsid w:val="00061D85"/>
    <w:rsid w:val="000633F4"/>
    <w:rsid w:val="000651C7"/>
    <w:rsid w:val="0006593E"/>
    <w:rsid w:val="00065F34"/>
    <w:rsid w:val="00066A8E"/>
    <w:rsid w:val="000702CB"/>
    <w:rsid w:val="00075605"/>
    <w:rsid w:val="00075835"/>
    <w:rsid w:val="00077D1F"/>
    <w:rsid w:val="00085F2F"/>
    <w:rsid w:val="000864C0"/>
    <w:rsid w:val="00090FDA"/>
    <w:rsid w:val="000911AC"/>
    <w:rsid w:val="00092F5D"/>
    <w:rsid w:val="00095192"/>
    <w:rsid w:val="000971DE"/>
    <w:rsid w:val="000A0AE3"/>
    <w:rsid w:val="000A0AFC"/>
    <w:rsid w:val="000A1D48"/>
    <w:rsid w:val="000A593B"/>
    <w:rsid w:val="000B15A4"/>
    <w:rsid w:val="000B3B5F"/>
    <w:rsid w:val="000B49AE"/>
    <w:rsid w:val="000B4B84"/>
    <w:rsid w:val="000B4CF7"/>
    <w:rsid w:val="000B54AB"/>
    <w:rsid w:val="000C1A9C"/>
    <w:rsid w:val="000C1D84"/>
    <w:rsid w:val="000C215B"/>
    <w:rsid w:val="000C2931"/>
    <w:rsid w:val="000C41AF"/>
    <w:rsid w:val="000C42DF"/>
    <w:rsid w:val="000C4C40"/>
    <w:rsid w:val="000C6F42"/>
    <w:rsid w:val="000D1608"/>
    <w:rsid w:val="000D302C"/>
    <w:rsid w:val="000D3505"/>
    <w:rsid w:val="000D39EF"/>
    <w:rsid w:val="000D453F"/>
    <w:rsid w:val="000D4587"/>
    <w:rsid w:val="000D4FCD"/>
    <w:rsid w:val="000D59D6"/>
    <w:rsid w:val="000D5EBA"/>
    <w:rsid w:val="000D6931"/>
    <w:rsid w:val="000D6B30"/>
    <w:rsid w:val="000D6B4D"/>
    <w:rsid w:val="000D74D2"/>
    <w:rsid w:val="000E00A9"/>
    <w:rsid w:val="000E0860"/>
    <w:rsid w:val="000E0938"/>
    <w:rsid w:val="000E106D"/>
    <w:rsid w:val="000E166D"/>
    <w:rsid w:val="000E5A65"/>
    <w:rsid w:val="000F08B4"/>
    <w:rsid w:val="000F0B9D"/>
    <w:rsid w:val="000F1194"/>
    <w:rsid w:val="000F1E91"/>
    <w:rsid w:val="000F296A"/>
    <w:rsid w:val="000F2F00"/>
    <w:rsid w:val="000F6745"/>
    <w:rsid w:val="000F733C"/>
    <w:rsid w:val="00100B93"/>
    <w:rsid w:val="001065F5"/>
    <w:rsid w:val="00107EF6"/>
    <w:rsid w:val="00110390"/>
    <w:rsid w:val="00112F78"/>
    <w:rsid w:val="00113BA1"/>
    <w:rsid w:val="00115B29"/>
    <w:rsid w:val="001201D7"/>
    <w:rsid w:val="00121D95"/>
    <w:rsid w:val="00121F1D"/>
    <w:rsid w:val="00122CCF"/>
    <w:rsid w:val="00123281"/>
    <w:rsid w:val="00123769"/>
    <w:rsid w:val="001238EF"/>
    <w:rsid w:val="0012573F"/>
    <w:rsid w:val="00126B5A"/>
    <w:rsid w:val="00126BF1"/>
    <w:rsid w:val="00127D89"/>
    <w:rsid w:val="00130393"/>
    <w:rsid w:val="00135DF2"/>
    <w:rsid w:val="0013652F"/>
    <w:rsid w:val="001371B2"/>
    <w:rsid w:val="00140AAF"/>
    <w:rsid w:val="0014144D"/>
    <w:rsid w:val="001439D1"/>
    <w:rsid w:val="0014647B"/>
    <w:rsid w:val="00146672"/>
    <w:rsid w:val="00146F17"/>
    <w:rsid w:val="001474D9"/>
    <w:rsid w:val="00147CB4"/>
    <w:rsid w:val="00150E5C"/>
    <w:rsid w:val="0015191C"/>
    <w:rsid w:val="0015333E"/>
    <w:rsid w:val="00162008"/>
    <w:rsid w:val="00162073"/>
    <w:rsid w:val="00162111"/>
    <w:rsid w:val="0016222D"/>
    <w:rsid w:val="00164200"/>
    <w:rsid w:val="00170051"/>
    <w:rsid w:val="00170D03"/>
    <w:rsid w:val="00170DE7"/>
    <w:rsid w:val="00171646"/>
    <w:rsid w:val="00171B18"/>
    <w:rsid w:val="00171B3C"/>
    <w:rsid w:val="00172568"/>
    <w:rsid w:val="00172F2F"/>
    <w:rsid w:val="001738B0"/>
    <w:rsid w:val="00175FB1"/>
    <w:rsid w:val="00177AA3"/>
    <w:rsid w:val="00180827"/>
    <w:rsid w:val="00180B97"/>
    <w:rsid w:val="001828F1"/>
    <w:rsid w:val="001838E1"/>
    <w:rsid w:val="001854C6"/>
    <w:rsid w:val="00185992"/>
    <w:rsid w:val="00193D7B"/>
    <w:rsid w:val="00195CB1"/>
    <w:rsid w:val="00195D6A"/>
    <w:rsid w:val="00196364"/>
    <w:rsid w:val="00197613"/>
    <w:rsid w:val="001A045F"/>
    <w:rsid w:val="001A1039"/>
    <w:rsid w:val="001A3FE8"/>
    <w:rsid w:val="001A46B9"/>
    <w:rsid w:val="001A6A9C"/>
    <w:rsid w:val="001A729E"/>
    <w:rsid w:val="001B01A4"/>
    <w:rsid w:val="001B0717"/>
    <w:rsid w:val="001B0C09"/>
    <w:rsid w:val="001B12D8"/>
    <w:rsid w:val="001B1301"/>
    <w:rsid w:val="001B1E1D"/>
    <w:rsid w:val="001B24F2"/>
    <w:rsid w:val="001B2F39"/>
    <w:rsid w:val="001B3CB2"/>
    <w:rsid w:val="001B403A"/>
    <w:rsid w:val="001B53C9"/>
    <w:rsid w:val="001B58D7"/>
    <w:rsid w:val="001B7896"/>
    <w:rsid w:val="001B7C8D"/>
    <w:rsid w:val="001C245B"/>
    <w:rsid w:val="001C2501"/>
    <w:rsid w:val="001C3E32"/>
    <w:rsid w:val="001C3F97"/>
    <w:rsid w:val="001C507C"/>
    <w:rsid w:val="001D2DF7"/>
    <w:rsid w:val="001D32E3"/>
    <w:rsid w:val="001D6689"/>
    <w:rsid w:val="001D6A6E"/>
    <w:rsid w:val="001D6D43"/>
    <w:rsid w:val="001D7EDC"/>
    <w:rsid w:val="001D7F92"/>
    <w:rsid w:val="001E082D"/>
    <w:rsid w:val="001E1372"/>
    <w:rsid w:val="001E1699"/>
    <w:rsid w:val="001E1FEB"/>
    <w:rsid w:val="001E3159"/>
    <w:rsid w:val="001E478A"/>
    <w:rsid w:val="001E54BA"/>
    <w:rsid w:val="001E5B56"/>
    <w:rsid w:val="001E751A"/>
    <w:rsid w:val="001F1AFD"/>
    <w:rsid w:val="001F446C"/>
    <w:rsid w:val="001F4EA7"/>
    <w:rsid w:val="001F7077"/>
    <w:rsid w:val="002006E5"/>
    <w:rsid w:val="002013A9"/>
    <w:rsid w:val="0020325C"/>
    <w:rsid w:val="00205D3A"/>
    <w:rsid w:val="00207F35"/>
    <w:rsid w:val="00213002"/>
    <w:rsid w:val="002149A4"/>
    <w:rsid w:val="002153A6"/>
    <w:rsid w:val="00215459"/>
    <w:rsid w:val="00215D4A"/>
    <w:rsid w:val="002176A4"/>
    <w:rsid w:val="00221A84"/>
    <w:rsid w:val="002224FF"/>
    <w:rsid w:val="00222E1F"/>
    <w:rsid w:val="002243C8"/>
    <w:rsid w:val="0022494F"/>
    <w:rsid w:val="002257CF"/>
    <w:rsid w:val="00230525"/>
    <w:rsid w:val="00230A09"/>
    <w:rsid w:val="00231526"/>
    <w:rsid w:val="0023164B"/>
    <w:rsid w:val="002318F3"/>
    <w:rsid w:val="00233C1F"/>
    <w:rsid w:val="00233DC7"/>
    <w:rsid w:val="00240D4C"/>
    <w:rsid w:val="00240EF4"/>
    <w:rsid w:val="00246582"/>
    <w:rsid w:val="002472CC"/>
    <w:rsid w:val="00247779"/>
    <w:rsid w:val="00254E5A"/>
    <w:rsid w:val="0025553A"/>
    <w:rsid w:val="002560CB"/>
    <w:rsid w:val="00260BB5"/>
    <w:rsid w:val="002621C8"/>
    <w:rsid w:val="00262AFF"/>
    <w:rsid w:val="00262FF9"/>
    <w:rsid w:val="00265454"/>
    <w:rsid w:val="00267065"/>
    <w:rsid w:val="00267083"/>
    <w:rsid w:val="002676E3"/>
    <w:rsid w:val="00267E45"/>
    <w:rsid w:val="002708B5"/>
    <w:rsid w:val="00272DDF"/>
    <w:rsid w:val="00276042"/>
    <w:rsid w:val="002778CC"/>
    <w:rsid w:val="002800FC"/>
    <w:rsid w:val="00282139"/>
    <w:rsid w:val="002822A4"/>
    <w:rsid w:val="0028380C"/>
    <w:rsid w:val="00285940"/>
    <w:rsid w:val="00285BEE"/>
    <w:rsid w:val="002860FC"/>
    <w:rsid w:val="0029019B"/>
    <w:rsid w:val="00292A16"/>
    <w:rsid w:val="002950EA"/>
    <w:rsid w:val="0029533F"/>
    <w:rsid w:val="002955C7"/>
    <w:rsid w:val="002A00B8"/>
    <w:rsid w:val="002A1097"/>
    <w:rsid w:val="002A4108"/>
    <w:rsid w:val="002A46A8"/>
    <w:rsid w:val="002A5C80"/>
    <w:rsid w:val="002A633B"/>
    <w:rsid w:val="002A7BEE"/>
    <w:rsid w:val="002A7D3A"/>
    <w:rsid w:val="002B021F"/>
    <w:rsid w:val="002B183D"/>
    <w:rsid w:val="002B1EEE"/>
    <w:rsid w:val="002B2C20"/>
    <w:rsid w:val="002B30AF"/>
    <w:rsid w:val="002B3AF8"/>
    <w:rsid w:val="002B5388"/>
    <w:rsid w:val="002B6230"/>
    <w:rsid w:val="002B7F3F"/>
    <w:rsid w:val="002C0B27"/>
    <w:rsid w:val="002C2E1B"/>
    <w:rsid w:val="002C3579"/>
    <w:rsid w:val="002C4CA4"/>
    <w:rsid w:val="002C51D8"/>
    <w:rsid w:val="002C65F8"/>
    <w:rsid w:val="002C6CCE"/>
    <w:rsid w:val="002D1FAE"/>
    <w:rsid w:val="002D239F"/>
    <w:rsid w:val="002D4A4D"/>
    <w:rsid w:val="002D60A8"/>
    <w:rsid w:val="002E17E2"/>
    <w:rsid w:val="002E2AE7"/>
    <w:rsid w:val="002E76CD"/>
    <w:rsid w:val="002F039E"/>
    <w:rsid w:val="002F25F4"/>
    <w:rsid w:val="002F2AC8"/>
    <w:rsid w:val="002F55D0"/>
    <w:rsid w:val="002F756B"/>
    <w:rsid w:val="002F7598"/>
    <w:rsid w:val="002F7D7F"/>
    <w:rsid w:val="003012A4"/>
    <w:rsid w:val="0030362B"/>
    <w:rsid w:val="00303DD5"/>
    <w:rsid w:val="00304707"/>
    <w:rsid w:val="00306507"/>
    <w:rsid w:val="00312BE0"/>
    <w:rsid w:val="00312CB4"/>
    <w:rsid w:val="0031354B"/>
    <w:rsid w:val="003158B1"/>
    <w:rsid w:val="00315F1B"/>
    <w:rsid w:val="0031630D"/>
    <w:rsid w:val="003176C2"/>
    <w:rsid w:val="00317B2B"/>
    <w:rsid w:val="003226D4"/>
    <w:rsid w:val="0032359E"/>
    <w:rsid w:val="003262BC"/>
    <w:rsid w:val="00330100"/>
    <w:rsid w:val="003313C0"/>
    <w:rsid w:val="00332225"/>
    <w:rsid w:val="00332BE5"/>
    <w:rsid w:val="0033344A"/>
    <w:rsid w:val="003364CE"/>
    <w:rsid w:val="0033687D"/>
    <w:rsid w:val="00337B41"/>
    <w:rsid w:val="00340B14"/>
    <w:rsid w:val="00342FEE"/>
    <w:rsid w:val="00343CCF"/>
    <w:rsid w:val="00344C1D"/>
    <w:rsid w:val="00346D9A"/>
    <w:rsid w:val="00351124"/>
    <w:rsid w:val="003511D1"/>
    <w:rsid w:val="0035478B"/>
    <w:rsid w:val="00354D78"/>
    <w:rsid w:val="003553FC"/>
    <w:rsid w:val="003605E3"/>
    <w:rsid w:val="00363E0D"/>
    <w:rsid w:val="0036445B"/>
    <w:rsid w:val="00365722"/>
    <w:rsid w:val="0036659E"/>
    <w:rsid w:val="00367B8F"/>
    <w:rsid w:val="00371243"/>
    <w:rsid w:val="003714EA"/>
    <w:rsid w:val="00374100"/>
    <w:rsid w:val="00375C71"/>
    <w:rsid w:val="0037634B"/>
    <w:rsid w:val="00380698"/>
    <w:rsid w:val="003850C5"/>
    <w:rsid w:val="00387359"/>
    <w:rsid w:val="00390975"/>
    <w:rsid w:val="003933A6"/>
    <w:rsid w:val="0039385F"/>
    <w:rsid w:val="00395C5C"/>
    <w:rsid w:val="00396DDA"/>
    <w:rsid w:val="003A061D"/>
    <w:rsid w:val="003A0DF4"/>
    <w:rsid w:val="003A1571"/>
    <w:rsid w:val="003A6D4E"/>
    <w:rsid w:val="003B0B2C"/>
    <w:rsid w:val="003B1A4E"/>
    <w:rsid w:val="003B27E9"/>
    <w:rsid w:val="003B3056"/>
    <w:rsid w:val="003B3D81"/>
    <w:rsid w:val="003B663E"/>
    <w:rsid w:val="003C2C6B"/>
    <w:rsid w:val="003C2CFD"/>
    <w:rsid w:val="003C4D17"/>
    <w:rsid w:val="003C70EC"/>
    <w:rsid w:val="003C77F3"/>
    <w:rsid w:val="003D0A3C"/>
    <w:rsid w:val="003D111A"/>
    <w:rsid w:val="003D52DA"/>
    <w:rsid w:val="003D7597"/>
    <w:rsid w:val="003E1291"/>
    <w:rsid w:val="003E1F54"/>
    <w:rsid w:val="003E22BA"/>
    <w:rsid w:val="003E3CE5"/>
    <w:rsid w:val="003E5F16"/>
    <w:rsid w:val="003F06F8"/>
    <w:rsid w:val="003F2F66"/>
    <w:rsid w:val="003F376B"/>
    <w:rsid w:val="003F4384"/>
    <w:rsid w:val="003F5213"/>
    <w:rsid w:val="003F5258"/>
    <w:rsid w:val="003F59E8"/>
    <w:rsid w:val="003F76D1"/>
    <w:rsid w:val="003F792A"/>
    <w:rsid w:val="00400CF0"/>
    <w:rsid w:val="00400DE0"/>
    <w:rsid w:val="00402E24"/>
    <w:rsid w:val="0040396D"/>
    <w:rsid w:val="00404A93"/>
    <w:rsid w:val="00406ACB"/>
    <w:rsid w:val="00407A49"/>
    <w:rsid w:val="00410E82"/>
    <w:rsid w:val="00412614"/>
    <w:rsid w:val="004139FD"/>
    <w:rsid w:val="00414ADA"/>
    <w:rsid w:val="00415A54"/>
    <w:rsid w:val="00415B98"/>
    <w:rsid w:val="0041615F"/>
    <w:rsid w:val="00417102"/>
    <w:rsid w:val="00417D76"/>
    <w:rsid w:val="004215E9"/>
    <w:rsid w:val="00421CAD"/>
    <w:rsid w:val="004262C3"/>
    <w:rsid w:val="0042648E"/>
    <w:rsid w:val="00427508"/>
    <w:rsid w:val="004300FA"/>
    <w:rsid w:val="00431C64"/>
    <w:rsid w:val="00432CC1"/>
    <w:rsid w:val="004337A2"/>
    <w:rsid w:val="004337EB"/>
    <w:rsid w:val="00433E78"/>
    <w:rsid w:val="00436ABF"/>
    <w:rsid w:val="00436BB6"/>
    <w:rsid w:val="004373B6"/>
    <w:rsid w:val="00437B07"/>
    <w:rsid w:val="00437D1B"/>
    <w:rsid w:val="00437ECF"/>
    <w:rsid w:val="00441916"/>
    <w:rsid w:val="004421E4"/>
    <w:rsid w:val="00443224"/>
    <w:rsid w:val="00443EBF"/>
    <w:rsid w:val="0044456D"/>
    <w:rsid w:val="0044562A"/>
    <w:rsid w:val="00445EA7"/>
    <w:rsid w:val="00446D5D"/>
    <w:rsid w:val="00447DC6"/>
    <w:rsid w:val="00450E86"/>
    <w:rsid w:val="00451586"/>
    <w:rsid w:val="004517EC"/>
    <w:rsid w:val="00451E8A"/>
    <w:rsid w:val="00454724"/>
    <w:rsid w:val="00455288"/>
    <w:rsid w:val="004553FE"/>
    <w:rsid w:val="00457946"/>
    <w:rsid w:val="0046037B"/>
    <w:rsid w:val="00461192"/>
    <w:rsid w:val="004612F5"/>
    <w:rsid w:val="00461C76"/>
    <w:rsid w:val="00461CC8"/>
    <w:rsid w:val="00461ECC"/>
    <w:rsid w:val="00462A4D"/>
    <w:rsid w:val="00463C0E"/>
    <w:rsid w:val="00464163"/>
    <w:rsid w:val="004677EA"/>
    <w:rsid w:val="0047335E"/>
    <w:rsid w:val="004816E0"/>
    <w:rsid w:val="00484FE6"/>
    <w:rsid w:val="00485CD1"/>
    <w:rsid w:val="00487ABB"/>
    <w:rsid w:val="004909B9"/>
    <w:rsid w:val="004916D9"/>
    <w:rsid w:val="00492D48"/>
    <w:rsid w:val="0049344B"/>
    <w:rsid w:val="004936D2"/>
    <w:rsid w:val="004A0749"/>
    <w:rsid w:val="004A1847"/>
    <w:rsid w:val="004A3199"/>
    <w:rsid w:val="004A681B"/>
    <w:rsid w:val="004A7CD7"/>
    <w:rsid w:val="004B0196"/>
    <w:rsid w:val="004B2375"/>
    <w:rsid w:val="004B2B54"/>
    <w:rsid w:val="004B331D"/>
    <w:rsid w:val="004B4E82"/>
    <w:rsid w:val="004B6318"/>
    <w:rsid w:val="004C1246"/>
    <w:rsid w:val="004C402F"/>
    <w:rsid w:val="004C438E"/>
    <w:rsid w:val="004C50B0"/>
    <w:rsid w:val="004D0746"/>
    <w:rsid w:val="004D2532"/>
    <w:rsid w:val="004D4290"/>
    <w:rsid w:val="004D4ADC"/>
    <w:rsid w:val="004D5A9F"/>
    <w:rsid w:val="004D5CAD"/>
    <w:rsid w:val="004D5DA3"/>
    <w:rsid w:val="004D6F8C"/>
    <w:rsid w:val="004D71C5"/>
    <w:rsid w:val="004E0876"/>
    <w:rsid w:val="004E4109"/>
    <w:rsid w:val="004E47DC"/>
    <w:rsid w:val="004E47F1"/>
    <w:rsid w:val="004E5438"/>
    <w:rsid w:val="004E5A7B"/>
    <w:rsid w:val="004E6C82"/>
    <w:rsid w:val="004F11CE"/>
    <w:rsid w:val="004F1436"/>
    <w:rsid w:val="004F1DC2"/>
    <w:rsid w:val="004F2CE7"/>
    <w:rsid w:val="004F3692"/>
    <w:rsid w:val="004F37AC"/>
    <w:rsid w:val="004F3A23"/>
    <w:rsid w:val="004F44F6"/>
    <w:rsid w:val="004F4D36"/>
    <w:rsid w:val="004F557B"/>
    <w:rsid w:val="004F55DC"/>
    <w:rsid w:val="004F5F53"/>
    <w:rsid w:val="004F65C8"/>
    <w:rsid w:val="0050034F"/>
    <w:rsid w:val="00501FF3"/>
    <w:rsid w:val="00502D85"/>
    <w:rsid w:val="00503C04"/>
    <w:rsid w:val="00505577"/>
    <w:rsid w:val="00505CE2"/>
    <w:rsid w:val="00505E6B"/>
    <w:rsid w:val="0050628A"/>
    <w:rsid w:val="0050700D"/>
    <w:rsid w:val="00512432"/>
    <w:rsid w:val="00513050"/>
    <w:rsid w:val="00515B0D"/>
    <w:rsid w:val="00516BF1"/>
    <w:rsid w:val="00517262"/>
    <w:rsid w:val="00520890"/>
    <w:rsid w:val="00522D32"/>
    <w:rsid w:val="005235F9"/>
    <w:rsid w:val="00524287"/>
    <w:rsid w:val="005253C0"/>
    <w:rsid w:val="00525D20"/>
    <w:rsid w:val="00526372"/>
    <w:rsid w:val="005267DD"/>
    <w:rsid w:val="00527261"/>
    <w:rsid w:val="0053024F"/>
    <w:rsid w:val="005311F2"/>
    <w:rsid w:val="00537069"/>
    <w:rsid w:val="0053788D"/>
    <w:rsid w:val="00543C9B"/>
    <w:rsid w:val="00544273"/>
    <w:rsid w:val="00544C5C"/>
    <w:rsid w:val="0054646A"/>
    <w:rsid w:val="005508C2"/>
    <w:rsid w:val="00551C40"/>
    <w:rsid w:val="005525BA"/>
    <w:rsid w:val="00553355"/>
    <w:rsid w:val="00554CFE"/>
    <w:rsid w:val="00554E5C"/>
    <w:rsid w:val="00554E83"/>
    <w:rsid w:val="00555E4D"/>
    <w:rsid w:val="00555ECC"/>
    <w:rsid w:val="00556034"/>
    <w:rsid w:val="00556C5B"/>
    <w:rsid w:val="00561CAF"/>
    <w:rsid w:val="005637E7"/>
    <w:rsid w:val="00564DAC"/>
    <w:rsid w:val="00566AF6"/>
    <w:rsid w:val="00566FA8"/>
    <w:rsid w:val="005673EC"/>
    <w:rsid w:val="005721F1"/>
    <w:rsid w:val="00573112"/>
    <w:rsid w:val="0057448C"/>
    <w:rsid w:val="00576CA7"/>
    <w:rsid w:val="00577AE1"/>
    <w:rsid w:val="005827FC"/>
    <w:rsid w:val="00582E02"/>
    <w:rsid w:val="005841EF"/>
    <w:rsid w:val="005860BC"/>
    <w:rsid w:val="00586BDD"/>
    <w:rsid w:val="0058D03F"/>
    <w:rsid w:val="005948BB"/>
    <w:rsid w:val="00595441"/>
    <w:rsid w:val="0059579D"/>
    <w:rsid w:val="00596146"/>
    <w:rsid w:val="005979FC"/>
    <w:rsid w:val="005A262C"/>
    <w:rsid w:val="005A32EF"/>
    <w:rsid w:val="005A5E6A"/>
    <w:rsid w:val="005A662E"/>
    <w:rsid w:val="005A684A"/>
    <w:rsid w:val="005B1192"/>
    <w:rsid w:val="005B17AD"/>
    <w:rsid w:val="005B1EB6"/>
    <w:rsid w:val="005B1EBE"/>
    <w:rsid w:val="005B3C4C"/>
    <w:rsid w:val="005B5F89"/>
    <w:rsid w:val="005B677A"/>
    <w:rsid w:val="005C0CE9"/>
    <w:rsid w:val="005C1F7C"/>
    <w:rsid w:val="005C2C35"/>
    <w:rsid w:val="005C462E"/>
    <w:rsid w:val="005C6B25"/>
    <w:rsid w:val="005D1F3A"/>
    <w:rsid w:val="005D2D86"/>
    <w:rsid w:val="005D3CD0"/>
    <w:rsid w:val="005D5B7C"/>
    <w:rsid w:val="005D7FF1"/>
    <w:rsid w:val="005E0A34"/>
    <w:rsid w:val="005E145A"/>
    <w:rsid w:val="005E2E39"/>
    <w:rsid w:val="005E3D39"/>
    <w:rsid w:val="005E3D91"/>
    <w:rsid w:val="005E3DA8"/>
    <w:rsid w:val="005E3F99"/>
    <w:rsid w:val="005E4FCE"/>
    <w:rsid w:val="005E4FD8"/>
    <w:rsid w:val="005E5CB3"/>
    <w:rsid w:val="005E7076"/>
    <w:rsid w:val="005F08A2"/>
    <w:rsid w:val="005F0EB5"/>
    <w:rsid w:val="005F16D6"/>
    <w:rsid w:val="005F3EAC"/>
    <w:rsid w:val="005F3FD8"/>
    <w:rsid w:val="005F7BF1"/>
    <w:rsid w:val="00600F12"/>
    <w:rsid w:val="00602D48"/>
    <w:rsid w:val="00604595"/>
    <w:rsid w:val="0060530F"/>
    <w:rsid w:val="00607765"/>
    <w:rsid w:val="00610C11"/>
    <w:rsid w:val="00612C50"/>
    <w:rsid w:val="00615521"/>
    <w:rsid w:val="0062259A"/>
    <w:rsid w:val="00622692"/>
    <w:rsid w:val="006250D5"/>
    <w:rsid w:val="00625E5F"/>
    <w:rsid w:val="006261A6"/>
    <w:rsid w:val="0062661D"/>
    <w:rsid w:val="00627798"/>
    <w:rsid w:val="00627A38"/>
    <w:rsid w:val="00627D19"/>
    <w:rsid w:val="0062849E"/>
    <w:rsid w:val="00630ECE"/>
    <w:rsid w:val="0063329D"/>
    <w:rsid w:val="0063427B"/>
    <w:rsid w:val="0063511A"/>
    <w:rsid w:val="00635389"/>
    <w:rsid w:val="00637700"/>
    <w:rsid w:val="0064108B"/>
    <w:rsid w:val="006419D6"/>
    <w:rsid w:val="00641FBD"/>
    <w:rsid w:val="00642066"/>
    <w:rsid w:val="006434A0"/>
    <w:rsid w:val="006478C1"/>
    <w:rsid w:val="00647BE1"/>
    <w:rsid w:val="00650529"/>
    <w:rsid w:val="006505AA"/>
    <w:rsid w:val="00650823"/>
    <w:rsid w:val="00653DF9"/>
    <w:rsid w:val="00653EBE"/>
    <w:rsid w:val="0065493B"/>
    <w:rsid w:val="006571BB"/>
    <w:rsid w:val="00662ABC"/>
    <w:rsid w:val="00663E46"/>
    <w:rsid w:val="0066769F"/>
    <w:rsid w:val="00671DF6"/>
    <w:rsid w:val="00672184"/>
    <w:rsid w:val="00672B41"/>
    <w:rsid w:val="00677D15"/>
    <w:rsid w:val="00681804"/>
    <w:rsid w:val="0068231E"/>
    <w:rsid w:val="0068327A"/>
    <w:rsid w:val="0068465D"/>
    <w:rsid w:val="00684EE1"/>
    <w:rsid w:val="00685149"/>
    <w:rsid w:val="00687B43"/>
    <w:rsid w:val="0069106B"/>
    <w:rsid w:val="006920C5"/>
    <w:rsid w:val="006933AF"/>
    <w:rsid w:val="006946B8"/>
    <w:rsid w:val="00695364"/>
    <w:rsid w:val="006962D8"/>
    <w:rsid w:val="00696A91"/>
    <w:rsid w:val="006A1335"/>
    <w:rsid w:val="006A30B8"/>
    <w:rsid w:val="006A33D6"/>
    <w:rsid w:val="006A3B62"/>
    <w:rsid w:val="006A4D55"/>
    <w:rsid w:val="006A573F"/>
    <w:rsid w:val="006B0766"/>
    <w:rsid w:val="006B1FDA"/>
    <w:rsid w:val="006B2773"/>
    <w:rsid w:val="006B390C"/>
    <w:rsid w:val="006B3B30"/>
    <w:rsid w:val="006B5226"/>
    <w:rsid w:val="006B6AD3"/>
    <w:rsid w:val="006B71C4"/>
    <w:rsid w:val="006B7239"/>
    <w:rsid w:val="006C01C9"/>
    <w:rsid w:val="006C2E47"/>
    <w:rsid w:val="006C3FAD"/>
    <w:rsid w:val="006C4C67"/>
    <w:rsid w:val="006C68DF"/>
    <w:rsid w:val="006C7AD2"/>
    <w:rsid w:val="006D2B43"/>
    <w:rsid w:val="006D656A"/>
    <w:rsid w:val="006D66D7"/>
    <w:rsid w:val="006D7A56"/>
    <w:rsid w:val="006E0588"/>
    <w:rsid w:val="006E0D23"/>
    <w:rsid w:val="006E14BF"/>
    <w:rsid w:val="006E2B05"/>
    <w:rsid w:val="006E2B68"/>
    <w:rsid w:val="006E37BD"/>
    <w:rsid w:val="006E3CB5"/>
    <w:rsid w:val="006E3FA9"/>
    <w:rsid w:val="006E4C0E"/>
    <w:rsid w:val="006E4CF3"/>
    <w:rsid w:val="006E75AA"/>
    <w:rsid w:val="006F05F8"/>
    <w:rsid w:val="006F1831"/>
    <w:rsid w:val="006F7454"/>
    <w:rsid w:val="006F7D00"/>
    <w:rsid w:val="00700AB0"/>
    <w:rsid w:val="00700C71"/>
    <w:rsid w:val="007017D6"/>
    <w:rsid w:val="00702077"/>
    <w:rsid w:val="007023B2"/>
    <w:rsid w:val="007035F8"/>
    <w:rsid w:val="007059DB"/>
    <w:rsid w:val="00707597"/>
    <w:rsid w:val="00710886"/>
    <w:rsid w:val="00711A02"/>
    <w:rsid w:val="00712FE2"/>
    <w:rsid w:val="00714909"/>
    <w:rsid w:val="00722006"/>
    <w:rsid w:val="00722BAA"/>
    <w:rsid w:val="00723E76"/>
    <w:rsid w:val="00725E68"/>
    <w:rsid w:val="00727608"/>
    <w:rsid w:val="00730915"/>
    <w:rsid w:val="007309D7"/>
    <w:rsid w:val="0073200F"/>
    <w:rsid w:val="00732E2C"/>
    <w:rsid w:val="00732F05"/>
    <w:rsid w:val="00733D5A"/>
    <w:rsid w:val="00734B28"/>
    <w:rsid w:val="00736AF3"/>
    <w:rsid w:val="00736D7D"/>
    <w:rsid w:val="00740287"/>
    <w:rsid w:val="00741380"/>
    <w:rsid w:val="007450FB"/>
    <w:rsid w:val="00747DF5"/>
    <w:rsid w:val="00750AED"/>
    <w:rsid w:val="00750C8E"/>
    <w:rsid w:val="00750E99"/>
    <w:rsid w:val="0075207E"/>
    <w:rsid w:val="0075258D"/>
    <w:rsid w:val="007527C7"/>
    <w:rsid w:val="00753034"/>
    <w:rsid w:val="0076009E"/>
    <w:rsid w:val="007625C4"/>
    <w:rsid w:val="007651CE"/>
    <w:rsid w:val="00765F7C"/>
    <w:rsid w:val="00766547"/>
    <w:rsid w:val="00771416"/>
    <w:rsid w:val="00771CE9"/>
    <w:rsid w:val="00773331"/>
    <w:rsid w:val="00774C06"/>
    <w:rsid w:val="00775C21"/>
    <w:rsid w:val="0078030A"/>
    <w:rsid w:val="00781972"/>
    <w:rsid w:val="00783A53"/>
    <w:rsid w:val="0078426D"/>
    <w:rsid w:val="00785CF8"/>
    <w:rsid w:val="00785D87"/>
    <w:rsid w:val="00786EB6"/>
    <w:rsid w:val="007876AA"/>
    <w:rsid w:val="0079004F"/>
    <w:rsid w:val="00790F2E"/>
    <w:rsid w:val="007920C8"/>
    <w:rsid w:val="00792610"/>
    <w:rsid w:val="00792C37"/>
    <w:rsid w:val="007932EF"/>
    <w:rsid w:val="0079401E"/>
    <w:rsid w:val="00794224"/>
    <w:rsid w:val="007961D6"/>
    <w:rsid w:val="00796E42"/>
    <w:rsid w:val="007A00FD"/>
    <w:rsid w:val="007A02EA"/>
    <w:rsid w:val="007A0D2B"/>
    <w:rsid w:val="007A12F4"/>
    <w:rsid w:val="007A15C9"/>
    <w:rsid w:val="007A3187"/>
    <w:rsid w:val="007A326D"/>
    <w:rsid w:val="007A5012"/>
    <w:rsid w:val="007B043A"/>
    <w:rsid w:val="007B0B34"/>
    <w:rsid w:val="007B0F87"/>
    <w:rsid w:val="007B1732"/>
    <w:rsid w:val="007B1C4D"/>
    <w:rsid w:val="007B2D7C"/>
    <w:rsid w:val="007B3098"/>
    <w:rsid w:val="007B31F3"/>
    <w:rsid w:val="007B62A7"/>
    <w:rsid w:val="007B7EE7"/>
    <w:rsid w:val="007C20C1"/>
    <w:rsid w:val="007C3177"/>
    <w:rsid w:val="007C4A17"/>
    <w:rsid w:val="007C6934"/>
    <w:rsid w:val="007D2838"/>
    <w:rsid w:val="007D3614"/>
    <w:rsid w:val="007D39C9"/>
    <w:rsid w:val="007D4EC7"/>
    <w:rsid w:val="007D5D4F"/>
    <w:rsid w:val="007D6134"/>
    <w:rsid w:val="007D6C3B"/>
    <w:rsid w:val="007E05B0"/>
    <w:rsid w:val="007E1BB2"/>
    <w:rsid w:val="007E5E72"/>
    <w:rsid w:val="007E6728"/>
    <w:rsid w:val="007F10C9"/>
    <w:rsid w:val="007F2DCC"/>
    <w:rsid w:val="007F3FA0"/>
    <w:rsid w:val="007F4B86"/>
    <w:rsid w:val="007F6E47"/>
    <w:rsid w:val="007F7A7B"/>
    <w:rsid w:val="0080054D"/>
    <w:rsid w:val="00800CC3"/>
    <w:rsid w:val="00802136"/>
    <w:rsid w:val="00803CDD"/>
    <w:rsid w:val="00805EB2"/>
    <w:rsid w:val="00807305"/>
    <w:rsid w:val="0080786B"/>
    <w:rsid w:val="0081014B"/>
    <w:rsid w:val="00811671"/>
    <w:rsid w:val="008123E5"/>
    <w:rsid w:val="008124D0"/>
    <w:rsid w:val="008129BB"/>
    <w:rsid w:val="00812C1B"/>
    <w:rsid w:val="00812E54"/>
    <w:rsid w:val="00813B5B"/>
    <w:rsid w:val="00816490"/>
    <w:rsid w:val="00817352"/>
    <w:rsid w:val="00817470"/>
    <w:rsid w:val="00818C39"/>
    <w:rsid w:val="00823B93"/>
    <w:rsid w:val="00824125"/>
    <w:rsid w:val="0082471E"/>
    <w:rsid w:val="00825813"/>
    <w:rsid w:val="00825D60"/>
    <w:rsid w:val="00827228"/>
    <w:rsid w:val="00827615"/>
    <w:rsid w:val="00830637"/>
    <w:rsid w:val="008325EA"/>
    <w:rsid w:val="00832EDC"/>
    <w:rsid w:val="00834496"/>
    <w:rsid w:val="0083476B"/>
    <w:rsid w:val="0083531F"/>
    <w:rsid w:val="008358FD"/>
    <w:rsid w:val="008377E5"/>
    <w:rsid w:val="00837F4C"/>
    <w:rsid w:val="00840B28"/>
    <w:rsid w:val="008411B3"/>
    <w:rsid w:val="0084124B"/>
    <w:rsid w:val="0084155B"/>
    <w:rsid w:val="008424AA"/>
    <w:rsid w:val="008425D8"/>
    <w:rsid w:val="00843B47"/>
    <w:rsid w:val="00844CAF"/>
    <w:rsid w:val="00846A1A"/>
    <w:rsid w:val="008472C1"/>
    <w:rsid w:val="0085210B"/>
    <w:rsid w:val="00853B58"/>
    <w:rsid w:val="008555F6"/>
    <w:rsid w:val="00856E73"/>
    <w:rsid w:val="0086093E"/>
    <w:rsid w:val="00861E35"/>
    <w:rsid w:val="00862859"/>
    <w:rsid w:val="00865E82"/>
    <w:rsid w:val="0086767D"/>
    <w:rsid w:val="00870A0B"/>
    <w:rsid w:val="00873512"/>
    <w:rsid w:val="00874376"/>
    <w:rsid w:val="00874A0D"/>
    <w:rsid w:val="00874D22"/>
    <w:rsid w:val="00876431"/>
    <w:rsid w:val="00877021"/>
    <w:rsid w:val="0088014E"/>
    <w:rsid w:val="00881005"/>
    <w:rsid w:val="00881113"/>
    <w:rsid w:val="00881455"/>
    <w:rsid w:val="008829AD"/>
    <w:rsid w:val="0088308C"/>
    <w:rsid w:val="008831A1"/>
    <w:rsid w:val="00883EBF"/>
    <w:rsid w:val="00884576"/>
    <w:rsid w:val="0088488A"/>
    <w:rsid w:val="008848E2"/>
    <w:rsid w:val="0088538A"/>
    <w:rsid w:val="008857A5"/>
    <w:rsid w:val="008857B9"/>
    <w:rsid w:val="00886646"/>
    <w:rsid w:val="008866C9"/>
    <w:rsid w:val="0088AE84"/>
    <w:rsid w:val="00890510"/>
    <w:rsid w:val="00890EF7"/>
    <w:rsid w:val="00894E5E"/>
    <w:rsid w:val="00896E6D"/>
    <w:rsid w:val="008A05AF"/>
    <w:rsid w:val="008A1739"/>
    <w:rsid w:val="008A245A"/>
    <w:rsid w:val="008A2914"/>
    <w:rsid w:val="008A2B82"/>
    <w:rsid w:val="008A4786"/>
    <w:rsid w:val="008A4D82"/>
    <w:rsid w:val="008A6BD6"/>
    <w:rsid w:val="008A72A2"/>
    <w:rsid w:val="008AA115"/>
    <w:rsid w:val="008B351E"/>
    <w:rsid w:val="008B3EFA"/>
    <w:rsid w:val="008B465E"/>
    <w:rsid w:val="008B6BEE"/>
    <w:rsid w:val="008C06B0"/>
    <w:rsid w:val="008C12DB"/>
    <w:rsid w:val="008C4321"/>
    <w:rsid w:val="008C4A2A"/>
    <w:rsid w:val="008C4F63"/>
    <w:rsid w:val="008C5296"/>
    <w:rsid w:val="008C6873"/>
    <w:rsid w:val="008C6CC3"/>
    <w:rsid w:val="008C922D"/>
    <w:rsid w:val="008D028F"/>
    <w:rsid w:val="008D19DA"/>
    <w:rsid w:val="008D1A47"/>
    <w:rsid w:val="008D3EB2"/>
    <w:rsid w:val="008D4188"/>
    <w:rsid w:val="008D48F6"/>
    <w:rsid w:val="008D5A21"/>
    <w:rsid w:val="008D7C7C"/>
    <w:rsid w:val="008D7C9B"/>
    <w:rsid w:val="008E0B41"/>
    <w:rsid w:val="008E14DD"/>
    <w:rsid w:val="008E1949"/>
    <w:rsid w:val="008E4243"/>
    <w:rsid w:val="008E4815"/>
    <w:rsid w:val="008E4D8E"/>
    <w:rsid w:val="008E4FC7"/>
    <w:rsid w:val="008E50F2"/>
    <w:rsid w:val="008E56EA"/>
    <w:rsid w:val="008E5795"/>
    <w:rsid w:val="008E7D51"/>
    <w:rsid w:val="008F2ADA"/>
    <w:rsid w:val="008F3A8B"/>
    <w:rsid w:val="008F7454"/>
    <w:rsid w:val="00900062"/>
    <w:rsid w:val="0090223C"/>
    <w:rsid w:val="00902790"/>
    <w:rsid w:val="0090489F"/>
    <w:rsid w:val="009067AD"/>
    <w:rsid w:val="00906AF5"/>
    <w:rsid w:val="0091065E"/>
    <w:rsid w:val="00911D67"/>
    <w:rsid w:val="00914BBC"/>
    <w:rsid w:val="009158AD"/>
    <w:rsid w:val="0092201E"/>
    <w:rsid w:val="009251B9"/>
    <w:rsid w:val="0092597E"/>
    <w:rsid w:val="00925C7D"/>
    <w:rsid w:val="009260EE"/>
    <w:rsid w:val="009262DC"/>
    <w:rsid w:val="00927228"/>
    <w:rsid w:val="0093054B"/>
    <w:rsid w:val="00930851"/>
    <w:rsid w:val="00930974"/>
    <w:rsid w:val="009325DD"/>
    <w:rsid w:val="009363D4"/>
    <w:rsid w:val="00936E4A"/>
    <w:rsid w:val="0093736D"/>
    <w:rsid w:val="00941389"/>
    <w:rsid w:val="00943283"/>
    <w:rsid w:val="00945D16"/>
    <w:rsid w:val="00945E1A"/>
    <w:rsid w:val="009465E3"/>
    <w:rsid w:val="00946BE8"/>
    <w:rsid w:val="00946C65"/>
    <w:rsid w:val="009471C4"/>
    <w:rsid w:val="00947961"/>
    <w:rsid w:val="009483A5"/>
    <w:rsid w:val="009500DD"/>
    <w:rsid w:val="00951FBB"/>
    <w:rsid w:val="00953E18"/>
    <w:rsid w:val="009549C0"/>
    <w:rsid w:val="00954AEA"/>
    <w:rsid w:val="00955079"/>
    <w:rsid w:val="00956338"/>
    <w:rsid w:val="00956CBB"/>
    <w:rsid w:val="0095709D"/>
    <w:rsid w:val="00957853"/>
    <w:rsid w:val="009614A6"/>
    <w:rsid w:val="0096233A"/>
    <w:rsid w:val="009630EA"/>
    <w:rsid w:val="0096315A"/>
    <w:rsid w:val="0096347A"/>
    <w:rsid w:val="00963D38"/>
    <w:rsid w:val="00964FD5"/>
    <w:rsid w:val="00965FFB"/>
    <w:rsid w:val="00971F86"/>
    <w:rsid w:val="00972011"/>
    <w:rsid w:val="00973E4E"/>
    <w:rsid w:val="009776E3"/>
    <w:rsid w:val="009820BD"/>
    <w:rsid w:val="00982E91"/>
    <w:rsid w:val="009831C8"/>
    <w:rsid w:val="00985D11"/>
    <w:rsid w:val="00990284"/>
    <w:rsid w:val="00991ED7"/>
    <w:rsid w:val="009A20E2"/>
    <w:rsid w:val="009A22FC"/>
    <w:rsid w:val="009A32D0"/>
    <w:rsid w:val="009B0B3E"/>
    <w:rsid w:val="009B1609"/>
    <w:rsid w:val="009B1950"/>
    <w:rsid w:val="009B25A3"/>
    <w:rsid w:val="009B32EB"/>
    <w:rsid w:val="009B3575"/>
    <w:rsid w:val="009B70E0"/>
    <w:rsid w:val="009B7F31"/>
    <w:rsid w:val="009C42E7"/>
    <w:rsid w:val="009C4317"/>
    <w:rsid w:val="009C4B57"/>
    <w:rsid w:val="009C5B16"/>
    <w:rsid w:val="009C7146"/>
    <w:rsid w:val="009C7821"/>
    <w:rsid w:val="009D014F"/>
    <w:rsid w:val="009D0172"/>
    <w:rsid w:val="009D3F0D"/>
    <w:rsid w:val="009D6082"/>
    <w:rsid w:val="009D6957"/>
    <w:rsid w:val="009D6A16"/>
    <w:rsid w:val="009D6D7D"/>
    <w:rsid w:val="009E5685"/>
    <w:rsid w:val="009E7FCC"/>
    <w:rsid w:val="009F4C11"/>
    <w:rsid w:val="009F6926"/>
    <w:rsid w:val="009F6ED6"/>
    <w:rsid w:val="00A00B4A"/>
    <w:rsid w:val="00A01547"/>
    <w:rsid w:val="00A01844"/>
    <w:rsid w:val="00A04C54"/>
    <w:rsid w:val="00A051C8"/>
    <w:rsid w:val="00A10156"/>
    <w:rsid w:val="00A11498"/>
    <w:rsid w:val="00A1185E"/>
    <w:rsid w:val="00A13061"/>
    <w:rsid w:val="00A14D53"/>
    <w:rsid w:val="00A15DEF"/>
    <w:rsid w:val="00A16737"/>
    <w:rsid w:val="00A20B82"/>
    <w:rsid w:val="00A230FB"/>
    <w:rsid w:val="00A23CF7"/>
    <w:rsid w:val="00A24727"/>
    <w:rsid w:val="00A2575A"/>
    <w:rsid w:val="00A27FB8"/>
    <w:rsid w:val="00A354CC"/>
    <w:rsid w:val="00A35C73"/>
    <w:rsid w:val="00A4059A"/>
    <w:rsid w:val="00A434EC"/>
    <w:rsid w:val="00A43895"/>
    <w:rsid w:val="00A475FF"/>
    <w:rsid w:val="00A502C2"/>
    <w:rsid w:val="00A50EB6"/>
    <w:rsid w:val="00A534D6"/>
    <w:rsid w:val="00A5404E"/>
    <w:rsid w:val="00A55012"/>
    <w:rsid w:val="00A56CA9"/>
    <w:rsid w:val="00A56F2B"/>
    <w:rsid w:val="00A67AC5"/>
    <w:rsid w:val="00A71610"/>
    <w:rsid w:val="00A73082"/>
    <w:rsid w:val="00A74DD1"/>
    <w:rsid w:val="00A75819"/>
    <w:rsid w:val="00A76D08"/>
    <w:rsid w:val="00A77EF0"/>
    <w:rsid w:val="00A81426"/>
    <w:rsid w:val="00A81B32"/>
    <w:rsid w:val="00A81C85"/>
    <w:rsid w:val="00A85BCB"/>
    <w:rsid w:val="00A8694C"/>
    <w:rsid w:val="00A92FB1"/>
    <w:rsid w:val="00A93F79"/>
    <w:rsid w:val="00A94546"/>
    <w:rsid w:val="00A9636C"/>
    <w:rsid w:val="00A96382"/>
    <w:rsid w:val="00AA0857"/>
    <w:rsid w:val="00AA1F72"/>
    <w:rsid w:val="00AA2C3C"/>
    <w:rsid w:val="00AA399C"/>
    <w:rsid w:val="00AA3E83"/>
    <w:rsid w:val="00AA4AE3"/>
    <w:rsid w:val="00AA5DFF"/>
    <w:rsid w:val="00AA5FAA"/>
    <w:rsid w:val="00AA6EA0"/>
    <w:rsid w:val="00AA7D65"/>
    <w:rsid w:val="00AB0996"/>
    <w:rsid w:val="00AB15C4"/>
    <w:rsid w:val="00AB34D4"/>
    <w:rsid w:val="00AB410B"/>
    <w:rsid w:val="00AB4F7A"/>
    <w:rsid w:val="00AB51F7"/>
    <w:rsid w:val="00AC032F"/>
    <w:rsid w:val="00AC0EFC"/>
    <w:rsid w:val="00AC13EF"/>
    <w:rsid w:val="00AC2A6C"/>
    <w:rsid w:val="00AC4C7B"/>
    <w:rsid w:val="00AC6F86"/>
    <w:rsid w:val="00AC704B"/>
    <w:rsid w:val="00AD05DC"/>
    <w:rsid w:val="00AD131E"/>
    <w:rsid w:val="00AD23C1"/>
    <w:rsid w:val="00AD323D"/>
    <w:rsid w:val="00AD3491"/>
    <w:rsid w:val="00AD4801"/>
    <w:rsid w:val="00AD57AD"/>
    <w:rsid w:val="00AD7BA0"/>
    <w:rsid w:val="00AD7F54"/>
    <w:rsid w:val="00AE146B"/>
    <w:rsid w:val="00AE1D6F"/>
    <w:rsid w:val="00AE21BF"/>
    <w:rsid w:val="00AE48E3"/>
    <w:rsid w:val="00AE6A74"/>
    <w:rsid w:val="00AE6ECC"/>
    <w:rsid w:val="00AE72D4"/>
    <w:rsid w:val="00AF28C3"/>
    <w:rsid w:val="00AF3973"/>
    <w:rsid w:val="00AF3AA4"/>
    <w:rsid w:val="00AF4926"/>
    <w:rsid w:val="00AF60EE"/>
    <w:rsid w:val="00B013FF"/>
    <w:rsid w:val="00B01A6D"/>
    <w:rsid w:val="00B04A34"/>
    <w:rsid w:val="00B04CA3"/>
    <w:rsid w:val="00B04EAE"/>
    <w:rsid w:val="00B05BB2"/>
    <w:rsid w:val="00B07578"/>
    <w:rsid w:val="00B0791E"/>
    <w:rsid w:val="00B1190B"/>
    <w:rsid w:val="00B13B14"/>
    <w:rsid w:val="00B13FCD"/>
    <w:rsid w:val="00B14A63"/>
    <w:rsid w:val="00B14CD8"/>
    <w:rsid w:val="00B14F18"/>
    <w:rsid w:val="00B15678"/>
    <w:rsid w:val="00B15BF2"/>
    <w:rsid w:val="00B2050D"/>
    <w:rsid w:val="00B214EF"/>
    <w:rsid w:val="00B215C5"/>
    <w:rsid w:val="00B21604"/>
    <w:rsid w:val="00B22A09"/>
    <w:rsid w:val="00B249AB"/>
    <w:rsid w:val="00B252C3"/>
    <w:rsid w:val="00B26735"/>
    <w:rsid w:val="00B26C06"/>
    <w:rsid w:val="00B31C31"/>
    <w:rsid w:val="00B34394"/>
    <w:rsid w:val="00B34542"/>
    <w:rsid w:val="00B34EDD"/>
    <w:rsid w:val="00B37D64"/>
    <w:rsid w:val="00B41621"/>
    <w:rsid w:val="00B42A85"/>
    <w:rsid w:val="00B47DA0"/>
    <w:rsid w:val="00B52A68"/>
    <w:rsid w:val="00B52D32"/>
    <w:rsid w:val="00B533C6"/>
    <w:rsid w:val="00B53606"/>
    <w:rsid w:val="00B567B0"/>
    <w:rsid w:val="00B56CE6"/>
    <w:rsid w:val="00B600EB"/>
    <w:rsid w:val="00B63111"/>
    <w:rsid w:val="00B63921"/>
    <w:rsid w:val="00B63DE9"/>
    <w:rsid w:val="00B64652"/>
    <w:rsid w:val="00B66125"/>
    <w:rsid w:val="00B66F87"/>
    <w:rsid w:val="00B704F4"/>
    <w:rsid w:val="00B73A61"/>
    <w:rsid w:val="00B752AB"/>
    <w:rsid w:val="00B753D1"/>
    <w:rsid w:val="00B75A29"/>
    <w:rsid w:val="00B762CB"/>
    <w:rsid w:val="00B76993"/>
    <w:rsid w:val="00B77914"/>
    <w:rsid w:val="00B77ED8"/>
    <w:rsid w:val="00B816E5"/>
    <w:rsid w:val="00B85227"/>
    <w:rsid w:val="00B87B88"/>
    <w:rsid w:val="00B934F1"/>
    <w:rsid w:val="00B95372"/>
    <w:rsid w:val="00B956F2"/>
    <w:rsid w:val="00B96C28"/>
    <w:rsid w:val="00B979F3"/>
    <w:rsid w:val="00BA0395"/>
    <w:rsid w:val="00BA0857"/>
    <w:rsid w:val="00BA0BCF"/>
    <w:rsid w:val="00BA0C22"/>
    <w:rsid w:val="00BA1054"/>
    <w:rsid w:val="00BA4E53"/>
    <w:rsid w:val="00BA60CC"/>
    <w:rsid w:val="00BA78D9"/>
    <w:rsid w:val="00BB0668"/>
    <w:rsid w:val="00BB28AB"/>
    <w:rsid w:val="00BB3126"/>
    <w:rsid w:val="00BB3E25"/>
    <w:rsid w:val="00BB7789"/>
    <w:rsid w:val="00BB7F58"/>
    <w:rsid w:val="00BC0981"/>
    <w:rsid w:val="00BC0AB5"/>
    <w:rsid w:val="00BC0AF0"/>
    <w:rsid w:val="00BC3C84"/>
    <w:rsid w:val="00BC491C"/>
    <w:rsid w:val="00BC6487"/>
    <w:rsid w:val="00BC68DE"/>
    <w:rsid w:val="00BC6BA7"/>
    <w:rsid w:val="00BC6DEE"/>
    <w:rsid w:val="00BC72B1"/>
    <w:rsid w:val="00BC7D23"/>
    <w:rsid w:val="00BD07C4"/>
    <w:rsid w:val="00BD2260"/>
    <w:rsid w:val="00BD67FE"/>
    <w:rsid w:val="00BD6BF8"/>
    <w:rsid w:val="00BD7268"/>
    <w:rsid w:val="00BD741C"/>
    <w:rsid w:val="00BE061D"/>
    <w:rsid w:val="00BE0918"/>
    <w:rsid w:val="00BE3960"/>
    <w:rsid w:val="00BE3D40"/>
    <w:rsid w:val="00BE5CFB"/>
    <w:rsid w:val="00BF18D3"/>
    <w:rsid w:val="00BF2355"/>
    <w:rsid w:val="00BF33ED"/>
    <w:rsid w:val="00BF3749"/>
    <w:rsid w:val="00BF39EF"/>
    <w:rsid w:val="00BF3E15"/>
    <w:rsid w:val="00BF5E02"/>
    <w:rsid w:val="00BF5FD3"/>
    <w:rsid w:val="00BF750F"/>
    <w:rsid w:val="00C00341"/>
    <w:rsid w:val="00C0112C"/>
    <w:rsid w:val="00C045F0"/>
    <w:rsid w:val="00C060ED"/>
    <w:rsid w:val="00C064F5"/>
    <w:rsid w:val="00C12301"/>
    <w:rsid w:val="00C125C5"/>
    <w:rsid w:val="00C13549"/>
    <w:rsid w:val="00C16E36"/>
    <w:rsid w:val="00C17F87"/>
    <w:rsid w:val="00C20864"/>
    <w:rsid w:val="00C2142E"/>
    <w:rsid w:val="00C21D4C"/>
    <w:rsid w:val="00C235C1"/>
    <w:rsid w:val="00C239D0"/>
    <w:rsid w:val="00C25CCF"/>
    <w:rsid w:val="00C274D7"/>
    <w:rsid w:val="00C275DE"/>
    <w:rsid w:val="00C276C0"/>
    <w:rsid w:val="00C27B1D"/>
    <w:rsid w:val="00C30038"/>
    <w:rsid w:val="00C31BAE"/>
    <w:rsid w:val="00C32B42"/>
    <w:rsid w:val="00C344ED"/>
    <w:rsid w:val="00C3551D"/>
    <w:rsid w:val="00C35E38"/>
    <w:rsid w:val="00C40848"/>
    <w:rsid w:val="00C41AB6"/>
    <w:rsid w:val="00C43D08"/>
    <w:rsid w:val="00C4451A"/>
    <w:rsid w:val="00C4527F"/>
    <w:rsid w:val="00C4594B"/>
    <w:rsid w:val="00C46530"/>
    <w:rsid w:val="00C46AF7"/>
    <w:rsid w:val="00C498B6"/>
    <w:rsid w:val="00C50CB2"/>
    <w:rsid w:val="00C52048"/>
    <w:rsid w:val="00C523ED"/>
    <w:rsid w:val="00C53D3E"/>
    <w:rsid w:val="00C55249"/>
    <w:rsid w:val="00C564BE"/>
    <w:rsid w:val="00C61E24"/>
    <w:rsid w:val="00C6202E"/>
    <w:rsid w:val="00C62DC7"/>
    <w:rsid w:val="00C62F41"/>
    <w:rsid w:val="00C63ABB"/>
    <w:rsid w:val="00C63D96"/>
    <w:rsid w:val="00C650B2"/>
    <w:rsid w:val="00C650F7"/>
    <w:rsid w:val="00C65B93"/>
    <w:rsid w:val="00C65FCB"/>
    <w:rsid w:val="00C668F9"/>
    <w:rsid w:val="00C66A47"/>
    <w:rsid w:val="00C7076A"/>
    <w:rsid w:val="00C71F79"/>
    <w:rsid w:val="00C73801"/>
    <w:rsid w:val="00C73979"/>
    <w:rsid w:val="00C74135"/>
    <w:rsid w:val="00C746E7"/>
    <w:rsid w:val="00C754CE"/>
    <w:rsid w:val="00C800BD"/>
    <w:rsid w:val="00C81CA6"/>
    <w:rsid w:val="00C8311E"/>
    <w:rsid w:val="00C8416B"/>
    <w:rsid w:val="00C86361"/>
    <w:rsid w:val="00C8655D"/>
    <w:rsid w:val="00C91306"/>
    <w:rsid w:val="00C91959"/>
    <w:rsid w:val="00C92878"/>
    <w:rsid w:val="00C92A57"/>
    <w:rsid w:val="00C935EC"/>
    <w:rsid w:val="00C93AA0"/>
    <w:rsid w:val="00C94F72"/>
    <w:rsid w:val="00C95748"/>
    <w:rsid w:val="00C96063"/>
    <w:rsid w:val="00C961F8"/>
    <w:rsid w:val="00C962E7"/>
    <w:rsid w:val="00C96544"/>
    <w:rsid w:val="00C96B2C"/>
    <w:rsid w:val="00C974BA"/>
    <w:rsid w:val="00CA14FD"/>
    <w:rsid w:val="00CA349E"/>
    <w:rsid w:val="00CA3CAB"/>
    <w:rsid w:val="00CA3EAE"/>
    <w:rsid w:val="00CB1623"/>
    <w:rsid w:val="00CB28C0"/>
    <w:rsid w:val="00CB4643"/>
    <w:rsid w:val="00CB548D"/>
    <w:rsid w:val="00CB5DE3"/>
    <w:rsid w:val="00CB6A53"/>
    <w:rsid w:val="00CB6B5A"/>
    <w:rsid w:val="00CC177F"/>
    <w:rsid w:val="00CC2DF4"/>
    <w:rsid w:val="00CC4FAA"/>
    <w:rsid w:val="00CC742A"/>
    <w:rsid w:val="00CC7629"/>
    <w:rsid w:val="00CD0E6E"/>
    <w:rsid w:val="00CD2078"/>
    <w:rsid w:val="00CD25CC"/>
    <w:rsid w:val="00CD3F44"/>
    <w:rsid w:val="00CD5137"/>
    <w:rsid w:val="00CD54BA"/>
    <w:rsid w:val="00CD7F86"/>
    <w:rsid w:val="00CE0C3D"/>
    <w:rsid w:val="00CE2477"/>
    <w:rsid w:val="00CE543D"/>
    <w:rsid w:val="00CE7E51"/>
    <w:rsid w:val="00CF0723"/>
    <w:rsid w:val="00CF079D"/>
    <w:rsid w:val="00CF07DC"/>
    <w:rsid w:val="00CF1A3A"/>
    <w:rsid w:val="00CF1CEE"/>
    <w:rsid w:val="00CF25A6"/>
    <w:rsid w:val="00CF42E9"/>
    <w:rsid w:val="00CF4C2D"/>
    <w:rsid w:val="00D00853"/>
    <w:rsid w:val="00D02B23"/>
    <w:rsid w:val="00D02DDA"/>
    <w:rsid w:val="00D031C6"/>
    <w:rsid w:val="00D04E75"/>
    <w:rsid w:val="00D067D8"/>
    <w:rsid w:val="00D0739C"/>
    <w:rsid w:val="00D11D06"/>
    <w:rsid w:val="00D1557C"/>
    <w:rsid w:val="00D17DCE"/>
    <w:rsid w:val="00D20381"/>
    <w:rsid w:val="00D23E3F"/>
    <w:rsid w:val="00D240EE"/>
    <w:rsid w:val="00D27858"/>
    <w:rsid w:val="00D307D6"/>
    <w:rsid w:val="00D30903"/>
    <w:rsid w:val="00D31F58"/>
    <w:rsid w:val="00D320AF"/>
    <w:rsid w:val="00D3266A"/>
    <w:rsid w:val="00D33092"/>
    <w:rsid w:val="00D33AA6"/>
    <w:rsid w:val="00D36583"/>
    <w:rsid w:val="00D40D01"/>
    <w:rsid w:val="00D41DCC"/>
    <w:rsid w:val="00D453CB"/>
    <w:rsid w:val="00D45B77"/>
    <w:rsid w:val="00D515FC"/>
    <w:rsid w:val="00D5253C"/>
    <w:rsid w:val="00D5530B"/>
    <w:rsid w:val="00D562FA"/>
    <w:rsid w:val="00D60C84"/>
    <w:rsid w:val="00D61747"/>
    <w:rsid w:val="00D61AF9"/>
    <w:rsid w:val="00D61C2E"/>
    <w:rsid w:val="00D634B0"/>
    <w:rsid w:val="00D64411"/>
    <w:rsid w:val="00D64D96"/>
    <w:rsid w:val="00D65DD3"/>
    <w:rsid w:val="00D66A7C"/>
    <w:rsid w:val="00D6743C"/>
    <w:rsid w:val="00D67892"/>
    <w:rsid w:val="00D70AC6"/>
    <w:rsid w:val="00D70DBA"/>
    <w:rsid w:val="00D721C6"/>
    <w:rsid w:val="00D746DC"/>
    <w:rsid w:val="00D75E29"/>
    <w:rsid w:val="00D77C40"/>
    <w:rsid w:val="00D81EDA"/>
    <w:rsid w:val="00D82BEE"/>
    <w:rsid w:val="00D83269"/>
    <w:rsid w:val="00D8423C"/>
    <w:rsid w:val="00D846E1"/>
    <w:rsid w:val="00D86DAB"/>
    <w:rsid w:val="00D87D84"/>
    <w:rsid w:val="00D90354"/>
    <w:rsid w:val="00D909FE"/>
    <w:rsid w:val="00D92C7B"/>
    <w:rsid w:val="00D92E63"/>
    <w:rsid w:val="00D93F7A"/>
    <w:rsid w:val="00DA13EE"/>
    <w:rsid w:val="00DA2A66"/>
    <w:rsid w:val="00DA3866"/>
    <w:rsid w:val="00DA4923"/>
    <w:rsid w:val="00DA64EB"/>
    <w:rsid w:val="00DA7FBC"/>
    <w:rsid w:val="00DB09E8"/>
    <w:rsid w:val="00DB1915"/>
    <w:rsid w:val="00DB28D0"/>
    <w:rsid w:val="00DB48B9"/>
    <w:rsid w:val="00DB563D"/>
    <w:rsid w:val="00DB648E"/>
    <w:rsid w:val="00DB74E3"/>
    <w:rsid w:val="00DC09DB"/>
    <w:rsid w:val="00DC1321"/>
    <w:rsid w:val="00DC28BF"/>
    <w:rsid w:val="00DC348A"/>
    <w:rsid w:val="00DC6879"/>
    <w:rsid w:val="00DD02D1"/>
    <w:rsid w:val="00DD0A68"/>
    <w:rsid w:val="00DD0B78"/>
    <w:rsid w:val="00DD0CEE"/>
    <w:rsid w:val="00DD1043"/>
    <w:rsid w:val="00DD1AA3"/>
    <w:rsid w:val="00DD2F04"/>
    <w:rsid w:val="00DD44AB"/>
    <w:rsid w:val="00DD5D1F"/>
    <w:rsid w:val="00DD63EA"/>
    <w:rsid w:val="00DD6C1F"/>
    <w:rsid w:val="00DD6D4B"/>
    <w:rsid w:val="00DD73BD"/>
    <w:rsid w:val="00DD7D26"/>
    <w:rsid w:val="00DE04D9"/>
    <w:rsid w:val="00DE0A78"/>
    <w:rsid w:val="00DE5D83"/>
    <w:rsid w:val="00DE65C2"/>
    <w:rsid w:val="00DE663E"/>
    <w:rsid w:val="00DE70F9"/>
    <w:rsid w:val="00DE7269"/>
    <w:rsid w:val="00DF32F8"/>
    <w:rsid w:val="00DF3416"/>
    <w:rsid w:val="00DF4F6B"/>
    <w:rsid w:val="00DF7915"/>
    <w:rsid w:val="00E00B5C"/>
    <w:rsid w:val="00E00FB4"/>
    <w:rsid w:val="00E02844"/>
    <w:rsid w:val="00E047D4"/>
    <w:rsid w:val="00E136F5"/>
    <w:rsid w:val="00E147C2"/>
    <w:rsid w:val="00E1700C"/>
    <w:rsid w:val="00E1751F"/>
    <w:rsid w:val="00E21974"/>
    <w:rsid w:val="00E222C4"/>
    <w:rsid w:val="00E22562"/>
    <w:rsid w:val="00E23FD8"/>
    <w:rsid w:val="00E26208"/>
    <w:rsid w:val="00E2694F"/>
    <w:rsid w:val="00E26FF1"/>
    <w:rsid w:val="00E279BD"/>
    <w:rsid w:val="00E30783"/>
    <w:rsid w:val="00E3295E"/>
    <w:rsid w:val="00E34158"/>
    <w:rsid w:val="00E36400"/>
    <w:rsid w:val="00E3665D"/>
    <w:rsid w:val="00E4290C"/>
    <w:rsid w:val="00E42CD0"/>
    <w:rsid w:val="00E44E4D"/>
    <w:rsid w:val="00E4757A"/>
    <w:rsid w:val="00E47885"/>
    <w:rsid w:val="00E50620"/>
    <w:rsid w:val="00E5324F"/>
    <w:rsid w:val="00E567BF"/>
    <w:rsid w:val="00E60712"/>
    <w:rsid w:val="00E61380"/>
    <w:rsid w:val="00E61CEE"/>
    <w:rsid w:val="00E63449"/>
    <w:rsid w:val="00E65408"/>
    <w:rsid w:val="00E65C0D"/>
    <w:rsid w:val="00E66459"/>
    <w:rsid w:val="00E6710A"/>
    <w:rsid w:val="00E7038A"/>
    <w:rsid w:val="00E71029"/>
    <w:rsid w:val="00E72291"/>
    <w:rsid w:val="00E739F5"/>
    <w:rsid w:val="00E74B1E"/>
    <w:rsid w:val="00E76D05"/>
    <w:rsid w:val="00E77499"/>
    <w:rsid w:val="00E82C1A"/>
    <w:rsid w:val="00E82C23"/>
    <w:rsid w:val="00E8313C"/>
    <w:rsid w:val="00E853C2"/>
    <w:rsid w:val="00E8705A"/>
    <w:rsid w:val="00E87219"/>
    <w:rsid w:val="00E87442"/>
    <w:rsid w:val="00E876B9"/>
    <w:rsid w:val="00E87D91"/>
    <w:rsid w:val="00E92F9B"/>
    <w:rsid w:val="00E93598"/>
    <w:rsid w:val="00E94935"/>
    <w:rsid w:val="00E95A83"/>
    <w:rsid w:val="00E96941"/>
    <w:rsid w:val="00EA06A1"/>
    <w:rsid w:val="00EA2EC5"/>
    <w:rsid w:val="00EA349B"/>
    <w:rsid w:val="00EA6D73"/>
    <w:rsid w:val="00EA7638"/>
    <w:rsid w:val="00EB0608"/>
    <w:rsid w:val="00EB0641"/>
    <w:rsid w:val="00EB3E33"/>
    <w:rsid w:val="00EB4E53"/>
    <w:rsid w:val="00EB5562"/>
    <w:rsid w:val="00EB5E32"/>
    <w:rsid w:val="00EB7A40"/>
    <w:rsid w:val="00EC2128"/>
    <w:rsid w:val="00EC2175"/>
    <w:rsid w:val="00EC4257"/>
    <w:rsid w:val="00EC503D"/>
    <w:rsid w:val="00EC66A6"/>
    <w:rsid w:val="00EC7E0D"/>
    <w:rsid w:val="00ED1AF7"/>
    <w:rsid w:val="00ED3834"/>
    <w:rsid w:val="00EE3037"/>
    <w:rsid w:val="00EE3D7A"/>
    <w:rsid w:val="00EE422E"/>
    <w:rsid w:val="00EE48F4"/>
    <w:rsid w:val="00EE49F0"/>
    <w:rsid w:val="00EE789B"/>
    <w:rsid w:val="00EF052D"/>
    <w:rsid w:val="00EF2622"/>
    <w:rsid w:val="00EF4713"/>
    <w:rsid w:val="00EF56BE"/>
    <w:rsid w:val="00EF5DCE"/>
    <w:rsid w:val="00EF7B36"/>
    <w:rsid w:val="00F0132F"/>
    <w:rsid w:val="00F0228D"/>
    <w:rsid w:val="00F02B06"/>
    <w:rsid w:val="00F032AE"/>
    <w:rsid w:val="00F046CD"/>
    <w:rsid w:val="00F05DBB"/>
    <w:rsid w:val="00F06D3F"/>
    <w:rsid w:val="00F075DA"/>
    <w:rsid w:val="00F07F11"/>
    <w:rsid w:val="00F10BFC"/>
    <w:rsid w:val="00F1383F"/>
    <w:rsid w:val="00F13BCB"/>
    <w:rsid w:val="00F13D4F"/>
    <w:rsid w:val="00F14B21"/>
    <w:rsid w:val="00F17483"/>
    <w:rsid w:val="00F207E1"/>
    <w:rsid w:val="00F22138"/>
    <w:rsid w:val="00F24819"/>
    <w:rsid w:val="00F248F5"/>
    <w:rsid w:val="00F25A88"/>
    <w:rsid w:val="00F26E1D"/>
    <w:rsid w:val="00F272AF"/>
    <w:rsid w:val="00F3077C"/>
    <w:rsid w:val="00F311F3"/>
    <w:rsid w:val="00F31C9A"/>
    <w:rsid w:val="00F336F1"/>
    <w:rsid w:val="00F34BDE"/>
    <w:rsid w:val="00F350AC"/>
    <w:rsid w:val="00F35F7A"/>
    <w:rsid w:val="00F41D34"/>
    <w:rsid w:val="00F44D9D"/>
    <w:rsid w:val="00F4534F"/>
    <w:rsid w:val="00F46E78"/>
    <w:rsid w:val="00F5023A"/>
    <w:rsid w:val="00F513A8"/>
    <w:rsid w:val="00F52079"/>
    <w:rsid w:val="00F52662"/>
    <w:rsid w:val="00F5280B"/>
    <w:rsid w:val="00F52CDF"/>
    <w:rsid w:val="00F54451"/>
    <w:rsid w:val="00F5520D"/>
    <w:rsid w:val="00F570E7"/>
    <w:rsid w:val="00F57235"/>
    <w:rsid w:val="00F6076F"/>
    <w:rsid w:val="00F61D49"/>
    <w:rsid w:val="00F62860"/>
    <w:rsid w:val="00F62B0D"/>
    <w:rsid w:val="00F62F0C"/>
    <w:rsid w:val="00F651CC"/>
    <w:rsid w:val="00F65203"/>
    <w:rsid w:val="00F711BD"/>
    <w:rsid w:val="00F71EE8"/>
    <w:rsid w:val="00F72B88"/>
    <w:rsid w:val="00F73684"/>
    <w:rsid w:val="00F742E8"/>
    <w:rsid w:val="00F7582F"/>
    <w:rsid w:val="00F7673E"/>
    <w:rsid w:val="00F76A40"/>
    <w:rsid w:val="00F76B06"/>
    <w:rsid w:val="00F80F78"/>
    <w:rsid w:val="00F814E6"/>
    <w:rsid w:val="00F820B5"/>
    <w:rsid w:val="00F829E9"/>
    <w:rsid w:val="00F831D4"/>
    <w:rsid w:val="00F83869"/>
    <w:rsid w:val="00F83D3E"/>
    <w:rsid w:val="00F86160"/>
    <w:rsid w:val="00F9024A"/>
    <w:rsid w:val="00F902B9"/>
    <w:rsid w:val="00F90566"/>
    <w:rsid w:val="00F9061A"/>
    <w:rsid w:val="00F90935"/>
    <w:rsid w:val="00F90A59"/>
    <w:rsid w:val="00F90C91"/>
    <w:rsid w:val="00F93D6D"/>
    <w:rsid w:val="00F969BE"/>
    <w:rsid w:val="00F97D99"/>
    <w:rsid w:val="00FA00D9"/>
    <w:rsid w:val="00FA1424"/>
    <w:rsid w:val="00FA19E5"/>
    <w:rsid w:val="00FA1E2D"/>
    <w:rsid w:val="00FA3E8C"/>
    <w:rsid w:val="00FA6F85"/>
    <w:rsid w:val="00FA7FBF"/>
    <w:rsid w:val="00FB409D"/>
    <w:rsid w:val="00FB57BD"/>
    <w:rsid w:val="00FC071C"/>
    <w:rsid w:val="00FC2C2B"/>
    <w:rsid w:val="00FC3247"/>
    <w:rsid w:val="00FC36B7"/>
    <w:rsid w:val="00FC38F8"/>
    <w:rsid w:val="00FC3C40"/>
    <w:rsid w:val="00FC4654"/>
    <w:rsid w:val="00FC4885"/>
    <w:rsid w:val="00FC517A"/>
    <w:rsid w:val="00FC5C72"/>
    <w:rsid w:val="00FC664A"/>
    <w:rsid w:val="00FC6DB3"/>
    <w:rsid w:val="00FD0F28"/>
    <w:rsid w:val="00FD6CB4"/>
    <w:rsid w:val="00FE1111"/>
    <w:rsid w:val="00FE1250"/>
    <w:rsid w:val="00FE178C"/>
    <w:rsid w:val="00FE3A79"/>
    <w:rsid w:val="00FE4036"/>
    <w:rsid w:val="00FE4F8A"/>
    <w:rsid w:val="00FE72B9"/>
    <w:rsid w:val="00FE7FDD"/>
    <w:rsid w:val="00FF1089"/>
    <w:rsid w:val="00FF25AA"/>
    <w:rsid w:val="00FF2896"/>
    <w:rsid w:val="00FF2BD3"/>
    <w:rsid w:val="00FF3112"/>
    <w:rsid w:val="00FF31F2"/>
    <w:rsid w:val="012D1AFF"/>
    <w:rsid w:val="0132107E"/>
    <w:rsid w:val="01876007"/>
    <w:rsid w:val="018BF1BC"/>
    <w:rsid w:val="01FFC1FA"/>
    <w:rsid w:val="0226C3A3"/>
    <w:rsid w:val="026B7CCD"/>
    <w:rsid w:val="026D4184"/>
    <w:rsid w:val="031B1F60"/>
    <w:rsid w:val="03276BB3"/>
    <w:rsid w:val="0365D88C"/>
    <w:rsid w:val="037D3E95"/>
    <w:rsid w:val="03836109"/>
    <w:rsid w:val="03A579A0"/>
    <w:rsid w:val="03BA3396"/>
    <w:rsid w:val="03DE322B"/>
    <w:rsid w:val="03DF7BC4"/>
    <w:rsid w:val="0425AE70"/>
    <w:rsid w:val="042703CF"/>
    <w:rsid w:val="04820F6A"/>
    <w:rsid w:val="04A0E94E"/>
    <w:rsid w:val="04A321E8"/>
    <w:rsid w:val="04AE5132"/>
    <w:rsid w:val="04C3FFE6"/>
    <w:rsid w:val="04D89DDF"/>
    <w:rsid w:val="04E58D35"/>
    <w:rsid w:val="0500275D"/>
    <w:rsid w:val="0508DEB9"/>
    <w:rsid w:val="051EDC45"/>
    <w:rsid w:val="054354FC"/>
    <w:rsid w:val="054F3AD5"/>
    <w:rsid w:val="05583D31"/>
    <w:rsid w:val="0585D312"/>
    <w:rsid w:val="058B3CEB"/>
    <w:rsid w:val="0596040B"/>
    <w:rsid w:val="05A9CF81"/>
    <w:rsid w:val="05AC94DF"/>
    <w:rsid w:val="05DBDF7D"/>
    <w:rsid w:val="06236EC0"/>
    <w:rsid w:val="067AF373"/>
    <w:rsid w:val="06894F51"/>
    <w:rsid w:val="069E218A"/>
    <w:rsid w:val="06B7FADB"/>
    <w:rsid w:val="06CF229A"/>
    <w:rsid w:val="06DC13B0"/>
    <w:rsid w:val="06E3BB73"/>
    <w:rsid w:val="070FC1F9"/>
    <w:rsid w:val="07288F11"/>
    <w:rsid w:val="073657D7"/>
    <w:rsid w:val="07748539"/>
    <w:rsid w:val="07879692"/>
    <w:rsid w:val="07BBF85B"/>
    <w:rsid w:val="07F2553D"/>
    <w:rsid w:val="07F5F6C8"/>
    <w:rsid w:val="07FBA906"/>
    <w:rsid w:val="081F0144"/>
    <w:rsid w:val="0822E2CC"/>
    <w:rsid w:val="08367266"/>
    <w:rsid w:val="0871D127"/>
    <w:rsid w:val="0873FE09"/>
    <w:rsid w:val="08927AD9"/>
    <w:rsid w:val="08A18884"/>
    <w:rsid w:val="08F4F6E0"/>
    <w:rsid w:val="08F5AE30"/>
    <w:rsid w:val="0911C733"/>
    <w:rsid w:val="09376371"/>
    <w:rsid w:val="09396FDA"/>
    <w:rsid w:val="09831E55"/>
    <w:rsid w:val="098FF33A"/>
    <w:rsid w:val="09C20C0A"/>
    <w:rsid w:val="09F341B7"/>
    <w:rsid w:val="0A0028B9"/>
    <w:rsid w:val="0A488DAC"/>
    <w:rsid w:val="0AC02CDE"/>
    <w:rsid w:val="0AF49A89"/>
    <w:rsid w:val="0AF53AC5"/>
    <w:rsid w:val="0B05A426"/>
    <w:rsid w:val="0B0D9B18"/>
    <w:rsid w:val="0B1AE20E"/>
    <w:rsid w:val="0B24903B"/>
    <w:rsid w:val="0B591546"/>
    <w:rsid w:val="0B6DF086"/>
    <w:rsid w:val="0BA1A780"/>
    <w:rsid w:val="0BA96CD9"/>
    <w:rsid w:val="0BBAA102"/>
    <w:rsid w:val="0BBF68DD"/>
    <w:rsid w:val="0BCADB01"/>
    <w:rsid w:val="0C943B39"/>
    <w:rsid w:val="0CB972FE"/>
    <w:rsid w:val="0CBEE970"/>
    <w:rsid w:val="0CC9A4F2"/>
    <w:rsid w:val="0CCBAA81"/>
    <w:rsid w:val="0CCC3393"/>
    <w:rsid w:val="0CF0E2D1"/>
    <w:rsid w:val="0D0D1F80"/>
    <w:rsid w:val="0D3F2608"/>
    <w:rsid w:val="0DC51C59"/>
    <w:rsid w:val="0DF81A7B"/>
    <w:rsid w:val="0E0ADD02"/>
    <w:rsid w:val="0E1BC916"/>
    <w:rsid w:val="0E5D4830"/>
    <w:rsid w:val="0E893749"/>
    <w:rsid w:val="0ED6CE6E"/>
    <w:rsid w:val="0EF070FD"/>
    <w:rsid w:val="0EFB2C1A"/>
    <w:rsid w:val="0F0757C6"/>
    <w:rsid w:val="0F079058"/>
    <w:rsid w:val="0F0B2325"/>
    <w:rsid w:val="0F177AA3"/>
    <w:rsid w:val="0F476C8B"/>
    <w:rsid w:val="0F6534E1"/>
    <w:rsid w:val="0F6B141A"/>
    <w:rsid w:val="0F79E15D"/>
    <w:rsid w:val="0FE1FFF4"/>
    <w:rsid w:val="1002444A"/>
    <w:rsid w:val="101227D6"/>
    <w:rsid w:val="102D9D7F"/>
    <w:rsid w:val="1030002D"/>
    <w:rsid w:val="1103B3F5"/>
    <w:rsid w:val="1126EFC7"/>
    <w:rsid w:val="1148DA84"/>
    <w:rsid w:val="1169CAD0"/>
    <w:rsid w:val="11975402"/>
    <w:rsid w:val="11A737C1"/>
    <w:rsid w:val="120C4C06"/>
    <w:rsid w:val="12161BFD"/>
    <w:rsid w:val="121C5C89"/>
    <w:rsid w:val="12248A5B"/>
    <w:rsid w:val="12591E4D"/>
    <w:rsid w:val="127CDEBC"/>
    <w:rsid w:val="12898506"/>
    <w:rsid w:val="12AB8FD8"/>
    <w:rsid w:val="12BE6F9A"/>
    <w:rsid w:val="12E9FC1C"/>
    <w:rsid w:val="130004C2"/>
    <w:rsid w:val="1317F2A9"/>
    <w:rsid w:val="1320076D"/>
    <w:rsid w:val="13215B2F"/>
    <w:rsid w:val="13303290"/>
    <w:rsid w:val="13782478"/>
    <w:rsid w:val="13A02A94"/>
    <w:rsid w:val="141176F4"/>
    <w:rsid w:val="1434D6BD"/>
    <w:rsid w:val="14BB042E"/>
    <w:rsid w:val="14C8DF9A"/>
    <w:rsid w:val="14F25BB0"/>
    <w:rsid w:val="1502B509"/>
    <w:rsid w:val="15050999"/>
    <w:rsid w:val="152608E9"/>
    <w:rsid w:val="15482435"/>
    <w:rsid w:val="15561E5B"/>
    <w:rsid w:val="1558553A"/>
    <w:rsid w:val="1576178C"/>
    <w:rsid w:val="157ACC6A"/>
    <w:rsid w:val="1593468C"/>
    <w:rsid w:val="15A42781"/>
    <w:rsid w:val="15EBFC60"/>
    <w:rsid w:val="16131E2A"/>
    <w:rsid w:val="164B61A4"/>
    <w:rsid w:val="16540C3B"/>
    <w:rsid w:val="16D23FF9"/>
    <w:rsid w:val="16E64717"/>
    <w:rsid w:val="16FB3814"/>
    <w:rsid w:val="1728FA9B"/>
    <w:rsid w:val="173425F1"/>
    <w:rsid w:val="175548B9"/>
    <w:rsid w:val="176BE265"/>
    <w:rsid w:val="17960538"/>
    <w:rsid w:val="18580BF1"/>
    <w:rsid w:val="18CDA770"/>
    <w:rsid w:val="18EBC8FC"/>
    <w:rsid w:val="18EFFB4D"/>
    <w:rsid w:val="1900D9CF"/>
    <w:rsid w:val="190E0C5C"/>
    <w:rsid w:val="191A905D"/>
    <w:rsid w:val="193E443C"/>
    <w:rsid w:val="1981DCE0"/>
    <w:rsid w:val="19A11F35"/>
    <w:rsid w:val="19A5EA17"/>
    <w:rsid w:val="19B290C6"/>
    <w:rsid w:val="19ECBB86"/>
    <w:rsid w:val="1A12FD30"/>
    <w:rsid w:val="1A74197A"/>
    <w:rsid w:val="1A773E37"/>
    <w:rsid w:val="1ABE2E83"/>
    <w:rsid w:val="1AD1F62D"/>
    <w:rsid w:val="1AE6F282"/>
    <w:rsid w:val="1AFFB734"/>
    <w:rsid w:val="1B0A2988"/>
    <w:rsid w:val="1B471B1C"/>
    <w:rsid w:val="1B55CD7F"/>
    <w:rsid w:val="1B582F5D"/>
    <w:rsid w:val="1B6FAC6D"/>
    <w:rsid w:val="1B6FDFA3"/>
    <w:rsid w:val="1B70B133"/>
    <w:rsid w:val="1B777074"/>
    <w:rsid w:val="1B820FF5"/>
    <w:rsid w:val="1B9FFE18"/>
    <w:rsid w:val="1BF0DCD0"/>
    <w:rsid w:val="1C1E7DDD"/>
    <w:rsid w:val="1C204E96"/>
    <w:rsid w:val="1C23D277"/>
    <w:rsid w:val="1C54523F"/>
    <w:rsid w:val="1C5C6CFD"/>
    <w:rsid w:val="1C70A584"/>
    <w:rsid w:val="1C8EE802"/>
    <w:rsid w:val="1CA304E0"/>
    <w:rsid w:val="1CA820FE"/>
    <w:rsid w:val="1CD3B19D"/>
    <w:rsid w:val="1CE398AD"/>
    <w:rsid w:val="1D29975C"/>
    <w:rsid w:val="1D40E48F"/>
    <w:rsid w:val="1D42AF2A"/>
    <w:rsid w:val="1DB64DCC"/>
    <w:rsid w:val="1DCA0D55"/>
    <w:rsid w:val="1DDB9D07"/>
    <w:rsid w:val="1DF28B9E"/>
    <w:rsid w:val="1E1E4A83"/>
    <w:rsid w:val="1E4CD5C5"/>
    <w:rsid w:val="1E510B7E"/>
    <w:rsid w:val="1E617C15"/>
    <w:rsid w:val="1E7D540B"/>
    <w:rsid w:val="1E99DD82"/>
    <w:rsid w:val="1E9BABED"/>
    <w:rsid w:val="1EA1538B"/>
    <w:rsid w:val="1ED5C055"/>
    <w:rsid w:val="1EE5D16E"/>
    <w:rsid w:val="1EE84D77"/>
    <w:rsid w:val="1EEF034E"/>
    <w:rsid w:val="1F026542"/>
    <w:rsid w:val="1F5F78DB"/>
    <w:rsid w:val="1F6232A5"/>
    <w:rsid w:val="1F664839"/>
    <w:rsid w:val="1FA28B26"/>
    <w:rsid w:val="1FAE2DF9"/>
    <w:rsid w:val="1FC841E7"/>
    <w:rsid w:val="1FE85D6E"/>
    <w:rsid w:val="2010A09B"/>
    <w:rsid w:val="2031E2AA"/>
    <w:rsid w:val="203C6E40"/>
    <w:rsid w:val="2041F701"/>
    <w:rsid w:val="20A45A9A"/>
    <w:rsid w:val="20AB9210"/>
    <w:rsid w:val="20DBC7B4"/>
    <w:rsid w:val="20FA29B3"/>
    <w:rsid w:val="214CAFF8"/>
    <w:rsid w:val="216A6C5D"/>
    <w:rsid w:val="218A9A6C"/>
    <w:rsid w:val="219E637F"/>
    <w:rsid w:val="21CDB594"/>
    <w:rsid w:val="2208EDE4"/>
    <w:rsid w:val="227AAF14"/>
    <w:rsid w:val="228C77F7"/>
    <w:rsid w:val="22B4E027"/>
    <w:rsid w:val="230B8042"/>
    <w:rsid w:val="232E538C"/>
    <w:rsid w:val="233ECC3D"/>
    <w:rsid w:val="237F2EEB"/>
    <w:rsid w:val="23B0B757"/>
    <w:rsid w:val="243B19CD"/>
    <w:rsid w:val="244FE1B0"/>
    <w:rsid w:val="2456A858"/>
    <w:rsid w:val="245FF27E"/>
    <w:rsid w:val="2474AA75"/>
    <w:rsid w:val="24C67379"/>
    <w:rsid w:val="24CCE9EF"/>
    <w:rsid w:val="24D7AC80"/>
    <w:rsid w:val="24DAC853"/>
    <w:rsid w:val="25054A57"/>
    <w:rsid w:val="25527531"/>
    <w:rsid w:val="2560961E"/>
    <w:rsid w:val="2587B927"/>
    <w:rsid w:val="2590D678"/>
    <w:rsid w:val="25F2DA5C"/>
    <w:rsid w:val="2606ABE8"/>
    <w:rsid w:val="26114B19"/>
    <w:rsid w:val="2618BA5C"/>
    <w:rsid w:val="262904D5"/>
    <w:rsid w:val="268960D8"/>
    <w:rsid w:val="26A9714F"/>
    <w:rsid w:val="26C61C5F"/>
    <w:rsid w:val="26E4E706"/>
    <w:rsid w:val="270B9B3F"/>
    <w:rsid w:val="272332B2"/>
    <w:rsid w:val="27668F31"/>
    <w:rsid w:val="277C36B9"/>
    <w:rsid w:val="2797A48D"/>
    <w:rsid w:val="27AC9566"/>
    <w:rsid w:val="27B37D0E"/>
    <w:rsid w:val="27B6D8A7"/>
    <w:rsid w:val="27BB8800"/>
    <w:rsid w:val="27EF9ED9"/>
    <w:rsid w:val="28236DD2"/>
    <w:rsid w:val="28237D2A"/>
    <w:rsid w:val="2827BDE9"/>
    <w:rsid w:val="28399160"/>
    <w:rsid w:val="289CB573"/>
    <w:rsid w:val="28ADB12C"/>
    <w:rsid w:val="28ECE249"/>
    <w:rsid w:val="28EF2020"/>
    <w:rsid w:val="28F52645"/>
    <w:rsid w:val="28FDF27C"/>
    <w:rsid w:val="292AE39B"/>
    <w:rsid w:val="294F75FE"/>
    <w:rsid w:val="29B124F3"/>
    <w:rsid w:val="29C51CD1"/>
    <w:rsid w:val="2A3C0A35"/>
    <w:rsid w:val="2A43DA4B"/>
    <w:rsid w:val="2A47E4A6"/>
    <w:rsid w:val="2A4E99E2"/>
    <w:rsid w:val="2A7ADCF8"/>
    <w:rsid w:val="2AB6E0D6"/>
    <w:rsid w:val="2ABBD113"/>
    <w:rsid w:val="2B00679B"/>
    <w:rsid w:val="2B114F01"/>
    <w:rsid w:val="2B12152A"/>
    <w:rsid w:val="2B164BBB"/>
    <w:rsid w:val="2B5A8D32"/>
    <w:rsid w:val="2B7EC2E8"/>
    <w:rsid w:val="2B808607"/>
    <w:rsid w:val="2BCEF40F"/>
    <w:rsid w:val="2C098B91"/>
    <w:rsid w:val="2C13FDDC"/>
    <w:rsid w:val="2C5B5037"/>
    <w:rsid w:val="2C672B2A"/>
    <w:rsid w:val="2C79A894"/>
    <w:rsid w:val="2C9F5EEA"/>
    <w:rsid w:val="2CA9D9CB"/>
    <w:rsid w:val="2CD7CDB6"/>
    <w:rsid w:val="2CDF0CB7"/>
    <w:rsid w:val="2D0ABBC1"/>
    <w:rsid w:val="2D426FA6"/>
    <w:rsid w:val="2D50163B"/>
    <w:rsid w:val="2D6ADB48"/>
    <w:rsid w:val="2D77FECE"/>
    <w:rsid w:val="2D909687"/>
    <w:rsid w:val="2D929478"/>
    <w:rsid w:val="2E1BC3B4"/>
    <w:rsid w:val="2E31386D"/>
    <w:rsid w:val="2EA188AA"/>
    <w:rsid w:val="2EFA7D4D"/>
    <w:rsid w:val="2F19E3D1"/>
    <w:rsid w:val="2F20339A"/>
    <w:rsid w:val="2F3316DD"/>
    <w:rsid w:val="2F529224"/>
    <w:rsid w:val="2F691E90"/>
    <w:rsid w:val="2F78EAB0"/>
    <w:rsid w:val="2F9E9CD1"/>
    <w:rsid w:val="2FC389C6"/>
    <w:rsid w:val="2FF0B603"/>
    <w:rsid w:val="3005876D"/>
    <w:rsid w:val="30255831"/>
    <w:rsid w:val="3093B4C6"/>
    <w:rsid w:val="309B45E4"/>
    <w:rsid w:val="30B84291"/>
    <w:rsid w:val="30C74353"/>
    <w:rsid w:val="3106314B"/>
    <w:rsid w:val="3156791D"/>
    <w:rsid w:val="31868445"/>
    <w:rsid w:val="31897E99"/>
    <w:rsid w:val="31AC3411"/>
    <w:rsid w:val="31FCA27B"/>
    <w:rsid w:val="3251CE9B"/>
    <w:rsid w:val="32A81EAF"/>
    <w:rsid w:val="32B22CF2"/>
    <w:rsid w:val="32DDA0BF"/>
    <w:rsid w:val="32DFEE98"/>
    <w:rsid w:val="3303D89B"/>
    <w:rsid w:val="33083F4D"/>
    <w:rsid w:val="332AD833"/>
    <w:rsid w:val="33631C2E"/>
    <w:rsid w:val="33F9904F"/>
    <w:rsid w:val="3438B6B7"/>
    <w:rsid w:val="3480407B"/>
    <w:rsid w:val="3498661C"/>
    <w:rsid w:val="34AD1E7E"/>
    <w:rsid w:val="353862D3"/>
    <w:rsid w:val="353E4A15"/>
    <w:rsid w:val="35684C80"/>
    <w:rsid w:val="35B89B09"/>
    <w:rsid w:val="35DF7409"/>
    <w:rsid w:val="35EEB5DD"/>
    <w:rsid w:val="35FBBBBB"/>
    <w:rsid w:val="3659E70E"/>
    <w:rsid w:val="365FBC15"/>
    <w:rsid w:val="3675513E"/>
    <w:rsid w:val="368F7649"/>
    <w:rsid w:val="3697F48F"/>
    <w:rsid w:val="36B8FE6B"/>
    <w:rsid w:val="36BE4DC2"/>
    <w:rsid w:val="37106DB9"/>
    <w:rsid w:val="372DD380"/>
    <w:rsid w:val="37544EF8"/>
    <w:rsid w:val="37873451"/>
    <w:rsid w:val="37A79F28"/>
    <w:rsid w:val="37C32B2D"/>
    <w:rsid w:val="37DAD846"/>
    <w:rsid w:val="37DCC815"/>
    <w:rsid w:val="37EBFC1E"/>
    <w:rsid w:val="37F11D84"/>
    <w:rsid w:val="381BB2A8"/>
    <w:rsid w:val="38223609"/>
    <w:rsid w:val="382E1C8D"/>
    <w:rsid w:val="3842A4A2"/>
    <w:rsid w:val="38674F08"/>
    <w:rsid w:val="386FA555"/>
    <w:rsid w:val="3882371D"/>
    <w:rsid w:val="38890076"/>
    <w:rsid w:val="388BEAF2"/>
    <w:rsid w:val="3893EFBC"/>
    <w:rsid w:val="38BC9CC6"/>
    <w:rsid w:val="38E0CD7A"/>
    <w:rsid w:val="38EE2C7B"/>
    <w:rsid w:val="38F53CF7"/>
    <w:rsid w:val="38FA3ED1"/>
    <w:rsid w:val="3920E768"/>
    <w:rsid w:val="392C17C2"/>
    <w:rsid w:val="3951BDCA"/>
    <w:rsid w:val="3953F5C7"/>
    <w:rsid w:val="39579EAD"/>
    <w:rsid w:val="39A7F7F9"/>
    <w:rsid w:val="39BA0029"/>
    <w:rsid w:val="3A24763D"/>
    <w:rsid w:val="3A2A38E3"/>
    <w:rsid w:val="3A31FC68"/>
    <w:rsid w:val="3A33D496"/>
    <w:rsid w:val="3A535463"/>
    <w:rsid w:val="3A576A5D"/>
    <w:rsid w:val="3A8FE737"/>
    <w:rsid w:val="3AE412CE"/>
    <w:rsid w:val="3AFEF8BD"/>
    <w:rsid w:val="3B322D17"/>
    <w:rsid w:val="3B5562C6"/>
    <w:rsid w:val="3B5EBE9B"/>
    <w:rsid w:val="3BB44C4C"/>
    <w:rsid w:val="3BCD70F4"/>
    <w:rsid w:val="3C5CA172"/>
    <w:rsid w:val="3C72090B"/>
    <w:rsid w:val="3C937948"/>
    <w:rsid w:val="3CA3545D"/>
    <w:rsid w:val="3D05AC3E"/>
    <w:rsid w:val="3D20C779"/>
    <w:rsid w:val="3D2AC85C"/>
    <w:rsid w:val="3D3B09D7"/>
    <w:rsid w:val="3D41BCCF"/>
    <w:rsid w:val="3D430FF7"/>
    <w:rsid w:val="3DED16ED"/>
    <w:rsid w:val="3DF22F48"/>
    <w:rsid w:val="3E596D9F"/>
    <w:rsid w:val="3E70DDFB"/>
    <w:rsid w:val="3E9B7881"/>
    <w:rsid w:val="3F0A14C5"/>
    <w:rsid w:val="3F108F34"/>
    <w:rsid w:val="3F90810D"/>
    <w:rsid w:val="3FC92187"/>
    <w:rsid w:val="3FF45FBA"/>
    <w:rsid w:val="4007D866"/>
    <w:rsid w:val="4018027E"/>
    <w:rsid w:val="402E8283"/>
    <w:rsid w:val="403BCEB3"/>
    <w:rsid w:val="4055C4CE"/>
    <w:rsid w:val="40A87F53"/>
    <w:rsid w:val="40C01149"/>
    <w:rsid w:val="40D8101F"/>
    <w:rsid w:val="40E63FB3"/>
    <w:rsid w:val="41010CAE"/>
    <w:rsid w:val="41273B63"/>
    <w:rsid w:val="414C60C6"/>
    <w:rsid w:val="4185A6D2"/>
    <w:rsid w:val="4186C18B"/>
    <w:rsid w:val="41D747A2"/>
    <w:rsid w:val="425A645B"/>
    <w:rsid w:val="425BC895"/>
    <w:rsid w:val="425DEE6A"/>
    <w:rsid w:val="426AF8C4"/>
    <w:rsid w:val="428BC90A"/>
    <w:rsid w:val="42EAF21B"/>
    <w:rsid w:val="42FEACFD"/>
    <w:rsid w:val="4330874C"/>
    <w:rsid w:val="4362E7AE"/>
    <w:rsid w:val="436B620D"/>
    <w:rsid w:val="43A30C0F"/>
    <w:rsid w:val="43AB3567"/>
    <w:rsid w:val="43B105A8"/>
    <w:rsid w:val="43D1AD9D"/>
    <w:rsid w:val="43EC3928"/>
    <w:rsid w:val="445DC788"/>
    <w:rsid w:val="449D1CEB"/>
    <w:rsid w:val="44B57B04"/>
    <w:rsid w:val="44BF7892"/>
    <w:rsid w:val="44CD51CC"/>
    <w:rsid w:val="4501B4EF"/>
    <w:rsid w:val="4525481A"/>
    <w:rsid w:val="452D0AFF"/>
    <w:rsid w:val="454E13CB"/>
    <w:rsid w:val="45869F17"/>
    <w:rsid w:val="45D07B26"/>
    <w:rsid w:val="45DF3A6A"/>
    <w:rsid w:val="4615A9C7"/>
    <w:rsid w:val="46B392D3"/>
    <w:rsid w:val="46CE1865"/>
    <w:rsid w:val="46EC44AA"/>
    <w:rsid w:val="470C8930"/>
    <w:rsid w:val="474F3D41"/>
    <w:rsid w:val="4765657C"/>
    <w:rsid w:val="4780B78E"/>
    <w:rsid w:val="47A12A3B"/>
    <w:rsid w:val="47B7FF0A"/>
    <w:rsid w:val="47FD2C8B"/>
    <w:rsid w:val="48493A24"/>
    <w:rsid w:val="486FAD50"/>
    <w:rsid w:val="489DEA45"/>
    <w:rsid w:val="48E4180F"/>
    <w:rsid w:val="490BE7DC"/>
    <w:rsid w:val="493E030D"/>
    <w:rsid w:val="49532CB4"/>
    <w:rsid w:val="49780627"/>
    <w:rsid w:val="49818478"/>
    <w:rsid w:val="49B57375"/>
    <w:rsid w:val="49EAA477"/>
    <w:rsid w:val="4A0060AE"/>
    <w:rsid w:val="4A33B10A"/>
    <w:rsid w:val="4A42DDCB"/>
    <w:rsid w:val="4A44753B"/>
    <w:rsid w:val="4A6B8E11"/>
    <w:rsid w:val="4A7241BE"/>
    <w:rsid w:val="4A85E182"/>
    <w:rsid w:val="4AC8CC81"/>
    <w:rsid w:val="4ADDAF62"/>
    <w:rsid w:val="4B549329"/>
    <w:rsid w:val="4B5FB7CE"/>
    <w:rsid w:val="4BD6BF21"/>
    <w:rsid w:val="4BE53003"/>
    <w:rsid w:val="4BE5E6C8"/>
    <w:rsid w:val="4BF55480"/>
    <w:rsid w:val="4C3AB6E1"/>
    <w:rsid w:val="4C5A157A"/>
    <w:rsid w:val="4C6DBD78"/>
    <w:rsid w:val="4C7754F9"/>
    <w:rsid w:val="4CB61DCC"/>
    <w:rsid w:val="4CB70B27"/>
    <w:rsid w:val="4CDE5A61"/>
    <w:rsid w:val="4CF8EF60"/>
    <w:rsid w:val="4D0376A1"/>
    <w:rsid w:val="4D8C7FAA"/>
    <w:rsid w:val="4DAB7E00"/>
    <w:rsid w:val="4DBAD394"/>
    <w:rsid w:val="4DFB0CFC"/>
    <w:rsid w:val="4E0552FA"/>
    <w:rsid w:val="4E20DC3C"/>
    <w:rsid w:val="4E3174AE"/>
    <w:rsid w:val="4E44961E"/>
    <w:rsid w:val="4E67069E"/>
    <w:rsid w:val="4EA50700"/>
    <w:rsid w:val="4F03B4A1"/>
    <w:rsid w:val="4F45C983"/>
    <w:rsid w:val="4F9F15E8"/>
    <w:rsid w:val="4FEA4827"/>
    <w:rsid w:val="50076170"/>
    <w:rsid w:val="5015C04A"/>
    <w:rsid w:val="501F8385"/>
    <w:rsid w:val="50556098"/>
    <w:rsid w:val="505F5902"/>
    <w:rsid w:val="50747FC3"/>
    <w:rsid w:val="50879709"/>
    <w:rsid w:val="50BBE37C"/>
    <w:rsid w:val="50C5DC6A"/>
    <w:rsid w:val="50C8992F"/>
    <w:rsid w:val="5105B947"/>
    <w:rsid w:val="512E4557"/>
    <w:rsid w:val="514FA4D7"/>
    <w:rsid w:val="51686FC1"/>
    <w:rsid w:val="51D6B5DE"/>
    <w:rsid w:val="5214883A"/>
    <w:rsid w:val="52302507"/>
    <w:rsid w:val="52438077"/>
    <w:rsid w:val="524FADF8"/>
    <w:rsid w:val="5260D394"/>
    <w:rsid w:val="52856A05"/>
    <w:rsid w:val="5298CF6E"/>
    <w:rsid w:val="52A7A8DD"/>
    <w:rsid w:val="52D2CCB4"/>
    <w:rsid w:val="52DC9BD2"/>
    <w:rsid w:val="52FBE47E"/>
    <w:rsid w:val="5307AC28"/>
    <w:rsid w:val="534412F8"/>
    <w:rsid w:val="534C708B"/>
    <w:rsid w:val="535BD78D"/>
    <w:rsid w:val="53CCB437"/>
    <w:rsid w:val="53D854E0"/>
    <w:rsid w:val="53F7C2EF"/>
    <w:rsid w:val="5411C9BF"/>
    <w:rsid w:val="5418BE57"/>
    <w:rsid w:val="54617F11"/>
    <w:rsid w:val="54676F2F"/>
    <w:rsid w:val="547012B8"/>
    <w:rsid w:val="548FA2D6"/>
    <w:rsid w:val="5493890E"/>
    <w:rsid w:val="54B403AC"/>
    <w:rsid w:val="54E52960"/>
    <w:rsid w:val="55118022"/>
    <w:rsid w:val="553BE84F"/>
    <w:rsid w:val="5561FF60"/>
    <w:rsid w:val="556EA346"/>
    <w:rsid w:val="55810133"/>
    <w:rsid w:val="55ADF842"/>
    <w:rsid w:val="55FCF717"/>
    <w:rsid w:val="55FEF6D6"/>
    <w:rsid w:val="561C3E6C"/>
    <w:rsid w:val="5624F7ED"/>
    <w:rsid w:val="567ABCE9"/>
    <w:rsid w:val="568BDB9D"/>
    <w:rsid w:val="56AB8A2A"/>
    <w:rsid w:val="56CA2D84"/>
    <w:rsid w:val="56EFDF1D"/>
    <w:rsid w:val="570FE2FD"/>
    <w:rsid w:val="5714E2E2"/>
    <w:rsid w:val="575C4AD8"/>
    <w:rsid w:val="578A2D95"/>
    <w:rsid w:val="57E7797C"/>
    <w:rsid w:val="580D2BCC"/>
    <w:rsid w:val="584F5EB8"/>
    <w:rsid w:val="585CFE61"/>
    <w:rsid w:val="58C69473"/>
    <w:rsid w:val="58E3A4F7"/>
    <w:rsid w:val="5914DDDF"/>
    <w:rsid w:val="594E642E"/>
    <w:rsid w:val="596A8132"/>
    <w:rsid w:val="597D8060"/>
    <w:rsid w:val="5A216B67"/>
    <w:rsid w:val="5A36F02B"/>
    <w:rsid w:val="5A3D2215"/>
    <w:rsid w:val="5A50E75A"/>
    <w:rsid w:val="5AB25188"/>
    <w:rsid w:val="5AC1BAB5"/>
    <w:rsid w:val="5AD8BCCF"/>
    <w:rsid w:val="5AF44C1E"/>
    <w:rsid w:val="5AF97FCB"/>
    <w:rsid w:val="5B5AE558"/>
    <w:rsid w:val="5B5E8845"/>
    <w:rsid w:val="5B78B1B0"/>
    <w:rsid w:val="5B964AB0"/>
    <w:rsid w:val="5BCA065B"/>
    <w:rsid w:val="5C703172"/>
    <w:rsid w:val="5C7BB61B"/>
    <w:rsid w:val="5C889288"/>
    <w:rsid w:val="5C88CD6E"/>
    <w:rsid w:val="5C9C927E"/>
    <w:rsid w:val="5CB2987F"/>
    <w:rsid w:val="5CB6811B"/>
    <w:rsid w:val="5CDEC329"/>
    <w:rsid w:val="5CE7CE04"/>
    <w:rsid w:val="5CFE75C0"/>
    <w:rsid w:val="5D03BDC3"/>
    <w:rsid w:val="5DB620DD"/>
    <w:rsid w:val="5E63B7FE"/>
    <w:rsid w:val="5E640ACA"/>
    <w:rsid w:val="5ED59664"/>
    <w:rsid w:val="5ED78E08"/>
    <w:rsid w:val="5EE1A372"/>
    <w:rsid w:val="5F2218E9"/>
    <w:rsid w:val="5F32E550"/>
    <w:rsid w:val="5F79708F"/>
    <w:rsid w:val="5F7B3744"/>
    <w:rsid w:val="5F9336D4"/>
    <w:rsid w:val="5F959770"/>
    <w:rsid w:val="5F9CC2E8"/>
    <w:rsid w:val="5FB143E8"/>
    <w:rsid w:val="5FCCB232"/>
    <w:rsid w:val="5FDA0D42"/>
    <w:rsid w:val="60099A18"/>
    <w:rsid w:val="601F7F63"/>
    <w:rsid w:val="6036A790"/>
    <w:rsid w:val="6066E0D6"/>
    <w:rsid w:val="60E71D01"/>
    <w:rsid w:val="60E90C65"/>
    <w:rsid w:val="6126F71E"/>
    <w:rsid w:val="613D1AF9"/>
    <w:rsid w:val="6156FC45"/>
    <w:rsid w:val="61663BBE"/>
    <w:rsid w:val="6192EDB7"/>
    <w:rsid w:val="61A0CCB6"/>
    <w:rsid w:val="62093EFF"/>
    <w:rsid w:val="620FB2E8"/>
    <w:rsid w:val="62333F05"/>
    <w:rsid w:val="62459DDA"/>
    <w:rsid w:val="625B81AF"/>
    <w:rsid w:val="62953680"/>
    <w:rsid w:val="62ABFA27"/>
    <w:rsid w:val="62B20ED3"/>
    <w:rsid w:val="62C31FF9"/>
    <w:rsid w:val="62D59FAD"/>
    <w:rsid w:val="62FCDE97"/>
    <w:rsid w:val="632234B2"/>
    <w:rsid w:val="632FEE7B"/>
    <w:rsid w:val="6354D58E"/>
    <w:rsid w:val="635FFF2E"/>
    <w:rsid w:val="636B20D4"/>
    <w:rsid w:val="638CB839"/>
    <w:rsid w:val="63BB61B8"/>
    <w:rsid w:val="64212B11"/>
    <w:rsid w:val="64312435"/>
    <w:rsid w:val="643A3854"/>
    <w:rsid w:val="64552DC3"/>
    <w:rsid w:val="6481ED05"/>
    <w:rsid w:val="649F98C5"/>
    <w:rsid w:val="64C667AF"/>
    <w:rsid w:val="64C9C7DB"/>
    <w:rsid w:val="64DE3CF8"/>
    <w:rsid w:val="64E0F0C7"/>
    <w:rsid w:val="64E36B8A"/>
    <w:rsid w:val="64F4BA9C"/>
    <w:rsid w:val="652E407D"/>
    <w:rsid w:val="6541BFB4"/>
    <w:rsid w:val="654F5B65"/>
    <w:rsid w:val="655081B1"/>
    <w:rsid w:val="6558CD78"/>
    <w:rsid w:val="655A2BFF"/>
    <w:rsid w:val="655CFF0D"/>
    <w:rsid w:val="65793CE6"/>
    <w:rsid w:val="65894C58"/>
    <w:rsid w:val="65E21ED2"/>
    <w:rsid w:val="6605A96D"/>
    <w:rsid w:val="667343D1"/>
    <w:rsid w:val="66742450"/>
    <w:rsid w:val="6714B2A5"/>
    <w:rsid w:val="677FB63D"/>
    <w:rsid w:val="67824E86"/>
    <w:rsid w:val="6796F4DE"/>
    <w:rsid w:val="67BCB6F2"/>
    <w:rsid w:val="67D49D37"/>
    <w:rsid w:val="67EFAD0F"/>
    <w:rsid w:val="68056AD3"/>
    <w:rsid w:val="6840CA36"/>
    <w:rsid w:val="6863CBF0"/>
    <w:rsid w:val="6877D831"/>
    <w:rsid w:val="68B5E21A"/>
    <w:rsid w:val="68DD13B8"/>
    <w:rsid w:val="68E48A92"/>
    <w:rsid w:val="68E5CA57"/>
    <w:rsid w:val="68FFE74E"/>
    <w:rsid w:val="6968AF32"/>
    <w:rsid w:val="69B63310"/>
    <w:rsid w:val="69FECB21"/>
    <w:rsid w:val="6A32093F"/>
    <w:rsid w:val="6A62B209"/>
    <w:rsid w:val="6A996F76"/>
    <w:rsid w:val="6A9E7709"/>
    <w:rsid w:val="6AC5AB15"/>
    <w:rsid w:val="6AD375A3"/>
    <w:rsid w:val="6AD4AE18"/>
    <w:rsid w:val="6AF8491F"/>
    <w:rsid w:val="6B5F0271"/>
    <w:rsid w:val="6B632290"/>
    <w:rsid w:val="6BC4C24C"/>
    <w:rsid w:val="6BD167B8"/>
    <w:rsid w:val="6BEDE0A5"/>
    <w:rsid w:val="6BFDCEE7"/>
    <w:rsid w:val="6C11E0C9"/>
    <w:rsid w:val="6C37E441"/>
    <w:rsid w:val="6C37E883"/>
    <w:rsid w:val="6C8F6892"/>
    <w:rsid w:val="6C93BBAA"/>
    <w:rsid w:val="6CCA0043"/>
    <w:rsid w:val="6CD6AC7C"/>
    <w:rsid w:val="6D71E9FC"/>
    <w:rsid w:val="6DAF66E4"/>
    <w:rsid w:val="6DBB1BEE"/>
    <w:rsid w:val="6DCECF18"/>
    <w:rsid w:val="6DF35B7F"/>
    <w:rsid w:val="6E027285"/>
    <w:rsid w:val="6E469D03"/>
    <w:rsid w:val="6E73AA01"/>
    <w:rsid w:val="6E8043BB"/>
    <w:rsid w:val="6E83F2DB"/>
    <w:rsid w:val="6E958D38"/>
    <w:rsid w:val="6EA65C63"/>
    <w:rsid w:val="6EAB24B3"/>
    <w:rsid w:val="6EDDE438"/>
    <w:rsid w:val="6F169190"/>
    <w:rsid w:val="6F670431"/>
    <w:rsid w:val="6F9BBAC4"/>
    <w:rsid w:val="6FBC58E6"/>
    <w:rsid w:val="6FFC8EF9"/>
    <w:rsid w:val="70069BF4"/>
    <w:rsid w:val="701BBA1A"/>
    <w:rsid w:val="701BDDB5"/>
    <w:rsid w:val="702FF665"/>
    <w:rsid w:val="703866ED"/>
    <w:rsid w:val="705D2628"/>
    <w:rsid w:val="7062D2A0"/>
    <w:rsid w:val="7064FC91"/>
    <w:rsid w:val="70841BED"/>
    <w:rsid w:val="70F83285"/>
    <w:rsid w:val="7111F523"/>
    <w:rsid w:val="718EBE38"/>
    <w:rsid w:val="72D15E7D"/>
    <w:rsid w:val="734B09AE"/>
    <w:rsid w:val="73CED8A1"/>
    <w:rsid w:val="73CF6C7D"/>
    <w:rsid w:val="73FEA3E1"/>
    <w:rsid w:val="740D5804"/>
    <w:rsid w:val="749263C6"/>
    <w:rsid w:val="74A08E0C"/>
    <w:rsid w:val="74BCCEEB"/>
    <w:rsid w:val="74BD315D"/>
    <w:rsid w:val="74F83A53"/>
    <w:rsid w:val="74FC503F"/>
    <w:rsid w:val="75149E43"/>
    <w:rsid w:val="7553C11F"/>
    <w:rsid w:val="764792B6"/>
    <w:rsid w:val="76620841"/>
    <w:rsid w:val="7667D9B7"/>
    <w:rsid w:val="76B687EC"/>
    <w:rsid w:val="7722A28C"/>
    <w:rsid w:val="7766E1C9"/>
    <w:rsid w:val="778A68DE"/>
    <w:rsid w:val="77C28868"/>
    <w:rsid w:val="77D8AFC6"/>
    <w:rsid w:val="77E4E33E"/>
    <w:rsid w:val="77FB04F0"/>
    <w:rsid w:val="78251339"/>
    <w:rsid w:val="7826A317"/>
    <w:rsid w:val="7853B33A"/>
    <w:rsid w:val="78988FAE"/>
    <w:rsid w:val="78A2C95F"/>
    <w:rsid w:val="78DF4650"/>
    <w:rsid w:val="78FD1074"/>
    <w:rsid w:val="79108195"/>
    <w:rsid w:val="792A3D5F"/>
    <w:rsid w:val="795C2DB5"/>
    <w:rsid w:val="797E97E7"/>
    <w:rsid w:val="79A4B35C"/>
    <w:rsid w:val="79C41C87"/>
    <w:rsid w:val="79DA10CE"/>
    <w:rsid w:val="7A23866B"/>
    <w:rsid w:val="7A36AB00"/>
    <w:rsid w:val="7A5016DC"/>
    <w:rsid w:val="7A64305F"/>
    <w:rsid w:val="7A64FB69"/>
    <w:rsid w:val="7A6B0F2B"/>
    <w:rsid w:val="7A9C22DC"/>
    <w:rsid w:val="7AAC13E0"/>
    <w:rsid w:val="7AC2B42D"/>
    <w:rsid w:val="7ADE5F9D"/>
    <w:rsid w:val="7B08D1F3"/>
    <w:rsid w:val="7B5D5FDE"/>
    <w:rsid w:val="7B8CB7A2"/>
    <w:rsid w:val="7BB0B233"/>
    <w:rsid w:val="7BE475B1"/>
    <w:rsid w:val="7BE90A76"/>
    <w:rsid w:val="7BF10244"/>
    <w:rsid w:val="7BF576E6"/>
    <w:rsid w:val="7C0B9288"/>
    <w:rsid w:val="7C1562BD"/>
    <w:rsid w:val="7C25AC55"/>
    <w:rsid w:val="7C8D7A82"/>
    <w:rsid w:val="7C9CA0D5"/>
    <w:rsid w:val="7CBE8DF4"/>
    <w:rsid w:val="7D39A216"/>
    <w:rsid w:val="7D515DC0"/>
    <w:rsid w:val="7D605035"/>
    <w:rsid w:val="7D70EF8D"/>
    <w:rsid w:val="7D87E3B2"/>
    <w:rsid w:val="7D8E18BC"/>
    <w:rsid w:val="7DABE842"/>
    <w:rsid w:val="7DCC72F7"/>
    <w:rsid w:val="7E07ECFD"/>
    <w:rsid w:val="7E0E35F5"/>
    <w:rsid w:val="7E67A8DC"/>
    <w:rsid w:val="7E93F686"/>
    <w:rsid w:val="7E9EFDFE"/>
    <w:rsid w:val="7E9F8101"/>
    <w:rsid w:val="7EC25780"/>
    <w:rsid w:val="7EDC3B77"/>
    <w:rsid w:val="7EE4B221"/>
    <w:rsid w:val="7EF447DF"/>
    <w:rsid w:val="7F93B8DD"/>
    <w:rsid w:val="7FB9F6C4"/>
    <w:rsid w:val="7FCDE339"/>
    <w:rsid w:val="7FF77D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AD8F0D7"/>
  <w15:docId w15:val="{3E134257-1EEC-4D83-B08F-4BEC9FDF2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6D5D"/>
    <w:rPr>
      <w:color w:val="0000FF" w:themeColor="hyperlink"/>
      <w:u w:val="single"/>
    </w:rPr>
  </w:style>
  <w:style w:type="character" w:customStyle="1" w:styleId="cf01">
    <w:name w:val="cf01"/>
    <w:basedOn w:val="DefaultParagraphFont"/>
    <w:rsid w:val="00446D5D"/>
    <w:rPr>
      <w:rFonts w:ascii="Segoe UI" w:hAnsi="Segoe UI" w:cs="Segoe UI" w:hint="default"/>
      <w:color w:val="333333"/>
      <w:sz w:val="18"/>
      <w:szCs w:val="18"/>
      <w:shd w:val="clear" w:color="auto" w:fill="FFFFFF"/>
    </w:rPr>
  </w:style>
  <w:style w:type="paragraph" w:styleId="ListBullet">
    <w:name w:val="List Bullet"/>
    <w:basedOn w:val="Normal"/>
    <w:uiPriority w:val="99"/>
    <w:semiHidden/>
    <w:unhideWhenUsed/>
    <w:rsid w:val="00CB1623"/>
    <w:pPr>
      <w:numPr>
        <w:numId w:val="1"/>
      </w:numPr>
      <w:contextualSpacing/>
    </w:pPr>
  </w:style>
  <w:style w:type="paragraph" w:styleId="ListBullet2">
    <w:name w:val="List Bullet 2"/>
    <w:basedOn w:val="Normal"/>
    <w:uiPriority w:val="99"/>
    <w:semiHidden/>
    <w:unhideWhenUsed/>
    <w:rsid w:val="00CB1623"/>
    <w:pPr>
      <w:numPr>
        <w:numId w:val="2"/>
      </w:numPr>
      <w:contextualSpacing/>
    </w:pPr>
  </w:style>
  <w:style w:type="paragraph" w:styleId="ListBullet3">
    <w:name w:val="List Bullet 3"/>
    <w:basedOn w:val="Normal"/>
    <w:uiPriority w:val="99"/>
    <w:semiHidden/>
    <w:unhideWhenUsed/>
    <w:rsid w:val="00CB1623"/>
    <w:pPr>
      <w:numPr>
        <w:numId w:val="3"/>
      </w:numPr>
      <w:contextualSpacing/>
    </w:pPr>
  </w:style>
  <w:style w:type="paragraph" w:styleId="ListBullet4">
    <w:name w:val="List Bullet 4"/>
    <w:basedOn w:val="Normal"/>
    <w:uiPriority w:val="99"/>
    <w:semiHidden/>
    <w:unhideWhenUsed/>
    <w:rsid w:val="00CB1623"/>
    <w:pPr>
      <w:numPr>
        <w:numId w:val="4"/>
      </w:numPr>
      <w:contextualSpacing/>
    </w:pPr>
  </w:style>
  <w:style w:type="character" w:styleId="CommentReference">
    <w:name w:val="annotation reference"/>
    <w:basedOn w:val="DefaultParagraphFont"/>
    <w:uiPriority w:val="99"/>
    <w:semiHidden/>
    <w:unhideWhenUsed/>
    <w:rsid w:val="000B49AE"/>
    <w:rPr>
      <w:sz w:val="16"/>
      <w:szCs w:val="16"/>
    </w:rPr>
  </w:style>
  <w:style w:type="paragraph" w:styleId="CommentText">
    <w:name w:val="annotation text"/>
    <w:basedOn w:val="Normal"/>
    <w:link w:val="CommentTextChar"/>
    <w:uiPriority w:val="99"/>
    <w:unhideWhenUsed/>
    <w:rsid w:val="000B49AE"/>
    <w:rPr>
      <w:sz w:val="20"/>
      <w:szCs w:val="20"/>
    </w:rPr>
  </w:style>
  <w:style w:type="character" w:customStyle="1" w:styleId="CommentTextChar">
    <w:name w:val="Comment Text Char"/>
    <w:basedOn w:val="DefaultParagraphFont"/>
    <w:link w:val="CommentText"/>
    <w:uiPriority w:val="99"/>
    <w:rsid w:val="000B49AE"/>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0B49AE"/>
    <w:rPr>
      <w:b/>
      <w:bCs/>
    </w:rPr>
  </w:style>
  <w:style w:type="character" w:customStyle="1" w:styleId="CommentSubjectChar">
    <w:name w:val="Comment Subject Char"/>
    <w:basedOn w:val="CommentTextChar"/>
    <w:link w:val="CommentSubject"/>
    <w:uiPriority w:val="99"/>
    <w:semiHidden/>
    <w:rsid w:val="000B49AE"/>
    <w:rPr>
      <w:rFonts w:ascii="Times New Roman" w:hAnsi="Times New Roman" w:cs="Times New Roman"/>
      <w:b/>
      <w:bCs/>
      <w:sz w:val="20"/>
      <w:szCs w:val="20"/>
      <w:lang w:val="fr-FR"/>
    </w:rPr>
  </w:style>
  <w:style w:type="paragraph" w:styleId="Revision">
    <w:name w:val="Revision"/>
    <w:hidden/>
    <w:uiPriority w:val="99"/>
    <w:semiHidden/>
    <w:rsid w:val="00AC6F86"/>
    <w:pPr>
      <w:spacing w:after="0" w:line="240" w:lineRule="auto"/>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D02DDA"/>
    <w:rPr>
      <w:color w:val="605E5C"/>
      <w:shd w:val="clear" w:color="auto" w:fill="E1DFDD"/>
    </w:rPr>
  </w:style>
  <w:style w:type="character" w:customStyle="1" w:styleId="normaltextrun">
    <w:name w:val="normaltextrun"/>
    <w:basedOn w:val="DefaultParagraphFont"/>
    <w:rsid w:val="006E0D23"/>
  </w:style>
  <w:style w:type="character" w:customStyle="1" w:styleId="UnresolvedMention2">
    <w:name w:val="Unresolved Mention2"/>
    <w:basedOn w:val="DefaultParagraphFont"/>
    <w:uiPriority w:val="99"/>
    <w:semiHidden/>
    <w:unhideWhenUsed/>
    <w:rsid w:val="00C25CCF"/>
    <w:rPr>
      <w:color w:val="605E5C"/>
      <w:shd w:val="clear" w:color="auto" w:fill="E1DFDD"/>
    </w:rPr>
  </w:style>
  <w:style w:type="paragraph" w:customStyle="1" w:styleId="LegalNumPar">
    <w:name w:val="LegalNumPar"/>
    <w:basedOn w:val="Normal"/>
    <w:rsid w:val="005637E7"/>
    <w:pPr>
      <w:numPr>
        <w:numId w:val="5"/>
      </w:numPr>
      <w:spacing w:line="360" w:lineRule="auto"/>
    </w:pPr>
  </w:style>
  <w:style w:type="paragraph" w:customStyle="1" w:styleId="LegalNumPar2">
    <w:name w:val="LegalNumPar2"/>
    <w:basedOn w:val="Normal"/>
    <w:rsid w:val="005637E7"/>
    <w:pPr>
      <w:numPr>
        <w:ilvl w:val="1"/>
        <w:numId w:val="5"/>
      </w:numPr>
      <w:spacing w:line="360" w:lineRule="auto"/>
    </w:pPr>
  </w:style>
  <w:style w:type="paragraph" w:customStyle="1" w:styleId="LegalNumPar3">
    <w:name w:val="LegalNumPar3"/>
    <w:basedOn w:val="Normal"/>
    <w:rsid w:val="005637E7"/>
    <w:pPr>
      <w:numPr>
        <w:ilvl w:val="2"/>
        <w:numId w:val="5"/>
      </w:numPr>
      <w:spacing w:line="360" w:lineRule="auto"/>
    </w:pPr>
  </w:style>
  <w:style w:type="character" w:customStyle="1" w:styleId="Mention1">
    <w:name w:val="Mention1"/>
    <w:basedOn w:val="DefaultParagraphFont"/>
    <w:uiPriority w:val="99"/>
    <w:unhideWhenUsed/>
    <w:rsid w:val="00445EA7"/>
    <w:rPr>
      <w:color w:val="2B579A"/>
      <w:shd w:val="clear" w:color="auto" w:fill="E1DFDD"/>
    </w:rPr>
  </w:style>
  <w:style w:type="paragraph" w:styleId="ListParagraph">
    <w:name w:val="List Paragraph"/>
    <w:basedOn w:val="Normal"/>
    <w:uiPriority w:val="34"/>
    <w:qFormat/>
    <w:rsid w:val="004517EC"/>
    <w:pPr>
      <w:ind w:left="720"/>
      <w:contextualSpacing/>
    </w:pPr>
  </w:style>
  <w:style w:type="paragraph" w:styleId="Caption">
    <w:name w:val="caption"/>
    <w:basedOn w:val="Normal"/>
    <w:next w:val="Normal"/>
    <w:uiPriority w:val="35"/>
    <w:semiHidden/>
    <w:unhideWhenUsed/>
    <w:qFormat/>
    <w:rsid w:val="00AB4F7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B4F7A"/>
    <w:pPr>
      <w:spacing w:after="0"/>
    </w:pPr>
  </w:style>
  <w:style w:type="paragraph" w:styleId="ListNumber">
    <w:name w:val="List Number"/>
    <w:basedOn w:val="Normal"/>
    <w:uiPriority w:val="99"/>
    <w:semiHidden/>
    <w:unhideWhenUsed/>
    <w:rsid w:val="00AB4F7A"/>
    <w:pPr>
      <w:numPr>
        <w:numId w:val="6"/>
      </w:numPr>
      <w:contextualSpacing/>
    </w:pPr>
  </w:style>
  <w:style w:type="paragraph" w:styleId="ListNumber2">
    <w:name w:val="List Number 2"/>
    <w:basedOn w:val="Normal"/>
    <w:uiPriority w:val="99"/>
    <w:semiHidden/>
    <w:unhideWhenUsed/>
    <w:rsid w:val="00AB4F7A"/>
    <w:pPr>
      <w:numPr>
        <w:numId w:val="7"/>
      </w:numPr>
      <w:contextualSpacing/>
    </w:pPr>
  </w:style>
  <w:style w:type="paragraph" w:styleId="ListNumber3">
    <w:name w:val="List Number 3"/>
    <w:basedOn w:val="Normal"/>
    <w:uiPriority w:val="99"/>
    <w:semiHidden/>
    <w:unhideWhenUsed/>
    <w:rsid w:val="00AB4F7A"/>
    <w:pPr>
      <w:numPr>
        <w:numId w:val="8"/>
      </w:numPr>
      <w:contextualSpacing/>
    </w:pPr>
  </w:style>
  <w:style w:type="paragraph" w:styleId="ListNumber4">
    <w:name w:val="List Number 4"/>
    <w:basedOn w:val="Normal"/>
    <w:uiPriority w:val="99"/>
    <w:semiHidden/>
    <w:unhideWhenUsed/>
    <w:rsid w:val="00AB4F7A"/>
    <w:pPr>
      <w:numPr>
        <w:numId w:val="9"/>
      </w:numPr>
      <w:contextualSpacing/>
    </w:pPr>
  </w:style>
  <w:style w:type="character" w:customStyle="1" w:styleId="UnresolvedMention3">
    <w:name w:val="Unresolved Mention3"/>
    <w:basedOn w:val="DefaultParagraphFont"/>
    <w:uiPriority w:val="99"/>
    <w:semiHidden/>
    <w:unhideWhenUsed/>
    <w:rsid w:val="00774C06"/>
    <w:rPr>
      <w:color w:val="605E5C"/>
      <w:shd w:val="clear" w:color="auto" w:fill="E1DFDD"/>
    </w:rPr>
  </w:style>
  <w:style w:type="character" w:customStyle="1" w:styleId="UnresolvedMention">
    <w:name w:val="Unresolved Mention"/>
    <w:basedOn w:val="DefaultParagraphFont"/>
    <w:uiPriority w:val="99"/>
    <w:semiHidden/>
    <w:unhideWhenUsed/>
    <w:rsid w:val="007059DB"/>
    <w:rPr>
      <w:color w:val="605E5C"/>
      <w:shd w:val="clear" w:color="auto" w:fill="E1DFDD"/>
    </w:rPr>
  </w:style>
  <w:style w:type="character" w:customStyle="1" w:styleId="Mention">
    <w:name w:val="Mention"/>
    <w:basedOn w:val="DefaultParagraphFont"/>
    <w:uiPriority w:val="99"/>
    <w:unhideWhenUsed/>
    <w:rsid w:val="006D66D7"/>
    <w:rPr>
      <w:color w:val="2B579A"/>
      <w:shd w:val="clear" w:color="auto" w:fill="E1DFDD"/>
    </w:rPr>
  </w:style>
  <w:style w:type="character" w:customStyle="1" w:styleId="HeaderChar">
    <w:name w:val="Header Char"/>
    <w:basedOn w:val="DefaultParagraphFont"/>
    <w:link w:val="Header"/>
    <w:uiPriority w:val="99"/>
    <w:rsid w:val="000F6745"/>
    <w:rPr>
      <w:rFonts w:ascii="Times New Roman" w:hAnsi="Times New Roman" w:cs="Times New Roman"/>
      <w:sz w:val="24"/>
      <w:lang w:val="fr-FR"/>
    </w:rPr>
  </w:style>
  <w:style w:type="character" w:customStyle="1" w:styleId="FooterChar">
    <w:name w:val="Footer Char"/>
    <w:basedOn w:val="DefaultParagraphFont"/>
    <w:link w:val="Footer"/>
    <w:uiPriority w:val="99"/>
    <w:rsid w:val="000F674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F674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F6745"/>
    <w:pPr>
      <w:spacing w:before="0"/>
      <w:jc w:val="right"/>
    </w:pPr>
    <w:rPr>
      <w:sz w:val="28"/>
    </w:rPr>
  </w:style>
  <w:style w:type="paragraph" w:customStyle="1" w:styleId="FooterSensitivity">
    <w:name w:val="Footer Sensitivity"/>
    <w:basedOn w:val="Normal"/>
    <w:rsid w:val="000F674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Tiret5">
    <w:name w:val="Tiret 5"/>
    <w:basedOn w:val="Point5"/>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NumPar5">
    <w:name w:val="NumPar 5"/>
    <w:basedOn w:val="Normal"/>
    <w:next w:val="Text2"/>
    <w:pPr>
      <w:numPr>
        <w:ilvl w:val="4"/>
        <w:numId w:val="19"/>
      </w:numPr>
    </w:pPr>
  </w:style>
  <w:style w:type="paragraph" w:customStyle="1" w:styleId="NumPar6">
    <w:name w:val="NumPar 6"/>
    <w:basedOn w:val="Normal"/>
    <w:next w:val="Text2"/>
    <w:pPr>
      <w:numPr>
        <w:ilvl w:val="5"/>
        <w:numId w:val="19"/>
      </w:numPr>
    </w:pPr>
  </w:style>
  <w:style w:type="paragraph" w:customStyle="1" w:styleId="NumPar7">
    <w:name w:val="NumPar 7"/>
    <w:basedOn w:val="Normal"/>
    <w:next w:val="Text2"/>
    <w:pPr>
      <w:numPr>
        <w:ilvl w:val="6"/>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F6745"/>
    <w:pPr>
      <w:tabs>
        <w:tab w:val="center" w:pos="4535"/>
        <w:tab w:val="right" w:pos="9071"/>
      </w:tabs>
      <w:spacing w:before="0"/>
    </w:pPr>
  </w:style>
  <w:style w:type="paragraph" w:customStyle="1" w:styleId="HeaderLandscape">
    <w:name w:val="HeaderLandscape"/>
    <w:basedOn w:val="Normal"/>
    <w:rsid w:val="000F6745"/>
    <w:pPr>
      <w:tabs>
        <w:tab w:val="center" w:pos="7285"/>
        <w:tab w:val="right" w:pos="14003"/>
      </w:tabs>
      <w:spacing w:before="0"/>
    </w:pPr>
  </w:style>
  <w:style w:type="paragraph" w:styleId="Footer">
    <w:name w:val="footer"/>
    <w:basedOn w:val="Normal"/>
    <w:link w:val="FooterChar"/>
    <w:uiPriority w:val="99"/>
    <w:unhideWhenUsed/>
    <w:rsid w:val="000F674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F674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192451">
      <w:bodyDiv w:val="1"/>
      <w:marLeft w:val="0"/>
      <w:marRight w:val="0"/>
      <w:marTop w:val="0"/>
      <w:marBottom w:val="0"/>
      <w:divBdr>
        <w:top w:val="none" w:sz="0" w:space="0" w:color="auto"/>
        <w:left w:val="none" w:sz="0" w:space="0" w:color="auto"/>
        <w:bottom w:val="none" w:sz="0" w:space="0" w:color="auto"/>
        <w:right w:val="none" w:sz="0" w:space="0" w:color="auto"/>
      </w:divBdr>
      <w:divsChild>
        <w:div w:id="1618176328">
          <w:marLeft w:val="0"/>
          <w:marRight w:val="0"/>
          <w:marTop w:val="0"/>
          <w:marBottom w:val="0"/>
          <w:divBdr>
            <w:top w:val="none" w:sz="0" w:space="0" w:color="auto"/>
            <w:left w:val="none" w:sz="0" w:space="0" w:color="auto"/>
            <w:bottom w:val="none" w:sz="0" w:space="0" w:color="auto"/>
            <w:right w:val="none" w:sz="0" w:space="0" w:color="auto"/>
          </w:divBdr>
        </w:div>
      </w:divsChild>
    </w:div>
    <w:div w:id="1103107931">
      <w:bodyDiv w:val="1"/>
      <w:marLeft w:val="0"/>
      <w:marRight w:val="0"/>
      <w:marTop w:val="0"/>
      <w:marBottom w:val="0"/>
      <w:divBdr>
        <w:top w:val="none" w:sz="0" w:space="0" w:color="auto"/>
        <w:left w:val="none" w:sz="0" w:space="0" w:color="auto"/>
        <w:bottom w:val="none" w:sz="0" w:space="0" w:color="auto"/>
        <w:right w:val="none" w:sz="0" w:space="0" w:color="auto"/>
      </w:divBdr>
    </w:div>
    <w:div w:id="1532842187">
      <w:bodyDiv w:val="1"/>
      <w:marLeft w:val="0"/>
      <w:marRight w:val="0"/>
      <w:marTop w:val="0"/>
      <w:marBottom w:val="0"/>
      <w:divBdr>
        <w:top w:val="none" w:sz="0" w:space="0" w:color="auto"/>
        <w:left w:val="none" w:sz="0" w:space="0" w:color="auto"/>
        <w:bottom w:val="none" w:sz="0" w:space="0" w:color="auto"/>
        <w:right w:val="none" w:sz="0" w:space="0" w:color="auto"/>
      </w:divBdr>
    </w:div>
    <w:div w:id="200542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_impl/2026/919/oj)." TargetMode="External"/><Relationship Id="rId2" Type="http://schemas.openxmlformats.org/officeDocument/2006/relationships/hyperlink" Target="http://data.europa.eu/eli/dec_impl/2024/1447/oj)." TargetMode="External"/><Relationship Id="rId1" Type="http://schemas.openxmlformats.org/officeDocument/2006/relationships/hyperlink" Target="http://data.europa.eu/eli/reg/2024/7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7E8230-EA63-49C6-BB9C-D2E2FBF3C148}">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2.xml><?xml version="1.0" encoding="utf-8"?>
<ds:datastoreItem xmlns:ds="http://schemas.openxmlformats.org/officeDocument/2006/customXml" ds:itemID="{31E6A81E-4273-4C1C-94EB-347DEC0EBD30}">
  <ds:schemaRefs>
    <ds:schemaRef ds:uri="http://schemas.microsoft.com/sharepoint/v3/contenttype/forms"/>
  </ds:schemaRefs>
</ds:datastoreItem>
</file>

<file path=customXml/itemProps3.xml><?xml version="1.0" encoding="utf-8"?>
<ds:datastoreItem xmlns:ds="http://schemas.openxmlformats.org/officeDocument/2006/customXml" ds:itemID="{26E66AF3-77BD-4D3C-86DE-F6985F818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9101B1-D6D4-4A07-AE15-F06CFD5F3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49</TotalTime>
  <Pages>5</Pages>
  <Words>1422</Words>
  <Characters>8111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2026-06-12T16:57:00Z</dcterms:created>
  <dcterms:modified xsi:type="dcterms:W3CDTF">2026-06-24T18:05:00Z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Version">
    <vt:lpwstr>8.0.25.0</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SJ-021</vt:lpwstr>
  </property>
  <property fmtid="{D5CDD505-2E9C-101B-9397-08002B2CF9AE}" pid="10" name="MSIP_Label_6bd9ddd1-4d20-43f6-abfa-fc3c07406f94_Enabled">
    <vt:lpwstr>true</vt:lpwstr>
  </property>
  <property fmtid="{D5CDD505-2E9C-101B-9397-08002B2CF9AE}" pid="11" name="MSIP_Label_6bd9ddd1-4d20-43f6-abfa-fc3c07406f94_SetDate">
    <vt:lpwstr>2024-07-17T11:37:53Z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00b229e1-a42a-4753-93f8-f11c8b4585bb</vt:lpwstr>
  </property>
  <property fmtid="{D5CDD505-2E9C-101B-9397-08002B2CF9AE}" pid="16" name="MSIP_Label_6bd9ddd1-4d20-43f6-abfa-fc3c07406f94_ContentBits">
    <vt:lpwstr>0</vt:lpwstr>
  </property>
  <property fmtid="{D5CDD505-2E9C-101B-9397-08002B2CF9AE}" pid="17" name="ContentTypeId">
    <vt:lpwstr>0x01010089A035B8C3EAA64A9CFE17FEB37C94B7</vt:lpwstr>
  </property>
  <property fmtid="{D5CDD505-2E9C-101B-9397-08002B2CF9AE}" pid="18" name="MediaServiceImageTags">
    <vt:lpwstr/>
  </property>
  <property fmtid="{D5CDD505-2E9C-101B-9397-08002B2CF9AE}" pid="19" name="DQCStatus">
    <vt:lpwstr>Green (DQC version 03)</vt:lpwstr>
  </property>
</Properties>
</file>