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24FF2DF-7615-4E70-89AC-B85DDEA714EB" style="width:455.25pt;height:357.75pt">
            <v:imagedata r:id="rId12" o:title=""/>
          </v:shape>
        </w:pict>
      </w:r>
    </w:p>
    <w:p>
      <w:pPr>
        <w:rPr>
          <w:noProof/>
        </w:rPr>
        <w:sectPr>
          <w:footerReference w:type="even" r:id="rId13"/>
          <w:footerReference w:type="defaul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bookmarkStart w:id="0" w:name="_Toc229742166"/>
      <w:r>
        <w:rPr>
          <w:noProof/>
        </w:rPr>
        <w:t>1.</w:t>
      </w:r>
      <w:r>
        <w:rPr>
          <w:noProof/>
        </w:rPr>
        <w:tab/>
        <w:t>CONTEXTUL PROPUNERII</w:t>
      </w:r>
      <w:bookmarkEnd w:id="0"/>
    </w:p>
    <w:p>
      <w:pPr>
        <w:pStyle w:val="ManualHeading2"/>
        <w:rPr>
          <w:rFonts w:eastAsia="Arial Unicode MS"/>
          <w:noProof/>
        </w:rPr>
      </w:pPr>
      <w:bookmarkStart w:id="1" w:name="_Toc229742167"/>
      <w:r>
        <w:rPr>
          <w:noProof/>
          <w:color w:val="000000"/>
          <w:u w:color="000000"/>
          <w:bdr w:val="nil"/>
        </w:rPr>
        <w:t>•</w:t>
      </w:r>
      <w:r>
        <w:rPr>
          <w:noProof/>
        </w:rPr>
        <w:tab/>
        <w:t>Motivele și obiectivele propunerii</w:t>
      </w:r>
      <w:bookmarkEnd w:id="1"/>
    </w:p>
    <w:p>
      <w:pPr>
        <w:spacing w:after="200"/>
        <w:rPr>
          <w:rFonts w:eastAsia="Times New Roman"/>
          <w:noProof/>
        </w:rPr>
      </w:pPr>
      <w:r>
        <w:rPr>
          <w:noProof/>
        </w:rPr>
        <w:t>Orientările politice ale Comisiei Europene</w:t>
      </w:r>
      <w:r>
        <w:rPr>
          <w:rStyle w:val="FootnoteReference"/>
          <w:rFonts w:eastAsia="Times New Roman"/>
          <w:noProof/>
        </w:rPr>
        <w:footnoteReference w:id="2"/>
      </w:r>
      <w:r>
        <w:rPr>
          <w:noProof/>
        </w:rPr>
        <w:t xml:space="preserve"> au stabilit obiectivul de a facilita și accelera activitatea economică în Europa prin reducerea sarcinilor administrative și simplificarea punerii în aplicare, menținând în același timp standarde ridicate, în vederea consolidării competitivității europene.</w:t>
      </w:r>
    </w:p>
    <w:p>
      <w:pPr>
        <w:spacing w:before="240"/>
        <w:rPr>
          <w:rFonts w:eastAsia="Times New Roman"/>
          <w:noProof/>
        </w:rPr>
      </w:pPr>
      <w:r>
        <w:rPr>
          <w:noProof/>
        </w:rPr>
        <w:t>Busola pentru competitivitate</w:t>
      </w:r>
      <w:r>
        <w:rPr>
          <w:rStyle w:val="FootnoteReference"/>
          <w:rFonts w:eastAsia="Times New Roman"/>
          <w:noProof/>
        </w:rPr>
        <w:footnoteReference w:id="3"/>
      </w:r>
      <w:r>
        <w:rPr>
          <w:noProof/>
        </w:rPr>
        <w:t xml:space="preserve"> a subliniat necesitatea de a simplifica mediul de reglementare și de a reduce sarcinile administrative pentru a consolida competitivitatea în toate sectoarele. Ulterior, în comunicarea sa privind punerea în aplicare și simplificarea</w:t>
      </w:r>
      <w:r>
        <w:rPr>
          <w:rStyle w:val="FootnoteReference"/>
          <w:rFonts w:eastAsia="Times New Roman"/>
          <w:noProof/>
        </w:rPr>
        <w:footnoteReference w:id="4"/>
      </w:r>
      <w:r>
        <w:rPr>
          <w:noProof/>
        </w:rPr>
        <w:t>, Comisia a reiterat necesitatea unei abordări îndrăznețe pentru a spori competitivitatea UE și a introdus noi obiective de reducere a sarcinilor administrative. În cadrul noii abordări, obiectivele de reducere a sarcinii cu cel puțin 25 % pentru toate întreprinderile și cu cel puțin 35 % pentru întreprinderile mici și mijlocii (IMM-uri) vor fi aplicate unui scenariu de referință care acoperă întreaga gamă de costuri administrative.</w:t>
      </w:r>
    </w:p>
    <w:p>
      <w:pPr>
        <w:spacing w:before="240"/>
        <w:rPr>
          <w:rFonts w:eastAsia="Times New Roman"/>
          <w:noProof/>
        </w:rPr>
      </w:pPr>
      <w:r>
        <w:rPr>
          <w:noProof/>
        </w:rPr>
        <w:t>Pentru a atinge aceste obiective, Comisia s-a angajat să acorde prioritate propunerilor care simplifică, consolidează și codifică legislația pentru a elimina suprapunerile, informațiile cu valoare scăzută și inconsecvențele, asigurându-se, în același timp, că prioritățile UE continuă să fie îndeplinite. Au fost deja adoptate o serie de pachete omnibus și inițiative de simplificare în diferite domenii de politică și se preconizează că vor urma alte câteva. În ceea ce privește în mod specific domeniul impozitării directe, programul de lucru al Comisiei pentru 2026</w:t>
      </w:r>
      <w:r>
        <w:rPr>
          <w:rStyle w:val="FootnoteReference"/>
          <w:rFonts w:eastAsia="Times New Roman"/>
          <w:noProof/>
        </w:rPr>
        <w:footnoteReference w:id="5"/>
      </w:r>
      <w:r>
        <w:rPr>
          <w:noProof/>
        </w:rPr>
        <w:t xml:space="preserve"> a anunțat un pachet omnibus privind impozitarea, care va simplifica, va raționaliza și va clarifica acquis-ul UE în materie de impozitare directă</w:t>
      </w:r>
      <w:r>
        <w:rPr>
          <w:rStyle w:val="FootnoteReference"/>
          <w:rFonts w:eastAsia="Times New Roman"/>
          <w:noProof/>
        </w:rPr>
        <w:footnoteReference w:id="6"/>
      </w:r>
      <w:r>
        <w:rPr>
          <w:noProof/>
        </w:rPr>
        <w:t xml:space="preserve"> în vederea reducerii sarcinilor administrative pentru întreprinderi și a asigurării unor condiții de concurență echitabile între statele membre. Propunerea de reformare a Directivei privind cooperarea administrativă în </w:t>
      </w:r>
      <w:r>
        <w:rPr>
          <w:noProof/>
        </w:rPr>
        <w:lastRenderedPageBreak/>
        <w:t>domeniul impozitării directe (DAC)</w:t>
      </w:r>
      <w:r>
        <w:rPr>
          <w:rStyle w:val="FootnoteReference"/>
          <w:rFonts w:eastAsia="Times New Roman"/>
          <w:noProof/>
        </w:rPr>
        <w:footnoteReference w:id="7"/>
      </w:r>
      <w:r>
        <w:rPr>
          <w:noProof/>
        </w:rPr>
        <w:t xml:space="preserve"> va completa eforturile de simplificare ale Comisiei în domeniul impozitării directe prin clarificarea, simplificarea și îmbunătățirea funcționării cadrului UE pentru cooperarea administrativă în domeniul impozitării directe, fără a reduce nivelul existent de protecție împotriva fraudei fiscale, a evaziunii fiscale și a evitării obligațiilor fiscale.</w:t>
      </w:r>
    </w:p>
    <w:p>
      <w:pPr>
        <w:spacing w:before="240"/>
        <w:rPr>
          <w:noProof/>
        </w:rPr>
      </w:pPr>
      <w:r>
        <w:rPr>
          <w:noProof/>
        </w:rPr>
        <w:t>DAC este principalul act legislativ al UE care reglementează cooperarea administrativă în domeniul impozitării directe. DAC oferă instrumente armonizate [în special schimbul automat de informații - AEOI (</w:t>
      </w:r>
      <w:r>
        <w:rPr>
          <w:i/>
          <w:iCs/>
          <w:noProof/>
        </w:rPr>
        <w:t>automatic exchange of information</w:t>
      </w:r>
      <w:r>
        <w:rPr>
          <w:noProof/>
        </w:rPr>
        <w:t>)], care permit autorităților fiscale ale statelor membre să coopereze în mod eficient în combaterea fraudei fiscale, a evaziunii fiscale și a evitării obligațiilor fiscale. Domeniul de aplicare al AEOI în temeiul DAC a fost extins de mai multe ori în ultimii ani, pentru a răspunde provocărilor emergente și realităților economice în continuă evoluție. Deși cadrul inițial acoperea schimbul automat de informații privind cinci categorii de venituri și de capital (DAC1), el a fost extins ulterior pentru a prevedea raportarea de către terți a conturilor financiare (DAC2), a deciziilor fiscale transfrontaliere (DAC3), a raportării pentru fiecare țară în parte privind activitățile grupurilor de întreprinderi multinaționale (DAC4), a modalităților transfrontaliere care fac obiectul raportării (DAC6), a veniturilor obținute prin intermediul platformelor digitale (DAC7), a tranzacțiilor cu criptoactive (DAC8) și a informațiilor referitoare la impozitul minim global pentru grupurile de întreprinderi multinaționale (DAC9). În plus, DAC5 oferă autorităților fiscale acces la informațiile privind beneficiarii reali colectate în temeiul legislației privind combaterea spălării banilor (CSB).</w:t>
      </w:r>
    </w:p>
    <w:p>
      <w:pPr>
        <w:spacing w:before="240"/>
        <w:rPr>
          <w:noProof/>
        </w:rPr>
      </w:pPr>
    </w:p>
    <w:p>
      <w:pPr>
        <w:spacing w:before="240"/>
        <w:rPr>
          <w:noProof/>
        </w:rPr>
      </w:pPr>
      <w:r>
        <w:rPr>
          <w:noProof/>
        </w:rPr>
        <w:t>Deși o evaluare recentă a DAC</w:t>
      </w:r>
      <w:r>
        <w:rPr>
          <w:rStyle w:val="FootnoteReference"/>
          <w:noProof/>
        </w:rPr>
        <w:footnoteReference w:id="8"/>
      </w:r>
      <w:r>
        <w:rPr>
          <w:noProof/>
        </w:rPr>
        <w:t xml:space="preserve"> a concluzionat că aceasta oferă un cadru juridic solid și că a permis schimbul de volume substanțiale de informații, ea a identificat, de asemenea, o serie de domenii în care ar putea fi aduse îmbunătățiri. În special, evaluarea a concluzionat că modificările frecvente aduse DAC începând din 2011 și absența unui text juridic codificat au făcut cadrul mai complex și mai dificil de utilizat. Evaluarea a evidențiat, de asemenea, necesitatea de a simplifica obligațiile de raportare în temeiul DAC6, de a elimina practicile de raportare ineficiente și de a reduce sarcinile administrative pentru părțile interesate. În plus, evaluarea a constatat că, în pofida progreselor înregistrate, există în continuare provocări în ceea ce privește identificarea contribuabililor și corelarea automată a informațiilor cu bazele de date fiscale naționale, ceea ce sporește sarcina administrațiilor fiscale de a verifica manual informațiile primite. </w:t>
      </w:r>
    </w:p>
    <w:p>
      <w:pPr>
        <w:spacing w:before="240"/>
        <w:rPr>
          <w:noProof/>
        </w:rPr>
      </w:pPr>
      <w:r>
        <w:rPr>
          <w:noProof/>
        </w:rPr>
        <w:t xml:space="preserve">Rezultatul activităților ample de consultare desfășurate pentru a sprijini pregătirea acestei inițiative a confirmat și a consolidat necesitatea de a simplifica și de a clarifica DAC6, prin eliminarea cerințelor de raportare cu valoare adăugată limitată pentru administrațiile fiscale și prin luarea în considerare a relevanței DAC6 în contextul punerii în aplicare a pilonului 2. Părțile interesate au identificat, de asemenea, domenii suplimentare de simplificare, în special suprapunerea obligațiilor de notificare în sensul DAC4 și DAC9, precum și pragurile de raportare pentru vânzarea de mărfuri în temeiul DAC7. Părțile interesate au semnalat în mod constant că astfel de obligații conduc la volume disproporționat de mari de notificări și </w:t>
      </w:r>
      <w:r>
        <w:rPr>
          <w:noProof/>
        </w:rPr>
        <w:lastRenderedPageBreak/>
        <w:t xml:space="preserve">raportări care fie sunt redundante, fie nu identifică un risc de fraudă fiscală, de evaziune fiscală sau de evitare a obligațiilor fiscale. </w:t>
      </w:r>
    </w:p>
    <w:p>
      <w:pPr>
        <w:spacing w:before="240"/>
        <w:rPr>
          <w:noProof/>
        </w:rPr>
      </w:pPr>
      <w:r>
        <w:rPr>
          <w:noProof/>
        </w:rPr>
        <w:t>În cele din urmă, Curtea de Conturi Europeană (CCE) a abordat DAC în două rapoarte speciale. Primul raport, adoptat în 2021, a identificat limitări ale actualului cadru legislativ DAC1 care afectează exhaustivitatea schimbului automat de informații între statele membre. Acest lucru creează probleme legate de condițiile de concurență echitabile și limitează capacitatea administrațiilor fiscale de a maximiza beneficiile DAC. Un al doilea raport, adoptat în 2024, s-a axat pe DAC6 și a constatat că directiva este complexă și aplicată în mod inconsecvent în statele membre.</w:t>
      </w:r>
    </w:p>
    <w:p>
      <w:pPr>
        <w:spacing w:before="240"/>
        <w:rPr>
          <w:rFonts w:eastAsia="Times New Roman"/>
          <w:noProof/>
        </w:rPr>
      </w:pPr>
      <w:r>
        <w:rPr>
          <w:noProof/>
        </w:rPr>
        <w:t>Prezenta propunere răspunde solicitării de simplificare a cadrului juridic al DAC și reflectă necesitatea de a se asigura că acest cadru rămâne proporțional și eficace. Statele membre sprijină simplificarea în domeniul fiscal, astfel cum s-a demonstrat prin adoptarea, la 11 martie 2025</w:t>
      </w:r>
      <w:r>
        <w:rPr>
          <w:rStyle w:val="FootnoteReference"/>
          <w:rFonts w:eastAsia="Times New Roman"/>
          <w:noProof/>
        </w:rPr>
        <w:footnoteReference w:id="9"/>
      </w:r>
      <w:r>
        <w:rPr>
          <w:noProof/>
        </w:rPr>
        <w:t xml:space="preserve">, a Concluziilor Consiliului de stabilire a unei agende de asanare și simplificare fiscală pentru a spori competitivitatea UE. </w:t>
      </w:r>
    </w:p>
    <w:p>
      <w:pPr>
        <w:pStyle w:val="ManualHeading2"/>
        <w:rPr>
          <w:noProof/>
          <w:color w:val="000000"/>
          <w:bdr w:val="nil"/>
        </w:rPr>
      </w:pPr>
      <w:bookmarkStart w:id="2" w:name="_Toc229742168"/>
      <w:r>
        <w:rPr>
          <w:noProof/>
          <w:color w:val="000000"/>
          <w:bdr w:val="nil"/>
        </w:rPr>
        <w:t>•</w:t>
      </w:r>
      <w:r>
        <w:rPr>
          <w:noProof/>
        </w:rPr>
        <w:tab/>
        <w:t>Coerența cu dispozițiile de politică deja existente în domeniul de politică vizat</w:t>
      </w:r>
      <w:bookmarkEnd w:id="2"/>
    </w:p>
    <w:p>
      <w:pPr>
        <w:spacing w:after="0"/>
        <w:rPr>
          <w:rFonts w:eastAsia="Arial Unicode MS"/>
          <w:noProof/>
        </w:rPr>
      </w:pPr>
      <w:r>
        <w:rPr>
          <w:noProof/>
        </w:rPr>
        <w:t xml:space="preserve">Prezenta propunere codifică DAC și cele opt modificări ale sale într-un singur act juridic, sporind astfel coerența, consolidând securitatea juridică și îmbunătățind interpretarea și utilizabilitatea pentru toate părțile interesate din întreaga Uniune. În plus, propunerea include mai multe modificări care vizează simplificarea și îmbunătățirea funcționării cadrului de cooperare instituit de DAC. </w:t>
      </w:r>
    </w:p>
    <w:p>
      <w:pPr>
        <w:spacing w:after="0"/>
        <w:rPr>
          <w:rFonts w:eastAsia="Arial Unicode MS"/>
          <w:noProof/>
        </w:rPr>
      </w:pPr>
      <w:r>
        <w:rPr>
          <w:noProof/>
        </w:rPr>
        <w:t>Propunerea de reformare a DAC este pe deplin coerentă și trebuie privită în coroborare cu pachetul omnibus privind impozitarea directă, care simplifică celelalte acte legislative care alcătuiesc cadrul UE în domeniul impozitării directe. Luate împreună, cele două propuneri instituie un set de acțiuni coordonate și cuprinzătoare și asigură faptul că atât normele fiscale de fond, cât și normele privind cooperarea administrativă sunt simplificate, proporționale și, prin urmare, adecvate scopului.</w:t>
      </w:r>
    </w:p>
    <w:p>
      <w:pPr>
        <w:spacing w:after="0"/>
        <w:rPr>
          <w:rFonts w:eastAsia="Arial Unicode MS"/>
          <w:noProof/>
        </w:rPr>
      </w:pPr>
      <w:r>
        <w:rPr>
          <w:noProof/>
        </w:rPr>
        <w:t xml:space="preserve">De asemenea, propunerea este pe deplin coerentă cu Directiva privind pilonul 2 și reflectă impactul asupra DAC al adoptării directivei menționate, care asigură faptul că grupurile de întreprinderi multinaționale care intră în domeniul de aplicare al directivei plătesc o cotă minimă efectivă de impozitare de 15 % din profituri în fiecare jurisdicție în care își desfășoară activitatea. În timp ce DAC6 și Directiva privind pilonul 2 abordează aspecte distincte ale riscului fiscal, introducerea cadrului global de impozitare minimă, prin reducerea diferențelor dintre ratele de impozitare între jurisdicții, modifică în mod fundamental, pentru grupurile de întreprinderi multinaționale care intră în domeniul de aplicare al directivei, stimulentele subiacente pentru modalitățile potențial agresive vizate de DAC6. </w:t>
      </w:r>
    </w:p>
    <w:p>
      <w:pPr>
        <w:spacing w:after="0"/>
        <w:rPr>
          <w:noProof/>
          <w:color w:val="000000" w:themeColor="text1"/>
        </w:rPr>
      </w:pPr>
      <w:r>
        <w:rPr>
          <w:noProof/>
        </w:rPr>
        <w:t>În cele din urmă, propunerea este în concordanță cu Directiva (UE) 2025/50 a Consiliului (Directiva FASTER), care simplifică procedurile de solicitare a reducerii surplusului de impozit reținut la sursă, prevăzând, în același timp, obligații de raportare pentru a spori transparența.</w:t>
      </w:r>
    </w:p>
    <w:p>
      <w:pPr>
        <w:pStyle w:val="ManualHeading2"/>
        <w:rPr>
          <w:rFonts w:eastAsia="Arial Unicode MS"/>
          <w:noProof/>
        </w:rPr>
      </w:pPr>
      <w:bookmarkStart w:id="3" w:name="_Toc229742169"/>
      <w:r>
        <w:rPr>
          <w:noProof/>
          <w:color w:val="000000"/>
          <w:u w:color="000000"/>
          <w:bdr w:val="nil"/>
        </w:rPr>
        <w:lastRenderedPageBreak/>
        <w:t>•</w:t>
      </w:r>
      <w:r>
        <w:rPr>
          <w:noProof/>
        </w:rPr>
        <w:tab/>
        <w:t>Coerența cu alte politici ale Uniunii</w:t>
      </w:r>
      <w:bookmarkEnd w:id="3"/>
    </w:p>
    <w:p>
      <w:pPr>
        <w:pBdr>
          <w:top w:val="nil"/>
          <w:left w:val="nil"/>
          <w:bottom w:val="nil"/>
          <w:right w:val="nil"/>
          <w:between w:val="nil"/>
          <w:bar w:val="nil"/>
        </w:pBdr>
        <w:spacing w:before="0" w:after="240"/>
        <w:rPr>
          <w:rFonts w:eastAsia="Arial Unicode MS"/>
          <w:noProof/>
        </w:rPr>
      </w:pPr>
      <w:r>
        <w:rPr>
          <w:noProof/>
        </w:rPr>
        <w:t>Propunerea interacționează cu Regulamentul general privind protecția datelor</w:t>
      </w:r>
      <w:r>
        <w:rPr>
          <w:rStyle w:val="FootnoteReference"/>
          <w:rFonts w:eastAsia="Arial Unicode MS"/>
          <w:noProof/>
        </w:rPr>
        <w:footnoteReference w:id="10"/>
      </w:r>
      <w:r>
        <w:rPr>
          <w:noProof/>
        </w:rPr>
        <w:t xml:space="preserve"> (RGPD) în diverse cazuri în care datele cu caracter personal devin relevante. În același timp, propunerea include dispoziții și garanții specifice privind protecția datelor și prevede proceduri în caz de încălcare a securității datelor. Măsurile informatice și procedurale relevante asigură protecția datelor cu caracter personal în conformitate cu RGPD. Schimbul de date va trece printr-un sistem electronic securizat care criptează și decriptează datele, iar la aceste informații ar trebui să aibă acces doar funcționarii publici naționali autorizați din fiecare administrație fiscală. În calitate de operatori de date asociați, statele membre vor trebui să asigure stocarea datelor în conformitate cu măsurile de securitate și cu termenele impuse de RGPD.</w:t>
      </w:r>
    </w:p>
    <w:p>
      <w:pPr>
        <w:pBdr>
          <w:top w:val="nil"/>
          <w:left w:val="nil"/>
          <w:bottom w:val="nil"/>
          <w:right w:val="nil"/>
          <w:between w:val="nil"/>
          <w:bar w:val="nil"/>
        </w:pBdr>
        <w:spacing w:before="0" w:after="240"/>
        <w:rPr>
          <w:rFonts w:eastAsia="Arial Unicode MS"/>
          <w:noProof/>
        </w:rPr>
      </w:pPr>
      <w:r>
        <w:rPr>
          <w:noProof/>
        </w:rPr>
        <w:t>Propunerea asigură faptul că DAC continuă să fie în conformitate cu cadrul UE de combatere a spălării banilor (CSB). Directiva (UE) 2016/2258 a Consiliului din 6 decembrie 2016 de modificare a Directivei 2011/16/UE în ceea ce privește accesul autorităților fiscale la informații privind combaterea spălării banilor</w:t>
      </w:r>
      <w:r>
        <w:rPr>
          <w:rStyle w:val="FootnoteReference"/>
          <w:rFonts w:eastAsia="Arial Unicode MS"/>
          <w:noProof/>
        </w:rPr>
        <w:footnoteReference w:id="11"/>
      </w:r>
      <w:r>
        <w:rPr>
          <w:noProof/>
        </w:rPr>
        <w:t xml:space="preserve"> (DAC5) a acordat și a solicitat autorităților fiscale accesul la registre și la documentația privind procesul de diligență în temeiul cadrului UE de combatere a spălării banilor care era în vigoare la momentul respectiv. În 2024 a fost adoptat un nou act legislativ actualizat, Directiva (UE) 2024/1640 a Parlamentului European și a Consiliului din 31 mai 2024 privind mecanismele care trebuie instituite de statele membre pentru prevenirea utilizării sistemului financiar în scopul spălării banilor sau finanțării terorismului</w:t>
      </w:r>
      <w:r>
        <w:rPr>
          <w:rStyle w:val="FootnoteReference"/>
          <w:rFonts w:eastAsia="Arial Unicode MS"/>
          <w:noProof/>
        </w:rPr>
        <w:footnoteReference w:id="12"/>
      </w:r>
      <w:r>
        <w:rPr>
          <w:noProof/>
        </w:rPr>
        <w:t>. Pentru a asigura alinierea continuă la noul cadru al UE privind combaterea spălării banilor, prezenta propunere include trimiteri la registrele actualizate, precum și la dispozițiile nou elaborate și extinse referitoare la precauția privind clientela și la păstrarea evidențelor</w:t>
      </w:r>
      <w:r>
        <w:rPr>
          <w:rStyle w:val="FootnoteReference"/>
          <w:rFonts w:eastAsia="Arial Unicode MS"/>
          <w:noProof/>
        </w:rPr>
        <w:footnoteReference w:id="13"/>
      </w:r>
      <w:r>
        <w:rPr>
          <w:noProof/>
        </w:rPr>
        <w:t>.</w:t>
      </w:r>
    </w:p>
    <w:p>
      <w:pPr>
        <w:pBdr>
          <w:top w:val="nil"/>
          <w:left w:val="nil"/>
          <w:bottom w:val="nil"/>
          <w:right w:val="nil"/>
          <w:between w:val="nil"/>
          <w:bar w:val="nil"/>
        </w:pBdr>
        <w:spacing w:before="0" w:after="240"/>
        <w:rPr>
          <w:rFonts w:eastAsia="Arial Unicode MS"/>
          <w:noProof/>
        </w:rPr>
      </w:pPr>
      <w:r>
        <w:rPr>
          <w:noProof/>
        </w:rPr>
        <w:t>Propunerea este, de asemenea, în conformitate cu dispozițiile privind identificatorul unic european (EUID) în temeiul articolului 16 din Directiva codificată privind dreptul societăților comerciale</w:t>
      </w:r>
      <w:r>
        <w:rPr>
          <w:rStyle w:val="FootnoteReference"/>
          <w:rFonts w:eastAsia="Arial Unicode MS"/>
          <w:noProof/>
        </w:rPr>
        <w:footnoteReference w:id="14"/>
      </w:r>
      <w:r>
        <w:rPr>
          <w:noProof/>
        </w:rPr>
        <w:t xml:space="preserve">, care prevede că EUID este mijlocul de identificare unică a societăților transfrontaliere. Un EUID este atribuit, de asemenea, tuturor entităților (inclusiv fiduciilor și altor construcții juridice) înregistrate în sistemele de interconectare a registrelor beneficiarilor reali (BRIS), la care autoritățile fiscale vor avea acces în temeiul prezentei propuneri. Utilizarea opțională a EUID ca mijloc verificat de identificare și în scopuri fiscale permite autorităților fiscale să verifice, în mod fiabil, identitatea contribuabililor în cauză. </w:t>
      </w:r>
    </w:p>
    <w:p>
      <w:pPr>
        <w:pBdr>
          <w:top w:val="nil"/>
          <w:left w:val="nil"/>
          <w:bottom w:val="nil"/>
          <w:right w:val="nil"/>
          <w:between w:val="nil"/>
          <w:bar w:val="nil"/>
        </w:pBdr>
        <w:spacing w:before="0" w:after="240"/>
        <w:rPr>
          <w:rFonts w:eastAsia="Arial Unicode MS"/>
          <w:noProof/>
        </w:rPr>
      </w:pPr>
      <w:r>
        <w:rPr>
          <w:noProof/>
        </w:rPr>
        <w:lastRenderedPageBreak/>
        <w:t>Odată reformată, DAC va continua să fie coerentă cu Directiva contabilă a UE</w:t>
      </w:r>
      <w:r>
        <w:rPr>
          <w:rStyle w:val="FootnoteReference"/>
          <w:rFonts w:eastAsia="Arial Unicode MS"/>
          <w:noProof/>
        </w:rPr>
        <w:footnoteReference w:id="15"/>
      </w:r>
      <w:r>
        <w:rPr>
          <w:noProof/>
        </w:rPr>
        <w:t>. Deși atât DAC4, cât și Directiva contabilă a UE prevăd raportarea pentru fiecare țară în parte, cele două instrumente nu trebuie considerate o raportare dublă, deoarece conținutul și scopul fiecărei cerințe de raportare nu sunt identice. Raportarea inclusă în prezenta propunere este menită să ofere o imagine de ansamblu la nivel înalt a grupului de întreprinderi multinaționale pentru a facilita gestionarea riscurilor în scopuri fiscale, în timp ce raportarea inclusă în Directiva contabilă a UE urmărește să promoveze transparența grupului de întreprinderi multinaționale față de public. Includerea în prezenta propunere a raportării consolidate a datelor pentru fiecare țară în parte în scopuri statistice ar trebui totuși să faciliteze evaluarea funcționării atât a raportării pentru fiecare țară în parte, cât și a raportării publice pentru fiecare țară în parte în viitor.</w:t>
      </w:r>
    </w:p>
    <w:p>
      <w:pPr>
        <w:pBdr>
          <w:top w:val="nil"/>
          <w:left w:val="nil"/>
          <w:bottom w:val="nil"/>
          <w:right w:val="nil"/>
          <w:between w:val="nil"/>
          <w:bar w:val="nil"/>
        </w:pBdr>
        <w:spacing w:before="0" w:after="240"/>
        <w:rPr>
          <w:rFonts w:eastAsia="Arial Unicode MS"/>
          <w:noProof/>
        </w:rPr>
      </w:pPr>
      <w:r>
        <w:rPr>
          <w:noProof/>
        </w:rPr>
        <w:t>Prezenta propunere este coerentă cu recenta propunere de regulament privind cadrul juridic al celui de al 28-lea regim al societăților comerciale – EU Inc.</w:t>
      </w:r>
      <w:r>
        <w:rPr>
          <w:rStyle w:val="FootnoteReference"/>
          <w:rFonts w:eastAsia="Arial Unicode MS"/>
          <w:noProof/>
        </w:rPr>
        <w:footnoteReference w:id="16"/>
      </w:r>
      <w:r>
        <w:rPr>
          <w:noProof/>
        </w:rPr>
        <w:t xml:space="preserve">, care include principiul „doar o singură dată” pentru transmiterea informațiilor. În conformitate cu acest principiu, informațiile transmise de o societate registrului comerțului (inclusiv EUID) trebuie comunicate altor autorități relevante, inclusiv celor responsabile cu emiterea numărului de identificare fiscală (NIF) și a numărului TVA, fără ca fondatorii și societățile să fie nevoiți să retransmită informațiile autorităților respective. În plus, EU Inc. ar trebui să obțină NIF și numărul TVA prin intermediul acestui schimb digital, fără a fi necesar să se depună o cerere separată. Principiul „doar o singură dată” este respectat în prezenta propunere în ceea ce privește modificările propuse ale conceptului de „disponibilitate” a informațiilor în temeiul DAC1. </w:t>
      </w:r>
    </w:p>
    <w:p>
      <w:pPr>
        <w:pBdr>
          <w:top w:val="nil"/>
          <w:left w:val="nil"/>
          <w:bottom w:val="nil"/>
          <w:right w:val="nil"/>
          <w:between w:val="nil"/>
          <w:bar w:val="nil"/>
        </w:pBdr>
        <w:spacing w:before="0" w:after="240"/>
        <w:rPr>
          <w:rFonts w:eastAsia="Arial Unicode MS"/>
          <w:noProof/>
        </w:rPr>
      </w:pPr>
      <w:r>
        <w:rPr>
          <w:noProof/>
        </w:rPr>
        <w:t>În cele din urmă, DAC coexistă cu Regulamentul (UE) 2022/2065 al Parlamentului European și al Consiliului (Regulamentul privind serviciile digitale) și este pe deplin coerentă cu acesta; regulamentul menționat armonizează normele care reglementează răspunderea și responsabilitatea furnizorilor de servicii intermediare, inclusiv a platformelor online, și stabilește obligații de diligență necesară aplicabile în întreaga Uniune. Regulamentul privind serviciile digitale prevede exonerări condiționate de răspundere ale furnizorilor de servicii intermediare și interzice impunerea unor obligații generale de monitorizare. În același timp, regulamentul menționat impune platformelor online care permit comercianților să încheie contracte la distanță cu consumatorii să asigure trasabilitatea comercianților care utilizează serviciile lor pentru a oferi produse sau servicii. DAC nu aduce atingere obligațiilor stabilite în temeiul Regulamentului (UE) 2022/2065, ci le completează pe acestea.</w:t>
      </w:r>
    </w:p>
    <w:p>
      <w:pPr>
        <w:pStyle w:val="ManualHeading1"/>
        <w:rPr>
          <w:noProof/>
        </w:rPr>
      </w:pPr>
      <w:bookmarkStart w:id="4" w:name="_Toc229742170"/>
      <w:r>
        <w:rPr>
          <w:noProof/>
        </w:rPr>
        <w:t>2.</w:t>
      </w:r>
      <w:r>
        <w:rPr>
          <w:noProof/>
        </w:rPr>
        <w:tab/>
        <w:t>TEMEI JURIDIC, SUBSIDIARITATE ȘI PROPORȚIONALITATE</w:t>
      </w:r>
      <w:bookmarkEnd w:id="4"/>
    </w:p>
    <w:p>
      <w:pPr>
        <w:pStyle w:val="ManualHeading2"/>
        <w:rPr>
          <w:noProof/>
          <w:u w:color="000000"/>
          <w:bdr w:val="nil"/>
        </w:rPr>
      </w:pPr>
      <w:bookmarkStart w:id="5" w:name="_Toc229742171"/>
      <w:r>
        <w:rPr>
          <w:noProof/>
          <w:u w:color="000000"/>
          <w:bdr w:val="nil"/>
        </w:rPr>
        <w:t>•</w:t>
      </w:r>
      <w:r>
        <w:rPr>
          <w:noProof/>
        </w:rPr>
        <w:tab/>
      </w:r>
      <w:r>
        <w:rPr>
          <w:noProof/>
          <w:u w:color="000000"/>
          <w:bdr w:val="nil"/>
        </w:rPr>
        <w:t>Temei juridic</w:t>
      </w:r>
      <w:bookmarkEnd w:id="5"/>
    </w:p>
    <w:p>
      <w:pPr>
        <w:pBdr>
          <w:top w:val="nil"/>
          <w:left w:val="nil"/>
          <w:bottom w:val="nil"/>
          <w:right w:val="nil"/>
          <w:between w:val="nil"/>
          <w:bar w:val="nil"/>
        </w:pBdr>
        <w:spacing w:before="0" w:after="240"/>
        <w:rPr>
          <w:rFonts w:eastAsia="Arial Unicode MS"/>
          <w:noProof/>
        </w:rPr>
      </w:pPr>
      <w:r>
        <w:rPr>
          <w:noProof/>
        </w:rPr>
        <w:t xml:space="preserve">Temeiul juridic al DAC se bazează pe articolele 113 și 115 din Tratatul privind funcționarea Uniunii Europene (TFUE). Articolul 113 din TFUE oferă temeiul juridic pentru armonizarea sistemelor de impozitare indirectă ale statelor membre, în măsura în care acest lucru este necesar pentru a asigura funcționarea pieței interne și pentru a evita denaturarea concurenței. Articolul 115 din TFUE prevede apropierea actelor cu putere de lege și a actelor </w:t>
      </w:r>
      <w:r>
        <w:rPr>
          <w:noProof/>
        </w:rPr>
        <w:lastRenderedPageBreak/>
        <w:t xml:space="preserve">administrative ale statelor membre care au incidență directă asupra instituirii sau a funcționării pieței interne și care fac ca apropierea legislațiilor să devină necesară. Obiectivul principal al DAC este de a asigura existența unui instrument juridic solid, bazat pe condiții uniforme și practici armonizate, pentru a facilita cooperarea administrativă și schimbul de informații în domeniul impozitării directe. Acest lucru este necesar pentru a asigura buna funcționare a pieței interne și pentru a reduce efectele negative ale fraudei fiscale, ale evaziunii fiscale și ale evitării obligațiilor fiscale în UE. Întrucât inițiativa propusă codifică și modifică DAC, temeiul juridic rămâne același. </w:t>
      </w:r>
    </w:p>
    <w:p>
      <w:pPr>
        <w:pStyle w:val="ManualHeading2"/>
        <w:rPr>
          <w:noProof/>
          <w:u w:color="000000"/>
          <w:bdr w:val="nil"/>
        </w:rPr>
      </w:pPr>
      <w:bookmarkStart w:id="6" w:name="_Toc229742172"/>
      <w:r>
        <w:rPr>
          <w:noProof/>
          <w:u w:color="000000"/>
          <w:bdr w:val="nil"/>
        </w:rPr>
        <w:t>•</w:t>
      </w:r>
      <w:r>
        <w:rPr>
          <w:noProof/>
        </w:rPr>
        <w:tab/>
      </w:r>
      <w:r>
        <w:rPr>
          <w:noProof/>
          <w:u w:color="000000"/>
          <w:bdr w:val="nil"/>
        </w:rPr>
        <w:t>Subsidiaritatea (în cazul competențelor neexclusive)</w:t>
      </w:r>
      <w:bookmarkEnd w:id="6"/>
      <w:r>
        <w:rPr>
          <w:noProof/>
          <w:u w:color="000000"/>
          <w:bdr w:val="nil"/>
        </w:rPr>
        <w:t xml:space="preserve"> </w:t>
      </w:r>
    </w:p>
    <w:p>
      <w:pPr>
        <w:pBdr>
          <w:top w:val="nil"/>
          <w:left w:val="nil"/>
          <w:bottom w:val="nil"/>
          <w:right w:val="nil"/>
          <w:between w:val="nil"/>
          <w:bar w:val="nil"/>
        </w:pBdr>
        <w:spacing w:before="0" w:after="240"/>
        <w:rPr>
          <w:rFonts w:eastAsia="Arial Unicode MS"/>
          <w:noProof/>
        </w:rPr>
      </w:pPr>
      <w:r>
        <w:rPr>
          <w:noProof/>
        </w:rPr>
        <w:t>Propunerea respectă pe deplin principiul subsidiarității, astfel cum este prevăzut la articolul 5 alineatul (3) din Tratatul privind Uniunea Europeană (TUE). Obiectivele politice ale simplificării necesită propuneri de codificare, simplificare și clarificare a cadrului existent pentru a elimina orice suprapuneri, a reduce raportarea inutilă și cu valoare scăzută și a asigura o punere în aplicare coerentă, fără a submina obiectivele în materie de politici ale legislației. Având în vedere necesitatea de a acționa, precum și natura și amploarea problemei, o abordare la nivelul UE este singura opțiune pentru a se asigura că există o soluție cuprinzătoare și uniformă care este conformă cu legislația UE, nu denaturează concurența și menține condiții de concurență echitabile. Acțiunile individuale întreprinse de statele membre nu ar putea să atingă aceste obiective. În același timp, ineficiențele actuale în ceea ce privește funcționarea eficace a acquis-ului DAC sunt legate de mai multe obligații existente de raportare și de schimb de informații care sunt cuprinse în DAC și care pot fi abordate în mod cuprinzător și uniform numai printr-o inițiativă legislativă a UE.</w:t>
      </w:r>
    </w:p>
    <w:p>
      <w:pPr>
        <w:pStyle w:val="ManualHeading2"/>
        <w:ind w:left="0" w:firstLine="0"/>
        <w:rPr>
          <w:noProof/>
          <w:u w:color="000000"/>
          <w:bdr w:val="nil"/>
        </w:rPr>
      </w:pPr>
      <w:bookmarkStart w:id="7" w:name="_Toc229742173"/>
      <w:r>
        <w:rPr>
          <w:noProof/>
          <w:u w:color="000000"/>
          <w:bdr w:val="nil"/>
        </w:rPr>
        <w:t>•</w:t>
      </w:r>
      <w:r>
        <w:rPr>
          <w:noProof/>
        </w:rPr>
        <w:tab/>
      </w:r>
      <w:r>
        <w:rPr>
          <w:noProof/>
          <w:u w:color="000000"/>
          <w:bdr w:val="nil"/>
        </w:rPr>
        <w:t>Proporționalitatea</w:t>
      </w:r>
      <w:bookmarkEnd w:id="7"/>
    </w:p>
    <w:p>
      <w:pPr>
        <w:pBdr>
          <w:top w:val="nil"/>
          <w:left w:val="nil"/>
          <w:bottom w:val="nil"/>
          <w:right w:val="nil"/>
          <w:between w:val="nil"/>
          <w:bar w:val="nil"/>
        </w:pBdr>
        <w:spacing w:before="0" w:after="240"/>
        <w:rPr>
          <w:rFonts w:eastAsia="Arial Unicode MS"/>
          <w:noProof/>
        </w:rPr>
      </w:pPr>
      <w:r>
        <w:rPr>
          <w:noProof/>
        </w:rPr>
        <w:t>Propunerea codifică, simplifică și îmbunătățește dispozițiile existente ale DAC. Modificările sunt foarte specifice și nu depășesc ceea ce este necesar pentru atingerea obiectivului dorit. În special, modificările mențin pe deplin garanțiile actuale oferite de DAC și nu reduc nivelul existent de protecție împotriva fraudei fiscale, a evaziunii fiscale și a evitării obligațiilor fiscale.</w:t>
      </w:r>
    </w:p>
    <w:p>
      <w:pPr>
        <w:pBdr>
          <w:top w:val="nil"/>
          <w:left w:val="nil"/>
          <w:bottom w:val="nil"/>
          <w:right w:val="nil"/>
          <w:between w:val="nil"/>
          <w:bar w:val="nil"/>
        </w:pBdr>
        <w:spacing w:before="0" w:after="240"/>
        <w:rPr>
          <w:rFonts w:eastAsia="Arial Unicode MS"/>
          <w:noProof/>
        </w:rPr>
      </w:pPr>
      <w:r>
        <w:rPr>
          <w:noProof/>
        </w:rPr>
        <w:t xml:space="preserve">Valoarea adăugată a acțiunii UE constă în faptul că asigură existența unei soluții coerente, uniforme și complete la nivelul UE, care realizează reducerile țintite ale sarcinilor de raportare și ale costurilor administrative asociate pentru întreprinderile din UE. </w:t>
      </w:r>
    </w:p>
    <w:p>
      <w:pPr>
        <w:pBdr>
          <w:top w:val="nil"/>
          <w:left w:val="nil"/>
          <w:bottom w:val="nil"/>
          <w:right w:val="nil"/>
          <w:between w:val="nil"/>
          <w:bar w:val="nil"/>
        </w:pBdr>
        <w:spacing w:before="0" w:after="240"/>
        <w:rPr>
          <w:rFonts w:eastAsia="Arial Unicode MS"/>
          <w:noProof/>
        </w:rPr>
      </w:pPr>
      <w:r>
        <w:rPr>
          <w:noProof/>
        </w:rPr>
        <w:t xml:space="preserve">În același timp, acțiunea UE va aborda în mod cuprinzător ineficiențele actuale identificate în funcționarea DAC, aducând îmbunătățiri specifice acquis-ului existent, asigurându-se că administrațiile fiscale, entitățile raportoare și contribuabilii beneficiază de o funcționare mai eficientă și mai eficace a DAC. </w:t>
      </w:r>
    </w:p>
    <w:p>
      <w:pPr>
        <w:pStyle w:val="ManualHeading2"/>
        <w:rPr>
          <w:noProof/>
          <w:u w:color="000000"/>
          <w:bdr w:val="nil"/>
        </w:rPr>
      </w:pPr>
      <w:bookmarkStart w:id="8" w:name="_Toc229742174"/>
      <w:r>
        <w:rPr>
          <w:noProof/>
          <w:u w:color="000000"/>
          <w:bdr w:val="nil"/>
        </w:rPr>
        <w:t>•</w:t>
      </w:r>
      <w:r>
        <w:rPr>
          <w:noProof/>
        </w:rPr>
        <w:tab/>
      </w:r>
      <w:r>
        <w:rPr>
          <w:noProof/>
          <w:u w:color="000000"/>
          <w:bdr w:val="nil"/>
        </w:rPr>
        <w:t>Alegerea instrumentului</w:t>
      </w:r>
      <w:bookmarkEnd w:id="8"/>
    </w:p>
    <w:p>
      <w:pPr>
        <w:pBdr>
          <w:top w:val="nil"/>
          <w:left w:val="nil"/>
          <w:bottom w:val="nil"/>
          <w:right w:val="nil"/>
          <w:between w:val="nil"/>
          <w:bar w:val="nil"/>
        </w:pBdr>
        <w:spacing w:before="0" w:after="240"/>
        <w:rPr>
          <w:rFonts w:eastAsia="Arial Unicode MS"/>
          <w:noProof/>
        </w:rPr>
      </w:pPr>
      <w:r>
        <w:rPr>
          <w:noProof/>
        </w:rPr>
        <w:t xml:space="preserve">Propunerea are ca obiect o directivă, singurul instrument disponibil conform temeiului juridic (articolul 115 din TFUE). În plus, această directivă reprezintă reformarea actualei DAC, astfel cum a fost modificată ulterior. </w:t>
      </w:r>
    </w:p>
    <w:p>
      <w:pPr>
        <w:pStyle w:val="ManualHeading1"/>
        <w:rPr>
          <w:noProof/>
        </w:rPr>
      </w:pPr>
      <w:bookmarkStart w:id="9" w:name="_Toc229742175"/>
      <w:r>
        <w:rPr>
          <w:noProof/>
        </w:rPr>
        <w:lastRenderedPageBreak/>
        <w:t>3.</w:t>
      </w:r>
      <w:r>
        <w:rPr>
          <w:noProof/>
        </w:rPr>
        <w:tab/>
        <w:t>REZULTATELE EVALUĂRILOR EX POST, ALE CONSULTĂRILOR CU PĂRȚILE INTERESATE ȘI ALE EVALUĂRILOR IMPACTULUI</w:t>
      </w:r>
      <w:bookmarkEnd w:id="9"/>
    </w:p>
    <w:p>
      <w:pPr>
        <w:pStyle w:val="ManualHeading2"/>
        <w:rPr>
          <w:noProof/>
          <w:u w:color="000000"/>
          <w:bdr w:val="nil"/>
        </w:rPr>
      </w:pPr>
      <w:bookmarkStart w:id="10" w:name="_Toc229742176"/>
      <w:r>
        <w:rPr>
          <w:noProof/>
          <w:u w:color="000000"/>
          <w:bdr w:val="nil"/>
        </w:rPr>
        <w:t>•</w:t>
      </w:r>
      <w:r>
        <w:rPr>
          <w:noProof/>
        </w:rPr>
        <w:tab/>
      </w:r>
      <w:r>
        <w:rPr>
          <w:noProof/>
          <w:u w:color="000000"/>
          <w:bdr w:val="nil"/>
        </w:rPr>
        <w:t>Evaluările ex post/verificarea adecvării legislației existente</w:t>
      </w:r>
      <w:bookmarkEnd w:id="10"/>
    </w:p>
    <w:p>
      <w:pPr>
        <w:pBdr>
          <w:top w:val="nil"/>
          <w:left w:val="nil"/>
          <w:bottom w:val="nil"/>
          <w:right w:val="nil"/>
          <w:between w:val="nil"/>
          <w:bar w:val="nil"/>
        </w:pBdr>
        <w:spacing w:before="0" w:after="240"/>
        <w:rPr>
          <w:rFonts w:eastAsia="Arial Unicode MS"/>
          <w:noProof/>
        </w:rPr>
      </w:pPr>
      <w:r>
        <w:rPr>
          <w:noProof/>
        </w:rPr>
        <w:t>Prezenta propunere și documentul de lucru însoțitor al serviciilor Comisiei s-au bazat pe rezultatele evaluării DAC, care au fost publicate la 19 noiembrie 2025</w:t>
      </w:r>
      <w:r>
        <w:rPr>
          <w:rStyle w:val="FootnoteReference"/>
          <w:rFonts w:eastAsia="Arial Unicode MS"/>
          <w:noProof/>
        </w:rPr>
        <w:footnoteReference w:id="17"/>
      </w:r>
      <w:r>
        <w:rPr>
          <w:noProof/>
        </w:rPr>
        <w:t>. Evaluarea acoperă perioada 2018-2023 și toate modificările până la DAC6 inclusiv. Raportul de evaluare este susținut de un document de lucru însoțitor al serviciilor Comisiei, care se bazează, printre altele, pe constatările unui studiu efectuat de un contractant extern.</w:t>
      </w:r>
    </w:p>
    <w:p>
      <w:pPr>
        <w:pBdr>
          <w:top w:val="nil"/>
          <w:left w:val="nil"/>
          <w:bottom w:val="nil"/>
          <w:right w:val="nil"/>
          <w:between w:val="nil"/>
          <w:bar w:val="nil"/>
        </w:pBdr>
        <w:spacing w:before="0" w:after="240"/>
        <w:rPr>
          <w:rFonts w:eastAsia="Arial Unicode MS"/>
          <w:noProof/>
        </w:rPr>
      </w:pPr>
      <w:r>
        <w:rPr>
          <w:noProof/>
        </w:rPr>
        <w:t>Evaluarea a concluzionat că DAC oferă un cadru juridic solid, care a facilitat schimbul unor volume semnificative de informații, care sunt din ce în ce mai corelate și utilizate de autoritățile fiscale (atât pentru evaluarea riscurilor, cât și în scopuri de control) și a încurajat respectarea voluntară a normelor fiscale de către contribuabili. DAC funcționează în mod eficace și eficient, iar costurile asociate acesteia sunt proporționale cu beneficiile generate. Aceasta este, în linii mari, coerentă, oferă valoare adăugată în comparație cu alternativele naționale și internaționale și rămâne foarte relevantă pentru atingerea obiectivelor sale.</w:t>
      </w:r>
    </w:p>
    <w:p>
      <w:pPr>
        <w:pBdr>
          <w:top w:val="nil"/>
          <w:left w:val="nil"/>
          <w:bottom w:val="nil"/>
          <w:right w:val="nil"/>
          <w:between w:val="nil"/>
          <w:bar w:val="nil"/>
        </w:pBdr>
        <w:spacing w:before="0" w:after="240"/>
        <w:rPr>
          <w:rFonts w:eastAsia="Arial Unicode MS"/>
          <w:noProof/>
        </w:rPr>
      </w:pPr>
      <w:r>
        <w:rPr>
          <w:noProof/>
        </w:rPr>
        <w:t>În același timp, evaluarea a identificat câteva domenii în care ar trebui depuse eforturi suplimentare pe termen scurt pentru a îmbunătăți în continuare funcționarea DAC, reducând în același timp sarcina administrativă a întreprinderilor. Evaluarea a evidențiat, în special, necesitatea: (i) introducerii unei simplificări bine concepute, fără a submina obiectivele DAC; (ii) asigurării unei aplicări uniforme a DAC în întreaga UE; (iii) facilitării corelării automate a datelor DAC cu datele naționale; și (iv) conceperii unui sistem care să permită o identificare solidă și automată a contribuabililor.</w:t>
      </w:r>
    </w:p>
    <w:p>
      <w:pPr>
        <w:pBdr>
          <w:top w:val="nil"/>
          <w:left w:val="nil"/>
          <w:bottom w:val="nil"/>
          <w:right w:val="nil"/>
          <w:between w:val="nil"/>
          <w:bar w:val="nil"/>
        </w:pBdr>
        <w:spacing w:before="0" w:after="240"/>
        <w:rPr>
          <w:rFonts w:eastAsia="Arial Unicode MS"/>
          <w:noProof/>
        </w:rPr>
      </w:pPr>
      <w:r>
        <w:rPr>
          <w:noProof/>
        </w:rPr>
        <w:t>Evaluarea a subliniat necesitatea, pe termen lung, de a explora modalități de raționalizare a sistemelor informatice și de a valorifica mai bine transformarea digitală, pentru a îmbunătăți analiza riscurilor, asigurând în același timp economii de costuri pentru statele membre și reducerea sarcinii administrative a întreprinderilor.</w:t>
      </w:r>
    </w:p>
    <w:p>
      <w:pPr>
        <w:pStyle w:val="ManualHeading2"/>
        <w:rPr>
          <w:noProof/>
          <w:u w:color="000000"/>
          <w:bdr w:val="nil"/>
        </w:rPr>
      </w:pPr>
      <w:bookmarkStart w:id="11" w:name="_Toc229742177"/>
      <w:r>
        <w:rPr>
          <w:noProof/>
          <w:u w:color="000000"/>
          <w:bdr w:val="nil"/>
        </w:rPr>
        <w:t>•</w:t>
      </w:r>
      <w:r>
        <w:rPr>
          <w:noProof/>
        </w:rPr>
        <w:tab/>
      </w:r>
      <w:r>
        <w:rPr>
          <w:noProof/>
          <w:u w:color="000000"/>
          <w:bdr w:val="nil"/>
        </w:rPr>
        <w:t>Consultarea cu părțile interesate</w:t>
      </w:r>
      <w:bookmarkEnd w:id="11"/>
    </w:p>
    <w:p>
      <w:pPr>
        <w:rPr>
          <w:noProof/>
        </w:rPr>
      </w:pPr>
      <w:r>
        <w:rPr>
          <w:noProof/>
        </w:rPr>
        <w:t xml:space="preserve">Strategia de consultare a părților interesate pentru prezenta inițiativă a constat în consultări specifice cu statele membre și cu părțile interesate din mediul de afaceri, precum și într-o cerere de contribuții și o consultare publică. Toate contribuțiile primite au fost luate în considerare în raportul de evaluare a impactului care însoțește prezenta propunere. Acesta include un raport de sinteză al consultării părților interesate în anexa 2. </w:t>
      </w:r>
    </w:p>
    <w:p>
      <w:pPr>
        <w:rPr>
          <w:rFonts w:eastAsia="Calibri"/>
          <w:noProof/>
          <w:color w:val="000000" w:themeColor="text1"/>
        </w:rPr>
      </w:pPr>
      <w:r>
        <w:rPr>
          <w:noProof/>
        </w:rPr>
        <w:t>Consultările specifice cu părțile interesate din mediul de afaceri au luat forma unor interviuri și reuniuni cu diferite părți interesate din sectorul privat, inclusiv cu întreprinderi de diferite dimensiuni care își desfășoară activitatea în diferite sectoare, cu asociații de întreprinderi, cu asociații de consultanți fiscali și cu mediul academic.</w:t>
      </w:r>
      <w:r>
        <w:rPr>
          <w:noProof/>
          <w:color w:val="000000" w:themeColor="text1"/>
        </w:rPr>
        <w:t xml:space="preserve"> În urma acestor consultări a reieșit un apel ferm la simplificarea cadrului juridic al DAC, în special în ceea ce privește cerințele de notificare în sensul DAC4 și DAC9, DAC6 și DAC7. </w:t>
      </w:r>
    </w:p>
    <w:p>
      <w:pPr>
        <w:rPr>
          <w:noProof/>
        </w:rPr>
      </w:pPr>
      <w:r>
        <w:rPr>
          <w:noProof/>
          <w:color w:val="000000" w:themeColor="text1"/>
        </w:rPr>
        <w:t>În ceea ce privește statele membre, serviciile Comisiei au organizat reuniuni ale Grupului de lucru IV, care s-au axat pe teme potențiale de simplificare/îmbunătățire și pe posibile soluții legate de DAC1, DAC4/DAC9, DAC6 și DAC7. Statele membre au fost, de asemenea, informate periodic în cadrul reuniunilor Grupului de lucru la nivel înalt al Consiliului.</w:t>
      </w:r>
      <w:r>
        <w:rPr>
          <w:noProof/>
        </w:rPr>
        <w:t xml:space="preserve"> </w:t>
      </w:r>
    </w:p>
    <w:p>
      <w:pPr>
        <w:rPr>
          <w:noProof/>
        </w:rPr>
      </w:pPr>
      <w:r>
        <w:rPr>
          <w:noProof/>
        </w:rPr>
        <w:lastRenderedPageBreak/>
        <w:t>În plus, la 16 decembrie 2025, Comisia a lansat o cerere de contribuții și, în paralel, o consultare publică pentru a colecta opiniile părților interesate cu privire la principalele opțiuni de politică pentru simplificare și la posibilul impact al acestora, inclusiv cu privire la potențialele economii de costuri asociate simplificării cerințelor de raportare. Consultarea a rămas deschisă până la 10 februarie și a primit în total 60 de răspunsuri scrise. Respondenții au fost în principal întreprinderi individuale, asociații de întreprinderi și consilieri fiscali.</w:t>
      </w:r>
    </w:p>
    <w:p>
      <w:pPr>
        <w:pBdr>
          <w:top w:val="nil"/>
          <w:left w:val="nil"/>
          <w:bottom w:val="nil"/>
          <w:right w:val="nil"/>
          <w:between w:val="nil"/>
          <w:bar w:val="nil"/>
        </w:pBdr>
        <w:spacing w:before="0" w:after="240"/>
        <w:rPr>
          <w:noProof/>
        </w:rPr>
      </w:pPr>
      <w:r>
        <w:rPr>
          <w:noProof/>
        </w:rPr>
        <w:t xml:space="preserve">În ansamblu, sectorul de afaceri a ajuns la un consens puternic cu privire la necesitatea codificării DAC prin reunirea DAC1 și a tuturor celor opt modificări ale sale (DAC2-DAC9) într-un singur act juridic care ar înlocui actualul cadru juridic fragmentat. De asemenea, a existat un consens larg cu privire la faptul că actualul cadru trebuie simplificat, deoarece creează sarcini administrative și de conformitate disproporționate pentru entitățile raportoare în anumite domenii. </w:t>
      </w:r>
    </w:p>
    <w:p>
      <w:pPr>
        <w:pBdr>
          <w:top w:val="nil"/>
          <w:left w:val="nil"/>
          <w:bottom w:val="nil"/>
          <w:right w:val="nil"/>
          <w:between w:val="nil"/>
          <w:bar w:val="nil"/>
        </w:pBdr>
        <w:spacing w:before="0" w:after="240"/>
        <w:rPr>
          <w:noProof/>
        </w:rPr>
      </w:pPr>
      <w:r>
        <w:rPr>
          <w:noProof/>
        </w:rPr>
        <w:t>Părțile interesate din mediul de afaceri au sprijinit ferm o notificare unică (în sensul DAC4 și DAC9), bazată pe un model comun și pe un calendar armonizat, pentru a evita suprapunerile și a aborda fragmentarea actuală dintre statele membre. Ele au pledat, de asemenea, în favoarea „depunerii la nivel central”, și anume pentru a permite unei entități a grupului care este situată în UE să depună notificarea în numele întregului grup, evitându-se astfel notificările multiple.</w:t>
      </w:r>
    </w:p>
    <w:p>
      <w:pPr>
        <w:pBdr>
          <w:top w:val="nil"/>
          <w:left w:val="nil"/>
          <w:bottom w:val="nil"/>
          <w:right w:val="nil"/>
          <w:between w:val="nil"/>
          <w:bar w:val="nil"/>
        </w:pBdr>
        <w:spacing w:before="0" w:after="240"/>
        <w:rPr>
          <w:noProof/>
        </w:rPr>
      </w:pPr>
      <w:r>
        <w:rPr>
          <w:noProof/>
        </w:rPr>
        <w:t>DAC6 a generat un interes substanțial și feedback din partea părților interesate din mediul de afaceri, multe dintre acestea solicitând orientări clare și armonizate la nivelul UE pentru a asigura interpretarea și aplicarea coerentă a DAC6 în toate statele membre, în special în ceea ce privește concepte foarte complexe, cum ar fi testul beneficiului principal (MBT). În plus, întreprinderile respondente au susținut în mod constant că domeniul de aplicare al raportării în temeiul DAC6 ar trebui să fie mai restrâns la modalitățile care prezintă riscuri fiscale reale. În acest context, mai multe părți interesate din mediul de afaceri au pledat în favoarea excluderii din raportarea în temeiul DAC6 a tuturor întreprinderilor care intră în domeniul de aplicare al Directivei privind pilonul 2. În plus, părțile interesate din mediul de afaceri au fost aliniate cu privire la necesitatea de a elimina semnele distinctive din categoria A (semnele distinctive generice).</w:t>
      </w:r>
    </w:p>
    <w:p>
      <w:pPr>
        <w:pBdr>
          <w:top w:val="nil"/>
          <w:left w:val="nil"/>
          <w:bottom w:val="nil"/>
          <w:right w:val="nil"/>
          <w:between w:val="nil"/>
          <w:bar w:val="nil"/>
        </w:pBdr>
        <w:spacing w:before="0" w:after="240"/>
        <w:rPr>
          <w:noProof/>
        </w:rPr>
      </w:pPr>
      <w:r>
        <w:rPr>
          <w:noProof/>
        </w:rPr>
        <w:t>În ceea ce privește DAC7, observațiile s-au axat pe pragul actual pentru vânzarea online de mărfuri, care a fost considerat disproporționat de scăzut și insuficient direcționat către cazurile cu o probabilitate semnificativă de obligații fiscale. Părțile interesate au sugerat eliminarea pragului de activitate (30 de tranzacții) și menținerea doar a pragului monetar, dar creșterea acestuia la 5 000 EUR sau cel puțin la 3 000 EUR.</w:t>
      </w:r>
    </w:p>
    <w:p>
      <w:pPr>
        <w:rPr>
          <w:noProof/>
        </w:rPr>
      </w:pPr>
      <w:r>
        <w:rPr>
          <w:noProof/>
        </w:rPr>
        <w:t xml:space="preserve">În cele din urmă, mai multe părți interesate (asociații, întreprinderi și platforme online) au solicitat dezvoltarea unui instrument centralizat de verificare a NIF. </w:t>
      </w:r>
    </w:p>
    <w:p>
      <w:pPr>
        <w:pStyle w:val="ManualHeading2"/>
        <w:rPr>
          <w:noProof/>
          <w:u w:color="000000"/>
          <w:bdr w:val="nil"/>
        </w:rPr>
      </w:pPr>
      <w:bookmarkStart w:id="12" w:name="_Toc229742178"/>
      <w:r>
        <w:rPr>
          <w:noProof/>
          <w:u w:color="000000"/>
          <w:bdr w:val="nil"/>
        </w:rPr>
        <w:t>•</w:t>
      </w:r>
      <w:r>
        <w:rPr>
          <w:noProof/>
        </w:rPr>
        <w:tab/>
      </w:r>
      <w:r>
        <w:rPr>
          <w:noProof/>
          <w:u w:color="000000"/>
          <w:bdr w:val="nil"/>
        </w:rPr>
        <w:t>Evaluarea impactului</w:t>
      </w:r>
      <w:bookmarkEnd w:id="12"/>
    </w:p>
    <w:p>
      <w:pPr>
        <w:pBdr>
          <w:top w:val="nil"/>
          <w:left w:val="nil"/>
          <w:bottom w:val="nil"/>
          <w:right w:val="nil"/>
          <w:between w:val="nil"/>
          <w:bar w:val="nil"/>
        </w:pBdr>
        <w:spacing w:before="0" w:after="240"/>
        <w:rPr>
          <w:noProof/>
        </w:rPr>
      </w:pPr>
      <w:r>
        <w:rPr>
          <w:noProof/>
        </w:rPr>
        <w:t>Evaluarea impactului elaborată pentru prezenta propunere a fost examinată de Comitetul de control normativ la data de 29 aprilie 2026. La 4 mai 2026 a fost emis un aviz pozitiv cu rezerve</w:t>
      </w:r>
      <w:r>
        <w:rPr>
          <w:rStyle w:val="FootnoteReference"/>
          <w:rFonts w:eastAsia="Arial Unicode MS"/>
          <w:noProof/>
        </w:rPr>
        <w:footnoteReference w:id="18"/>
      </w:r>
      <w:r>
        <w:rPr>
          <w:noProof/>
        </w:rPr>
        <w:t xml:space="preserve"> și toate observațiile au fost abordate în mod corespunzător în versiunea finală a evaluării impactului. În acest sens, raportul de evaluare a impactului a fost îmbunătățit în mai multe domenii. În primul rând, raportul clarifică și mai mult informațiile care trebuie colectate în cadrul măsurii 5 și faptul că aceste informații trebuie colectate de autoritățile publice la </w:t>
      </w:r>
      <w:r>
        <w:rPr>
          <w:noProof/>
        </w:rPr>
        <w:lastRenderedPageBreak/>
        <w:t>nivel național. Ele sunt completate cu informații suplimentare privind temeiul juridic propus și garanțiile tehnice care se aplică în conformitate cu RGPD. Capitolul 6 din raport a fost îmbunătățit cu informații și explicații suplimentare privind costurile administrative preconizate pentru administrațiile fiscale. În ceea ce privește măsura 4, raportul conține informații suplimentare privind garanțiile care se vor aplica în materie de protecție a datelor și de securitate cibernetică, pentru a sprijini evaluarea compatibilității măsurii cu Carta drepturilor fundamentale. În raport au fost incluse explicații suplimentare, care justifică și mai mult opțiunile de politică preferate OP1b și OP2b. În cele din urmă, capitolele 7 și 9 din raport au fost completate cu informații suplimentare, care, în primul rând, demonstrează coerența măsurilor cu măsuri din afara domeniului fiscal și, în al doilea rând, includ obiective suplimentare de monitorizare legate de scăderea volumelor de raportare, creșterea veniturilor fiscale și reducerea costurilor de asigurare a conformității pentru întreprinderile din UE.</w:t>
      </w:r>
    </w:p>
    <w:p>
      <w:pPr>
        <w:pBdr>
          <w:top w:val="nil"/>
          <w:left w:val="nil"/>
          <w:bottom w:val="nil"/>
          <w:right w:val="nil"/>
          <w:between w:val="nil"/>
          <w:bar w:val="nil"/>
        </w:pBdr>
        <w:spacing w:before="0" w:after="240"/>
        <w:rPr>
          <w:rFonts w:eastAsia="Arial Unicode MS"/>
          <w:noProof/>
          <w:szCs w:val="24"/>
        </w:rPr>
      </w:pPr>
      <w:r>
        <w:rPr>
          <w:noProof/>
        </w:rPr>
        <w:t>Evaluarea impactului a luat în considerare un scenariu de referință (nicio modificare a politicii) și următoarele măsuri legislative specifice, inclusiv diferite opțiuni de politică pentru a remedia deficiențele identificate în cadrul DAC:</w:t>
      </w:r>
    </w:p>
    <w:p>
      <w:pPr>
        <w:pStyle w:val="ListBullet"/>
        <w:rPr>
          <w:rFonts w:eastAsia="Arial Unicode MS"/>
          <w:noProof/>
        </w:rPr>
      </w:pPr>
      <w:r>
        <w:rPr>
          <w:noProof/>
        </w:rPr>
        <w:t>Măsura 1 – Asigurarea faptului că obligațiile de raportare în temeiul DAC6 (modalități transfrontaliere) rămân proporționale și eficace, promovând în același timp o aplicare mai armonizată a testului beneficiului principal (MBT).</w:t>
      </w:r>
    </w:p>
    <w:p>
      <w:pPr>
        <w:pStyle w:val="ListBullet"/>
        <w:rPr>
          <w:rFonts w:eastAsia="Arial Unicode MS"/>
          <w:noProof/>
        </w:rPr>
      </w:pPr>
      <w:r>
        <w:rPr>
          <w:noProof/>
        </w:rPr>
        <w:t xml:space="preserve">Măsura 2 – Modificarea pragului de raportare pentru activitățile care implică vânzarea de mărfuri în temeiul DAC7 (venituri obținute prin intermediul platformelor digitale). · </w:t>
      </w:r>
    </w:p>
    <w:p>
      <w:pPr>
        <w:pStyle w:val="ListBullet"/>
        <w:rPr>
          <w:rFonts w:eastAsia="Arial Unicode MS"/>
          <w:noProof/>
        </w:rPr>
      </w:pPr>
      <w:bookmarkStart w:id="13" w:name="_Hlk230165475"/>
      <w:r>
        <w:rPr>
          <w:noProof/>
        </w:rPr>
        <w:t>Măsura 3 – Raționalizarea obligațiilor de notificare pentru grupurile de întreprinderi multinaționale în sensul DAC4 (raportarea pentru fiecare țară în parte) și DAC9 (depunerea la nivel central a declarației privind impozitul suplimentar).</w:t>
      </w:r>
    </w:p>
    <w:bookmarkEnd w:id="13"/>
    <w:p>
      <w:pPr>
        <w:pStyle w:val="ListBullet"/>
        <w:rPr>
          <w:rFonts w:eastAsia="Arial Unicode MS"/>
          <w:noProof/>
        </w:rPr>
      </w:pPr>
      <w:r>
        <w:rPr>
          <w:noProof/>
        </w:rPr>
        <w:t xml:space="preserve">Măsura 4 – Îmbunătățirea exactității NIF-urilor raportate. · </w:t>
      </w:r>
    </w:p>
    <w:p>
      <w:pPr>
        <w:pStyle w:val="ListBullet"/>
        <w:rPr>
          <w:rFonts w:eastAsia="Arial Unicode MS"/>
          <w:noProof/>
        </w:rPr>
      </w:pPr>
      <w:r>
        <w:rPr>
          <w:noProof/>
        </w:rPr>
        <w:t xml:space="preserve">Măsura 5 – Îmbunătățirea exhaustivității informațiilor schimbate în temeiul DAC1 (anumite categorii de venituri și de capital). </w:t>
      </w:r>
    </w:p>
    <w:p>
      <w:pPr>
        <w:pBdr>
          <w:top w:val="nil"/>
          <w:left w:val="nil"/>
          <w:bottom w:val="nil"/>
          <w:right w:val="nil"/>
          <w:between w:val="nil"/>
          <w:bar w:val="nil"/>
        </w:pBdr>
        <w:spacing w:before="0" w:after="240"/>
        <w:rPr>
          <w:rFonts w:eastAsia="Arial Unicode MS"/>
          <w:noProof/>
          <w:szCs w:val="24"/>
        </w:rPr>
      </w:pPr>
      <w:r>
        <w:rPr>
          <w:noProof/>
        </w:rPr>
        <w:t xml:space="preserve">Opțiunea preferată este un pachet combinat de măsuri legislative specifice, însoțit de orientări pentru anumite dispoziții. Ea include următoarele opțiuni în cadrul fiecărei măsuri: </w:t>
      </w:r>
    </w:p>
    <w:p>
      <w:pPr>
        <w:pStyle w:val="ListBullet"/>
        <w:rPr>
          <w:rFonts w:eastAsia="Arial Unicode MS"/>
          <w:noProof/>
        </w:rPr>
      </w:pPr>
      <w:r>
        <w:rPr>
          <w:noProof/>
        </w:rPr>
        <w:t xml:space="preserve">Excluderea tuturor întreprinderilor care intră în domeniul de aplicare al Directivei privind pilonul 2 de la raportarea în temeiul DAC6; perfecționarea raportării în temeiul DAC6 prin eliminarea semnelor distinctive cu valoare adăugată limitată (categoria A); emiterea de orientări privind aplicarea MBT la restul semnelor distinctive care fac obiectul testului (măsura 1). </w:t>
      </w:r>
    </w:p>
    <w:p>
      <w:pPr>
        <w:pStyle w:val="ListBullet"/>
        <w:rPr>
          <w:rFonts w:eastAsia="Arial Unicode MS"/>
          <w:noProof/>
        </w:rPr>
      </w:pPr>
      <w:r>
        <w:rPr>
          <w:noProof/>
        </w:rPr>
        <w:t xml:space="preserve">Ajustarea pragurilor prevăzute în DAC7 pentru raportarea vânzărilor online de mărfuri prin eliminarea pragului de activitate și creșterea pragului monetar la 3 000 EUR (măsura 2). </w:t>
      </w:r>
    </w:p>
    <w:p>
      <w:pPr>
        <w:pStyle w:val="ListBullet"/>
        <w:rPr>
          <w:rFonts w:eastAsia="Arial Unicode MS"/>
          <w:noProof/>
        </w:rPr>
      </w:pPr>
      <w:r>
        <w:rPr>
          <w:noProof/>
        </w:rPr>
        <w:t xml:space="preserve">Introducerea unei obligații unice de notificare care să acopere atât DAC4, cât și DAC9, inclusiv un termen armonizat de depunere, un model comun de notificare și depunerea centralizată (măsura 3). </w:t>
      </w:r>
    </w:p>
    <w:p>
      <w:pPr>
        <w:pStyle w:val="ListBullet"/>
        <w:rPr>
          <w:rFonts w:eastAsia="Arial Unicode MS"/>
          <w:noProof/>
        </w:rPr>
      </w:pPr>
      <w:r>
        <w:rPr>
          <w:noProof/>
        </w:rPr>
        <w:t xml:space="preserve">Introducerea unui sistem centralizat de verificare a NIF, accesibil atât administrațiilor fiscale ale statelor membre, cât și entităților raportoare (măsura 4). </w:t>
      </w:r>
    </w:p>
    <w:p>
      <w:pPr>
        <w:pStyle w:val="ListBullet"/>
        <w:rPr>
          <w:rFonts w:eastAsia="Arial Unicode MS"/>
          <w:noProof/>
        </w:rPr>
      </w:pPr>
      <w:r>
        <w:rPr>
          <w:noProof/>
        </w:rPr>
        <w:t xml:space="preserve">Eliminarea din DAC1 a categoriei de produse de asigurare de viață și impunerea obligației ca statele membre să facă schimb automat de informații aflate la dispoziția autorităților </w:t>
      </w:r>
      <w:r>
        <w:rPr>
          <w:noProof/>
        </w:rPr>
        <w:lastRenderedPageBreak/>
        <w:t xml:space="preserve">publice relevante de la nivel de stat cu privire la toate celelalte șase categorii de venituri și de capital (măsura 5). </w:t>
      </w:r>
    </w:p>
    <w:p>
      <w:pPr>
        <w:pBdr>
          <w:top w:val="nil"/>
          <w:left w:val="nil"/>
          <w:bottom w:val="nil"/>
          <w:right w:val="nil"/>
          <w:between w:val="nil"/>
          <w:bar w:val="nil"/>
        </w:pBdr>
        <w:spacing w:before="0" w:after="240"/>
        <w:rPr>
          <w:rFonts w:eastAsia="Arial Unicode MS"/>
          <w:noProof/>
        </w:rPr>
      </w:pPr>
      <w:r>
        <w:rPr>
          <w:noProof/>
        </w:rPr>
        <w:t xml:space="preserve">Pachetul de politici preferat oferă beneficii semnificative în materie de simplificare printr-un set de măsuri specifice, reducând costurile de asigurare a conformității și sarcinile administrative atât pentru întreprinderi, cât și pentru administrațiile fiscale. El elimină raportările cu valoare scăzută în temeiul DAC6 și DAC7, în cazul cărora obligațiile actuale generează costuri substanțiale pentru întreprinderi, costurile de asigurare a conformității cu DAC6 fiind estimate la aproximativ 340 de milioane EUR anual, iar costurile în temeiul DAC7 la aproximativ 452 de milioane EUR pe an. De asemenea, pachetul raționalizează obligațiile de notificare redundante în temeiul DAC4 și DAC9, reducând costurile de asigurare a conformității care, în caz contrar, ar putea ajunge până la 270 de milioane EUR anual. În paralel, au fost identificate măsuri de îmbunătățire a verificării NIF, de îmbunătățire a calității datelor și de creștere a ratelor de corelare automată, permițând o utilizare mai eficientă și automată a informațiilor partajate. Se preconizează că simplificarea cerințelor de raportare în temeiul DAC6 și DAC7 va aduce beneficii în special IMM-urilor și microîntreprinderilor, în cazul cărora costurile de asigurare a conformității sunt proporțional mai mari decât cele suportate de întreprinderile mari, în timp ce măsurile legate de DAC4 și DAC9 afectează în principal grupurile multinaționale mai mari. </w:t>
      </w:r>
    </w:p>
    <w:p>
      <w:pPr>
        <w:pBdr>
          <w:top w:val="nil"/>
          <w:left w:val="nil"/>
          <w:bottom w:val="nil"/>
          <w:right w:val="nil"/>
          <w:between w:val="nil"/>
          <w:bar w:val="nil"/>
        </w:pBdr>
        <w:spacing w:before="0" w:after="240"/>
        <w:rPr>
          <w:rFonts w:eastAsia="Arial Unicode MS"/>
          <w:noProof/>
          <w:szCs w:val="24"/>
        </w:rPr>
      </w:pPr>
      <w:r>
        <w:rPr>
          <w:noProof/>
        </w:rPr>
        <w:t>Se preconizează costuri de ajustare limitate pentru întreprinderi și administrații, legate în principal de adaptarea sistemelor și a procedurilor de raportare. Sistemul centralizat de verificare a NIF va implica costuri de ajustare la nivelul UE (aproximativ 1,0-1,8 milioane EUR pentru costurile unice și 1,8-2,4 milioane EUR pe an pentru costurile recurente) și la nivel național (aproximativ 15-25 milioane EUR pentru costurile unice și 4,5-12 milioane EUR pe an pentru costurile recurente). Având în vedere caracterul voluntar al măsurii pentru entitățile raportoare, deși se preconizează costuri inițiale, se preconizează că măsura va genera economii administrative nete în timp prin îmbunătățirea calității datelor, prin utilizarea informațiilor și prin reducerea eforturilor de corecție și validare, deși amploarea exactă a acestor efecte nu poate fi cuantificată în această etapă. Deși introducerea unui instrument de validare a NIF implică costuri inițiale și operaționale pentru toate părțile interesate, aceasta va genera, de asemenea, economii globale semnificative prin reducerea necesității unor proceduri de corecție ex post care necesită multe resurse, economii care pot fi cuantificate până la aproximativ 70 de milioane EUR pe an.</w:t>
      </w:r>
    </w:p>
    <w:p>
      <w:pPr>
        <w:pBdr>
          <w:top w:val="nil"/>
          <w:left w:val="nil"/>
          <w:bottom w:val="nil"/>
          <w:right w:val="nil"/>
          <w:between w:val="nil"/>
          <w:bar w:val="nil"/>
        </w:pBdr>
        <w:spacing w:before="0" w:after="240"/>
        <w:rPr>
          <w:rFonts w:eastAsia="Arial Unicode MS"/>
          <w:noProof/>
          <w:szCs w:val="24"/>
        </w:rPr>
      </w:pPr>
      <w:r>
        <w:rPr>
          <w:noProof/>
        </w:rPr>
        <w:t>În ansamblu, pachetul de politici preferat îmbunătățește eficiența, eficacitatea și proporționalitatea cadrului DAC, sprijinind în același timp un mediu de afaceri mai favorabil și sporind competitivitatea UE prin reducerea sarcinilor administrative și a costurilor aferente.</w:t>
      </w:r>
    </w:p>
    <w:p>
      <w:pPr>
        <w:pStyle w:val="ManualHeading2"/>
        <w:rPr>
          <w:noProof/>
          <w:u w:color="000000"/>
          <w:bdr w:val="nil"/>
        </w:rPr>
      </w:pPr>
      <w:bookmarkStart w:id="14" w:name="_Toc229742179"/>
      <w:r>
        <w:rPr>
          <w:noProof/>
          <w:u w:color="000000"/>
          <w:bdr w:val="nil"/>
        </w:rPr>
        <w:t>•</w:t>
      </w:r>
      <w:r>
        <w:rPr>
          <w:noProof/>
        </w:rPr>
        <w:tab/>
      </w:r>
      <w:r>
        <w:rPr>
          <w:noProof/>
          <w:u w:color="000000"/>
          <w:bdr w:val="nil"/>
        </w:rPr>
        <w:t>Adecvarea reglementărilor și simplificarea</w:t>
      </w:r>
      <w:bookmarkEnd w:id="14"/>
    </w:p>
    <w:p>
      <w:pPr>
        <w:pStyle w:val="Text2"/>
        <w:ind w:left="0"/>
        <w:rPr>
          <w:rFonts w:eastAsia="Arial Unicode MS"/>
          <w:noProof/>
        </w:rPr>
      </w:pPr>
      <w:r>
        <w:rPr>
          <w:noProof/>
        </w:rPr>
        <w:t xml:space="preserve">Propunerea contribuie la obiectivele de simplificare ale Uniunii și sprijină programul REFIT prin reducerea sarcinilor administrative inutile, îmbunătățind în același timp eficacitatea cadrului de cooperare administrativă. Propunerea simplifică în mod direct obligațiile de raportare existente și elimină notificările redundante. În special, eliminarea anumitor semne distinctive prevăzute în DAC6 și excluderea grupurilor de întreprinderi multinaționale care fac obiectul Directivei privind pilonul 2 elimină cerințele de raportare care generează o valoare operațională limitată pentru administrațiile fiscale. În mod similar, simplificarea pragurilor de raportare prevăzute în DAC7 reduce volumul rapoartelor asociate tranzacțiilor cu valoare scăzută, în timp ce introducerea notificărilor centralizate în sensul DAC4 și al DAC9 elimină actualele obligații de notificare redundante pentru grupurile de întreprinderi multinaționale. În același timp, introducerea unui nou sistem de verificare pentru NIF-uri, </w:t>
      </w:r>
      <w:r>
        <w:rPr>
          <w:noProof/>
        </w:rPr>
        <w:lastRenderedPageBreak/>
        <w:t xml:space="preserve">combinată cu îmbunătățiri în ceea ce privește exhaustivitatea cadrului DAC1, îmbunătățește eficiența DAC. Împreună, aceste măsuri simplifică procedurile de asigurare a conformității pentru întreprinderile și IMM-urile din UE și îmbunătățesc calitatea, exhaustivitatea și utilizarea informațiilor partajate de administrațiile fiscale. </w:t>
      </w:r>
    </w:p>
    <w:p>
      <w:pPr>
        <w:pStyle w:val="ManualHeading2"/>
        <w:rPr>
          <w:noProof/>
          <w:u w:color="000000"/>
          <w:bdr w:val="nil"/>
        </w:rPr>
      </w:pPr>
      <w:bookmarkStart w:id="15" w:name="_Toc229742180"/>
      <w:r>
        <w:rPr>
          <w:noProof/>
          <w:u w:color="000000"/>
          <w:bdr w:val="nil"/>
        </w:rPr>
        <w:t>•</w:t>
      </w:r>
      <w:r>
        <w:rPr>
          <w:noProof/>
        </w:rPr>
        <w:tab/>
      </w:r>
      <w:r>
        <w:rPr>
          <w:noProof/>
          <w:u w:color="000000"/>
          <w:bdr w:val="nil"/>
        </w:rPr>
        <w:t>Drepturile fundamentale</w:t>
      </w:r>
      <w:bookmarkEnd w:id="15"/>
    </w:p>
    <w:p>
      <w:pPr>
        <w:pBdr>
          <w:top w:val="nil"/>
          <w:left w:val="nil"/>
          <w:bottom w:val="nil"/>
          <w:right w:val="nil"/>
          <w:between w:val="nil"/>
          <w:bar w:val="nil"/>
        </w:pBdr>
        <w:spacing w:before="0" w:after="240"/>
        <w:rPr>
          <w:rFonts w:eastAsia="Arial Unicode MS"/>
          <w:noProof/>
        </w:rPr>
      </w:pPr>
      <w:r>
        <w:rPr>
          <w:noProof/>
        </w:rPr>
        <w:t>Prezenta propunere de directivă respectă drepturile fundamentale și se conformează principiilor recunoscute, în special, de Carta drepturilor fundamentale a Uniunii Europene. Setul de date care trebuie transmise administrațiilor fiscale este definit într-un mod care să surprindă doar minimul de date necesar pentru depistarea cazurilor neconforme de subraportare sau de neraportare, în conformitate cu obligațiile prevăzute de RGPD, în special cu principiul reducerii la minimum a datelor.</w:t>
      </w:r>
    </w:p>
    <w:p>
      <w:pPr>
        <w:pBdr>
          <w:top w:val="nil"/>
          <w:left w:val="nil"/>
          <w:bottom w:val="nil"/>
          <w:right w:val="nil"/>
          <w:between w:val="nil"/>
          <w:bar w:val="nil"/>
        </w:pBdr>
        <w:spacing w:before="0" w:after="240"/>
        <w:rPr>
          <w:rFonts w:eastAsia="Arial Unicode MS"/>
          <w:noProof/>
        </w:rPr>
      </w:pPr>
      <w:r>
        <w:rPr>
          <w:noProof/>
        </w:rPr>
        <w:t xml:space="preserve">Pentru a asigura alinierea deplină la Carta drepturilor fundamentale și pentru a respecta dreptul la apărare consacrat în aceasta, propunerea este aliniată la evoluțiile jurisprudenței Curții de Justiție. </w:t>
      </w:r>
      <w:r>
        <w:rPr>
          <w:noProof/>
          <w:color w:val="333333"/>
          <w:shd w:val="clear" w:color="auto" w:fill="FFFFFF"/>
        </w:rPr>
        <w:t xml:space="preserve">Având în vedere </w:t>
      </w:r>
      <w:r>
        <w:rPr>
          <w:noProof/>
          <w:shd w:val="clear" w:color="auto" w:fill="FFFFFF"/>
        </w:rPr>
        <w:t xml:space="preserve">hotărârea </w:t>
      </w:r>
      <w:r>
        <w:rPr>
          <w:noProof/>
          <w:color w:val="333333"/>
          <w:shd w:val="clear" w:color="auto" w:fill="FFFFFF"/>
        </w:rPr>
        <w:t xml:space="preserve">din 8 decembrie 2022 în cauza C-694/20, </w:t>
      </w:r>
      <w:r>
        <w:rPr>
          <w:i/>
          <w:noProof/>
          <w:color w:val="333333"/>
          <w:shd w:val="clear" w:color="auto" w:fill="FFFFFF"/>
        </w:rPr>
        <w:t>Orde van Vlaamse Balies și alții</w:t>
      </w:r>
      <w:r>
        <w:rPr>
          <w:rStyle w:val="FootnoteReference"/>
          <w:noProof/>
          <w:shd w:val="clear" w:color="auto" w:fill="FFFFFF"/>
        </w:rPr>
        <w:footnoteReference w:id="19"/>
      </w:r>
      <w:r>
        <w:rPr>
          <w:noProof/>
          <w:shd w:val="clear" w:color="auto" w:fill="FFFFFF"/>
        </w:rPr>
        <w:t xml:space="preserve">, și hotărârea din 29 iulie 2024 în cauza C-623/22, </w:t>
      </w:r>
      <w:r>
        <w:rPr>
          <w:i/>
          <w:noProof/>
          <w:shd w:val="clear" w:color="auto" w:fill="FFFFFF"/>
        </w:rPr>
        <w:t>Belgian Association of Tax Lawyers și alții</w:t>
      </w:r>
      <w:r>
        <w:rPr>
          <w:rStyle w:val="FootnoteReference"/>
          <w:i/>
          <w:iCs/>
          <w:noProof/>
        </w:rPr>
        <w:footnoteReference w:id="20"/>
      </w:r>
      <w:r>
        <w:rPr>
          <w:noProof/>
          <w:shd w:val="clear" w:color="auto" w:fill="FFFFFF"/>
        </w:rPr>
        <w:t xml:space="preserve">, termenul „privilegiu profesional legal” ar trebui înțeles ca aplicându-se numai avocaților și altor profesioniști care, la fel ca avocații, sunt autorizați din punct de vedere juridic să asigure reprezentarea juridică. </w:t>
      </w:r>
    </w:p>
    <w:p>
      <w:pPr>
        <w:pStyle w:val="ManualHeading1"/>
        <w:rPr>
          <w:noProof/>
        </w:rPr>
      </w:pPr>
      <w:bookmarkStart w:id="16" w:name="_Toc229742181"/>
      <w:r>
        <w:rPr>
          <w:noProof/>
        </w:rPr>
        <w:t>4.</w:t>
      </w:r>
      <w:r>
        <w:rPr>
          <w:noProof/>
        </w:rPr>
        <w:tab/>
        <w:t>IMPLICAȚII BUGETARE</w:t>
      </w:r>
      <w:bookmarkEnd w:id="16"/>
    </w:p>
    <w:p>
      <w:pPr>
        <w:pBdr>
          <w:top w:val="nil"/>
          <w:left w:val="nil"/>
          <w:bottom w:val="nil"/>
          <w:right w:val="nil"/>
          <w:between w:val="nil"/>
          <w:bar w:val="nil"/>
        </w:pBdr>
        <w:spacing w:before="0" w:after="240"/>
        <w:rPr>
          <w:rFonts w:eastAsia="Arial Unicode MS"/>
          <w:noProof/>
        </w:rPr>
      </w:pPr>
      <w:r>
        <w:rPr>
          <w:noProof/>
        </w:rPr>
        <w:t>Impactul estimat asupra cheltuielilor și a personalului pentru 2028 și ulterior este adăugat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Bdr>
          <w:top w:val="nil"/>
          <w:left w:val="nil"/>
          <w:bottom w:val="nil"/>
          <w:right w:val="nil"/>
          <w:between w:val="nil"/>
          <w:bar w:val="nil"/>
        </w:pBdr>
        <w:spacing w:before="0" w:after="240"/>
        <w:rPr>
          <w:rFonts w:eastAsia="Arial Unicode MS"/>
          <w:noProof/>
        </w:rPr>
      </w:pPr>
      <w:r>
        <w:rPr>
          <w:noProof/>
        </w:rPr>
        <w:t xml:space="preserve">Costul punerii în aplicare a prezentei propuneri este estimat la 14,3 milioane EUR pentru perioada 2028-2034. Pentru mai multe detalii, a se vedea fișa financiară legislativă și digitală. </w:t>
      </w:r>
    </w:p>
    <w:p>
      <w:pPr>
        <w:pStyle w:val="ManualHeading1"/>
        <w:rPr>
          <w:noProof/>
        </w:rPr>
      </w:pPr>
      <w:bookmarkStart w:id="17" w:name="_Toc229742182"/>
      <w:r>
        <w:rPr>
          <w:noProof/>
        </w:rPr>
        <w:t>5.</w:t>
      </w:r>
      <w:r>
        <w:rPr>
          <w:noProof/>
        </w:rPr>
        <w:tab/>
        <w:t>ALTE ELEMENTE</w:t>
      </w:r>
      <w:bookmarkEnd w:id="17"/>
    </w:p>
    <w:p>
      <w:pPr>
        <w:pStyle w:val="ManualHeading2"/>
        <w:rPr>
          <w:noProof/>
          <w:u w:color="000000"/>
          <w:bdr w:val="nil"/>
        </w:rPr>
      </w:pPr>
      <w:bookmarkStart w:id="18" w:name="_Toc229742183"/>
      <w:r>
        <w:rPr>
          <w:noProof/>
          <w:u w:color="000000"/>
          <w:bdr w:val="nil"/>
        </w:rPr>
        <w:t>•</w:t>
      </w:r>
      <w:r>
        <w:rPr>
          <w:noProof/>
        </w:rPr>
        <w:tab/>
      </w:r>
      <w:r>
        <w:rPr>
          <w:noProof/>
          <w:u w:color="000000"/>
          <w:bdr w:val="nil"/>
        </w:rPr>
        <w:t>Planurile de punere în aplicare și măsurile de monitorizare, evaluare și raportare</w:t>
      </w:r>
      <w:bookmarkEnd w:id="18"/>
    </w:p>
    <w:p>
      <w:pPr>
        <w:pBdr>
          <w:top w:val="nil"/>
          <w:left w:val="nil"/>
          <w:bottom w:val="nil"/>
          <w:right w:val="nil"/>
          <w:between w:val="nil"/>
          <w:bar w:val="nil"/>
        </w:pBdr>
        <w:spacing w:before="0" w:after="240"/>
        <w:rPr>
          <w:rFonts w:eastAsia="Arial Unicode MS"/>
          <w:noProof/>
        </w:rPr>
      </w:pPr>
      <w:r>
        <w:rPr>
          <w:noProof/>
        </w:rPr>
        <w:t>Articolul 53 din propunere prevede că Comisia prezintă o dată la cinci ani un raport Parlamentului European și Consiliului cu privire la aplicarea directivei.</w:t>
      </w:r>
    </w:p>
    <w:p>
      <w:pPr>
        <w:pBdr>
          <w:top w:val="nil"/>
          <w:left w:val="nil"/>
          <w:bottom w:val="nil"/>
          <w:right w:val="nil"/>
          <w:between w:val="nil"/>
          <w:bar w:val="nil"/>
        </w:pBdr>
        <w:spacing w:before="0" w:after="240"/>
        <w:rPr>
          <w:rFonts w:eastAsia="Arial Unicode MS"/>
          <w:noProof/>
        </w:rPr>
      </w:pPr>
      <w:r>
        <w:rPr>
          <w:noProof/>
        </w:rPr>
        <w:t xml:space="preserve">În acest scop, statele membre ar trebui să comunice Comisiei orice informații pertinente necesare pentru evaluarea eficacității cooperării administrative prevăzute de directivă. De asemenea, fiecare stat membru monitorizează și evaluează, în ceea ce îl privește, eficacitatea cooperării administrative, inclusiv în ceea ce privește combaterea evaziunii fiscale și a evitării obligațiilor fiscale, și ar trebui să comunice Comisiei, o dată pe an, rezultatele evaluării sale, inclusiv instrumentele de măsurare a rezultatelor cooperării administrative. Condițiile și </w:t>
      </w:r>
      <w:r>
        <w:rPr>
          <w:noProof/>
        </w:rPr>
        <w:lastRenderedPageBreak/>
        <w:t>forma acestei evaluări anuale se adoptă de către Comisie prin intermediul unor acte de punere în aplicare.</w:t>
      </w:r>
    </w:p>
    <w:p>
      <w:pPr>
        <w:pStyle w:val="ManualHeading2"/>
        <w:rPr>
          <w:noProof/>
          <w:u w:color="000000"/>
          <w:bdr w:val="nil"/>
        </w:rPr>
      </w:pPr>
      <w:bookmarkStart w:id="19" w:name="_Toc229742184"/>
      <w:r>
        <w:rPr>
          <w:noProof/>
          <w:u w:color="000000"/>
          <w:bdr w:val="nil"/>
        </w:rPr>
        <w:t>•</w:t>
      </w:r>
      <w:r>
        <w:rPr>
          <w:noProof/>
        </w:rPr>
        <w:tab/>
      </w:r>
      <w:r>
        <w:rPr>
          <w:noProof/>
          <w:u w:color="000000"/>
          <w:bdr w:val="nil"/>
        </w:rPr>
        <w:t>Explicarea detaliată a dispozițiilor specifice ale propunerii</w:t>
      </w:r>
      <w:bookmarkEnd w:id="19"/>
    </w:p>
    <w:p>
      <w:pPr>
        <w:pBdr>
          <w:top w:val="nil"/>
          <w:left w:val="nil"/>
          <w:bottom w:val="nil"/>
          <w:right w:val="nil"/>
          <w:between w:val="nil"/>
          <w:bar w:val="nil"/>
        </w:pBdr>
        <w:spacing w:before="0" w:after="240"/>
        <w:rPr>
          <w:rFonts w:eastAsia="Arial Unicode MS"/>
          <w:noProof/>
        </w:rPr>
      </w:pPr>
      <w:r>
        <w:rPr>
          <w:noProof/>
        </w:rPr>
        <w:t>Majoritatea dispozițiilor propunerii rămân, în esență, neschimbate în comparație cu dispozițiile în vigoare în prezent. Ca urmare a exercițiului de reformare, în comparație cu dispozițiile în vigoare, articolele au fost reorganizate și renumerotate în propunere pentru a oferi claritate utilizatorului și pentru a sublinia importanța schimbului automat de informații. În plus, au fost eliminate toate dispozițiile privind schimburile punctuale și trimiterile la punerea în aplicare din fiecare articol care reglementează schimbul de informații, iar acestea din urmă au fost înlocuite cu o dispoziție generală care împuternicește Comisia să adopte acte de punere în aplicare pentru a facilita punerea în aplicare din punct de vedere tehnic (articolul 44 din propunere). Toate actele de punere în aplicare deja adoptate rămân în vigoare, iar modalitățile tehnice pentru schimburile deja existente nu se modifică. Principalele schimbări sunt prezentate în detaliu mai jos.</w:t>
      </w:r>
    </w:p>
    <w:p>
      <w:pPr>
        <w:pStyle w:val="ListNumberLevel2"/>
        <w:rPr>
          <w:rFonts w:eastAsia="Arial Unicode MS"/>
          <w:noProof/>
          <w:u w:val="single"/>
        </w:rPr>
      </w:pPr>
      <w:r>
        <w:rPr>
          <w:noProof/>
          <w:u w:val="single"/>
        </w:rPr>
        <w:t xml:space="preserve">Raportarea cu privire la modalitățile transfrontaliere potențial agresive </w:t>
      </w:r>
    </w:p>
    <w:p>
      <w:pPr>
        <w:pBdr>
          <w:top w:val="nil"/>
          <w:left w:val="nil"/>
          <w:bottom w:val="nil"/>
          <w:right w:val="nil"/>
          <w:between w:val="nil"/>
          <w:bar w:val="nil"/>
        </w:pBdr>
        <w:spacing w:after="240"/>
        <w:rPr>
          <w:rFonts w:eastAsia="Arial Unicode MS"/>
          <w:noProof/>
        </w:rPr>
      </w:pPr>
      <w:r>
        <w:rPr>
          <w:noProof/>
        </w:rPr>
        <w:t>Pentru a asigura proporționalitatea cadrului de raportare, promovând în același timp o aplicare mai coerentă a directivei în toate statele membre, au fost introduse mai multe modificări. În primul rând, la articolul 3 din propunere a fost inclusă o excepție de la cerințele de raportare pentru entitățile care fac obiectul Directivei privind pilonul 2, deoarece (a) se preconizează că impozitarea minimă de 15 % va neutraliza planificarea fiscală agresivă și (b) grupul de întreprinderi multinaționale care intră în domeniul de aplicare al Directivei privind pilonul 2 sunt deja vizate de o examinare atentă din partea echipelor de audit specifice din cadrul autorităților fiscale. Excepția este restrânsă și specifică și se aplică numai atunci când nu există beneficii acordate vreunui membru al grupului de întreprinderi multinaționale căruia îi aparține entitatea care ar permite o impozitare mai mică de 15 %. În al doilea rând, în conformitate cu hotărârea Curții de Justiție a Uniunii Europene (CJUE)</w:t>
      </w:r>
      <w:r>
        <w:rPr>
          <w:rStyle w:val="FootnoteReference"/>
          <w:rFonts w:eastAsia="Arial Unicode MS"/>
          <w:noProof/>
        </w:rPr>
        <w:footnoteReference w:id="21"/>
      </w:r>
      <w:r>
        <w:rPr>
          <w:noProof/>
        </w:rPr>
        <w:t>, definiția modalităților transfrontaliere care fac obiectul raportării a fost raționalizată și include în prezent numai modalitățile care pot fi puse în aplicare. Definiția contribuabilului relevant a fost, de asemenea, raționalizată pentru a include numai contribuabilul care începe să pună în aplicare modalitatea transfrontalieră care face obiectul raportării. În cele din urmă, ca urmare a modificărilor aduse anexei IV, au fost eliminate definițiile termenilor „modalitate comercializabilă” și „modalitate ad-hoc”.</w:t>
      </w:r>
    </w:p>
    <w:p>
      <w:pPr>
        <w:pBdr>
          <w:top w:val="nil"/>
          <w:left w:val="nil"/>
          <w:bottom w:val="nil"/>
          <w:right w:val="nil"/>
          <w:between w:val="nil"/>
          <w:bar w:val="nil"/>
        </w:pBdr>
        <w:spacing w:after="240"/>
        <w:rPr>
          <w:rFonts w:eastAsia="Arial Unicode MS"/>
          <w:noProof/>
        </w:rPr>
      </w:pPr>
      <w:r>
        <w:rPr>
          <w:noProof/>
        </w:rPr>
        <w:t>La articolul 8 din propunere, perioada de raportare a fost modificată în două moduri. În primul rând, calcularea perioadei de raportare începe acum atunci când a fost efectuată prima etapă a punerii în aplicare. Acest lucru trebuie înțeles ca măsuri concrete luate în punerea în aplicare a modalității, un act inițial verificabil, care reprezintă materializarea intenției de a pune în aplicare modalitatea, care face ca executarea modalității să fie ireversibilă sau obligatorie din punct de vedere juridic, cum ar fi semnarea contractelor care permit punerea în aplicare. A doua modificare se referă la prelungirea termenului de raportare de către intermediari de la 30 la 90 de zile, pentru a se asigura o mai bună calitate a informațiilor și exhaustivitatea acestora.</w:t>
      </w:r>
    </w:p>
    <w:p>
      <w:pPr>
        <w:pBdr>
          <w:top w:val="nil"/>
          <w:left w:val="nil"/>
          <w:bottom w:val="nil"/>
          <w:right w:val="nil"/>
          <w:between w:val="nil"/>
          <w:bar w:val="nil"/>
        </w:pBdr>
        <w:spacing w:after="240"/>
        <w:rPr>
          <w:rFonts w:eastAsia="Arial Unicode MS"/>
          <w:noProof/>
        </w:rPr>
      </w:pPr>
      <w:r>
        <w:rPr>
          <w:noProof/>
        </w:rPr>
        <w:t xml:space="preserve">În conformitate cu hotărârile recente ale CJUE, noțiunea de privilegiu profesional legal de la articolul 8 fost, de asemenea, actualizată. Termenul de privilegiu profesional legal ar trebui </w:t>
      </w:r>
      <w:r>
        <w:rPr>
          <w:noProof/>
        </w:rPr>
        <w:lastRenderedPageBreak/>
        <w:t>înțeles ca aplicându-se numai avocaților și altor profesioniști care, la fel ca avocații, sunt autorizați din punct de vedere juridic să asigure reprezentarea juridică. Prin urmare, statele membre ar trebui să prevadă derogarea de la depunerea informațiilor cu privire la o modalitate transfrontalieră care face obiectul raportării în cazul în care obligația de raportare ar încălca privilegiul profesional legal numai în ceea ce privește profesioniștii care, la fel ca avocații, sunt autorizați în temeiul dreptului intern să asigure reprezentarea juridică. În plus, avocații care își desfășoară activitățile profesionale sub unul dintre titlurile profesionale prevăzute la articolul 1 alineatul (2) litera (a) din Directiva 98/5, care acționează în calitate de intermediari, atunci când sunt scutiți de obligația de raportare ca urmare a privilegiului profesional legal, nu sunt obligați nici să notifice vreunui alt intermediar care nu este clientul lor obligațiile de raportare ale respectivului intermediar. Cu toate acestea, tuturor intermediarilor care sunt exonerați de obligația de raportare în temeiul privilegiului profesional legal ar trebui să le revină în continuare obligația de a-și notifica fără întârziere clientul cu privire la obligațiile de raportare care revin clientului respectiv. În schimb, altor profesioniști care pot fi de asemenea autorizați să asigure reprezentarea juridică, dar care nu își desfășoară activitățile profesionale sub unul dintre titlurile profesionale menționate la articolul 1 alineatul (2) litera (a) din Directiva 98/5, nu li se acordă privilegiul profesional legal, iar existența legăturii de consultare dintre intermediarul care notifică și clientul său ar trebui adusă la cunoștința intermediarului notificat (dacă există) și, în ultimă instanță, a autorităților statului membru.</w:t>
      </w:r>
    </w:p>
    <w:p>
      <w:pPr>
        <w:pBdr>
          <w:top w:val="nil"/>
          <w:left w:val="nil"/>
          <w:bottom w:val="nil"/>
          <w:right w:val="nil"/>
          <w:between w:val="nil"/>
          <w:bar w:val="nil"/>
        </w:pBdr>
        <w:spacing w:after="240"/>
        <w:rPr>
          <w:rFonts w:eastAsia="Arial Unicode MS"/>
          <w:noProof/>
        </w:rPr>
      </w:pPr>
      <w:r>
        <w:rPr>
          <w:noProof/>
        </w:rPr>
        <w:t>Propunerea clarifică, de asemenea, la articolul 8, faptul că rămâne necesară raportarea sistematică a informațiilor conform cărora o jurisdicție dintr-o țară terță este implicată în modalitatea care face obiectul raportării.</w:t>
      </w:r>
    </w:p>
    <w:p>
      <w:pPr>
        <w:pBdr>
          <w:top w:val="nil"/>
          <w:left w:val="nil"/>
          <w:bottom w:val="nil"/>
          <w:right w:val="nil"/>
          <w:between w:val="nil"/>
          <w:bar w:val="nil"/>
        </w:pBdr>
        <w:spacing w:after="240"/>
        <w:rPr>
          <w:rFonts w:eastAsia="Arial Unicode MS"/>
          <w:noProof/>
        </w:rPr>
      </w:pPr>
      <w:r>
        <w:rPr>
          <w:noProof/>
        </w:rPr>
        <w:t>În anexa IV, în conformitate cu obiectivul de reducere a sarcinii prin eliminarea obligațiilor de raportare care au o valoare scăzută pentru administrațiile fiscale, a fost eliminată categoria A de semne distinctive. În plus, în categoria C1 de semne distinctive, trimiterea la activitatea OCDE privind jurisdicțiile necooperante a fost înlocuită cu o trimitere la activitatea Grupului de lucru pentru Codul de conduită prin care statele membre evaluează în comun jurisdicțiile țărilor terțe în raport cu criterii stabilite pentru a le considera sau nu cooperante în scopuri fiscale.</w:t>
      </w:r>
    </w:p>
    <w:p>
      <w:pPr>
        <w:pBdr>
          <w:top w:val="nil"/>
          <w:left w:val="nil"/>
          <w:bottom w:val="nil"/>
          <w:right w:val="nil"/>
          <w:between w:val="nil"/>
          <w:bar w:val="nil"/>
        </w:pBdr>
        <w:spacing w:after="240"/>
        <w:rPr>
          <w:noProof/>
        </w:rPr>
      </w:pPr>
      <w:r>
        <w:rPr>
          <w:noProof/>
        </w:rPr>
        <w:t>Pentru a se asigura claritatea juridică și aplicarea consecventă, criteriile de fond aferente categoriei D2 de semne distinctive ar trebui dezvoltate în continuare prin intermediul unui act de punere în aplicare al Consiliului, care a fost inclus în propunere.</w:t>
      </w:r>
    </w:p>
    <w:p>
      <w:pPr>
        <w:pStyle w:val="ListNumberLevel2"/>
        <w:rPr>
          <w:rFonts w:eastAsia="Arial Unicode MS"/>
          <w:noProof/>
          <w:u w:val="single"/>
        </w:rPr>
      </w:pPr>
      <w:r>
        <w:rPr>
          <w:noProof/>
          <w:u w:val="single"/>
        </w:rPr>
        <w:t>Raportarea cu privire la vânzările pe platforme digitale</w:t>
      </w:r>
    </w:p>
    <w:p>
      <w:pPr>
        <w:pBdr>
          <w:top w:val="nil"/>
          <w:left w:val="nil"/>
          <w:bottom w:val="nil"/>
          <w:right w:val="nil"/>
          <w:between w:val="nil"/>
          <w:bar w:val="nil"/>
        </w:pBdr>
        <w:spacing w:after="240"/>
        <w:rPr>
          <w:rFonts w:eastAsia="Arial Unicode MS"/>
          <w:noProof/>
          <w:szCs w:val="24"/>
        </w:rPr>
      </w:pPr>
      <w:r>
        <w:rPr>
          <w:noProof/>
        </w:rPr>
        <w:t>În conformitate cu obiectivul de raționalizare a obligațiilor de raportare și de reducere a sarcinii administrative, pragurile pentru vânzările de mărfuri pe platforme digitale au fost ajustate. În anexa V secțiunea I punctul B.4, pragul de activitate pentru vânzările de mărfuri a fost eliminat, iar pragul monetar a fost majorat de la 2 000 la 3 000 EUR.</w:t>
      </w:r>
    </w:p>
    <w:p>
      <w:pPr>
        <w:pStyle w:val="ListNumberLevel2"/>
        <w:rPr>
          <w:rFonts w:eastAsia="Arial Unicode MS"/>
          <w:noProof/>
          <w:u w:val="single"/>
        </w:rPr>
      </w:pPr>
      <w:r>
        <w:rPr>
          <w:noProof/>
          <w:u w:val="single"/>
        </w:rPr>
        <w:t>Raționalizarea obligațiilor de notificare pentru raportarea pentru fiecare țară în parte și depunerea la nivel central a declarației privind impozitul suplimentar</w:t>
      </w:r>
    </w:p>
    <w:p>
      <w:pPr>
        <w:pBdr>
          <w:top w:val="nil"/>
          <w:left w:val="nil"/>
          <w:bottom w:val="nil"/>
          <w:right w:val="nil"/>
          <w:between w:val="nil"/>
          <w:bar w:val="nil"/>
        </w:pBdr>
        <w:spacing w:after="240"/>
        <w:rPr>
          <w:rFonts w:eastAsia="Arial Unicode MS"/>
          <w:noProof/>
        </w:rPr>
      </w:pPr>
      <w:r>
        <w:rPr>
          <w:noProof/>
        </w:rPr>
        <w:t xml:space="preserve">În prezent, fiecare entitate care face parte dintr-o întreprindere multinațională care face obiectul raportării pentru fiecare țară în parte (DAC4) și al raportării în temeiul DAC9 este obligată să notifice autorității sale fiscale, în temeiul ambelor seturi de norme, grupul din care face parte, precum și cine și până când depune raportul în numele său. În plus, cele două seturi de notificări au calendare diferite. Deși termenul pentru raportarea pentru fiecare țară în parte este stabilit pentru ultima zi a anului fiscal al grupului de întreprinderi multinaționale, </w:t>
      </w:r>
      <w:r>
        <w:rPr>
          <w:noProof/>
        </w:rPr>
        <w:lastRenderedPageBreak/>
        <w:t>nu a fost prevăzut un astfel de termen în sensul DAC9. Prin urmare, statele membre au pus în aplicare diferite obligații de notificare. Articolul 16 din propunere raționalizează aceste obligații și oferă grupului de întreprinderi multinaționale opțiunea de a depune o notificare pentru fiecare grup, atât în scopul raportării pentru fiecare țară în parte, cât și în scopul depunerii la nivel central a declarației privind impozitul suplimentar. Calendarul notificării se bazează pe calendarul raportării pentru fiecare țară în parte și se preconizează că va avea loc în ultima zi a anului fiscal al grupului de întreprinderi multinaționale. În plus, notificarea ar trebui efectuată pe baza unui model comun unic care urmează să fie adoptat de Comisie prin intermediul unui act de punere în aplicare. Notificarea depusă la o autoritate fiscală face ulterior obiectul schimburilor cu toate autoritățile fiscale relevante în termen de 3 luni de la termenul de depunere.</w:t>
      </w:r>
    </w:p>
    <w:p>
      <w:pPr>
        <w:pStyle w:val="ListNumberLevel2"/>
        <w:rPr>
          <w:rFonts w:eastAsia="Arial Unicode MS"/>
          <w:noProof/>
          <w:u w:val="single"/>
        </w:rPr>
      </w:pPr>
      <w:r>
        <w:rPr>
          <w:noProof/>
          <w:u w:val="single"/>
        </w:rPr>
        <w:t>Îmbunătățirea exactității numărului de identificare fiscală (NIF)</w:t>
      </w:r>
    </w:p>
    <w:p>
      <w:pPr>
        <w:pBdr>
          <w:top w:val="nil"/>
          <w:left w:val="nil"/>
          <w:bottom w:val="nil"/>
          <w:right w:val="nil"/>
          <w:between w:val="nil"/>
          <w:bar w:val="nil"/>
        </w:pBdr>
        <w:spacing w:after="240"/>
        <w:rPr>
          <w:rFonts w:eastAsia="Arial Unicode MS"/>
          <w:noProof/>
        </w:rPr>
      </w:pPr>
      <w:r>
        <w:rPr>
          <w:noProof/>
        </w:rPr>
        <w:t>Articolul 36 din propunere prevede elaborarea de către Comisie a unui nou instrument care să permită o verificare digitală și automată a corectitudinii NIF. Instrumentul va confirma dacă un NIF raportat corespunde contribuabilului raportat pe baza informațiilor de identificare furnizate sau va indica faptul că nu s-a putut stabili nicio corespondență. Parametrii tehnici ai acestui instrument vor fi adoptați prin intermediul unui act de punere în aplicare al Comisiei. Utilizarea instrumentului va fi obligatorie pentru administrațiile fiscale și opțională pentru entitățile raportoare. Aceasta va permite entităților raportoare care decid să utilizeze instrumentul să verifice numărul de identificare fiscală al contribuabililor înainte de a raporta informațiile autorității fiscale relevante. Atunci când numărul de identificare fiscală este verificat cu ajutorul instrumentului de verificare, colectarea și raportarea informațiilor de identificare suplimentare nu vor mai fi necesare, iar entitățile raportoare ar trebui doar să raporteze numele și numărul de identificare fiscală al contribuabilului. Acest lucru va reduce sarcinile de asigurare a conformității, menținând în același timp un nivel ridicat de calitate a datelor. Serviciile guvernamentale de verificare ale statelor membre sau serviciile echivalente ale UE sau atribuirea EUID în conformitate cu Directiva 2017/1132 permit identificarea unică și verificată a contribuabilului. Prin urmare, ele pot fi utilizate în locul NIF de către entitățile raportoare. În acest caz, entitățile raportoare trebuie să raporteze doar numele și identificatorul verificat, cum ar fi EUID, al contribuabilului în cauză.</w:t>
      </w:r>
    </w:p>
    <w:p>
      <w:pPr>
        <w:pStyle w:val="ListNumberLevel2"/>
        <w:rPr>
          <w:rFonts w:eastAsia="Arial Unicode MS"/>
          <w:noProof/>
          <w:u w:val="single"/>
        </w:rPr>
      </w:pPr>
      <w:r>
        <w:rPr>
          <w:noProof/>
          <w:u w:val="single"/>
        </w:rPr>
        <w:t xml:space="preserve">Îmbunătățirea exhaustivității informațiilor schimbate </w:t>
      </w:r>
    </w:p>
    <w:p>
      <w:pPr>
        <w:pBdr>
          <w:top w:val="nil"/>
          <w:left w:val="nil"/>
          <w:bottom w:val="nil"/>
          <w:right w:val="nil"/>
          <w:between w:val="nil"/>
          <w:bar w:val="nil"/>
        </w:pBdr>
        <w:spacing w:after="240"/>
        <w:rPr>
          <w:rFonts w:eastAsia="Arial Unicode MS"/>
          <w:noProof/>
        </w:rPr>
      </w:pPr>
      <w:r>
        <w:rPr>
          <w:noProof/>
        </w:rPr>
        <w:t xml:space="preserve">Articolele 3 și 4 din propunere includ mai multe modificări menite să asigure exhaustivitatea informațiilor. În primul rând, definiția „informațiilor disponibile” de la articolul 3 fost actualizată pentru a include nu numai informațiile disponibile în registrele autorităților fiscale, ci și informațiile care sunt disponibile în toate registrele și bazele de date ale autorităților statelor membre la nivelul administrației naționale. </w:t>
      </w:r>
    </w:p>
    <w:p>
      <w:pPr>
        <w:pBdr>
          <w:top w:val="nil"/>
          <w:left w:val="nil"/>
          <w:bottom w:val="nil"/>
          <w:right w:val="nil"/>
          <w:between w:val="nil"/>
          <w:bar w:val="nil"/>
        </w:pBdr>
        <w:spacing w:after="240"/>
        <w:rPr>
          <w:rFonts w:eastAsia="Arial Unicode MS"/>
          <w:noProof/>
        </w:rPr>
      </w:pPr>
      <w:r>
        <w:rPr>
          <w:noProof/>
        </w:rPr>
        <w:t xml:space="preserve">În paralel și în conformitate cu principiul „doar o singură dată”, pentru a facilita îndeplinirea obligațiilor prevăzute la articolul 4, propunerea oferă temeiul juridic pentru ca autoritățile fiscale să aibă acces la informațiile relevante deținute de alte autorități publice la nivel național. În special, pe baza progreselor înregistrate în cadrul UE privind combaterea spălării banilor, propunerea îmbunătățește accesul autorităților fiscale la registrele instituite în temeiul legislației privind combaterea spălării banilor, în special la noul registru interconectat privind bunurile imobile. Accesul la acest punct unic de acces pentru bunuri imobile va permite autorităților fiscale să obțină informații complete privind beneficiarii reali ai bunurilor imobile și să facă schimb de astfel de informații cu alte state membre, în temeiul articolului 4. În plus, articolul 39 oferă temeiul juridic pentru accesul autorităților fiscale la registrele de pensii care sunt deținute la nivel național. </w:t>
      </w:r>
    </w:p>
    <w:p>
      <w:pPr>
        <w:pBdr>
          <w:top w:val="nil"/>
          <w:left w:val="nil"/>
          <w:bottom w:val="nil"/>
          <w:right w:val="nil"/>
          <w:between w:val="nil"/>
          <w:bar w:val="nil"/>
        </w:pBdr>
        <w:spacing w:after="240"/>
        <w:rPr>
          <w:rFonts w:eastAsia="Arial Unicode MS"/>
          <w:noProof/>
        </w:rPr>
      </w:pPr>
      <w:r>
        <w:rPr>
          <w:noProof/>
        </w:rPr>
        <w:lastRenderedPageBreak/>
        <w:t xml:space="preserve">La articolul 4 a fost eliminată categoria de venituri și active de tipul produselor de asigurări de viață, deoarece doar un număr limitat de state membre fac schimb de informații în cadrul acestei categorii și, în plus, există un grad semnificativ de duplicare a raportării cu raportarea în cadrul schimbului obligatoriu de informații financiare. </w:t>
      </w:r>
    </w:p>
    <w:p>
      <w:pPr>
        <w:pBdr>
          <w:top w:val="nil"/>
          <w:left w:val="nil"/>
          <w:bottom w:val="nil"/>
          <w:right w:val="nil"/>
          <w:between w:val="nil"/>
          <w:bar w:val="nil"/>
        </w:pBdr>
        <w:spacing w:after="240"/>
        <w:rPr>
          <w:rFonts w:eastAsia="Arial Unicode MS"/>
          <w:noProof/>
        </w:rPr>
      </w:pPr>
      <w:r>
        <w:rPr>
          <w:noProof/>
        </w:rPr>
        <w:t>Schimbul de informații privind beneficiarii reali a fost inclus pentru bunurile imobile, în conformitate cu cele mai recente evoluții la nivelul OCDE.</w:t>
      </w:r>
    </w:p>
    <w:p>
      <w:pPr>
        <w:pBdr>
          <w:top w:val="nil"/>
          <w:left w:val="nil"/>
          <w:bottom w:val="nil"/>
          <w:right w:val="nil"/>
          <w:between w:val="nil"/>
          <w:bar w:val="nil"/>
        </w:pBdr>
        <w:spacing w:after="240"/>
        <w:rPr>
          <w:rFonts w:eastAsia="Arial Unicode MS"/>
          <w:noProof/>
        </w:rPr>
      </w:pPr>
      <w:r>
        <w:rPr>
          <w:noProof/>
        </w:rPr>
        <w:t>Odată cu eliminarea categoriei produselor de asigurări de viață, rămân șase categorii de venituri și active și toate cele șase categorii ar trebui să facă obiectul schimburilor în mod obligatoriu, cu condiția ca informațiile să fie disponibile în cadrul conceptului revizuit.</w:t>
      </w:r>
    </w:p>
    <w:p>
      <w:pPr>
        <w:pStyle w:val="ListNumberLevel2"/>
        <w:rPr>
          <w:rFonts w:eastAsia="Arial Unicode MS"/>
          <w:noProof/>
          <w:u w:val="single"/>
        </w:rPr>
      </w:pPr>
      <w:r>
        <w:rPr>
          <w:noProof/>
          <w:u w:val="single"/>
        </w:rPr>
        <w:t>Îmbunătățiri și actualizări suplimentare ale textului juridic</w:t>
      </w:r>
    </w:p>
    <w:p>
      <w:pPr>
        <w:rPr>
          <w:rFonts w:eastAsia="Arial Unicode MS"/>
          <w:noProof/>
        </w:rPr>
      </w:pPr>
      <w:r>
        <w:rPr>
          <w:noProof/>
        </w:rPr>
        <w:t>Propunerea include, de asemenea, unele modificări și clarificări suplimentare. Modelul de raportare pentru raportul pentru fiecare țară în parte din anexa III și declarația privind impozitul suplimentar din anexa VII au fost eliminate din directivă și înlocuite cu o trimitere la un model adoptat prin acte de punere în aplicare. De fapt, aceste acte de punere în aplicare au fost deja adoptate</w:t>
      </w:r>
      <w:r>
        <w:rPr>
          <w:rStyle w:val="FootnoteReference"/>
          <w:rFonts w:eastAsia="Arial Unicode MS"/>
          <w:noProof/>
        </w:rPr>
        <w:footnoteReference w:id="22"/>
      </w:r>
      <w:r>
        <w:rPr>
          <w:rStyle w:val="FootnoteReference"/>
          <w:rFonts w:eastAsia="Arial Unicode MS"/>
          <w:noProof/>
        </w:rPr>
        <w:t xml:space="preserve"> </w:t>
      </w:r>
      <w:r>
        <w:rPr>
          <w:noProof/>
        </w:rPr>
        <w:t>și nu se preconizează că se vor modifica, cu excepția cazului în care există o modificare convenită la nivelul OCDE care ar necesita adaptări pentru a menține alinierea și a asigura un standard global unic de raportare.</w:t>
      </w:r>
    </w:p>
    <w:p>
      <w:pPr>
        <w:rPr>
          <w:rFonts w:eastAsia="Arial Unicode MS"/>
          <w:noProof/>
        </w:rPr>
      </w:pPr>
      <w:r>
        <w:rPr>
          <w:noProof/>
        </w:rPr>
        <w:t xml:space="preserve">Propunerea oferă autorităților fiscale posibilități sporite de a aborda problema platformelor digitale neconforme din țări terțe. </w:t>
      </w:r>
      <w:bookmarkStart w:id="20" w:name="_Hlk230105816"/>
      <w:r>
        <w:rPr>
          <w:noProof/>
        </w:rPr>
        <w:t>Anexa V secțiunea IV punctul F7 clarifică situațiile în care autoritățile fiscale ar trebui să aplice sancțiuni platformelor digitale neconforme din țări terțe, în timp ce punctul F8 consolidează cooperarea dintre autoritățile fiscale cu privire la cazurile de neconformitate a platformelor digitale din țări terțe. În plus, articolul 25 oferă autorităților fiscale posibilitatea de a efectua controale simultane ale operatorilor platformelor din țări terțe care nu respectă normele.</w:t>
      </w:r>
    </w:p>
    <w:bookmarkEnd w:id="20"/>
    <w:p>
      <w:pPr>
        <w:rPr>
          <w:noProof/>
        </w:rPr>
      </w:pPr>
      <w:r>
        <w:rPr>
          <w:noProof/>
        </w:rPr>
        <w:t xml:space="preserve">Au fost efectuate mai multe modificări cu privire la utilizarea și prelucrarea informațiilor. În primul rând, statele membre sunt obligate să partajeze anual statistici privind volumul schimburilor automate cu institutele lor naționale de statistică, pentru a permite calcule oficiale la nivel național și european (articolul 46). În plus, statele membre furnizează anual autorității lor statistice naționale toate informațiile primite cu privire la raportarea pentru fiecare țară în parte. La articolul 28 a fost introdusă o clarificare potrivit căreia statele membre pot oferi feedback cu privire la informațiile primite, de mai multe ori pe an, dacă este necesar. Articolul 48 impune statelor membre să raporteze, de asemenea, cu privire la instrumentele de măsurare a rezultatelor cooperării administrative (indicatori-cheie de performanță) în procesul de monitorizare și evaluare a funcționării directivei. Acest lucru va asigura faptul că Comisia va dispune de date de o mai bună calitate pentru a efectua evaluarea directivei. În cele din urmă, la articolul 49 fost adăugată posibilitatea publicării de către Comisie a unor rapoarte </w:t>
      </w:r>
      <w:r>
        <w:rPr>
          <w:noProof/>
        </w:rPr>
        <w:lastRenderedPageBreak/>
        <w:t>privind utilizarea informațiilor schimbate, precum și a unor rezumate anuale anonimizate ale datelor statistice furnizate de statele membre.</w:t>
      </w:r>
    </w:p>
    <w:p>
      <w:pPr>
        <w:rPr>
          <w:noProof/>
        </w:rPr>
        <w:sectPr>
          <w:headerReference w:type="even" r:id="rId15"/>
          <w:footerReference w:type="even" r:id="rId16"/>
          <w:footerReference w:type="default" r:id="rId17"/>
          <w:headerReference w:type="first" r:id="rId18"/>
          <w:footerReference w:type="first" r:id="rId19"/>
          <w:pgSz w:w="11906" w:h="16838"/>
          <w:pgMar w:top="1134" w:right="1418" w:bottom="1134" w:left="1418" w:header="709" w:footer="709" w:gutter="0"/>
          <w:pgNumType w:start="1"/>
          <w:cols w:space="709"/>
          <w:docGrid w:linePitch="326"/>
        </w:sect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Rfrenceinterinstitutionnelle"/>
        <w:rPr>
          <w:noProof/>
        </w:rPr>
      </w:pPr>
      <w:r>
        <w:rPr>
          <w:noProof/>
        </w:rPr>
        <w:t>2026/0168 (CNS)</w:t>
      </w:r>
    </w:p>
    <w:p>
      <w:pPr>
        <w:pStyle w:val="Statut"/>
        <w:rPr>
          <w:noProof/>
        </w:rPr>
      </w:pPr>
      <w:r>
        <w:rPr>
          <w:noProof/>
        </w:rPr>
        <w:t>Propunere de</w:t>
      </w:r>
    </w:p>
    <w:p>
      <w:pPr>
        <w:pStyle w:val="Typedudocument"/>
        <w:rPr>
          <w:noProof/>
        </w:rPr>
      </w:pPr>
      <w:r>
        <w:rPr>
          <w:noProof/>
        </w:rPr>
        <w:t>DIRECTIVĂ A CONSILIULUI</w:t>
      </w:r>
    </w:p>
    <w:p>
      <w:pPr>
        <w:pStyle w:val="Titreobjet"/>
        <w:rPr>
          <w:noProof/>
        </w:rPr>
      </w:pPr>
      <w:r>
        <w:rPr>
          <w:noProof/>
        </w:rPr>
        <w:t>privind cooperarea administrativă în domeniul fiscal (reformare)</w:t>
      </w:r>
    </w:p>
    <w:p>
      <w:pPr>
        <w:pStyle w:val="Institutionquiagit"/>
        <w:rPr>
          <w:noProof/>
        </w:rPr>
      </w:pPr>
      <w:r>
        <w:rPr>
          <w:noProof/>
        </w:rPr>
        <w:t>CONSILIUL UNIUNII EUROPENE,</w:t>
      </w:r>
    </w:p>
    <w:p>
      <w:pPr>
        <w:rPr>
          <w:noProof/>
        </w:rPr>
      </w:pPr>
      <w:r>
        <w:rPr>
          <w:noProof/>
        </w:rPr>
        <w:t>având în vedere Tratatul privind funcționarea Uniunii Europene, în special articolele 113 și 115,</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Parlamentului European</w:t>
      </w:r>
      <w:r>
        <w:rPr>
          <w:rStyle w:val="FootnoteReference"/>
          <w:noProof/>
        </w:rPr>
        <w:footnoteReference w:id="23"/>
      </w:r>
      <w:r>
        <w:rPr>
          <w:noProof/>
        </w:rPr>
        <w:t>,</w:t>
      </w:r>
    </w:p>
    <w:p>
      <w:pPr>
        <w:rPr>
          <w:noProof/>
        </w:rPr>
      </w:pPr>
      <w:r>
        <w:rPr>
          <w:noProof/>
        </w:rPr>
        <w:t>având în vedere avizul Comitetului Economic și Social European</w:t>
      </w:r>
      <w:r>
        <w:rPr>
          <w:rStyle w:val="FootnoteReference"/>
          <w:noProof/>
        </w:rPr>
        <w:footnoteReference w:id="24"/>
      </w:r>
      <w:r>
        <w:rPr>
          <w:noProof/>
        </w:rPr>
        <w:t>,</w:t>
      </w:r>
    </w:p>
    <w:p>
      <w:pPr>
        <w:rPr>
          <w:noProof/>
        </w:rPr>
      </w:pPr>
      <w:r>
        <w:rPr>
          <w:noProof/>
        </w:rPr>
        <w:t>hotărând în conformitate cu o procedură legislativă specială,</w:t>
      </w:r>
    </w:p>
    <w:p>
      <w:pPr>
        <w:rPr>
          <w:noProof/>
        </w:rPr>
      </w:pPr>
      <w:r>
        <w:rPr>
          <w:noProof/>
        </w:rPr>
        <w:t>întrucât: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bookmarkStart w:id="21" w:name="_Hlk220081693"/>
      <w:r>
        <w:rPr>
          <w:noProof/>
          <w:highlight w:val="lightGray"/>
        </w:rPr>
        <w:t>(1)</w:t>
      </w:r>
      <w:r>
        <w:rPr>
          <w:noProof/>
          <w:highlight w:val="lightGray"/>
        </w:rPr>
        <w:tab/>
        <w:t>Directiva 2011/16/UE a Consiliului</w:t>
      </w:r>
      <w:r>
        <w:rPr>
          <w:rStyle w:val="FootnoteReference"/>
          <w:noProof/>
          <w:highlight w:val="lightGray"/>
        </w:rPr>
        <w:footnoteReference w:id="25"/>
      </w:r>
      <w:r>
        <w:rPr>
          <w:noProof/>
          <w:highlight w:val="lightGray"/>
        </w:rPr>
        <w:t xml:space="preserve"> a fost modificată în mod substanțial de mai multe ori. Întrucât se impun noi modificări, este necesar, din motive de claritate, să se procedeze la reformarea directivei menționate.</w:t>
      </w:r>
    </w:p>
    <w:bookmarkEnd w:id="21"/>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considerentul 7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highlight w:val="lightGray"/>
        </w:rPr>
      </w:pPr>
      <w:r>
        <w:rPr>
          <w:noProof/>
        </w:rPr>
        <w:t>(2)</w:t>
      </w:r>
      <w:r>
        <w:rPr>
          <w:noProof/>
        </w:rPr>
        <w:tab/>
      </w:r>
      <w:r>
        <w:rPr>
          <w:noProof/>
          <w:shd w:val="clear" w:color="auto" w:fill="FFFFFF"/>
        </w:rPr>
        <w:t xml:space="preserve">Prezenta directivă </w:t>
      </w:r>
      <w:r>
        <w:rPr>
          <w:rStyle w:val="CRDeleted"/>
          <w:noProof/>
        </w:rPr>
        <w:t>se bazează pe realizările Directivei 77/799/CEE, însă</w:t>
      </w:r>
      <w:r>
        <w:rPr>
          <w:noProof/>
          <w:shd w:val="clear" w:color="auto" w:fill="FFFFFF"/>
        </w:rPr>
        <w:t xml:space="preserve"> prevede norme </w:t>
      </w:r>
      <w:r>
        <w:rPr>
          <w:rStyle w:val="CRDeleted"/>
          <w:noProof/>
        </w:rPr>
        <w:t>mai</w:t>
      </w:r>
      <w:r>
        <w:rPr>
          <w:noProof/>
          <w:shd w:val="clear" w:color="auto" w:fill="FFFFFF"/>
        </w:rPr>
        <w:t xml:space="preserve"> clare și </w:t>
      </w:r>
      <w:r>
        <w:rPr>
          <w:rStyle w:val="CRDeleted"/>
          <w:noProof/>
        </w:rPr>
        <w:t>mai</w:t>
      </w:r>
      <w:r>
        <w:rPr>
          <w:noProof/>
        </w:rPr>
        <w:t xml:space="preserve"> </w:t>
      </w:r>
      <w:r>
        <w:rPr>
          <w:noProof/>
          <w:shd w:val="clear" w:color="auto" w:fill="FFFFFF"/>
        </w:rPr>
        <w:t>precise care să reglementeze cooperarea administrativă dintre statele membre</w:t>
      </w:r>
      <w:r>
        <w:rPr>
          <w:rStyle w:val="CRRefonteDeleted"/>
          <w:noProof/>
          <w:highlight w:val="lightGray"/>
        </w:rPr>
        <w:t>, în cazul în care acest lucru este necesar,</w:t>
      </w:r>
      <w:r>
        <w:rPr>
          <w:noProof/>
        </w:rPr>
        <w:t xml:space="preserve"> </w:t>
      </w:r>
      <w:bookmarkStart w:id="22" w:name="_Hlk231243391"/>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pentru a le sprijini </w:t>
      </w:r>
      <w:r>
        <w:rPr>
          <w:noProof/>
          <w:highlight w:val="lightGray"/>
          <w:shd w:val="clear" w:color="auto" w:fill="FFFFFF"/>
        </w:rPr>
        <w:t xml:space="preserve">în </w:t>
      </w:r>
      <w:r>
        <w:rPr>
          <w:noProof/>
          <w:highlight w:val="lightGray"/>
        </w:rPr>
        <w:t>combaterea fraudei fiscale, a evaziunii fiscale și a evitării obligațiilor fiscale</w:t>
      </w:r>
      <w:bookmarkEnd w:id="22"/>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ManualConsidrant"/>
        <w:rPr>
          <w:noProof/>
          <w:szCs w:val="24"/>
        </w:rPr>
      </w:pPr>
      <w:r>
        <w:rPr>
          <w:noProof/>
        </w:rPr>
        <w:t>(3)</w:t>
      </w:r>
      <w:r>
        <w:rPr>
          <w:noProof/>
        </w:rPr>
        <w:tab/>
      </w:r>
      <w:r>
        <w:rPr>
          <w:rStyle w:val="CRRefonteDeleted"/>
          <w:noProof/>
          <w:highlight w:val="lightGray"/>
        </w:rPr>
        <w:t>în scopul de a institui, în special în ceea ce privește schimbul de informații, o sferă mai largă de cooperare administrativă între statele membre. Ar trebui, de asemenea, ca norme mai clare să facă posibilă în special includerea</w:t>
      </w:r>
      <w:r>
        <w:rPr>
          <w:noProof/>
        </w:rPr>
        <w:t xml:space="preserve"> </w:t>
      </w:r>
      <w:bookmarkStart w:id="23" w:name="_Hlk231243393"/>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Prezenta directivă ar trebui să se aplice taxelor și impozitelor directe și indirecte care nu sunt încă reglementate de </w:t>
      </w:r>
      <w:r>
        <w:rPr>
          <w:noProof/>
          <w:highlight w:val="lightGray"/>
        </w:rPr>
        <w:lastRenderedPageBreak/>
        <w:t>alte acte legislative ale Uniunii și</w:t>
      </w:r>
      <w:r>
        <w:rPr>
          <w:noProof/>
          <w:highlight w:val="lightGray"/>
          <w:shd w:val="clear" w:color="auto" w:fill="FFFFFF"/>
        </w:rPr>
        <w:t xml:space="preserve"> ar trebui să includă</w:t>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bookmarkEnd w:id="23"/>
      <w:r>
        <w:rPr>
          <w:noProof/>
          <w:shd w:val="clear" w:color="auto" w:fill="FFFFFF"/>
        </w:rPr>
        <w:t xml:space="preserve"> </w:t>
      </w:r>
      <w:r>
        <w:rPr>
          <w:rStyle w:val="CRMinorChangeDeleted"/>
          <w:noProof/>
          <w:shd w:val="clear" w:color="auto" w:fill="FFFFFF"/>
        </w:rPr>
        <w:t>tuturor persoanelor</w:t>
      </w:r>
      <w:r>
        <w:rPr>
          <w:noProof/>
          <w:shd w:val="clear" w:color="auto" w:fill="FFFFFF"/>
        </w:rPr>
        <w:t xml:space="preserve"> </w:t>
      </w:r>
      <w:r>
        <w:rPr>
          <w:rStyle w:val="CRMinorChangeAdded"/>
          <w:noProof/>
          <w:shd w:val="clear" w:color="auto" w:fill="FFFFFF"/>
        </w:rPr>
        <w:t>toate persoanele</w:t>
      </w:r>
      <w:r>
        <w:rPr>
          <w:noProof/>
          <w:shd w:val="clear" w:color="auto" w:fill="FFFFFF"/>
        </w:rPr>
        <w:t xml:space="preserve"> juridice și fizice din Uniune, ținând seama de gama tot mai largă de construcții juridice, inclusiv, dar fără a se limita la construcțiile tradiționale cum ar fi </w:t>
      </w:r>
      <w:r>
        <w:rPr>
          <w:rStyle w:val="CRDeleted"/>
          <w:noProof/>
          <w:shd w:val="clear" w:color="auto" w:fill="FFFFFF"/>
        </w:rPr>
        <w:t>trusturile</w:t>
      </w:r>
      <w:r>
        <w:rPr>
          <w:noProof/>
          <w:shd w:val="clear" w:color="auto" w:fill="FFFFF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shd w:val="clear" w:color="auto" w:fill="FFFFFF"/>
        </w:rPr>
        <w:t xml:space="preserve"> fiduciile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shd w:val="clear" w:color="auto" w:fill="FFFFFF"/>
        </w:rPr>
        <w:t>, fundațiile și fondurile de investiții, precum și orice nou instrument care poate fi instituit de către contribuabilii din statele membre</w:t>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highlight w:val="lightGray"/>
        </w:rPr>
        <w:t>(4)</w:t>
      </w:r>
      <w:r>
        <w:rPr>
          <w:noProof/>
          <w:highlight w:val="lightGray"/>
        </w:rPr>
        <w:tab/>
        <w:t>Pentru a menține proporționalitatea sarcinii asupra entităților raportoare, statele membre nu ar trebui să introducă sau să mențină obligații de raportare suplimentare disproporționate în domeniul reglementat de directivă, date fiind natura, domeniul de aplicare sau sarcina cumulativă a acestora, care pot afecta și compromite grav echilibrul dintre cerința imperativă de interes public și intruziunea în viața privată, prevăzut în prezenta directivă.</w:t>
      </w:r>
    </w:p>
    <w:p>
      <w:pPr>
        <w:pStyle w:val="ManualConsidrant"/>
        <w:rPr>
          <w:noProof/>
          <w:highlight w:val="lightGray"/>
        </w:rPr>
      </w:pPr>
      <w:r>
        <w:rPr>
          <w:noProof/>
          <w:highlight w:val="lightGray"/>
        </w:rPr>
        <w:t>(5)</w:t>
      </w:r>
      <w:r>
        <w:rPr>
          <w:noProof/>
          <w:highlight w:val="lightGray"/>
        </w:rPr>
        <w:tab/>
        <w:t>Statele membre nu ar trebui să fie scutite de schimbul automat de informații privind veniturile și capitalul, astfel cum se prevede la articolul 4, pentru simplul motiv că informațiile sunt deținute de o altă autoritate administrativă la nivel guvernamental din statul membru respectiv, alta decât administrația fiscală. Pentru a stabili condiții de concurență echitabile și pentru a se asigura că informațiile sunt de înaltă calitate și pot fi utilizate efectiv, informațiile care fac obiectul schimbului ar trebui să includă, de asemenea, informații deținute în registre și în baze de date de către o altă autoritate guvernamentală care acționează în numele statului, cu condiția ca acestea să fie incluse în lista categoriilor obligatorii pentru schimbul de informații privind veniturile și capitalul. În plus, pentru a se asigura accesul efectiv la informațiile respective, accesul ar trebui acordat prin mijloace electronice la informații în format digital, care ar trebui să poată fi citite automat și accesate, dacă este posibil, în conformitate cu procedurile de colectare și prelucrare a informațiilor din statul membru respectiv.</w:t>
      </w:r>
    </w:p>
    <w:p>
      <w:pPr>
        <w:pStyle w:val="ManualConsidrant"/>
        <w:rPr>
          <w:noProof/>
          <w:highlight w:val="lightGray"/>
        </w:rPr>
      </w:pPr>
      <w:r>
        <w:rPr>
          <w:noProof/>
          <w:highlight w:val="lightGray"/>
        </w:rPr>
        <w:t>(6)</w:t>
      </w:r>
      <w:r>
        <w:rPr>
          <w:noProof/>
          <w:highlight w:val="lightGray"/>
        </w:rPr>
        <w:tab/>
        <w:t xml:space="preserve">Cooperarea dintre statele membre în temeiul prezentei directive se bazează pe mijloace digitale de comunicare. Este esențial ca aceste mijloace să fie securizate și în concordanță cu progresele tehnologice. În plus, ar trebui permisă dezvoltarea de soluții practice de către Comisie în cooperare cu statele membre. </w:t>
      </w:r>
    </w:p>
    <w:p>
      <w:pPr>
        <w:pStyle w:val="ManualConsidrant"/>
        <w:rPr>
          <w:noProof/>
          <w:highlight w:val="lightGray"/>
        </w:rPr>
      </w:pPr>
      <w:r>
        <w:rPr>
          <w:noProof/>
          <w:highlight w:val="lightGray"/>
        </w:rPr>
        <w:t>(7)</w:t>
      </w:r>
      <w:r>
        <w:rPr>
          <w:noProof/>
          <w:highlight w:val="lightGray"/>
        </w:rPr>
        <w:tab/>
        <w:t xml:space="preserve">Normele Uniunii de punere în aplicare a acordurilor încheiate în cadrul Organizației pentru Cooperare și Dezvoltare Economică (OCDE) ar trebui să țină seama de cadrul elaborat de OCDE pentru a spori eficacitatea schimbului de informații și pentru a reduce sarcina administrativă. Ca principiu general, statele membre ar trebui să utilizeze comentariile și orientările convenite în cadrul OCDE ca sursă de ilustrare sau interpretare și pentru a asigura aplicarea consecventă în toate statele membre, în măsura în care documentele respective sunt compatibile cu dreptul Uniunii. </w:t>
      </w:r>
    </w:p>
    <w:p>
      <w:pPr>
        <w:ind w:left="709" w:hanging="709"/>
        <w:rPr>
          <w:noProof/>
          <w:highlight w:val="lightGray"/>
        </w:rPr>
      </w:pPr>
      <w:r>
        <w:rPr>
          <w:noProof/>
          <w:highlight w:val="lightGray"/>
        </w:rPr>
        <w:t>(8)</w:t>
      </w:r>
      <w:r>
        <w:rPr>
          <w:noProof/>
          <w:highlight w:val="lightGray"/>
        </w:rPr>
        <w:tab/>
        <w:t xml:space="preserve">Pe baza experienței dobândite în urma schimburilor efectuate în temeiul prezentei directive și a evoluțiilor internaționale în domeniul schimbului automat de informații, lista categoriilor obligatorii pentru schimbul de informații privind veniturile și proprietatea ar trebui revizuită. Veniturile din produse de asigurări de viață nu fac obiectul unui schimb pe scară largă și, într-o măsură semnificativă, sunt deja raportate și fac obiectul unui schimb automat ca informații privind conturile financiare și, prin urmare, nu mai este necesar ca această categorie de venituri și de capital să facă </w:t>
      </w:r>
      <w:r>
        <w:rPr>
          <w:noProof/>
          <w:highlight w:val="lightGray"/>
        </w:rPr>
        <w:lastRenderedPageBreak/>
        <w:t>obiectul schimbului. În plus, în cadrul OCDE</w:t>
      </w:r>
      <w:r>
        <w:rPr>
          <w:rStyle w:val="FootnoteReference"/>
          <w:noProof/>
          <w:highlight w:val="lightGray"/>
        </w:rPr>
        <w:footnoteReference w:id="26"/>
      </w:r>
      <w:r>
        <w:rPr>
          <w:noProof/>
          <w:highlight w:val="lightGray"/>
        </w:rPr>
        <w:t xml:space="preserve"> s-a convenit că schimbul de informații privind proprietatea asupra bunurilor imobile și veniturile din bunuri imobile ar trebui să includă informații privind beneficiarii reali. Prin urmare, este oportun să se îmbunătățească informațiile care fac deja obiectul schimbului în cadrul acestei categorii de venituri și de capital.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considerentul 9</w:t>
      </w:r>
    </w:p>
    <w:p>
      <w:pPr>
        <w:pStyle w:val="ManualConsidrant"/>
        <w:rPr>
          <w:noProof/>
        </w:rPr>
      </w:pPr>
      <w:r>
        <w:rPr>
          <w:noProof/>
        </w:rPr>
        <w:t>(9)</w:t>
      </w:r>
      <w:r>
        <w:rPr>
          <w:noProof/>
        </w:rPr>
        <w:tab/>
        <w:t>Statele membre ar trebui să impună Instituțiilor lor Financiare să aplice norme de raportare și de diligență fiscală incluse în prezenta directivă care să fie pe deplin compatibile cu cele prevăzute în Standardul comun de raportare elaborat de OCDE</w:t>
      </w:r>
      <w:bookmarkStart w:id="24" w:name="_Hlk231456996"/>
      <w:r>
        <w:rPr>
          <w:rStyle w:val="FootnoteReference"/>
          <w:noProof/>
        </w:rPr>
        <w:footnoteReference w:id="27"/>
      </w:r>
      <w:r>
        <w:rPr>
          <w:noProof/>
        </w:rPr>
        <w:t>.</w:t>
      </w:r>
      <w:bookmarkEnd w:id="24"/>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considerentul 10</w:t>
      </w:r>
    </w:p>
    <w:p>
      <w:pPr>
        <w:pStyle w:val="ManualConsidrant"/>
        <w:rPr>
          <w:noProof/>
        </w:rPr>
      </w:pPr>
      <w:r>
        <w:rPr>
          <w:noProof/>
        </w:rPr>
        <w:t>(10)</w:t>
      </w:r>
      <w:r>
        <w:rPr>
          <w:noProof/>
        </w:rPr>
        <w:tab/>
        <w:t>Categoriile de Instituții Financiare Raportoare și categoriile de Conturi care fac obiectul raportării, reglementate de prezenta directivă, sunt concepute pentru a limita posibilitățile contribuabililor de evitare a raportării prin transferuri de active către Instituții Financiare sau prin investiții în produse financiare care nu intră în domeniul de aplicare al prezentei directive. Cu toate acestea, anumite Instituții Financiare și conturi care prezintă un risc scăzut de a fi utilizate pentru evaziune fiscală ar trebui să fie excluse din domeniul de aplicare al prezentei directive. În general, în prezenta directivă nu ar trebui să fie incluse praguri, deoarece acestea ar putea fi eludate ușor prin divizarea conturilor între diferite Instituții Financiare. Informațiile financiare care trebuie să facă obiectul raportării și al schimbului ar trebui să se refere nu numai la totalitatea veniturilor relevante (dobânzi, dividende și tipuri similare de venituri), ci și la soldurile conturilor și la veniturile din vânzarea Activelor Financiare, scopul fiind acela de a aborda situațiile în care contribuabilul încearcă să ascundă capitaluri reprezentate de venituri sau active în cazul cărora s-a eludat impozitarea. Prin urmare, prelucrarea informațiilor în temeiul prezentei directive este necesară și proporțională în scopul de a permite administrațiilor fiscale ale statelor membre să identifice în mod corect și fără echivoc contribuabilii vizați, să își administreze și să asigure punerea în aplicare a legislației lor fiscale în situații transfrontaliere, să evalueze probabilitatea comiterii de evaziuni fiscale și să evite investigații suplimentare inutile.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2015/2376 considerentul 1 (adaptat)</w:t>
      </w:r>
    </w:p>
    <w:p>
      <w:pPr>
        <w:pStyle w:val="ManualConsidrant"/>
        <w:rPr>
          <w:noProof/>
        </w:rPr>
      </w:pPr>
      <w:r>
        <w:rPr>
          <w:noProof/>
        </w:rPr>
        <w:t>(11)</w:t>
      </w:r>
      <w:r>
        <w:rPr>
          <w:noProof/>
        </w:rPr>
        <w:tab/>
      </w:r>
      <w:r>
        <w:rPr>
          <w:rStyle w:val="CRRefonteDeleted"/>
          <w:noProof/>
          <w:highlight w:val="lightGray"/>
        </w:rPr>
        <w:t>Problemele generate de evaziunea fiscală la nivel transfrontalier, de planificarea fiscală agresivă și de concurența fiscală dăunătoare s-au agravat considerabil, devenind un subiect de preocupare major în Uniune și la nivel mondial. Erodarea bazei impozabile reduce considerabil veniturile fiscale naționale, ceea ce împiedică statele membre să aplice politici fiscale favorabile creșterii.</w:t>
      </w:r>
      <w:r>
        <w:rPr>
          <w:noProof/>
        </w:rPr>
        <w:t xml:space="preserve"> Emiterea deciziilor fiscale anticipate, care facilitează aplicarea consecventă și transparentă a legislației, este o practică comună inclusiv în Uniune. Oferind certitudine mediului de afaceri, clarificarea legislației fiscale în beneficiul contribuabililor poate încuraja investițiile și conformarea cu legislația și, prin urmare, poate contribui la obiectivul dezvoltării în continuare a pieței unice a Uniunii pe baza principiilor și a libertăților care stau la baza tratatelor. Totuși, deciziile privind structurile create în funcție de sistemul de impozitare au condus, în anumite cazuri, la un nivel scăzut de impozitare a unor venituri artificial de ridicate în țara care emite, modifică sau reînnoiește decizia fiscală anticipată și au cauzat reducerea artificială a veniturilor impozitate în orice alte țări implicate.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Un nivel înalt al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Deleted"/>
          <w:noProof/>
        </w:rPr>
        <w:t>Creșterea</w:t>
      </w:r>
      <w:r>
        <w:rPr>
          <w:noProof/>
        </w:rPr>
        <w:t xml:space="preserve"> transparenței este așadar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necesar</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Deleted"/>
          <w:noProof/>
        </w:rPr>
        <w:t>necesară de urgență. Pentru a atinge acest scop, instrumentele și mecanismele instituite de Directiva 2011/16/UE a Consiliului ar trebui consolidate.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2015/2376 considerentul 10</w:t>
      </w:r>
    </w:p>
    <w:p>
      <w:pPr>
        <w:pStyle w:val="ManualConsidrant"/>
        <w:rPr>
          <w:noProof/>
        </w:rPr>
      </w:pPr>
      <w:r>
        <w:rPr>
          <w:noProof/>
        </w:rPr>
        <w:t>(12)</w:t>
      </w:r>
      <w:r>
        <w:rPr>
          <w:noProof/>
        </w:rPr>
        <w:tab/>
        <w:t xml:space="preserve">Pentru a profita de beneficiile oferite de schimbul automat obligatoriu de informații privind deciziile fiscale anticipate cu aplicare transfrontalieră și acordurile prealabile privind prețul de transfer, informațiile ar trebui comunicate în cel mai scurt timp după emitere, modificare sau reînnoire și, prin urmare, ar trebui stabilite intervale regulate de comunicare a informațiilor. </w:t>
      </w:r>
      <w:r>
        <w:rPr>
          <w:rStyle w:val="CRRefonteDeleted"/>
          <w:noProof/>
          <w:highlight w:val="lightGray"/>
        </w:rPr>
        <w:t>Din aceleași motive este, de asemenea, necesar să se prevadă schimbul automat obligatoriu de decizii fiscale anticipate cu aplicare transfrontalieră și de acorduri prealabile privind prețul de transfer care au fost emise, modificate sau reînnoite într-o perioadă care a debutat cu cinci ani înaintea datei aplicării prezentei directive și care sunt încă valabile la 1 ianuarie 2014. Cu toate acestea, anumite persoane sau grupuri de persoane cu o cifră de afaceri netă anuală la nivel de grup de sub 40 000 000 EUR ar putea fi excluse, în anumite condiții, de la un astfel de schimb automat obligatoriu.</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2015/2376 considerentul 11</w:t>
      </w:r>
    </w:p>
    <w:p>
      <w:pPr>
        <w:pStyle w:val="ManualConsidrant"/>
        <w:rPr>
          <w:noProof/>
        </w:rPr>
      </w:pPr>
      <w:r>
        <w:rPr>
          <w:noProof/>
        </w:rPr>
        <w:t>(13)</w:t>
      </w:r>
      <w:r>
        <w:rPr>
          <w:noProof/>
        </w:rPr>
        <w:tab/>
        <w:t xml:space="preserve">Din motive de securitate juridică este oportun ca, în conformitate cu un set de condiții foarte stricte, să se excludă de la schimbul automat obligatoriu acordurile prealabile privind prețul de transfer bilaterale sau multilaterale cu țări terțe în conformitate cu cadrul tratatelor internaționale încheiate cu țările respective, în cazul în care dispozițiile respectivelor tratate nu permit divulgarea către o țară terță parte a informațiilor primite în temeiul respectivului tratat. Totuși, în astfel de cazuri ar trebui, în schimb, ca informațiile identificate la articolul </w:t>
      </w:r>
      <w:r>
        <w:rPr>
          <w:rStyle w:val="CRMinorChangeDeleted"/>
          <w:noProof/>
        </w:rPr>
        <w:t>9</w:t>
      </w:r>
      <w:r>
        <w:rPr>
          <w:noProof/>
        </w:rPr>
        <w:t xml:space="preserve"> </w:t>
      </w:r>
      <w:r>
        <w:rPr>
          <w:rStyle w:val="CRMinorChangeAdded"/>
          <w:noProof/>
        </w:rPr>
        <w:t>6</w:t>
      </w:r>
      <w:r>
        <w:rPr>
          <w:rStyle w:val="CRMinorChangeDeleted"/>
          <w:noProof/>
        </w:rPr>
        <w:t>alineatul (5)</w:t>
      </w:r>
      <w:r>
        <w:rPr>
          <w:noProof/>
        </w:rPr>
        <w:t xml:space="preserve"> referitoare la cererile care conduc la emiterea unor astfel de acorduri prealabile privind prețul de transfer bilaterale sau multilaterale să facă obiectul unui schimb de informații. Prin urmare, în </w:t>
      </w:r>
      <w:r>
        <w:rPr>
          <w:noProof/>
        </w:rPr>
        <w:lastRenderedPageBreak/>
        <w:t>astfel de cazuri, informațiile care urmează să fie comunicate ar trebui să includă o mențiune a faptului că sunt furnizate pe baza unei asemenea cereri.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33 (adaptat)</w:t>
      </w:r>
    </w:p>
    <w:p>
      <w:pPr>
        <w:pStyle w:val="CRReference"/>
        <w:rPr>
          <w:noProof/>
          <w:highlight w:val="lightGray"/>
          <w:shd w:val="clear" w:color="auto" w:fill="FFFFFF"/>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sz w:val="22"/>
        </w:rPr>
      </w:pPr>
      <w:r>
        <w:rPr>
          <w:noProof/>
          <w:shd w:val="clear" w:color="auto" w:fill="FFFFFF"/>
        </w:rPr>
        <w:t>(14)</w:t>
      </w:r>
      <w:r>
        <w:rPr>
          <w:noProof/>
        </w:rPr>
        <w:tab/>
      </w:r>
      <w:r>
        <w:rPr>
          <w:noProof/>
          <w:shd w:val="clear" w:color="auto" w:fill="FFFFFF"/>
        </w:rPr>
        <w:t xml:space="preserve">Deciziile fiscale anticipate cu aplicare transfrontalieră care stabilesc dacă o persoană este sau nu rezidentă în scopuri fiscale în statul membru care emite decizia ar trebui, de asemenea, să facă obiectul unui schimb automat. Cu toate acestea, </w:t>
      </w:r>
      <w:r>
        <w:rPr>
          <w:rStyle w:val="CRRefonteDeleted"/>
          <w:noProof/>
          <w:highlight w:val="lightGray"/>
        </w:rPr>
        <w:t>din motive de proporționalitate și pentru a reduce sarcina administrativă, unele forme comune de decizii fiscale anticipate cu aplicare transfrontalieră care pot include un element menit să stabilească dacă o persoană fizică este sau nu rezidentă în scopuri fiscale într-un stat membru, nu ar trebui, exclusiv din acest motiv, să facă obiectul schimbului de informații privind deciziile fiscale anticipate cu aplicare transfrontalieră</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noProof/>
          <w:highlight w:val="lightGray"/>
          <w:shd w:val="clear" w:color="auto" w:fill="FFFFFF"/>
        </w:rPr>
        <w:t>acesta nu ar trebui să fie singurul motiv al schimbului</w:t>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shd w:val="clear" w:color="auto" w:fill="FFFFFF"/>
        </w:rPr>
        <w:t xml:space="preserve">. Deciziile fiscale anticipate cu aplicare transfrontalieră privind impozitarea la sursă în ceea ce privește veniturile din muncă, remunerațiile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shd w:val="clear" w:color="auto" w:fill="FFFFFF"/>
        </w:rPr>
        <w:t xml:space="preserve"> și alte beneficii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shd w:val="clear" w:color="auto" w:fill="FFFFFF"/>
        </w:rPr>
        <w:t xml:space="preserve"> plătite administratorilor și altor persoane asimilate acestora și pensiile nerezidenților nu ar trebui să facă obiectul schimbului de informații, cu excepția cazului în care valoarea tranzacției sau a seriei de tranzacții aferente deciziei fiscale anticipate cu aplicare transfrontalieră depășește pragul.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2015/2376 considerentul 14</w:t>
      </w:r>
    </w:p>
    <w:p>
      <w:pPr>
        <w:pStyle w:val="ManualConsidrant"/>
        <w:rPr>
          <w:noProof/>
        </w:rPr>
      </w:pPr>
      <w:r>
        <w:rPr>
          <w:noProof/>
        </w:rPr>
        <w:t>(15)</w:t>
      </w:r>
      <w:r>
        <w:rPr>
          <w:noProof/>
        </w:rPr>
        <w:tab/>
        <w:t>Statele membre ar trebui să facă schimb de informații de bază, iar un set limitat de informații de bază ar trebui comunicate, de asemenea și Comisiei. Acest lucru ar trebui să permită Comisiei să monitorizeze și să evalueze în orice moment aplicarea efectivă a schimbului automat obligatoriu de informații privind deciziile fiscale anticipate cu aplicare transfrontalieră și acordurile prealabile privind prețul de transfer. Totuși, informațiile primite de Comisie nu ar trebui să fie utilizate în niciun alt scop. În plus, această comunicare nu ar scuti statele membre de obligațiile lor de a notifica toate ajutoarele de stat Comisiei.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2015/2376 considerentul 16 (adaptat)</w:t>
      </w:r>
    </w:p>
    <w:p>
      <w:pPr>
        <w:pStyle w:val="ManualConsidrant"/>
        <w:rPr>
          <w:noProof/>
        </w:rPr>
      </w:pPr>
      <w:r>
        <w:rPr>
          <w:noProof/>
        </w:rPr>
        <w:t>(16)</w:t>
      </w:r>
      <w:r>
        <w:rPr>
          <w:noProof/>
        </w:rPr>
        <w:tab/>
        <w:t xml:space="preserve">Atunci când este necesar, în urma etapei schimbului automat obligatoriu de informații în temeiul prezentei directive, un stat membru ar trebui să fie în măsură să se bazeze pe articolul </w:t>
      </w:r>
      <w:r>
        <w:rPr>
          <w:rStyle w:val="CRMinorChangeDeleted"/>
          <w:noProof/>
        </w:rPr>
        <w:t>5</w:t>
      </w:r>
      <w:r>
        <w:rPr>
          <w:noProof/>
        </w:rPr>
        <w:t xml:space="preserve"> </w:t>
      </w:r>
      <w:r>
        <w:rPr>
          <w:rStyle w:val="CRMinorChangeAdded"/>
          <w:noProof/>
        </w:rPr>
        <w:t>17</w:t>
      </w:r>
      <w:r>
        <w:rPr>
          <w:noProof/>
        </w:rPr>
        <w:t xml:space="preserve">din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directivă</w:t>
      </w:r>
      <w:r>
        <w:rPr>
          <w:noProof/>
        </w:rPr>
        <w:t xml:space="preserve"> </w:t>
      </w:r>
      <w:r>
        <w:rPr>
          <w:rStyle w:val="CRMinorChangeDeleted"/>
          <w:noProof/>
        </w:rPr>
        <w:t>Directiva</w:t>
      </w:r>
      <w:r>
        <w:rPr>
          <w:noProof/>
        </w:rPr>
        <w:t xml:space="preserve"> </w:t>
      </w:r>
      <w:r>
        <w:rPr>
          <w:rStyle w:val="CRDeleted"/>
          <w:noProof/>
        </w:rPr>
        <w:t>2011/16/UE</w:t>
      </w:r>
      <w:r>
        <w:rPr>
          <w:noProof/>
        </w:rPr>
        <w:t xml:space="preserve"> în ceea ce privește schimbul de informații la cerere pentru a obține informații suplimentare, inclusiv textul integral al deciziilor fiscale anticipate cu aplicare transfrontalieră sau al acordurilor prealabile privind prețul de transfer, de la statul membru care a emis astfel de decizii sau acorduri.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2016/881 considerentul 3</w:t>
      </w:r>
    </w:p>
    <w:p>
      <w:pPr>
        <w:pStyle w:val="ManualConsidrant"/>
        <w:rPr>
          <w:noProof/>
        </w:rPr>
      </w:pPr>
      <w:r>
        <w:rPr>
          <w:noProof/>
        </w:rPr>
        <w:t>(17)</w:t>
      </w:r>
      <w:r>
        <w:rPr>
          <w:noProof/>
        </w:rPr>
        <w:tab/>
        <w:t xml:space="preserve">Autoritățile fiscale din statele membre au nevoie de informații exhaustive și pertinente referitoare la grupurile de întreprinderi multinaționale în ceea ce privește structura lor, politica lor de stabilire a prețurilor de transfer și tranzacțiile lor interne în interiorul și </w:t>
      </w:r>
      <w:r>
        <w:rPr>
          <w:noProof/>
        </w:rPr>
        <w:lastRenderedPageBreak/>
        <w:t>în afara Uniunii. Aceste informații vor permite autorităților fiscale să reacționeze la practicile fiscale dăunătoare prin modificarea legislației sau prin efectuarea de evaluări adecvate ale riscurilor și de audituri fiscale corespunzătoare, precum și să observe dacă societățile adoptă practici care au ca rezultat transferul artificial de cantități importante de venituri către medii avantajoase din punct de vedere fiscal.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2016/881 considerentul 4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(18)</w:t>
      </w:r>
      <w:r>
        <w:rPr>
          <w:noProof/>
        </w:rPr>
        <w:tab/>
        <w:t>O mai mare transparență față de autoritățile fiscale ar putea avea ca efect încurajarea grupurilor de întreprinderi multinaționale să renunțe la anumite practici și să își plătească impozitele în mod echitabil în țara în care realizează profituri. Creșterea gradului de transparență pentru grupurile de întreprinderi multinaționale este, prin urmare, o parte importantă a măsurilor de combatere a erodării bazei impozabile și a transferului profiturilor.</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Cu toate acestea, pentru a utiliza în mod mai eficient resursele publice și a reduce sarcina administrativă pentru grupurile de întreprinderi multinaționale, obligația de raportare ar trebui să se aplice numai grupurilor de întreprinderi multinaționale al căror venit total consolidat depășește o anumită sumă</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în conformitate cu Raportul OCDE privind erodarea bazei impozabile și transferul profiturilor , acțiunea 13</w:t>
      </w:r>
      <w:r>
        <w:rPr>
          <w:rStyle w:val="FootnoteReference"/>
          <w:noProof/>
          <w:highlight w:val="lightGray"/>
        </w:rPr>
        <w:footnoteReference w:id="28"/>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2016/881 considerentul 7</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(19)</w:t>
      </w:r>
      <w:r>
        <w:rPr>
          <w:noProof/>
        </w:rPr>
        <w:tab/>
        <w:t xml:space="preserve">Pentru a utiliza în mod mai eficient resursele publice și a reduce sarcina administrativă pentru grupurile de întreprinderi multinaționale, obligația de raportare ar trebui să se aplice numai grupurilor de întreprinderi multinaționale al căror venit total consolidat depășește o anumită sumă.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Prezenta directivă ar trebui să garanteze că aceleași informații sunt colectate și puse la dispoziția administrațiilor fiscale în timp util în întreaga Uniune</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2016/881 considerentul 12</w:t>
      </w:r>
    </w:p>
    <w:p>
      <w:pPr>
        <w:pStyle w:val="ManualConsidrant"/>
        <w:rPr>
          <w:noProof/>
        </w:rPr>
      </w:pPr>
      <w:r>
        <w:rPr>
          <w:noProof/>
        </w:rPr>
        <w:t>(20)</w:t>
      </w:r>
      <w:r>
        <w:rPr>
          <w:noProof/>
        </w:rPr>
        <w:tab/>
        <w:t>Schimbul automat obligatoriu de rapoarte pentru fiecare țară în parte între statele membre ar trebui să includă, în fiecare caz, comunicarea unui set definit de informații de bază care ar urma să fie accesibile statelor membre în care, pe baza informațiilor din raportul pentru fiecare țară în parte, una sau mai multe entități ale grupului de întreprinderi multinaționale fie își au rezidența fiscală, fie sunt supuse impozitării pentru activitățile economice desfășurate prin intermediul unui sediu permanent al unui grup de întreprinderi multinaționale.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2018/822 considerentul 3</w:t>
      </w:r>
    </w:p>
    <w:p>
      <w:pPr>
        <w:pStyle w:val="ManualConsidrant"/>
        <w:rPr>
          <w:noProof/>
        </w:rPr>
      </w:pPr>
      <w:r>
        <w:rPr>
          <w:noProof/>
        </w:rPr>
        <w:t>(21)</w:t>
      </w:r>
      <w:r>
        <w:rPr>
          <w:noProof/>
        </w:rPr>
        <w:tab/>
        <w:t>Având în vedere că majoritatea modalităților de planificare fiscală potențial agresivă traversează mai multe jurisdicții, comunicarea de informații cu privire la aceste modalități ar duce la rezultate pozitive suplimentare dacă informațiile respective ar fi de asemenea împărtășite între statele membre. În special, schimbul automat de informații între autoritățile fiscale este esențial pentru a pune la dispoziția acestor autorități informațiile care le sunt necesare pentru a putea lua măsuri în cazul în care observă practici fiscale agresive.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2018/822 considerentul 6 (adaptat)</w:t>
      </w:r>
    </w:p>
    <w:p>
      <w:pPr>
        <w:pStyle w:val="ManualConsidrant"/>
        <w:rPr>
          <w:noProof/>
        </w:rPr>
      </w:pPr>
      <w:r>
        <w:rPr>
          <w:noProof/>
        </w:rPr>
        <w:t>(22)</w:t>
      </w:r>
      <w:r>
        <w:rPr>
          <w:noProof/>
        </w:rPr>
        <w:tab/>
        <w:t xml:space="preserve">Raportarea informațiilor referitoare la modalitățile transfrontaliere de planificare fiscală potențial agresivă poate contribui în mod eficace la eforturile de creare a unui mediu de fiscalitate echitabilă în cadrul pieței interne. În acest context, </w:t>
      </w:r>
      <w:bookmarkStart w:id="25" w:name="_Hlk228364080"/>
      <w:r>
        <w:rPr>
          <w:rStyle w:val="CRDeleted"/>
          <w:noProof/>
        </w:rPr>
        <w:t xml:space="preserve">a impune </w:t>
      </w:r>
      <w:bookmarkEnd w:id="25"/>
      <w:r>
        <w:rPr>
          <w:noProof/>
        </w:rPr>
        <w:t xml:space="preserve">intermediarilor </w:t>
      </w:r>
      <w:r>
        <w:rPr>
          <w:rStyle w:val="CRDeleted"/>
          <w:noProof/>
        </w:rPr>
        <w:t>obligația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ar trebui să li se impună obligația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de a informa autoritățile fiscale cu privire la anumite modalități transfrontaliere care ar putea fi utilizate în scopul planificării fiscale agresive</w:t>
      </w:r>
      <w:r>
        <w:rPr>
          <w:rStyle w:val="CRRefonteDeleted"/>
          <w:noProof/>
          <w:highlight w:val="lightGray"/>
        </w:rPr>
        <w:t>. ar constitui un pas în direcția cea bună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plus,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pentru a dezvolta o politică mai cuprinzătoare, ar fi de asemenea necesar ca un al doilea pas, după raportarea informațiilor, să fie împărtășirea de către autoritățile fiscale a acestor informații omologilor lor din alte state membre. </w:t>
      </w:r>
      <w:r>
        <w:rPr>
          <w:rStyle w:val="CRRefonteDeleted"/>
          <w:noProof/>
          <w:highlight w:val="lightGray"/>
        </w:rPr>
        <w:t>Aceste mecanisme ar trebui să sporească și eficacitatea SCR. În plus, ar fi esențial să se acorde acces Comisiei la un volum suficient de informații care să îi permită acesteia să monitorizeze buna funcționare a prezentei directive. Accesul Comisiei la informații nu exonerează un stat membru de obligația de a notifica toate ajutoarele de stat Comisiei.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2018/822 considerentul 8</w:t>
      </w:r>
    </w:p>
    <w:p>
      <w:pPr>
        <w:pStyle w:val="ManualConsidrant"/>
        <w:rPr>
          <w:noProof/>
        </w:rPr>
      </w:pPr>
      <w:r>
        <w:rPr>
          <w:noProof/>
        </w:rPr>
        <w:t>(23)</w:t>
      </w:r>
      <w:r>
        <w:rPr>
          <w:noProof/>
        </w:rPr>
        <w:tab/>
        <w:t>Pentru a asigura buna funcționare a pieței și pentru a preveni apariția de lacune în cadrul normativ propus, obligația de raportare ar trebui impusă tuturor actorilor care sunt implicați de obicei în conceperea, comercializarea, organizarea sau gestionarea implementării unei tranzacții transfrontaliere care face obiectul raportării sau a unei serii de astfel de tranzacții, precum și asupra celor care oferă asistență sau consiliere. De asemenea, nu ar trebui pierdut din vedere faptul că, în anumite cazuri, obligația de raportare nu ar putea fi impusă unui intermediar din cauza unui privilegiu profesional legal sau în cazul în care nu există niciun intermediar deoarece, de exemplu, contribuabilul concepe și implementează singur o schemă. Așadar, ar fi esențial ca, în astfel de circumstanțe, autoritățile fiscale să nu piardă posibilitatea de a primi informații cu privire la modalitățile fiscale care este posibil să fie legate de planificarea fiscală agresivă. Prin urmare, ar fi necesar ca, în aceste cazuri, obligația de raportare să fie transferată asupra contribuabilului care beneficiază de modalitatea respectivă.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2018/822 considerentul 9</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(24)</w:t>
      </w:r>
      <w:r>
        <w:rPr>
          <w:noProof/>
        </w:rPr>
        <w:tab/>
      </w:r>
      <w:r>
        <w:rPr>
          <w:rStyle w:val="CRRefonteDeleted"/>
          <w:noProof/>
          <w:highlight w:val="lightGray"/>
        </w:rPr>
        <w:t xml:space="preserve">Modalitățile de planificare fiscală agresivă au evoluat de-a lungul anilor pentru a deveni mult mai complexe și sunt întotdeauna supuse unor modificări și adaptări </w:t>
      </w:r>
      <w:r>
        <w:rPr>
          <w:rStyle w:val="CRRefonteDeleted"/>
          <w:noProof/>
          <w:highlight w:val="lightGray"/>
        </w:rPr>
        <w:lastRenderedPageBreak/>
        <w:t>constante ca reacție la contramăsurile defensive luate de autoritățile fiscale. Având în vedere cele de mai sus, ar fi</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Mai degrabă decât să se definească modalități specifice de planificare fiscală, este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mai eficace să se încerce captarea modalităților de planificare fiscală potențial agresivă prin compilarea unei liste cu acele caracteristici și elemente ale tranzacțiilor care prezintă un puternic indiciu de evitare a obligațiilor fiscale sau de abuz fiscal, mai degrabă decât să se definească conceptul de planificare fiscală agresivă. Aceste indicii sunt denumite „semne distinctive”.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w:t>
      </w:r>
      <w:bookmarkStart w:id="26" w:name="_Hlk231577672"/>
      <w:r>
        <w:rPr>
          <w:noProof/>
        </w:rPr>
        <w:t xml:space="preserve">2018/822 </w:t>
      </w:r>
      <w:bookmarkEnd w:id="26"/>
      <w:r>
        <w:rPr>
          <w:noProof/>
        </w:rPr>
        <w:t>considerentul 10</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rStyle w:val="CRRefonteDeleted"/>
          <w:noProof/>
        </w:rPr>
      </w:pPr>
      <w:r>
        <w:rPr>
          <w:noProof/>
        </w:rPr>
        <w:t>(25)</w:t>
      </w:r>
      <w:r>
        <w:rPr>
          <w:noProof/>
        </w:rPr>
        <w:tab/>
        <w:t xml:space="preserve">Dat fiind că obiectivul principal al prezentei directive privind raportarea modalităților transfrontaliere de planificare fiscală potențial agresivă ar trebui să se concentreze pe asigurarea bunei funcționări a pieței interne, este </w:t>
      </w:r>
      <w:r>
        <w:rPr>
          <w:rStyle w:val="CRRefonteDeleted"/>
          <w:noProof/>
          <w:highlight w:val="lightGray"/>
        </w:rPr>
        <w:t>esențial să nu se reglementeze la nivelul Uniunii mai mult decât este necesar pentru a atinge obiectivele avute în vedere. De aceea, ar fi</w:t>
      </w:r>
      <w:r>
        <w:rPr>
          <w:noProof/>
        </w:rPr>
        <w:t xml:space="preserve"> necesar ca orice norme comune privind raportarea să fie limitate la situațiile transfrontaliere, și anume la situațiile în care sunt implicate fie mai mult de un stat membru, fie un stat membru și o țară terță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întrucât astfel de modalități au un impact potențial asupra funcționării pieței interne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În asemenea circumstanțe, din cauza impactului potențial asupra funcționării pieței interne, se justifică necesitatea de a adopta un set comun de norme, în loc de a lăsa statelor membre sarcina de a aborda această chestiune. Un stat membru ar putea adopta măsuri suplimentare de raportare la nivel național de natură similară, însă informațiile colectate în plus față de ceea ce este raportabil în conformitate cu prezenta directivă nu ar trebui comunicate în mod automat către autoritățile competente din celelalte state membre. Informațiile respective ar putea face obiectul unui schimb de informații la cerere sau spontan, în conformitate cu normele aplicabile.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44 (adaptat)</w:t>
      </w:r>
    </w:p>
    <w:p>
      <w:pPr>
        <w:pStyle w:val="CRReference"/>
        <w:rPr>
          <w:noProof/>
          <w:highlight w:val="lightGray"/>
          <w:shd w:val="clear" w:color="auto" w:fill="FFFFFF"/>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color w:val="333333"/>
          <w:shd w:val="clear" w:color="auto" w:fill="FFFFFF"/>
        </w:rPr>
        <w:t>(26)</w:t>
      </w:r>
      <w:r>
        <w:rPr>
          <w:noProof/>
        </w:rPr>
        <w:tab/>
      </w:r>
      <w:r>
        <w:rPr>
          <w:noProof/>
          <w:color w:val="333333"/>
          <w:shd w:val="clear" w:color="auto" w:fill="FFFFFF"/>
        </w:rPr>
        <w:t xml:space="preserve">Având în vedere </w:t>
      </w:r>
      <w:r>
        <w:rPr>
          <w:rStyle w:val="CRDeleted"/>
          <w:noProof/>
          <w:color w:val="333333"/>
        </w:rPr>
        <w:t>hotărârea</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evoluția jurisprudenței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color w:val="333333"/>
          <w:shd w:val="clear" w:color="auto" w:fill="FFFFFF"/>
        </w:rPr>
        <w:t xml:space="preserve"> Curții de Justiție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noProof/>
          <w:shd w:val="clear" w:color="auto" w:fill="FFFFFF"/>
        </w:rPr>
        <w:t>în hotărârea</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shd w:val="clear" w:color="auto" w:fill="FFFFFF"/>
        </w:rPr>
        <w:t xml:space="preserve"> </w:t>
      </w:r>
      <w:r>
        <w:rPr>
          <w:noProof/>
          <w:color w:val="333333"/>
          <w:shd w:val="clear" w:color="auto" w:fill="FFFFFF"/>
        </w:rPr>
        <w:t xml:space="preserve">din 8 decembrie 2022 în cauza C-694/20, </w:t>
      </w:r>
      <w:r>
        <w:rPr>
          <w:i/>
          <w:noProof/>
          <w:color w:val="333333"/>
          <w:shd w:val="clear" w:color="auto" w:fill="FFFFFF"/>
        </w:rPr>
        <w:t>Orde van Vlaamse Balies și alții</w:t>
      </w:r>
      <w:r>
        <w:rPr>
          <w:i/>
          <w:noProof/>
          <w:shd w:val="clear" w:color="auto" w:fill="FFFFF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rStyle w:val="FootnoteReference"/>
          <w:noProof/>
          <w:highlight w:val="lightGray"/>
          <w:shd w:val="clear" w:color="auto" w:fill="FFFFFF"/>
        </w:rPr>
        <w:footnoteReference w:id="29"/>
      </w:r>
      <w:r>
        <w:rPr>
          <w:noProof/>
          <w:highlight w:val="lightGray"/>
          <w:shd w:val="clear" w:color="auto" w:fill="FFFFFF"/>
        </w:rPr>
        <w:t xml:space="preserve"> și în hotărârea din 29 iulie 2024 în cauza C-623/22, </w:t>
      </w:r>
      <w:r>
        <w:rPr>
          <w:i/>
          <w:noProof/>
          <w:highlight w:val="lightGray"/>
          <w:shd w:val="clear" w:color="auto" w:fill="FFFFFF"/>
        </w:rPr>
        <w:t>Belgian Association of Tax Lawyers and Others</w:t>
      </w:r>
      <w:r>
        <w:rPr>
          <w:rStyle w:val="FootnoteReference"/>
          <w:noProof/>
          <w:highlight w:val="lightGray"/>
          <w:shd w:val="clear" w:color="auto" w:fill="FFFFFF"/>
        </w:rPr>
        <w:footnoteReference w:id="30"/>
      </w:r>
      <w:r>
        <w:rPr>
          <w:noProof/>
          <w:highlight w:val="lightGray"/>
          <w:shd w:val="clear" w:color="auto" w:fill="FFFFFF"/>
        </w:rPr>
        <w:t>, termenul „privilegiu profesional legal” ar trebui înțeles ca aplicându-se numai avocaților și altor profesioniști care, la fel ca avocații, sunt autorizați legal să asigure reprezentarea juridică. Prin urmare, statele membre ar trebui să prevadă derogarea de la depunerea informațiilor cu privire la o modalitate transfrontalieră care face obiectul raportării în cazul în care obligația de raportare ar încălca privilegiul profesional legal numai în ceea ce privește profesioniștii care, la fel ca avocații, sunt autorizați în temeiul dreptului intern să asigure reprezentarea juridică. În plus, prezenta</w:t>
      </w:r>
      <w:r>
        <w:rPr>
          <w:noProof/>
          <w:highlight w:val="lightGray"/>
        </w:rPr>
        <w:t xml:space="preserve"> directivă ar trebui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color w:val="333333"/>
        </w:rPr>
        <w:t>Directiva 2011/16/UE ar trebui modificată astfel încât dispozițiile sale</w:t>
      </w:r>
      <w:r>
        <w:rPr>
          <w:noProof/>
          <w:color w:val="333333"/>
          <w:shd w:val="clear" w:color="auto" w:fill="FFFFFF"/>
        </w:rPr>
        <w:t xml:space="preserve"> să nu aibă ca efect să impună avocaților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care își exercită activitățile profesionale sub unul dintre titlurile profesionale menționate la articolul 1 </w:t>
      </w:r>
      <w:r>
        <w:rPr>
          <w:noProof/>
          <w:highlight w:val="lightGray"/>
        </w:rPr>
        <w:lastRenderedPageBreak/>
        <w:t>alineatul (2) litera (a) din Directiva 98/5/CE a Parlamentului European și a Consiliului</w:t>
      </w:r>
      <w:r>
        <w:rPr>
          <w:rStyle w:val="FootnoteReference"/>
          <w:noProof/>
          <w:highlight w:val="lightGray"/>
        </w:rPr>
        <w:footnoteReference w:id="31"/>
      </w:r>
      <w:r>
        <w:rPr>
          <w:noProof/>
          <w:highlight w:val="lightGray"/>
        </w:rPr>
        <w: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color w:val="333333"/>
          <w:shd w:val="clear" w:color="auto" w:fill="FFFFFF"/>
        </w:rPr>
        <w:t>care acționează în calitate de intermediari obligația de a notifica orice alt intermediar care nu le este client cu privire la obligațiile de raportare ale intermediarului respectiv, atunci când respectivii avocați sunt exonerați de obligația de raportare în temeiul privilegiului profesional legal. Cu toate acestea, tuturor intermediarilor care sunt exonerați de obligația de raportare în temeiul privilegiului profesional legal, ar trebui să le revină în continuare obligația de a-și informa fără întârziere clientul cu privire la obligațiile de raportare care revin clientului respectiv.</w:t>
      </w:r>
      <w:r>
        <w:rPr>
          <w:noProof/>
          <w:shd w:val="clear" w:color="auto" w:fill="FFFFF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noProof/>
          <w:highlight w:val="lightGray"/>
          <w:shd w:val="clear" w:color="auto" w:fill="FFFFFF"/>
        </w:rPr>
        <w:t xml:space="preserve">În schimb, în ceea ce privește ceilalți profesioniști care, deși sunt autorizați, după caz, de statele membre să asigure reprezentarea juridică, nu </w:t>
      </w:r>
      <w:r>
        <w:rPr>
          <w:noProof/>
          <w:highlight w:val="lightGray"/>
        </w:rPr>
        <w:t>își desfășoară activitățile profesionale sub unul dintre titlurile profesionale menționate la articolul 1 alineatul (2) litera (a) din Directiva 98/5/CE</w:t>
      </w:r>
      <w:r>
        <w:rPr>
          <w:noProof/>
          <w:highlight w:val="lightGray"/>
          <w:shd w:val="clear" w:color="auto" w:fill="FFFFFF"/>
        </w:rPr>
        <w:t>, existența legăturii de consultare între intermediarul care notifică și clientul său ar trebui adusă la cunoștința intermediarului notificat (dacă există) și, în cele din urmă, a autorităților statului membru.</w:t>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shd w:val="clear" w:color="auto" w:fill="FFFFF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shd w:val="clear" w:color="auto" w:fill="FFFFFF"/>
        </w:rPr>
      </w:pPr>
      <w:r>
        <w:rPr>
          <w:noProof/>
          <w:highlight w:val="lightGray"/>
        </w:rPr>
        <w:t>(27)</w:t>
      </w:r>
      <w:r>
        <w:rPr>
          <w:noProof/>
          <w:highlight w:val="lightGray"/>
        </w:rPr>
        <w:tab/>
        <w:t xml:space="preserve">Având în vedere experiența dobândită în ceea ce privește schimburile de informații referitoare la modalitățile transfrontaliere potențial agresive și în scopul reducerii sarcinii administrative pentru întreprinderi, păstrând în același timp informațiile necesare pentru combaterea fraudei fiscale, a evaziunii fiscale și a evitării obligațiilor fiscale, este necesar să se revizuiască cerințele de raportare pentru modalitățile transfrontaliere potențial agresive. </w:t>
      </w:r>
    </w:p>
    <w:p>
      <w:pPr>
        <w:pStyle w:val="ManualConsidrant"/>
        <w:rPr>
          <w:noProof/>
          <w:highlight w:val="lightGray"/>
        </w:rPr>
      </w:pPr>
      <w:r>
        <w:rPr>
          <w:noProof/>
          <w:highlight w:val="lightGray"/>
        </w:rPr>
        <w:t>(28)</w:t>
      </w:r>
      <w:r>
        <w:rPr>
          <w:noProof/>
          <w:highlight w:val="lightGray"/>
        </w:rPr>
        <w:tab/>
        <w:t>Punerea în aplicare a impozitului minim global prin Directiva (UE) 2022/2523 a Consiliului</w:t>
      </w:r>
      <w:r>
        <w:rPr>
          <w:rStyle w:val="FootnoteReference"/>
          <w:noProof/>
          <w:highlight w:val="lightGray"/>
        </w:rPr>
        <w:footnoteReference w:id="32"/>
      </w:r>
      <w:r>
        <w:rPr>
          <w:noProof/>
          <w:highlight w:val="lightGray"/>
        </w:rPr>
        <w:t xml:space="preserve"> asigură faptul că toate întreprinderile care intră în domeniul de aplicare al directivei sunt supuse unei cote efective de impozitare de cel puțin 15 %.</w:t>
      </w:r>
    </w:p>
    <w:p>
      <w:pPr>
        <w:pStyle w:val="ManualConsidrant"/>
        <w:rPr>
          <w:strike/>
          <w:noProof/>
          <w:highlight w:val="lightGray"/>
        </w:rPr>
      </w:pPr>
      <w:r>
        <w:rPr>
          <w:noProof/>
          <w:highlight w:val="lightGray"/>
        </w:rPr>
        <w:t>(29)</w:t>
      </w:r>
      <w:r>
        <w:rPr>
          <w:noProof/>
          <w:highlight w:val="lightGray"/>
        </w:rPr>
        <w:tab/>
        <w:t xml:space="preserve">Prin urmare, este necesară o simplificare specifică și proporțională, care să recunoască sarcina de asigurare a conformității a acestor entități. O astfel de excludere pentru astfel de grupuri de întreprinderi multinaționale ar trebui să fie limitată doar la cazul în care se aplică impozitul suplimentar național calificat și să fie condiționată de faptul că niciun beneficiu conex nu este acordat grupului de întreprinderi multinaționale de către jurisdicția respectivă. Astfel, se asigură că impozitarea minimă este întotdeauna realizată. Raportarea rămâne în vigoare atunci când grupul de întreprinderi multinaționale își are sediul central într-o jurisdicție cu un regim de coexistență („side-by-side”) și are entități din Uniune care pun în aplicare modalități transfrontaliere raportabile cu o jurisdicție care nu are un impozit suplimentar național calificat în vigoare pentru perioada fiscală sau în cazul în care se primesc beneficii conexe. </w:t>
      </w:r>
    </w:p>
    <w:p>
      <w:pPr>
        <w:pStyle w:val="ManualConsidrant"/>
        <w:rPr>
          <w:noProof/>
          <w:highlight w:val="lightGray"/>
        </w:rPr>
      </w:pPr>
      <w:r>
        <w:rPr>
          <w:noProof/>
          <w:highlight w:val="lightGray"/>
        </w:rPr>
        <w:t>(30)</w:t>
      </w:r>
      <w:r>
        <w:rPr>
          <w:noProof/>
          <w:highlight w:val="lightGray"/>
        </w:rPr>
        <w:tab/>
        <w:t xml:space="preserve">Pentru a simplifica și mai mult raportarea, ar trebui raportate numai informațiile care sunt efectiv utilizate de autoritățile fiscale. În plus, pentru a asigura o mai bună calitate a informațiilor raportate și suficient timp pentru ca intermediarii să se coordoneze, termenul aferent raportării ar trebui majorat la 90 de zile din momentul în care a fost îndeplinită prima etapă din procesul de implementare a modalității. Această abordare </w:t>
      </w:r>
      <w:r>
        <w:rPr>
          <w:noProof/>
          <w:highlight w:val="lightGray"/>
        </w:rPr>
        <w:lastRenderedPageBreak/>
        <w:t xml:space="preserve">oferă un punct de plecare stabil pentru calcularea termenului de depunere, întrucât prima etapă din procesul de implementare este o măsură concretă luată în vederea punerii în aplicare a modalității, sub forma unui act inițial verificabil care reprezintă materializarea intenției de a implementa modalitatea, care face executarea modalității să fie ireversibilă sau obligatorie din punct de vedere juridic, inclusiv semnarea contractelor care permit implementarea. </w:t>
      </w:r>
    </w:p>
    <w:p>
      <w:pPr>
        <w:pStyle w:val="ManualConsidrant"/>
        <w:rPr>
          <w:noProof/>
          <w:highlight w:val="lightGray"/>
        </w:rPr>
      </w:pPr>
      <w:r>
        <w:rPr>
          <w:noProof/>
          <w:highlight w:val="lightGray"/>
        </w:rPr>
        <w:t>(31)</w:t>
      </w:r>
      <w:r>
        <w:rPr>
          <w:noProof/>
          <w:highlight w:val="lightGray"/>
        </w:rPr>
        <w:tab/>
        <w:t>S-a dovedit că natura generică a semnelor distinctive din categoria A în temeiul Directivei (UE) 2018/822 are o valoare redusă pentru administrațiile fiscale în combaterea fraudei fiscale, a evaziunii fiscale și a evitării obligațiilor fiscale și, în consecință, semnele distinctive respective generează niveluri disproporționate de raportare. Prin urmare, nu mai este necesar să se prevadă astfel de semne distinctive generice. În plus, pe baza activității în baza Codului de conduită al UE în domeniul impozitării întreprinderilor, atât în ceea ce privește regimurile fiscale dăunătoare, cât și în ceea ce privește stabilirea unei liste a jurisdicțiilor fiscale necooperante, este oportun să se alinieze domeniul de aplicare al semnului distinctiv din categoria C punctul 1 la deciziile luate de statele membre în mod colectiv în aceste domenii.</w:t>
      </w:r>
    </w:p>
    <w:p>
      <w:pPr>
        <w:pStyle w:val="CRSeparator"/>
        <w:rPr>
          <w:noProof/>
        </w:rPr>
      </w:pPr>
    </w:p>
    <w:p>
      <w:pPr>
        <w:pStyle w:val="CRReference"/>
        <w:rPr>
          <w:noProof/>
          <w:highlight w:val="lightGray"/>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16 (adaptat)</w:t>
      </w:r>
    </w:p>
    <w:p>
      <w:pPr>
        <w:pStyle w:val="ManualConsidrant"/>
        <w:rPr>
          <w:noProof/>
        </w:rPr>
      </w:pPr>
      <w:r>
        <w:rPr>
          <w:noProof/>
        </w:rPr>
        <w:t>(32)</w:t>
      </w:r>
      <w:r>
        <w:rPr>
          <w:noProof/>
        </w:rPr>
        <w:tab/>
        <w:t xml:space="preserve">Având în vedere că autoritățile fiscale din întreaga lume se confruntă cu provocări legate de creșterea continuă a economiei platformelor digitale, </w:t>
      </w:r>
      <w:r>
        <w:rPr>
          <w:rStyle w:val="CRDeleted"/>
          <w:noProof/>
        </w:rPr>
        <w:t>Organizația pentru Cooperare și Dezvoltare Economică (</w:t>
      </w:r>
      <w:r>
        <w:rPr>
          <w:noProof/>
        </w:rPr>
        <w:t>OCDE</w:t>
      </w:r>
      <w:r>
        <w:rPr>
          <w:rStyle w:val="CRDeleted"/>
          <w:noProof/>
        </w:rPr>
        <w:t>)</w:t>
      </w:r>
      <w:r>
        <w:rPr>
          <w:noProof/>
        </w:rPr>
        <w:t xml:space="preserve"> a elaborat norme-tip pentru raportarea de către operatorii de platforme în ceea ce privește vânzătorii din economia colaborativă și din economia muncii la cerere (denumite în continuare „norme-tip”)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vertAlign w:val="superscript"/>
        </w:rPr>
        <w:t xml:space="preserve"> </w:t>
      </w:r>
      <w:r>
        <w:rPr>
          <w:rStyle w:val="FootnoteReference"/>
          <w:noProof/>
        </w:rPr>
        <w:footnoteReference w:id="33"/>
      </w:r>
      <w:r>
        <w:rPr>
          <w:noProof/>
          <w:vertAlign w:val="superscript"/>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RefonteDeleted"/>
          <w:noProof/>
          <w:highlight w:val="lightGray"/>
        </w:rPr>
        <w:t>Dată fiind prevalența activităților transfrontaliere desfășurate de platformele digitale, precum și de vânzătorii activi pe acestea, se poate preconiza în mod rezonabil că jurisdicțiile din afara Uniunii vor avea suficiente stimulente pentru a urma exemplul Uniunii punând în aplicare colectarea și schimbul reciproc automat de informații cu privire la vânzătorii raportabili, în conformitate cu normele-tip. Deși domeniul de aplicare al normelor-tip nu este identic cu domeniul de aplicare al prezentei directive în ceea ce privește vânzătorii cu privire la care trebuie să fie raportate informații și platformele digitale prin intermediul cărora trebuie să fie raportate informațiile, se preconizează ca normele-tip să prevadă raportarea de informații echivalente cu privire la activitățile relevante care intră atât în domeniul de aplicare al prezentei directive, cât și în cel al normelor-tip, iar aceste domenii de aplicare ar putea fi extinse și mai mult pentru a reglementa și alte activități relevante.</w:t>
      </w:r>
      <w:r>
        <w:rPr>
          <w:noProof/>
        </w:rPr>
        <w:t xml:space="preser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17</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(33)</w:t>
      </w:r>
      <w:r>
        <w:rPr>
          <w:noProof/>
        </w:rPr>
        <w:tab/>
      </w:r>
      <w:r>
        <w:rPr>
          <w:rStyle w:val="CRRefonteDeleted"/>
          <w:noProof/>
          <w:highlight w:val="lightGray"/>
        </w:rPr>
        <w:t xml:space="preserve">În vederea asigurării unor condiții uniforme pentru punerea în aplicare a prezentei directive, ar trebui conferite competențe de executare Comisiei. Respectivele competențe ar trebui exercitate în conformitate cu Regulamentul (UE) nr. 182/2011 al </w:t>
      </w:r>
      <w:r>
        <w:rPr>
          <w:rStyle w:val="CRRefonteDeleted"/>
          <w:noProof/>
          <w:highlight w:val="lightGray"/>
        </w:rPr>
        <w:lastRenderedPageBreak/>
        <w:t>Parlamentului European și al Consiliului. Mai precis,</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Întrucât punerea în aplicare a normelor-tip de către jurisdicții nu face obiectul niciunei evaluări, cum ar fi o evaluare </w:t>
      </w:r>
      <w:r>
        <w:rPr>
          <w:i/>
          <w:iCs/>
          <w:noProof/>
          <w:highlight w:val="lightGray"/>
        </w:rPr>
        <w:t>inter pares</w:t>
      </w:r>
      <w:r>
        <w:rPr>
          <w:noProof/>
          <w:highlight w:val="lightGray"/>
        </w:rPr>
        <w: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Comisia ar trebui să stabilească, prin intermediul unor acte de punere în aplicare, dacă informațiile care trebuie să facă obiectul schimbului de informații în temeiul unui acord între autoritățile competente ale unui stat membru și o jurisdicție din afara Uniunii sunt echivalente cu cele indicate în prezenta directivă. </w:t>
      </w:r>
      <w:r>
        <w:rPr>
          <w:rStyle w:val="CRRefonteDeleted"/>
          <w:noProof/>
          <w:highlight w:val="lightGray"/>
        </w:rPr>
        <w:t>Având în vedere că încheierea unor acorduri cu privire la cooperarea administrativă în domeniul fiscal cu jurisdicții din afara Uniunii rămâne de competența statelor membre, acțiunea Comisiei ar putea fi declanșată și ca urmare a unei cereri din partea unui stat membru.</w:t>
      </w:r>
      <w:r>
        <w:rPr>
          <w:noProof/>
        </w:rPr>
        <w:t xml:space="preserve"> Fără a modifica domeniul de aplicare și condițiile prezentei directive, această procedură administrativă ar trebui să asigure securitatea juridică în ceea ce privește corelarea obligațiilor care decurg din prezenta directivă și din orice acorduri privind schimbul de informații pe care statele membre le-ar putea avea cu jurisdicții din afara Uniunii. În acest scop, este necesar ca, urmare a cererii unui stat membru, stabilirea echivalenței să poată fi efectuată și înainte de încheierea preconizată a unui astfel de acord. În cazul în care schimbul de astfel de informații se bazează pe un instrument multilateral, decizia privind echivalența ar trebui luată în ceea ce privește întregul cadru relevant care intră sub incidența unui astfel de instrument.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Cu toate acestea, ar trebui să fie în continuare posibilă luarea deciziei privind echivalența, după caz, în legătură cu un instrument bilateral sau cu relația de schimb cu o anumită jurisdicție din afara Uniunii. Pentru a asigura efectul deplin al acestui mecanism, este esențial ca statele membre să ia măsurile adecvate pentru a activa în timp util relațiile de schimb în temeiul Acordului multilateral între autoritățile competente în ceea ce privește schimbul automat de informații privind veniturile realizate prin platformele digitale („DPI-MCAA”) sau al oricărui alt instrument bilateral sau al oricărei alte relații de schimb cu jurisdicții din afara Uniunii a căror legislație națională a fost stabilită ca fiind echivalentă.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20 (adaptat)</w:t>
      </w:r>
    </w:p>
    <w:p>
      <w:pPr>
        <w:pStyle w:val="ManualConsidrant"/>
        <w:rPr>
          <w:rStyle w:val="CRRefonteDeleted"/>
          <w:noProof/>
        </w:rPr>
      </w:pPr>
      <w:r>
        <w:rPr>
          <w:noProof/>
        </w:rPr>
        <w:t>(34)</w:t>
      </w:r>
      <w:r>
        <w:rPr>
          <w:noProof/>
        </w:rPr>
        <w:tab/>
        <w:t xml:space="preserve">Obiectivul prevenirii fraudei fiscale, a evaziunii fiscale și a evitării obligațiilor fiscale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ar trebui să fie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Deleted"/>
          <w:noProof/>
        </w:rPr>
        <w:t>ar putea fi</w:t>
      </w:r>
      <w:r>
        <w:rPr>
          <w:noProof/>
        </w:rPr>
        <w:t xml:space="preserve"> asigurat prin impunerea obligației pentru operatorii de platforme de a raporta într-o etapă timpurie veniturile realizate prin platformele digitale, înainte ca autoritățile fiscale ale statelor membre să realizeze evaluările fiscale anuale. Pentru a facilita activitatea autorităților fiscale ale statelor membre, informațiile raportate ar trebui să facă obiectul schimbului în termen de o lună de la raportare. </w:t>
      </w:r>
      <w:r>
        <w:rPr>
          <w:rStyle w:val="CRRefonteDeleted"/>
          <w:noProof/>
          <w:highlight w:val="lightGray"/>
        </w:rPr>
        <w:t>Pentru a facilita schimbul automat de informații și a spori utilizarea eficientă a resurselor, schimbul de informații ar trebui să se realizeze electronic prin intermediul rețelei comune de comunicații (CCN) existente dezvoltate de Uniune.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highlight w:val="lightGray"/>
        </w:rPr>
        <w:t>(35)</w:t>
      </w:r>
      <w:r>
        <w:rPr>
          <w:noProof/>
        </w:rPr>
        <w:tab/>
      </w:r>
      <w:r>
        <w:rPr>
          <w:noProof/>
          <w:highlight w:val="lightGray"/>
        </w:rPr>
        <w:t>Pentru a respecta în continuare principiul proporționalității, pentru a reduce la minimum raportarea informațiilor cu valoare fiscală limitată și pentru a sprijini în continuare economia circulară în ceea ce privește vânzarea de bunuri de ocazie, este oportun să se elimine criteriile de activitate pentru vânzarea de bunuri în temeiul Directivei (UE) 2021/514 și să se majoreze pragul monetar în temeiul Directivei (UE) 2021/514 de la 2 000 EUR la 3 000 EUR pe an.</w:t>
      </w:r>
    </w:p>
    <w:p>
      <w:pPr>
        <w:pStyle w:val="ManualConsidrant"/>
        <w:rPr>
          <w:noProof/>
        </w:rPr>
      </w:pPr>
      <w:r>
        <w:rPr>
          <w:noProof/>
          <w:highlight w:val="lightGray"/>
        </w:rPr>
        <w:lastRenderedPageBreak/>
        <w:t>(36)</w:t>
      </w:r>
      <w:r>
        <w:rPr>
          <w:noProof/>
        </w:rPr>
        <w:tab/>
      </w:r>
      <w:r>
        <w:rPr>
          <w:noProof/>
          <w:highlight w:val="lightGray"/>
        </w:rPr>
        <w:t>Având în vedere evoluția continuă a peisajului economiei digitale, este necesar să se clarifice suplimentar dispozițiile prezentei directive în ceea ce privește vânzătorii intermediari. Aceste clarificări vor oferi securitate juridică operatorilor de platforme și vor îmbunătăți calitatea informațiilor raportate autorităților fiscale. Pentru a limita costurile de asigurare a conformității pentru operatorii de platforme care sunt întreprinderi mici și mijlocii, obligațiile de raportare nu ar trebui să se aplice în cazul în care valoarea agregată anuală a Contraprestației rămâne sub un prag specificat. În plus, anumiți vânzători intermediari care corespund definiției Operatorilor de platforme care au obligația de raportare ar trebui să facă obiectul unor obligații simplificate de raportare și de diligență fiscală, în timp ce tranzacțiile dintre entitățile afiliate unui Operator de platformă, care prezintă un risc limitat pentru transparența fiscală, ar trebui să fie exceptate de la domeniul de aplicare al obligațiilor de raportare. Pentru a asigura alinierea la standardele internaționale și pentru a preveni fragmentarea în materie de reglementare la nivel mondial, acest nou set de norme ar trebui să fie aliniat îndeaproape la cele elaborate simultan de OCDE în contextul normelor-tip pentru platformele digitale.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21</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(37)</w:t>
      </w:r>
      <w:r>
        <w:rPr>
          <w:noProof/>
        </w:rPr>
        <w:tab/>
        <w:t xml:space="preserve">În cazul în care operatorii de platforme străini raportează autorităților fiscale din jurisdicțiile respective din afara Uniunii informații echivalente referitoare la vânzătorii raportabili, autoritățile fiscale din respectivele jurisdicții ar trebui să asigure punerea în aplicare efectivă a procedurii de diligență fiscală și a cerințelor de raportare. Totuși, dacă acest lucru nu se întâmplă, operatorilor de platforme străini ar trebui să le revină obligații de a se înregistra și de a raporta informații în Uniune, iar statele membre ar trebui să asigure respectarea obligațiilor de înregistrare, de diligență fiscală și de raportare de către operatorii de platforme străini în cauză. Prin urmare, statele membre ar trebui să stabilească norme privind sancțiunile aplicabile pentru încălcarea dispozițiilor de drept intern adoptate în temeiul prezentei directive și să ia toate măsurile necesare pentru a asigura aplicarea acestora. Deși alegerea sancțiunilor rămâne la latitudinea statelor membre, sancțiunile prevăzute ar trebui să fie efective, proporționale și cu efect de descurajare. Având în vedere că platformele digitale au adesea o acoperire geografică largă, este oportun ca statele membre să depună eforturi de a-și coordona acțiunile atunci când urmăresc asigurarea respectării cerințelor de înregistrare și de raportare aplicabile platformelor digitale care își desfășoară activitatea din jurisdicții din afara Uniunii, inclusiv împiedicând, în ultimă instanță, platformele digitale să își desfășoare activitatea în interiorul Uniunii. În limitele competenței sale, Comisia ar trebui să faciliteze coordonarea acestor acțiuni ale statelor membre, ținând seama de eventualele măsuri comune care ar urma să fie luate în privința platformelor digitale, precum și de diferențele dintre eventualele măsuri aflate la dispoziția statelor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Astfel de măsuri ar trebui să se concentreze pe facilitarea coordonării acțiunilor statelor membre și pe introducerea unor dispoziții care să permită luarea unor măsuri eficace de asigurare a conformității. În acest scop, statele membre ar trebui să utilizeze în continuare registrul central pentru a împărtăși informații altor autorități competente, pentru a sprijini acțiuni consecvente și întreprinse în timp util în ceea ce privește identificarea și abordarea nerespectării cerințelor de înregistrare sau de raportare de către un Operator de Platformă stabilit în afara Uniunii.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6</w:t>
      </w:r>
    </w:p>
    <w:p>
      <w:pPr>
        <w:pStyle w:val="ManualConsidrant"/>
        <w:rPr>
          <w:noProof/>
        </w:rPr>
      </w:pPr>
      <w:r>
        <w:rPr>
          <w:noProof/>
        </w:rPr>
        <w:t>(38)</w:t>
      </w:r>
      <w:r>
        <w:rPr>
          <w:noProof/>
        </w:rPr>
        <w:tab/>
      </w:r>
      <w:r>
        <w:rPr>
          <w:rStyle w:val="CRRefonteDeleted"/>
          <w:noProof/>
          <w:highlight w:val="lightGray"/>
        </w:rPr>
        <w:t>Statele membre au stabilit norme și orientări, care diferă de la un stat membru la altul, privind impozitarea veniturilor provenite din tranzacțiile cu criptoactive. Totuși,</w:t>
      </w:r>
      <w:r>
        <w:rPr>
          <w:noProof/>
        </w:rPr>
        <w:t xml:space="preserve"> </w:t>
      </w:r>
      <w:r>
        <w:rPr>
          <w:rStyle w:val="CRMinorChangeDeleted"/>
          <w:noProof/>
        </w:rPr>
        <w:t>c</w:t>
      </w:r>
      <w:r>
        <w:rPr>
          <w:rStyle w:val="CRMinorChangeAdded"/>
          <w:noProof/>
        </w:rPr>
        <w:t>C</w:t>
      </w:r>
      <w:r>
        <w:rPr>
          <w:noProof/>
        </w:rPr>
        <w:t>aracterul descentralizat al criptoactivelor îngreunează asigurarea respectării obligațiilor fiscale de către administrațiile fiscale ale statelor membre.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7</w:t>
      </w:r>
    </w:p>
    <w:p>
      <w:pPr>
        <w:pStyle w:val="ManualConsidrant"/>
        <w:rPr>
          <w:noProof/>
        </w:rPr>
      </w:pPr>
      <w:r>
        <w:rPr>
          <w:noProof/>
        </w:rPr>
        <w:t>(39)</w:t>
      </w:r>
      <w:r>
        <w:rPr>
          <w:noProof/>
        </w:rPr>
        <w:tab/>
        <w:t>Prin Regulamentul (UE) 2023/1114 al Parlamentului European și al Consiliului</w:t>
      </w:r>
      <w:bookmarkStart w:id="28" w:name="_Hlk232083919"/>
      <w:r>
        <w:rPr>
          <w:rStyle w:val="CRMinorChangeAdded"/>
          <w:noProof/>
          <w:vertAlign w:val="superscript"/>
        </w:rPr>
        <w:footnoteReference w:id="34"/>
      </w:r>
      <w:bookmarkEnd w:id="28"/>
      <w:r>
        <w:rPr>
          <w:noProof/>
        </w:rPr>
        <w:t xml:space="preserve"> a fost extins cadrul de reglementare al Uniunii pentru a include aspectele referitoare la criptoactive care până în prezent nu au fost reglementate de actele Uniunii privind serviciile financiare, precum și la furnizorii de servicii legate de astfel de criptoactive (denumiți în continuare „furnizorii de servicii de criptoactive”). Prin Regulamentul (UE) 2023/1114 sunt stabilite definițiile utilizate în sensul prezentei directive. Prezenta directivă ia în considerare, de asemenea, cerința privind autorizarea furnizorilor de servicii de criptoactive în temeiul Regulamentului (UE) 2023/1114, pentru a reduce sarcina administrativă care revine furnizorilor de servicii de criptoactive. Caracterul inerent transfrontalier al criptoactivelor presupune o cooperare administrativă internațională solidă, care să asigure o reglementare eficace.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8</w:t>
      </w:r>
    </w:p>
    <w:p>
      <w:pPr>
        <w:pStyle w:val="ManualConsidrant"/>
        <w:rPr>
          <w:noProof/>
        </w:rPr>
      </w:pPr>
      <w:r>
        <w:rPr>
          <w:noProof/>
        </w:rPr>
        <w:t>(40)</w:t>
      </w:r>
      <w:r>
        <w:rPr>
          <w:noProof/>
        </w:rPr>
        <w:tab/>
        <w:t>Cadrul Uniunii de combatere a spălării banilor și a finanțării terorismului (CSB/CFT) extinde domeniul de aplicare al entităților obligate care intră sub incidența normelor CSB/CFT la furnizorii de servicii de criptoactive care intră sub incidența Regulamentului (UE) 2023/1114. În plus, prin Regulamentul (UE) 2023/1113 al Parlamentului European și al Consiliului</w:t>
      </w:r>
      <w:bookmarkStart w:id="29" w:name="_Hlk232084077"/>
      <w:r>
        <w:rPr>
          <w:rStyle w:val="CRMinorChangeAdded"/>
          <w:noProof/>
          <w:vertAlign w:val="superscript"/>
        </w:rPr>
        <w:footnoteReference w:id="35"/>
      </w:r>
      <w:bookmarkEnd w:id="29"/>
      <w:r>
        <w:rPr>
          <w:noProof/>
        </w:rPr>
        <w:t xml:space="preserve">, obligația prestatorilor de servicii de plată de a însoți transferurile de fonduri cu informații privind plătitorul și beneficiarul plății se extinde la furnizorii de servicii de criptoactive, pentru a asigura trasabilitatea transferurilor de criptoactive în scopul combaterii spălării banilor și a finanțării terorismului. </w:t>
      </w:r>
    </w:p>
    <w:p>
      <w:pPr>
        <w:pStyle w:val="CRSeparator"/>
        <w:rPr>
          <w:noProof/>
        </w:rPr>
      </w:pPr>
    </w:p>
    <w:p>
      <w:pPr>
        <w:pStyle w:val="CRReference"/>
        <w:rPr>
          <w:noProof/>
          <w:highlight w:val="lightGray"/>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9 (adaptat)</w:t>
      </w:r>
    </w:p>
    <w:p>
      <w:pPr>
        <w:pStyle w:val="ManualConsidrant"/>
        <w:rPr>
          <w:noProof/>
        </w:rPr>
      </w:pPr>
      <w:r>
        <w:rPr>
          <w:noProof/>
        </w:rPr>
        <w:t>(41)</w:t>
      </w:r>
      <w:r>
        <w:rPr>
          <w:noProof/>
        </w:rPr>
        <w:tab/>
        <w:t xml:space="preserve">La nivel internațional, Cadrul de raportare privind criptoactivele al </w:t>
      </w:r>
      <w:r>
        <w:rPr>
          <w:rStyle w:val="CRDeleted"/>
          <w:noProof/>
        </w:rPr>
        <w:t>Organizației pentru Cooperare și Dezvoltare Economică (</w:t>
      </w:r>
      <w:r>
        <w:rPr>
          <w:noProof/>
        </w:rPr>
        <w:t>OCDE</w:t>
      </w:r>
      <w:r>
        <w:rPr>
          <w:rStyle w:val="CRDeleted"/>
          <w:noProof/>
        </w:rPr>
        <w:t>)</w:t>
      </w:r>
      <w:r>
        <w:rPr>
          <w:noProof/>
        </w:rPr>
        <w:t xml:space="preserve"> </w:t>
      </w:r>
      <w:r>
        <w:rPr>
          <w:rStyle w:val="CRRefonteDeleted"/>
          <w:noProof/>
          <w:highlight w:val="lightGray"/>
        </w:rPr>
        <w:t>prevăzut în partea I a documentului „Cadrul de raportare privind criptoactivele și modificările aduse standardului comun de raportare” aprobat de OCDE la 26 august 2022</w:t>
      </w:r>
      <w:r>
        <w:rPr>
          <w:noProof/>
        </w:rPr>
        <w:t xml:space="preserve"> (denumit în continuare „Cadrul de </w:t>
      </w:r>
      <w:r>
        <w:rPr>
          <w:noProof/>
        </w:rPr>
        <w:lastRenderedPageBreak/>
        <w:t>raportare privind criptoactivele al OCDE”)</w:t>
      </w:r>
      <w:r>
        <w:rPr>
          <w:rStyle w:val="CRMinorChangeAdded"/>
          <w:noProof/>
          <w:vertAlign w:val="superscript"/>
        </w:rPr>
        <w:footnoteReference w:id="36"/>
      </w:r>
      <w:r>
        <w:rPr>
          <w:noProof/>
          <w:vertAlign w:val="superscript"/>
        </w:rPr>
        <w:t>,</w:t>
      </w:r>
      <w:r>
        <w:rPr>
          <w:noProof/>
        </w:rPr>
        <w:t xml:space="preserve"> vizează sporirea transparenței fiscale în ceea ce privește criptoactivele și raportarea acestora. </w:t>
      </w:r>
      <w:r>
        <w:rPr>
          <w:rStyle w:val="CRRefonteDeleted"/>
          <w:noProof/>
          <w:highlight w:val="lightGray"/>
        </w:rPr>
        <w:t>Normele Uniunii ar trebui să țină seama de Cadrul de raportare privind criptoactivele al OCDE pentru a spori eficacitatea schimbului de informații și pentru a reduce sarcina administrativă. La punerea în aplicare a prezentei directive, statele membre ar trebui să utilizeze Comentariile pe marginea Modelului de acord între autoritățile competente (denumite în continuare „Comentariile pe marginea Modelului de acord între autoritățile competente ”) prevăzute în documentul „Standardele internaționale pentru schimbul automat de informații în materie fiscală: Cadrul de raportare privind criptoactivele și Standardul comun de raportare actualizat în 2023”, publicat de OCDE la 8 iunie 2023, precum și Cadrul de raportare privind criptoactivele al OCDE drept sursă de ilustrare sau interpretare și în vederea asigurării unei aplicări consecvente în toate statele membre.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13</w:t>
      </w:r>
    </w:p>
    <w:p>
      <w:pPr>
        <w:pStyle w:val="ManualConsidrant"/>
        <w:rPr>
          <w:noProof/>
        </w:rPr>
      </w:pPr>
      <w:r>
        <w:rPr>
          <w:noProof/>
        </w:rPr>
        <w:t>(42)</w:t>
      </w:r>
      <w:r>
        <w:rPr>
          <w:noProof/>
        </w:rPr>
        <w:tab/>
        <w:t xml:space="preserve">Schimbul automat de informații între autoritățile fiscale este esențial pentru a pune la dispoziția acestora informațiile necesare care să le permită să evalueze corect cuantumul impozitelor </w:t>
      </w:r>
      <w:r>
        <w:rPr>
          <w:rStyle w:val="CRRefonteDeleted"/>
          <w:noProof/>
          <w:highlight w:val="lightGray"/>
        </w:rPr>
        <w:t>pe venit</w:t>
      </w:r>
      <w:r>
        <w:rPr>
          <w:noProof/>
        </w:rPr>
        <w:t xml:space="preserve"> datorate. Obligația de raportare ar trebui să aibă ca obiect atât tranzacțiile transfrontaliere, cât și tranzacțiile interne, pentru a se asigura eficacitatea normelor de raportare, buna funcționare a pieței interne, condiții de concurență echitabile și respectarea principiului nediscriminării.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14</w:t>
      </w:r>
    </w:p>
    <w:p>
      <w:pPr>
        <w:pStyle w:val="ManualConsidrant"/>
        <w:rPr>
          <w:noProof/>
        </w:rPr>
      </w:pPr>
      <w:r>
        <w:rPr>
          <w:noProof/>
        </w:rPr>
        <w:t>(43)</w:t>
      </w:r>
      <w:r>
        <w:rPr>
          <w:noProof/>
        </w:rPr>
        <w:tab/>
        <w:t xml:space="preserve">Prezenta directivă se aplică furnizorilor de servicii de criptoactive care intră sub incidența Regulamentului (UE) 2023/1114 și care sunt autorizați în temeiul regulamentului respectiv, precum și operatorilor de criptoactive care nu intră sub incidența acestuia și nici nu sunt autorizați în temeiul regulamentului respectiv. Ambele categorii sunt denumite „furnizori de servicii de criptoactive raportori”, deoarece au obligația de a raporta în temeiul prezentei directive. În general, termenul „criptoactive” are un înțeles larg și include criptoactivele care au fost emise în mod descentralizat, precum și criptomonedele stabile, inclusiv tokenurile asimilate monedelor electronice, astfel cum sunt definite în Regulamentul (UE) 2023/1114, precum și anumite tokenuri nefungibile (NFT). Criptoactivele care pot fi utilizate în scopuri de plată sau de investiții fac obiectul raportării în temeiul prezentei directive. Prin urmare, furnizorii de servicii de criptoactive raportori ar trebui să analizeze, în fiecare caz în parte, dacă criptoactivele pot fi utilizate în scopuri de plată și de investiții, ținând seama de derogările prevăzute în Regulamentul (UE) 2023/1114, în special în ceea ce privește o rețea limitată și anumite tokenuri utilitare.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17</w:t>
      </w:r>
    </w:p>
    <w:p>
      <w:pPr>
        <w:pStyle w:val="ManualConsidrant"/>
        <w:rPr>
          <w:noProof/>
        </w:rPr>
      </w:pPr>
      <w:r>
        <w:rPr>
          <w:noProof/>
        </w:rPr>
        <w:t>(44)</w:t>
      </w:r>
      <w:r>
        <w:rPr>
          <w:noProof/>
        </w:rPr>
        <w:tab/>
        <w:t>Furnizorii de servicii de criptoactive care intră sub incidența Regulamentului (UE) 2023/1114 își pot desfășura activitatea în Uniune grație procedurii de „pașaport” după ce au primit autorizația într-un stat membru. În acest scop, Autoritatea Europeană pentru Valori Mobiliare și Piețe (ESMA) ține un registru cu furnizorii de servicii de criptoactive autorizați. În plus, ESMA menține și o listă neagră a operatorilor care desfășoară servicii de criptoactive și care necesită o autorizație în temeiul Regulamentului (UE) 2023/1114.</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18</w:t>
      </w:r>
    </w:p>
    <w:p>
      <w:pPr>
        <w:pStyle w:val="ManualConsidrant"/>
        <w:rPr>
          <w:noProof/>
        </w:rPr>
      </w:pPr>
      <w:r>
        <w:rPr>
          <w:noProof/>
        </w:rPr>
        <w:t>(45)</w:t>
      </w:r>
      <w:r>
        <w:rPr>
          <w:noProof/>
        </w:rPr>
        <w:tab/>
        <w:t xml:space="preserve">Operatorilor de criptoactive care nu intră sub incidența Regulamentului (UE) 2023/1114, dar cărora le revine obligația de a raporta informații cu privire la utilizatorii de criptoactive rezidenți în Uniune în temeiul prezentei directive, ar trebui să le revină obligația de a se înregistra într-un singur stat membru pentru a-și respecta obligațiile de raportare.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19</w:t>
      </w:r>
    </w:p>
    <w:p>
      <w:pPr>
        <w:pStyle w:val="ManualConsidrant"/>
        <w:rPr>
          <w:noProof/>
        </w:rPr>
      </w:pPr>
      <w:r>
        <w:rPr>
          <w:noProof/>
        </w:rPr>
        <w:t>(46)</w:t>
      </w:r>
      <w:r>
        <w:rPr>
          <w:noProof/>
        </w:rPr>
        <w:tab/>
        <w:t xml:space="preserve">Pentru a încuraja cooperarea administrativă cu jurisdicțiile din afara Uniunii, operatorii de criptoactive care îndeplinesc anumite condiții ar trebui să aibă posibilitatea de a raporta autorităților fiscale dintr-o jurisdicție din afara Uniunii doar informații privind utilizatorii de criptoactive rezidenți în Uniune, numai cu condiția ca informațiile raportate să corespundă informațiilor prevăzute în prezenta directivă și să existe în vigoare un acord efectiv privind stabilirea autorității competente cu o astfel de jurisdicție din afara Uniunii. La rândul său, jurisdicția competentă din afara Uniunii ar urma să comunice aceste informații administrațiilor fiscale ale statelor membre în care își au rezidența utilizatorii de criptoactive. Dacă este cazul, acest mecanism ar trebui să fie activat pentru a preveni raportarea și transmiterea informațiilor corespunzătoare de mai multe ori.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20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(47)</w:t>
      </w:r>
      <w:r>
        <w:rPr>
          <w:noProof/>
        </w:rPr>
        <w:tab/>
        <w:t xml:space="preserve">În vederea asigurării unor condiții uniforme pentru punerea în aplicare a prezentei directive, ar trebui să se confere competențe de executare Comisiei pentru a stabili dacă există concordanță între informațiile care trebuie să facă obiectul schimbului de informații în baza unui acord între autoritățile competente ale unui stat membru și o jurisdicție din afara Uniunii și dispozițiile prezentei directive. </w:t>
      </w:r>
      <w:r>
        <w:rPr>
          <w:rStyle w:val="CRRefonteDeleted"/>
          <w:noProof/>
          <w:highlight w:val="lightGray"/>
        </w:rPr>
        <w:t>Respectivele competențe ar trebui exercitate în conformitate cu Regulamentul (UE) nr. 182/2011. Având în vedere că încheierea unor acorduri de cooperare administrativă în domeniul impozitării directe cu jurisdicții din afara Uniunii rămâne de competența statelor membre, acțiunea Comisiei ar putea fi declanșată și ca urmare a unei cereri din partea unui stat membru.</w:t>
      </w:r>
      <w:r>
        <w:rPr>
          <w:noProof/>
        </w:rPr>
        <w:t xml:space="preserve"> În </w:t>
      </w:r>
      <w:r>
        <w:rPr>
          <w:rStyle w:val="CRDeleted"/>
          <w:noProof/>
        </w:rPr>
        <w:t>acest</w:t>
      </w:r>
      <w:r>
        <w:rPr>
          <w:noProof/>
        </w:rPr>
        <w:t xml:space="preserve"> scop</w:t>
      </w:r>
      <w:r>
        <w:rPr>
          <w:rStyle w:val="CRMinorChangeAdded"/>
          <w:noProof/>
        </w:rPr>
        <w:t>ul</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asigurării securității juridice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este necesar ca, </w:t>
      </w:r>
      <w:r>
        <w:rPr>
          <w:noProof/>
        </w:rPr>
        <w:lastRenderedPageBreak/>
        <w:t xml:space="preserve">la cererea unui stat membru, Comisia să poată să stabilească concordanța înainte de încheierea preconizată a unui astfel de acord. În cazul în care schimbul de astfel de informații se bazează pe un acord multilateral al autorităților competente, Comisia ar trebui să ia decizia privind concordanța în raport cu întregul cadru relevant vizat de respectivul acord al autorităților competente. Cu toate acestea, ar trebui ca Comisia să poată lua decizia privind concordanța, după caz, în legătură cu un acord bilateral al autorităților competente.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21</w:t>
      </w:r>
    </w:p>
    <w:p>
      <w:pPr>
        <w:pStyle w:val="ManualConsidrant"/>
        <w:rPr>
          <w:noProof/>
        </w:rPr>
      </w:pPr>
      <w:r>
        <w:rPr>
          <w:noProof/>
        </w:rPr>
        <w:t>(48)</w:t>
      </w:r>
      <w:r>
        <w:rPr>
          <w:noProof/>
        </w:rPr>
        <w:tab/>
        <w:t xml:space="preserve">În măsura în care standardul internațional privind raportarea și schimbul automat de informații privind criptoactivele, și anume Cadrul de raportare privind criptoactivele al OCDE, reprezintă un standard minim sau echivalent, care stabilește domeniul de aplicare și conținutul minim care trebuie puse în aplicare de către jurisdicții, nu ar trebui să fie obligatorie stabilirea de către Comisie, prin intermediul unui act de punere în aplicare, a concordanței dintre prezenta directivă și </w:t>
      </w:r>
      <w:r>
        <w:rPr>
          <w:rStyle w:val="CRMinorChangeAdded"/>
          <w:noProof/>
        </w:rPr>
        <w:t>C</w:t>
      </w:r>
      <w:r>
        <w:rPr>
          <w:rStyle w:val="CRMinorChangeDeleted"/>
          <w:noProof/>
        </w:rPr>
        <w:t>c</w:t>
      </w:r>
      <w:r>
        <w:rPr>
          <w:noProof/>
        </w:rPr>
        <w:t>adrul de raportare privind criptoactivele al OCDE, cu condiția să fie în vigoare un acord efectiv privind stabilirea autorității competente încheiat între jurisdicțiile din afara Uniunii și toate statele membre.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23</w:t>
      </w:r>
    </w:p>
    <w:p>
      <w:pPr>
        <w:pStyle w:val="ManualConsidrant"/>
        <w:rPr>
          <w:noProof/>
        </w:rPr>
      </w:pPr>
      <w:r>
        <w:rPr>
          <w:noProof/>
        </w:rPr>
        <w:t>(49)</w:t>
      </w:r>
      <w:r>
        <w:rPr>
          <w:noProof/>
        </w:rPr>
        <w:tab/>
        <w:t>Prezenta directivă nu înlocuiește eventualele obligații mai ample care decurg din Regulamentul (UE) 2023/1114.</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24</w:t>
      </w:r>
    </w:p>
    <w:p>
      <w:pPr>
        <w:pStyle w:val="ManualConsidrant"/>
        <w:rPr>
          <w:noProof/>
        </w:rPr>
      </w:pPr>
      <w:r>
        <w:rPr>
          <w:noProof/>
        </w:rPr>
        <w:t>(50)</w:t>
      </w:r>
      <w:r>
        <w:rPr>
          <w:noProof/>
        </w:rPr>
        <w:tab/>
        <w:t xml:space="preserve">Pentru a promova convergența și supravegherea consecventă în ceea ce privește prezenta directivă și Regulamentul (UE) 2023/1114, autoritățile naționale competente urmează să coopereze cu alte autorități sau instituții naționale și să facă schimb de informații relevante.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25</w:t>
      </w:r>
    </w:p>
    <w:p>
      <w:pPr>
        <w:pStyle w:val="ManualConsidrant"/>
        <w:rPr>
          <w:noProof/>
        </w:rPr>
      </w:pPr>
      <w:r>
        <w:rPr>
          <w:noProof/>
        </w:rPr>
        <w:t>(51)</w:t>
      </w:r>
      <w:r>
        <w:rPr>
          <w:noProof/>
        </w:rPr>
        <w:tab/>
        <w:t xml:space="preserve">Derogarea de la obligațiile de raportare prevăzute în prezenta directivă, care depinde de determinarea concordanței mecanismelor de raportare și de schimb din jurisdicțiile din afara Uniunii și statele membre, ar trebui să se aplice numai în domeniul fiscal, și în special în scopul prezentei directive, și nu ar trebui să fie considerată drept bază pentru recunoașterea corespondenței în alte domenii ale dreptului Uniunii.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considerentul 3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(52)</w:t>
      </w:r>
      <w:r>
        <w:rPr>
          <w:noProof/>
        </w:rPr>
        <w:tab/>
      </w:r>
      <w:r>
        <w:rPr>
          <w:rStyle w:val="CRDeleted"/>
          <w:noProof/>
        </w:rPr>
        <w:t>Prin urmare, este oportun să se modifice Directiva 2011/16/UE a Consiliului pentru a stabili noi</w:t>
      </w:r>
      <w:r>
        <w:rPr>
          <w:noProof/>
        </w:rPr>
        <w:t xml:space="preserve"> </w:t>
      </w:r>
      <w:r>
        <w:rPr>
          <w:rStyle w:val="CRMinorChangeDeleted"/>
          <w:noProof/>
        </w:rPr>
        <w:t>n</w:t>
      </w:r>
      <w:r>
        <w:rPr>
          <w:rStyle w:val="CRMinorChangeAdded"/>
          <w:noProof/>
        </w:rPr>
        <w:t>N</w:t>
      </w:r>
      <w:r>
        <w:rPr>
          <w:noProof/>
        </w:rPr>
        <w:t>orme</w:t>
      </w:r>
      <w:r>
        <w:rPr>
          <w:rStyle w:val="CRMinorChangeAdded"/>
          <w:noProof/>
        </w:rPr>
        <w:t>le</w:t>
      </w:r>
      <w:r>
        <w:rPr>
          <w:noProof/>
        </w:rPr>
        <w:t xml:space="preserve"> privind schimbul automat de informații </w:t>
      </w:r>
      <w:r>
        <w:rPr>
          <w:rStyle w:val="CRMinorChangeDeleted"/>
          <w:noProof/>
        </w:rPr>
        <w:t>cu scopul de a</w:t>
      </w:r>
      <w:r>
        <w:rPr>
          <w:noProof/>
        </w:rPr>
        <w:t> </w:t>
      </w:r>
      <w:r>
        <w:rPr>
          <w:rStyle w:val="CRMinorChangeDeleted"/>
          <w:noProof/>
        </w:rPr>
        <w:t>facilita</w:t>
      </w:r>
      <w:r>
        <w:rPr>
          <w:noProof/>
        </w:rPr>
        <w:t xml:space="preserve"> </w:t>
      </w:r>
      <w:r>
        <w:rPr>
          <w:rStyle w:val="CRMinorChangeAdded"/>
          <w:noProof/>
        </w:rPr>
        <w:lastRenderedPageBreak/>
        <w:t>facilitează</w:t>
      </w:r>
      <w:r>
        <w:rPr>
          <w:noProof/>
        </w:rPr>
        <w:t xml:space="preserve"> schimbul de informații cu privire la Declarația privind impozitul suplimentar și</w:t>
      </w:r>
      <w:r>
        <w:rPr>
          <w:rStyle w:val="CRDeleted"/>
          <w:noProof/>
        </w:rPr>
        <w:t xml:space="preserve"> </w:t>
      </w:r>
      <w:r>
        <w:rPr>
          <w:rStyle w:val="CRMinorChangeDeleted"/>
          <w:noProof/>
        </w:rPr>
        <w:t>pentru a</w:t>
      </w:r>
      <w:r>
        <w:rPr>
          <w:noProof/>
        </w:rPr>
        <w:t> institui</w:t>
      </w:r>
      <w:r>
        <w:rPr>
          <w:rStyle w:val="CRMinorChangeAdded"/>
          <w:noProof/>
        </w:rPr>
        <w:t>e</w:t>
      </w:r>
      <w:r>
        <w:rPr>
          <w:noProof/>
        </w:rPr>
        <w:t xml:space="preserve"> </w:t>
      </w:r>
      <w:r>
        <w:rPr>
          <w:rStyle w:val="CRMinorChangeDeleted"/>
          <w:noProof/>
        </w:rPr>
        <w:t>astfel</w:t>
      </w:r>
      <w:r>
        <w:rPr>
          <w:noProof/>
        </w:rPr>
        <w:t xml:space="preserve"> cadrul pentru punerea în aplicare operațională a obligațiilor de declarare prevăzute în Directiva (UE) 2022/2523, în conformitate cu Acordul multilateral între autoritățile competente în ceea ce privește schimbul de informații GloBE elaborat de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Cadrul incluziv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w:t>
      </w:r>
      <w:r>
        <w:rPr>
          <w:noProof/>
        </w:rPr>
        <w:t>CI</w:t>
      </w:r>
      <w:r>
        <w:rPr>
          <w:rStyle w:val="CRMinorChangeAdded"/>
          <w:noProof/>
        </w:rPr>
        <w:t>)</w:t>
      </w:r>
      <w:r>
        <w:rPr>
          <w:noProof/>
        </w:rPr>
        <w:t xml:space="preserve"> al OCDE/G20 și cu comentariul aferent acestuia, precum și cu declarația informativă GloBE</w:t>
      </w:r>
      <w:r>
        <w:rPr>
          <w:rStyle w:val="CRMinorChangeAdded"/>
          <w:noProof/>
          <w:vertAlign w:val="superscript"/>
        </w:rPr>
        <w:footnoteReference w:id="37"/>
      </w:r>
      <w:r>
        <w:rPr>
          <w:noProof/>
        </w:rPr>
        <w:t xml:space="preserve">, în măsura în care aceste noi norme sunt în concordanță cu obligațiile de declarare prevăzute în Directiva (UE) 2022/2523 și cu dreptul Uniunii. </w:t>
      </w:r>
    </w:p>
    <w:p>
      <w:pPr>
        <w:pStyle w:val="CRSeparator"/>
        <w:rPr>
          <w:noProof/>
        </w:rPr>
      </w:pPr>
    </w:p>
    <w:p>
      <w:pPr>
        <w:pStyle w:val="CRReference"/>
        <w:rPr>
          <w:noProof/>
          <w:highlight w:val="lightGray"/>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considerentul 15 (adaptat)</w:t>
      </w:r>
    </w:p>
    <w:p>
      <w:pPr>
        <w:pStyle w:val="ManualConsidrant"/>
        <w:rPr>
          <w:noProof/>
        </w:rPr>
      </w:pPr>
      <w:r>
        <w:rPr>
          <w:noProof/>
        </w:rPr>
        <w:t>(53)</w:t>
      </w:r>
      <w:r>
        <w:rPr>
          <w:noProof/>
        </w:rPr>
        <w:tab/>
      </w:r>
      <w:r>
        <w:rPr>
          <w:rStyle w:val="CRDeleted"/>
          <w:noProof/>
        </w:rPr>
        <w:t>Directiva 2011/16/UE,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Prezenta directivă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inclusiv anexa VII la aceasta,</w:t>
      </w:r>
      <w:r>
        <w:rPr>
          <w:noProof/>
        </w:rPr>
        <w:t xml:space="preserve"> </w:t>
      </w:r>
      <w:r>
        <w:rPr>
          <w:rStyle w:val="CRDeleted"/>
          <w:noProof/>
        </w:rPr>
        <w:t>astfel cum este modificată prin prezenta directivă,</w:t>
      </w:r>
      <w:r>
        <w:rPr>
          <w:noProof/>
        </w:rPr>
        <w:t xml:space="preserve"> ar trebui să fie coroborată cu Directiva (UE) 2022/2523. Termenii stabiliți în scopul schimbului de informații cu privire la Declarația privind impozitul suplimentar în temeiul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prezentei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d</w:t>
      </w:r>
      <w:r>
        <w:rPr>
          <w:rStyle w:val="CRMinorChangeDeleted"/>
          <w:noProof/>
        </w:rPr>
        <w:t>D</w:t>
      </w:r>
      <w:r>
        <w:rPr>
          <w:noProof/>
        </w:rPr>
        <w:t>irective</w:t>
      </w:r>
      <w:r>
        <w:rPr>
          <w:rStyle w:val="CRMinorChangeDeleted"/>
          <w:noProof/>
        </w:rPr>
        <w:t>i</w:t>
      </w:r>
      <w:r>
        <w:rPr>
          <w:noProof/>
        </w:rPr>
        <w:t xml:space="preserve"> </w:t>
      </w:r>
      <w:r>
        <w:rPr>
          <w:rStyle w:val="CRMinorChangeDeleted"/>
          <w:noProof/>
        </w:rPr>
        <w:t>(UE) 2025/872</w:t>
      </w:r>
      <w:r>
        <w:rPr>
          <w:noProof/>
        </w:rPr>
        <w:t xml:space="preserve"> ar trebui să aibă același înțeles ca termenii din Directiva (UE) 2022/2523. În plus, prezenta directivă conține definiții suplimentare care sunt necesare pentru a reflecta evoluțiile înregistrate la nivel internațional în contextul schimbului de informații în domeniul fiscal.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considerentul 4</w:t>
      </w:r>
    </w:p>
    <w:p>
      <w:pPr>
        <w:pStyle w:val="ManualConsidrant"/>
        <w:rPr>
          <w:noProof/>
        </w:rPr>
      </w:pPr>
      <w:r>
        <w:rPr>
          <w:noProof/>
        </w:rPr>
        <w:t>(54)</w:t>
      </w:r>
      <w:r>
        <w:rPr>
          <w:noProof/>
        </w:rPr>
        <w:tab/>
        <w:t>Deși regula generală este că o entitate constitutivă depune o Declarație privind impozitul suplimentar la administrația sa fiscală (denumită în continuare „depunere la nivel local”), Directiva (UE) 2022/2523 prevede o derogare în temeiul căreia o entitate constitutivă nu are obligația de a depune o Declarație privind impozitul suplimentar la administrația sa fiscală dacă o Declarație privind impozitul suplimentar a fost depusă de societatea-mamă finală sau de o entitate desemnată să depună declarația, situată într-o jurisdicție care a încheiat, pentru anul fiscal de raportare, un acord privind stabilirea autorității competente cu statul membru în care își are sediul entitatea constitutivă (denumită în continuare „depunere la nivel central”). Prezenta directivă constituie un astfel de acord privind stabilirea autorității competente între statele membre.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considerentul 5 (adaptat)</w:t>
      </w:r>
    </w:p>
    <w:p>
      <w:pPr>
        <w:pStyle w:val="ManualConsidrant"/>
        <w:rPr>
          <w:noProof/>
        </w:rPr>
      </w:pPr>
      <w:r>
        <w:rPr>
          <w:noProof/>
        </w:rPr>
        <w:t>(55)</w:t>
      </w:r>
      <w:r>
        <w:rPr>
          <w:noProof/>
        </w:rPr>
        <w:tab/>
      </w:r>
      <w:r>
        <w:rPr>
          <w:rStyle w:val="CRDeleted"/>
          <w:noProof/>
        </w:rPr>
        <w:t>Noile</w:t>
      </w:r>
      <w:r>
        <w:rPr>
          <w:noProof/>
        </w:rPr>
        <w:t xml:space="preserve"> </w:t>
      </w:r>
      <w:r>
        <w:rPr>
          <w:rStyle w:val="CRMinorChangeAdded"/>
          <w:noProof/>
        </w:rPr>
        <w:t>N</w:t>
      </w:r>
      <w:r>
        <w:rPr>
          <w:rStyle w:val="CRMinorChangeDeleted"/>
          <w:noProof/>
        </w:rPr>
        <w:t>n</w:t>
      </w:r>
      <w:r>
        <w:rPr>
          <w:noProof/>
        </w:rPr>
        <w:t>orme</w:t>
      </w:r>
      <w:r>
        <w:rPr>
          <w:rStyle w:val="CRMinorChangeAdded"/>
          <w:noProof/>
        </w:rPr>
        <w:t>le</w:t>
      </w:r>
      <w:r>
        <w:rPr>
          <w:noProof/>
        </w:rPr>
        <w:t xml:space="preserve"> privind schimbul automat de informații ar trebui să permită depunerea la nivel central a Declarației privind impozitul suplimentar, în conformitate cu Directiva (UE) 2022/2523; ele pot servi, de asemenea, în scopul depunerii declarației în fiecare jurisdicție care pune în aplicare regulile-model ale OCDE (denumită în continuare „jurisdicție de punere în aplicare”)</w:t>
      </w:r>
      <w:r>
        <w:rPr>
          <w:rStyle w:val="CRMinorChangeDeleted"/>
          <w:noProof/>
        </w:rPr>
        <w:t>.</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astfel încât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rStyle w:val="CRMinorChangeDeleted"/>
          <w:noProof/>
        </w:rPr>
        <w:t>A</w:t>
      </w:r>
      <w:r>
        <w:rPr>
          <w:rStyle w:val="CRMinorChangeAdded"/>
          <w:noProof/>
        </w:rPr>
        <w:t>a</w:t>
      </w:r>
      <w:r>
        <w:rPr>
          <w:noProof/>
        </w:rPr>
        <w:t>dministrați</w:t>
      </w:r>
      <w:r>
        <w:rPr>
          <w:rStyle w:val="CRMinorChangeDeleted"/>
          <w:noProof/>
        </w:rPr>
        <w:t>ile</w:t>
      </w:r>
      <w:r>
        <w:rPr>
          <w:rStyle w:val="CRMinorChangeAdded"/>
          <w:noProof/>
        </w:rPr>
        <w:t>a</w:t>
      </w:r>
      <w:r>
        <w:rPr>
          <w:noProof/>
        </w:rPr>
        <w:t xml:space="preserve"> </w:t>
      </w:r>
      <w:r>
        <w:rPr>
          <w:noProof/>
        </w:rPr>
        <w:lastRenderedPageBreak/>
        <w:t>fiscal</w:t>
      </w:r>
      <w:r>
        <w:rPr>
          <w:rStyle w:val="CRMinorChangeDeleted"/>
          <w:noProof/>
        </w:rPr>
        <w:t>e</w:t>
      </w:r>
      <w:r>
        <w:rPr>
          <w:rStyle w:val="CRMinorChangeAdded"/>
          <w:noProof/>
        </w:rPr>
        <w:t>ă</w:t>
      </w:r>
      <w:r>
        <w:rPr>
          <w:noProof/>
        </w:rPr>
        <w:t xml:space="preserve"> din fiecare stat membru relevant </w:t>
      </w:r>
      <w:r>
        <w:rPr>
          <w:rStyle w:val="CRMinorChangeDeleted"/>
          <w:noProof/>
        </w:rPr>
        <w:t>ar trebui</w:t>
      </w:r>
      <w:r>
        <w:rPr>
          <w:noProof/>
        </w:rPr>
        <w:t xml:space="preserve"> să primească informațiile necesare </w:t>
      </w:r>
      <w:r>
        <w:rPr>
          <w:rStyle w:val="CRDeleted"/>
          <w:noProof/>
        </w:rPr>
        <w:t>care figurează în declarația-tip</w:t>
      </w:r>
      <w:r>
        <w:rPr>
          <w:noProof/>
        </w:rPr>
        <w:t xml:space="preser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considerentul 6 (adaptat)</w:t>
      </w:r>
    </w:p>
    <w:p>
      <w:pPr>
        <w:pStyle w:val="ManualConsidrant"/>
        <w:rPr>
          <w:noProof/>
        </w:rPr>
      </w:pPr>
      <w:r>
        <w:rPr>
          <w:noProof/>
        </w:rPr>
        <w:t>(56)</w:t>
      </w:r>
      <w:r>
        <w:rPr>
          <w:noProof/>
        </w:rPr>
        <w:tab/>
        <w:t xml:space="preserve">Statele membre ar trebui să ia măsurile necesare pentru a impune entităților constitutive din cadrul grupurilor de întreprinderi multinaționale care depun declarația să utilizeze </w:t>
      </w:r>
      <w:r>
        <w:rPr>
          <w:rStyle w:val="CRMinorChangeDeleted"/>
          <w:noProof/>
        </w:rPr>
        <w:t>modelul</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formularul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standard </w:t>
      </w:r>
      <w:r>
        <w:rPr>
          <w:rStyle w:val="CRDeleted"/>
          <w:noProof/>
        </w:rPr>
        <w:t>prevăzut</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stabilit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în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conformitate cu prezenta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d</w:t>
      </w:r>
      <w:r>
        <w:rPr>
          <w:rStyle w:val="CRMinorChangeDeleted"/>
          <w:noProof/>
        </w:rPr>
        <w:t>D</w:t>
      </w:r>
      <w:r>
        <w:rPr>
          <w:noProof/>
        </w:rPr>
        <w:t>irectiv</w:t>
      </w:r>
      <w:r>
        <w:rPr>
          <w:rStyle w:val="CRMinorChangeAdded"/>
          <w:noProof/>
        </w:rPr>
        <w:t>ă</w:t>
      </w:r>
      <w:r>
        <w:rPr>
          <w:rStyle w:val="CRMinorChangeDeleted"/>
          <w:noProof/>
        </w:rPr>
        <w:t>a</w:t>
      </w:r>
      <w:r>
        <w:rPr>
          <w:noProof/>
        </w:rPr>
        <w:t> </w:t>
      </w:r>
      <w:r>
        <w:rPr>
          <w:rStyle w:val="CRDeleted"/>
          <w:noProof/>
        </w:rPr>
        <w:t>2011/16/UE</w:t>
      </w:r>
      <w:r>
        <w:rPr>
          <w:noProof/>
        </w:rPr>
        <w:t xml:space="preserve"> pentru a-și îndeplini obligațiile de declarare în temeiul Directivei (UE) 2022/2523. Statele membre au libertatea de a stabili modelul care să fie utilizat de grupurile naționale de mari dimensiuni pentru a-și îndeplini obligațiile de declarare prevăzute în Directiva (UE) 2022/2523, cu excepția situațiilor specifice în care este necesar schimbul de informații.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considerentul 7 (adaptat)</w:t>
      </w:r>
    </w:p>
    <w:p>
      <w:pPr>
        <w:pStyle w:val="ManualConsidrant"/>
        <w:rPr>
          <w:noProof/>
        </w:rPr>
      </w:pPr>
      <w:r>
        <w:rPr>
          <w:noProof/>
        </w:rPr>
        <w:t>(57)</w:t>
      </w:r>
      <w:r>
        <w:rPr>
          <w:noProof/>
        </w:rPr>
        <w:tab/>
        <w:t xml:space="preserve">Atunci când un stat membru primește o Declarație privind impozitul suplimentar de la societatea-mamă finală sau de la entitatea din cadrul unui grup de întreprinderi multinaționale desemnată să depună declarația în contextul depunerii la nivel central în conformitate cu Directiva (UE) 2022/2523, statul membru respectiv ar trebui să comunice altor State membre de punere în aplicare sau statelor membre care aplică doar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impozitul suplimentar național calificat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(QDTT), în termen de trei luni de la termenul de depunere sau – în cazul primirii unei Declarații privind impozitul suplimentar după termenul de depunere – în termen de trei luni de la primirea declarației, părțile specifice relevante din Declarația privind impozitul suplimentar în conformitate cu abordarea în materie de diseminare aprobată de CI al OCDE/G20. În ceea ce privește primul An fiscal de raportare, termenul pentru comunicarea respectivelor părți specifice relevante a</w:t>
      </w:r>
      <w:r>
        <w:rPr>
          <w:rStyle w:val="CRMinorChangeAdded"/>
          <w:noProof/>
        </w:rPr>
        <w:t>le</w:t>
      </w:r>
      <w:r>
        <w:rPr>
          <w:noProof/>
        </w:rPr>
        <w:t xml:space="preserve"> Declarației privind impozitul suplimentar ar trebui să fie prelungit la șase luni de la termenul de depunere. </w:t>
      </w:r>
      <w:r>
        <w:rPr>
          <w:rStyle w:val="CRRefonteDeleted"/>
          <w:noProof/>
          <w:highlight w:val="lightGray"/>
        </w:rPr>
        <w:t>În plus, pentru a ține seama de eventualele întârzieri din cadrul noului sistem de schimb de informații, primul schimb de informații nu va avea loc în orice caz (și anume, pentru primul An fiscal de raportare și pentru Anul fiscal de raportare următor) mai devreme de 1 decembrie 2026.</w:t>
      </w:r>
      <w:r>
        <w:rPr>
          <w:noProof/>
        </w:rPr>
        <w:t xml:space="preser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considerentul 8</w:t>
      </w:r>
    </w:p>
    <w:p>
      <w:pPr>
        <w:pStyle w:val="ManualConsidrant"/>
        <w:rPr>
          <w:noProof/>
        </w:rPr>
      </w:pPr>
      <w:r>
        <w:rPr>
          <w:noProof/>
        </w:rPr>
        <w:t>(58)</w:t>
      </w:r>
      <w:r>
        <w:rPr>
          <w:noProof/>
        </w:rPr>
        <w:tab/>
        <w:t xml:space="preserve">Statul membru al societății-mamă finale a grupului de întreprinderi multinaționale ar trebui să primească Declarația completă privind impozitul suplimentar. Statul membru de punere în aplicare ar trebui să primească Secțiunea generală a Declarației privind impozitul suplimentar, cu condiția ca o entitate constitutivă a grupului de întreprinderi multinaționale să fie situată pe teritoriul său. Statele membre care aplică doar QDTT și pe teritoriul cărora sunt situate entități constitutive ale grupului de întreprinderi multinaționale ar trebui să primească părțile relevante din Secțiunea generală a Declarației privind impozitul suplimentar, deși statele care aplică doar QDTT nu ar trebui să trimită nicio informație cu privire la Declarația privind impozitul suplimentar prin schimbul automat de informații.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considerentul 9</w:t>
      </w:r>
    </w:p>
    <w:p>
      <w:pPr>
        <w:pStyle w:val="ManualConsidrant"/>
        <w:rPr>
          <w:noProof/>
        </w:rPr>
      </w:pPr>
      <w:r>
        <w:rPr>
          <w:noProof/>
        </w:rPr>
        <w:t>(59)</w:t>
      </w:r>
      <w:r>
        <w:rPr>
          <w:noProof/>
        </w:rPr>
        <w:tab/>
        <w:t>Secțiunile jurisdicționale ar trebui să fie puse la dispoziția statelor membre cu drepturi de impozitare în temeiul Directivei (UE) 2022/2523, inclusiv dreptul de a aplica QDTT, în conformitate cu abordarea în materie de diseminare.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considerentul 17 (adaptat)</w:t>
      </w:r>
    </w:p>
    <w:p>
      <w:pPr>
        <w:pStyle w:val="ManualConsidrant"/>
        <w:rPr>
          <w:noProof/>
        </w:rPr>
      </w:pPr>
      <w:r>
        <w:rPr>
          <w:noProof/>
        </w:rPr>
        <w:t>(60)</w:t>
      </w:r>
      <w:r>
        <w:rPr>
          <w:noProof/>
        </w:rPr>
        <w:tab/>
      </w:r>
      <w:r>
        <w:rPr>
          <w:rStyle w:val="CRMinorChangeDeleted"/>
          <w:noProof/>
        </w:rPr>
        <w:t>Modelul</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Formularul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standard pentru Declarația privind impozitul suplimentar </w:t>
      </w:r>
      <w:bookmarkStart w:id="30" w:name="_Hlk228369644"/>
      <w:r>
        <w:rPr>
          <w:rStyle w:val="CRDeleted"/>
          <w:noProof/>
        </w:rPr>
        <w:t>prevăzut în</w:t>
      </w:r>
      <w:bookmarkEnd w:id="30"/>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stabilit în conformitate cu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prezenta directivă asigură că informațiile și calculele fiscale pe care un grup de întreprinderi multinaționale trebuie să le declare în cadrul acestei declarații sunt suficient de cuprinzătoare pentru a le permite administrațiilor fiscale să efectueze o evaluare adecvată a riscurilor și să aprecieze corectitudinea obligației fiscale a unei entități constitutive în temeiul Directivei (UE) 2022/2523. În același timp, se urmărește evitarea impunerii unor cerințe inutile de colectare, calcul și raportare a informațiilor pentru grupurile de întreprinderi multinaționale, precum și evitarea expunerii contribuabililor la cereri multiple și necoordonate de informații suplimentare în fiecare jurisdicție de punere în aplicare. O Declarație privind impozitul suplimentar standardizată nu afectează capacitatea unei administrații fiscale de a solicita o declarație fiscală națională obișnuită sau de a colecta informații în scopul pregătirii declarației naționale privind impozitul suplimentar; prin urmare, statele membre ar trebui, în unele cazuri, să poată solicita raportarea unor puncte de date suplimentare pe lângă Declarația privind impozitul suplimentar în scopul pregătirii declarației fiscale (de exemplu, pentru a converti obligația privind impozitul suplimentar în monedă națională). Totuși, statele membre ar trebui, în general, să se abțină de la a solicita raportarea unor puncte de date suplimentare pe lângă Declarația privind impozitul suplimentar, ca parte a cerințelor privind declarația fiscală națională obișnuită și plata. Astfel de informații ar trebui să se refere, de exemplu, la obligația de plată, la momentul și metoda plății sau la identificarea contribuabilului și la datele de contact, mai degrabă decât la calcularea obligației privind impozitul suplimentar a unei entități constitutive. Prezenta directivă nu se aplică procedurilor naționale de audit fiscal și nu împiedică administrațiile fiscale să solicite, în cadrul unor cereri ulterioare, informațiile justificative de care au nevoie pentru a verifica respectarea dispozițiilor de transpunere a Directivei (UE) 2022/2523, în temeiul dreptului intern.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considerentul 18</w:t>
      </w:r>
    </w:p>
    <w:p>
      <w:pPr>
        <w:pStyle w:val="ManualConsidrant"/>
        <w:rPr>
          <w:noProof/>
        </w:rPr>
      </w:pPr>
      <w:r>
        <w:rPr>
          <w:noProof/>
        </w:rPr>
        <w:t>(61)</w:t>
      </w:r>
      <w:r>
        <w:rPr>
          <w:noProof/>
        </w:rPr>
        <w:tab/>
        <w:t xml:space="preserve">Pentru a asigura schimbul de informații privind asocierile în participație și egalitatea de tratament, în rarele cazuri în care o societate-mamă a unui grup național de mari dimensiuni deține o participație directă sau indirectă în capitalurile proprii ale unei asocieri în participație sau ale unei filiale a unei asocieri în participație, iar asocierea în participație sau filiala asocierii în participație respectivă face obiectul unui QDTT într-un alt stat membru, statele membre ar trebui să solicite ca un astfel de grup național de mari dimensiuni să utilizeze același model standard ca un grup de întreprinderi multinaționale, și anume, modelul standard pentru Declarația privind impozitul suplimentar prevăzut în prezenta directivă, atunci când își depune Declarația privind </w:t>
      </w:r>
      <w:r>
        <w:rPr>
          <w:noProof/>
        </w:rPr>
        <w:lastRenderedPageBreak/>
        <w:t>impozitul suplimentar. În consecință, statele membre ar trebui să se asigure că dispozițiile privind schimbul de informații sunt aplicate în astfel de cazuri.</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rPr>
      </w:pPr>
      <w:r>
        <w:rPr>
          <w:noProof/>
          <w:highlight w:val="lightGray"/>
        </w:rPr>
        <w:t>(62)</w:t>
      </w:r>
      <w:r>
        <w:rPr>
          <w:noProof/>
        </w:rPr>
        <w:tab/>
      </w:r>
      <w:r>
        <w:rPr>
          <w:noProof/>
          <w:highlight w:val="lightGray"/>
        </w:rPr>
        <w:t>Entitățile care intră în domeniul de aplicare al raportării pentru fiecare țară în parte și în domeniul de aplicare al Directivei (UE) 2022/2523 au obligația de a depune notificări pentru a-și informa autoritatea fiscală cu privire la entitatea care va depune raportul pentru fiecare țară în parte și la entitatea care va depune Declarația privind impozitul suplimentar pentru ele. Întrucât ambele notificări necesită aceleași informații, pentru a raționaliza procesele, a reduce sarcina administrativă și a reduce costurile asociate, acestor entități ar trebui să li se permită să depună notificările respective la nivel central într-un stat membru. Statele membre ar trebui apoi să se asigure că se aplică dispozițiile privind schimbul de informații cuprinse în notificări și, în consecință, s-ar depune o singură notificare pentru fiecare grup de întreprinderi multinaționale.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considerentul 9</w:t>
      </w:r>
    </w:p>
    <w:p>
      <w:pPr>
        <w:pStyle w:val="ManualConsidrant"/>
        <w:rPr>
          <w:noProof/>
        </w:rPr>
      </w:pPr>
      <w:r>
        <w:rPr>
          <w:noProof/>
        </w:rPr>
        <w:t>(63)</w:t>
      </w:r>
      <w:r>
        <w:rPr>
          <w:noProof/>
        </w:rPr>
        <w:tab/>
        <w:t xml:space="preserve">Statele membre ar trebui să facă schimb de informații privind cazuri specifice în cazul în care acest lucru este solicitat de un alt stat membru și să facă demersurile necesare pentru a obține aceste informații. Standardul „relevanței previzibile” are rolul de a crea condițiile pentru schimbul de informații în domeniul fiscal în cea mai mare măsură posibilă și, în același timp, de a clarifica faptul că statele membre nu au posibilitatea de a se implica în „anchete pentru găsirea probelor” sau de a solicita informații puțin probabil a fi relevante pentru veniturile impozabile ale unui contribuabil dat. Articolul </w:t>
      </w:r>
      <w:r>
        <w:rPr>
          <w:rStyle w:val="CRMinorChangeDeleted"/>
          <w:noProof/>
        </w:rPr>
        <w:t>20</w:t>
      </w:r>
      <w:r>
        <w:rPr>
          <w:noProof/>
        </w:rPr>
        <w:t xml:space="preserve"> </w:t>
      </w:r>
      <w:r>
        <w:rPr>
          <w:rStyle w:val="CRMinorChangeAdded"/>
          <w:noProof/>
        </w:rPr>
        <w:t>42</w:t>
      </w:r>
      <w:r>
        <w:rPr>
          <w:noProof/>
        </w:rPr>
        <w:t xml:space="preserve"> din prezenta directivă cuprinde cerințe procedurale; aceste dispoziții ar trebui interpretate într-un mod mai larg, pentru a nu împiedica schimbul efectiv de informații.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3 (adaptat)</w:t>
      </w:r>
    </w:p>
    <w:p>
      <w:pPr>
        <w:pStyle w:val="ManualConsidrant"/>
        <w:rPr>
          <w:noProof/>
        </w:rPr>
      </w:pPr>
      <w:r>
        <w:rPr>
          <w:noProof/>
        </w:rPr>
        <w:t>(64)</w:t>
      </w:r>
      <w:r>
        <w:rPr>
          <w:noProof/>
        </w:rPr>
        <w:tab/>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Atunci când răspunde unei cereri de informații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În temeiul articolului 5 din Directiva 2011/16/UE</w:t>
      </w:r>
      <w:r>
        <w:rPr>
          <w:noProof/>
        </w:rPr>
        <w:t xml:space="preserve">, autoritatea solicitată trebuie să comunice autorității solicitante toate informațiile de care dispune sau pe care le obține prin efectuarea de anchete administrative, care sunt relevante în mod previzibil pentru administrarea și aplicarea dispozițiilor de drept intern ale statelor membre cu privire la taxele și impozitele care intră sub incidența directivei menționate. </w:t>
      </w:r>
      <w:r>
        <w:rPr>
          <w:rStyle w:val="CRRefonteDeleted"/>
          <w:noProof/>
          <w:highlight w:val="lightGray"/>
        </w:rPr>
        <w:t>Pentru a asigura eficacitatea schimbului de informații și pentru a preveni respingerea nejustificată a cererilor, precum și pentru a asigura securitatea juridică atât pentru administrațiile fiscale, cât și pentru contribuabili, standardul relevanței previzibile convenit la nivel internațional ar trebui să fie delimitat și codificat în mod clar.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4</w:t>
      </w:r>
    </w:p>
    <w:p>
      <w:pPr>
        <w:pStyle w:val="ManualConsidrant"/>
        <w:rPr>
          <w:noProof/>
        </w:rPr>
      </w:pPr>
      <w:r>
        <w:rPr>
          <w:noProof/>
        </w:rPr>
        <w:t>(65)</w:t>
      </w:r>
      <w:r>
        <w:rPr>
          <w:noProof/>
        </w:rPr>
        <w:tab/>
        <w:t xml:space="preserve">Uneori este necesar să se răspundă unor cereri de informații care vizează grupuri de contribuabili care nu pot fi identificați individual, iar relevanța previzibilă a informațiilor solicitate poate fi descrisă numai pe baza unui set de caracteristici </w:t>
      </w:r>
      <w:r>
        <w:rPr>
          <w:noProof/>
        </w:rPr>
        <w:lastRenderedPageBreak/>
        <w:t>comune. Având în vedere acest lucru, administrațiile fiscale ar trebui să continue să utilizeze cererile de informații referitoare la grupuri într-un cadru juridic clar.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considerentul 11 (adaptat)</w:t>
      </w:r>
    </w:p>
    <w:p>
      <w:pPr>
        <w:pStyle w:val="ManualConsidrant"/>
        <w:rPr>
          <w:noProof/>
        </w:rPr>
      </w:pPr>
      <w:r>
        <w:rPr>
          <w:noProof/>
        </w:rPr>
        <w:t>(66)</w:t>
      </w:r>
      <w:r>
        <w:rPr>
          <w:noProof/>
        </w:rPr>
        <w:tab/>
        <w:t xml:space="preserve">Schimbul spontan de informații între statele membre ar trebui de asemenea </w:t>
      </w:r>
      <w:r>
        <w:rPr>
          <w:rStyle w:val="CRDeleted"/>
          <w:noProof/>
          <w:color w:val="333333"/>
        </w:rPr>
        <w:t>intensificat și</w:t>
      </w:r>
      <w:r>
        <w:rPr>
          <w:noProof/>
          <w:color w:val="333333"/>
          <w:sz w:val="27"/>
          <w:shd w:val="clear" w:color="auto" w:fill="FFFFFF"/>
        </w:rPr>
        <w:t xml:space="preserve"> </w:t>
      </w:r>
      <w:r>
        <w:rPr>
          <w:noProof/>
        </w:rPr>
        <w:t>încurajat.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considerentul 12</w:t>
      </w:r>
    </w:p>
    <w:p>
      <w:pPr>
        <w:pStyle w:val="ManualConsidrant"/>
        <w:rPr>
          <w:noProof/>
        </w:rPr>
      </w:pPr>
      <w:r>
        <w:rPr>
          <w:noProof/>
        </w:rPr>
        <w:t>(67)</w:t>
      </w:r>
      <w:r>
        <w:rPr>
          <w:noProof/>
        </w:rPr>
        <w:tab/>
        <w:t>Autoritatea competentă care primește informațiile ar trebui să transmită o notificare autorității competente care trimite informațiile atunci când are motive să creadă că informațiile incluse într-o Declarație privind impozitul suplimentar care fac obiectul schimbului de informații necesită corecții. Întrucât o astfel de notificare are loc, în mod normal, înainte de efectuarea unei evaluări a riscurilor sau examinări fiscale mai aprofundate, autoritatea competentă care trimite informațiile ar trebui să fie notificată numai cu privire la erorile evidente identificate. Informațiile corectate ar trebui să fie comunicate, fără întârzieri nejustificate, tuturor autorităților competente pentru care informațiile respective fac obiectul schimbului în conformitate cu prezenta directivă. Această procedură nu împiedică administrațiile fiscale să solicite, în cadrul unor cereri ulterioare, corecțiile necesare pentru a verifica respectarea Directivei (UE) 2022/2523, în temeiul dreptului intern.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considerentul 13 (adaptat)</w:t>
      </w:r>
    </w:p>
    <w:p>
      <w:pPr>
        <w:pStyle w:val="ManualConsidrant"/>
        <w:rPr>
          <w:noProof/>
        </w:rPr>
      </w:pPr>
      <w:r>
        <w:rPr>
          <w:noProof/>
        </w:rPr>
        <w:t>(68)</w:t>
      </w:r>
      <w:r>
        <w:rPr>
          <w:noProof/>
        </w:rPr>
        <w:tab/>
        <w:t>În cazul în care o autoritate competentă nu primește informațiile preconizate în urma unei notificări din partea unui grup de întreprinderi multinaționale, aceasta ar trebui să notifice nerealizarea schimbului autorității competente care trebuia să trimită informațiile. Autoritatea competentă care trebuia să trimită informațiile ar trebui să stabilească, fără întârzieri nejustificate, motivul pentru care nu a avut loc schimbul de informații relevante și să informeze, în termen de o lună, autoritatea competentă care a notificat nerealizarea schimbului cu privire la motivul respectiv, indicând, după caz, noua dată preconizată pentru realizarea schimbului de informații. Pentru a asigura aplicarea eficace 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prezentei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d</w:t>
      </w:r>
      <w:r>
        <w:rPr>
          <w:rStyle w:val="CRMinorChangeDeleted"/>
          <w:noProof/>
        </w:rPr>
        <w:t>D</w:t>
      </w:r>
      <w:r>
        <w:rPr>
          <w:noProof/>
        </w:rPr>
        <w:t>irective</w:t>
      </w:r>
      <w:r>
        <w:rPr>
          <w:rStyle w:val="CRMinorChangeDeleted"/>
          <w:noProof/>
        </w:rPr>
        <w:t>i</w:t>
      </w:r>
      <w:r>
        <w:rPr>
          <w:noProof/>
        </w:rPr>
        <w:t> </w:t>
      </w:r>
      <w:r>
        <w:rPr>
          <w:rStyle w:val="CRDeleted"/>
          <w:noProof/>
        </w:rPr>
        <w:t>2011/16/UE</w:t>
      </w:r>
      <w:r>
        <w:rPr>
          <w:noProof/>
        </w:rPr>
        <w:t xml:space="preserve">, se consideră că schimbul de informații ar trebui să aibă loc cât mai curând posibil pentru a se evita cauzarea de întârzieri suplimentare pentru statele membre. Termenul preconizat pentru realizarea schimbului de informații ar trebui să nu depășească trei luni de la data primirii notificării privind nerealizarea schimbului.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considerentul 14</w:t>
      </w:r>
    </w:p>
    <w:p>
      <w:pPr>
        <w:pStyle w:val="ManualConsidrant"/>
        <w:rPr>
          <w:noProof/>
        </w:rPr>
      </w:pPr>
      <w:r>
        <w:rPr>
          <w:noProof/>
        </w:rPr>
        <w:t>(69)</w:t>
      </w:r>
      <w:r>
        <w:rPr>
          <w:noProof/>
        </w:rPr>
        <w:tab/>
        <w:t>În cazul în care Declarația privind impozitul suplimentar nu a fost depusă la nivel central de către societatea-mamă finală sau de către entitatea din cadrul unui grup de întreprinderi multinaționale desemnată să depună declarația, iar informațiile nu sunt primite până la noua dată preconizată pentru realizarea schimbului de informații, se consideră că autoritatea competentă care a notificat nerealizarea schimbului poate solicita depunerea declarației la nivel local, deoarece condițiile pentru depunerea acesteia la nivel central în temeiul Directivei (UE) 2022/2523 nu au fost îndeplinite.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considerentul 12 (adaptat)</w:t>
      </w:r>
    </w:p>
    <w:p>
      <w:pPr>
        <w:pStyle w:val="ManualConsidrant"/>
        <w:rPr>
          <w:noProof/>
        </w:rPr>
      </w:pPr>
      <w:r>
        <w:rPr>
          <w:noProof/>
        </w:rPr>
        <w:t>(70)</w:t>
      </w:r>
      <w:r>
        <w:rPr>
          <w:noProof/>
        </w:rPr>
        <w:tab/>
        <w:t xml:space="preserve">Ar trebui prevăzute termenele-limită pentru furnizarea de informații în temeiul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prezentei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 pentru a asigura faptul că schimbul de informații se produce la timp și, în consecință, este eficace.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22 (adaptat)</w:t>
      </w:r>
    </w:p>
    <w:p>
      <w:pPr>
        <w:pStyle w:val="ManualConsidrant"/>
        <w:rPr>
          <w:noProof/>
        </w:rPr>
      </w:pPr>
      <w:r>
        <w:rPr>
          <w:noProof/>
        </w:rPr>
        <w:t>(71)</w:t>
      </w:r>
      <w:r>
        <w:rPr>
          <w:noProof/>
        </w:rPr>
        <w:tab/>
      </w:r>
      <w:r>
        <w:rPr>
          <w:rStyle w:val="CRDeleted"/>
          <w:noProof/>
        </w:rPr>
        <w:t>Este necesar să se consolideze dispozițiile Directivei 2011/16/UE în ceea ce privește prezența funcționarilor unui stat membru pe teritoriul altui stat membru și efectuarea unor controale simultane de către două sau mai multe state membre pentru a se asigura aplicarea eficace a respectivelor dispoziții. Prin urmare, r</w:t>
      </w:r>
      <w:r>
        <w:rPr>
          <w:rStyle w:val="CRMinorChangeAdded"/>
          <w:noProof/>
        </w:rPr>
        <w:t>R</w:t>
      </w:r>
      <w:r>
        <w:rPr>
          <w:noProof/>
        </w:rPr>
        <w:t>ăspunsurile la cererile privind prezența funcționarilor altui stat membru ar trebui să fie transmise de către autoritatea competentă a statului membru solicitat într-un termen determinat. Atunci când funcționarii unui stat membru sunt prezenți pe teritoriul altui stat membru în timpul unei anchete administrative sau participă la o anchetă administrativă prin intermediul mijloacelor de comunicare electronice, aceștia ar trebui să respecte normele procedurale prevăzute de statul membru solicitat pentru a intervieva în mod direct persoane fizice și a examina evidențe.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considerentul 13</w:t>
      </w:r>
    </w:p>
    <w:p>
      <w:pPr>
        <w:pStyle w:val="ManualConsidrant"/>
        <w:rPr>
          <w:noProof/>
        </w:rPr>
      </w:pPr>
      <w:r>
        <w:rPr>
          <w:noProof/>
        </w:rPr>
        <w:t>(72)</w:t>
      </w:r>
      <w:r>
        <w:rPr>
          <w:noProof/>
        </w:rPr>
        <w:tab/>
        <w:t>Este important să li se permită funcționarilor din cadrul administrației fiscale a unui stat membru să fie prezenți pe teritoriul unui alt stat membru.</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considerentul 14</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(73)</w:t>
      </w:r>
      <w:r>
        <w:rPr>
          <w:noProof/>
        </w:rPr>
        <w:tab/>
        <w:t xml:space="preserve">Deoarece situația fiscală a uneia sau a mai multor persoane impozabile stabilite în mai multe state membre prezintă adesea un interes comun sau complementar, este necesar să se prevadă posibilitatea ca aceste persoane să fie controlate simultan de către două sau mai multe state membre, prin acord reciproc și pe bază de voluntariat.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De asemenea, ar trebui să fie posibil să se efectueze controale simultane în ceea ce privește Operatorii de platforme care au obligația de raportare care nu au o prezență economică în Uniune, dar care facilitează furnizarea de activități relevante în Uniune, astfel cum sunt definite în secțiunea I punctul A.8 din anexa V.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23</w:t>
      </w:r>
    </w:p>
    <w:p>
      <w:pPr>
        <w:pStyle w:val="ManualConsidrant"/>
        <w:rPr>
          <w:noProof/>
        </w:rPr>
      </w:pPr>
      <w:r>
        <w:rPr>
          <w:noProof/>
        </w:rPr>
        <w:t>(74)</w:t>
      </w:r>
      <w:r>
        <w:rPr>
          <w:noProof/>
        </w:rPr>
        <w:tab/>
        <w:t>Unui stat membru care intenționează să efectueze un control simultan ar trebui să-i revină obligația de a le comunica celorlalte state membre vizate intenția sa. Din motive de eficiență și de securitate juridică, este oportun să se prevadă că autorității competente din fiecare stat membru vizat îi revine obligația să răspundă într-un termen determinat.</w:t>
      </w:r>
    </w:p>
    <w:p>
      <w:pPr>
        <w:pStyle w:val="CRSeparator"/>
        <w:rPr>
          <w:noProof/>
        </w:rPr>
      </w:pPr>
    </w:p>
    <w:p>
      <w:pPr>
        <w:pStyle w:val="CRReference"/>
        <w:rPr>
          <w:noProof/>
          <w:highlight w:val="lightGray"/>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24 (adaptat)</w:t>
      </w:r>
    </w:p>
    <w:p>
      <w:pPr>
        <w:pStyle w:val="ManualConsidrant"/>
        <w:rPr>
          <w:noProof/>
        </w:rPr>
      </w:pPr>
      <w:r>
        <w:rPr>
          <w:noProof/>
        </w:rPr>
        <w:t>(75)</w:t>
      </w:r>
      <w:r>
        <w:rPr>
          <w:noProof/>
        </w:rPr>
        <w:tab/>
        <w:t xml:space="preserve">Controalele multilaterale efectuate cu sprijinul programului Fiscalis </w:t>
      </w:r>
      <w:r>
        <w:rPr>
          <w:rStyle w:val="CRDeleted"/>
          <w:noProof/>
        </w:rPr>
        <w:t>2020</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pentru cooperare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instituit prin Regulamentul </w:t>
      </w:r>
      <w:r>
        <w:rPr>
          <w:rStyle w:val="CRDeleted"/>
          <w:noProof/>
        </w:rPr>
        <w:t>(UE) nr. 1286/2013</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(UE) 2021/847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al Parlamentului European și al Consiliului</w:t>
      </w:r>
      <w:r>
        <w:rPr>
          <w:rStyle w:val="CRMinorChangeAdded"/>
          <w:noProof/>
          <w:vertAlign w:val="superscript"/>
        </w:rPr>
        <w:footnoteReference w:id="38"/>
      </w:r>
      <w:r>
        <w:rPr>
          <w:noProof/>
        </w:rPr>
        <w:t xml:space="preserve"> au demonstrat avantajul controalelor coordonate privind unul sau mai mulți contribuabili care sunt de interes comun sau complementar pentru autoritățile competente din două sau mai multe state membre. </w:t>
      </w:r>
      <w:r>
        <w:rPr>
          <w:rStyle w:val="CRDeleted"/>
          <w:noProof/>
        </w:rPr>
        <w:t>Astfel de acțiuni comune se realizează în prezent numai pe baza aplicării coroborate a dispozițiilor existente referitoare la prezența funcționarilor unui stat membru pe teritoriul altui stat membru și la controalele simultane. Totuși, respectiva practică a arătat în numeroase cazuri că sunt necesare îmbunătățiri suplimentare pentru a asigura securitatea juridică.</w:t>
      </w:r>
      <w:r>
        <w:rPr>
          <w:noProof/>
        </w:rPr>
        <w:t xml:space="preser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25 (adaptat)</w:t>
      </w:r>
    </w:p>
    <w:p>
      <w:pPr>
        <w:pStyle w:val="ManualConsidrant"/>
        <w:rPr>
          <w:noProof/>
        </w:rPr>
      </w:pPr>
      <w:r>
        <w:rPr>
          <w:noProof/>
        </w:rPr>
        <w:t>(76)</w:t>
      </w:r>
      <w:r>
        <w:rPr>
          <w:noProof/>
        </w:rPr>
        <w:tab/>
      </w:r>
      <w:r>
        <w:rPr>
          <w:rStyle w:val="CRDeleted"/>
          <w:noProof/>
        </w:rPr>
        <w:t>Prin urmare, Directiva 2011/16/UE ar trebui să fie completată cu o serie de dispoziții care să clarifice mai bine cadrul și principiile de bază care ar trebui să se aplice atunci când autoritățile competente din statele membre optează să recurgă la un control comun.</w:t>
      </w:r>
      <w:r>
        <w:rPr>
          <w:noProof/>
        </w:rPr>
        <w:t xml:space="preserve"> Controalele comune ar trebui să reprezinte un instrument </w:t>
      </w:r>
      <w:r>
        <w:rPr>
          <w:rStyle w:val="CRDeleted"/>
          <w:noProof/>
        </w:rPr>
        <w:t>suplimentar</w:t>
      </w:r>
      <w:r>
        <w:rPr>
          <w:noProof/>
        </w:rPr>
        <w:t xml:space="preserve"> pentru cooperarea administrativă în domeniul fiscal între statele membre, care </w:t>
      </w:r>
      <w:r>
        <w:rPr>
          <w:rStyle w:val="CRDeleted"/>
          <w:noProof/>
        </w:rPr>
        <w:t>ar completa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ar trebui să completeze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cadrul </w:t>
      </w:r>
      <w:r>
        <w:rPr>
          <w:rStyle w:val="CRDeleted"/>
          <w:noProof/>
        </w:rPr>
        <w:t>existent</w:t>
      </w:r>
      <w:r>
        <w:rPr>
          <w:noProof/>
        </w:rPr>
        <w:t xml:space="preserve"> care prevede posibilitatea prezenței funcționarilor din alt stat membru în birourile administrative, a participării lor la anchete administrative, precum și a controalelor simultane. Controalele comune </w:t>
      </w:r>
      <w:r>
        <w:rPr>
          <w:rStyle w:val="CRDeleted"/>
          <w:noProof/>
        </w:rPr>
        <w:t>ar urma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ar trebui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să ia forma unor anchete administrative desfășurate în comun de autoritățile competente din două sau mai multe state membre și </w:t>
      </w:r>
      <w:r>
        <w:rPr>
          <w:rStyle w:val="CRDeleted"/>
          <w:noProof/>
        </w:rPr>
        <w:t>ar avea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ar trebui să aibă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legătură cu una sau mai multe persoane care sunt de interes comun sau complementar pentru autoritățile competente din statele membre respective. Controalele comune pot avea un rol important, contribuind la o mai bună funcționare a pieței interne. Controalele comune ar trebui să fie structurate astfel încât să ofere securitate juridică contribuabililor prin intermediul unor norme procedurale clare, inclusiv prin măsuri pentru reducerea riscului dublei impozitări.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26 (adaptat)</w:t>
      </w:r>
    </w:p>
    <w:p>
      <w:pPr>
        <w:pStyle w:val="ManualConsidrant"/>
        <w:rPr>
          <w:noProof/>
        </w:rPr>
      </w:pPr>
      <w:r>
        <w:rPr>
          <w:noProof/>
        </w:rPr>
        <w:t>(77)</w:t>
      </w:r>
      <w:r>
        <w:rPr>
          <w:noProof/>
        </w:rPr>
        <w:tab/>
        <w:t xml:space="preserve">În scopul asigurării securității juridice, dispozițiile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prezentei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d</w:t>
      </w:r>
      <w:r>
        <w:rPr>
          <w:rStyle w:val="CRMinorChangeDeleted"/>
          <w:noProof/>
        </w:rPr>
        <w:t>D</w:t>
      </w:r>
      <w:r>
        <w:rPr>
          <w:noProof/>
        </w:rPr>
        <w:t>irective</w:t>
      </w:r>
      <w:r>
        <w:rPr>
          <w:rStyle w:val="CRMinorChangeDeleted"/>
          <w:noProof/>
        </w:rPr>
        <w:t>i</w:t>
      </w:r>
      <w:r>
        <w:rPr>
          <w:noProof/>
        </w:rPr>
        <w:t xml:space="preserve"> </w:t>
      </w:r>
      <w:r>
        <w:rPr>
          <w:rStyle w:val="CRDeleted"/>
          <w:noProof/>
        </w:rPr>
        <w:t>2011/16/UE</w:t>
      </w:r>
      <w:r>
        <w:rPr>
          <w:noProof/>
        </w:rPr>
        <w:t xml:space="preserve"> referitoare la controalele comune ar trebui să prevadă, de asemenea, principalele aspecte ale detaliilor suplimentare privind respectivul instrument, de exemplu în ceea ce privește termenul determinat pentru a răspunde la o cerere de control comun, sfera drepturilor și a obligațiilor funcționarilor care participă la un control comun și procedura care conduce la întocmirea unui raport final al unui control comun. Respectivele dispoziții referitoare la controalele comune nu ar trebui să fie interpretate ca aducând atingere unei proceduri care ar avea loc într-un stat membru în </w:t>
      </w:r>
      <w:r>
        <w:rPr>
          <w:noProof/>
        </w:rPr>
        <w:lastRenderedPageBreak/>
        <w:t xml:space="preserve">conformitate cu dreptul intern ca o consecință sau măsură ulterioară controlului comun, cum ar fi impozitarea sau evaluarea fiscală printr-o decizie a autorităților fiscale din statele membre, procedura de recurs sau de soluționare în legătură cu acestea sau căile de atac aflate la dispoziția contribuabililor în urma acestor proceduri. Pentru a se asigura securitatea juridică, raportul final al unui control comun ar trebui să reflecte constatările asupra cărora au convenit autoritățile competente în cauză. În plus, autoritățile competente în cauză ar putea conveni, de asemenea, ca raportul final al unui control comun să includă orice aspect în privința căruia nu s-a putut ajunge la un acord. Constatările din raportul final al unui control comun asupra cărora s-a convenit de comun acord ar trebui luate în considerare în cadrul instrumentelor relevante emise de autoritățile competente ale statelor membre participante în urma controlului comun respectiv.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27</w:t>
      </w:r>
    </w:p>
    <w:p>
      <w:pPr>
        <w:pStyle w:val="ManualConsidrant"/>
        <w:rPr>
          <w:noProof/>
        </w:rPr>
      </w:pPr>
      <w:r>
        <w:rPr>
          <w:noProof/>
        </w:rPr>
        <w:t>(78)</w:t>
      </w:r>
      <w:r>
        <w:rPr>
          <w:noProof/>
        </w:rPr>
        <w:tab/>
        <w:t>Pentru a se asigura securitatea juridică, ar trebui să se prevadă că în ceea ce privește controalele comune, acestea ar trebui să se desfășoare într-un mod coordonat și convenit în prealabil și în conformitate cu normele de drept material și procedural ale statului membru în care au loc activitățile controlului comun. Cerințele respective pot include și o obligație prin care să se asigure faptul că funcționarii unui stat membru care au participat la controlul comun dintr-un alt stat membru participă, de asemenea, dacă este necesar, la orice proceduri privind plângeri, reexaminări sau căi de atac în statul membru respectiv.</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29</w:t>
      </w:r>
    </w:p>
    <w:p>
      <w:pPr>
        <w:pStyle w:val="ManualConsidrant"/>
        <w:rPr>
          <w:noProof/>
        </w:rPr>
      </w:pPr>
      <w:r>
        <w:rPr>
          <w:noProof/>
        </w:rPr>
        <w:t>(79)</w:t>
      </w:r>
      <w:r>
        <w:rPr>
          <w:noProof/>
        </w:rPr>
        <w:tab/>
        <w:t xml:space="preserve">Deși obiectivul dispozițiilor privind controalele comune este de a oferi un instrument util pentru cooperarea administrativă în domeniul fiscal, nicio dispoziție din prezenta directivă nu ar trebui să fie interpretată ca fiind contrară normelor în vigoare privind cooperarea în materie judiciară între statele membre.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2015/2376 considerentul 15</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(80)</w:t>
      </w:r>
      <w:r>
        <w:rPr>
          <w:noProof/>
        </w:rPr>
        <w:tab/>
        <w:t xml:space="preserve">Feedbackul oferit de statul membru care primește informațiile statului membru care le transmite este un element necesar al funcționării unui sistem eficient de schimb automat de informații. Prin urmare, este oportun să subliniem că autoritățile competente ale statelor membre ar trebui să transmită,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cel puțin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 dată pe an, feedback cu privire la schimbul automat de informații celorlalte state membre în cauză. În practică, acest feedback obligatoriu ar trebui să se efectueze pe baza unor acorduri convenite bilateral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și cu sprijinul tehnic al Comisiei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considerentul 8 (adaptat)</w:t>
      </w:r>
    </w:p>
    <w:p>
      <w:pPr>
        <w:pStyle w:val="ManualConsidrant"/>
        <w:rPr>
          <w:noProof/>
        </w:rPr>
      </w:pPr>
      <w:r>
        <w:rPr>
          <w:noProof/>
        </w:rPr>
        <w:t>(81)</w:t>
      </w:r>
      <w:r>
        <w:rPr>
          <w:noProof/>
        </w:rPr>
        <w:tab/>
      </w:r>
      <w:r>
        <w:rPr>
          <w:noProof/>
          <w:color w:val="333333"/>
          <w:shd w:val="clear" w:color="auto" w:fill="FFFFFF"/>
        </w:rPr>
        <w:t xml:space="preserve">Este necesar să existe un contact </w:t>
      </w:r>
      <w:r>
        <w:rPr>
          <w:rStyle w:val="CRDeleted"/>
          <w:noProof/>
          <w:color w:val="333333"/>
        </w:rPr>
        <w:t>mai</w:t>
      </w:r>
      <w:r>
        <w:rPr>
          <w:noProof/>
          <w:color w:val="333333"/>
          <w:shd w:val="clear" w:color="auto" w:fill="FFFFFF"/>
        </w:rPr>
        <w:t xml:space="preserve"> direct între birourile locale sau naționale responsabile de cooperarea administrativă din statele membre, regula fiind comunicarea între birourile centrale de legătură. </w:t>
      </w:r>
      <w:r>
        <w:rPr>
          <w:rStyle w:val="CRDeleted"/>
          <w:noProof/>
          <w:color w:val="333333"/>
        </w:rPr>
        <w:t xml:space="preserve">Lipsa contactelor directe conduce la ineficiență, la utilizarea insuficientă a mecanismelor de cooperare administrativă și la </w:t>
      </w:r>
      <w:r>
        <w:rPr>
          <w:rStyle w:val="CRDeleted"/>
          <w:noProof/>
          <w:color w:val="333333"/>
        </w:rPr>
        <w:lastRenderedPageBreak/>
        <w:t>întârzieri în comunicarea informațiilor.</w:t>
      </w:r>
      <w:r>
        <w:rPr>
          <w:noProof/>
          <w:color w:val="333333"/>
          <w:shd w:val="clear" w:color="auto" w:fill="FFFFFF"/>
        </w:rPr>
        <w:t xml:space="preserve"> </w:t>
      </w:r>
      <w:r>
        <w:rPr>
          <w:rStyle w:val="CRDeleted"/>
          <w:noProof/>
        </w:rPr>
        <w:t>Prin urmare, este necesar să se prevadă dispoziții care să permită</w:t>
      </w:r>
      <w:r>
        <w:rPr>
          <w:noProof/>
          <w:shd w:val="clear" w:color="auto" w:fill="FFFFF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Ar trebui să aibă loc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contacte </w:t>
      </w:r>
      <w:r>
        <w:rPr>
          <w:rStyle w:val="CRDeleted"/>
          <w:noProof/>
        </w:rPr>
        <w:t>mai</w:t>
      </w:r>
      <w:r>
        <w:rPr>
          <w:noProof/>
        </w:rPr>
        <w:t xml:space="preserve"> </w:t>
      </w:r>
      <w:r>
        <w:rPr>
          <w:noProof/>
          <w:shd w:val="clear" w:color="auto" w:fill="FFFFFF"/>
        </w:rPr>
        <w:t xml:space="preserve">directe </w:t>
      </w:r>
      <w:r>
        <w:rPr>
          <w:noProof/>
          <w:color w:val="333333"/>
          <w:shd w:val="clear" w:color="auto" w:fill="FFFFFF"/>
        </w:rPr>
        <w:t xml:space="preserve">între servicii în vederea unei cooperări </w:t>
      </w:r>
      <w:r>
        <w:rPr>
          <w:rStyle w:val="CRDeleted"/>
          <w:noProof/>
          <w:color w:val="333333"/>
        </w:rPr>
        <w:t>mai</w:t>
      </w:r>
      <w:r>
        <w:rPr>
          <w:noProof/>
          <w:color w:val="333333"/>
          <w:shd w:val="clear" w:color="auto" w:fill="FFFFFF"/>
        </w:rPr>
        <w:t xml:space="preserve"> eficiente și </w:t>
      </w:r>
      <w:r>
        <w:rPr>
          <w:rStyle w:val="CRDeleted"/>
          <w:noProof/>
          <w:color w:val="333333"/>
        </w:rPr>
        <w:t>mai</w:t>
      </w:r>
      <w:r>
        <w:rPr>
          <w:noProof/>
          <w:color w:val="333333"/>
        </w:rPr>
        <w:t xml:space="preserve"> rapide</w:t>
      </w:r>
      <w:r>
        <w:rPr>
          <w:noProof/>
          <w:color w:val="333333"/>
          <w:shd w:val="clear" w:color="auto" w:fill="FFFFFF"/>
        </w:rPr>
        <w:t>. Repartizarea de competențe departamentelor de legătură ar trebui prevăzută în cadrul dispozițiilor interne ale fiecărui stat membru.</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30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(82)</w:t>
      </w:r>
      <w:r>
        <w:rPr>
          <w:noProof/>
        </w:rPr>
        <w:tab/>
        <w:t xml:space="preserve">Ca principiu, este important ca informațiile comunicate în temeiul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prezentei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d</w:t>
      </w:r>
      <w:r>
        <w:rPr>
          <w:rStyle w:val="CRMinorChangeDeleted"/>
          <w:noProof/>
        </w:rPr>
        <w:t>D</w:t>
      </w:r>
      <w:r>
        <w:rPr>
          <w:noProof/>
        </w:rPr>
        <w:t>irective</w:t>
      </w:r>
      <w:r>
        <w:rPr>
          <w:rStyle w:val="CRMinorChangeDeleted"/>
          <w:noProof/>
        </w:rPr>
        <w:t>i</w:t>
      </w:r>
      <w:r>
        <w:rPr>
          <w:noProof/>
        </w:rPr>
        <w:t xml:space="preserve"> </w:t>
      </w:r>
      <w:r>
        <w:rPr>
          <w:rStyle w:val="CRDeleted"/>
          <w:noProof/>
        </w:rPr>
        <w:t>2011/16/UE</w:t>
      </w:r>
      <w:r>
        <w:rPr>
          <w:noProof/>
        </w:rPr>
        <w:t xml:space="preserve"> să fie utilizate pentru stabilirea, administrarea și colectarea taxelor și impozitelor care intră în domeniul de aplicare material al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prezentei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directive</w:t>
      </w:r>
      <w:r>
        <w:rPr>
          <w:rStyle w:val="CRMinorChangeDeleted"/>
          <w:noProof/>
        </w:rPr>
        <w:t>i</w:t>
      </w:r>
      <w:r>
        <w:rPr>
          <w:noProof/>
        </w:rPr>
        <w:t xml:space="preserve"> </w:t>
      </w:r>
      <w:r>
        <w:rPr>
          <w:rStyle w:val="CRDeleted"/>
          <w:noProof/>
        </w:rPr>
        <w:t>menționate. Deși acest lucru a fost valabil și până în prezent, din cauza cadrului neclar au apărut incertitudini cu privire la utilizarea informațiilor respective. În consecință și ținând seama de importanța TVA-ului pentru funcționarea pieței interne, este oportun să se clarifice faptul că informațiile comunicate între statele membre pot să fie utilizate și pentru</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 precum și pentru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stabilirea, administrarea și recuperarea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taxei pe valoarea adăugată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Deleted"/>
          <w:noProof/>
        </w:rPr>
        <w:t>TVA-ului</w:t>
      </w:r>
      <w:r>
        <w:rPr>
          <w:noProof/>
        </w:rPr>
        <w:t xml:space="preserve"> și a altor taxe și impozite indirecte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și a taxelor vamale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Având în vedere legăturile dintre frauda fiscală, evaziunea fiscală, evitarea obligațiilor fiscale și spălarea banilor, informațiile comunicate între statele membre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pot fi, de asemenea, utilizate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pentru evaluarea, administrarea și aplicarea </w:t>
      </w:r>
      <w:r>
        <w:rPr>
          <w:rStyle w:val="CRMinorChangeDeleted"/>
          <w:noProof/>
        </w:rPr>
        <w:t>taxelor vamale, precum și pentru</w:t>
      </w:r>
      <w:r>
        <w:rPr>
          <w:noProof/>
        </w:rPr>
        <w:t xml:space="preserve"> dreptului intern al statelor membre referitor la combaterea spălării banilor și a finanțării terorismului.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considerentul 18</w:t>
      </w:r>
    </w:p>
    <w:p>
      <w:pPr>
        <w:pStyle w:val="ManualConsidrant"/>
        <w:rPr>
          <w:noProof/>
          <w:szCs w:val="24"/>
        </w:rPr>
      </w:pPr>
      <w:r>
        <w:rPr>
          <w:noProof/>
        </w:rPr>
        <w:t>(83)</w:t>
      </w:r>
      <w:r>
        <w:rPr>
          <w:noProof/>
        </w:rPr>
        <w:tab/>
      </w:r>
      <w:r>
        <w:rPr>
          <w:noProof/>
          <w:shd w:val="clear" w:color="auto" w:fill="FFFFFF"/>
        </w:rPr>
        <w:t>În scopul eficienței cooperării administrative, este important ca, sub rezerva restricțiilor prevăzute în prezenta directivă, informațiile și documentele obținute în temeiul prezentei directive să poată fi utilizate și în alte scopuri de către statele membre care le-au primit. Este, de asemenea, important ca statele membre să poată transmite informațiile respective unei țări terțe, în anumite condiții</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36 (adaptat)</w:t>
      </w:r>
    </w:p>
    <w:p>
      <w:pPr>
        <w:pStyle w:val="ManualConsidrant"/>
        <w:rPr>
          <w:noProof/>
        </w:rPr>
      </w:pPr>
      <w:r>
        <w:rPr>
          <w:noProof/>
        </w:rPr>
        <w:t>(84)</w:t>
      </w:r>
      <w:r>
        <w:rPr>
          <w:noProof/>
        </w:rPr>
        <w:tab/>
        <w:t xml:space="preserve">Având în vedere volumul și natura informațiilor colectate și care fac obiectul schimbului în temeiul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prezentei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d</w:t>
      </w:r>
      <w:r>
        <w:rPr>
          <w:rStyle w:val="CRMinorChangeDeleted"/>
          <w:noProof/>
        </w:rPr>
        <w:t>D</w:t>
      </w:r>
      <w:r>
        <w:rPr>
          <w:noProof/>
        </w:rPr>
        <w:t>irective</w:t>
      </w:r>
      <w:r>
        <w:rPr>
          <w:rStyle w:val="CRMinorChangeDeleted"/>
          <w:noProof/>
        </w:rPr>
        <w:t>i</w:t>
      </w:r>
      <w:r>
        <w:rPr>
          <w:noProof/>
        </w:rPr>
        <w:t> </w:t>
      </w:r>
      <w:r>
        <w:rPr>
          <w:rStyle w:val="CRDeleted"/>
          <w:noProof/>
        </w:rPr>
        <w:t>2011/16/UE</w:t>
      </w:r>
      <w:r>
        <w:rPr>
          <w:noProof/>
        </w:rPr>
        <w:t xml:space="preserve">, informațiile respective pot fi utile și în anumite alte domenii. Deși utilizarea acestor informații în alte domenii ar trebui, ca regulă generală, să fie limitată la domeniile aprobate de statul membru care comunică informațiile în conformitate cu prezenta directivă, este necesar să se permită o utilizare mai largă a informațiilor în situații care prezintă caracteristici deosebite și grave și în cazul în care s-a convenit la nivelul Uniunii să se ia măsuri. Aceste situații sunt în special cele în care s-au luat decizii referitoare la măsuri restrictive în temeiul articolului 215 din Tratatul privind funcționarea Uniunii Europene. Informațiile care fac obiectul schimbului în temeiul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prezentei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d</w:t>
      </w:r>
      <w:r>
        <w:rPr>
          <w:rStyle w:val="CRMinorChangeDeleted"/>
          <w:noProof/>
        </w:rPr>
        <w:t>D</w:t>
      </w:r>
      <w:r>
        <w:rPr>
          <w:noProof/>
        </w:rPr>
        <w:t>irective</w:t>
      </w:r>
      <w:r>
        <w:rPr>
          <w:rStyle w:val="CRMinorChangeDeleted"/>
          <w:noProof/>
        </w:rPr>
        <w:t>i</w:t>
      </w:r>
      <w:r>
        <w:rPr>
          <w:noProof/>
        </w:rPr>
        <w:t xml:space="preserve"> </w:t>
      </w:r>
      <w:r>
        <w:rPr>
          <w:rStyle w:val="CRDeleted"/>
          <w:noProof/>
        </w:rPr>
        <w:t>2011/16/UE</w:t>
      </w:r>
      <w:r>
        <w:rPr>
          <w:noProof/>
        </w:rPr>
        <w:t xml:space="preserve"> pot fi foarte relevante pentru depistarea încălcării sau a eludării măsurilor restrictive. La rândul său, orice eventuală încălcare a măsurilor restrictive va fi relevantă în scopuri fiscale, deoarece evitarea măsurilor restrictive va </w:t>
      </w:r>
      <w:r>
        <w:rPr>
          <w:noProof/>
        </w:rPr>
        <w:lastRenderedPageBreak/>
        <w:t>echivala, în majoritatea cazurilor, și cu evitarea obligațiilor fiscale aferente activelor în cauză. Prin urmare, având în vedere sinergiile probabile și legătura strânsă dintre depistarea încălcării măsurilor restrictive sau depistarea evitării obligațiilor fiscale, este adecvată autorizarea unei utilizări suplimentare a informațiilor.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37 (adaptat)</w:t>
      </w:r>
    </w:p>
    <w:p>
      <w:pPr>
        <w:pStyle w:val="ManualConsidrant"/>
        <w:rPr>
          <w:noProof/>
        </w:rPr>
      </w:pPr>
      <w:r>
        <w:rPr>
          <w:noProof/>
        </w:rPr>
        <w:t>(85)</w:t>
      </w:r>
      <w:r>
        <w:rPr>
          <w:noProof/>
        </w:rPr>
        <w:tab/>
        <w:t xml:space="preserve">Este esențial ca informațiile comunicate în temeiul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prezentei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d</w:t>
      </w:r>
      <w:r>
        <w:rPr>
          <w:rStyle w:val="CRMinorChangeDeleted"/>
          <w:noProof/>
        </w:rPr>
        <w:t>D</w:t>
      </w:r>
      <w:r>
        <w:rPr>
          <w:noProof/>
        </w:rPr>
        <w:t>irective</w:t>
      </w:r>
      <w:r>
        <w:rPr>
          <w:rStyle w:val="CRMinorChangeDeleted"/>
          <w:noProof/>
        </w:rPr>
        <w:t>i</w:t>
      </w:r>
      <w:r>
        <w:rPr>
          <w:noProof/>
        </w:rPr>
        <w:t xml:space="preserve"> </w:t>
      </w:r>
      <w:r>
        <w:rPr>
          <w:rStyle w:val="CRDeleted"/>
          <w:noProof/>
        </w:rPr>
        <w:t>2011/16/UE</w:t>
      </w:r>
      <w:r>
        <w:rPr>
          <w:noProof/>
        </w:rPr>
        <w:t xml:space="preserve"> să fie utilizate de autoritatea competentă a fiecărui stat membru care primește informațiile respective. Prin urmare, ar trebui să li se impună autorităților competente ale fiecărui stat membru să instituie un mecanism eficace pentru a asigura utilizarea informațiilor obținute în urma raportării sau a schimbului de informații în temeiul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prezentei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d</w:t>
      </w:r>
      <w:r>
        <w:rPr>
          <w:rStyle w:val="CRMinorChangeDeleted"/>
          <w:noProof/>
        </w:rPr>
        <w:t>D</w:t>
      </w:r>
      <w:r>
        <w:rPr>
          <w:noProof/>
        </w:rPr>
        <w:t>irective</w:t>
      </w:r>
      <w:r>
        <w:rPr>
          <w:rStyle w:val="CRMinorChangeDeleted"/>
          <w:noProof/>
        </w:rPr>
        <w:t>i</w:t>
      </w:r>
      <w:r>
        <w:rPr>
          <w:noProof/>
        </w:rPr>
        <w:t xml:space="preserve"> </w:t>
      </w:r>
      <w:r>
        <w:rPr>
          <w:rStyle w:val="CRDeleted"/>
          <w:noProof/>
        </w:rPr>
        <w:t>2011/16/UE</w:t>
      </w:r>
      <w:r>
        <w:rPr>
          <w:noProof/>
        </w:rPr>
        <w:t>. O astfel de utilizare a informațiilor poate include, de exemplu, programe voluntare de asigurare a conformității, notificări pentru obligația de informare, campanii de sensibilizare, completarea prealabilă a declarațiilor fiscale, evaluări ale riscurilor, audituri limitate, audituri generale, codificarea fiscală, estimarea impozitelor, asimilarea în sistemele naționale și alte măsuri fiscale.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considerentul 19</w:t>
      </w:r>
    </w:p>
    <w:p>
      <w:pPr>
        <w:pStyle w:val="ManualConsidrant"/>
        <w:rPr>
          <w:noProof/>
        </w:rPr>
      </w:pPr>
      <w:r>
        <w:rPr>
          <w:noProof/>
        </w:rPr>
        <w:t>(86)</w:t>
      </w:r>
      <w:r>
        <w:rPr>
          <w:noProof/>
        </w:rPr>
        <w:tab/>
        <w:t>Ar trebui să fie clar definite și delimitate situațiile în care un stat membru solicitat poate refuza furnizarea de informații, ținând seama de anumite interese private, care ar trebui să fie protejate, precum și de interesul public.</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2016/881 considerentul 22</w:t>
      </w:r>
    </w:p>
    <w:p>
      <w:pPr>
        <w:pStyle w:val="ManualConsidrant"/>
        <w:rPr>
          <w:noProof/>
        </w:rPr>
      </w:pPr>
      <w:r>
        <w:rPr>
          <w:noProof/>
        </w:rPr>
        <w:t>(87)</w:t>
      </w:r>
      <w:r>
        <w:rPr>
          <w:noProof/>
        </w:rPr>
        <w:tab/>
        <w:t>Schimbul de informații în temeiul prezentei directive nu conduce la divulgarea unui secret comercial, industrial sau profesional sau a unui procedeu comercial ori a unor informații a căror divulgare ar fi contrară politicii publice.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considerentul 21</w:t>
      </w:r>
    </w:p>
    <w:p>
      <w:pPr>
        <w:pStyle w:val="ManualConsidrant"/>
        <w:rPr>
          <w:noProof/>
        </w:rPr>
      </w:pPr>
      <w:r>
        <w:rPr>
          <w:noProof/>
        </w:rPr>
        <w:t>(88)</w:t>
      </w:r>
      <w:r>
        <w:rPr>
          <w:noProof/>
        </w:rPr>
        <w:tab/>
        <w:t>Prezenta directivă cuprinde norme minime și, prin urmare, nu ar trebui să afecteze dreptul statelor membre de a iniția o cooperare extinsă cu alte state membre în temeiul legislației lor interne sau în cadrul acordurilor bilaterale sau multilaterale încheiate cu alte state membre.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considerentul 22 (adaptat)</w:t>
      </w:r>
    </w:p>
    <w:p>
      <w:pPr>
        <w:pStyle w:val="ManualConsidrant"/>
        <w:rPr>
          <w:noProof/>
        </w:rPr>
      </w:pPr>
      <w:r>
        <w:rPr>
          <w:noProof/>
        </w:rPr>
        <w:t>(89)</w:t>
      </w:r>
      <w:r>
        <w:rPr>
          <w:noProof/>
        </w:rPr>
        <w:tab/>
      </w:r>
      <w:r>
        <w:rPr>
          <w:rStyle w:val="CRDeleted"/>
          <w:noProof/>
        </w:rPr>
        <w:t>Ar trebui de asemenea precizat faptul că,</w:t>
      </w:r>
      <w:r>
        <w:rPr>
          <w:noProof/>
        </w:rPr>
        <w:t xml:space="preserve"> </w:t>
      </w:r>
      <w:r>
        <w:rPr>
          <w:rStyle w:val="CRMinorChangeDeleted"/>
          <w:noProof/>
        </w:rPr>
        <w:t>a</w:t>
      </w:r>
      <w:r>
        <w:rPr>
          <w:rStyle w:val="CRMinorChangeAdded"/>
          <w:noProof/>
        </w:rPr>
        <w:t>A</w:t>
      </w:r>
      <w:r>
        <w:rPr>
          <w:noProof/>
        </w:rPr>
        <w:t>tunci când un stat membru oferă unei țări terțe o cooperare mai extinsă decât cea prevăzută de prezenta directivă, el nu ar trebui să refuze o astfel de cooperare extinsă cu alte state membre care doresc să inițieze o astfel de cooperare extinsă reciprocă.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2016/881 considerentul 9 </w:t>
      </w:r>
    </w:p>
    <w:p>
      <w:pPr>
        <w:pStyle w:val="ManualConsidrant"/>
        <w:rPr>
          <w:noProof/>
        </w:rPr>
      </w:pPr>
      <w:r>
        <w:rPr>
          <w:noProof/>
        </w:rPr>
        <w:t>(90)</w:t>
      </w:r>
      <w:r>
        <w:rPr>
          <w:noProof/>
        </w:rPr>
        <w:tab/>
        <w:t xml:space="preserve">Statele membre ar trebui să stabilească norme privind sancțiunile aplicabile pentru încălcarea dispozițiilor naționale adoptate în temeiul prezentei directive și să asigure aplicarea respectivelor sancțiuni. Deși alegerea sancțiunilor rămâne la latitudinea statelor membre, sancțiunile prevăzute ar trebui să fie eficiente, proporționale și disuasive.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29 (adaptat)</w:t>
      </w:r>
    </w:p>
    <w:p>
      <w:pPr>
        <w:pStyle w:val="ManualConsidrant"/>
        <w:rPr>
          <w:noProof/>
        </w:rPr>
      </w:pPr>
      <w:r>
        <w:rPr>
          <w:noProof/>
        </w:rPr>
        <w:t>(91)</w:t>
      </w:r>
      <w:r>
        <w:rPr>
          <w:noProof/>
        </w:rPr>
        <w:tab/>
        <w:t xml:space="preserve">Numărul de identificare fiscală (NIF) este esențial pentru ca statele membre să coreleze informațiile primite cu datele existente în bazele de date naționale. Astfel se sporește capacitatea statelor membre de a identifica contribuabilii relevanți și de a evalua corect impozitele aferente. Prin urmare, este important ca statele membre să includă NIF al persoanelor și entităților raportate în raportarea și comunicarea informațiilor în contextul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tuturor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schimburilor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automate în temeiul prezentei directive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referitoare la categoriile de venituri și de capital care fac obiectul schimbului automat obligatoriu de informații, la conturile financiare, la deciziile fiscale anticipate cu aplicare transfrontalieră și acordurile prealabile privind prețul de transfer, la rapoartele pentru fiecare țară în parte, la modalitățile transfrontaliere care fac obiectul raportării, la informațiile privind vânzătorii de pe platformele digitale și la criptoactive</w:t>
      </w:r>
      <w:r>
        <w:rPr>
          <w:noProof/>
        </w:rPr>
        <w:t xml:space="preserv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30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rStyle w:val="CRRefonteDeleted"/>
          <w:noProof/>
        </w:rPr>
      </w:pPr>
      <w:r>
        <w:rPr>
          <w:noProof/>
        </w:rPr>
        <w:t>(92)</w:t>
      </w:r>
      <w:r>
        <w:rPr>
          <w:noProof/>
        </w:rPr>
        <w:tab/>
        <w:t xml:space="preserve">Pentru </w:t>
      </w:r>
      <w:r>
        <w:rPr>
          <w:rStyle w:val="CRDeleted"/>
          <w:noProof/>
        </w:rPr>
        <w:t>a spori gradul de disponibilitate 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NIF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să fie disponibil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pentru autoritățile competente ale statelor membre, fiecare stat membru ar trebui să </w:t>
      </w:r>
      <w:r>
        <w:rPr>
          <w:rStyle w:val="CRDeleted"/>
          <w:noProof/>
        </w:rPr>
        <w:t>ia măsurile necesare pentru a</w:t>
      </w:r>
      <w:r>
        <w:rPr>
          <w:noProof/>
        </w:rPr>
        <w:t xml:space="preserve"> solicit</w:t>
      </w:r>
      <w:r>
        <w:rPr>
          <w:rStyle w:val="CRMinorChangeDeleted"/>
          <w:noProof/>
        </w:rPr>
        <w:t>a</w:t>
      </w:r>
      <w:r>
        <w:rPr>
          <w:rStyle w:val="CRMinorChangeAdded"/>
          <w:noProof/>
        </w:rPr>
        <w:t>e</w:t>
      </w:r>
      <w:r>
        <w:rPr>
          <w:noProof/>
        </w:rPr>
        <w:t xml:space="preserve"> raportarea NIF al persoanelor și entităților emise de statul membru de rezidență în ceea ce privește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orice schimb în temeiul prezentei directive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veniturile din muncă, remunerațiile plătite administratorilor și altor persoane asimilate acestora și pensiile, precum și în ceea ce privește deciziile fiscale anticipate cu aplicare transfrontalieră și acordurile prealabile privind prețul de transfer, rapoartele pentru fiecare țară în parte și modalitățile transfrontaliere care fac obiectul raportării.</w:t>
      </w:r>
      <w:r>
        <w:rPr>
          <w:noProof/>
        </w:rPr>
        <w:t xml:space="preserve">. Astfel de măsuri pot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implica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rStyle w:val="CRMinorChangeAdded"/>
          <w:noProof/>
        </w:rPr>
        <w:t xml:space="preserve"> </w:t>
      </w:r>
      <w:r>
        <w:rPr>
          <w:rStyle w:val="CRMinorChangeDeleted"/>
          <w:noProof/>
        </w:rPr>
        <w:t>include</w:t>
      </w:r>
      <w:r>
        <w:rPr>
          <w:rStyle w:val="CRDeleted"/>
          <w:noProof/>
        </w:rPr>
        <w:t>,</w:t>
      </w:r>
      <w:r>
        <w:rPr>
          <w:noProof/>
        </w:rPr>
        <w:t xml:space="preserve"> </w:t>
      </w:r>
      <w:r>
        <w:rPr>
          <w:rStyle w:val="CRDeleted"/>
          <w:noProof/>
        </w:rPr>
        <w:t>însă fără a se limita la aceasta</w:t>
      </w:r>
      <w:r>
        <w:rPr>
          <w:noProof/>
        </w:rPr>
        <w:t xml:space="preserve">, introducerea unor cerințe legale interne de raportare a NIF, până la termenul de transpunere stabilit </w:t>
      </w:r>
      <w:r>
        <w:rPr>
          <w:rStyle w:val="CRMinorChangeDeleted"/>
          <w:noProof/>
        </w:rPr>
        <w:t>în</w:t>
      </w:r>
      <w:r>
        <w:rPr>
          <w:noProof/>
        </w:rPr>
        <w:t xml:space="preserve"> </w:t>
      </w:r>
      <w:r>
        <w:rPr>
          <w:rStyle w:val="CRMinorChangeAdded"/>
          <w:noProof/>
        </w:rPr>
        <w:t>la</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articolul 55 din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prezenta directivă. </w:t>
      </w:r>
      <w:r>
        <w:rPr>
          <w:rStyle w:val="CRRefonteDeleted"/>
          <w:noProof/>
          <w:highlight w:val="lightGray"/>
        </w:rPr>
        <w:t>În plus, în urma intrării în vigoare a Directivei (UE) 2022/2523 a Consiliului și având în vedere normele privind regimurile de protecție prevăzute în directiva respectivă, este important să se asigure corelarea corespunzătoare, în contextul schimbului automat obligatoriu de informații privind rapoartele pentru fiecare țară în parte în temeiul Directivei 2011/16/UE. Cu toate acestea, statele membre recunosc, de asemenea, că pot exista situații rare în care pur și simplu nu este posibil ca entitatea sau persoana care efectuează raportarea să colecteze și să raporteze NIF, inclusiv în cazul în care, în pofida tuturor eforturilor depuse, entitatea raportoare sau persoana care efectuează raportarea nu a fost în măsură să colecteze NIF sau cazul în care nu a fost emis un NIF contribuabilului.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39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(93)</w:t>
      </w:r>
      <w:r>
        <w:rPr>
          <w:noProof/>
        </w:rPr>
        <w:tab/>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Schimbul de informații ar trebui să se facă prin intermediul unor formulare și canale de comunicare standardizate, care ar trebui adoptate de Comisie în conformitate cu Regulamentul (UE) nr. cu Regulamentul (UE) nr. 182/2011 al Parlamentului European și al Consiliului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Added"/>
          <w:noProof/>
          <w:vertAlign w:val="superscript"/>
        </w:rPr>
        <w:footnoteReference w:id="39"/>
      </w:r>
      <w:r>
        <w:rPr>
          <w:noProof/>
        </w:rPr>
        <w:t xml:space="preserve"> </w:t>
      </w:r>
      <w:r>
        <w:rPr>
          <w:rStyle w:val="CRDeleted"/>
          <w:noProof/>
        </w:rPr>
        <w:t>În</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Mai mult, în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vederea asigurării unor condiții uniforme pentru punerea în aplicare a prezentei directive, ar trebui să fie conferite competențe de executare Comisiei pentru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 furniza statelor membre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rStyle w:val="CRMinorChangeDeleted"/>
          <w:noProof/>
        </w:rPr>
        <w:t>elaborarea</w:t>
      </w:r>
      <w:r>
        <w:rPr>
          <w:noProof/>
        </w:rPr>
        <w:t xml:space="preserve"> un</w:t>
      </w:r>
      <w:r>
        <w:rPr>
          <w:rStyle w:val="CRMinorChangeDeleted"/>
          <w:noProof/>
        </w:rPr>
        <w:t>ui</w:t>
      </w:r>
      <w:r>
        <w:rPr>
          <w:noProof/>
        </w:rPr>
        <w:t xml:space="preserve"> instrument care să permită verificarea </w:t>
      </w:r>
      <w:r>
        <w:rPr>
          <w:rStyle w:val="CRMinorChangeAdded"/>
          <w:noProof/>
        </w:rPr>
        <w:t>digitală</w:t>
      </w:r>
      <w:r>
        <w:rPr>
          <w:rStyle w:val="CRMinorChangeDeleted"/>
          <w:noProof/>
        </w:rPr>
        <w:t>electronică</w:t>
      </w:r>
      <w:r>
        <w:rPr>
          <w:noProof/>
        </w:rPr>
        <w:t xml:space="preserve"> și automată a </w:t>
      </w:r>
      <w:r>
        <w:rPr>
          <w:rStyle w:val="CRMinorChangeAdded"/>
          <w:noProof/>
        </w:rPr>
        <w:t>valabilității</w:t>
      </w:r>
      <w:r>
        <w:rPr>
          <w:rStyle w:val="CRMinorChangeDeleted"/>
          <w:noProof/>
        </w:rPr>
        <w:t>corectitudinii</w:t>
      </w:r>
      <w:r>
        <w:rPr>
          <w:noProof/>
        </w:rPr>
        <w:t xml:space="preserve"> NIF care a fost furnizat de contribuabil sau de entitatea raportoare </w:t>
      </w:r>
      <w:bookmarkStart w:id="31" w:name="_Hlk228375945"/>
      <w:r>
        <w:rPr>
          <w:rStyle w:val="CRRefonteDeleted"/>
          <w:noProof/>
          <w:highlight w:val="lightGray"/>
        </w:rPr>
        <w:t>sau persoana care efectuează raportarea</w:t>
      </w:r>
      <w:bookmarkEnd w:id="31"/>
      <w:r>
        <w:rPr>
          <w:noProof/>
        </w:rPr>
        <w:t xml:space="preserve">. Respectivele competențe ar trebui exercitate în conformitate cu Regulamentul (UE) nr. 182/2011. Instrumentul </w:t>
      </w:r>
      <w:r>
        <w:rPr>
          <w:rStyle w:val="CRDeleted"/>
          <w:noProof/>
        </w:rPr>
        <w:t>informatic</w:t>
      </w:r>
      <w:r>
        <w:rPr>
          <w:noProof/>
        </w:rPr>
        <w:t xml:space="preserve"> care va fi pus la dispoziția statelor membre este destinat să contribuie la creșterea ratelor de corelare pentru administrațiile fiscale și la îmbunătățirea calității informațiilor schimbate în general.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El ar trebui să ofere o soluție provizorie, până când serviciile Uniunii care permit identificarea verificată a contribuabililor vor fi suficient de dezvoltate și utilizate pe scară largă.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highlight w:val="lightGray"/>
        </w:rPr>
        <w:t>(94)</w:t>
      </w:r>
      <w:r>
        <w:rPr>
          <w:noProof/>
          <w:highlight w:val="lightGray"/>
        </w:rPr>
        <w:tab/>
        <w:t>Întrucât nu este necesară nicio corelare suplimentară după verificarea NIF, este oportun, prin derogare de la obligațiile generale de raportare prevăzute în prezenta directivă, să se prevadă că, în astfel de cazuri, ar trebui raportate numai numele și NIF verificat al contribuabilului. Aceeași raportare simplificată ar trebui să fie disponibilă în cazul în care contribuabilul a fost identificat prin intermediul unui serviciu public de verificare sau al unui serviciu echivalent al Uniunii.</w:t>
      </w:r>
    </w:p>
    <w:p>
      <w:pPr>
        <w:pStyle w:val="ManualConsidrant"/>
        <w:rPr>
          <w:noProof/>
          <w:highlight w:val="lightGray"/>
        </w:rPr>
      </w:pPr>
      <w:r>
        <w:rPr>
          <w:noProof/>
          <w:highlight w:val="lightGray"/>
        </w:rPr>
        <w:t>(95)</w:t>
      </w:r>
      <w:r>
        <w:rPr>
          <w:noProof/>
          <w:highlight w:val="lightGray"/>
        </w:rPr>
        <w:tab/>
        <w:t>Regulamentul (UE) nr. 910/2014 al Parlamentului European și al Consiliului</w:t>
      </w:r>
      <w:r>
        <w:rPr>
          <w:rStyle w:val="FootnoteReference"/>
          <w:noProof/>
          <w:highlight w:val="lightGray"/>
        </w:rPr>
        <w:footnoteReference w:id="40"/>
      </w:r>
      <w:r>
        <w:rPr>
          <w:noProof/>
          <w:highlight w:val="lightGray"/>
        </w:rPr>
        <w:t xml:space="preserve"> stabilește condițiile în care statele membre trebuie să recunoască mijloacele de identificare electronică a persoanelor fizice și juridice care intră sub incidența unui sistem notificat de identificare electronică al unui alt stat membru și să furnizeze și să recunoască portofelele europene pentru identitatea digitală, pentru a permite și a facilita exercitarea de către persoanele fizice și juridice a dreptului de a participa la societatea digitală în condiții de siguranță și de a accesa servicii publice și private online în întreaga Uniune</w:t>
      </w:r>
      <w:bookmarkStart w:id="32" w:name="_Hlk231312397"/>
      <w:r>
        <w:rPr>
          <w:noProof/>
          <w:highlight w:val="lightGray"/>
        </w:rPr>
        <w:t xml:space="preserve">. Societățile cu răspundere limitată și parteneriatele comerciale, care reprezintă marea majoritate a societăților supuse cerințelor de raportare, sunt identificate în Uniune printr-un identificator unic european (EUID) atribuit automat de registrul comerțului la care sunt înregistrate. Acest EUID permite o identificare verificată și actualizată, valabilă în întreaga Uniune, prin intermediul </w:t>
      </w:r>
      <w:r>
        <w:rPr>
          <w:noProof/>
          <w:highlight w:val="lightGray"/>
        </w:rPr>
        <w:lastRenderedPageBreak/>
        <w:t>Sistemului de interconectare a registrelor comerțului (BRIS). Prezenta directivă asigură faptul că EUID poate fi utilizat, de asemenea, pentru identificarea contribuabilului în același mod ca NIF.</w:t>
      </w:r>
      <w:bookmarkEnd w:id="32"/>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2016/2258 considerentul 3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(96)</w:t>
      </w:r>
      <w:r>
        <w:rPr>
          <w:noProof/>
        </w:rPr>
        <w:tab/>
        <w:t xml:space="preserve">Pentru </w:t>
      </w:r>
      <w:r>
        <w:rPr>
          <w:noProof/>
          <w:shd w:val="clear" w:color="auto" w:fill="FFFFFF"/>
        </w:rPr>
        <w:t>a asigura monitorizarea efectivă a aplicării de către Instituțiile Financiare a procedurilor de precauție stabilite</w:t>
      </w:r>
      <w:r>
        <w:rPr>
          <w:noProof/>
        </w:rPr>
        <w:t xml:space="preserve"> în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noProof/>
          <w:shd w:val="clear" w:color="auto" w:fill="FFFFFF"/>
        </w:rPr>
        <w:t>prezenta</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shd w:val="clear" w:color="auto" w:fill="FFFFFF"/>
        </w:rPr>
        <w:t xml:space="preserve"> </w:t>
      </w:r>
      <w:r>
        <w:rPr>
          <w:rStyle w:val="CRMinorChangeAdded"/>
          <w:noProof/>
          <w:shd w:val="clear" w:color="auto" w:fill="FFFFFF"/>
        </w:rPr>
        <w:t>d</w:t>
      </w:r>
      <w:r>
        <w:rPr>
          <w:rStyle w:val="CRMinorChangeDeleted"/>
          <w:noProof/>
          <w:shd w:val="clear" w:color="auto" w:fill="FFFFFF"/>
        </w:rPr>
        <w:t>D</w:t>
      </w:r>
      <w:r>
        <w:rPr>
          <w:noProof/>
          <w:shd w:val="clear" w:color="auto" w:fill="FFFFFF"/>
        </w:rPr>
        <w:t>irectiv</w:t>
      </w:r>
      <w:r>
        <w:rPr>
          <w:rStyle w:val="CRMinorChangeAdded"/>
          <w:noProof/>
          <w:shd w:val="clear" w:color="auto" w:fill="FFFFFF"/>
        </w:rPr>
        <w:t>ă</w:t>
      </w:r>
      <w:r>
        <w:rPr>
          <w:rStyle w:val="CRMinorChangeDeleted"/>
          <w:noProof/>
          <w:shd w:val="clear" w:color="auto" w:fill="FFFFFF"/>
        </w:rPr>
        <w:t>a</w:t>
      </w:r>
      <w:r>
        <w:rPr>
          <w:noProof/>
          <w:shd w:val="clear" w:color="auto" w:fill="FFFFFF"/>
        </w:rPr>
        <w:t xml:space="preserve"> </w:t>
      </w:r>
      <w:r>
        <w:rPr>
          <w:rStyle w:val="CRDeleted"/>
          <w:noProof/>
        </w:rPr>
        <w:t>2011/16/</w:t>
      </w:r>
      <w:r>
        <w:rPr>
          <w:noProof/>
          <w:shd w:val="clear" w:color="auto" w:fill="FFFFFF"/>
        </w:rPr>
        <w:t xml:space="preserve">UE, autoritățile fiscale au nevoie să aibă acces la </w:t>
      </w:r>
      <w:r>
        <w:rPr>
          <w:noProof/>
        </w:rPr>
        <w:t xml:space="preserve">informațiile </w:t>
      </w:r>
      <w:r>
        <w:rPr>
          <w:noProof/>
          <w:shd w:val="clear" w:color="auto" w:fill="FFFFFF"/>
        </w:rPr>
        <w:t>privind combaterea spălării banilor</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noProof/>
          <w:shd w:val="clear" w:color="auto" w:fill="FFFFFF"/>
        </w:rPr>
        <w:t>(AML)</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noProof/>
          <w:highlight w:val="lightGray"/>
          <w:shd w:val="clear" w:color="auto" w:fill="FFFFFF"/>
        </w:rPr>
        <w:t>obținute în temeiul Directivei (UE) 2024/1640 a Parlamentului European și a Consiliului</w:t>
      </w:r>
      <w:r>
        <w:rPr>
          <w:rStyle w:val="FootnoteReference"/>
          <w:noProof/>
          <w:highlight w:val="lightGray"/>
        </w:rPr>
        <w:footnoteReference w:id="41"/>
      </w:r>
      <w:r>
        <w:rPr>
          <w:noProof/>
          <w:highlight w:val="lightGray"/>
          <w:shd w:val="clear" w:color="auto" w:fill="FFFFFF"/>
        </w:rPr>
        <w:t> pentru identificarea beneficiarilor reali</w:t>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r>
        <w:rPr>
          <w:noProof/>
          <w:shd w:val="clear" w:color="auto" w:fill="FFFFFF"/>
        </w:rPr>
        <w:t xml:space="preserve"> În absența accesului, autoritățile respective nu vor putea să monitorizeze, să confirme și să auditeze faptul că Instituțiile Financiare aplică </w:t>
      </w:r>
      <w:r>
        <w:rPr>
          <w:noProof/>
        </w:rPr>
        <w:t xml:space="preserve">în mod corespunzător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noProof/>
          <w:shd w:val="clear" w:color="auto" w:fill="FFFFFF"/>
        </w:rPr>
        <w:t>prezenta</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shd w:val="clear" w:color="auto" w:fill="FFFFFF"/>
        </w:rPr>
        <w:t xml:space="preserve"> </w:t>
      </w:r>
      <w:r>
        <w:rPr>
          <w:rStyle w:val="CRMinorChangeAdded"/>
          <w:noProof/>
          <w:shd w:val="clear" w:color="auto" w:fill="FFFFFF"/>
        </w:rPr>
        <w:t>d</w:t>
      </w:r>
      <w:r>
        <w:rPr>
          <w:rStyle w:val="CRMinorChangeDeleted"/>
          <w:noProof/>
          <w:shd w:val="clear" w:color="auto" w:fill="FFFFFF"/>
        </w:rPr>
        <w:t>D</w:t>
      </w:r>
      <w:r>
        <w:rPr>
          <w:noProof/>
          <w:shd w:val="clear" w:color="auto" w:fill="FFFFFF"/>
        </w:rPr>
        <w:t>irectiv</w:t>
      </w:r>
      <w:r>
        <w:rPr>
          <w:rStyle w:val="CRMinorChangeAdded"/>
          <w:noProof/>
          <w:shd w:val="clear" w:color="auto" w:fill="FFFFFF"/>
        </w:rPr>
        <w:t>ă</w:t>
      </w:r>
      <w:r>
        <w:rPr>
          <w:rStyle w:val="CRMinorChangeDeleted"/>
          <w:noProof/>
          <w:shd w:val="clear" w:color="auto" w:fill="FFFFFF"/>
        </w:rPr>
        <w:t>a</w:t>
      </w:r>
      <w:r>
        <w:rPr>
          <w:noProof/>
          <w:shd w:val="clear" w:color="auto" w:fill="FFFFFF"/>
        </w:rPr>
        <w:t xml:space="preserve"> </w:t>
      </w:r>
      <w:r>
        <w:rPr>
          <w:rStyle w:val="CRDeleted"/>
          <w:noProof/>
        </w:rPr>
        <w:t>2011/16/UE</w:t>
      </w:r>
      <w:r>
        <w:rPr>
          <w:noProof/>
          <w:shd w:val="clear" w:color="auto" w:fill="FFFFFF"/>
        </w:rPr>
        <w:t>, identificând în mod corect și raportând beneficiarii reali ai structurilor intermediare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În scopul schimbului de informații privind proprietatea asupra bunurilor imobile și veniturile din acestea, este, de asemenea, important să se acorde autorităților fiscale acces la punctul unic de acces (SAP) pentru informațiile privind bunurile imobile, instituit în temeiul Directivei (UE) 2024/1640.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2016/2258 considerentul 5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(97)</w:t>
      </w:r>
      <w:r>
        <w:rPr>
          <w:noProof/>
        </w:rPr>
        <w:tab/>
      </w:r>
      <w:r>
        <w:rPr>
          <w:noProof/>
          <w:shd w:val="clear" w:color="auto" w:fill="FFFFFF"/>
        </w:rPr>
        <w:t xml:space="preserve">Prin urmare, este necesar să se asigure faptul că autoritățile fiscale pot accesa informațiile, procedurile, documentele și mecanismele privind combaterea spălării banilor pentru ca acestea să își poată îndeplini sarcinile de monitorizare a aplicării corespunzătoare 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noProof/>
          <w:shd w:val="clear" w:color="auto" w:fill="FFFFFF"/>
        </w:rPr>
        <w:t>prezentei</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shd w:val="clear" w:color="auto" w:fill="FFFFFF"/>
        </w:rPr>
        <w:t xml:space="preserve"> </w:t>
      </w:r>
      <w:r>
        <w:rPr>
          <w:rStyle w:val="CRMinorChangeAdded"/>
          <w:noProof/>
          <w:shd w:val="clear" w:color="auto" w:fill="FFFFFF"/>
        </w:rPr>
        <w:t>d</w:t>
      </w:r>
      <w:r>
        <w:rPr>
          <w:rStyle w:val="CRMinorChangeDeleted"/>
          <w:noProof/>
          <w:shd w:val="clear" w:color="auto" w:fill="FFFFFF"/>
        </w:rPr>
        <w:t>D</w:t>
      </w:r>
      <w:r>
        <w:rPr>
          <w:noProof/>
          <w:shd w:val="clear" w:color="auto" w:fill="FFFFFF"/>
        </w:rPr>
        <w:t>irective</w:t>
      </w:r>
      <w:r>
        <w:rPr>
          <w:rStyle w:val="CRMinorChangeDeleted"/>
          <w:noProof/>
          <w:shd w:val="clear" w:color="auto" w:fill="FFFFFF"/>
        </w:rPr>
        <w:t>i</w:t>
      </w:r>
      <w:r>
        <w:rPr>
          <w:noProof/>
          <w:shd w:val="clear" w:color="auto" w:fill="FFFFFF"/>
        </w:rPr>
        <w:t xml:space="preserve"> </w:t>
      </w:r>
      <w:r>
        <w:rPr>
          <w:rStyle w:val="CRDeleted"/>
          <w:noProof/>
        </w:rPr>
        <w:t>2011/16/UE</w:t>
      </w:r>
      <w:r>
        <w:rPr>
          <w:noProof/>
          <w:shd w:val="clear" w:color="auto" w:fill="FFFFFF"/>
        </w:rPr>
        <w:t xml:space="preserve"> și pentru ca toate formele de cooperare administrativă stabilite de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noProof/>
          <w:shd w:val="clear" w:color="auto" w:fill="FFFFFF"/>
        </w:rPr>
        <w:t>prezenta</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noProof/>
          <w:shd w:val="clear" w:color="auto" w:fill="FFFFFF"/>
        </w:rPr>
        <w:t>directiv</w:t>
      </w:r>
      <w:r>
        <w:rPr>
          <w:rStyle w:val="CRMinorChangeAdded"/>
          <w:noProof/>
          <w:shd w:val="clear" w:color="auto" w:fill="FFFFFF"/>
        </w:rPr>
        <w:t>ă</w:t>
      </w:r>
      <w:r>
        <w:rPr>
          <w:rStyle w:val="CRMinorChangeDeleted"/>
          <w:noProof/>
          <w:shd w:val="clear" w:color="auto" w:fill="FFFFFF"/>
        </w:rPr>
        <w:t>a</w:t>
      </w:r>
      <w:r>
        <w:rPr>
          <w:noProof/>
          <w:shd w:val="clear" w:color="auto" w:fill="FFFFFF"/>
        </w:rPr>
        <w:t xml:space="preserve"> </w:t>
      </w:r>
      <w:r>
        <w:rPr>
          <w:rStyle w:val="CRDeleted"/>
          <w:noProof/>
        </w:rPr>
        <w:t>respectivă</w:t>
      </w:r>
      <w:r>
        <w:rPr>
          <w:noProof/>
          <w:shd w:val="clear" w:color="auto" w:fill="FFFFFF"/>
        </w:rPr>
        <w:t xml:space="preserve"> </w:t>
      </w:r>
      <w:r>
        <w:rPr>
          <w:noProof/>
        </w:rPr>
        <w:t xml:space="preserve">să poată funcționa.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Pentru ca accesul să fie eficace și eficient, acesta ar trebui să fie imediat și direct și în format digital.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highlight w:val="lightGray"/>
        </w:rPr>
        <w:t>(98)</w:t>
      </w:r>
      <w:r>
        <w:rPr>
          <w:noProof/>
        </w:rPr>
        <w:tab/>
      </w:r>
      <w:r>
        <w:rPr>
          <w:noProof/>
          <w:highlight w:val="lightGray"/>
        </w:rPr>
        <w:t>În plus, pentru a se asigura că informațiile deținute, la nivel național, de autoritățile administrative dintr-un stat membru care sunt necesare în scopuri fiscale în alt stat membru sunt disponibile pentru a face obiectul schimbului, autorităților fiscale ar trebui să li se acorde acces în propriile state membre la registrele administrative și la bazele de date privind pensiile ale altor autorități publice de la nivel guvernamental.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40 (adaptat)</w:t>
      </w:r>
    </w:p>
    <w:p>
      <w:pPr>
        <w:pStyle w:val="ManualConsidrant"/>
        <w:rPr>
          <w:noProof/>
        </w:rPr>
      </w:pPr>
      <w:r>
        <w:rPr>
          <w:noProof/>
        </w:rPr>
        <w:t>(99)</w:t>
      </w:r>
      <w:r>
        <w:rPr>
          <w:noProof/>
        </w:rPr>
        <w:tab/>
        <w:t xml:space="preserve">Perioada minimă de păstrare a evidențelor privind informațiile obținute prin schimbul de informații între statele membre în temeiul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prezentei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d</w:t>
      </w:r>
      <w:r>
        <w:rPr>
          <w:rStyle w:val="CRMinorChangeDeleted"/>
          <w:noProof/>
        </w:rPr>
        <w:t>D</w:t>
      </w:r>
      <w:r>
        <w:rPr>
          <w:noProof/>
        </w:rPr>
        <w:t>irective</w:t>
      </w:r>
      <w:r>
        <w:rPr>
          <w:rStyle w:val="CRMinorChangeDeleted"/>
          <w:noProof/>
        </w:rPr>
        <w:t>i</w:t>
      </w:r>
      <w:r>
        <w:rPr>
          <w:noProof/>
        </w:rPr>
        <w:t xml:space="preserve"> </w:t>
      </w:r>
      <w:r>
        <w:rPr>
          <w:rStyle w:val="CRMinorChangeDeleted"/>
          <w:noProof/>
        </w:rPr>
        <w:t>2011/16/UE</w:t>
      </w:r>
      <w:r>
        <w:rPr>
          <w:noProof/>
        </w:rPr>
        <w:t xml:space="preserve"> nu ar trebui să fie mai lungă decât este necesar, dar în orice caz nu ar trebui să fie mai scurtă de cinci ani. Statele membre nu ar trebui să păstreze informațiile mai mult decât este necesar pentru atingerea scopului prezentei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considerentul 27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(100)</w:t>
      </w:r>
      <w:r>
        <w:rPr>
          <w:noProof/>
        </w:rPr>
        <w:tab/>
      </w:r>
      <w:r>
        <w:rPr>
          <w:rStyle w:val="CRRefonteDeleted"/>
          <w:noProof/>
          <w:color w:val="333333"/>
          <w:highlight w:val="lightGray"/>
        </w:rPr>
        <w:t>Toate schimburile de informații</w:t>
      </w:r>
      <w:r>
        <w:rPr>
          <w:noProof/>
          <w:color w:val="333333"/>
          <w:shd w:val="clear" w:color="auto" w:fill="FFFFF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noProof/>
          <w:color w:val="333333"/>
          <w:highlight w:val="lightGray"/>
          <w:shd w:val="clear" w:color="auto" w:fill="FFFFFF"/>
        </w:rPr>
        <w:t>Orice prelucrare a datelor cu caracter personal</w:t>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color w:val="333333"/>
          <w:shd w:val="clear" w:color="auto" w:fill="FFFFFF"/>
        </w:rPr>
        <w:t>menționat</w:t>
      </w:r>
      <w:r>
        <w:rPr>
          <w:rStyle w:val="CRMinorChangeDeleted"/>
          <w:noProof/>
          <w:color w:val="333333"/>
          <w:shd w:val="clear" w:color="auto" w:fill="FFFFFF"/>
        </w:rPr>
        <w:t>e</w:t>
      </w:r>
      <w:r>
        <w:rPr>
          <w:rStyle w:val="CRMinorChangeAdded"/>
          <w:noProof/>
          <w:color w:val="333333"/>
          <w:shd w:val="clear" w:color="auto" w:fill="FFFFFF"/>
        </w:rPr>
        <w:t>ă</w:t>
      </w:r>
      <w:r>
        <w:rPr>
          <w:noProof/>
          <w:color w:val="333333"/>
          <w:shd w:val="clear" w:color="auto" w:fill="FFFFFF"/>
        </w:rPr>
        <w:t xml:space="preserve"> în prezenta directivă fac</w:t>
      </w:r>
      <w:r>
        <w:rPr>
          <w:rStyle w:val="CRMinorChangeAdded"/>
          <w:noProof/>
          <w:color w:val="333333"/>
          <w:shd w:val="clear" w:color="auto" w:fill="FFFFFF"/>
        </w:rPr>
        <w:t>e</w:t>
      </w:r>
      <w:r>
        <w:rPr>
          <w:noProof/>
          <w:color w:val="333333"/>
          <w:shd w:val="clear" w:color="auto" w:fill="FFFFFF"/>
        </w:rPr>
        <w:t xml:space="preserve"> obiectul</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Regulamentului (UE) 2016/679 al Parlamentului European și al Consiliului</w:t>
      </w:r>
      <w:r>
        <w:rPr>
          <w:rStyle w:val="FootnoteReference"/>
          <w:noProof/>
        </w:rPr>
        <w:footnoteReference w:id="42"/>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color w:val="333333"/>
          <w:shd w:val="clear" w:color="auto" w:fill="FFFFF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noProof/>
          <w:color w:val="333333"/>
          <w:highlight w:val="lightGray"/>
          <w:shd w:val="clear" w:color="auto" w:fill="FFFFFF"/>
        </w:rPr>
        <w:t>și al Regulamentului (UE) 2018/1725 al Parlamentului European și al Consiliului</w:t>
      </w:r>
      <w:r>
        <w:rPr>
          <w:rStyle w:val="FootnoteReference"/>
          <w:noProof/>
          <w:color w:val="333333"/>
          <w:highlight w:val="lightGray"/>
        </w:rPr>
        <w:footnoteReference w:id="43"/>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color w:val="333333"/>
          <w:shd w:val="clear" w:color="auto" w:fill="FFFFFF"/>
        </w:rPr>
        <w:t xml:space="preserve"> </w:t>
      </w:r>
      <w:r>
        <w:rPr>
          <w:rStyle w:val="CRDeleted"/>
          <w:noProof/>
          <w:color w:val="333333"/>
        </w:rPr>
        <w:t>dispozițiilor de punere în aplicare a Directivei 95/46/CE a Parlamentului European și a Consiliului din 24 octombrie 1995 privind protecția persoanelor fizice în ceea ce privește prelucrarea datelor cu caracter personal și libera circulație a acestor date și a Regulamentului (CE) nr. 45/2001 al Parlamentului European și al Consiliului din 18 decembrie 2000 privind protecția persoanelor fizice cu privire la prelucrarea datelor cu caracter personal de către instituțiile și organele comunitare și privind libera circulație a acestor date. Cu toate acestea, este oportun să se ia în considerare limitarea anumitor drepturi și obligații prevăzute de Directiva 95/46/CE, pentru a proteja interesele menționate la articolul 13 alineatul (1) litera (e) din directiva menționată. Această limitare este necesară și proporțională, având în vedere pierderile potențiale de venituri pentru statele membre și importanța crucială a informațiilor care fac obiectul prezentei directive în combaterea eficientă a fraudei.</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În cazul în care, în sensul prezentei directive, este necesar să se prelucreze date cu caracter personal, acest lucru ar trebui să se realizeze în conformitate cu dreptul Uniunii privind protecția datelor cu caracter personal, în special cu normele sale privind drepturile persoanelor vizate și obligațiile în materie de securitate. Orice prelucrare a datelor cu caracter personal în temeiul prezentului regulament face obiectul Regulamentului (UE) 2016/679.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considerentul 12</w:t>
      </w:r>
    </w:p>
    <w:p>
      <w:pPr>
        <w:pStyle w:val="ManualConsidrant"/>
        <w:rPr>
          <w:noProof/>
        </w:rPr>
      </w:pPr>
      <w:r>
        <w:rPr>
          <w:noProof/>
        </w:rPr>
        <w:t>(101)</w:t>
      </w:r>
      <w:r>
        <w:rPr>
          <w:noProof/>
        </w:rPr>
        <w:tab/>
        <w:t xml:space="preserve">Instituțiile Financiare Raportoare, statele membre de origine și statele membre de destinație, în calitatea lor de operatori de date, ar trebui să păstreze informațiile prelucrate în conformitate cu prezenta directivă pentru o perioadă care nu depășește </w:t>
      </w:r>
      <w:r>
        <w:rPr>
          <w:noProof/>
        </w:rPr>
        <w:lastRenderedPageBreak/>
        <w:t>perioada necesară pentru atingerea obiectivelor acesteia. Având în vedere diferențele dintre legislațiile statelor membre, durata maximă de păstrare ar trebui stabilită în funcție de termenele de prescripție prevăzute de legislația fiscală internă a fiecărui operator de date.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33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(102)</w:t>
      </w:r>
      <w:r>
        <w:rPr>
          <w:noProof/>
        </w:rPr>
        <w:tab/>
        <w:t xml:space="preserve">Pentru a preveni încălcările securității datelor și pentru a limita eventualele prejudicii, este extrem de important să se îmbunătățească securitatea tuturor datelor care fac obiectul schimbului de date între autoritățile competente ale statelor membre în cadrul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prezentei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d</w:t>
      </w:r>
      <w:r>
        <w:rPr>
          <w:rStyle w:val="CRMinorChangeDeleted"/>
          <w:noProof/>
        </w:rPr>
        <w:t>D</w:t>
      </w:r>
      <w:r>
        <w:rPr>
          <w:noProof/>
        </w:rPr>
        <w:t>irective</w:t>
      </w:r>
      <w:r>
        <w:rPr>
          <w:rStyle w:val="CRMinorChangeDeleted"/>
          <w:noProof/>
        </w:rPr>
        <w:t>i</w:t>
      </w:r>
      <w:r>
        <w:rPr>
          <w:noProof/>
        </w:rPr>
        <w:t xml:space="preserve"> </w:t>
      </w:r>
      <w:r>
        <w:rPr>
          <w:rStyle w:val="CRDeleted"/>
          <w:noProof/>
        </w:rPr>
        <w:t>2011/16/UE</w:t>
      </w:r>
      <w:r>
        <w:rPr>
          <w:noProof/>
        </w:rPr>
        <w:t xml:space="preserve">. Prin urmare,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directiv</w:t>
      </w:r>
      <w:r>
        <w:rPr>
          <w:rStyle w:val="CRMinorChangeAdded"/>
          <w:noProof/>
        </w:rPr>
        <w:t>ă</w:t>
      </w:r>
      <w:r>
        <w:rPr>
          <w:rStyle w:val="CRMinorChangeDeleted"/>
          <w:noProof/>
        </w:rPr>
        <w:t>a</w:t>
      </w:r>
      <w:r>
        <w:rPr>
          <w:noProof/>
        </w:rPr>
        <w:t xml:space="preserve"> </w:t>
      </w:r>
      <w:r>
        <w:rPr>
          <w:rStyle w:val="CRDeleted"/>
          <w:noProof/>
        </w:rPr>
        <w:t>respectivă ar trebui să fie completată</w:t>
      </w:r>
      <w:r>
        <w:rPr>
          <w:noProof/>
        </w:rPr>
        <w:t xml:space="preserve"> </w:t>
      </w:r>
      <w:r>
        <w:rPr>
          <w:rStyle w:val="CRDeleted"/>
          <w:noProof/>
        </w:rPr>
        <w:t>cu</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ar trebui să conțină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norme privind procedura pe care trebuie să o urmeze statele membre și Comisia în cazul unei încălcări a securității datelor într-un stat membru, precum și în cazurile în care încălcarea are loc în cadrul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Schimbului securizat de informații digitale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Având în vedere caracterul sensibil al datelor care ar putea face obiectul unei încălcări a securității datelor, ar fi oportun să se prevadă măsuri precum solicitarea suspendării schimbului de informații cu statul membru (statele membre) în care a avut loc încălcarea securității datelor sau suspendarea accesului la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pentru unul sau mai multe state membre până la remedierea încălcării securității datelor. Având în vedere caracterul tehnic al proceselor legate de schimbul de date, statele membre, cu sprijinul Comisiei, ar trebui să convină cu privire la modalitățile practice necesare pentru punerea în aplicare a procedurilor care trebuie urmate în cazul unei încălcări a securității datelor, precum și cu privire la măsurile care trebuie luate pentru a preveni încălcarea securității datelor pe viitor.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2023/2226 considerentul 41 (adaptat)</w:t>
      </w:r>
    </w:p>
    <w:p>
      <w:pPr>
        <w:pStyle w:val="ManualConsidrant"/>
        <w:rPr>
          <w:noProof/>
        </w:rPr>
      </w:pPr>
      <w:r>
        <w:rPr>
          <w:noProof/>
        </w:rPr>
        <w:t>(103)</w:t>
      </w:r>
      <w:r>
        <w:rPr>
          <w:noProof/>
        </w:rPr>
        <w:tab/>
        <w:t xml:space="preserve">Instituțiile financiare raportoare, intermediarii, operatorii de platforme care au obligația de raportare, furnizorii de servicii de criptoactive raportori și autoritățile competente ale statelor membre reprezintă operatori de date în sensul Regulamentului (UE) 2016/679. În cazul în care doi sau mai mulți astfel de operatori stabilesc în comun scopurile și mijloacele pentru prelucrarea datelor cu caracter personal, aceștia sunt considerați operatori asociați. De exemplu, autoritățile competente ale statelor membre sunt considerate operatori asociați ai </w:t>
      </w:r>
      <w:r>
        <w:rPr>
          <w:rStyle w:val="CRDeleted"/>
          <w:noProof/>
        </w:rPr>
        <w:t>registrului</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repertoriului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central, după ce au convenit de comun acord cu privire la datele cu caracter personal care urmează să fie prelucrate și la modul de prelucrare.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2021/514 considerentul 32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(104)</w:t>
      </w:r>
      <w:r>
        <w:rPr>
          <w:noProof/>
        </w:rPr>
        <w:tab/>
        <w:t>Pentru a ajuta administrațiile fiscale care participă la schimbul de informații în temeiul prezentei directive, statele membre ar trebui să elaboreze</w:t>
      </w:r>
      <w:bookmarkStart w:id="33" w:name="_Hlk228377969"/>
      <w:r>
        <w:rPr>
          <w:rStyle w:val="CRRefonteDeleted"/>
          <w:noProof/>
          <w:highlight w:val="lightGray"/>
        </w:rPr>
        <w:t>, cu sprijinul Comisiei,</w:t>
      </w:r>
      <w:bookmarkEnd w:id="33"/>
      <w:r>
        <w:rPr>
          <w:noProof/>
        </w:rPr>
        <w:t xml:space="preserve"> modalitățile practice, inclusiv, după caz, un acord comun între operatori de date și un acord între operatorul de date și persoana împuternicită de operator sau modele ale acestora. Doar persoanele acreditate în mod corespunzător de autoritatea de acreditare </w:t>
      </w:r>
      <w:r>
        <w:rPr>
          <w:noProof/>
        </w:rPr>
        <w:lastRenderedPageBreak/>
        <w:t xml:space="preserve">în materie de securitate a Comisiei pot avea acces la informațiile comunicate în temeiul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prezentei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d</w:t>
      </w:r>
      <w:r>
        <w:rPr>
          <w:rStyle w:val="CRMinorChangeDeleted"/>
          <w:noProof/>
        </w:rPr>
        <w:t>D</w:t>
      </w:r>
      <w:r>
        <w:rPr>
          <w:noProof/>
        </w:rPr>
        <w:t>irective</w:t>
      </w:r>
      <w:r>
        <w:rPr>
          <w:rStyle w:val="CRMinorChangeDeleted"/>
          <w:noProof/>
        </w:rPr>
        <w:t>i</w:t>
      </w:r>
      <w:r>
        <w:rPr>
          <w:noProof/>
        </w:rPr>
        <w:t xml:space="preserve"> </w:t>
      </w:r>
      <w:r>
        <w:rPr>
          <w:rStyle w:val="CRDeleted"/>
          <w:noProof/>
        </w:rPr>
        <w:t>2011/16/UE</w:t>
      </w:r>
      <w:r>
        <w:rPr>
          <w:noProof/>
        </w:rPr>
        <w:t xml:space="preserve"> și furnizate pe cale electronică prin intermediul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și numai în măsura în care acest lucru este necesar pentru gestionarea, întreținerea și dezvoltarea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registrului central privind cooperarea administrativă în domeniul fiscal și a CCN</w:t>
      </w:r>
      <w:r>
        <w:rPr>
          <w:noProof/>
        </w:rPr>
        <w:t xml:space="preserve">. De asemenea, Comisia este responsabilă pentru asigurarea securității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registrului central privind cooperarea administrativă în domeniul fiscal și a CCN</w:t>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rPr>
      </w:pPr>
      <w:r>
        <w:rPr>
          <w:noProof/>
          <w:highlight w:val="lightGray"/>
        </w:rPr>
        <w:t>(105)</w:t>
      </w:r>
      <w:r>
        <w:rPr>
          <w:noProof/>
        </w:rPr>
        <w:tab/>
      </w:r>
      <w:r>
        <w:rPr>
          <w:noProof/>
          <w:highlight w:val="lightGray"/>
        </w:rPr>
        <w:t>Pentru a crea mai multă certitudine pentru contribuabili și pentru a asigura condiții de concurență echitabile în întreaga UE, prezenta directivă prevede posibilitatea de a stabili norme comune suplimentare privind criteriile incluse în unele dintre semnele distinctive specifice. Respectivele acte de punere în aplicare ar trebui să ofere contribuabililor și administrațiilor fiscale norme detaliate și clare privind criteriile pentru cerințele prevăzute în partea II secțiunea D punctul 2 literele (a) și (b) din anexa IV, cu scopul de a asigura aplicarea uniformă a directivei, de a reduce sarcina de asigurare a conformității și de a asigura condiții de concurență echitabile. Se preconizează că astfel de măsuri vor avea un impact asupra competențelor executive și de asigurare a respectării legislației ale statelor membre în domeniul impozitării directe, precum și asupra bazelor de impozitare ale statelor membre. Din acest motiv, este oportun să se confere Consiliului, pe baza unei propuneri a Comisiei, competențe pentru a adopta acte de punere în aplicare.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considerentul 17</w:t>
      </w:r>
    </w:p>
    <w:p>
      <w:pPr>
        <w:pStyle w:val="ManualConsidrant"/>
        <w:rPr>
          <w:noProof/>
        </w:rPr>
      </w:pPr>
      <w:r>
        <w:rPr>
          <w:noProof/>
        </w:rPr>
        <w:t>(106)</w:t>
      </w:r>
      <w:r>
        <w:rPr>
          <w:noProof/>
        </w:rPr>
        <w:tab/>
        <w:t>Este necesar să existe o colaborare între statele membre și Comisie pentru a face posibile studiul continuu al procedurilor de cooperare și schimbul de experiență și de bune practici în domeniile de interes.</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highlight w:val="lightGray"/>
        </w:rPr>
        <w:t>(107)</w:t>
      </w:r>
      <w:r>
        <w:rPr>
          <w:noProof/>
          <w:highlight w:val="lightGray"/>
        </w:rPr>
        <w:tab/>
        <w:t>Eficacitatea cooperării administrative ar trebui evaluată periodic, pe baza statisticilor care urmează să fie furnizate Comisiei de către statele membre. Statele membre ar trebui, de asemenea, să comunice statistici institutelor lor naționale de statistică, precum și rapoarte pentru fiecare țară în parte autorității lor statistice naționale respective, pentru a le permite să furnizeze EUROSTAT informații fiabile și actualizate, în conformitate cu Regulamentul (CE) nr. 223/2009 al Parlamentului European și al Consiliului</w:t>
      </w:r>
      <w:r>
        <w:rPr>
          <w:rStyle w:val="FootnoteReference"/>
          <w:noProof/>
          <w:highlight w:val="lightGray"/>
        </w:rPr>
        <w:footnoteReference w:id="44"/>
      </w:r>
      <w:r>
        <w:rPr>
          <w:noProof/>
          <w:highlight w:val="lightGray"/>
        </w:rPr>
        <w:t xml:space="preserve">. Pentru a spori transparența și a monitoriza utilizarea datelor primite în cadrul schimbului automat de informații și rezultatele aferente, statele membre ar trebui să publice o serie de indicatori-cheie de performanță. Comisia </w:t>
      </w:r>
      <w:r>
        <w:rPr>
          <w:noProof/>
          <w:highlight w:val="lightGray"/>
        </w:rPr>
        <w:lastRenderedPageBreak/>
        <w:t>ar trebui, de asemenea, să poată publica anumite informații pe baza datelor furnizate de statele membre.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2025/872 considerentul 10</w:t>
      </w:r>
    </w:p>
    <w:p>
      <w:pPr>
        <w:pStyle w:val="ManualConsidrant"/>
        <w:rPr>
          <w:noProof/>
        </w:rPr>
      </w:pPr>
      <w:r>
        <w:rPr>
          <w:noProof/>
        </w:rPr>
        <w:t>(108)</w:t>
      </w:r>
      <w:r>
        <w:rPr>
          <w:noProof/>
        </w:rPr>
        <w:tab/>
        <w:t>Directiva (UE) 2022/2523 le permite statelor membre în care sunt situate cel mult douăsprezece societăți-mamă finale ale grupurilor care intră în domeniul de aplicare al directivei respective să opteze să nu aplice IIR și UTPR pentru o perioadă limitată. În astfel de cazuri, un stat membru, în cazul în care nu este un stat membru care aplică doar QDTT, ar trebui să înceapă să aplice normele privind schimbul de Declarații privind impozitul suplimentar (și anume să primească și să trimită informații) numai atunci când se încheie perioada de exercitare a opțiunii în temeiul Directivei (UE) 2022/2523.</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highlight w:val="lightGray"/>
        </w:rPr>
        <w:t>(109)</w:t>
      </w:r>
      <w:r>
        <w:rPr>
          <w:noProof/>
          <w:highlight w:val="lightGray"/>
        </w:rPr>
        <w:tab/>
        <w:t>Prezenta directivă coexistă cu Regulamentul (UE) 2022/2065 al Parlamentului European și al Consiliului</w:t>
      </w:r>
      <w:r>
        <w:rPr>
          <w:rStyle w:val="FootnoteReference"/>
          <w:noProof/>
          <w:highlight w:val="lightGray"/>
        </w:rPr>
        <w:footnoteReference w:id="45"/>
      </w:r>
      <w:r>
        <w:rPr>
          <w:noProof/>
          <w:highlight w:val="lightGray"/>
        </w:rPr>
        <w:t xml:space="preserve"> și este în deplină concordanță cu acesta; regulamentul respectiv armonizează normele care reglementează răspunderea și responsabilitatea furnizorilor de servicii intermediare, inclusiv a platformelor online, și stabilește obligații de diligență aplicabile în întreaga Uniune. Prezenta directivă nu aduce atingere obligațiilor stabilite în temeiul regulamentului respectiv și le completează.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2016/2258 considerentul 6</w:t>
      </w:r>
    </w:p>
    <w:p>
      <w:pPr>
        <w:pStyle w:val="ManualConsidrant"/>
        <w:rPr>
          <w:noProof/>
        </w:rPr>
      </w:pPr>
      <w:r>
        <w:rPr>
          <w:noProof/>
        </w:rPr>
        <w:t>(110)</w:t>
      </w:r>
      <w:r>
        <w:rPr>
          <w:noProof/>
        </w:rPr>
        <w:tab/>
        <w:t>Prezenta directivă respectă drepturile fundamentale și principiile recunoscute prin Carta drepturilor fundamentale a Uniunii Europene. În cazurile în care prezenta directivă impune ca accesul autorităților fiscale la date cu caracter personal să fie prevăzut de lege, acest lucru nu necesită în mod obligatoriu un act legislativ al parlamentului, fără a aduce atingere ordinii constituționale din statele membre vizate. Cu toate acestea, un astfel de act legislativ ar trebui să fie clar și precis, iar aplicarea sa ar trebui să fie clară și previzibilă pentru persoanele care intră sub incidența sa, conform jurisprudenței Curții de Justiție a Uniunii Europene și a Curții Europene a Drepturilor Omului.</w:t>
      </w:r>
    </w:p>
    <w:p>
      <w:pPr>
        <w:pStyle w:val="CRSeparator"/>
        <w:rPr>
          <w:rFonts w:eastAsiaTheme="minorHAnsi"/>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highlight w:val="lightGray"/>
        </w:rPr>
        <w:t>(111)</w:t>
      </w:r>
      <w:r>
        <w:rPr>
          <w:noProof/>
          <w:highlight w:val="lightGray"/>
        </w:rPr>
        <w:tab/>
        <w:t>Autoritatea Europeană pentru Protecția Datelor a fost consultată în conformitate cu articolul 42 alineatul (1) din Regulamentul (UE) 2018/1725 al Parlamentului European și al Consiliului</w:t>
      </w:r>
      <w:r>
        <w:rPr>
          <w:rStyle w:val="FootnoteReference"/>
          <w:noProof/>
          <w:highlight w:val="lightGray"/>
        </w:rPr>
        <w:footnoteReference w:id="46"/>
      </w:r>
      <w:r>
        <w:rPr>
          <w:noProof/>
          <w:highlight w:val="lightGray"/>
        </w:rPr>
        <w:t xml:space="preserve"> și a emis un aviz la [XXX]</w:t>
      </w:r>
      <w:r>
        <w:rPr>
          <w:rStyle w:val="FootnoteReference"/>
          <w:noProof/>
          <w:highlight w:val="lightGray"/>
        </w:rPr>
        <w:footnoteReference w:id="47"/>
      </w:r>
      <w:r>
        <w:rPr>
          <w:noProof/>
          <w:highlight w:val="lightGray"/>
        </w:rPr>
        <w:t>.</w:t>
      </w:r>
    </w:p>
    <w:p>
      <w:pPr>
        <w:pStyle w:val="ManualConsidrant"/>
        <w:rPr>
          <w:noProof/>
          <w:highlight w:val="lightGray"/>
        </w:rPr>
      </w:pPr>
      <w:r>
        <w:rPr>
          <w:noProof/>
          <w:highlight w:val="lightGray"/>
        </w:rPr>
        <w:lastRenderedPageBreak/>
        <w:t>(112)</w:t>
      </w:r>
      <w:r>
        <w:rPr>
          <w:noProof/>
          <w:highlight w:val="lightGray"/>
        </w:rPr>
        <w:tab/>
        <w:t xml:space="preserve">La punerea în aplicare a prezentei directive, statele membre ar trebui să asigure respectarea deplină a drepturilor fundamentale și a principiilor generale recunoscute de Carta drepturilor fundamentale a Uniunii Europene, în special a drepturilor la respectarea vieții private și a comunicațiilor, la protecția datelor cu caracter personal și la o cale de atac eficientă și la un proces echitabil, astfel cum sunt garantate, printre altele, de articolele 7, 8 și 47 din Cartă. Statele membre ar trebui să reconcilieze obiectivul unei cooperări administrative eficace și cel al combaterii fraudei fiscale, a evaziunii fiscale și a evitării obligațiilor fiscale cu imperativul de a asigura un nivel ridicat de protecție a drepturilor fundamentale în procedurile naționale de punere în aplicare a prezentei directive, iar orice limitare a acestor drepturi trebuie să fie prevăzută de lege, să respecte esența acestora și să respecte principiul proporționalității, în conformitate cu articolul 52 alineatul (1) din Cartă. </w:t>
      </w:r>
    </w:p>
    <w:p>
      <w:pPr>
        <w:pStyle w:val="ManualConsidrant"/>
        <w:rPr>
          <w:noProof/>
          <w:highlight w:val="lightGray"/>
        </w:rPr>
      </w:pPr>
      <w:r>
        <w:rPr>
          <w:noProof/>
          <w:highlight w:val="lightGray"/>
        </w:rPr>
        <w:t>(113)</w:t>
      </w:r>
      <w:r>
        <w:rPr>
          <w:noProof/>
          <w:highlight w:val="lightGray"/>
        </w:rPr>
        <w:tab/>
        <w:t>În plus, deși prezenta directivă nu armonizează căile de atac procedurale naționale ale statelor membre și deși eficacitatea cooperării administrative impune ca anumite măsuri de investigare să poată fi luate, în cazuri justificate, fără notificarea prealabilă a contribuabilului în cauză, statele membre ar trebui să se asigure, în conformitate cu obligațiile care le revin, printre altele, în temeiul Convenției europene a drepturilor omului, că persoanele ale căror drepturi sunt afectate de măsurile de investigare sau de divulgare legate de punerea în aplicare a prezentei directive au acces, în temeiul dreptului intern, la un control efectiv efectuat de o instanță sau de un organism independent și imparțial competent să examineze, într-un termen rezonabil, legalitatea măsurii, inclusiv respectarea condițiilor aplicabile referitoare la justificarea măsurii, la domeniul de aplicare și la orice privilegii sau măsuri de protecție relevante.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(UE) 2015/2376 considerentul 23</w:t>
      </w:r>
    </w:p>
    <w:p>
      <w:pPr>
        <w:pStyle w:val="ManualConsidrant"/>
        <w:rPr>
          <w:noProof/>
        </w:rPr>
      </w:pPr>
      <w:r>
        <w:rPr>
          <w:noProof/>
        </w:rPr>
        <w:t>(114)</w:t>
      </w:r>
      <w:r>
        <w:rPr>
          <w:noProof/>
        </w:rPr>
        <w:tab/>
        <w:t>Deoarece obiectivul prezentei directive, și anume instituirea unei cooperări administrative eficiente între statele membre în condiții compatibile cu buna funcționare a pieței interne, nu poate fi realizat în mod satisfăcător de către statele membre, dar, din motive de uniformitate și eficacitate, poate fi realizat mai bine la nivelul Uniunii, aceasta poate adopta măsuri în conformitate cu principiul subsidiarității astfel cum este definit la articolul 5 din Tratatul privind Uniunea Europeană. În conformitate cu principiul proporționalității, astfel cum este definit la articolul menționat, prezenta directivă nu depășește ceea ce este necesar pentru realizarea acestui obiectiv.</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highlight w:val="lightGray"/>
        </w:rPr>
        <w:t>(115)</w:t>
      </w:r>
      <w:r>
        <w:rPr>
          <w:noProof/>
        </w:rPr>
        <w:tab/>
      </w:r>
      <w:r>
        <w:rPr>
          <w:noProof/>
          <w:highlight w:val="lightGray"/>
        </w:rPr>
        <w:t>Obligația de a transpune prezenta directivă în dreptul intern ar trebui să fie limitată la dispozițiile care reprezintă o modificare de substanță față de directivele anterioare. Transpunerea dispozițiilor care nu au făcut obiectul unor modificări se efectuează în temeiul directivelor anterioare.</w:t>
      </w:r>
    </w:p>
    <w:p>
      <w:pPr>
        <w:pStyle w:val="ManualConsidrant"/>
        <w:rPr>
          <w:noProof/>
        </w:rPr>
      </w:pPr>
      <w:r>
        <w:rPr>
          <w:noProof/>
          <w:highlight w:val="lightGray"/>
        </w:rPr>
        <w:t>(116)</w:t>
      </w:r>
      <w:r>
        <w:rPr>
          <w:noProof/>
        </w:rPr>
        <w:tab/>
      </w:r>
      <w:r>
        <w:rPr>
          <w:noProof/>
          <w:highlight w:val="lightGray"/>
        </w:rPr>
        <w:t>Prezenta directivă nu ar trebui să aducă atingere obligațiilor statelor membre privind termenele de transpunere în dreptul intern și datele de aplicare a directivelor menționate în anexa VIII partea B,</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Formuledadoption"/>
        <w:rPr>
          <w:noProof/>
        </w:rPr>
      </w:pPr>
      <w:r>
        <w:rPr>
          <w:noProof/>
        </w:rPr>
        <w:t>ADOPTĂ PREZENTA DIRECTIVĂ:</w:t>
      </w:r>
    </w:p>
    <w:p>
      <w:pPr>
        <w:pStyle w:val="SectionTitle"/>
        <w:rPr>
          <w:noProof/>
        </w:rPr>
      </w:pPr>
      <w:r>
        <w:rPr>
          <w:noProof/>
        </w:rPr>
        <w:t>CAPITOLUL I</w:t>
      </w:r>
    </w:p>
    <w:p>
      <w:pPr>
        <w:pStyle w:val="SectionTitle"/>
        <w:rPr>
          <w:noProof/>
        </w:rPr>
      </w:pPr>
      <w:r>
        <w:rPr>
          <w:i/>
          <w:noProof/>
        </w:rPr>
        <w:t>DISPOZIȚII GENERALE</w:t>
      </w:r>
    </w:p>
    <w:p>
      <w:pPr>
        <w:pStyle w:val="Titrearticle"/>
        <w:rPr>
          <w:noProof/>
        </w:rPr>
      </w:pPr>
      <w:r>
        <w:rPr>
          <w:noProof/>
        </w:rPr>
        <w:t>Articolul 1</w:t>
      </w:r>
    </w:p>
    <w:p>
      <w:pPr>
        <w:pStyle w:val="NormalCentered"/>
        <w:rPr>
          <w:b/>
          <w:noProof/>
        </w:rPr>
      </w:pPr>
      <w:r>
        <w:rPr>
          <w:b/>
          <w:noProof/>
        </w:rPr>
        <w:t>Obiect</w:t>
      </w:r>
    </w:p>
    <w:p>
      <w:pPr>
        <w:rPr>
          <w:noProof/>
        </w:rPr>
      </w:pPr>
      <w:r>
        <w:rPr>
          <w:noProof/>
        </w:rPr>
        <w:t>(1)</w:t>
      </w:r>
      <w:r>
        <w:rPr>
          <w:noProof/>
        </w:rPr>
        <w:tab/>
        <w:t xml:space="preserve">Prezenta directivă prevede normele și procedurile conform cărora statele membre cooperează între ele în vederea realizării unui schimb de informații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pentru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care este în mod previzibil relevant pentru</w:t>
      </w:r>
      <w:r>
        <w:rPr>
          <w:noProof/>
        </w:rPr>
        <w:t xml:space="preserve"> administrarea și aplicarea legilor interne ale statelor membre în privința taxelor și impozitelor menționate la articolul 2.</w:t>
      </w:r>
    </w:p>
    <w:p>
      <w:pPr>
        <w:rPr>
          <w:noProof/>
        </w:rPr>
      </w:pPr>
      <w:r>
        <w:rPr>
          <w:noProof/>
        </w:rPr>
        <w:t>(2)</w:t>
      </w:r>
      <w:r>
        <w:rPr>
          <w:noProof/>
        </w:rPr>
        <w:tab/>
        <w:t>De asemenea, prezenta directivă prevede dispoziții pentru schimbul de informații prin mijloace electronice, menționat la alineatul (1), precum și norme și proceduri conform cărora statele membre vor coopera cu Comisia pe teme de coordonare și evaluare.</w:t>
      </w:r>
    </w:p>
    <w:p>
      <w:pPr>
        <w:rPr>
          <w:rStyle w:val="CRRefonteDeleted"/>
          <w:noProof/>
        </w:rPr>
      </w:pPr>
      <w:r>
        <w:rPr>
          <w:noProof/>
        </w:rPr>
        <w:t>(3)</w:t>
      </w:r>
      <w:r>
        <w:rPr>
          <w:noProof/>
        </w:rPr>
        <w:tab/>
        <w:t xml:space="preserve">Prezenta directivă nu afectează aplicarea în statele membre a normelor privind asistența reciprocă în materie penală. </w:t>
      </w:r>
      <w:r>
        <w:rPr>
          <w:rStyle w:val="CRRefonteDeleted"/>
          <w:noProof/>
          <w:highlight w:val="lightGray"/>
        </w:rPr>
        <w:t>De asemenea, prezenta directivă nu aduce atingere îndeplinirii niciunei obligații a statelor membre în temeiul altor instrumente juridice, inclusiv acorduri bilaterale sau multilaterale, în ceea ce privește cooperarea administrativă extinsă.</w:t>
      </w:r>
    </w:p>
    <w:p>
      <w:pPr>
        <w:pStyle w:val="CRSeparator"/>
        <w:rPr>
          <w:rStyle w:val="CRRefonteDeleted"/>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rPr>
          <w:noProof/>
          <w:highlight w:val="lightGray"/>
        </w:rPr>
      </w:pPr>
      <w:r>
        <w:rPr>
          <w:noProof/>
          <w:highlight w:val="lightGray"/>
        </w:rPr>
        <w:t>(4)</w:t>
      </w:r>
      <w:r>
        <w:rPr>
          <w:noProof/>
        </w:rPr>
        <w:tab/>
      </w:r>
      <w:r>
        <w:rPr>
          <w:noProof/>
          <w:highlight w:val="lightGray"/>
        </w:rPr>
        <w:t>Statele membre nu introduc și nu mențin, după intrarea în vigoare a prezentei directive, nicio obligație internă de raportare care impune colectarea, raportarea sau transmiterea de informații care duplică în mod substanțial informațiile care trebuie raportate în temeiul capitolului II din prezenta directivă.</w:t>
      </w:r>
    </w:p>
    <w:p>
      <w:pPr>
        <w:rPr>
          <w:noProof/>
        </w:rPr>
      </w:pPr>
      <w:r>
        <w:rPr>
          <w:noProof/>
          <w:highlight w:val="lightGray"/>
        </w:rPr>
        <w:t>În sensul primului paragraf, o obligație națională de raportare este considerată redundantă în cazul în care impune raportarea acelorași date sau a unor date în mod substanțial similare, de la aceleași categorii sau de la categorii echivalente de entități sau de persoane raportoare și într-un interval de timp comparabil, precum cele impuse în temeiul prezentei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p>
    <w:p>
      <w:pPr>
        <w:pStyle w:val="Titrearticle"/>
        <w:rPr>
          <w:noProof/>
        </w:rPr>
      </w:pPr>
      <w:r>
        <w:rPr>
          <w:noProof/>
        </w:rPr>
        <w:t>Articolul 2</w:t>
      </w:r>
    </w:p>
    <w:p>
      <w:pPr>
        <w:pStyle w:val="NormalCentered"/>
        <w:rPr>
          <w:b/>
          <w:noProof/>
        </w:rPr>
      </w:pPr>
      <w:r>
        <w:rPr>
          <w:b/>
          <w:noProof/>
        </w:rPr>
        <w:t>Domeniu de aplicare</w:t>
      </w:r>
    </w:p>
    <w:p>
      <w:pPr>
        <w:rPr>
          <w:noProof/>
        </w:rPr>
      </w:pPr>
      <w:r>
        <w:rPr>
          <w:noProof/>
        </w:rPr>
        <w:t>(1)</w:t>
      </w:r>
      <w:r>
        <w:rPr>
          <w:noProof/>
        </w:rPr>
        <w:tab/>
        <w:t>Prezenta directivă se aplică tuturor tipurilor de taxe și impozite percepute de către sau în numele unui stat membru sau al subdiviziunilor teritoriale sau administrative ale acestuia, inclusiv autoritățile locale.</w:t>
      </w:r>
    </w:p>
    <w:p>
      <w:pPr>
        <w:rPr>
          <w:noProof/>
        </w:rPr>
      </w:pPr>
      <w:r>
        <w:rPr>
          <w:noProof/>
        </w:rPr>
        <w:t>(2)</w:t>
      </w:r>
      <w:r>
        <w:rPr>
          <w:noProof/>
        </w:rPr>
        <w:tab/>
        <w:t xml:space="preserve">Fără a aduce atingere alineatului (1), prezenta directivă nu se aplică taxei pe valoarea adăugată și nici taxelor vamale sau accizelor care fac obiectul unei alte legislații a Uniunii </w:t>
      </w:r>
      <w:r>
        <w:rPr>
          <w:noProof/>
        </w:rPr>
        <w:lastRenderedPageBreak/>
        <w:t>privind cooperarea administrativă dintre statele membre. Prezenta directivă nu se aplică nici contribuțiilor obligatorii la sistemul de securitate socială plătibile statului membru, unei subdiviziuni a acestuia sau instituțiilor de securitate socială de drept public.</w:t>
      </w:r>
    </w:p>
    <w:p>
      <w:pPr>
        <w:rPr>
          <w:noProof/>
        </w:rPr>
      </w:pPr>
      <w:r>
        <w:rPr>
          <w:noProof/>
        </w:rPr>
        <w:t>(3)</w:t>
      </w:r>
      <w:r>
        <w:rPr>
          <w:noProof/>
        </w:rPr>
        <w:tab/>
        <w:t>Taxele și impozitele, astfel cum sunt menționate la alineatul (1), nu se interpretează în niciun caz ca incluzând:</w:t>
      </w:r>
    </w:p>
    <w:p>
      <w:pPr>
        <w:pStyle w:val="Point0"/>
        <w:rPr>
          <w:noProof/>
        </w:rPr>
      </w:pPr>
      <w:r>
        <w:rPr>
          <w:noProof/>
        </w:rPr>
        <w:tab/>
        <w:t>(a)</w:t>
      </w:r>
      <w:r>
        <w:rPr>
          <w:noProof/>
        </w:rPr>
        <w:tab/>
        <w:t>taxele, cum ar fi cele pentru certificate și alte documente emise de autoritățile publice; sau</w:t>
      </w:r>
    </w:p>
    <w:p>
      <w:pPr>
        <w:pStyle w:val="Point0"/>
        <w:rPr>
          <w:noProof/>
        </w:rPr>
      </w:pPr>
      <w:r>
        <w:rPr>
          <w:noProof/>
        </w:rPr>
        <w:tab/>
        <w:t>(b)</w:t>
      </w:r>
      <w:r>
        <w:rPr>
          <w:noProof/>
        </w:rPr>
        <w:tab/>
        <w:t>contribuțiile de natură contractuală, cum ar fi sumele stabilite pentru utilitățile publice.</w:t>
      </w:r>
    </w:p>
    <w:p>
      <w:pPr>
        <w:rPr>
          <w:noProof/>
        </w:rPr>
      </w:pPr>
      <w:r>
        <w:rPr>
          <w:noProof/>
        </w:rPr>
        <w:t>(4)</w:t>
      </w:r>
      <w:r>
        <w:rPr>
          <w:noProof/>
        </w:rPr>
        <w:tab/>
        <w:t>Prezenta directivă se aplică taxelor și impozitelor menționate la alineatul (1), percepute în cadrul teritoriului unde tratatele sunt aplicabile în temeiul articolului 52 din Tratatul privind Uniunea Europeană.</w:t>
      </w:r>
    </w:p>
    <w:p>
      <w:pPr>
        <w:pStyle w:val="Titrearticle"/>
        <w:rPr>
          <w:noProof/>
        </w:rPr>
      </w:pPr>
      <w:r>
        <w:rPr>
          <w:noProof/>
        </w:rPr>
        <w:t>Articolul 3</w:t>
      </w:r>
    </w:p>
    <w:p>
      <w:pPr>
        <w:pStyle w:val="NormalCentered"/>
        <w:rPr>
          <w:b/>
          <w:noProof/>
        </w:rPr>
      </w:pPr>
      <w:r>
        <w:rPr>
          <w:b/>
          <w:noProof/>
        </w:rPr>
        <w:t>Definiții</w:t>
      </w:r>
    </w:p>
    <w:p>
      <w:pPr>
        <w:rPr>
          <w:noProof/>
        </w:rPr>
      </w:pPr>
      <w:r>
        <w:rPr>
          <w:noProof/>
        </w:rPr>
        <w:t>În sensul prezentei directive, se aplică următoarele definiții:</w:t>
      </w:r>
    </w:p>
    <w:p>
      <w:pPr>
        <w:pStyle w:val="Point0"/>
        <w:rPr>
          <w:noProof/>
        </w:rPr>
      </w:pPr>
      <w:r>
        <w:rPr>
          <w:noProof/>
        </w:rPr>
        <w:tab/>
        <w:t>(1)</w:t>
      </w:r>
      <w:r>
        <w:rPr>
          <w:noProof/>
        </w:rPr>
        <w:tab/>
        <w:t>„autoritate competentă” a unui stat membru înseamnă autoritatea care a fost desemnată ca atare de către statul membru respectiv. Atunci când acționează în temeiul prezentei directive, biroul central de legătură, un departament de legătură sau un funcționar competent este considerat, de asemenea, autoritate competentă prin delegare, conform articolului 29;</w:t>
      </w:r>
    </w:p>
    <w:p>
      <w:pPr>
        <w:pStyle w:val="Point0"/>
        <w:rPr>
          <w:noProof/>
        </w:rPr>
      </w:pPr>
      <w:r>
        <w:rPr>
          <w:noProof/>
        </w:rPr>
        <w:tab/>
        <w:t>(2)</w:t>
      </w:r>
      <w:r>
        <w:rPr>
          <w:noProof/>
        </w:rPr>
        <w:tab/>
        <w:t>„birou central de legătură” înseamnă biroul care a fost desemnat ca fiind responsabilul principal pentru contactele cu alte state membre în domeniul cooperării administrative;</w:t>
      </w:r>
    </w:p>
    <w:p>
      <w:pPr>
        <w:pStyle w:val="Point0"/>
        <w:rPr>
          <w:noProof/>
        </w:rPr>
      </w:pPr>
      <w:r>
        <w:rPr>
          <w:noProof/>
        </w:rPr>
        <w:tab/>
        <w:t>(3)</w:t>
      </w:r>
      <w:r>
        <w:rPr>
          <w:noProof/>
        </w:rPr>
        <w:tab/>
        <w:t>„departament de legătură” înseamnă orice birou, altul decât biroul central de legătură, care a fost astfel desemnat în vederea schimbului direct de informații în temeiul prezentei directive;</w:t>
      </w:r>
    </w:p>
    <w:p>
      <w:pPr>
        <w:pStyle w:val="Point0"/>
        <w:rPr>
          <w:noProof/>
        </w:rPr>
      </w:pPr>
      <w:r>
        <w:rPr>
          <w:noProof/>
        </w:rPr>
        <w:tab/>
        <w:t>(4)</w:t>
      </w:r>
      <w:r>
        <w:rPr>
          <w:noProof/>
        </w:rPr>
        <w:tab/>
        <w:t>„funcționar competent” înseamnă orice funcționar care este autorizat să facă schimb direct de informații în temeiul prezentei directive;</w:t>
      </w:r>
    </w:p>
    <w:p>
      <w:pPr>
        <w:pStyle w:val="Point0"/>
        <w:rPr>
          <w:noProof/>
        </w:rPr>
      </w:pPr>
      <w:r>
        <w:rPr>
          <w:noProof/>
        </w:rPr>
        <w:tab/>
        <w:t>(5)</w:t>
      </w:r>
      <w:r>
        <w:rPr>
          <w:noProof/>
        </w:rPr>
        <w:tab/>
        <w:t>„autoritate solicitantă” înseamnă biroul central de legătură, un departament de legătură sau orice funcționar competent al unui stat membru care înaintează o cerere de asistență în numele autorității competente;</w:t>
      </w:r>
    </w:p>
    <w:p>
      <w:pPr>
        <w:pStyle w:val="Point0"/>
        <w:rPr>
          <w:noProof/>
        </w:rPr>
      </w:pPr>
      <w:r>
        <w:rPr>
          <w:noProof/>
        </w:rPr>
        <w:tab/>
        <w:t>(6)</w:t>
      </w:r>
      <w:r>
        <w:rPr>
          <w:noProof/>
        </w:rPr>
        <w:tab/>
        <w:t>„autoritate solicitată” înseamnă biroul central de legătură, un departament de legătură sau orice funcționar competent al unui stat membru care primește o cerere de asistență în numele autorității competente;</w:t>
      </w:r>
    </w:p>
    <w:p>
      <w:pPr>
        <w:pStyle w:val="Point0"/>
        <w:rPr>
          <w:noProof/>
        </w:rPr>
      </w:pPr>
      <w:r>
        <w:rPr>
          <w:noProof/>
        </w:rPr>
        <w:tab/>
        <w:t>(7)</w:t>
      </w:r>
      <w:r>
        <w:rPr>
          <w:noProof/>
        </w:rPr>
        <w:tab/>
        <w:t>„anchetă administrativă” înseamnă toate controalele, verificările și alte acțiuni întreprinse de statele membre în exercitarea atribuțiilor lor, în scopul asigurării aplicării corecte a legislației fiscale;</w:t>
      </w:r>
    </w:p>
    <w:p>
      <w:pPr>
        <w:pStyle w:val="Point0"/>
        <w:rPr>
          <w:noProof/>
        </w:rPr>
      </w:pPr>
      <w:r>
        <w:rPr>
          <w:noProof/>
        </w:rPr>
        <w:tab/>
        <w:t>(8)</w:t>
      </w:r>
      <w:r>
        <w:rPr>
          <w:noProof/>
        </w:rPr>
        <w:tab/>
        <w:t>„schimb de informații la cerere” înseamnă schimbul de informații efectuat pe baza unei cereri adresate de statul membru solicitant statului membru solicitat într-un caz specific;</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2016/881 articolul 1 punctul 1</w:t>
      </w:r>
    </w:p>
    <w:p>
      <w:pPr>
        <w:pStyle w:val="Point0"/>
        <w:ind w:hanging="130"/>
        <w:rPr>
          <w:noProof/>
        </w:rPr>
      </w:pPr>
      <w:r>
        <w:rPr>
          <w:noProof/>
        </w:rPr>
        <w:t>(9)</w:t>
      </w:r>
      <w:r>
        <w:rPr>
          <w:noProof/>
        </w:rPr>
        <w:tab/>
        <w:t xml:space="preserve">„schimb automat” înseamnă: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2025/872 articolul 1 punctul 1 litera (a) </w:t>
      </w:r>
    </w:p>
    <w:p>
      <w:pPr>
        <w:pStyle w:val="Point1"/>
        <w:rPr>
          <w:noProof/>
        </w:rPr>
      </w:pPr>
      <w:r>
        <w:rPr>
          <w:rStyle w:val="CRRefonteDeleted"/>
          <w:noProof/>
          <w:highlight w:val="lightGray"/>
        </w:rPr>
        <w:t>(a)</w:t>
      </w:r>
      <w:r>
        <w:rPr>
          <w:noProof/>
        </w:rPr>
        <w:tab/>
      </w:r>
      <w:r>
        <w:rPr>
          <w:rStyle w:val="CRRefonteDeleted"/>
          <w:noProof/>
          <w:highlight w:val="lightGray"/>
        </w:rPr>
        <w:t>în sensul articolului 8 alineatul (1) și al articolelor 8a-8ae,</w:t>
      </w:r>
      <w:r>
        <w:rPr>
          <w:noProof/>
        </w:rPr>
        <w:t xml:space="preserve"> comunicarea sistematică de informații predefinite către alt stat membru, fără cerere prealabilă, la intervale regulate prestabilite;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2016/881 articolul 1 punctul 1</w:t>
      </w:r>
    </w:p>
    <w:p>
      <w:pPr>
        <w:pStyle w:val="Point1"/>
        <w:rPr>
          <w:noProof/>
          <w:highlight w:val="lightGray"/>
        </w:rPr>
      </w:pPr>
      <w:r>
        <w:rPr>
          <w:noProof/>
        </w:rPr>
        <w:tab/>
      </w:r>
      <w:r>
        <w:rPr>
          <w:rStyle w:val="CRRefonteDeleted"/>
          <w:noProof/>
          <w:highlight w:val="lightGray"/>
        </w:rPr>
        <w:t>(b)</w:t>
      </w:r>
      <w:r>
        <w:rPr>
          <w:noProof/>
        </w:rPr>
        <w:tab/>
      </w:r>
      <w:r>
        <w:rPr>
          <w:rStyle w:val="CRRefonteDeleted"/>
          <w:noProof/>
          <w:highlight w:val="lightGray"/>
        </w:rPr>
        <w:t>în sensul articolului 8 alineatul (3a), comunicarea sistematică a informațiilor predefinite referitoare la rezidenții din alte state membre către statul membru de rezidență relevant, fără cerere prealabilă, la intervale regulate prestabilite;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articolul 1 punctul 1 litera (a)</w:t>
      </w:r>
    </w:p>
    <w:p>
      <w:pPr>
        <w:pStyle w:val="Point1"/>
        <w:rPr>
          <w:noProof/>
          <w:highlight w:val="lightGray"/>
        </w:rPr>
      </w:pPr>
      <w:r>
        <w:rPr>
          <w:noProof/>
        </w:rPr>
        <w:tab/>
      </w:r>
      <w:r>
        <w:rPr>
          <w:rStyle w:val="CRRefonteDeleted"/>
          <w:noProof/>
          <w:highlight w:val="lightGray"/>
        </w:rPr>
        <w:t>(c)</w:t>
      </w:r>
      <w:r>
        <w:rPr>
          <w:noProof/>
        </w:rPr>
        <w:tab/>
      </w:r>
      <w:r>
        <w:rPr>
          <w:rStyle w:val="CRRefonteDeleted"/>
          <w:noProof/>
          <w:highlight w:val="lightGray"/>
        </w:rPr>
        <w:t>în sensul dispozițiilor din prezenta directivă, cu excepția articolului 8 alineatele (1) și (3a) și a articolelor 8a-8ae, comunicarea sistematică de informații predefinite prevăzută la primul paragraf literele (a) și (b) de la prezentul punct.</w:t>
      </w:r>
    </w:p>
    <w:p>
      <w:pPr>
        <w:pStyle w:val="CRSeparator"/>
        <w:rPr>
          <w:rStyle w:val="CRRefonteDeleted"/>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Point1"/>
        <w:rPr>
          <w:noProof/>
        </w:rPr>
      </w:pPr>
      <w:r>
        <w:rPr>
          <w:noProof/>
          <w:highlight w:val="lightGray"/>
        </w:rPr>
        <w:t>(10)</w:t>
      </w:r>
      <w:r>
        <w:rPr>
          <w:noProof/>
        </w:rPr>
        <w:tab/>
      </w:r>
      <w:r>
        <w:rPr>
          <w:noProof/>
          <w:highlight w:val="lightGray"/>
        </w:rPr>
        <w:t xml:space="preserve"> „informații disponibile” înseamnă, în sensul articolului 4, informații deținute de autoritățile guvernamentale, care acționează în numele statului, în registre și baze de date, care se pun la dispoziția autorităților fiscale ale statului membru care comunică informațiile, prin mijloace electronice, în format digital;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Point0"/>
        <w:rPr>
          <w:noProof/>
        </w:rPr>
      </w:pPr>
      <w:r>
        <w:rPr>
          <w:noProof/>
        </w:rPr>
        <w:tab/>
        <w:t>(</w:t>
      </w:r>
      <w:r>
        <w:rPr>
          <w:rStyle w:val="CRMinorChangeAdded"/>
          <w:noProof/>
        </w:rPr>
        <w:t>11)</w:t>
      </w:r>
      <w:r>
        <w:rPr>
          <w:noProof/>
        </w:rPr>
        <w:t xml:space="preserve"> </w:t>
      </w:r>
      <w:r>
        <w:rPr>
          <w:rStyle w:val="CRMinorChangeDeleted"/>
          <w:noProof/>
        </w:rPr>
        <w:t>10</w:t>
      </w:r>
      <w:r>
        <w:rPr>
          <w:noProof/>
        </w:rPr>
        <w:tab/>
        <w:t>„schimb spontan” înseamnă comunicarea nesistematică, în orice moment și fără o cerere prealabilă, a unor informații către un alt stat membru;</w:t>
      </w:r>
    </w:p>
    <w:p>
      <w:pPr>
        <w:pStyle w:val="Point0"/>
        <w:rPr>
          <w:noProof/>
        </w:rPr>
      </w:pPr>
      <w:r>
        <w:rPr>
          <w:noProof/>
        </w:rPr>
        <w:tab/>
        <w:t>(</w:t>
      </w:r>
      <w:r>
        <w:rPr>
          <w:rStyle w:val="CRMinorChangeAdded"/>
          <w:noProof/>
        </w:rPr>
        <w:t>12)</w:t>
      </w:r>
      <w:r>
        <w:rPr>
          <w:rStyle w:val="CRMinorChangeDeleted"/>
          <w:noProof/>
        </w:rPr>
        <w:t>11</w:t>
      </w:r>
      <w:r>
        <w:rPr>
          <w:noProof/>
        </w:rPr>
        <w:tab/>
        <w:t>„persoană” înseamnă:</w:t>
      </w:r>
    </w:p>
    <w:p>
      <w:pPr>
        <w:pStyle w:val="Point1"/>
        <w:rPr>
          <w:noProof/>
        </w:rPr>
      </w:pPr>
      <w:r>
        <w:rPr>
          <w:noProof/>
        </w:rPr>
        <w:tab/>
        <w:t>(a)</w:t>
      </w:r>
      <w:r>
        <w:rPr>
          <w:noProof/>
        </w:rPr>
        <w:tab/>
        <w:t>o persoană fizică;</w:t>
      </w:r>
    </w:p>
    <w:p>
      <w:pPr>
        <w:pStyle w:val="Point1"/>
        <w:rPr>
          <w:noProof/>
        </w:rPr>
      </w:pPr>
      <w:r>
        <w:rPr>
          <w:noProof/>
        </w:rPr>
        <w:tab/>
        <w:t>(b)</w:t>
      </w:r>
      <w:r>
        <w:rPr>
          <w:noProof/>
        </w:rPr>
        <w:tab/>
        <w:t>o persoană juridică;</w:t>
      </w:r>
    </w:p>
    <w:p>
      <w:pPr>
        <w:pStyle w:val="Point1"/>
        <w:rPr>
          <w:noProof/>
        </w:rPr>
      </w:pPr>
      <w:r>
        <w:rPr>
          <w:noProof/>
        </w:rPr>
        <w:tab/>
        <w:t>(c)</w:t>
      </w:r>
      <w:r>
        <w:rPr>
          <w:noProof/>
        </w:rPr>
        <w:tab/>
        <w:t>atunci când legislația în vigoare prevede acest lucru, o asociație de persoane căreia îi este recunoscută capacitatea de a încheia acte juridice, dar care nu are statutul de persoană juridică; sau</w:t>
      </w:r>
    </w:p>
    <w:p>
      <w:pPr>
        <w:pStyle w:val="Point1"/>
        <w:rPr>
          <w:noProof/>
        </w:rPr>
      </w:pPr>
      <w:r>
        <w:rPr>
          <w:noProof/>
        </w:rPr>
        <w:tab/>
        <w:t>(d)</w:t>
      </w:r>
      <w:r>
        <w:rPr>
          <w:noProof/>
        </w:rPr>
        <w:tab/>
        <w:t xml:space="preserve">orice altă construcție juridică, indiferent de natura sau forma acesteia, fie că are sau nu personalitate juridică, care deține sau gestionează active care, </w:t>
      </w:r>
      <w:r>
        <w:rPr>
          <w:noProof/>
        </w:rPr>
        <w:lastRenderedPageBreak/>
        <w:t>alături de venitul generat de acestea, sunt supuse unor taxe sau impozite care fac obiectul prezentei directive;</w:t>
      </w:r>
    </w:p>
    <w:p>
      <w:pPr>
        <w:pStyle w:val="Point0"/>
        <w:ind w:hanging="130"/>
        <w:rPr>
          <w:noProof/>
        </w:rPr>
      </w:pPr>
      <w:r>
        <w:rPr>
          <w:noProof/>
        </w:rPr>
        <w:t>(</w:t>
      </w:r>
      <w:r>
        <w:rPr>
          <w:rStyle w:val="CRMinorChangeAdded"/>
          <w:noProof/>
        </w:rPr>
        <w:t>13)</w:t>
      </w:r>
      <w:r>
        <w:rPr>
          <w:rStyle w:val="CRMinorChangeDeleted"/>
          <w:noProof/>
        </w:rPr>
        <w:t>12</w:t>
      </w:r>
      <w:r>
        <w:rPr>
          <w:noProof/>
        </w:rPr>
        <w:tab/>
        <w:t xml:space="preserve">„prin mijloace electronice” înseamnă </w:t>
      </w:r>
      <w:r>
        <w:rPr>
          <w:rStyle w:val="CRRefonteDeleted"/>
          <w:noProof/>
          <w:highlight w:val="lightGray"/>
        </w:rPr>
        <w:t>prin utilizarea unui echipament electronic pentru procesarea, inclusiv compresia digitală, și stocarea datelor, și prin utilizarea transmisiei prin fir, a transmisiei radio, a tehnologiilor optice sau a altor mijloace electromagnetice</w:t>
      </w:r>
      <w:r>
        <w:rPr>
          <w:noProof/>
        </w:rPr>
        <w:tab/>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utilizarea oricăror sisteme sau instrumente tehnologice pentru prelucrarea, transmiterea sau stocarea datelor în formă non-fizică, indiferent de infrastructura sau de metoda de transmitere specifică utilizată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Point0"/>
        <w:rPr>
          <w:rStyle w:val="CRRefonteDeleted"/>
          <w:noProof/>
          <w:highlight w:val="lightGray"/>
        </w:rPr>
      </w:pPr>
      <w:r>
        <w:rPr>
          <w:noProof/>
        </w:rPr>
        <w:tab/>
      </w:r>
      <w:r>
        <w:rPr>
          <w:rStyle w:val="CRRefonteDeleted"/>
          <w:noProof/>
          <w:highlight w:val="lightGray"/>
        </w:rPr>
        <w:t>(13)</w:t>
      </w:r>
      <w:r>
        <w:rPr>
          <w:noProof/>
        </w:rPr>
        <w:tab/>
      </w:r>
      <w:r>
        <w:rPr>
          <w:rStyle w:val="CRRefonteDeleted"/>
          <w:noProof/>
          <w:highlight w:val="lightGray"/>
        </w:rPr>
        <w:t>„rețea CCN” înseamnă platforma comună bazată pe rețeaua comună de comunicații (CCN) dezvoltată de Uniune pentru a asigura toate transmisiile prin mijloace electronice între autoritățile competente din domeniul vamal și fiscal;</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Point0"/>
        <w:ind w:hanging="130"/>
        <w:rPr>
          <w:noProof/>
        </w:rPr>
      </w:pPr>
      <w:r>
        <w:rPr>
          <w:noProof/>
          <w:highlight w:val="lightGray"/>
        </w:rPr>
        <w:t>(14)</w:t>
      </w:r>
      <w:r>
        <w:rPr>
          <w:noProof/>
        </w:rPr>
        <w:tab/>
      </w:r>
      <w:r>
        <w:rPr>
          <w:noProof/>
          <w:highlight w:val="lightGray"/>
        </w:rPr>
        <w:t xml:space="preserve"> „schimb securizat de informații digitale (SDIE)” înseamnă platforma comună instituită de Uniune pentru a permite transmiterea securizată și interoperabilă de informații între autoritățile competente din domeniul vamal și fiscal, indiferent de infrastructura de comunicații, tehnologiile sau soluțiile tehnice subiacente utilizate pentru a sprijini astfel de transmiteri;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articolul 1 punctul 1 litera (b)</w:t>
      </w:r>
    </w:p>
    <w:p>
      <w:pPr>
        <w:pStyle w:val="Point0"/>
        <w:rPr>
          <w:noProof/>
        </w:rPr>
      </w:pPr>
      <w:r>
        <w:rPr>
          <w:noProof/>
        </w:rPr>
        <w:tab/>
      </w:r>
      <w:r>
        <w:rPr>
          <w:rStyle w:val="CRMinorChangeAdded"/>
          <w:noProof/>
        </w:rPr>
        <w:t>(15)</w:t>
      </w:r>
      <w:r>
        <w:rPr>
          <w:rStyle w:val="CRMinorChangeDeleted"/>
          <w:noProof/>
        </w:rPr>
        <w:t>(14)</w:t>
      </w:r>
      <w:r>
        <w:rPr>
          <w:noProof/>
        </w:rPr>
        <w:tab/>
        <w:t>„decizie fiscală anticipată cu aplicare transfrontalieră” înseamnă orice acord, comunicare sau orice alt instrument sau acțiune cu efecte similare, inclusiv o decizie emisă, modificată sau reînnoită în contextul unui audit fiscal și care îndeplinește următoarele condiții:</w:t>
      </w:r>
    </w:p>
    <w:p>
      <w:pPr>
        <w:pStyle w:val="Point1"/>
        <w:rPr>
          <w:noProof/>
        </w:rPr>
      </w:pPr>
      <w:r>
        <w:rPr>
          <w:noProof/>
        </w:rPr>
        <w:tab/>
        <w:t>(a)</w:t>
      </w:r>
      <w:r>
        <w:rPr>
          <w:noProof/>
        </w:rPr>
        <w:tab/>
        <w:t>este emisă, modificată sau reînnoită de către sau în numele guvernului sau al autorității fiscale a unui stat membru sau de către subdiviziunile teritoriale sau administrative ale statului membru, inclusiv autoritățile locale, indiferent dacă aceasta este efectiv utilizată;</w:t>
      </w:r>
    </w:p>
    <w:p>
      <w:pPr>
        <w:pStyle w:val="Point1"/>
        <w:rPr>
          <w:noProof/>
        </w:rPr>
      </w:pPr>
      <w:r>
        <w:rPr>
          <w:noProof/>
        </w:rPr>
        <w:tab/>
        <w:t>(b)</w:t>
      </w:r>
      <w:r>
        <w:rPr>
          <w:noProof/>
        </w:rPr>
        <w:tab/>
        <w:t>este emisă, modificată sau reînnoită la adresa unei anumite persoane sau a unui anumit grup de persoane și pe care această persoană sau acest grup de persoane are dreptul să se bazeze;</w:t>
      </w:r>
    </w:p>
    <w:p>
      <w:pPr>
        <w:pStyle w:val="Point1"/>
        <w:rPr>
          <w:noProof/>
        </w:rPr>
      </w:pPr>
      <w:r>
        <w:rPr>
          <w:noProof/>
        </w:rPr>
        <w:tab/>
        <w:t>(c)</w:t>
      </w:r>
      <w:r>
        <w:rPr>
          <w:noProof/>
        </w:rPr>
        <w:tab/>
        <w:t>se referă la interpretarea sau aplicarea unei dispoziții legale sau administrative privind administrarea sau aplicarea normelor legale naționale referitoare la impozitele din statul membru sau din subdiviziunile teritoriale sau administrative ale statului membru, inclusiv autoritățile locale;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 litera (b)</w:t>
      </w:r>
    </w:p>
    <w:p>
      <w:pPr>
        <w:pStyle w:val="Point1"/>
        <w:rPr>
          <w:noProof/>
        </w:rPr>
      </w:pPr>
      <w:r>
        <w:rPr>
          <w:noProof/>
        </w:rPr>
        <w:tab/>
        <w:t>(d)</w:t>
      </w:r>
      <w:r>
        <w:rPr>
          <w:noProof/>
        </w:rPr>
        <w:tab/>
        <w:t>se referă la o tranzacție transfrontalieră sau la informația dacă activitățile desfășurate de o persoană într-o altă jurisdicție creează sau nu un sediu permanent sau la informația dacă o persoană fizică are sau nu domiciliul fiscal în statul membru care a emis decizia; și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articolul 1 punctul 1 litera (b)</w:t>
      </w:r>
    </w:p>
    <w:p>
      <w:pPr>
        <w:pStyle w:val="Point1"/>
        <w:rPr>
          <w:noProof/>
        </w:rPr>
      </w:pPr>
      <w:r>
        <w:rPr>
          <w:noProof/>
        </w:rPr>
        <w:tab/>
        <w:t>(e)</w:t>
      </w:r>
      <w:r>
        <w:rPr>
          <w:noProof/>
        </w:rPr>
        <w:tab/>
        <w:t>este luată anterior tranzacțiilor sau activităților dintr-o altă jurisdicție care au potențialul de a genera un sediu permanent sau anterior depunerii declarației fiscale pentru perioada în care a avut loc tranzacția sau seria de tranzacții sau activități.</w:t>
      </w:r>
    </w:p>
    <w:p>
      <w:pPr>
        <w:pStyle w:val="Point1"/>
        <w:rPr>
          <w:noProof/>
        </w:rPr>
      </w:pPr>
      <w:r>
        <w:rPr>
          <w:noProof/>
        </w:rPr>
        <w:tab/>
        <w:t>Tranzacțiile transfrontaliere pot include, fără a se limita la acestea, realizarea de investiții, furnizarea de bunuri, servicii, finanțare sau utilizarea unor active corporale sau necorporale și nu trebuie neapărat să implice în mod direct persoana căreia i se adresează decizia fiscală anticipată cu aplicare transfrontalieră;</w:t>
      </w:r>
    </w:p>
    <w:p>
      <w:pPr>
        <w:pStyle w:val="Point0"/>
        <w:rPr>
          <w:noProof/>
        </w:rPr>
      </w:pPr>
      <w:r>
        <w:rPr>
          <w:noProof/>
        </w:rPr>
        <w:tab/>
      </w:r>
      <w:r>
        <w:rPr>
          <w:rStyle w:val="CRMinorChangeAdded"/>
          <w:noProof/>
        </w:rPr>
        <w:t>(16)</w:t>
      </w:r>
      <w:r>
        <w:rPr>
          <w:rStyle w:val="CRMinorChangeDeleted"/>
          <w:noProof/>
        </w:rPr>
        <w:t>(15)</w:t>
      </w:r>
      <w:r>
        <w:rPr>
          <w:noProof/>
        </w:rPr>
        <w:tab/>
        <w:t>„acord prealabil privind prețul de transfer” înseamnă orice acord, comunicare sau orice alt instrument sau acțiune cu efecte similare, inclusiv unul (una) emis(ă), modificat(ă) sau reînnoit(ă) în contextul unui audit fiscal și care îndeplinește următoarele condiții:</w:t>
      </w:r>
    </w:p>
    <w:p>
      <w:pPr>
        <w:pStyle w:val="Point1"/>
        <w:rPr>
          <w:noProof/>
        </w:rPr>
      </w:pPr>
      <w:r>
        <w:rPr>
          <w:noProof/>
        </w:rPr>
        <w:tab/>
        <w:t>(a)</w:t>
      </w:r>
      <w:r>
        <w:rPr>
          <w:noProof/>
        </w:rPr>
        <w:tab/>
        <w:t>este emis(ă), modificat(ă) sau reînnoit(ă) de către sau în numele guvernului sau al autorității fiscale din unul sau mai multe state membre, inclusiv al oricărei subdiviziuni teritoriale sau administrative din acestea, inclusiv autorități locale, indiferent dacă acesta (aceasta) este efectiv utilizat(ă);</w:t>
      </w:r>
    </w:p>
    <w:p>
      <w:pPr>
        <w:pStyle w:val="Point1"/>
        <w:rPr>
          <w:noProof/>
        </w:rPr>
      </w:pPr>
      <w:r>
        <w:rPr>
          <w:noProof/>
        </w:rPr>
        <w:tab/>
        <w:t>(b)</w:t>
      </w:r>
      <w:r>
        <w:rPr>
          <w:noProof/>
        </w:rPr>
        <w:tab/>
        <w:t>este emis(ă), modificat(ă) sau reînnoit(ă) la adresa unei anumite persoane sau a unui grup de persoane și pe care această persoană sau grup de persoane are dreptul să se bazeze; și</w:t>
      </w:r>
    </w:p>
    <w:p>
      <w:pPr>
        <w:pStyle w:val="Point1"/>
        <w:rPr>
          <w:noProof/>
        </w:rPr>
      </w:pPr>
      <w:r>
        <w:rPr>
          <w:noProof/>
        </w:rPr>
        <w:tab/>
        <w:t>(c)</w:t>
      </w:r>
      <w:r>
        <w:rPr>
          <w:noProof/>
        </w:rPr>
        <w:tab/>
        <w:t xml:space="preserve">stabilește, anterior tranzacțiilor transfrontaliere între întreprinderi asociate, un set corespunzător de criterii pentru stabilirea prețurilor de transfer pentru aceste tranzacții sau determină atribuirea profiturilor către un sediu permanent. </w:t>
      </w:r>
    </w:p>
    <w:p>
      <w:pPr>
        <w:pStyle w:val="Point1"/>
        <w:rPr>
          <w:noProof/>
        </w:rPr>
      </w:pPr>
      <w:r>
        <w:rPr>
          <w:noProof/>
        </w:rPr>
        <w:tab/>
        <w:t>Întreprinderile sunt întreprinderi asociate atunci când o întreprindere participă direct sau indirect la conducerea, la controlul sau la capitalul unei alte întreprinderi sau când aceleași persoane participă direct sau indirect la conducerea, la controlul sau la capitalul întreprinderilor.</w:t>
      </w:r>
    </w:p>
    <w:p>
      <w:pPr>
        <w:pStyle w:val="Point1"/>
        <w:rPr>
          <w:noProof/>
        </w:rPr>
      </w:pPr>
      <w:r>
        <w:rPr>
          <w:noProof/>
        </w:rPr>
        <w:tab/>
        <w:t>Prețurile de transfer sunt prețurile la care o întreprindere transferă bunuri corporale și necorporale sau oferă servicii întreprinderilor asociate, iar „stabilirea prețurilor de transfer” se interpretează în consecință;</w:t>
      </w:r>
    </w:p>
    <w:p>
      <w:pPr>
        <w:pStyle w:val="Point0"/>
        <w:rPr>
          <w:noProof/>
        </w:rPr>
      </w:pPr>
      <w:r>
        <w:rPr>
          <w:noProof/>
        </w:rPr>
        <w:tab/>
      </w:r>
      <w:r>
        <w:rPr>
          <w:rStyle w:val="CRMinorChangeAdded"/>
          <w:noProof/>
        </w:rPr>
        <w:t>(17)</w:t>
      </w:r>
      <w:r>
        <w:rPr>
          <w:rStyle w:val="CRMinorChangeDeleted"/>
          <w:noProof/>
        </w:rPr>
        <w:t>(16)</w:t>
      </w:r>
      <w:r>
        <w:rPr>
          <w:noProof/>
        </w:rPr>
        <w:tab/>
        <w:t xml:space="preserve">în sensul punctului </w:t>
      </w:r>
      <w:r>
        <w:rPr>
          <w:rStyle w:val="CRMinorChangeAdded"/>
          <w:noProof/>
        </w:rPr>
        <w:t>15</w:t>
      </w:r>
      <w:r>
        <w:rPr>
          <w:rStyle w:val="CRMinorChangeDeleted"/>
          <w:noProof/>
        </w:rPr>
        <w:t>14</w:t>
      </w:r>
      <w:r>
        <w:rPr>
          <w:noProof/>
        </w:rPr>
        <w:t>, „tranzacție transfrontalieră” înseamnă o tranzacție sau o serie de tranzacții în care:</w:t>
      </w:r>
    </w:p>
    <w:p>
      <w:pPr>
        <w:pStyle w:val="Point1"/>
        <w:rPr>
          <w:noProof/>
        </w:rPr>
      </w:pPr>
      <w:r>
        <w:rPr>
          <w:noProof/>
        </w:rPr>
        <w:tab/>
        <w:t>(a)</w:t>
      </w:r>
      <w:r>
        <w:rPr>
          <w:noProof/>
        </w:rPr>
        <w:tab/>
        <w:t>nu toate părțile la tranzacție sau la seria de tranzacții au rezidența fiscală în statul membru care emite, modifică sau reînnoiește decizia fiscală anticipată cu aplicare transfrontalieră;</w:t>
      </w:r>
    </w:p>
    <w:p>
      <w:pPr>
        <w:pStyle w:val="Point1"/>
        <w:rPr>
          <w:noProof/>
        </w:rPr>
      </w:pPr>
      <w:r>
        <w:rPr>
          <w:noProof/>
        </w:rPr>
        <w:tab/>
        <w:t>(b)</w:t>
      </w:r>
      <w:r>
        <w:rPr>
          <w:noProof/>
        </w:rPr>
        <w:tab/>
        <w:t>oricare dintre părțile la tranzacție sau la seria de tranzacții are în același timp rezidența fiscală în mai mult de o jurisdicție;</w:t>
      </w:r>
    </w:p>
    <w:p>
      <w:pPr>
        <w:pStyle w:val="Point1"/>
        <w:rPr>
          <w:noProof/>
        </w:rPr>
      </w:pPr>
      <w:r>
        <w:rPr>
          <w:noProof/>
        </w:rPr>
        <w:tab/>
        <w:t>(c)</w:t>
      </w:r>
      <w:r>
        <w:rPr>
          <w:noProof/>
        </w:rPr>
        <w:tab/>
        <w:t xml:space="preserve">una dintre părțile la tranzacție sau la seria de tranzacții își desfășoară activitatea într-o altă jurisdicție prin intermediul unui sediu permanent și tranzacția sau seria de tranzacții constituie o parte sau totalitatea activității la sediul permanent. O tranzacție sau o serie de tranzacții transfrontaliere include, </w:t>
      </w:r>
      <w:r>
        <w:rPr>
          <w:noProof/>
        </w:rPr>
        <w:lastRenderedPageBreak/>
        <w:t>de asemenea, măsurile luate de către o persoană în ceea ce privește activitățile comerciale din altă jurisdicție pe care persoana respectivă le desfășoară prin intermediul unui sediu permanent; sau</w:t>
      </w:r>
    </w:p>
    <w:p>
      <w:pPr>
        <w:pStyle w:val="Point1"/>
        <w:rPr>
          <w:noProof/>
        </w:rPr>
      </w:pPr>
      <w:r>
        <w:rPr>
          <w:noProof/>
        </w:rPr>
        <w:tab/>
        <w:t>(d)</w:t>
      </w:r>
      <w:r>
        <w:rPr>
          <w:noProof/>
        </w:rPr>
        <w:tab/>
        <w:t>tranzacțiile sau seriile de tranzacții respective au un impact transfrontalier.</w:t>
      </w:r>
    </w:p>
    <w:p>
      <w:pPr>
        <w:pStyle w:val="Point0"/>
        <w:rPr>
          <w:noProof/>
        </w:rPr>
      </w:pPr>
      <w:r>
        <w:rPr>
          <w:noProof/>
        </w:rPr>
        <w:tab/>
        <w:t xml:space="preserve">În sensul punctului </w:t>
      </w:r>
      <w:r>
        <w:rPr>
          <w:rStyle w:val="CRMinorChangeAdded"/>
          <w:noProof/>
        </w:rPr>
        <w:t>16</w:t>
      </w:r>
      <w:r>
        <w:rPr>
          <w:rStyle w:val="CRMinorChangeDeleted"/>
          <w:noProof/>
        </w:rPr>
        <w:t>15</w:t>
      </w:r>
      <w:r>
        <w:rPr>
          <w:noProof/>
        </w:rPr>
        <w:t>, „tranzacție transfrontalieră” înseamnă o tranzacție sau o serie de tranzacții care implică întreprinderi asociate care nu își au toate rezidența fiscală pe teritoriul aferent unei singure jurisdicții sau o tranzacție sau o serie de tranzacții care au un impact transfrontalier;</w:t>
      </w:r>
    </w:p>
    <w:p>
      <w:pPr>
        <w:pStyle w:val="Point0"/>
        <w:rPr>
          <w:noProof/>
        </w:rPr>
      </w:pPr>
      <w:r>
        <w:rPr>
          <w:noProof/>
        </w:rPr>
        <w:tab/>
        <w:t>(</w:t>
      </w:r>
      <w:r>
        <w:rPr>
          <w:rStyle w:val="CRMinorChangeAdded"/>
          <w:noProof/>
        </w:rPr>
        <w:t>18)</w:t>
      </w:r>
      <w:r>
        <w:rPr>
          <w:rStyle w:val="CRMinorChangeDeleted"/>
          <w:noProof/>
        </w:rPr>
        <w:t>17</w:t>
      </w:r>
      <w:r>
        <w:rPr>
          <w:noProof/>
        </w:rPr>
        <w:tab/>
        <w:t xml:space="preserve">în sensul punctelor </w:t>
      </w:r>
      <w:r>
        <w:rPr>
          <w:rStyle w:val="CRMinorChangeAdded"/>
          <w:noProof/>
        </w:rPr>
        <w:t>16</w:t>
      </w:r>
      <w:r>
        <w:rPr>
          <w:rStyle w:val="CRMinorChangeDeleted"/>
          <w:noProof/>
        </w:rPr>
        <w:t>15</w:t>
      </w:r>
      <w:r>
        <w:rPr>
          <w:noProof/>
        </w:rPr>
        <w:t xml:space="preserve"> și </w:t>
      </w:r>
      <w:r>
        <w:rPr>
          <w:rStyle w:val="CRMinorChangeAdded"/>
          <w:noProof/>
        </w:rPr>
        <w:t>17</w:t>
      </w:r>
      <w:r>
        <w:rPr>
          <w:rStyle w:val="CRMinorChangeDeleted"/>
          <w:noProof/>
        </w:rPr>
        <w:t>16</w:t>
      </w:r>
      <w:r>
        <w:rPr>
          <w:noProof/>
        </w:rPr>
        <w:t>, „întreprindere” înseamnă orice formă de desfășurare a unei activități comerciale;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articolul 1 punctul 1 litera (b)</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Point0"/>
        <w:rPr>
          <w:noProof/>
        </w:rPr>
      </w:pPr>
      <w:r>
        <w:rPr>
          <w:noProof/>
        </w:rPr>
        <w:tab/>
        <w:t>(</w:t>
      </w:r>
      <w:r>
        <w:rPr>
          <w:rStyle w:val="CRMinorChangeAdded"/>
          <w:noProof/>
        </w:rPr>
        <w:t>19)</w:t>
      </w:r>
      <w:r>
        <w:rPr>
          <w:rStyle w:val="CRMinorChangeDeleted"/>
          <w:noProof/>
        </w:rPr>
        <w:t>18</w:t>
      </w:r>
      <w:r>
        <w:rPr>
          <w:noProof/>
        </w:rPr>
        <w:tab/>
        <w:t xml:space="preserve">„modalitate transfrontalieră” înseamnă o modalitate care implică fie mai mult de un stat membru, fie un stat membru și o țară terță, dacă este îndeplinită cel puțin una din </w:t>
      </w:r>
      <w:r>
        <w:rPr>
          <w:rStyle w:val="CRRefonteDeleted"/>
          <w:noProof/>
          <w:highlight w:val="lightGray"/>
        </w:rPr>
        <w:t>următoarele</w:t>
      </w:r>
      <w:r>
        <w:rPr>
          <w:noProof/>
        </w:rPr>
        <w:t xml:space="preserve"> condiții</w:t>
      </w:r>
      <w:r>
        <w:rPr>
          <w:rStyle w:val="CRMinorChangeAdded"/>
          <w:noProof/>
        </w:rPr>
        <w:t>le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prevăzute la literele (a)-(e)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cu excepția cazului în care sunt îndeplinite condițiile prevăzute la litera (f)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Point1"/>
        <w:rPr>
          <w:noProof/>
        </w:rPr>
      </w:pPr>
      <w:r>
        <w:rPr>
          <w:noProof/>
        </w:rPr>
        <w:tab/>
        <w:t>(a)</w:t>
      </w:r>
      <w:r>
        <w:rPr>
          <w:noProof/>
        </w:rPr>
        <w:tab/>
        <w:t>nu toți participanții la modalitate sunt rezidenți în scopuri fiscale în aceeași jurisdicție;</w:t>
      </w:r>
    </w:p>
    <w:p>
      <w:pPr>
        <w:pStyle w:val="Point1"/>
        <w:rPr>
          <w:noProof/>
        </w:rPr>
      </w:pPr>
      <w:r>
        <w:rPr>
          <w:noProof/>
        </w:rPr>
        <w:tab/>
        <w:t>(b)</w:t>
      </w:r>
      <w:r>
        <w:rPr>
          <w:noProof/>
        </w:rPr>
        <w:tab/>
        <w:t>unul sau mai mulți participanți la modalitate au în același timp rezidența fiscală în mai mult de o jurisdicție;</w:t>
      </w:r>
    </w:p>
    <w:p>
      <w:pPr>
        <w:pStyle w:val="Point1"/>
        <w:rPr>
          <w:noProof/>
        </w:rPr>
      </w:pPr>
      <w:r>
        <w:rPr>
          <w:noProof/>
        </w:rPr>
        <w:tab/>
        <w:t>(c)</w:t>
      </w:r>
      <w:r>
        <w:rPr>
          <w:noProof/>
        </w:rPr>
        <w:tab/>
        <w:t>unul sau mai mulți participanți la modalitate desfășoară o activitate economică în altă jurisdicție prin intermediul unui sediu permanent situat în jurisdicția respectivă, iar modalitatea constituie totalitatea sau o parte a activității acelui sediu permanent;</w:t>
      </w:r>
    </w:p>
    <w:p>
      <w:pPr>
        <w:pStyle w:val="Point1"/>
        <w:rPr>
          <w:noProof/>
        </w:rPr>
      </w:pPr>
      <w:r>
        <w:rPr>
          <w:noProof/>
        </w:rPr>
        <w:tab/>
        <w:t>(d)</w:t>
      </w:r>
      <w:r>
        <w:rPr>
          <w:noProof/>
        </w:rPr>
        <w:tab/>
        <w:t>unul sau mai mulți participanți la modalitate desfășoară o activitate într-o altă jurisdicție fără a avea rezidența fiscală sau fără a institui un sediu permanent în acea jurisdicție;</w:t>
      </w:r>
    </w:p>
    <w:p>
      <w:pPr>
        <w:pStyle w:val="Point1"/>
        <w:rPr>
          <w:noProof/>
        </w:rPr>
      </w:pPr>
      <w:r>
        <w:rPr>
          <w:noProof/>
        </w:rPr>
        <w:tab/>
        <w:t>(e)</w:t>
      </w:r>
      <w:r>
        <w:rPr>
          <w:noProof/>
        </w:rPr>
        <w:tab/>
        <w:t>o astfel de modalitate are un posibil impact asupra schimbului automat de informații sau a identificării beneficiarilor reali;</w:t>
      </w:r>
    </w:p>
    <w:p>
      <w:pPr>
        <w:pStyle w:val="Point1"/>
        <w:rPr>
          <w:noProof/>
        </w:rPr>
      </w:pPr>
    </w:p>
    <w:p>
      <w:pPr>
        <w:pStyle w:val="Point1"/>
        <w:rPr>
          <w:noProof/>
          <w:highlight w:val="lightGray"/>
        </w:rPr>
      </w:pP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ind w:left="697" w:firstLine="720"/>
        <w:rPr>
          <w:noProof/>
          <w:highlight w:val="lightGray"/>
        </w:rPr>
      </w:pPr>
      <w:r>
        <w:rPr>
          <w:noProof/>
          <w:highlight w:val="lightGray"/>
        </w:rPr>
        <w:t>(f)</w:t>
      </w:r>
      <w:r>
        <w:rPr>
          <w:noProof/>
        </w:rPr>
        <w:tab/>
      </w:r>
      <w:r>
        <w:rPr>
          <w:noProof/>
          <w:highlight w:val="lightGray"/>
        </w:rPr>
        <w:t>fiecare dintre participanții la modalitate este parte:</w:t>
      </w:r>
    </w:p>
    <w:p>
      <w:pPr>
        <w:pStyle w:val="Text3"/>
        <w:rPr>
          <w:noProof/>
          <w:highlight w:val="lightGray"/>
        </w:rPr>
      </w:pPr>
      <w:r>
        <w:rPr>
          <w:noProof/>
          <w:highlight w:val="lightGray"/>
        </w:rPr>
        <w:t>(i)</w:t>
      </w:r>
      <w:r>
        <w:rPr>
          <w:noProof/>
        </w:rPr>
        <w:tab/>
      </w:r>
      <w:r>
        <w:rPr>
          <w:noProof/>
          <w:highlight w:val="lightGray"/>
        </w:rPr>
        <w:t xml:space="preserve">a unui grup de întreprinderi multinaționale sau a unui grup național de mari dimensiuni care, pentru perioada fiscală, intră în domeniul de aplicare al normelor prevăzute în Directiva 2022/2523 a Consiliului sau, în ceea ce privește jurisdicțiile țărilor terțe, al regulilor-model ale OCDE, cu excepția cazului în care societatea-mamă finală a grupului de întreprinderi multinaționale respectiv este situată într-o </w:t>
      </w:r>
      <w:r>
        <w:rPr>
          <w:noProof/>
          <w:highlight w:val="lightGray"/>
        </w:rPr>
        <w:lastRenderedPageBreak/>
        <w:t>jurisdicție cu un regim de coexistență („side-by-side”) calificat pentru perioada fiscală; sau</w:t>
      </w:r>
    </w:p>
    <w:p>
      <w:pPr>
        <w:pStyle w:val="Text3"/>
        <w:rPr>
          <w:noProof/>
          <w:highlight w:val="lightGray"/>
        </w:rPr>
      </w:pPr>
      <w:r>
        <w:rPr>
          <w:noProof/>
          <w:highlight w:val="lightGray"/>
        </w:rPr>
        <w:t>(ii)</w:t>
      </w:r>
      <w:r>
        <w:rPr>
          <w:noProof/>
        </w:rPr>
        <w:tab/>
      </w:r>
      <w:r>
        <w:rPr>
          <w:noProof/>
          <w:highlight w:val="lightGray"/>
        </w:rPr>
        <w:t>a unui grup de întreprinderi multinaționale sau a unui grup național de mari dimensiuni care, pentru perioada fiscală, intră în domeniul de aplicare al normelor prevăzute în Directiva 2022/2523 a Consiliului sau, în ceea ce privește jurisdicțiile țărilor terțe, al regulilor-model ale OCDE, și este deținut direct sau indirect de o societate-mamă finală care este situată într-o jurisdicție cu un regim de coexistență („side-by-side”) calificat pentru perioada fiscală și sunt îndeplinite ambele condiții de mai jos: (1) participantul face obiectul unui impozit suplimentar național calificat pentru perioada fiscală; (2) nu se acordă vreo rambursare sau vreun avantaj financiar direct sau indirect în legătură cu impozitul respectiv.</w:t>
      </w:r>
    </w:p>
    <w:p>
      <w:pPr>
        <w:pStyle w:val="Text3"/>
        <w:rPr>
          <w:noProof/>
        </w:rPr>
      </w:pPr>
      <w:r>
        <w:rPr>
          <w:noProof/>
          <w:highlight w:val="lightGray"/>
        </w:rPr>
        <w:t xml:space="preserve">În sensul prezentei litere, o jurisdicție cu un regim de coexistență („side-by-side”) calificat înseamnă o jurisdicție care este raportată ca având un astfel de statut în registrul central al OCDE în scopul impozitului minim global în conformitate cu acordul Cadrului incluziv al OCDE/G20 referitor la un pachet privind o soluție de coexistență (Side-by-Side) din 5 ianuarie 2026.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articolul 1 punctul 1 litera (b)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Point0"/>
        <w:rPr>
          <w:noProof/>
        </w:rPr>
      </w:pPr>
      <w:r>
        <w:rPr>
          <w:noProof/>
        </w:rPr>
        <w:tab/>
        <w:t xml:space="preserve">În sensul punctelor </w:t>
      </w:r>
      <w:r>
        <w:rPr>
          <w:rStyle w:val="CRMinorChangeAdded"/>
          <w:noProof/>
        </w:rPr>
        <w:t>19</w:t>
      </w:r>
      <w:r>
        <w:rPr>
          <w:rStyle w:val="CRMinorChangeDeleted"/>
          <w:noProof/>
        </w:rPr>
        <w:t>18</w:t>
      </w:r>
      <w:r>
        <w:rPr>
          <w:noProof/>
        </w:rPr>
        <w:t xml:space="preserve"> - </w:t>
      </w:r>
      <w:r>
        <w:rPr>
          <w:rStyle w:val="CRMinorChangeAdded"/>
          <w:noProof/>
        </w:rPr>
        <w:t>23</w:t>
      </w:r>
      <w:r>
        <w:rPr>
          <w:noProof/>
        </w:rPr>
        <w:t xml:space="preserve"> </w:t>
      </w:r>
      <w:r>
        <w:rPr>
          <w:rStyle w:val="CRMinorChangeDeleted"/>
          <w:noProof/>
        </w:rPr>
        <w:t>25</w:t>
      </w:r>
      <w:r>
        <w:rPr>
          <w:noProof/>
        </w:rPr>
        <w:t xml:space="preserve"> din prezentul articol, al articolului 8</w:t>
      </w:r>
      <w:r>
        <w:rPr>
          <w:rStyle w:val="CRMinorChangeDeleted"/>
          <w:noProof/>
        </w:rPr>
        <w:t>ab</w:t>
      </w:r>
      <w:r>
        <w:rPr>
          <w:noProof/>
        </w:rPr>
        <w:t xml:space="preserve"> și al anexei IV, o modalitate include de asemenea o serie de modalități. O modalitate poate cuprinde mai multe etape sau părți;</w:t>
      </w:r>
    </w:p>
    <w:p>
      <w:pPr>
        <w:pStyle w:val="Point0"/>
        <w:rPr>
          <w:noProof/>
        </w:rPr>
      </w:pPr>
      <w:r>
        <w:rPr>
          <w:noProof/>
        </w:rPr>
        <w:tab/>
        <w:t>(</w:t>
      </w:r>
      <w:r>
        <w:rPr>
          <w:rStyle w:val="CRMinorChangeAdded"/>
          <w:noProof/>
        </w:rPr>
        <w:t>20)</w:t>
      </w:r>
      <w:r>
        <w:rPr>
          <w:rStyle w:val="CRMinorChangeDeleted"/>
          <w:noProof/>
        </w:rPr>
        <w:t>19</w:t>
      </w:r>
      <w:r>
        <w:rPr>
          <w:noProof/>
        </w:rPr>
        <w:tab/>
        <w:t>„modalitate transfrontalieră care face obiectul raportării” înseamnă orice modalitate transfrontalieră care cuprinde cel puțin unul dintre semnele distinctive stabilite în anexa IV;</w:t>
      </w:r>
    </w:p>
    <w:p>
      <w:pPr>
        <w:pStyle w:val="Point0"/>
        <w:rPr>
          <w:noProof/>
        </w:rPr>
      </w:pPr>
      <w:r>
        <w:rPr>
          <w:noProof/>
        </w:rPr>
        <w:tab/>
        <w:t>(</w:t>
      </w:r>
      <w:r>
        <w:rPr>
          <w:rStyle w:val="CRMinorChangeAdded"/>
          <w:noProof/>
        </w:rPr>
        <w:t>21)</w:t>
      </w:r>
      <w:r>
        <w:rPr>
          <w:rStyle w:val="CRMinorChangeDeleted"/>
          <w:noProof/>
        </w:rPr>
        <w:t>20</w:t>
      </w:r>
      <w:r>
        <w:rPr>
          <w:noProof/>
        </w:rPr>
        <w:tab/>
        <w:t>„semn distinctiv” înseamnă o caracteristică sau o însușire a unei modalități transfrontaliere care prezintă un indiciu al unui potențial risc de evitare a obligațiilor fiscale, astfel cum este menționată în anexa IV;</w:t>
      </w:r>
    </w:p>
    <w:p>
      <w:pPr>
        <w:pStyle w:val="Point0"/>
        <w:rPr>
          <w:noProof/>
        </w:rPr>
      </w:pPr>
      <w:r>
        <w:rPr>
          <w:noProof/>
        </w:rPr>
        <w:tab/>
        <w:t>(</w:t>
      </w:r>
      <w:r>
        <w:rPr>
          <w:rStyle w:val="CRMinorChangeAdded"/>
          <w:noProof/>
        </w:rPr>
        <w:t>22)</w:t>
      </w:r>
      <w:r>
        <w:rPr>
          <w:rStyle w:val="CRMinorChangeDeleted"/>
          <w:noProof/>
        </w:rPr>
        <w:t>21</w:t>
      </w:r>
      <w:r>
        <w:rPr>
          <w:noProof/>
        </w:rPr>
        <w:tab/>
        <w:t xml:space="preserve">„intermediar” înseamnă orice persoană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sau construcție juridică, de exemplu un parteneriat, o fiducie sau o fundație,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care proiectează, comercializează, organizează, pune la dispoziție în vederea implementării sau gestionează implementarea unei modalități transfrontaliere care face obiectul raportării.</w:t>
      </w:r>
    </w:p>
    <w:p>
      <w:pPr>
        <w:pStyle w:val="Point0"/>
        <w:rPr>
          <w:noProof/>
        </w:rPr>
      </w:pPr>
      <w:r>
        <w:rPr>
          <w:noProof/>
        </w:rPr>
        <w:tab/>
        <w:t xml:space="preserve">De asemenea, înseamnă orice persoană care, având în vedere faptele și circumstanțele relevante și pe baza informațiilor disponibile, a cunoștințelor de specialitate relevante și a înțelegerii necesare pentru furnizarea acestor servicii, știe sau ar fi rezonabil de așteptat să știe că s-a angajat să furnizeze, direct sau prin intermediul altor persoane, ajutor, asistență sau consiliere cu privire la proiectarea, comercializarea, organizarea, punerea la dispoziție în vederea implementării sau gestionarea implementării unei modalități transfrontaliere care face obiectul raportării. Orice persoană are dreptul să furnizeze dovezi că nu a știut și nu ar fi fost rezonabil de așteptat să știe că a fost implicată într-o modalitate transfrontalieră care face obiectul raportării. În acest scop, persoana respectivă se poate raporta la toate </w:t>
      </w:r>
      <w:r>
        <w:rPr>
          <w:noProof/>
        </w:rPr>
        <w:lastRenderedPageBreak/>
        <w:t>faptele și circumstanțele relevante, la informațiile disponibile, precum și la cunoștințele sale de specialitate relevante și la capacitatea sa de înțelegere.</w:t>
      </w:r>
    </w:p>
    <w:p>
      <w:pPr>
        <w:pStyle w:val="Point0"/>
        <w:rPr>
          <w:noProof/>
        </w:rPr>
      </w:pPr>
      <w:r>
        <w:rPr>
          <w:noProof/>
        </w:rPr>
        <w:tab/>
        <w:t>Pentru a fi un intermediar, o persoană trebuie să îndeplinească cel puțin una din următoarele condiții suplimentare:</w:t>
      </w:r>
    </w:p>
    <w:p>
      <w:pPr>
        <w:pStyle w:val="Point1"/>
        <w:rPr>
          <w:noProof/>
        </w:rPr>
      </w:pPr>
      <w:r>
        <w:rPr>
          <w:noProof/>
        </w:rPr>
        <w:tab/>
        <w:t>(a)</w:t>
      </w:r>
      <w:r>
        <w:rPr>
          <w:noProof/>
        </w:rPr>
        <w:tab/>
        <w:t>să fie rezidentă în scopuri fiscale într-un stat membru;</w:t>
      </w:r>
    </w:p>
    <w:p>
      <w:pPr>
        <w:pStyle w:val="Point1"/>
        <w:rPr>
          <w:noProof/>
        </w:rPr>
      </w:pPr>
      <w:r>
        <w:rPr>
          <w:noProof/>
        </w:rPr>
        <w:tab/>
        <w:t>(b)</w:t>
      </w:r>
      <w:r>
        <w:rPr>
          <w:noProof/>
        </w:rPr>
        <w:tab/>
        <w:t>să aibă un sediu permanent într-un stat membru prin intermediul căruia să fie furnizate serviciile legate de modalitatea în cauză;</w:t>
      </w:r>
    </w:p>
    <w:p>
      <w:pPr>
        <w:pStyle w:val="Point1"/>
        <w:rPr>
          <w:noProof/>
        </w:rPr>
      </w:pPr>
      <w:r>
        <w:rPr>
          <w:noProof/>
        </w:rPr>
        <w:tab/>
        <w:t>(c)</w:t>
      </w:r>
      <w:r>
        <w:rPr>
          <w:noProof/>
        </w:rPr>
        <w:tab/>
        <w:t>să fie constituită într-un stat membru sau să fie reglementată de legislația unui stat membru;</w:t>
      </w:r>
    </w:p>
    <w:p>
      <w:pPr>
        <w:pStyle w:val="Point1"/>
        <w:rPr>
          <w:noProof/>
        </w:rPr>
      </w:pPr>
      <w:r>
        <w:rPr>
          <w:noProof/>
        </w:rPr>
        <w:tab/>
        <w:t>(d)</w:t>
      </w:r>
      <w:r>
        <w:rPr>
          <w:noProof/>
        </w:rPr>
        <w:tab/>
        <w:t>să fie înregistrată într-o asociație profesională legată de servicii juridice, fiscale sau de consultanță într-un stat membru;</w:t>
      </w:r>
    </w:p>
    <w:p>
      <w:pPr>
        <w:pStyle w:val="Point0"/>
        <w:rPr>
          <w:noProof/>
        </w:rPr>
      </w:pPr>
      <w:r>
        <w:rPr>
          <w:noProof/>
        </w:rPr>
        <w:tab/>
        <w:t>(</w:t>
      </w:r>
      <w:r>
        <w:rPr>
          <w:rStyle w:val="CRMinorChangeAdded"/>
          <w:noProof/>
        </w:rPr>
        <w:t>23)</w:t>
      </w:r>
      <w:r>
        <w:rPr>
          <w:rStyle w:val="CRMinorChangeDeleted"/>
          <w:noProof/>
        </w:rPr>
        <w:t>22</w:t>
      </w:r>
      <w:r>
        <w:rPr>
          <w:noProof/>
        </w:rPr>
        <w:tab/>
        <w:t xml:space="preserve">„contribuabil relevant” înseamnă orice persoană </w:t>
      </w:r>
      <w:r>
        <w:rPr>
          <w:rStyle w:val="CRRefonteDeleted"/>
          <w:noProof/>
          <w:highlight w:val="lightGray"/>
        </w:rPr>
        <w:t>căreia i se pune la dispoziție o modalitate transfrontalieră care face obiectul raportării în vederea implementării sau care este pregătită să implementeze o modalitate transfrontalieră care face obiectul raportării sau</w:t>
      </w:r>
      <w:r>
        <w:rPr>
          <w:noProof/>
        </w:rPr>
        <w:t xml:space="preserve"> care a implementat prima etapă a unei </w:t>
      </w:r>
      <w:r>
        <w:rPr>
          <w:rStyle w:val="CRDeleted"/>
          <w:noProof/>
        </w:rPr>
        <w:t>astfel de</w:t>
      </w:r>
      <w:r>
        <w:rPr>
          <w:noProof/>
        </w:rPr>
        <w:t xml:space="preserve"> modalități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care face obiectul raportării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pStyle w:val="Point0"/>
        <w:rPr>
          <w:noProof/>
        </w:rPr>
      </w:pPr>
      <w:r>
        <w:rPr>
          <w:noProof/>
        </w:rPr>
        <w:tab/>
      </w:r>
      <w:r>
        <w:rPr>
          <w:rStyle w:val="CRMinorChangeAdded"/>
          <w:noProof/>
        </w:rPr>
        <w:t>(24)</w:t>
      </w:r>
      <w:r>
        <w:rPr>
          <w:rStyle w:val="CRMinorChangeDeleted"/>
          <w:noProof/>
        </w:rPr>
        <w:t>(23)</w:t>
      </w:r>
      <w:r>
        <w:rPr>
          <w:noProof/>
        </w:rPr>
        <w:tab/>
        <w:t>în sensul articolului 8</w:t>
      </w:r>
      <w:r>
        <w:rPr>
          <w:rStyle w:val="CRMinorChangeDeleted"/>
          <w:noProof/>
        </w:rPr>
        <w:t>ab</w:t>
      </w:r>
      <w:r>
        <w:rPr>
          <w:noProof/>
        </w:rPr>
        <w:t>, „întreprindere asociată” înseamnă o persoană care este legată de altă persoană cel puțin în unul din următoarele moduri:</w:t>
      </w:r>
    </w:p>
    <w:p>
      <w:pPr>
        <w:pStyle w:val="Point1"/>
        <w:rPr>
          <w:noProof/>
        </w:rPr>
      </w:pPr>
      <w:r>
        <w:rPr>
          <w:noProof/>
        </w:rPr>
        <w:tab/>
        <w:t>(a)</w:t>
      </w:r>
      <w:r>
        <w:rPr>
          <w:noProof/>
        </w:rPr>
        <w:tab/>
        <w:t>o persoană participă la gestionarea unei alte persoane prin faptul că se află în poziția de a exercita o influență semnificativă asupra celeilalte persoane;</w:t>
      </w:r>
    </w:p>
    <w:p>
      <w:pPr>
        <w:pStyle w:val="Point1"/>
        <w:rPr>
          <w:noProof/>
        </w:rPr>
      </w:pPr>
      <w:r>
        <w:rPr>
          <w:noProof/>
        </w:rPr>
        <w:tab/>
        <w:t>(b)</w:t>
      </w:r>
      <w:r>
        <w:rPr>
          <w:noProof/>
        </w:rPr>
        <w:tab/>
        <w:t>o persoană participă la controlul asupra unei alte persoane printr-o participație care depășește 25 % din drepturile de vot;</w:t>
      </w:r>
    </w:p>
    <w:p>
      <w:pPr>
        <w:pStyle w:val="Point1"/>
        <w:rPr>
          <w:noProof/>
        </w:rPr>
      </w:pPr>
      <w:r>
        <w:rPr>
          <w:noProof/>
        </w:rPr>
        <w:tab/>
        <w:t>(c)</w:t>
      </w:r>
      <w:r>
        <w:rPr>
          <w:noProof/>
        </w:rPr>
        <w:tab/>
        <w:t>o persoană participă la capitalul unei alte persoane printr-un drept de proprietate care, direct sau indirect, depășește 25 % din capital;</w:t>
      </w:r>
    </w:p>
    <w:p>
      <w:pPr>
        <w:pStyle w:val="Point1"/>
        <w:rPr>
          <w:noProof/>
        </w:rPr>
      </w:pPr>
      <w:r>
        <w:rPr>
          <w:noProof/>
        </w:rPr>
        <w:tab/>
        <w:t>(d)</w:t>
      </w:r>
      <w:r>
        <w:rPr>
          <w:noProof/>
        </w:rPr>
        <w:tab/>
        <w:t>o persoană are dreptul să primească 25 % sau mai mult din profitul unei alte persoane.</w:t>
      </w:r>
    </w:p>
    <w:p>
      <w:pPr>
        <w:pStyle w:val="Point0"/>
        <w:rPr>
          <w:noProof/>
        </w:rPr>
      </w:pPr>
      <w:r>
        <w:rPr>
          <w:noProof/>
        </w:rPr>
        <w:tab/>
        <w:t>Dacă mai multe persoane participă, astfel cum se menționează la literele (a)-(d), la gestionarea, controlul, capitalul sau profitul aceleiași persoane, toate persoanele în cauză sunt considerate întreprinderi asociate.</w:t>
      </w:r>
    </w:p>
    <w:p>
      <w:pPr>
        <w:pStyle w:val="Point0"/>
        <w:rPr>
          <w:noProof/>
        </w:rPr>
      </w:pPr>
      <w:r>
        <w:rPr>
          <w:noProof/>
        </w:rPr>
        <w:tab/>
        <w:t>Dacă aceleași persoane participă, astfel cum se menționează la literele (a)-(d), la gestionarea, controlul, capitalul sau profitul mai multor persoane, toate persoanele în cauză sunt considerate întreprinderi asociate.</w:t>
      </w:r>
    </w:p>
    <w:p>
      <w:pPr>
        <w:pStyle w:val="Point0"/>
        <w:rPr>
          <w:noProof/>
        </w:rPr>
      </w:pPr>
      <w:r>
        <w:rPr>
          <w:noProof/>
        </w:rPr>
        <w:tab/>
        <w:t>În sensul prezentului punct, o persoană care acționează împreună cu o altă persoană în ceea ce privește drepturile de vot sau proprietatea asupra capitalului unei entități este considerată deținătoare a unei participații la toate drepturile de vot sau proprietatea asupra capitalului a entității respective care sunt deținute de cealaltă persoană.</w:t>
      </w:r>
    </w:p>
    <w:p>
      <w:pPr>
        <w:pStyle w:val="Point0"/>
        <w:rPr>
          <w:noProof/>
        </w:rPr>
      </w:pPr>
      <w:r>
        <w:rPr>
          <w:noProof/>
        </w:rPr>
        <w:tab/>
        <w:t>În cazul participațiilor indirecte, îndeplinirea cerințelor de la litera (c) se stabilește prin înmulțirea ratelor de participație pe nivelurile succesive. Se consideră că o persoană care deține mai mult de 50 % din drepturile de vot deține 100 % din drepturile de vot.</w:t>
      </w:r>
    </w:p>
    <w:p>
      <w:pPr>
        <w:pStyle w:val="Point0"/>
        <w:rPr>
          <w:noProof/>
        </w:rPr>
      </w:pPr>
      <w:r>
        <w:rPr>
          <w:noProof/>
        </w:rPr>
        <w:tab/>
        <w:t>O persoană fizică, soțul său/soția sa și descendenții sau ascendenții direcți sunt considerați o singură persoană;</w:t>
      </w:r>
    </w:p>
    <w:p>
      <w:pPr>
        <w:pStyle w:val="Point0"/>
        <w:rPr>
          <w:noProof/>
          <w:highlight w:val="lightGray"/>
        </w:rPr>
      </w:pPr>
      <w:r>
        <w:rPr>
          <w:noProof/>
        </w:rPr>
        <w:lastRenderedPageBreak/>
        <w:tab/>
      </w:r>
      <w:r>
        <w:rPr>
          <w:rStyle w:val="CRRefonteDeleted"/>
          <w:noProof/>
          <w:highlight w:val="lightGray"/>
        </w:rPr>
        <w:t>(24)</w:t>
      </w:r>
      <w:r>
        <w:rPr>
          <w:noProof/>
        </w:rPr>
        <w:tab/>
      </w:r>
      <w:r>
        <w:rPr>
          <w:rStyle w:val="CRRefonteDeleted"/>
          <w:noProof/>
          <w:highlight w:val="lightGray"/>
        </w:rPr>
        <w:t>„modalitate comercializabilă” înseamnă o modalitate transfrontalieră care este proiectată, comercializată, pregătită pentru implementare sau pusă la dispoziție în vederea implementării, fără a fi necesară o personalizare substanțială a acesteia;</w:t>
      </w:r>
    </w:p>
    <w:p>
      <w:pPr>
        <w:pStyle w:val="Point0"/>
        <w:rPr>
          <w:noProof/>
          <w:highlight w:val="lightGray"/>
        </w:rPr>
      </w:pPr>
      <w:r>
        <w:rPr>
          <w:noProof/>
        </w:rPr>
        <w:tab/>
      </w:r>
      <w:r>
        <w:rPr>
          <w:rStyle w:val="CRRefonteDeleted"/>
          <w:noProof/>
          <w:highlight w:val="lightGray"/>
        </w:rPr>
        <w:t>(25)</w:t>
      </w:r>
      <w:r>
        <w:rPr>
          <w:noProof/>
        </w:rPr>
        <w:tab/>
      </w:r>
      <w:r>
        <w:rPr>
          <w:rStyle w:val="CRRefonteDeleted"/>
          <w:noProof/>
          <w:highlight w:val="lightGray"/>
        </w:rPr>
        <w:t>„modalitate ad-hoc” înseamnă orice modalitate transfrontalieră care nu este o modalitate comercializabilă;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1 litera (d) (adaptat)</w:t>
      </w:r>
    </w:p>
    <w:p>
      <w:pPr>
        <w:pStyle w:val="Point0"/>
        <w:rPr>
          <w:noProof/>
        </w:rPr>
      </w:pPr>
      <w:r>
        <w:rPr>
          <w:noProof/>
        </w:rPr>
        <w:tab/>
      </w:r>
      <w:r>
        <w:rPr>
          <w:rStyle w:val="CRMinorChangeAdded"/>
          <w:noProof/>
        </w:rPr>
        <w:t>(25)</w:t>
      </w:r>
      <w:r>
        <w:rPr>
          <w:rStyle w:val="CRMinorChangeDeleted"/>
          <w:noProof/>
        </w:rPr>
        <w:t>(26)</w:t>
      </w:r>
      <w:r>
        <w:rPr>
          <w:noProof/>
        </w:rPr>
        <w:tab/>
        <w:t>„control comun” înseamnă o anchetă administrativă desfășurată în comun de autoritățile competente din două sau mai multe state membre și care are legătură cu una sau mai multe persoane care sunt de interes comun sau complementar pentru autoritățile competente din statele membre respective;</w:t>
      </w:r>
    </w:p>
    <w:p>
      <w:pPr>
        <w:pStyle w:val="Point0"/>
        <w:rPr>
          <w:noProof/>
        </w:rPr>
      </w:pPr>
      <w:r>
        <w:rPr>
          <w:noProof/>
        </w:rPr>
        <w:tab/>
        <w:t>(</w:t>
      </w:r>
      <w:r>
        <w:rPr>
          <w:rStyle w:val="CRMinorChangeAdded"/>
          <w:noProof/>
        </w:rPr>
        <w:t>26)</w:t>
      </w:r>
      <w:r>
        <w:rPr>
          <w:rStyle w:val="CRMinorChangeDeleted"/>
          <w:noProof/>
        </w:rPr>
        <w:t>27</w:t>
      </w:r>
      <w:r>
        <w:rPr>
          <w:noProof/>
        </w:rPr>
        <w:tab/>
        <w:t xml:space="preserve">„încălcarea securității datelor” înseamnă o încălcare a securității care conduce la distrugerea, pierderea sau modificarea informațiilor </w:t>
      </w:r>
      <w:r>
        <w:rPr>
          <w:rStyle w:val="CRDeleted"/>
          <w:noProof/>
        </w:rPr>
        <w:t>la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sau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orice incident de acces, divulgare sau utilizare inadecvată, necorespunzătoare sau neautorizată a acestora, inclusiv, dar fără a se limita la date cu caracter personal transmise, stocate sau prelucrate în alt mod</w:t>
      </w:r>
      <w:r>
        <w:rPr>
          <w:rStyle w:val="CRRefonteDeleted"/>
          <w:noProof/>
          <w:highlight w:val="lightGray"/>
        </w:rPr>
        <w:t>, ca urmare a unor acte ilegale, neglijențe sau accidente săvârșite cu intenție</w:t>
      </w:r>
      <w:r>
        <w:rPr>
          <w:noProof/>
        </w:rPr>
        <w:t>. O încălcare a securității datelor poate viza confidențialitatea, disponibilitatea și integritatea datelor;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 litera (c)</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Point0"/>
        <w:ind w:hanging="130"/>
        <w:rPr>
          <w:noProof/>
        </w:rPr>
      </w:pPr>
      <w:r>
        <w:rPr>
          <w:rStyle w:val="CRMinorChangeAdded"/>
          <w:noProof/>
        </w:rPr>
        <w:t>(27)</w:t>
      </w:r>
      <w:r>
        <w:rPr>
          <w:rStyle w:val="CRMinorChangeDeleted"/>
          <w:noProof/>
        </w:rPr>
        <w:t>(28)</w:t>
      </w:r>
      <w:r>
        <w:rPr>
          <w:noProof/>
        </w:rPr>
        <w:tab/>
        <w:t xml:space="preserve">„venituri din dividende vărsate prin intermediul unor conturi altele decât cele de custodie” înseamnă dividende sau alte venituri considerate drept dividende în statul membru al plătitorului, care sunt plătite sau creditate în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legătură cu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alt cont decât</w:t>
      </w:r>
      <w:r>
        <w:rPr>
          <w:rStyle w:val="CRMinorChangeAdded"/>
          <w:noProof/>
        </w:rPr>
        <w:t>:</w:t>
      </w:r>
    </w:p>
    <w:p>
      <w:pPr>
        <w:pStyle w:val="Point0"/>
        <w:ind w:firstLine="590"/>
        <w:rPr>
          <w:noProof/>
        </w:rPr>
      </w:pPr>
      <w:r>
        <w:rPr>
          <w:rStyle w:val="CRMinorChangeAdded"/>
          <w:noProof/>
        </w:rPr>
        <w:t>(a)</w:t>
      </w:r>
      <w:r>
        <w:rPr>
          <w:noProof/>
        </w:rPr>
        <w:t xml:space="preserve"> un Cont de Custodie, astfel cum este definit în anexa I secțiunea VIII punctul C subpunctul 3;</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Point0"/>
        <w:ind w:left="1440" w:firstLine="0"/>
        <w:rPr>
          <w:noProof/>
        </w:rPr>
      </w:pPr>
      <w:r>
        <w:rPr>
          <w:noProof/>
          <w:highlight w:val="lightGray"/>
        </w:rPr>
        <w:t>(b)</w:t>
      </w:r>
      <w:r>
        <w:rPr>
          <w:noProof/>
        </w:rPr>
        <w:tab/>
      </w:r>
      <w:r>
        <w:rPr>
          <w:noProof/>
          <w:highlight w:val="lightGray"/>
        </w:rPr>
        <w:t>o participație în capitalurile proprii ale unei Entități de Investiții, astfel cum este definită în anexa I secțiunea VIII punctul C subpunctul 1 litera (a) sau (b);</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 litera (c)</w:t>
      </w:r>
    </w:p>
    <w:p>
      <w:pPr>
        <w:pStyle w:val="Point0"/>
        <w:rPr>
          <w:noProof/>
          <w:highlight w:val="lightGray"/>
        </w:rPr>
      </w:pPr>
      <w:r>
        <w:rPr>
          <w:noProof/>
        </w:rPr>
        <w:tab/>
      </w:r>
      <w:r>
        <w:rPr>
          <w:rStyle w:val="CRRefonteDeleted"/>
          <w:noProof/>
          <w:highlight w:val="lightGray"/>
        </w:rPr>
        <w:t>(29)</w:t>
      </w:r>
      <w:r>
        <w:rPr>
          <w:noProof/>
        </w:rPr>
        <w:tab/>
      </w:r>
      <w:r>
        <w:rPr>
          <w:rStyle w:val="CRRefonteDeleted"/>
          <w:noProof/>
          <w:highlight w:val="lightGray"/>
        </w:rPr>
        <w:t>„produse de asigurări de viață neacoperite de alte instrumente juridice ale Uniunii privind schimbul de informații și de alte măsuri similare” înseamnă contracte de asigurare, altele decât contractele de asigurare cu valoare de răscumpărare care fac obiectul raportării în conformitate cu anexa I secțiunea I, în care beneficiile din contracte sunt plătibile în cazul decesului unui deținător de poliță de asigurare;</w:t>
      </w:r>
    </w:p>
    <w:p>
      <w:pPr>
        <w:pStyle w:val="Point0"/>
        <w:rPr>
          <w:noProof/>
        </w:rPr>
      </w:pPr>
      <w:r>
        <w:rPr>
          <w:noProof/>
        </w:rPr>
        <w:lastRenderedPageBreak/>
        <w:tab/>
        <w:t>(</w:t>
      </w:r>
      <w:r>
        <w:rPr>
          <w:rStyle w:val="CRMinorChangeAdded"/>
          <w:noProof/>
        </w:rPr>
        <w:t>28)</w:t>
      </w:r>
      <w:r>
        <w:rPr>
          <w:rStyle w:val="CRMinorChangeDeleted"/>
          <w:noProof/>
        </w:rPr>
        <w:t>30</w:t>
      </w:r>
      <w:r>
        <w:rPr>
          <w:noProof/>
        </w:rPr>
        <w:tab/>
        <w:t>„adresă de registru distribuit” înseamnă adresă de registru distribuit, astfel cum este definită în Regulamentul (UE) 2023/1114 al Parlamentului European și al Consiliului</w:t>
      </w:r>
      <w:r>
        <w:rPr>
          <w:rStyle w:val="FootnoteReference"/>
          <w:noProof/>
        </w:rPr>
        <w:footnoteReference w:id="48"/>
      </w:r>
      <w:r>
        <w:rPr>
          <w:noProof/>
        </w:rPr>
        <w:t>;</w:t>
      </w:r>
    </w:p>
    <w:p>
      <w:pPr>
        <w:pStyle w:val="Point0"/>
        <w:rPr>
          <w:noProof/>
        </w:rPr>
      </w:pPr>
      <w:r>
        <w:rPr>
          <w:noProof/>
        </w:rPr>
        <w:tab/>
        <w:t>(</w:t>
      </w:r>
      <w:r>
        <w:rPr>
          <w:rStyle w:val="CRMinorChangeAdded"/>
          <w:noProof/>
        </w:rPr>
        <w:t>29)</w:t>
      </w:r>
      <w:r>
        <w:rPr>
          <w:rStyle w:val="CRMinorChangeDeleted"/>
          <w:noProof/>
        </w:rPr>
        <w:t>31</w:t>
      </w:r>
      <w:r>
        <w:rPr>
          <w:noProof/>
        </w:rPr>
        <w:tab/>
        <w:t>„client” înseamnă, în sensul articolului 8</w:t>
      </w:r>
      <w:r>
        <w:rPr>
          <w:rStyle w:val="CRMinorChangeDeleted"/>
          <w:noProof/>
        </w:rPr>
        <w:t>ab</w:t>
      </w:r>
      <w:r>
        <w:rPr>
          <w:noProof/>
        </w:rPr>
        <w:t>, orice intermediar sau contribuabil relevant care primește servicii, inclusiv asistență, consiliere, îndrumare sau orientări, din partea unui intermediar care trebuie să respecte privilegiul profesional legal în legătură cu o modalitate transfrontalieră care face obiectul raportării.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articolul 1 punctul 1 litera (b)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Point0"/>
        <w:ind w:firstLine="0"/>
        <w:rPr>
          <w:noProof/>
        </w:rPr>
      </w:pPr>
      <w:r>
        <w:rPr>
          <w:noProof/>
        </w:rPr>
        <w:t xml:space="preserve">În contextul prezentului articol, </w:t>
      </w:r>
      <w:r>
        <w:rPr>
          <w:rStyle w:val="CRMinorChangeDeleted"/>
          <w:noProof/>
        </w:rPr>
        <w:t>al articolului 8 alineatele (3a) și (7a) și al articolului 21 alineatul (2)</w:t>
      </w:r>
      <w:r>
        <w:rPr>
          <w:noProof/>
        </w:rPr>
        <w:t xml:space="preserve"> </w:t>
      </w:r>
      <w:r>
        <w:rPr>
          <w:rStyle w:val="CRMinorChangeAdded"/>
          <w:noProof/>
        </w:rPr>
        <w:t>și al articolului 5</w:t>
      </w:r>
      <w:r>
        <w:rPr>
          <w:noProof/>
        </w:rPr>
        <w:t xml:space="preserve"> din prezenta directivă și în contextul anexei IV la prezenta directivă, orice termen scris cu inițială majusculă are sensul atribuit conform definițiilor corespunzătoare prevăzute în </w:t>
      </w:r>
      <w:r>
        <w:rPr>
          <w:rStyle w:val="CRMinorChangeAdded"/>
          <w:noProof/>
        </w:rPr>
        <w:t>secțiunea III din</w:t>
      </w:r>
      <w:r>
        <w:rPr>
          <w:noProof/>
        </w:rPr>
        <w:t xml:space="preserve"> anexa I la prezenta directivă. În contextul </w:t>
      </w:r>
      <w:r>
        <w:rPr>
          <w:rStyle w:val="CRMinorChangeDeleted"/>
          <w:noProof/>
        </w:rPr>
        <w:t>articolului 21 alineatul (5) și al articolului 25 alineatele (3) și (4)</w:t>
      </w:r>
      <w:r>
        <w:rPr>
          <w:noProof/>
        </w:rPr>
        <w:t xml:space="preserve"> </w:t>
      </w:r>
      <w:r>
        <w:rPr>
          <w:rStyle w:val="CRMinorChangeAdded"/>
          <w:noProof/>
        </w:rPr>
        <w:t>articolului 40 alineatele (3) și (4)</w:t>
      </w:r>
      <w:r>
        <w:rPr>
          <w:noProof/>
        </w:rPr>
        <w:t xml:space="preserve"> din prezenta directivă, orice termen scris cu inițială majusculă are sensul atribuit conform definițiilor corespunzătoare prevăzute în </w:t>
      </w:r>
      <w:r>
        <w:rPr>
          <w:rStyle w:val="CRMinorChangeAdded"/>
          <w:noProof/>
        </w:rPr>
        <w:t>secțiunea VIII din</w:t>
      </w:r>
      <w:r>
        <w:rPr>
          <w:noProof/>
        </w:rPr>
        <w:t xml:space="preserve"> anexa I, </w:t>
      </w:r>
      <w:r>
        <w:rPr>
          <w:rStyle w:val="CRMinorChangeAdded"/>
          <w:noProof/>
        </w:rPr>
        <w:t>secțiunea I din anexa</w:t>
      </w:r>
      <w:r>
        <w:rPr>
          <w:noProof/>
        </w:rPr>
        <w:t xml:space="preserve"> V sau </w:t>
      </w:r>
      <w:r>
        <w:rPr>
          <w:rStyle w:val="CRMinorChangeAdded"/>
          <w:noProof/>
        </w:rPr>
        <w:t>secțiunea IV din anexa</w:t>
      </w:r>
      <w:r>
        <w:rPr>
          <w:noProof/>
        </w:rPr>
        <w:t xml:space="preserve"> VI la prezenta directivă. În contextul articolului </w:t>
      </w:r>
      <w:r>
        <w:rPr>
          <w:rStyle w:val="CRMinorChangeAdded"/>
          <w:noProof/>
        </w:rPr>
        <w:t>7</w:t>
      </w:r>
      <w:r>
        <w:rPr>
          <w:rStyle w:val="CRMinorChangeDeleted"/>
          <w:noProof/>
        </w:rPr>
        <w:t>8aa</w:t>
      </w:r>
      <w:r>
        <w:rPr>
          <w:noProof/>
        </w:rPr>
        <w:t xml:space="preserve"> din prezenta directivă și al </w:t>
      </w:r>
      <w:r>
        <w:rPr>
          <w:rStyle w:val="CRMinorChangeAdded"/>
          <w:noProof/>
        </w:rPr>
        <w:t>secțiunii I din</w:t>
      </w:r>
      <w:r>
        <w:rPr>
          <w:noProof/>
        </w:rPr>
        <w:t xml:space="preserve"> anex</w:t>
      </w:r>
      <w:r>
        <w:rPr>
          <w:rStyle w:val="CRMinorChangeAdded"/>
          <w:noProof/>
        </w:rPr>
        <w:t>a</w:t>
      </w:r>
      <w:r>
        <w:rPr>
          <w:rStyle w:val="CRMinorChangeDeleted"/>
          <w:noProof/>
        </w:rPr>
        <w:t>ei</w:t>
      </w:r>
      <w:r>
        <w:rPr>
          <w:noProof/>
        </w:rPr>
        <w:t xml:space="preserve"> III la aceasta, orice termen scris cu inițială majusculă are sensul atribuit conform definițiilor corespunzătoare prevăzute în anexa III la prezenta directivă. În contextul </w:t>
      </w:r>
      <w:r>
        <w:rPr>
          <w:rStyle w:val="CRMinorChangeDeleted"/>
          <w:noProof/>
        </w:rPr>
        <w:t>articolului 8ac</w:t>
      </w:r>
      <w:r>
        <w:rPr>
          <w:noProof/>
        </w:rPr>
        <w:t xml:space="preserve"> </w:t>
      </w:r>
      <w:r>
        <w:rPr>
          <w:rStyle w:val="CRMinorChangeAdded"/>
          <w:noProof/>
        </w:rPr>
        <w:t>articolelor 9, 10 și 11</w:t>
      </w:r>
      <w:r>
        <w:rPr>
          <w:noProof/>
        </w:rPr>
        <w:t xml:space="preserve"> din prezenta directivă și al anexei V la aceasta, orice termen scris cu inițială majusculă are sensul atribuit conform definițiilor corespunzătoare prevăzute în </w:t>
      </w:r>
      <w:r>
        <w:rPr>
          <w:rStyle w:val="CRMinorChangeAdded"/>
          <w:noProof/>
        </w:rPr>
        <w:t>secțiunea I din</w:t>
      </w:r>
      <w:r>
        <w:rPr>
          <w:noProof/>
        </w:rPr>
        <w:t xml:space="preserve"> anexa V la prezenta directivă. În contextul </w:t>
      </w:r>
      <w:r>
        <w:rPr>
          <w:rStyle w:val="CRMinorChangeDeleted"/>
          <w:noProof/>
        </w:rPr>
        <w:t>articolului 8ad</w:t>
      </w:r>
      <w:r>
        <w:rPr>
          <w:noProof/>
        </w:rPr>
        <w:t xml:space="preserve"> </w:t>
      </w:r>
      <w:r>
        <w:rPr>
          <w:rStyle w:val="CRMinorChangeAdded"/>
          <w:noProof/>
        </w:rPr>
        <w:t>articolelor 12, 13 și 14</w:t>
      </w:r>
      <w:r>
        <w:rPr>
          <w:noProof/>
        </w:rPr>
        <w:t xml:space="preserve"> din prezenta directivă și al anexei VI la aceasta, orice termen scris cu inițială majusculă are sensul atribuit conform definițiilor corespunzătoare prevăzute în </w:t>
      </w:r>
      <w:r>
        <w:rPr>
          <w:rStyle w:val="CRMinorChangeAdded"/>
          <w:noProof/>
        </w:rPr>
        <w:t>secțiunea IV din</w:t>
      </w:r>
      <w:r>
        <w:rPr>
          <w:noProof/>
        </w:rPr>
        <w:t xml:space="preserve"> anexa VI la prezenta directivă.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sensul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În contextul</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punctului 19 din prezentul articol,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articolelor </w:t>
      </w:r>
      <w:r>
        <w:rPr>
          <w:rStyle w:val="CRMinorChangeAdded"/>
          <w:noProof/>
        </w:rPr>
        <w:t>15</w:t>
      </w:r>
      <w:r>
        <w:rPr>
          <w:rStyle w:val="CRMinorChangeDeleted"/>
          <w:noProof/>
        </w:rPr>
        <w:t>8ae</w:t>
      </w:r>
      <w:r>
        <w:rPr>
          <w:noProof/>
        </w:rPr>
        <w:t xml:space="preserve"> și </w:t>
      </w:r>
      <w:r>
        <w:rPr>
          <w:rStyle w:val="CRMinorChangeAdded"/>
          <w:noProof/>
        </w:rPr>
        <w:t>22</w:t>
      </w:r>
      <w:r>
        <w:rPr>
          <w:rStyle w:val="CRMinorChangeDeleted"/>
          <w:noProof/>
        </w:rPr>
        <w:t>9a</w:t>
      </w:r>
      <w:r>
        <w:rPr>
          <w:noProof/>
        </w:rPr>
        <w:t xml:space="preserve"> din prezenta directivă și al anexei VII la aceasta,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se aplică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definițiile prevăzute la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rStyle w:val="CRMinorChangeAdded"/>
          <w:noProof/>
        </w:rPr>
        <w:t xml:space="preserve"> </w:t>
      </w:r>
      <w:r>
        <w:rPr>
          <w:rStyle w:val="CRDeleted"/>
          <w:noProof/>
        </w:rPr>
        <w:t>orice termen are același înțeles ca cel definit la</w:t>
      </w:r>
      <w:r>
        <w:rPr>
          <w:noProof/>
        </w:rPr>
        <w:t xml:space="preserve"> articolul 3, articolul 9 alineatul (2) litera (a), articolul 16 alineatele (4), (6), (8) și (11), articolul 17 alineatul (1), articolul 21 alineatul (5), articolul 22 alineatul (1), articolul 24 alineatele (4) și (6), articolul 26 alineatul (2), articolul 27 alineatele (3), (4) și (5), articolul 28 alineatul (1), articolul 30 alineatul (2), articolul 31 alineatul (1), articolul 32, articolul 33 alineatul (1), articolul 35 alineatul (1), articolul 36 alineatul (1), articolul 37 alineatul (1), articolul 39 alineatul (1), articolul 42 alineatul (1), articolul 44 alineatul (1), articolul 47 alineatul (1) și articolul 49 alineatul (3) din Directiva (UE) 2022/2523 </w:t>
      </w:r>
      <w:r>
        <w:rPr>
          <w:rStyle w:val="CRMinorChangeDeleted"/>
          <w:noProof/>
        </w:rPr>
        <w:t>a Consiliului</w:t>
      </w:r>
      <w:r>
        <w:rPr>
          <w:rStyle w:val="CRMinorChangeDeleted"/>
          <w:noProof/>
          <w:vertAlign w:val="superscript"/>
        </w:rPr>
        <w:footnoteReference w:id="49"/>
      </w:r>
      <w:r>
        <w:rPr>
          <w:noProof/>
        </w:rPr>
        <w:t xml:space="preserve">. În plus, orice termen scris cu inițială </w:t>
      </w:r>
      <w:r>
        <w:rPr>
          <w:noProof/>
        </w:rPr>
        <w:lastRenderedPageBreak/>
        <w:t>majusculă are același înțeles ca cel definit în secțiunea I din anexa VII la prezenta directivă.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(adaptat)</w:t>
      </w:r>
    </w:p>
    <w:p>
      <w:pPr>
        <w:pStyle w:val="SectionTitle000000"/>
        <w:rPr>
          <w:noProof/>
        </w:rPr>
      </w:pPr>
      <w:r>
        <w:rPr>
          <w:noProof/>
        </w:rPr>
        <w:t>CAPITOLUL II</w:t>
      </w:r>
    </w:p>
    <w:p>
      <w:pPr>
        <w:pStyle w:val="SectionTitle000000"/>
        <w:rPr>
          <w:noProof/>
        </w:rPr>
      </w:pPr>
      <w:r>
        <w:rPr>
          <w:i/>
          <w:noProof/>
        </w:rPr>
        <w:t>SCHIMBUL DE INFORMAȚII</w:t>
      </w:r>
      <w:r>
        <w:rPr>
          <w:noProof/>
        </w:rPr>
        <w:t xml:space="preserve"> </w:t>
      </w: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w:t>
      </w:r>
      <w:r>
        <w:rPr>
          <w:i/>
          <w:noProof/>
        </w:rPr>
        <w:t>AUTOMAT</w:t>
      </w:r>
      <w:r>
        <w:rPr>
          <w:noProof/>
        </w:rPr>
        <w:t xml:space="preserve"> </w:t>
      </w:r>
      <w:r>
        <w:rPr>
          <w:i/>
          <w:noProof/>
        </w:rPr>
        <w:t>OBLIGATORIU</w:t>
      </w:r>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SectionTitle00000"/>
        <w:rPr>
          <w:noProof/>
        </w:rPr>
      </w:pPr>
      <w:r>
        <w:rPr>
          <w:rStyle w:val="CRMinorChangeAdded"/>
          <w:i/>
          <w:noProof/>
        </w:rPr>
        <w:t>SECȚIUNEA I</w:t>
      </w:r>
    </w:p>
    <w:p>
      <w:pPr>
        <w:pStyle w:val="SectionTitle000000"/>
        <w:rPr>
          <w:rStyle w:val="CRDeleted"/>
          <w:i/>
          <w:dstrike w:val="0"/>
          <w:noProof/>
        </w:rPr>
      </w:pPr>
      <w:r>
        <w:rPr>
          <w:rStyle w:val="CRDeleted"/>
          <w:i/>
          <w:noProof/>
        </w:rPr>
        <w:t>Schimbul automat obligatoriu de informații</w:t>
      </w: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Schimbul automat de informații privind veniturile din muncă, remunerațiile și alte beneficii plătite administratorilor și altor persoane asimilate acestora, pensiile, veniturile din bunuri imobile și proprietatea asupra bunurilor imobile, redevențele și veniturile din dividende vărsate prin intermediul unor conturi altele decât cele de custodie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SectionTitle000000"/>
        <w:rPr>
          <w:noProof/>
        </w:rPr>
      </w:pPr>
      <w:r>
        <w:rPr>
          <w:rStyle w:val="CRDeleted"/>
          <w:noProof/>
        </w:rPr>
        <w:t>Articolul 8</w:t>
      </w:r>
    </w:p>
    <w:p>
      <w:pPr>
        <w:pStyle w:val="NormalCentered"/>
        <w:rPr>
          <w:b/>
          <w:smallCaps/>
          <w:noProof/>
          <w:sz w:val="28"/>
          <w:szCs w:val="28"/>
        </w:rPr>
      </w:pPr>
      <w:r>
        <w:rPr>
          <w:rStyle w:val="CRDeleted"/>
          <w:b/>
          <w:noProof/>
        </w:rPr>
        <w:t xml:space="preserve">Domeniul de aplicare și condițiile </w:t>
      </w:r>
      <w:bookmarkStart w:id="34" w:name="_Hlk229840458"/>
      <w:r>
        <w:rPr>
          <w:rStyle w:val="CRDeleted"/>
          <w:b/>
          <w:noProof/>
        </w:rPr>
        <w:t xml:space="preserve">schimbului automat obligatoriu de informații </w:t>
      </w:r>
      <w:bookmarkEnd w:id="34"/>
    </w:p>
    <w:p>
      <w:pPr>
        <w:pStyle w:val="Titrearticle"/>
        <w:rPr>
          <w:rStyle w:val="CRMinorChangeAdded"/>
          <w:noProof/>
          <w:u w:val="none"/>
        </w:rPr>
      </w:pPr>
      <w:r>
        <w:rPr>
          <w:rStyle w:val="CRMinorChangeAdded"/>
          <w:noProof/>
          <w:u w:val="none"/>
        </w:rPr>
        <w:t>Articolul 4</w:t>
      </w:r>
    </w:p>
    <w:p>
      <w:pPr>
        <w:pStyle w:val="NormalCentered"/>
        <w:rPr>
          <w:b/>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Domeniu de aplicare și condiții</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2 litera (a)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(1)</w:t>
      </w:r>
      <w:r>
        <w:rPr>
          <w:noProof/>
        </w:rPr>
        <w:tab/>
        <w:t xml:space="preserve">Autoritatea competentă a fiecărui stat membru comunică autorității competente a oricărui alt stat membru, prin schimb automat, toate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informațiile disponibile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informațiile care sunt disponibile</w:t>
      </w:r>
      <w:r>
        <w:rPr>
          <w:noProof/>
        </w:rPr>
        <w:t xml:space="preserve"> referitoare la rezidenții din respectivul stat membru, cu privire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toate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categoriile specifice următoare</w:t>
      </w:r>
      <w:r>
        <w:rPr>
          <w:noProof/>
        </w:rPr>
        <w:t xml:space="preserve"> </w:t>
      </w:r>
      <w:r>
        <w:rPr>
          <w:rStyle w:val="CRMinorChangeDeleted"/>
          <w:noProof/>
        </w:rPr>
        <w:t>următoarele categorii specifice</w:t>
      </w:r>
      <w:r>
        <w:rPr>
          <w:noProof/>
        </w:rPr>
        <w:t xml:space="preserve"> de venituri și de capital, astfel cum sunt acestea înțelese în temeiul dreptului intern al statului membru care comunică informațiile:</w:t>
      </w:r>
    </w:p>
    <w:p>
      <w:pPr>
        <w:pStyle w:val="Point0"/>
        <w:rPr>
          <w:noProof/>
        </w:rPr>
      </w:pPr>
      <w:r>
        <w:rPr>
          <w:noProof/>
        </w:rPr>
        <w:tab/>
        <w:t>(a)</w:t>
      </w:r>
      <w:r>
        <w:rPr>
          <w:noProof/>
        </w:rPr>
        <w:tab/>
        <w:t>venituri din muncă;</w:t>
      </w:r>
    </w:p>
    <w:p>
      <w:pPr>
        <w:pStyle w:val="Point0"/>
        <w:rPr>
          <w:noProof/>
        </w:rPr>
      </w:pPr>
      <w:r>
        <w:rPr>
          <w:noProof/>
        </w:rPr>
        <w:tab/>
        <w:t>(b)</w:t>
      </w:r>
      <w:r>
        <w:rPr>
          <w:noProof/>
        </w:rPr>
        <w:tab/>
        <w:t xml:space="preserve">remunerații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și alte beneficii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plătite administratorilor și altor persoane asimilate acestora;</w:t>
      </w:r>
    </w:p>
    <w:p>
      <w:pPr>
        <w:pStyle w:val="Point0"/>
        <w:rPr>
          <w:noProof/>
          <w:highlight w:val="lightGray"/>
        </w:rPr>
      </w:pPr>
      <w:r>
        <w:rPr>
          <w:noProof/>
        </w:rPr>
        <w:tab/>
      </w:r>
      <w:r>
        <w:rPr>
          <w:rStyle w:val="CRRefonteDeleted"/>
          <w:noProof/>
          <w:highlight w:val="lightGray"/>
        </w:rPr>
        <w:t>(c)</w:t>
      </w:r>
      <w:r>
        <w:rPr>
          <w:noProof/>
        </w:rPr>
        <w:tab/>
      </w:r>
      <w:r>
        <w:rPr>
          <w:rStyle w:val="CRRefonteDeleted"/>
          <w:noProof/>
          <w:highlight w:val="lightGray"/>
        </w:rPr>
        <w:t>venituri din produse de asigurări de viață neacoperite de alte instrumente juridice ale Uniunii privind schimbul de informații și de alte măsuri similare;</w:t>
      </w:r>
    </w:p>
    <w:p>
      <w:pPr>
        <w:pStyle w:val="Point0"/>
        <w:rPr>
          <w:noProof/>
        </w:rPr>
      </w:pPr>
      <w:r>
        <w:rPr>
          <w:noProof/>
        </w:rPr>
        <w:tab/>
        <w:t>(</w:t>
      </w:r>
      <w:r>
        <w:rPr>
          <w:rStyle w:val="CRMinorChangeAdded"/>
          <w:noProof/>
        </w:rPr>
        <w:t>c</w:t>
      </w:r>
      <w:r>
        <w:rPr>
          <w:rStyle w:val="CRMinorChangeDeleted"/>
          <w:noProof/>
        </w:rPr>
        <w:t>d</w:t>
      </w:r>
      <w:r>
        <w:rPr>
          <w:noProof/>
        </w:rPr>
        <w:t>)</w:t>
      </w:r>
      <w:r>
        <w:rPr>
          <w:noProof/>
        </w:rPr>
        <w:tab/>
        <w:t>pensii;</w:t>
      </w:r>
    </w:p>
    <w:p>
      <w:pPr>
        <w:pStyle w:val="Point0"/>
        <w:rPr>
          <w:noProof/>
        </w:rPr>
      </w:pPr>
      <w:r>
        <w:rPr>
          <w:noProof/>
        </w:rPr>
        <w:lastRenderedPageBreak/>
        <w:tab/>
        <w:t>(</w:t>
      </w:r>
      <w:r>
        <w:rPr>
          <w:rStyle w:val="CRMinorChangeAdded"/>
          <w:noProof/>
        </w:rPr>
        <w:t>d</w:t>
      </w:r>
      <w:r>
        <w:rPr>
          <w:rStyle w:val="CRMinorChangeDeleted"/>
          <w:noProof/>
        </w:rPr>
        <w:t>e</w:t>
      </w:r>
      <w:r>
        <w:rPr>
          <w:noProof/>
        </w:rPr>
        <w:t>)</w:t>
      </w:r>
      <w:r>
        <w:rPr>
          <w:noProof/>
        </w:rPr>
        <w:tab/>
        <w:t xml:space="preserve">proprietatea asupra bunurilor imobile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inclusiv beneficiarii reali, astfel cum sunt definiți la articolul 2 alineatul (1) punctul 28 din Regulamentul (UE) 2024/1624 al Parlamentului European și al Consiliului</w:t>
      </w:r>
      <w:r>
        <w:rPr>
          <w:rStyle w:val="FootnoteReference"/>
          <w:noProof/>
          <w:highlight w:val="lightGray"/>
        </w:rPr>
        <w:footnoteReference w:id="50"/>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venituri din bunuri imobile;</w:t>
      </w:r>
    </w:p>
    <w:p>
      <w:pPr>
        <w:pStyle w:val="Point0"/>
        <w:rPr>
          <w:noProof/>
        </w:rPr>
      </w:pPr>
      <w:r>
        <w:rPr>
          <w:noProof/>
        </w:rPr>
        <w:tab/>
        <w:t>(</w:t>
      </w:r>
      <w:r>
        <w:rPr>
          <w:rStyle w:val="CRMinorChangeAdded"/>
          <w:noProof/>
        </w:rPr>
        <w:t>e</w:t>
      </w:r>
      <w:r>
        <w:rPr>
          <w:rStyle w:val="CRMinorChangeDeleted"/>
          <w:noProof/>
        </w:rPr>
        <w:t>f</w:t>
      </w:r>
      <w:r>
        <w:rPr>
          <w:noProof/>
        </w:rPr>
        <w:t>)</w:t>
      </w:r>
      <w:r>
        <w:rPr>
          <w:noProof/>
        </w:rPr>
        <w:tab/>
        <w:t>redevențe;</w:t>
      </w:r>
    </w:p>
    <w:p>
      <w:pPr>
        <w:pStyle w:val="Point0"/>
        <w:rPr>
          <w:noProof/>
        </w:rPr>
      </w:pPr>
      <w:r>
        <w:rPr>
          <w:noProof/>
        </w:rPr>
        <w:tab/>
        <w:t>(</w:t>
      </w:r>
      <w:r>
        <w:rPr>
          <w:rStyle w:val="CRMinorChangeAdded"/>
          <w:noProof/>
        </w:rPr>
        <w:t>f</w:t>
      </w:r>
      <w:r>
        <w:rPr>
          <w:rStyle w:val="CRMinorChangeDeleted"/>
          <w:noProof/>
        </w:rPr>
        <w:t>g</w:t>
      </w:r>
      <w:r>
        <w:rPr>
          <w:noProof/>
        </w:rPr>
        <w:t>)</w:t>
      </w:r>
      <w:r>
        <w:rPr>
          <w:noProof/>
        </w:rPr>
        <w:tab/>
        <w:t>venituri din dividende, altele decât veniturile din dividende scutite de la plata impozitului pe profit în temeiul articolului 4, 5 sau 6 din Directiva 2011/96/UE a Consiliului, vărsate prin intermediul unor conturi altele decât cele de custodie</w:t>
      </w:r>
      <w:r>
        <w:rPr>
          <w:rStyle w:val="FootnoteReference"/>
          <w:noProof/>
        </w:rPr>
        <w:footnoteReference w:id="51"/>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6 litera (a)</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 xml:space="preserve">Pentru perioadele impozabile care încep la 1 ianuarie 2024 sau ulterior datei respective, statele membre depun eforturi pentru a include în comunicarea informațiilor menționate la primul paragraf </w:t>
      </w:r>
      <w:r>
        <w:rPr>
          <w:rStyle w:val="CRMinorChangeDeleted"/>
          <w:noProof/>
        </w:rPr>
        <w:t>numărul de identificare fiscală</w:t>
      </w:r>
      <w:r>
        <w:rPr>
          <w:noProof/>
        </w:rPr>
        <w:t xml:space="preserve"> (NIF) al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contribuabililor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rezidenților</w:t>
      </w:r>
      <w:r>
        <w:rPr>
          <w:noProof/>
        </w:rPr>
        <w:t xml:space="preserve"> emis de statul membru de rezidență.</w:t>
      </w:r>
    </w:p>
    <w:p>
      <w:pPr>
        <w:rPr>
          <w:rStyle w:val="CRRefonteDeleted"/>
          <w:noProof/>
          <w:highlight w:val="lightGray"/>
        </w:rPr>
      </w:pPr>
      <w:r>
        <w:rPr>
          <w:rStyle w:val="CRRefonteDeleted"/>
          <w:noProof/>
          <w:highlight w:val="lightGray"/>
        </w:rPr>
        <w:t>Statele membre informează anual Comisia cu privire la cel puțin două categorii de venituri și de capital menționate la primul paragraf, în legătură cu care comunică informații referitoare la rezidenții unui alt stat membru.</w:t>
      </w:r>
    </w:p>
    <w:p>
      <w:pPr>
        <w:rPr>
          <w:rStyle w:val="CRRefonteDeleted"/>
          <w:noProof/>
          <w:highlight w:val="lightGray"/>
        </w:rPr>
      </w:pPr>
      <w:r>
        <w:rPr>
          <w:rStyle w:val="CRRefonteDeleted"/>
          <w:noProof/>
          <w:highlight w:val="lightGray"/>
        </w:rPr>
        <w:t>(2)</w:t>
      </w:r>
      <w:r>
        <w:rPr>
          <w:noProof/>
        </w:rPr>
        <w:tab/>
      </w:r>
      <w:r>
        <w:rPr>
          <w:rStyle w:val="CRRefonteDeleted"/>
          <w:noProof/>
          <w:highlight w:val="lightGray"/>
        </w:rPr>
        <w:t>Înainte de 1 ianuarie 2024, statele membre informează Comisia cu privire la cel puțin patru categorii menționate la primul paragraf de la alineatul (1), în legătură cu care autoritatea competentă a fiecărui stat membru comunică, prin schimb automat, autorității competente a oricărui alt stat membru informații referitoare la rezidenții respectivului alt stat membru. Informațiile respective vizează perioade impozabile care încep la 1 ianuarie 2025 sau ulterior datei respective.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2 litera (b)</w:t>
      </w:r>
    </w:p>
    <w:p>
      <w:pPr>
        <w:rPr>
          <w:noProof/>
          <w:highlight w:val="lightGray"/>
        </w:rPr>
      </w:pPr>
      <w:r>
        <w:rPr>
          <w:rStyle w:val="CRRefonteDeleted"/>
          <w:noProof/>
          <w:highlight w:val="lightGray"/>
        </w:rPr>
        <w:t>Înainte de 1 ianuarie 2026, statele membre informează Comisia cu privire la cel puțin cinci categorii menționate la alineatul (1) primul paragraf, în legătură cu care autoritatea competentă a fiecărui stat membru comunică, prin schimb automat, autorității competente a oricărui alt stat membru informații referitoare la rezidenții respectivului alt stat membru. Aceste informații vizează perioade impozabile care încep la 1 ianuarie 2026 sau ulterior datei respective.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2 litera (a)</w:t>
      </w:r>
    </w:p>
    <w:p>
      <w:pPr>
        <w:rPr>
          <w:noProof/>
        </w:rPr>
      </w:pPr>
      <w:r>
        <w:rPr>
          <w:rStyle w:val="CRMinorChangeAdded"/>
          <w:noProof/>
        </w:rPr>
        <w:t>(2)</w:t>
      </w:r>
      <w:r>
        <w:rPr>
          <w:rStyle w:val="CRMinorChangeDeleted"/>
          <w:noProof/>
        </w:rPr>
        <w:t>(3)</w:t>
      </w:r>
      <w:r>
        <w:rPr>
          <w:noProof/>
        </w:rPr>
        <w:tab/>
        <w:t xml:space="preserve">Autoritatea competentă a unui stat membru poate indica autorității competente a oricărui alt stat membru faptul că nu dorește să primească informații referitoare la una sau mai </w:t>
      </w:r>
      <w:r>
        <w:rPr>
          <w:noProof/>
        </w:rPr>
        <w:lastRenderedPageBreak/>
        <w:t>multe dintre categoriile de venituri și de capital menționate la alineatul (1). De asemenea, statul membru respectiv informează Comisia în acest sens.</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2 litera (d) (adaptat)</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rStyle w:val="CRMinorChangeAdded"/>
          <w:noProof/>
        </w:rPr>
        <w:t>(3)</w:t>
      </w:r>
      <w:r>
        <w:rPr>
          <w:rStyle w:val="CRMinorChangeDeleted"/>
          <w:noProof/>
        </w:rPr>
        <w:t>(6)</w:t>
      </w:r>
      <w:r>
        <w:rPr>
          <w:noProof/>
        </w:rPr>
        <w:tab/>
        <w:t xml:space="preserve">Comunicarea informațiilor se desfășoară </w:t>
      </w:r>
      <w:r>
        <w:rPr>
          <w:rStyle w:val="CRDeleted"/>
          <w:noProof/>
        </w:rPr>
        <w:t>după cum urmează:</w:t>
      </w:r>
    </w:p>
    <w:p>
      <w:pPr>
        <w:pStyle w:val="Point0"/>
        <w:rPr>
          <w:noProof/>
        </w:rPr>
      </w:pPr>
      <w:r>
        <w:rPr>
          <w:noProof/>
        </w:rPr>
        <w:tab/>
      </w:r>
      <w:r>
        <w:rPr>
          <w:rStyle w:val="CRRefonteDeleted"/>
          <w:noProof/>
          <w:highlight w:val="lightGray"/>
        </w:rPr>
        <w:t>(a)</w:t>
      </w:r>
      <w:r>
        <w:rPr>
          <w:noProof/>
        </w:rPr>
        <w:tab/>
      </w:r>
      <w:r>
        <w:rPr>
          <w:rStyle w:val="CRRefonteDeleted"/>
          <w:noProof/>
          <w:highlight w:val="lightGray"/>
        </w:rPr>
        <w:t>în cazul categoriilor prevăzute la alineatul (1):</w:t>
      </w:r>
      <w:r>
        <w:rPr>
          <w:noProof/>
        </w:rPr>
        <w:t xml:space="preserve"> cel puțin o dată pe an,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de îndată ce devin disponibile și, în orice caz, nu mai târziu de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în termen de</w:t>
      </w:r>
      <w:r>
        <w:rPr>
          <w:noProof/>
        </w:rPr>
        <w:t xml:space="preserve"> șase luni de la sfârșitul anului </w:t>
      </w:r>
      <w:r>
        <w:rPr>
          <w:rStyle w:val="CRRefonteDeleted"/>
          <w:noProof/>
          <w:highlight w:val="lightGray"/>
        </w:rPr>
        <w:t>fiscal</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calendaristic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din statul membru respectiv pe parcursul căruia au devenit disponibile informațiile</w:t>
      </w:r>
      <w:r>
        <w:rPr>
          <w:rStyle w:val="CRMinorChangeAdded"/>
          <w:noProof/>
        </w:rPr>
        <w:t>.</w:t>
      </w:r>
      <w:r>
        <w:rPr>
          <w:rStyle w:val="CRMinorChangeDeleted"/>
          <w:noProof/>
        </w:rPr>
        <w:t>;</w:t>
      </w:r>
    </w:p>
    <w:p>
      <w:pPr>
        <w:pStyle w:val="Point0"/>
        <w:rPr>
          <w:noProof/>
          <w:highlight w:val="lightGray"/>
        </w:rPr>
      </w:pPr>
      <w:r>
        <w:rPr>
          <w:noProof/>
        </w:rPr>
        <w:tab/>
      </w:r>
      <w:r>
        <w:rPr>
          <w:rStyle w:val="CRRefonteDeleted"/>
          <w:noProof/>
          <w:highlight w:val="lightGray"/>
        </w:rPr>
        <w:t>(b)</w:t>
      </w:r>
      <w:r>
        <w:rPr>
          <w:noProof/>
        </w:rPr>
        <w:tab/>
      </w:r>
      <w:r>
        <w:rPr>
          <w:rStyle w:val="CRRefonteDeleted"/>
          <w:noProof/>
          <w:highlight w:val="lightGray"/>
        </w:rPr>
        <w:t>în cazul informațiilor prevăzute la alineatul (3a): anual, în termen de nouă luni de la sfârșitul anului calendaristic sau al altei perioade de raportare adecvate la care se referă informațiile.</w:t>
      </w:r>
    </w:p>
    <w:p>
      <w:pPr>
        <w:rPr>
          <w:noProof/>
        </w:rPr>
      </w:pPr>
      <w:r>
        <w:rPr>
          <w:rStyle w:val="CRRefonteDeleted"/>
          <w:noProof/>
          <w:highlight w:val="lightGray"/>
        </w:rPr>
        <w:t>(7)</w:t>
      </w:r>
      <w:r>
        <w:rPr>
          <w:noProof/>
        </w:rPr>
        <w:tab/>
      </w:r>
      <w:r>
        <w:rPr>
          <w:rStyle w:val="CRRefonteDeleted"/>
          <w:noProof/>
          <w:highlight w:val="lightGray"/>
        </w:rPr>
        <w:t>Comisia adoptă măsurile practice pentru schimbul automat de informații, în conformitate cu procedura prevăzută la articolul 26 alineatul (2), înainte de datele prevăzute la articolul 29 alineatul (1)</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articolul 1 punctul 2 (adaptat)</w:t>
      </w:r>
    </w:p>
    <w:p>
      <w:pPr>
        <w:pStyle w:val="SectionTitle"/>
        <w:rPr>
          <w:noProof/>
        </w:rPr>
      </w:pPr>
      <w:bookmarkStart w:id="36" w:name="_Hlk218515891"/>
      <w:r>
        <w:rPr>
          <w:noProof/>
        </w:rPr>
        <w:t>Secțiunea II</w:t>
      </w:r>
    </w:p>
    <w:p>
      <w:pPr>
        <w:pStyle w:val="SectionTitle"/>
        <w:rPr>
          <w:rStyle w:val="CRMinorChangeAdded"/>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Schimbul automat obligatoriu de informații financiare</w:t>
      </w:r>
      <w:bookmarkEnd w:id="36"/>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rStyle w:val="CRMinorChangeAdded"/>
          <w:noProof/>
          <w:u w:val="none"/>
        </w:rPr>
      </w:pPr>
      <w:r>
        <w:rPr>
          <w:rStyle w:val="CRMinorChangeAdded"/>
          <w:noProof/>
          <w:u w:val="none"/>
        </w:rPr>
        <w:t>Articolul 5</w:t>
      </w:r>
    </w:p>
    <w:p>
      <w:pPr>
        <w:pStyle w:val="NormalCentered"/>
        <w:rPr>
          <w:b/>
          <w:noProof/>
        </w:rPr>
      </w:pPr>
      <w:r>
        <w:rPr>
          <w:b/>
          <w:noProof/>
        </w:rPr>
        <w:t>Domeniu de aplicare și condiții</w:t>
      </w:r>
    </w:p>
    <w:p>
      <w:pPr>
        <w:rPr>
          <w:noProof/>
        </w:rPr>
      </w:pPr>
      <w:r>
        <w:rPr>
          <w:noProof/>
        </w:rPr>
        <w:t>(1)</w:t>
      </w:r>
      <w:r>
        <w:rPr>
          <w:noProof/>
        </w:rPr>
        <w:tab/>
        <w:t>Fiecare stat membru ia măsurile necesare pentru a impune Instituțiilor sale Financiare Raportoare să aplice normele de raportare și de diligență fiscală incluse în anexele I și II și să asigure punerea în aplicare eficace și respectarea acestor norme în conformitate cu secțiunea IX din anexa I.</w:t>
      </w:r>
    </w:p>
    <w:p>
      <w:pPr>
        <w:rPr>
          <w:noProof/>
        </w:rPr>
      </w:pPr>
      <w:r>
        <w:rPr>
          <w:noProof/>
        </w:rPr>
        <w:t>În temeiul normelor de raportare și de diligență fiscală aplicabile, prevăzute în anexele I și II, autoritatea competentă a fiecărui stat membru comunică autorității competente din orice alt stat membru, prin intermediul schimbului automat, în termenul prevăzut la alineatul </w:t>
      </w:r>
      <w:r>
        <w:rPr>
          <w:rStyle w:val="CRMinorChangeAdded"/>
          <w:noProof/>
        </w:rPr>
        <w:t>(3)</w:t>
      </w:r>
      <w:r>
        <w:rPr>
          <w:rStyle w:val="CRMinorChangeDeleted"/>
          <w:noProof/>
        </w:rPr>
        <w:t>(6)</w:t>
      </w:r>
      <w:r>
        <w:rPr>
          <w:noProof/>
        </w:rPr>
        <w:t xml:space="preserve"> </w:t>
      </w:r>
      <w:r>
        <w:rPr>
          <w:rStyle w:val="CRMinorChangeDeleted"/>
          <w:noProof/>
        </w:rPr>
        <w:t>litera (b)</w:t>
      </w:r>
      <w:r>
        <w:rPr>
          <w:noProof/>
        </w:rPr>
        <w:t>, următoarele informații referitoare la un Cont care face obiectul raportării, aferente perioadelor impozabile începând cu 1 ianuarie 2016:</w:t>
      </w:r>
    </w:p>
    <w:p>
      <w:pPr>
        <w:pStyle w:val="Point0"/>
        <w:rPr>
          <w:noProof/>
        </w:rPr>
      </w:pPr>
      <w:r>
        <w:rPr>
          <w:noProof/>
        </w:rPr>
        <w:tab/>
        <w:t>(a)</w:t>
      </w:r>
      <w:r>
        <w:rPr>
          <w:noProof/>
        </w:rPr>
        <w:tab/>
        <w:t>numele/denumirea, adresa, numărul (numerele) de identificare fiscală (NIF), precum și data și locul nașterii (în cazul unei persoane fizice) ale fiecărei Persoane care face Obiectul Raportării și care este Titular de cont al contului respectiv și, în cazul unei Entități care este Titular de cont și care, după aplicarea normelor de diligență fiscală prevăzute în anexele I și II, este identificată ca având una sau mai multe Persoane care exercită controlul și care sunt Persoane care fac Obiectul Raportării, denumirea, adresa și NIF ale Entității, precum și numele, adresa, NIF și data și locul nașterii fiecărei Persoane care face Obiectul Raportării;</w:t>
      </w:r>
    </w:p>
    <w:p>
      <w:pPr>
        <w:pStyle w:val="Point0"/>
        <w:rPr>
          <w:noProof/>
        </w:rPr>
      </w:pPr>
      <w:r>
        <w:rPr>
          <w:noProof/>
        </w:rPr>
        <w:lastRenderedPageBreak/>
        <w:tab/>
        <w:t>(b)</w:t>
      </w:r>
      <w:r>
        <w:rPr>
          <w:noProof/>
        </w:rPr>
        <w:tab/>
        <w:t>numărul de cont (sau echivalentul său funcțional în absența unui număr de cont);</w:t>
      </w:r>
    </w:p>
    <w:p>
      <w:pPr>
        <w:pStyle w:val="Point0"/>
        <w:rPr>
          <w:noProof/>
        </w:rPr>
      </w:pPr>
      <w:r>
        <w:rPr>
          <w:noProof/>
        </w:rPr>
        <w:tab/>
        <w:t>(c)</w:t>
      </w:r>
      <w:r>
        <w:rPr>
          <w:noProof/>
        </w:rPr>
        <w:tab/>
        <w:t>denumirea și numărul de identificare (dacă este cazul) al Instituției Financiare Raportoare;</w:t>
      </w:r>
    </w:p>
    <w:p>
      <w:pPr>
        <w:pStyle w:val="Point0"/>
        <w:rPr>
          <w:noProof/>
        </w:rPr>
      </w:pPr>
      <w:r>
        <w:rPr>
          <w:noProof/>
        </w:rPr>
        <w:tab/>
        <w:t>(d)</w:t>
      </w:r>
      <w:r>
        <w:rPr>
          <w:noProof/>
        </w:rPr>
        <w:tab/>
        <w:t>soldul sau valoarea contului (inclusiv, în cazul unui Contract de asigurare cu valoare de răscumpărare sau al unui Contract cu rentă viageră, Valoarea de răscumpărare) valabil(ă) la sfârșitul anului calendaristic relevant sau la sfârșitul altei perioade de raportare adecvate sau, în cazul în care contul a fost închis în cursul anului sau al perioadei în cauză, închiderea contului;</w:t>
      </w:r>
    </w:p>
    <w:p>
      <w:pPr>
        <w:pStyle w:val="Point0"/>
        <w:rPr>
          <w:noProof/>
        </w:rPr>
      </w:pPr>
      <w:r>
        <w:rPr>
          <w:noProof/>
        </w:rPr>
        <w:tab/>
        <w:t>(e)</w:t>
      </w:r>
      <w:r>
        <w:rPr>
          <w:noProof/>
        </w:rPr>
        <w:tab/>
        <w:t>în cazul oricărui Cont de custodie:</w:t>
      </w:r>
    </w:p>
    <w:p>
      <w:pPr>
        <w:pStyle w:val="Point1"/>
        <w:rPr>
          <w:noProof/>
        </w:rPr>
      </w:pPr>
      <w:r>
        <w:rPr>
          <w:noProof/>
        </w:rPr>
        <w:tab/>
        <w:t>(i)</w:t>
      </w:r>
      <w:r>
        <w:rPr>
          <w:noProof/>
        </w:rPr>
        <w:tab/>
        <w:t>cuantumul brut total al dobânzilor, cuantumul brut total al dividendelor și cuantumul brut total al altor venituri generate în legătură cu activele deținute în cont, în fiecare caz plătite sau creditate în contul respectiv (sau în legătură cu respectivul cont) în cursul anului calendaristic sau al altei perioade de raportare adecvate; și</w:t>
      </w:r>
    </w:p>
    <w:p>
      <w:pPr>
        <w:pStyle w:val="Point1"/>
        <w:rPr>
          <w:noProof/>
        </w:rPr>
      </w:pPr>
      <w:r>
        <w:rPr>
          <w:noProof/>
        </w:rPr>
        <w:tab/>
        <w:t>(ii)</w:t>
      </w:r>
      <w:r>
        <w:rPr>
          <w:noProof/>
        </w:rPr>
        <w:tab/>
        <w:t>încasările brute totale din vânzarea sau răscumpărarea Activelor Financiare plătite sau creditate în cont în cursul anului calendaristic sau al altei perioade de raportare adecvate în legătură cu care Instituția Financiară Raportoare a acționat drept custode, broker, reprezentant sau orice alt fel de mandatar al Titularului de cont;</w:t>
      </w:r>
    </w:p>
    <w:p>
      <w:pPr>
        <w:pStyle w:val="Point0"/>
        <w:rPr>
          <w:noProof/>
        </w:rPr>
      </w:pPr>
      <w:r>
        <w:rPr>
          <w:noProof/>
        </w:rPr>
        <w:tab/>
        <w:t>(f)</w:t>
      </w:r>
      <w:r>
        <w:rPr>
          <w:noProof/>
        </w:rPr>
        <w:tab/>
        <w:t>în cazul oricărui Cont de depozit, cuantumul brut total al dobânzilor plătite sau creditate în cont în cursul anului calendaristic sau al altei perioade de raportare adecvate;</w:t>
      </w:r>
    </w:p>
    <w:p>
      <w:pPr>
        <w:pStyle w:val="Point0"/>
        <w:rPr>
          <w:noProof/>
        </w:rPr>
      </w:pPr>
      <w:r>
        <w:rPr>
          <w:noProof/>
        </w:rPr>
        <w:tab/>
        <w:t>(g)</w:t>
      </w:r>
      <w:r>
        <w:rPr>
          <w:noProof/>
        </w:rPr>
        <w:tab/>
        <w:t>în cazul oricărui alt cont decât cele descrise la litera (e) sau la litera (f), cuantumul brut total plătit sau creditat Titularului de cont în legătură cu respectivul cont în cursul anului calendaristic sau al altei perioade de raportare adecvate în legătură cu care Instituția Financiară Raportoare este debitoare, inclusiv suma agregată a oricăror răscumpărări plătite Titularului de cont în cursul anului calendaristic sau al altei perioade de raportare adecvate;</w:t>
      </w:r>
    </w:p>
    <w:p>
      <w:pPr>
        <w:pStyle w:val="Point0"/>
        <w:rPr>
          <w:noProof/>
        </w:rPr>
      </w:pPr>
      <w:r>
        <w:rPr>
          <w:noProof/>
        </w:rPr>
        <w:tab/>
        <w:t>(h)</w:t>
      </w:r>
      <w:r>
        <w:rPr>
          <w:noProof/>
        </w:rPr>
        <w:tab/>
        <w:t>dacă a fost furnizată o declarație pe propria răspundere valabilă pentru fiecare Titular de cont;</w:t>
      </w:r>
    </w:p>
    <w:p>
      <w:pPr>
        <w:pStyle w:val="Point0"/>
        <w:rPr>
          <w:noProof/>
        </w:rPr>
      </w:pPr>
      <w:r>
        <w:rPr>
          <w:noProof/>
        </w:rPr>
        <w:tab/>
        <w:t>(i)</w:t>
      </w:r>
      <w:r>
        <w:rPr>
          <w:noProof/>
        </w:rPr>
        <w:tab/>
        <w:t>rolul (rolurile) în temeiul căruia (cărora) fiecare Persoană care face Obiectul Raportării și care este o Persoană care exercită controlul asupra unui Titular al unui Cont de Entitate este o Persoană care exercită controlul asupra Entității și dacă a fost furnizată o declarație pe propria răspundere valabilă pentru fiecare astfel de Persoană care face Obiectul Raportării;</w:t>
      </w:r>
    </w:p>
    <w:p>
      <w:pPr>
        <w:pStyle w:val="Point0"/>
        <w:rPr>
          <w:noProof/>
        </w:rPr>
      </w:pPr>
      <w:r>
        <w:rPr>
          <w:noProof/>
        </w:rPr>
        <w:tab/>
        <w:t>(j)</w:t>
      </w:r>
      <w:r>
        <w:rPr>
          <w:noProof/>
        </w:rPr>
        <w:tab/>
        <w:t>tipul de cont, menționându-se dacă contul este un Cont Preexistent sau un Cont Nou, precum și dacă este un cont comun, inclusiv numărul de Titulari ai contului comun; și</w:t>
      </w:r>
    </w:p>
    <w:p>
      <w:pPr>
        <w:pStyle w:val="Point0"/>
        <w:rPr>
          <w:noProof/>
        </w:rPr>
      </w:pPr>
      <w:r>
        <w:rPr>
          <w:noProof/>
        </w:rPr>
        <w:tab/>
        <w:t>(k)</w:t>
      </w:r>
      <w:r>
        <w:rPr>
          <w:noProof/>
        </w:rPr>
        <w:tab/>
        <w:t>în cazul oricărei Participații în capitalurile proprii deținute într-o Entitate de Investiții care este o construcție juridică, rolul (rolurile) în temeiul căruia (cărora) Persoana care face Obiectul Raportării este un deținător de Participații în capitalurile proprii.</w:t>
      </w:r>
    </w:p>
    <w:p>
      <w:pPr>
        <w:rPr>
          <w:noProof/>
        </w:rPr>
      </w:pPr>
      <w:r>
        <w:rPr>
          <w:noProof/>
        </w:rPr>
        <w:t xml:space="preserve">În scopul schimbului de informații în temeiul prezentului alineat, în absența unor dispoziții contrare prevăzute la prezentul alineat sau în anexa I sau II, cuantumul și descrierea plăților </w:t>
      </w:r>
      <w:r>
        <w:rPr>
          <w:noProof/>
        </w:rPr>
        <w:lastRenderedPageBreak/>
        <w:t>efectuate în legătură cu un Cont care face obiectul raportării se stabilesc în conformitate cu legislația națională a statului membru care comunică informațiile.</w:t>
      </w:r>
    </w:p>
    <w:p>
      <w:pPr>
        <w:rPr>
          <w:noProof/>
        </w:rPr>
      </w:pPr>
      <w:r>
        <w:rPr>
          <w:noProof/>
        </w:rPr>
        <w:t>Primul și al doilea paragraf de la prezentul alineat au prioritate față de alineatul (1) litera (c) sau orice alt instrument juridic al Uniunii în măsura în care schimbul de informații în cauză intră sub incidența alineatului (1) litera (c) sau a oricărui alt instrument juridic al Uniunii.</w:t>
      </w:r>
    </w:p>
    <w:p>
      <w:pPr>
        <w:rPr>
          <w:noProof/>
        </w:rPr>
      </w:pPr>
      <w:r>
        <w:rPr>
          <w:noProof/>
        </w:rPr>
        <w:t xml:space="preserve">Autoritatea competentă a fiecărui stat membru comunică informațiile menționate la literele (h)-(k) </w:t>
      </w:r>
      <w:r>
        <w:rPr>
          <w:rStyle w:val="CRMinorChangeDeleted"/>
          <w:noProof/>
        </w:rPr>
        <w:t>de la al doilea paragraf</w:t>
      </w:r>
      <w:r>
        <w:rPr>
          <w:noProof/>
        </w:rPr>
        <w:t xml:space="preserve"> cu privire la perioadele impozabile începând cu 1 ianuarie 2026.</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2023/2226 articolul 1 punctul 2 litera (c)</w:t>
      </w:r>
    </w:p>
    <w:p>
      <w:pPr>
        <w:rPr>
          <w:noProof/>
        </w:rPr>
      </w:pPr>
      <w:r>
        <w:rPr>
          <w:rStyle w:val="CRMinorChangeDeleted"/>
          <w:noProof/>
        </w:rPr>
        <w:t>7a</w:t>
      </w:r>
      <w:r>
        <w:rPr>
          <w:rStyle w:val="CRMinorChangeAdded"/>
          <w:noProof/>
        </w:rPr>
        <w:t>2</w:t>
      </w:r>
      <w:r>
        <w:rPr>
          <w:noProof/>
        </w:rPr>
        <w:t>.</w:t>
      </w:r>
      <w:r>
        <w:rPr>
          <w:noProof/>
        </w:rPr>
        <w:tab/>
        <w:t>Statele membre trebuie să asigure faptul că entitățile și conturile care urmează să fie considerate Instituții Financiare Nonraportoare și, respectiv, Conturi Excluse îndeplinesc toate cerințele enumerate la punctul B subpunctul 1 litera (c) și la punctul C subpunctul 17 litera (g) din secțiunea VIII a anexei I și, în special, că statutul de Instituție Financiară Nonraportoare al unei Instituții Financiare sau statutul de Cont Exclus al unui cont nu aduce atingere obiectivelor prezentei directive.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rPr>
          <w:noProof/>
        </w:rPr>
      </w:pPr>
      <w:r>
        <w:rPr>
          <w:noProof/>
          <w:highlight w:val="lightGray"/>
        </w:rPr>
        <w:t>(3)</w:t>
      </w:r>
      <w:r>
        <w:rPr>
          <w:noProof/>
        </w:rPr>
        <w:tab/>
      </w:r>
      <w:r>
        <w:rPr>
          <w:noProof/>
          <w:highlight w:val="lightGray"/>
        </w:rPr>
        <w:t>Schimbul automat de informații are loc anual, de îndată ce informațiile devin disponibile și în termen de cel mult nouă luni de la sfârșitul anului calendaristic sau al altei perioade de raportare adecvate la care se referă informațiile.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articolul 1 punctul 3 (adaptat)</w:t>
      </w:r>
    </w:p>
    <w:bookmarkStart w:id="37" w:name="_Hlk218516153"/>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SectionTitle"/>
        <w:rPr>
          <w:noProof/>
        </w:rPr>
      </w:pPr>
      <w:r>
        <w:rPr>
          <w:rStyle w:val="CRMinorChangeAdded"/>
          <w:noProof/>
        </w:rPr>
        <w:t xml:space="preserve">Secțiunea III </w:t>
      </w:r>
    </w:p>
    <w:p>
      <w:pPr>
        <w:pStyle w:val="SectionTitle"/>
        <w:rPr>
          <w:b w:val="0"/>
          <w:bCs/>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Schimbul automat obligatoriu de informații privind deciziile fiscale anticipate cu aplicare transfrontalieră și acordurile prealabile privind prețul de transfer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bookmarkEnd w:id="37"/>
    <w:p>
      <w:pPr>
        <w:pStyle w:val="Titrearticle"/>
        <w:rPr>
          <w:noProof/>
        </w:rPr>
      </w:pPr>
      <w:r>
        <w:rPr>
          <w:noProof/>
        </w:rPr>
        <w:t xml:space="preserve">Articolul </w:t>
      </w:r>
      <w:r>
        <w:rPr>
          <w:rStyle w:val="CRMinorChangeAdded"/>
          <w:noProof/>
        </w:rPr>
        <w:t>6</w:t>
      </w:r>
      <w:r>
        <w:rPr>
          <w:rStyle w:val="CRMinorChangeDeleted"/>
          <w:noProof/>
        </w:rPr>
        <w:t>8a</w:t>
      </w:r>
    </w:p>
    <w:p>
      <w:pPr>
        <w:pStyle w:val="NormalCentered"/>
        <w:rPr>
          <w:b/>
          <w:noProof/>
        </w:rPr>
      </w:pPr>
      <w:r>
        <w:rPr>
          <w:b/>
          <w:noProof/>
        </w:rPr>
        <w:t>Domeniul de aplicare și condițiile schimbului automat obligatoriu de informații privind deciziile fiscale anticipate cu aplicare transfrontalieră și acordurile prealabile privind prețul de transfer</w:t>
      </w:r>
    </w:p>
    <w:p>
      <w:pPr>
        <w:rPr>
          <w:noProof/>
        </w:rPr>
      </w:pPr>
      <w:r>
        <w:rPr>
          <w:noProof/>
        </w:rPr>
        <w:t>(1)</w:t>
      </w:r>
      <w:r>
        <w:rPr>
          <w:noProof/>
        </w:rPr>
        <w:tab/>
        <w:t xml:space="preserve">Autoritatea competentă a unui stat membru în care s-a emis, s-a modificat sau s-a reînnoit o decizie fiscală anticipată cu aplicare transfrontalieră sau un acord prealabil privind prețul de transfer </w:t>
      </w:r>
      <w:r>
        <w:rPr>
          <w:rStyle w:val="CRRefonteDeleted"/>
          <w:noProof/>
          <w:highlight w:val="lightGray"/>
        </w:rPr>
        <w:t>după data de 31 decembrie 2016</w:t>
      </w:r>
      <w:r>
        <w:rPr>
          <w:noProof/>
        </w:rPr>
        <w:t xml:space="preserve"> comunică, prin schimb automat, informații cu privire la acest lucru autorităților competente din toate celelalte state membre, precum și Comisiei </w:t>
      </w:r>
      <w:r>
        <w:rPr>
          <w:rStyle w:val="CRDeleted"/>
          <w:noProof/>
        </w:rPr>
        <w:t>Europene</w:t>
      </w:r>
      <w:r>
        <w:rPr>
          <w:noProof/>
        </w:rPr>
        <w:t xml:space="preserve">, cu limitarea cazurilor prevăzute la alineatul </w:t>
      </w:r>
      <w:r>
        <w:rPr>
          <w:rStyle w:val="CRMinorChangeAdded"/>
          <w:noProof/>
        </w:rPr>
        <w:t>(7)</w:t>
      </w:r>
      <w:r>
        <w:rPr>
          <w:rStyle w:val="CRMinorChangeDeleted"/>
          <w:noProof/>
        </w:rPr>
        <w:t>(8)</w:t>
      </w:r>
      <w:r>
        <w:rPr>
          <w:noProof/>
        </w:rPr>
        <w:t xml:space="preserve"> </w:t>
      </w:r>
      <w:r>
        <w:rPr>
          <w:rStyle w:val="CRDeleted"/>
          <w:noProof/>
        </w:rPr>
        <w:t>din prezentul articol</w:t>
      </w:r>
      <w:r>
        <w:rPr>
          <w:rStyle w:val="CRRefonteDeleted"/>
          <w:noProof/>
          <w:highlight w:val="lightGray"/>
        </w:rPr>
        <w:t>, în conformitate cu măsurile practice aplicabile adoptate în temeiul articolului 21</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articolul 1 punctul 3 (adaptat)</w:t>
      </w:r>
    </w:p>
    <w:p>
      <w:pPr>
        <w:rPr>
          <w:rStyle w:val="CRRefonteDeleted"/>
          <w:noProof/>
        </w:rPr>
      </w:pPr>
      <w:r>
        <w:rPr>
          <w:rStyle w:val="CRDeleted"/>
          <w:noProof/>
        </w:rPr>
        <w:t>(2)</w:t>
      </w:r>
      <w:r>
        <w:rPr>
          <w:noProof/>
        </w:rPr>
        <w:tab/>
      </w:r>
      <w:r>
        <w:rPr>
          <w:rStyle w:val="CRDeleted"/>
          <w:noProof/>
        </w:rPr>
        <w:t>În conformitate cu măsurile practice aplicabile adoptate în temeiul articolului 21, autoritatea competentă a unui stat membru comunică informații și autorităților competente din toate celelalte state membre, precum și Comisiei, cu limitarea cazurilor prevăzute la prezentul articol alineatul (8), referitoare la deciziile fiscale anticipate cu aplicare transfrontalieră și la acordurile prealabile privind prețul de transfer emise, modificate sau reînnoite într-un termen care începe cu cinci ani înaintea datei de 1 ianuarie 2017.</w:t>
      </w:r>
    </w:p>
    <w:p>
      <w:pPr>
        <w:rPr>
          <w:rStyle w:val="CRRefonteDeleted"/>
          <w:noProof/>
        </w:rPr>
      </w:pPr>
      <w:r>
        <w:rPr>
          <w:rStyle w:val="CRDeleted"/>
          <w:noProof/>
        </w:rPr>
        <w:t>În cazul în care deciziile fiscale anticipate cu aplicare transfrontalieră și acordurile prealabile privind prețul de transfer sunt emise, modificate sau reînnoite între 1 ianuarie 2012 și 31 decembrie 2013, o astfel de comunicare are loc cu condiția ca acestea să fi fost încă valabile la 1 ianuarie 2014.</w:t>
      </w:r>
    </w:p>
    <w:p>
      <w:pPr>
        <w:rPr>
          <w:rStyle w:val="CRRefonteDeleted"/>
          <w:noProof/>
        </w:rPr>
      </w:pPr>
      <w:r>
        <w:rPr>
          <w:rStyle w:val="CRDeleted"/>
          <w:noProof/>
        </w:rPr>
        <w:t>În cazul în care deciziile fiscale anticipate cu aplicare transfrontalieră și acordurile prealabile privind prețul de transfer sunt emise, modificate sau reînnoite între 1 ianuarie 2014 și 31 decembrie 2016, o astfel de comunicare are loc indiferent dacă acestea sunt încă valabile.</w:t>
      </w:r>
    </w:p>
    <w:p>
      <w:pPr>
        <w:rPr>
          <w:rStyle w:val="CRRefonteDeleted"/>
          <w:noProof/>
        </w:rPr>
      </w:pPr>
      <w:r>
        <w:rPr>
          <w:rStyle w:val="CRDeleted"/>
          <w:noProof/>
        </w:rPr>
        <w:t>Statele membre pot exclude din comunicarea menționată la prezentul alineat informații privind deciziile fiscale anticipate cu aplicare transfrontalieră și acordurile prealabile privind prețul de transfer emise, modificate sau reînnoite înainte de 1 aprilie 2016 la adresa unei anumite persoane sau a unui anumit grup de persoane, cu excepția celor care desfășoară în principal activități financiare sau de investiții, cu o cifră de afaceri anuală netă la nivelul întregului grup, conform definiției de la articolul 2 punctul 5 din Directiva 2013/34/UE a Parlamentului European și a Consiliului</w:t>
      </w:r>
      <w:r>
        <w:rPr>
          <w:rStyle w:val="CRDeleted"/>
          <w:noProof/>
          <w:vertAlign w:val="superscript"/>
        </w:rPr>
        <w:footnoteReference w:id="52"/>
      </w:r>
      <w:r>
        <w:rPr>
          <w:rStyle w:val="CRDeleted"/>
          <w:noProof/>
        </w:rPr>
        <w:t>, de mai puțin de 40000000 EUR (sau echivalentul acestei sume în orice altă monedă), pe parcursul exercițiului financiar care precedă datei emiterii, modificării sau reînnoirii respectivelor decizii fiscale anticipate cu aplicare transfrontalieră și acorduri prealabile privind prețul de transfer.</w:t>
      </w:r>
    </w:p>
    <w:p>
      <w:pPr>
        <w:rPr>
          <w:noProof/>
        </w:rPr>
      </w:pPr>
      <w:r>
        <w:rPr>
          <w:rStyle w:val="CRMinorChangeAdded"/>
          <w:noProof/>
        </w:rPr>
        <w:t>(2)</w:t>
      </w:r>
      <w:r>
        <w:rPr>
          <w:rStyle w:val="CRMinorChangeDeleted"/>
          <w:noProof/>
        </w:rPr>
        <w:t>(3)</w:t>
      </w:r>
      <w:r>
        <w:rPr>
          <w:noProof/>
        </w:rPr>
        <w:t>.</w:t>
      </w:r>
      <w:r>
        <w:rPr>
          <w:noProof/>
        </w:rPr>
        <w:tab/>
        <w:t xml:space="preserve">Acordurile prealabile privind prețul de transfer bilaterale sau multilaterale cu țări terțe se exclud din domeniul de aplicare al schimbului automat de informații în temeiul prezentului articol în cazul în care acordul internațional privind impozitarea în temeiul căruia a fost negociat acordul prealabil privind prețul de transfer nu permite divulgarea sa către terți. Aceste acorduri prealabile privind prețul de transfer bilaterale sau multilaterale vor fi schimbate în temeiul articolului </w:t>
      </w:r>
      <w:r>
        <w:rPr>
          <w:rStyle w:val="CRMinorChangeAdded"/>
          <w:noProof/>
        </w:rPr>
        <w:t>21</w:t>
      </w:r>
      <w:r>
        <w:rPr>
          <w:rStyle w:val="CRMinorChangeDeleted"/>
          <w:noProof/>
        </w:rPr>
        <w:t>9</w:t>
      </w:r>
      <w:r>
        <w:rPr>
          <w:noProof/>
        </w:rPr>
        <w:t xml:space="preserve"> în cazul în care acordul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internațional privind impozitarea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în temeiul căruia a fost negociat acordul prealabil privind prețul de transfer permite divulgarea </w:t>
      </w:r>
      <w:r>
        <w:rPr>
          <w:rStyle w:val="CRDeleted"/>
          <w:noProof/>
        </w:rPr>
        <w:t>acestora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iar autoritatea competentă a țării terțe acordă permisiunea ca informațiile să fie divulgate.</w:t>
      </w:r>
    </w:p>
    <w:p>
      <w:pPr>
        <w:rPr>
          <w:noProof/>
        </w:rPr>
      </w:pPr>
      <w:r>
        <w:rPr>
          <w:noProof/>
        </w:rPr>
        <w:t>Totuși, atunci când acordurile prealabile privind prețul de transfer bilaterale sau multilaterale ar fi excluse de la schimbul automat de informații în temeiul primei teze de la primul paragraf din prezentul alineat, informațiile identificate la alineatul (6) din prezentul articol, menționate în cererea care conduce la emiterea unui astfel de acord prealabil privind prețul de transfer bilateral sau multilateral, fac în schimb obiectul unui schimb în temeiul prezentul articol alineatele (1) și (2).</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3 litera (a) (adaptat)</w:t>
      </w:r>
    </w:p>
    <w:p>
      <w:pPr>
        <w:rPr>
          <w:noProof/>
        </w:rPr>
      </w:pPr>
      <w:r>
        <w:rPr>
          <w:rStyle w:val="CRMinorChangeAdded"/>
          <w:noProof/>
        </w:rPr>
        <w:t>(3)</w:t>
      </w:r>
      <w:r>
        <w:rPr>
          <w:rStyle w:val="CRMinorChangeDeleted"/>
          <w:noProof/>
        </w:rPr>
        <w:t>(4)</w:t>
      </w:r>
      <w:r>
        <w:rPr>
          <w:noProof/>
        </w:rPr>
        <w:tab/>
        <w:t>Alineat</w:t>
      </w:r>
      <w:r>
        <w:rPr>
          <w:rStyle w:val="CRMinorChangeAdded"/>
          <w:noProof/>
        </w:rPr>
        <w:t>ul</w:t>
      </w:r>
      <w:r>
        <w:rPr>
          <w:rStyle w:val="CRDeleted"/>
          <w:noProof/>
        </w:rPr>
        <w:t>ele</w:t>
      </w:r>
      <w:r>
        <w:rPr>
          <w:noProof/>
        </w:rPr>
        <w:t xml:space="preserve"> (1) </w:t>
      </w:r>
      <w:r>
        <w:rPr>
          <w:rStyle w:val="CRDeleted"/>
          <w:noProof/>
        </w:rPr>
        <w:t>și (2)</w:t>
      </w:r>
      <w:r>
        <w:rPr>
          <w:noProof/>
        </w:rPr>
        <w:t xml:space="preserve"> nu se aplică în cazul în care o decizie fiscală anticipată cu aplicare transfrontalieră implică și se referă exclusiv la afacerile fiscale ale uneia sau mai multor persoane fizice, cu excepția cazului în care una dintre aceste decizii fiscale anticipate cu aplicare transfrontalieră a fost emisă, modificată sau reînnoită după 1 ianuarie 2026 și dacă:</w:t>
      </w:r>
    </w:p>
    <w:p>
      <w:pPr>
        <w:pStyle w:val="Point0"/>
        <w:rPr>
          <w:noProof/>
        </w:rPr>
      </w:pPr>
      <w:r>
        <w:rPr>
          <w:noProof/>
        </w:rPr>
        <w:tab/>
        <w:t>(a)</w:t>
      </w:r>
      <w:r>
        <w:rPr>
          <w:noProof/>
        </w:rPr>
        <w:tab/>
        <w:t>valoarea tranzacției sau a seriei de tranzacții aferente deciziei fiscale anticipate cu aplicare transfrontalieră depășește 1 500 000 EUR (sau valoarea echivalentă în orice altă monedă), dacă o astfel de valoare este menționată în decizia fiscală anticipată cu aplicare transfrontalieră; sau</w:t>
      </w:r>
    </w:p>
    <w:p>
      <w:pPr>
        <w:pStyle w:val="Point0"/>
        <w:rPr>
          <w:noProof/>
        </w:rPr>
      </w:pPr>
      <w:r>
        <w:rPr>
          <w:noProof/>
        </w:rPr>
        <w:tab/>
        <w:t>(b)</w:t>
      </w:r>
      <w:r>
        <w:rPr>
          <w:noProof/>
        </w:rPr>
        <w:tab/>
        <w:t>decizia fiscală anticipată cu aplicare transfrontalieră stabilește dacă o persoană este sau nu rezidentă fiscal în statul membru care emite decizia.</w:t>
      </w:r>
    </w:p>
    <w:p>
      <w:pPr>
        <w:rPr>
          <w:noProof/>
        </w:rPr>
      </w:pPr>
      <w:r>
        <w:rPr>
          <w:noProof/>
        </w:rPr>
        <w:t xml:space="preserve">În sensul literei (a) </w:t>
      </w:r>
      <w:r>
        <w:rPr>
          <w:rStyle w:val="CRDeleted"/>
          <w:noProof/>
        </w:rPr>
        <w:t>de la primul paragraf</w:t>
      </w:r>
      <w:r>
        <w:rPr>
          <w:noProof/>
        </w:rPr>
        <w:t xml:space="preserve"> și fără a aduce atingere cuantumului menționat în decizia fiscală anticipată cu aplicare transfrontalieră, într-o serie de tranzacții referitoare la diferite bunuri, servicii sau active, cuantumul deciziei fiscale anticipate cu aplicare transfrontalieră cuprinde valoarea totală subiacentă. Sumele nu sunt agregate în cazul în care aceleași bunuri, servicii sau active sunt tranzacționate de mai multe ori.</w:t>
      </w:r>
    </w:p>
    <w:p>
      <w:pPr>
        <w:rPr>
          <w:noProof/>
        </w:rPr>
      </w:pPr>
      <w:r>
        <w:rPr>
          <w:noProof/>
        </w:rPr>
        <w:t xml:space="preserve">Fără a aduce atingere literei (b) </w:t>
      </w:r>
      <w:r>
        <w:rPr>
          <w:rStyle w:val="CRDeleted"/>
          <w:noProof/>
        </w:rPr>
        <w:t>de la primul paragraf</w:t>
      </w:r>
      <w:r>
        <w:rPr>
          <w:noProof/>
        </w:rPr>
        <w:t xml:space="preserve">, schimbul de informații privind deciziile fiscale anticipate cu aplicare transfrontalieră referitoare la persoane fizice nu include astfel de decizii privind impozitarea la sursă în ceea ce privește veniturile din muncă, remunerațiile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și alte beneficii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plătite administratorilor și altor persoane asimilate acestora sau pensiile nerezidenților.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articolul 1 punctul 3 (adaptat)</w:t>
      </w:r>
    </w:p>
    <w:p>
      <w:pPr>
        <w:rPr>
          <w:noProof/>
        </w:rPr>
      </w:pPr>
      <w:r>
        <w:rPr>
          <w:rStyle w:val="CRMinorChangeAdded"/>
          <w:noProof/>
        </w:rPr>
        <w:t>(4)</w:t>
      </w:r>
      <w:r>
        <w:rPr>
          <w:rStyle w:val="CRMinorChangeDeleted"/>
          <w:noProof/>
        </w:rPr>
        <w:t>(5)</w:t>
      </w:r>
      <w:r>
        <w:rPr>
          <w:noProof/>
        </w:rPr>
        <w:tab/>
        <w:t xml:space="preserve">Schimbul de informații se desfășoară </w:t>
      </w:r>
      <w:r>
        <w:rPr>
          <w:rStyle w:val="CRDeleted"/>
          <w:noProof/>
        </w:rPr>
        <w:t>după cum urmează: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7 litera (a) (adaptat)</w:t>
      </w:r>
    </w:p>
    <w:p>
      <w:pPr>
        <w:pStyle w:val="Point0"/>
        <w:rPr>
          <w:noProof/>
        </w:rPr>
      </w:pPr>
      <w:r>
        <w:rPr>
          <w:noProof/>
        </w:rPr>
        <w:tab/>
      </w:r>
      <w:r>
        <w:rPr>
          <w:rStyle w:val="CRDeleted"/>
          <w:noProof/>
        </w:rPr>
        <w:t>(a)</w:t>
      </w:r>
      <w:r>
        <w:rPr>
          <w:noProof/>
        </w:rPr>
        <w:tab/>
      </w:r>
      <w:r>
        <w:rPr>
          <w:rStyle w:val="CRDeleted"/>
          <w:noProof/>
        </w:rPr>
        <w:t>în ceea ce privește informațiile comunicate în conformitate cu alineatul (1), fără întârziere, după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de îndată ce a avut loc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emiterea, modificarea sau reînnoirea deciziei fiscale anticipate cu aplicare transfrontalieră sau a acordului prealabil privind prețul de transfer și în termen de trei luni de la sfârșitul semestrului anului calendaristic în care s-a emis, s-a modificat sau s-a reînnoit decizia fiscală anticipată cu aplicare transfrontalieră sau acordul prealabil privind prețul de transfer</w:t>
      </w:r>
      <w:r>
        <w:rPr>
          <w:rStyle w:val="CRMinorChangeAdded"/>
          <w:noProof/>
        </w:rPr>
        <w:t>.</w:t>
      </w:r>
      <w:r>
        <w:rPr>
          <w:rStyle w:val="CRMinorChangeDeleted"/>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articolul 1 punctul 3 (adaptat)</w:t>
      </w:r>
    </w:p>
    <w:p>
      <w:pPr>
        <w:pStyle w:val="Point0"/>
        <w:rPr>
          <w:noProof/>
        </w:rPr>
      </w:pPr>
      <w:r>
        <w:rPr>
          <w:noProof/>
        </w:rPr>
        <w:tab/>
      </w:r>
      <w:r>
        <w:rPr>
          <w:rStyle w:val="CRDeleted"/>
          <w:noProof/>
        </w:rPr>
        <w:t>(b)</w:t>
      </w:r>
      <w:r>
        <w:rPr>
          <w:noProof/>
        </w:rPr>
        <w:tab/>
      </w:r>
      <w:r>
        <w:rPr>
          <w:rStyle w:val="CRDeleted"/>
          <w:noProof/>
        </w:rPr>
        <w:t>în ceea ce privește informațiile comunicate în conformitate cu alineatul (2), înaintea datei de 1 ianuarie 2018.</w:t>
      </w:r>
    </w:p>
    <w:p>
      <w:pPr>
        <w:rPr>
          <w:noProof/>
        </w:rPr>
      </w:pPr>
      <w:r>
        <w:rPr>
          <w:rStyle w:val="CRMinorChangeAdded"/>
          <w:noProof/>
        </w:rPr>
        <w:t>(5)</w:t>
      </w:r>
      <w:r>
        <w:rPr>
          <w:rStyle w:val="CRMinorChangeDeleted"/>
          <w:noProof/>
        </w:rPr>
        <w:t>(6)</w:t>
      </w:r>
      <w:r>
        <w:rPr>
          <w:noProof/>
        </w:rPr>
        <w:t>.</w:t>
      </w:r>
      <w:r>
        <w:rPr>
          <w:noProof/>
        </w:rPr>
        <w:tab/>
        <w:t xml:space="preserve">Informațiile care urmează să fie comunicate de către un stat membru în conformitate cu </w:t>
      </w:r>
      <w:r>
        <w:rPr>
          <w:rStyle w:val="CRMinorChangeDeleted"/>
          <w:noProof/>
        </w:rPr>
        <w:t>prezentul articol</w:t>
      </w:r>
      <w:r>
        <w:rPr>
          <w:noProof/>
        </w:rPr>
        <w:t xml:space="preserve"> alineat</w:t>
      </w:r>
      <w:r>
        <w:rPr>
          <w:rStyle w:val="CRMinorChangeAdded"/>
          <w:noProof/>
        </w:rPr>
        <w:t>ul</w:t>
      </w:r>
      <w:r>
        <w:rPr>
          <w:rStyle w:val="CRMinorChangeDeleted"/>
          <w:noProof/>
        </w:rPr>
        <w:t>ele</w:t>
      </w:r>
      <w:r>
        <w:rPr>
          <w:noProof/>
        </w:rPr>
        <w:t xml:space="preserve"> (1) </w:t>
      </w:r>
      <w:r>
        <w:rPr>
          <w:rStyle w:val="CRMinorChangeDeleted"/>
          <w:noProof/>
        </w:rPr>
        <w:t>și (2)</w:t>
      </w:r>
      <w:r>
        <w:rPr>
          <w:noProof/>
        </w:rPr>
        <w:t xml:space="preserve"> cuprind următoarele:</w:t>
      </w:r>
    </w:p>
    <w:p>
      <w:pPr>
        <w:pStyle w:val="CRSeparator"/>
        <w:rPr>
          <w:noProof/>
        </w:rPr>
      </w:pPr>
    </w:p>
    <w:p>
      <w:pPr>
        <w:pStyle w:val="CRReference"/>
        <w:rPr>
          <w:noProof/>
          <w:highlight w:val="lightGray"/>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3 litera (b)</w:t>
      </w:r>
    </w:p>
    <w:p>
      <w:pPr>
        <w:pStyle w:val="Point0"/>
        <w:rPr>
          <w:noProof/>
        </w:rPr>
      </w:pPr>
      <w:r>
        <w:rPr>
          <w:noProof/>
        </w:rPr>
        <w:tab/>
        <w:t>(a)</w:t>
      </w:r>
      <w:r>
        <w:rPr>
          <w:noProof/>
        </w:rPr>
        <w:tab/>
        <w:t>identitatea persoanei, alta decât o persoană fizică, cu excepția cazului în care decizia fiscală anticipată cu aplicare transfrontalieră se referă la o persoană fizică și se comunică în temeiul alineatelor (1) și </w:t>
      </w:r>
      <w:r>
        <w:rPr>
          <w:rStyle w:val="CRMinorChangeAdded"/>
          <w:noProof/>
        </w:rPr>
        <w:t>3</w:t>
      </w:r>
      <w:r>
        <w:rPr>
          <w:rStyle w:val="CRMinorChangeDeleted"/>
          <w:noProof/>
        </w:rPr>
        <w:t>4</w:t>
      </w:r>
      <w:r>
        <w:rPr>
          <w:noProof/>
        </w:rPr>
        <w:t xml:space="preserve"> și, după caz, cea a grupului de persoane din care aceasta face parte;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7 litera (b)</w:t>
      </w:r>
    </w:p>
    <w:p>
      <w:pPr>
        <w:pStyle w:val="Point0"/>
        <w:rPr>
          <w:noProof/>
        </w:rPr>
      </w:pPr>
      <w:r>
        <w:rPr>
          <w:noProof/>
        </w:rPr>
        <w:tab/>
        <w:t>(b)</w:t>
      </w:r>
      <w:r>
        <w:rPr>
          <w:noProof/>
        </w:rPr>
        <w:tab/>
        <w:t>un rezumat al deciziei fiscale anticipate cu aplicare transfrontalieră sau al acordului prealabil privind prețul de transfer, inclusiv o descriere a activităților comerciale sau a tranzacției sau seriei de tranzacții relevante, precum și orice alte informații care ar putea ajuta autoritatea competentă să evalueze un posibil risc fiscal, fără a conduce la divulgarea unui secret comercial, industrial sau profesional sau a unui procedeu comercial ori a unor informații a căror divulgare ar fi contrară politicii publice;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articolul 1 punctul 3</w:t>
      </w:r>
    </w:p>
    <w:p>
      <w:pPr>
        <w:pStyle w:val="Point0"/>
        <w:rPr>
          <w:noProof/>
        </w:rPr>
      </w:pPr>
      <w:r>
        <w:rPr>
          <w:noProof/>
        </w:rPr>
        <w:tab/>
        <w:t>(c)</w:t>
      </w:r>
      <w:r>
        <w:rPr>
          <w:noProof/>
        </w:rPr>
        <w:tab/>
        <w:t>datele emiterii, modificării sau reînnoirii deciziei fiscale anticipate cu aplicare transfrontalieră sau a acordului prealabil privind prețul de transfer;</w:t>
      </w:r>
    </w:p>
    <w:p>
      <w:pPr>
        <w:pStyle w:val="Point0"/>
        <w:rPr>
          <w:noProof/>
        </w:rPr>
      </w:pPr>
      <w:r>
        <w:rPr>
          <w:noProof/>
        </w:rPr>
        <w:tab/>
        <w:t>(d)</w:t>
      </w:r>
      <w:r>
        <w:rPr>
          <w:noProof/>
        </w:rPr>
        <w:tab/>
        <w:t>data de începere a perioadei de valabilitate a deciziei fiscale anticipate cu aplicare transfrontalieră sau a acordului prealabil privind prețul de transfer, în cazul în care aceasta este specificată;</w:t>
      </w:r>
    </w:p>
    <w:p>
      <w:pPr>
        <w:pStyle w:val="Point0"/>
        <w:rPr>
          <w:noProof/>
        </w:rPr>
      </w:pPr>
      <w:r>
        <w:rPr>
          <w:noProof/>
        </w:rPr>
        <w:tab/>
        <w:t>(e)</w:t>
      </w:r>
      <w:r>
        <w:rPr>
          <w:noProof/>
        </w:rPr>
        <w:tab/>
        <w:t>data încetării perioadei de valabilitate a deciziei fiscale anticipate cu aplicare transfrontalieră sau a acordului prealabil privind prețul de transfer, în cazul în care aceasta este specificată;</w:t>
      </w:r>
    </w:p>
    <w:p>
      <w:pPr>
        <w:pStyle w:val="Point0"/>
        <w:rPr>
          <w:noProof/>
        </w:rPr>
      </w:pPr>
      <w:r>
        <w:rPr>
          <w:noProof/>
        </w:rPr>
        <w:tab/>
        <w:t>(f)</w:t>
      </w:r>
      <w:r>
        <w:rPr>
          <w:noProof/>
        </w:rPr>
        <w:tab/>
        <w:t>tipul de decizie fiscală anticipată cu aplicare transfrontalieră sau de acord prealabil privind prețul de transfer;</w:t>
      </w:r>
    </w:p>
    <w:p>
      <w:pPr>
        <w:pStyle w:val="Point0"/>
        <w:rPr>
          <w:noProof/>
        </w:rPr>
      </w:pPr>
      <w:r>
        <w:rPr>
          <w:noProof/>
        </w:rPr>
        <w:tab/>
        <w:t>(g)</w:t>
      </w:r>
      <w:r>
        <w:rPr>
          <w:noProof/>
        </w:rPr>
        <w:tab/>
        <w:t>valoarea tranzacției sau a seriei de tranzacții aferente deciziei fiscale anticipate cu aplicare transfrontalieră sau acordului prealabil privind prețul de transfer dacă o astfel de valoare este menționată în decizia fiscală anticipată cu aplicare transfrontalieră sau în acordul prealabil privind prețul de transfer;</w:t>
      </w:r>
    </w:p>
    <w:p>
      <w:pPr>
        <w:pStyle w:val="Point0"/>
        <w:rPr>
          <w:noProof/>
        </w:rPr>
      </w:pPr>
      <w:r>
        <w:rPr>
          <w:noProof/>
        </w:rPr>
        <w:tab/>
        <w:t>(h)</w:t>
      </w:r>
      <w:r>
        <w:rPr>
          <w:noProof/>
        </w:rPr>
        <w:tab/>
        <w:t>descrierea setului de criterii utilizate pentru a stabili prețurile de transfer sau prețul de transfer în sine, în cazul unui acord prealabil privind prețul de transfer;</w:t>
      </w:r>
    </w:p>
    <w:p>
      <w:pPr>
        <w:pStyle w:val="Point0"/>
        <w:rPr>
          <w:noProof/>
        </w:rPr>
      </w:pPr>
      <w:r>
        <w:rPr>
          <w:noProof/>
        </w:rPr>
        <w:tab/>
        <w:t>(i)</w:t>
      </w:r>
      <w:r>
        <w:rPr>
          <w:noProof/>
        </w:rPr>
        <w:tab/>
        <w:t>identificarea metodei utilizate pentru a stabili prețurile de transfer sau prețul de transfer în sine, în cazul unui acord prealabil privind prețul de transfer;</w:t>
      </w:r>
    </w:p>
    <w:p>
      <w:pPr>
        <w:pStyle w:val="Point0"/>
        <w:rPr>
          <w:noProof/>
        </w:rPr>
      </w:pPr>
      <w:r>
        <w:rPr>
          <w:noProof/>
        </w:rPr>
        <w:tab/>
        <w:t>(j)</w:t>
      </w:r>
      <w:r>
        <w:rPr>
          <w:noProof/>
        </w:rPr>
        <w:tab/>
        <w:t>identificarea celorlalte state membre, dacă există, care este probabil să fie vizate de decizia fiscală anticipată cu aplicare transfrontalieră sau de acordul prealabil privind prețul de transfer;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3 litera (b)</w:t>
      </w:r>
    </w:p>
    <w:p>
      <w:pPr>
        <w:pStyle w:val="Point0"/>
        <w:rPr>
          <w:noProof/>
        </w:rPr>
      </w:pPr>
      <w:r>
        <w:rPr>
          <w:noProof/>
        </w:rPr>
        <w:tab/>
        <w:t>(k)</w:t>
      </w:r>
      <w:r>
        <w:rPr>
          <w:noProof/>
        </w:rPr>
        <w:tab/>
        <w:t>identitatea oricărei persoane, alta decât o persoană fizică, cu excepția cazului în care decizia fiscală anticipată cu aplicare transfrontalieră se referă la o persoană fizică și se comunică în temeiul alineatelor (1) și </w:t>
      </w:r>
      <w:r>
        <w:rPr>
          <w:rStyle w:val="CRMinorChangeAdded"/>
          <w:noProof/>
        </w:rPr>
        <w:t>3</w:t>
      </w:r>
      <w:r>
        <w:rPr>
          <w:rStyle w:val="CRMinorChangeDeleted"/>
          <w:noProof/>
        </w:rPr>
        <w:t>4</w:t>
      </w:r>
      <w:r>
        <w:rPr>
          <w:noProof/>
        </w:rPr>
        <w:t>, din celelalte state membre, dacă există, care este probabil să fie afectată de decizia fiscală anticipată cu aplicare transfrontalieră sau de acordul prealabil privind prețul de transfer (indicând statele membre de care sunt legate persoanele afectate); și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articolul 1 punctul 3 (adaptat)</w:t>
      </w:r>
    </w:p>
    <w:p>
      <w:pPr>
        <w:pStyle w:val="Point0"/>
        <w:rPr>
          <w:noProof/>
        </w:rPr>
      </w:pPr>
      <w:r>
        <w:rPr>
          <w:noProof/>
        </w:rPr>
        <w:tab/>
        <w:t>(l)</w:t>
      </w:r>
      <w:r>
        <w:rPr>
          <w:noProof/>
        </w:rPr>
        <w:tab/>
        <w:t xml:space="preserve">precizarea dacă informațiile comunicate se bazează pe decizia fiscală anticipată cu aplicare transfrontalieră sau pe acordul prealabil privind prețul de transfer în sine sau sunt furnizate ca urmare a cererii menționate la prezentul articol alineatul </w:t>
      </w:r>
      <w:r>
        <w:rPr>
          <w:rStyle w:val="CRMinorChangeDeleted"/>
          <w:noProof/>
        </w:rPr>
        <w:t>(2)</w:t>
      </w:r>
      <w:r>
        <w:rPr>
          <w:noProof/>
        </w:rPr>
        <w:t>(3) al doilea paragraf.</w:t>
      </w:r>
    </w:p>
    <w:p>
      <w:pPr>
        <w:rPr>
          <w:noProof/>
          <w:highlight w:val="lightGray"/>
        </w:rPr>
      </w:pPr>
      <w:r>
        <w:rPr>
          <w:rStyle w:val="CRRefonteDeleted"/>
          <w:noProof/>
          <w:highlight w:val="lightGray"/>
        </w:rPr>
        <w:t>(7)</w:t>
      </w:r>
      <w:r>
        <w:rPr>
          <w:noProof/>
        </w:rPr>
        <w:tab/>
      </w:r>
      <w:r>
        <w:rPr>
          <w:rStyle w:val="CRRefonteDeleted"/>
          <w:noProof/>
          <w:highlight w:val="lightGray"/>
        </w:rPr>
        <w:t>Pentru a facilita schimbul de informații menționate la prezentul articol alineatul (6), Comisia adoptă măsurile practice necesare pentru punerea în aplicare a prezentului articol, inclusiv măsuri de standardizare a comunicării setului de informații prevăzut la alineatul (6) din prezentul articol, în cadrul procedurii de stabilire a formularului-tip prevăzut la articolul 20 alineatul (5).</w:t>
      </w:r>
    </w:p>
    <w:p>
      <w:pPr>
        <w:rPr>
          <w:noProof/>
        </w:rPr>
      </w:pPr>
      <w:r>
        <w:rPr>
          <w:rStyle w:val="CRMinorChangeAdded"/>
          <w:noProof/>
        </w:rPr>
        <w:t>(6)</w:t>
      </w:r>
      <w:r>
        <w:rPr>
          <w:rStyle w:val="CRMinorChangeDeleted"/>
          <w:noProof/>
        </w:rPr>
        <w:t>(8)</w:t>
      </w:r>
      <w:r>
        <w:rPr>
          <w:noProof/>
        </w:rPr>
        <w:tab/>
        <w:t xml:space="preserve">Informațiile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menționate la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definite la</w:t>
      </w:r>
      <w:r>
        <w:rPr>
          <w:noProof/>
        </w:rPr>
        <w:t xml:space="preserve"> prezentul articol alineatul </w:t>
      </w:r>
      <w:r>
        <w:rPr>
          <w:rStyle w:val="CRMinorChangeAdded"/>
          <w:noProof/>
        </w:rPr>
        <w:t>(5)</w:t>
      </w:r>
      <w:r>
        <w:rPr>
          <w:noProof/>
        </w:rPr>
        <w:t xml:space="preserve"> </w:t>
      </w:r>
      <w:r>
        <w:rPr>
          <w:rStyle w:val="CRDeleted"/>
          <w:noProof/>
        </w:rPr>
        <w:t>(6)</w:t>
      </w:r>
      <w:r>
        <w:rPr>
          <w:noProof/>
        </w:rPr>
        <w:t xml:space="preserve"> literele (a), (b), (h) și (k) nu se comunică Comisiei.</w:t>
      </w:r>
    </w:p>
    <w:p>
      <w:pPr>
        <w:rPr>
          <w:noProof/>
          <w:highlight w:val="lightGray"/>
        </w:rPr>
      </w:pPr>
      <w:r>
        <w:rPr>
          <w:rStyle w:val="CRRefonteDeleted"/>
          <w:noProof/>
          <w:highlight w:val="lightGray"/>
        </w:rPr>
        <w:t>(9)</w:t>
      </w:r>
      <w:r>
        <w:rPr>
          <w:noProof/>
        </w:rPr>
        <w:tab/>
      </w:r>
      <w:r>
        <w:rPr>
          <w:rStyle w:val="CRRefonteDeleted"/>
          <w:noProof/>
          <w:highlight w:val="lightGray"/>
        </w:rPr>
        <w:t>Autoritatea competentă a statului membru vizat, identificată în temeiul alineatului (6) litera (j), confirmă, dacă este posibil prin mijloace electronice, primirea acestor informații autorității competente care le-a furnizat, fără întârziere și, în orice caz, în cel mult șapte zile lucrătoare de la primire. Această măsură se aplică până când registrul menționat la articolul 21 alineatul (5) devine funcțional.</w:t>
      </w:r>
    </w:p>
    <w:p>
      <w:pPr>
        <w:rPr>
          <w:noProof/>
        </w:rPr>
      </w:pPr>
      <w:r>
        <w:rPr>
          <w:rStyle w:val="CRMinorChangeAdded"/>
          <w:noProof/>
        </w:rPr>
        <w:t>(7)</w:t>
      </w:r>
      <w:r>
        <w:rPr>
          <w:rStyle w:val="CRMinorChangeDeleted"/>
          <w:noProof/>
        </w:rPr>
        <w:t>(10)</w:t>
      </w:r>
      <w:r>
        <w:rPr>
          <w:noProof/>
        </w:rPr>
        <w:tab/>
        <w:t xml:space="preserve">Statele membre pot, în conformitate cu articolul </w:t>
      </w:r>
      <w:r>
        <w:rPr>
          <w:rStyle w:val="CRMinorChangeAdded"/>
          <w:noProof/>
        </w:rPr>
        <w:t>17</w:t>
      </w:r>
      <w:r>
        <w:rPr>
          <w:rStyle w:val="CRMinorChangeDeleted"/>
          <w:noProof/>
        </w:rPr>
        <w:t>5</w:t>
      </w:r>
      <w:r>
        <w:rPr>
          <w:noProof/>
        </w:rPr>
        <w:t xml:space="preserve"> </w:t>
      </w:r>
      <w:r>
        <w:rPr>
          <w:rStyle w:val="CRRefonteDeleted"/>
          <w:noProof/>
          <w:highlight w:val="lightGray"/>
        </w:rPr>
        <w:t>și ținând seama de articolul 21 alineatul (4)</w:t>
      </w:r>
      <w:r>
        <w:rPr>
          <w:noProof/>
        </w:rPr>
        <w:t>, să solicite informații suplimentare, inclusiv textul integral al unei decizii fiscale anticipate cu aplicare transfrontalieră sau al unui acord prealabil privind prețul de transfer.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2016/881 articolul 1 punctul 2 (adaptat)</w:t>
      </w:r>
    </w:p>
    <w:bookmarkStart w:id="38" w:name="_Hlk218516394"/>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SectionTitle"/>
        <w:rPr>
          <w:rStyle w:val="CRMinorChangeAdded"/>
          <w:noProof/>
        </w:rPr>
      </w:pPr>
      <w:r>
        <w:rPr>
          <w:rStyle w:val="CRMinorChangeAdded"/>
          <w:noProof/>
        </w:rPr>
        <w:t xml:space="preserve">Secțiunea IV </w:t>
      </w:r>
    </w:p>
    <w:p>
      <w:pPr>
        <w:pStyle w:val="SectionTitle"/>
        <w:rPr>
          <w:rStyle w:val="CRMinorChangeAdded"/>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w:t>
      </w:r>
      <w:r>
        <w:rPr>
          <w:rStyle w:val="CRMinorChangeAdded"/>
          <w:noProof/>
        </w:rPr>
        <w:t>Schimbul automat</w:t>
      </w:r>
      <w:bookmarkEnd w:id="38"/>
      <w:r>
        <w:rPr>
          <w:rStyle w:val="CRMinorChangeAdded"/>
          <w:noProof/>
        </w:rPr>
        <w:t xml:space="preserve"> obligatoriu de informații cu privire la raportul pentru fiecare țară în parte</w:t>
      </w:r>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rStyle w:val="CRMinorChangeDeleted"/>
          <w:noProof/>
        </w:rPr>
        <w:t>Articolul 8aa</w:t>
      </w:r>
    </w:p>
    <w:p>
      <w:pPr>
        <w:pStyle w:val="Titrearticle"/>
        <w:rPr>
          <w:rStyle w:val="CRMinorChangeAdded"/>
          <w:noProof/>
          <w:u w:val="none"/>
        </w:rPr>
      </w:pPr>
      <w:r>
        <w:rPr>
          <w:rStyle w:val="CRMinorChangeAdded"/>
          <w:noProof/>
          <w:u w:val="none"/>
        </w:rPr>
        <w:t>Articolul 7</w:t>
      </w:r>
    </w:p>
    <w:p>
      <w:pPr>
        <w:pStyle w:val="NormalCentered"/>
        <w:keepNext/>
        <w:rPr>
          <w:b/>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Domeniu de aplicare și condiții</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keepNext/>
        <w:rPr>
          <w:noProof/>
        </w:rPr>
      </w:pPr>
      <w:r>
        <w:rPr>
          <w:noProof/>
        </w:rPr>
        <w:t>(1)</w:t>
      </w:r>
      <w:r>
        <w:rPr>
          <w:noProof/>
        </w:rPr>
        <w:tab/>
        <w:t xml:space="preserve">Fiecare stat membru ia măsurile necesare pentru a impune societății-mamă finale a unui grup de întreprinderi multinaționale care își are rezidența fiscală pe teritoriul său, sau oricărei alte entități raportoare în conformitate cu secțiunea II din anexa III, să prezinte un raport pentru fiecare țară în parte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utilizând formularul-tip adoptat în conformitate cu procedura prevăzută la articolul 43,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pentru fiecare an fiscal de raportare, în termen de 12 luni de la ultima zi a anului fiscal de raportare a grupului de întreprinderi multinaționale în conformitate cu secțiunea II din anexa III.</w:t>
      </w:r>
    </w:p>
    <w:p>
      <w:pPr>
        <w:rPr>
          <w:noProof/>
        </w:rPr>
      </w:pPr>
      <w:r>
        <w:rPr>
          <w:noProof/>
        </w:rPr>
        <w:t>(2)</w:t>
      </w:r>
      <w:r>
        <w:rPr>
          <w:noProof/>
        </w:rPr>
        <w:tab/>
        <w:t>Autoritatea competentă a unui stat membru în care a fost primit raportul pentru fiecare țară în parte în temeiul alineatului (1) comunică, prin intermediul schimbului automat și în termenul stabilit la alineatul (4), raportul pentru fiecare țară în parte oricărui alt stat membru în care, pe baza informațiilor din raportul pentru fiecare țară în parte, una sau mai multe entități constitutive din grupul de întreprinderi multinaționale al entității raportoare își au rezidența fiscală sau sunt supuse impozitării pentru activitatea economică desfășurată prin intermediul unui sediu permanent.</w:t>
      </w:r>
    </w:p>
    <w:p>
      <w:pPr>
        <w:rPr>
          <w:noProof/>
        </w:rPr>
      </w:pPr>
      <w:r>
        <w:rPr>
          <w:noProof/>
        </w:rPr>
        <w:t>(3)</w:t>
      </w:r>
      <w:r>
        <w:rPr>
          <w:noProof/>
        </w:rPr>
        <w:tab/>
        <w:t>Raportul pentru fiecare țară în parte trebuie să conțină următoarele informații cu privire la grupul de întreprinderi multinaționale:</w:t>
      </w:r>
    </w:p>
    <w:p>
      <w:pPr>
        <w:pStyle w:val="Point0"/>
        <w:rPr>
          <w:noProof/>
        </w:rPr>
      </w:pPr>
      <w:r>
        <w:rPr>
          <w:noProof/>
        </w:rPr>
        <w:tab/>
        <w:t>(a)</w:t>
      </w:r>
      <w:r>
        <w:rPr>
          <w:noProof/>
        </w:rPr>
        <w:tab/>
        <w:t>informații agregate referitoare la suma veniturilor, profitul (pierderile) anterioare impozitării veniturilor, impozitul pe venit plătit, impozitul pe venit acumulat, capitalul declarat, profitul nedistribuit, numărul de salariați și imobilizările corporale, altele decât numerarul sau echivalentele de numerar pentru fiecare jurisdicție în care își desfășoară activitatea grupul de întreprinderi multinaționale;</w:t>
      </w:r>
    </w:p>
    <w:p>
      <w:pPr>
        <w:pStyle w:val="Point0"/>
        <w:rPr>
          <w:noProof/>
        </w:rPr>
      </w:pPr>
      <w:r>
        <w:rPr>
          <w:noProof/>
        </w:rPr>
        <w:tab/>
        <w:t>(b)</w:t>
      </w:r>
      <w:r>
        <w:rPr>
          <w:noProof/>
        </w:rPr>
        <w:tab/>
        <w:t xml:space="preserve">identificarea fiecărei entități constitutive din grupul de întreprinderi multinaționale,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inclusiv NIF,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precizând jurisdicția în care își are rezidența fiscală respectiva entitate constitutivă și, în cazul în care este diferită de respectiva jurisdicție de rezidență fiscală, jurisdicția în temeiul legislației căreia este organizată respectiva entitate constitutivă și natura principalei sau principalelor activități economice ale respectivei entități constitutive.</w:t>
      </w:r>
    </w:p>
    <w:p>
      <w:pPr>
        <w:rPr>
          <w:noProof/>
        </w:rPr>
      </w:pPr>
      <w:r>
        <w:rPr>
          <w:noProof/>
        </w:rPr>
        <w:t>(4)</w:t>
      </w:r>
      <w:r>
        <w:rPr>
          <w:noProof/>
        </w:rPr>
        <w:tab/>
        <w:t xml:space="preserve">Comunicarea are loc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fără întârziere și în decurs de cel mult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în termen de</w:t>
      </w:r>
      <w:r>
        <w:rPr>
          <w:noProof/>
        </w:rPr>
        <w:t xml:space="preserve"> 15 luni de la ultima zi a anului fiscal al grupului de întreprinderi multinaționale la care se referă raportul pentru fiecare țară în parte. </w:t>
      </w:r>
      <w:r>
        <w:rPr>
          <w:rStyle w:val="CRDeleted"/>
          <w:noProof/>
        </w:rPr>
        <w:t xml:space="preserve">Primul raport pentru fiecare țară în parte se comunică pentru anul fiscal al grupului de întreprinderi multinaționale începând cu data de 1 ianuarie </w:t>
      </w:r>
      <w:r>
        <w:rPr>
          <w:rStyle w:val="CRDeleted"/>
          <w:noProof/>
        </w:rPr>
        <w:lastRenderedPageBreak/>
        <w:t>2016 sau ulterior acestei date, comunicare care are loc în termen de 18 luni de la ultima zi a anului fiscal respectiv.</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articolul 1 punctul 2 (adaptat)</w:t>
      </w:r>
    </w:p>
    <w:bookmarkStart w:id="39" w:name="_Hlk218516643"/>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SectionTitle"/>
        <w:rPr>
          <w:rStyle w:val="CRMinorChangeAdded"/>
          <w:noProof/>
        </w:rPr>
      </w:pPr>
      <w:r>
        <w:rPr>
          <w:rStyle w:val="CRMinorChangeAdded"/>
          <w:noProof/>
        </w:rPr>
        <w:t>Secțiunea V</w:t>
      </w:r>
    </w:p>
    <w:p>
      <w:pPr>
        <w:pStyle w:val="SectionTitle"/>
        <w:rPr>
          <w:rStyle w:val="CRMinorChangeAdded"/>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Schimbul automat obligatoriu</w:t>
      </w:r>
      <w:bookmarkEnd w:id="39"/>
      <w:r>
        <w:rPr>
          <w:noProof/>
        </w:rPr>
        <w:t xml:space="preserve"> de informații cu privire la modalitățile transfrontaliere care fac obiectul raportării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rStyle w:val="CRDeleted"/>
          <w:noProof/>
        </w:rPr>
        <w:t>Articolul 8ab</w:t>
      </w:r>
    </w:p>
    <w:p>
      <w:pPr>
        <w:pStyle w:val="NormalCentered"/>
        <w:rPr>
          <w:b/>
          <w:bCs/>
          <w:noProof/>
        </w:rPr>
      </w:pPr>
      <w:r>
        <w:rPr>
          <w:rStyle w:val="CRDeleted"/>
          <w:b/>
          <w:noProof/>
        </w:rPr>
        <w:t>Domeniul de aplicare și condițiile schimbului automat obligatoriu de informații cu privire la modalitățile transfrontaliere care fac obiectul raportării</w:t>
      </w:r>
    </w:p>
    <w:p>
      <w:pPr>
        <w:pStyle w:val="Titrearticle"/>
        <w:rPr>
          <w:rStyle w:val="CRMinorChangeAdded"/>
          <w:noProof/>
          <w:u w:val="none"/>
        </w:rPr>
      </w:pPr>
      <w:r>
        <w:rPr>
          <w:rStyle w:val="CRMinorChangeAdded"/>
          <w:noProof/>
          <w:u w:val="none"/>
        </w:rPr>
        <w:t>Articolul 8</w:t>
      </w:r>
    </w:p>
    <w:p>
      <w:pPr>
        <w:pStyle w:val="NormalCentered"/>
        <w:rPr>
          <w:b/>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Domeniu de aplicare și condiții</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noProof/>
        </w:rPr>
        <w:t>(1)</w:t>
      </w:r>
      <w:r>
        <w:rPr>
          <w:noProof/>
        </w:rPr>
        <w:tab/>
        <w:t xml:space="preserve">Fiecare stat membru ia măsurile necesare pentru a impune intermediarilor să depună la autoritățile competente informațiile aflate la cunoștința, în posesia sau sub controlul lor cu privire la modalitățile transfrontaliere care fac obiectul raportării, în termen de </w:t>
      </w:r>
      <w:r>
        <w:rPr>
          <w:rStyle w:val="CRRefonteDeleted"/>
          <w:noProof/>
          <w:highlight w:val="lightGray"/>
        </w:rPr>
        <w:t>30</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90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de zile începând</w:t>
      </w:r>
      <w:r>
        <w:rPr>
          <w:rStyle w:val="CRMinorChangeDeleted"/>
          <w:noProof/>
        </w:rPr>
        <w:t>:</w:t>
      </w:r>
    </w:p>
    <w:p>
      <w:pPr>
        <w:pStyle w:val="Point0"/>
        <w:rPr>
          <w:noProof/>
          <w:highlight w:val="lightGray"/>
        </w:rPr>
      </w:pPr>
      <w:r>
        <w:rPr>
          <w:noProof/>
        </w:rPr>
        <w:tab/>
      </w:r>
      <w:r>
        <w:rPr>
          <w:rStyle w:val="CRRefonteDeleted"/>
          <w:noProof/>
          <w:highlight w:val="lightGray"/>
        </w:rPr>
        <w:t>(a)</w:t>
      </w:r>
      <w:r>
        <w:rPr>
          <w:noProof/>
        </w:rPr>
        <w:tab/>
      </w:r>
      <w:r>
        <w:rPr>
          <w:rStyle w:val="CRRefonteDeleted"/>
          <w:noProof/>
          <w:highlight w:val="lightGray"/>
        </w:rPr>
        <w:t>din ziua următoare datei la care modalitatea transfrontalieră care face obiectul raportării este pusă la dispoziție în vederea implementării; sau</w:t>
      </w:r>
    </w:p>
    <w:p>
      <w:pPr>
        <w:pStyle w:val="Point0"/>
        <w:rPr>
          <w:noProof/>
          <w:highlight w:val="lightGray"/>
        </w:rPr>
      </w:pPr>
      <w:r>
        <w:rPr>
          <w:noProof/>
        </w:rPr>
        <w:tab/>
      </w:r>
      <w:r>
        <w:rPr>
          <w:rStyle w:val="CRRefonteDeleted"/>
          <w:noProof/>
          <w:highlight w:val="lightGray"/>
        </w:rPr>
        <w:t>(b)</w:t>
      </w:r>
      <w:r>
        <w:rPr>
          <w:noProof/>
        </w:rPr>
        <w:tab/>
      </w:r>
      <w:r>
        <w:rPr>
          <w:rStyle w:val="CRRefonteDeleted"/>
          <w:noProof/>
          <w:highlight w:val="lightGray"/>
        </w:rPr>
        <w:t>din ziua următoare datei la care modalitatea transfrontalieră care face obiectul raportării este pregătită pentru implementare; sau</w:t>
      </w:r>
    </w:p>
    <w:p>
      <w:pPr>
        <w:pStyle w:val="Point0"/>
        <w:rPr>
          <w:noProof/>
        </w:rPr>
      </w:pPr>
      <w:r>
        <w:rPr>
          <w:noProof/>
        </w:rPr>
        <w:tab/>
      </w:r>
      <w:r>
        <w:rPr>
          <w:rStyle w:val="CRMinorChangeDeleted"/>
          <w:noProof/>
        </w:rPr>
        <w:t>(c)</w:t>
      </w:r>
      <w:r>
        <w:rPr>
          <w:noProof/>
        </w:rPr>
        <w:tab/>
        <w:t>din momentul în care a fost făcut primul pas în procesul de implementare a modalității transfrontaliere care face obiectul raportării</w:t>
      </w:r>
      <w:r>
        <w:rPr>
          <w:rStyle w:val="CRMinorChangeAdded"/>
          <w:noProof/>
        </w:rPr>
        <w:t>.</w:t>
      </w:r>
      <w:r>
        <w:rPr>
          <w:rStyle w:val="CRMinorChangeDeleted"/>
          <w:noProof/>
        </w:rPr>
        <w:t>,</w:t>
      </w:r>
    </w:p>
    <w:p>
      <w:pPr>
        <w:rPr>
          <w:noProof/>
          <w:highlight w:val="lightGray"/>
        </w:rPr>
      </w:pPr>
      <w:r>
        <w:rPr>
          <w:rStyle w:val="CRRefonteDeleted"/>
          <w:noProof/>
          <w:highlight w:val="lightGray"/>
        </w:rPr>
        <w:t>oricare dintre aceste momente survine mai întâi.</w:t>
      </w:r>
    </w:p>
    <w:p>
      <w:pPr>
        <w:rPr>
          <w:noProof/>
          <w:highlight w:val="lightGray"/>
        </w:rPr>
      </w:pPr>
      <w:r>
        <w:rPr>
          <w:rStyle w:val="CRRefonteDeleted"/>
          <w:noProof/>
          <w:highlight w:val="lightGray"/>
        </w:rPr>
        <w:t>În pofida primului paragraf, intermediarii menționați la articolul 3 punctul 21 al doilea paragraf au, de asemenea, obligația de a depune informații în termen de 30 de zile începând din ziua următoare datei la care au furnizat ajutor, asistență sau consiliere, în mod direct sau prin intermediul altor persoane.</w:t>
      </w:r>
    </w:p>
    <w:p>
      <w:pPr>
        <w:rPr>
          <w:noProof/>
          <w:highlight w:val="lightGray"/>
        </w:rPr>
      </w:pPr>
      <w:r>
        <w:rPr>
          <w:rStyle w:val="CRRefonteDeleted"/>
          <w:noProof/>
          <w:highlight w:val="lightGray"/>
        </w:rPr>
        <w:t>(2)</w:t>
      </w:r>
      <w:r>
        <w:rPr>
          <w:noProof/>
        </w:rPr>
        <w:tab/>
      </w:r>
      <w:r>
        <w:rPr>
          <w:rStyle w:val="CRRefonteDeleted"/>
          <w:noProof/>
          <w:highlight w:val="lightGray"/>
        </w:rPr>
        <w:t>În cazul modalităților comercializabile, statele membre iau măsurile necesare pentru a impune intermediarului să întocmească un raport periodic, la fiecare trei luni, prin care să furnizeze o variantă actualizată care să conțină noile informații care fac obiectul raportării, menționate la punctul 14 literele (a), (d), (g) și (h), care au devenit disponibile de la depunerea ultimului raport.</w:t>
      </w:r>
    </w:p>
    <w:p>
      <w:pPr>
        <w:rPr>
          <w:noProof/>
        </w:rPr>
      </w:pPr>
      <w:r>
        <w:rPr>
          <w:rStyle w:val="CRMinorChangeAdded"/>
          <w:noProof/>
        </w:rPr>
        <w:t>(2)</w:t>
      </w:r>
      <w:r>
        <w:rPr>
          <w:rStyle w:val="CRMinorChangeDeleted"/>
          <w:noProof/>
        </w:rPr>
        <w:t>(3)</w:t>
      </w:r>
      <w:r>
        <w:rPr>
          <w:noProof/>
        </w:rPr>
        <w:tab/>
        <w:t>În cazul în care intermediarul are răspunderea de a depune informații cu privire la modalitățile transfrontaliere care fac obiectul raportării la autoritățile competente din mai multe state membre, aceste informații se depun numai în statul membru care ocupă primul loc în lista de mai jos:</w:t>
      </w:r>
    </w:p>
    <w:p>
      <w:pPr>
        <w:pStyle w:val="Point0"/>
        <w:rPr>
          <w:noProof/>
        </w:rPr>
      </w:pPr>
      <w:r>
        <w:rPr>
          <w:noProof/>
        </w:rPr>
        <w:tab/>
        <w:t>(a)</w:t>
      </w:r>
      <w:r>
        <w:rPr>
          <w:noProof/>
        </w:rPr>
        <w:tab/>
        <w:t>statul membru în care intermediarul își are rezidența fiscală;</w:t>
      </w:r>
    </w:p>
    <w:p>
      <w:pPr>
        <w:pStyle w:val="Point0"/>
        <w:rPr>
          <w:noProof/>
        </w:rPr>
      </w:pPr>
      <w:r>
        <w:rPr>
          <w:noProof/>
        </w:rPr>
        <w:lastRenderedPageBreak/>
        <w:tab/>
        <w:t>(b)</w:t>
      </w:r>
      <w:r>
        <w:rPr>
          <w:noProof/>
        </w:rPr>
        <w:tab/>
        <w:t>statul membru în care intermediarul are un sediu permanent prin intermediul căruia sunt furnizate serviciile legate de modalitatea în cauză;</w:t>
      </w:r>
    </w:p>
    <w:p>
      <w:pPr>
        <w:pStyle w:val="Point0"/>
        <w:rPr>
          <w:noProof/>
        </w:rPr>
      </w:pPr>
      <w:r>
        <w:rPr>
          <w:noProof/>
        </w:rPr>
        <w:tab/>
        <w:t>(c)</w:t>
      </w:r>
      <w:r>
        <w:rPr>
          <w:noProof/>
        </w:rPr>
        <w:tab/>
        <w:t>statul membru în care intermediarul este constituit sau de a cărui legislație este reglementat;</w:t>
      </w:r>
    </w:p>
    <w:p>
      <w:pPr>
        <w:pStyle w:val="Point0"/>
        <w:rPr>
          <w:noProof/>
        </w:rPr>
      </w:pPr>
      <w:r>
        <w:rPr>
          <w:noProof/>
        </w:rPr>
        <w:tab/>
        <w:t>(d)</w:t>
      </w:r>
      <w:r>
        <w:rPr>
          <w:noProof/>
        </w:rPr>
        <w:tab/>
        <w:t>statul membru în care intermediarul este înregistrat într-o asociație profesională legată de servicii juridice, fiscale sau de consultanță.</w:t>
      </w:r>
    </w:p>
    <w:p>
      <w:pPr>
        <w:rPr>
          <w:noProof/>
        </w:rPr>
      </w:pPr>
      <w:r>
        <w:rPr>
          <w:rStyle w:val="CRMinorChangeAdded"/>
          <w:noProof/>
        </w:rPr>
        <w:t>(3)</w:t>
      </w:r>
      <w:r>
        <w:rPr>
          <w:rStyle w:val="CRMinorChangeDeleted"/>
          <w:noProof/>
        </w:rPr>
        <w:t>(4)</w:t>
      </w:r>
      <w:r>
        <w:rPr>
          <w:noProof/>
        </w:rPr>
        <w:tab/>
        <w:t xml:space="preserve">În cazul în care, în temeiul alineatului </w:t>
      </w:r>
      <w:r>
        <w:rPr>
          <w:rStyle w:val="CRMinorChangeAdded"/>
          <w:noProof/>
        </w:rPr>
        <w:t>(2)</w:t>
      </w:r>
      <w:r>
        <w:rPr>
          <w:rStyle w:val="CRMinorChangeDeleted"/>
          <w:noProof/>
        </w:rPr>
        <w:t>(3)</w:t>
      </w:r>
      <w:r>
        <w:rPr>
          <w:noProof/>
        </w:rPr>
        <w:t>, există o obligație de raportare multiplă, intermediarul este exonerat de depunerea informațiilor dacă deține dovada, în conformitate cu dreptul intern, că aceleași informații au fost depuse într-un alt stat membru.</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4 litera (a) (adaptat)</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rStyle w:val="CRMinorChangeAdded"/>
          <w:noProof/>
        </w:rPr>
        <w:t>(4)</w:t>
      </w:r>
      <w:r>
        <w:rPr>
          <w:rStyle w:val="CRMinorChangeDeleted"/>
          <w:noProof/>
        </w:rPr>
        <w:t>(5)</w:t>
      </w:r>
      <w:r>
        <w:rPr>
          <w:noProof/>
        </w:rPr>
        <w:tab/>
        <w:t xml:space="preserve">Fiecare stat membru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ia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poate lua</w:t>
      </w:r>
      <w:r>
        <w:rPr>
          <w:noProof/>
        </w:rPr>
        <w:t xml:space="preserve"> măsurile necesare pentru a acorda intermediarilor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care sunt avocați și alți profesioniști autorizați legal să asigure reprezentarea juridică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dreptul la o derogare de la depunerea informațiilor cu privire la o modalitate transfrontalieră care face obiectul raportării în cazul în care obligația de raportare ar încălca privilegiul profesional legal în temeiul dreptului intern al statului membru respectiv. </w:t>
      </w:r>
    </w:p>
    <w:p>
      <w:pPr>
        <w:rPr>
          <w:noProof/>
        </w:rPr>
      </w:pPr>
      <w:r>
        <w:rPr>
          <w:rStyle w:val="CRRefonteDeleted"/>
          <w:noProof/>
          <w:highlight w:val="lightGray"/>
        </w:rPr>
        <w:t>În aceste circumstanțe,</w:t>
      </w:r>
      <w:r>
        <w:rPr>
          <w:noProof/>
        </w:rPr>
        <w:t xml:space="preserve"> </w:t>
      </w:r>
      <w:r>
        <w:rPr>
          <w:rStyle w:val="CRMinorChangeAdded"/>
          <w:noProof/>
        </w:rPr>
        <w:t>F</w:t>
      </w:r>
      <w:r>
        <w:rPr>
          <w:rStyle w:val="CRMinorChangeDeleted"/>
          <w:noProof/>
        </w:rPr>
        <w:t>f</w:t>
      </w:r>
      <w:r>
        <w:rPr>
          <w:noProof/>
        </w:rPr>
        <w:t xml:space="preserve">iecare stat membru ia măsurile necesare pentru a impune </w:t>
      </w:r>
      <w:r>
        <w:rPr>
          <w:rStyle w:val="CRRefonteDeleted"/>
          <w:noProof/>
          <w:highlight w:val="lightGray"/>
        </w:rPr>
        <w:t>tuturor</w:t>
      </w:r>
      <w:r>
        <w:rPr>
          <w:noProof/>
        </w:rPr>
        <w:t xml:space="preserve"> intermediarilor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care au exercitat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cărora li s-a acordat</w:t>
      </w:r>
      <w:r>
        <w:rPr>
          <w:noProof/>
        </w:rPr>
        <w:t xml:space="preserve"> o derogare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pe baza faptului că își desfășoară activitățile profesionale sub unul dintre titlurile profesionale menționate la articolul 1 alineatul (2) litera (a) din Directiva 98/5/CE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să își notifice fără întârziere clientul, în cazul în care respectivul client este un intermediar sau, dacă nu există un astfel de intermediar, în cazul în care clientul respectiv este contribuabilul relevant,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legătură cu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obligațiile de raportare care îi revin în temeiul alineatului (6).</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rPr>
          <w:noProof/>
        </w:rPr>
      </w:pPr>
      <w:r>
        <w:rPr>
          <w:noProof/>
          <w:highlight w:val="lightGray"/>
        </w:rPr>
        <w:t>În pofida celui de al doilea paragraf de la prezentul alineat, fiecare stat membru ia măsurile necesare pentru a impune altor intermediari care sunt autorizați legal să asigure reprezentarea juridică, dar care nu își desfășoară activitățile profesionale sub unul dintre titlurile profesionale menționate la articolul 1 alineatul (2) litera (a) din Directiva 98/5/CE, să notifice, fără întârziere, oricărui alt intermediar sau, în cazul în care nu există un astfel de intermediar, contribuabilului relevant, obligațiile de raportare care îi revin în temeiul alineatului (6).</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articolul 1 punctul 2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(5)</w:t>
      </w:r>
      <w:r>
        <w:rPr>
          <w:noProof/>
        </w:rPr>
        <w:tab/>
        <w:t xml:space="preserve">Intermediarii nu pot beneficia de o derogare în temeiul </w:t>
      </w:r>
      <w:r>
        <w:rPr>
          <w:rStyle w:val="CRMinorChangeDeleted"/>
          <w:noProof/>
        </w:rPr>
        <w:t>primului paragraf</w:t>
      </w:r>
      <w:r>
        <w:rPr>
          <w:noProof/>
        </w:rPr>
        <w:t xml:space="preserve"> </w:t>
      </w:r>
      <w:r>
        <w:rPr>
          <w:rStyle w:val="CRMinorChangeAdded"/>
          <w:noProof/>
        </w:rPr>
        <w:t>alineatului (4)</w:t>
      </w:r>
      <w:r>
        <w:rPr>
          <w:noProof/>
        </w:rPr>
        <w:t xml:space="preserve"> decât în măsura în care își desfășoară activitatea în limitele legilor naționale relevante care le definesc profesia.</w:t>
      </w:r>
    </w:p>
    <w:p>
      <w:pPr>
        <w:rPr>
          <w:noProof/>
        </w:rPr>
      </w:pPr>
      <w:r>
        <w:rPr>
          <w:noProof/>
        </w:rPr>
        <w:t>(6)</w:t>
      </w:r>
      <w:r>
        <w:rPr>
          <w:noProof/>
        </w:rPr>
        <w:tab/>
        <w:t xml:space="preserve">Fiecare stat membru ia măsurile necesare pentru a impune ca, în cazul în care nu există niciun intermediar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în momentul în care a fost făcut primul pas în procesul de implementare a modalității transfrontaliere care face obiectul raportării,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sau în care intermediarul informează contribuabilul relevant sau un alt intermediar cu privire la aplicarea unei derogări în temeiul alineatului </w:t>
      </w:r>
      <w:r>
        <w:rPr>
          <w:rStyle w:val="CRMinorChangeAdded"/>
          <w:noProof/>
        </w:rPr>
        <w:t>(4)</w:t>
      </w:r>
      <w:r>
        <w:rPr>
          <w:noProof/>
        </w:rPr>
        <w:t xml:space="preserve"> </w:t>
      </w:r>
      <w:r>
        <w:rPr>
          <w:rStyle w:val="CRMinorChangeDeleted"/>
          <w:noProof/>
        </w:rPr>
        <w:t>(5)</w:t>
      </w:r>
      <w:r>
        <w:rPr>
          <w:noProof/>
        </w:rPr>
        <w:t xml:space="preserve">, obligația de depunere a informațiilor cu privire la </w:t>
      </w:r>
      <w:r>
        <w:rPr>
          <w:noProof/>
        </w:rPr>
        <w:lastRenderedPageBreak/>
        <w:t xml:space="preserve">o modalitate transfrontalieră care face obiectul raportării </w:t>
      </w:r>
      <w:r>
        <w:rPr>
          <w:rStyle w:val="CRMinorChangeDeleted"/>
          <w:noProof/>
        </w:rPr>
        <w:t>revine</w:t>
      </w:r>
      <w:r>
        <w:rPr>
          <w:noProof/>
        </w:rPr>
        <w:t xml:space="preserve"> </w:t>
      </w:r>
      <w:r>
        <w:rPr>
          <w:rStyle w:val="CRMinorChangeAdded"/>
          <w:noProof/>
        </w:rPr>
        <w:t>să revină</w:t>
      </w:r>
      <w:r>
        <w:rPr>
          <w:noProof/>
        </w:rPr>
        <w:t xml:space="preserve"> celuilalt intermediar informat sau, dacă acesta nu există, contribuabilului relevant.</w:t>
      </w:r>
    </w:p>
    <w:p>
      <w:pPr>
        <w:rPr>
          <w:noProof/>
        </w:rPr>
      </w:pPr>
      <w:r>
        <w:rPr>
          <w:noProof/>
        </w:rPr>
        <w:t>(7)</w:t>
      </w:r>
      <w:r>
        <w:rPr>
          <w:noProof/>
        </w:rPr>
        <w:tab/>
        <w:t xml:space="preserve">Contribuabilul relevant căruia îi revine obligația de raportare depune informațiile în termen de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90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30</w:t>
      </w:r>
      <w:r>
        <w:rPr>
          <w:noProof/>
        </w:rPr>
        <w:t xml:space="preserve"> de zile începând din ziua </w:t>
      </w:r>
      <w:r>
        <w:rPr>
          <w:rStyle w:val="CRRefonteDeleted"/>
          <w:noProof/>
          <w:highlight w:val="lightGray"/>
        </w:rPr>
        <w:t>următoare datei la care modalitatea transfrontalieră care face obiectul raportării este pusă la dispoziția respectivului contribuabil relevant în vederea implementării sau este pregătită pentru implementarea de către contribuabilul relevant sau din momentul</w:t>
      </w:r>
      <w:r>
        <w:rPr>
          <w:noProof/>
        </w:rPr>
        <w:t xml:space="preserve"> în care a fost făcut primul pas în procesul de implementare legat de contribuabilul relevant</w:t>
      </w:r>
      <w:r>
        <w:rPr>
          <w:rStyle w:val="CRRefonteDeleted"/>
          <w:noProof/>
          <w:highlight w:val="lightGray"/>
        </w:rPr>
        <w:t>, oricare dintre aceste momente survine mai întâi</w:t>
      </w:r>
      <w:r>
        <w:rPr>
          <w:noProof/>
        </w:rPr>
        <w:t>.</w:t>
      </w:r>
    </w:p>
    <w:p>
      <w:pPr>
        <w:rPr>
          <w:noProof/>
        </w:rPr>
      </w:pPr>
      <w:r>
        <w:rPr>
          <w:noProof/>
        </w:rPr>
        <w:t>În cazul în care contribuabilul relevant are obligația de a depune informații privind modalitatea transfrontalieră care face obiectul raportării la autoritățile competente din mai multe state membre, aceste informații se depun numai la autoritățile competente din statul membru care ocupă primul loc în lista de mai jos:</w:t>
      </w:r>
    </w:p>
    <w:p>
      <w:pPr>
        <w:pStyle w:val="Point0"/>
        <w:rPr>
          <w:noProof/>
        </w:rPr>
      </w:pPr>
      <w:r>
        <w:rPr>
          <w:noProof/>
        </w:rPr>
        <w:tab/>
        <w:t>(a)</w:t>
      </w:r>
      <w:r>
        <w:rPr>
          <w:noProof/>
        </w:rPr>
        <w:tab/>
        <w:t>statul membru în care contribuabilul relevant își are rezidența fiscală;</w:t>
      </w:r>
    </w:p>
    <w:p>
      <w:pPr>
        <w:pStyle w:val="Point0"/>
        <w:rPr>
          <w:noProof/>
        </w:rPr>
      </w:pPr>
      <w:r>
        <w:rPr>
          <w:noProof/>
        </w:rPr>
        <w:tab/>
        <w:t>(b)</w:t>
      </w:r>
      <w:r>
        <w:rPr>
          <w:noProof/>
        </w:rPr>
        <w:tab/>
        <w:t>statul membru în care contribuabilul relevant are un sediu permanent care beneficiază de modalitatea în cauză;</w:t>
      </w:r>
    </w:p>
    <w:p>
      <w:pPr>
        <w:pStyle w:val="Point0"/>
        <w:rPr>
          <w:noProof/>
        </w:rPr>
      </w:pPr>
      <w:r>
        <w:rPr>
          <w:noProof/>
        </w:rPr>
        <w:tab/>
        <w:t>(c)</w:t>
      </w:r>
      <w:r>
        <w:rPr>
          <w:noProof/>
        </w:rPr>
        <w:tab/>
        <w:t>statul membru în care contribuabilul relevant obține venituri sau generează profituri, deși nu își are rezidența fiscală și nici nu are un sediu permanent în niciun stat membru;</w:t>
      </w:r>
    </w:p>
    <w:p>
      <w:pPr>
        <w:pStyle w:val="Point0"/>
        <w:rPr>
          <w:noProof/>
        </w:rPr>
      </w:pPr>
      <w:r>
        <w:rPr>
          <w:noProof/>
        </w:rPr>
        <w:tab/>
        <w:t>(d)</w:t>
      </w:r>
      <w:r>
        <w:rPr>
          <w:noProof/>
        </w:rPr>
        <w:tab/>
        <w:t>statul membru în care contribuabilul relevant desfășoară o activitate, deși nu își are rezidența fiscală și nici nu are un sediu permanent în niciun stat membru.</w:t>
      </w:r>
    </w:p>
    <w:p>
      <w:pPr>
        <w:rPr>
          <w:noProof/>
        </w:rPr>
      </w:pPr>
      <w:r>
        <w:rPr>
          <w:noProof/>
        </w:rPr>
        <w:t>(8)</w:t>
      </w:r>
      <w:r>
        <w:rPr>
          <w:noProof/>
        </w:rPr>
        <w:tab/>
        <w:t>În cazul în care, în temeiul alineatului (7), există o obligație de raportare multiplă, contribuabilul relevant este exonerat de depunerea informațiilor dacă deține dovada, în conformitate cu dreptul intern, că aceleași informații au fost depuse într-un alt stat membru.</w:t>
      </w:r>
    </w:p>
    <w:p>
      <w:pPr>
        <w:rPr>
          <w:noProof/>
        </w:rPr>
      </w:pPr>
      <w:r>
        <w:rPr>
          <w:noProof/>
        </w:rPr>
        <w:t>(9)</w:t>
      </w:r>
      <w:r>
        <w:rPr>
          <w:noProof/>
        </w:rPr>
        <w:tab/>
        <w:t>Fiecare stat membru ia măsurile necesare pentru a impune ca, în cazul în care există mai mulți intermediari, obligația de depunere a informațiilor cu privire la modalitatea transfrontalieră care face obiectul raportării revine tuturor intermediarilor implicați în aceeași modalitate transfrontalieră care face obiectul raportării.</w:t>
      </w:r>
    </w:p>
    <w:p>
      <w:pPr>
        <w:rPr>
          <w:noProof/>
        </w:rPr>
      </w:pPr>
      <w:r>
        <w:rPr>
          <w:noProof/>
        </w:rPr>
        <w:t xml:space="preserve">Un intermediar este exonerat de depunerea informațiilor numai dacă are o dovadă, în conformitate cu dreptul intern, că aceleași informații menționate la alineatul </w:t>
      </w:r>
      <w:r>
        <w:rPr>
          <w:rStyle w:val="CRMinorChangeAdded"/>
          <w:noProof/>
        </w:rPr>
        <w:t>(13)</w:t>
      </w:r>
      <w:r>
        <w:rPr>
          <w:rStyle w:val="CRMinorChangeDeleted"/>
          <w:noProof/>
        </w:rPr>
        <w:t>(14)</w:t>
      </w:r>
      <w:r>
        <w:rPr>
          <w:noProof/>
        </w:rPr>
        <w:t xml:space="preserve"> au fost depuse deja de un alt intermediar.</w:t>
      </w:r>
    </w:p>
    <w:p>
      <w:pPr>
        <w:rPr>
          <w:noProof/>
        </w:rPr>
      </w:pPr>
      <w:r>
        <w:rPr>
          <w:noProof/>
        </w:rPr>
        <w:t>(10)</w:t>
      </w:r>
      <w:r>
        <w:rPr>
          <w:noProof/>
        </w:rPr>
        <w:tab/>
        <w:t>Fiecare stat membru ia măsurile necesare pentru a impune ca, în cazul în care obligația de raportare revine contribuabilului relevant și în cazul în care există mai mulți contribuabili relevanți, contribuabilul relevant care depune informațiile în conformitate cu alineatul (6) să fie cel care ocupă primul loc în lista de mai jos:</w:t>
      </w:r>
    </w:p>
    <w:p>
      <w:pPr>
        <w:pStyle w:val="Point0"/>
        <w:rPr>
          <w:noProof/>
        </w:rPr>
      </w:pPr>
      <w:r>
        <w:rPr>
          <w:noProof/>
        </w:rPr>
        <w:tab/>
        <w:t>(a)</w:t>
      </w:r>
      <w:r>
        <w:rPr>
          <w:noProof/>
        </w:rPr>
        <w:tab/>
        <w:t>contribuabilul relevant care a convenit cu intermediarul cu privire la modalitatea transfrontalieră care face obiectul raportării;</w:t>
      </w:r>
    </w:p>
    <w:p>
      <w:pPr>
        <w:pStyle w:val="Point0"/>
        <w:rPr>
          <w:noProof/>
        </w:rPr>
      </w:pPr>
      <w:r>
        <w:rPr>
          <w:noProof/>
        </w:rPr>
        <w:tab/>
        <w:t>(b)</w:t>
      </w:r>
      <w:r>
        <w:rPr>
          <w:noProof/>
        </w:rPr>
        <w:tab/>
        <w:t>contribuabilul relevant care gestionează implementarea modalității.</w:t>
      </w:r>
    </w:p>
    <w:p>
      <w:pPr>
        <w:rPr>
          <w:noProof/>
        </w:rPr>
      </w:pPr>
      <w:r>
        <w:rPr>
          <w:noProof/>
        </w:rPr>
        <w:t>Orice contribuabil relevant este exonerat de depunerea informațiilor numai dacă deține dovada, în conformitate cu dreptul intern, că aceleași informații menționate la alineatul (13) au fost depuse deja de un alt contribuabil relevant.</w:t>
      </w:r>
    </w:p>
    <w:p>
      <w:pPr>
        <w:rPr>
          <w:noProof/>
        </w:rPr>
      </w:pPr>
      <w:r>
        <w:rPr>
          <w:noProof/>
        </w:rPr>
        <w:t>(11)</w:t>
      </w:r>
      <w:r>
        <w:rPr>
          <w:noProof/>
        </w:rPr>
        <w:tab/>
        <w:t xml:space="preserve">Fiecare stat membru poate lua măsurile necesare pentru a impune fiecărui contribuabil relevant </w:t>
      </w:r>
      <w:r>
        <w:rPr>
          <w:rStyle w:val="CRDeleted"/>
          <w:noProof/>
        </w:rPr>
        <w:t>depune la autoritatea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să depună la administrația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fiscală informațiile cu privire </w:t>
      </w:r>
      <w:r>
        <w:rPr>
          <w:noProof/>
        </w:rPr>
        <w:lastRenderedPageBreak/>
        <w:t>la utilizarea modalității transfrontaliere raportabile care face obiectul raportării în fiecare an în care aceasta a fost utilizată.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Rectificare, JO L 031, 1.2.2019, p. 108 (adaptat)</w:t>
      </w:r>
    </w:p>
    <w:p>
      <w:pPr>
        <w:rPr>
          <w:noProof/>
        </w:rPr>
      </w:pPr>
      <w:r>
        <w:rPr>
          <w:rStyle w:val="CRDeleted"/>
          <w:noProof/>
        </w:rPr>
        <w:t>(12)</w:t>
      </w:r>
      <w:r>
        <w:rPr>
          <w:noProof/>
        </w:rPr>
        <w:tab/>
      </w:r>
      <w:r>
        <w:rPr>
          <w:rStyle w:val="CRDeleted"/>
          <w:noProof/>
        </w:rPr>
        <w:t>Fiecare stat membru ia măsurile necesare pentru a le impune intermediarilor și contribuabililor relevanți să depună informațiile cu privire la modalitățile transfrontaliere care fac obiectul raportării a căror primă etapă a fost implementată între 25 iunie 2018 și 30 iunie 2020. Intermediarii și contribuabilii relevanți, după caz, depun informațiile cu privire la respectivele modalitățile transfrontaliere care fac obiectul raportării până la 31 august 2020.</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articolul 1 punctul 2 (adaptat)</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rStyle w:val="CRMinorChangeAdded"/>
          <w:noProof/>
        </w:rPr>
        <w:t>(12)</w:t>
      </w:r>
      <w:r>
        <w:rPr>
          <w:rStyle w:val="CRMinorChangeDeleted"/>
          <w:noProof/>
        </w:rPr>
        <w:t>(13)</w:t>
      </w:r>
      <w:r>
        <w:rPr>
          <w:noProof/>
        </w:rPr>
        <w:tab/>
        <w:t xml:space="preserve">Autoritatea competentă a unui stat membru în care au fost depuse informațiile în conformitate cu alineatele (1)-(11) </w:t>
      </w:r>
      <w:r>
        <w:rPr>
          <w:rStyle w:val="CRDeleted"/>
          <w:noProof/>
        </w:rPr>
        <w:t>din prezentul articol</w:t>
      </w:r>
      <w:r>
        <w:rPr>
          <w:noProof/>
        </w:rPr>
        <w:t xml:space="preserve"> comunică, prin intermediul unui schimb automat, informațiile precizate la alineatul </w:t>
      </w:r>
      <w:r>
        <w:rPr>
          <w:rStyle w:val="CRMinorChangeAdded"/>
          <w:noProof/>
        </w:rPr>
        <w:t>(13)</w:t>
      </w:r>
      <w:r>
        <w:rPr>
          <w:rStyle w:val="CRMinorChangeDeleted"/>
          <w:noProof/>
        </w:rPr>
        <w:t>(14)</w:t>
      </w:r>
      <w:r>
        <w:rPr>
          <w:noProof/>
        </w:rPr>
        <w:t xml:space="preserve"> </w:t>
      </w:r>
      <w:r>
        <w:rPr>
          <w:rStyle w:val="CRDeleted"/>
          <w:noProof/>
        </w:rPr>
        <w:t>din prezentul articol</w:t>
      </w:r>
      <w:r>
        <w:rPr>
          <w:noProof/>
        </w:rPr>
        <w:t xml:space="preserve"> către autoritățile competente din toate celelalte state membre</w:t>
      </w:r>
      <w:r>
        <w:rPr>
          <w:rStyle w:val="CRRefonteDeleted"/>
          <w:noProof/>
          <w:highlight w:val="lightGray"/>
        </w:rPr>
        <w:t xml:space="preserve">, în conformitate cu modalitățile practice adoptate în temeiul articolului </w:t>
      </w:r>
      <w:r>
        <w:rPr>
          <w:noProof/>
        </w:rPr>
        <w:t>.</w:t>
      </w:r>
    </w:p>
    <w:p>
      <w:pPr>
        <w:rPr>
          <w:noProof/>
        </w:rPr>
      </w:pPr>
      <w:r>
        <w:rPr>
          <w:rStyle w:val="CRMinorChangeAdded"/>
          <w:noProof/>
        </w:rPr>
        <w:t>(13)</w:t>
      </w:r>
      <w:r>
        <w:rPr>
          <w:rStyle w:val="CRMinorChangeDeleted"/>
          <w:noProof/>
        </w:rPr>
        <w:t>(14)</w:t>
      </w:r>
      <w:r>
        <w:rPr>
          <w:noProof/>
        </w:rPr>
        <w:tab/>
        <w:t xml:space="preserve">Informațiile care trebuie comunicate de autoritatea competentă a unui stat membru în temeiul alineatului </w:t>
      </w:r>
      <w:r>
        <w:rPr>
          <w:rStyle w:val="CRMinorChangeAdded"/>
          <w:noProof/>
        </w:rPr>
        <w:t>(12)</w:t>
      </w:r>
      <w:r>
        <w:rPr>
          <w:rStyle w:val="CRMinorChangeDeleted"/>
          <w:noProof/>
        </w:rPr>
        <w:t>(13)</w:t>
      </w:r>
      <w:r>
        <w:rPr>
          <w:noProof/>
        </w:rPr>
        <w:t xml:space="preserve"> includ, după caz, următoarele: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4 litera (b)</w:t>
      </w:r>
    </w:p>
    <w:p>
      <w:pPr>
        <w:pStyle w:val="Point0"/>
        <w:rPr>
          <w:noProof/>
        </w:rPr>
      </w:pPr>
      <w:r>
        <w:rPr>
          <w:noProof/>
        </w:rPr>
        <w:tab/>
        <w:t>(a)</w:t>
      </w:r>
      <w:r>
        <w:rPr>
          <w:noProof/>
        </w:rPr>
        <w:tab/>
        <w:t xml:space="preserve">identitatea intermediarilor, alții decât intermediarii exonerați de obligația de raportare ca urmare a privilegiului profesional legal pe care trebuie să îl respecte în temeiul alineatului </w:t>
      </w:r>
      <w:r>
        <w:rPr>
          <w:rStyle w:val="CRMinorChangeAdded"/>
          <w:noProof/>
        </w:rPr>
        <w:t>(4)</w:t>
      </w:r>
      <w:r>
        <w:rPr>
          <w:rStyle w:val="CRMinorChangeDeleted"/>
          <w:noProof/>
        </w:rPr>
        <w:t>(5)</w:t>
      </w:r>
      <w:r>
        <w:rPr>
          <w:noProof/>
        </w:rPr>
        <w:t>, precum și a contribuabililor relevanți, inclusiv numele, data și locul nașterii (în cazul unei persoane fizice), rezidența fiscală, NIF ale acestora, și, dacă este cazul, identitatea persoanelor care sunt întreprinderi asociate cu contribuabilul relevant;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articolul 1 punctul 2</w:t>
      </w:r>
    </w:p>
    <w:p>
      <w:pPr>
        <w:pStyle w:val="Point0"/>
        <w:rPr>
          <w:noProof/>
        </w:rPr>
      </w:pPr>
      <w:r>
        <w:rPr>
          <w:noProof/>
        </w:rPr>
        <w:tab/>
        <w:t>(b)</w:t>
      </w:r>
      <w:r>
        <w:rPr>
          <w:noProof/>
        </w:rPr>
        <w:tab/>
        <w:t>detalii privind semnele distinctive stabilite în anexa IV care determină ca modalitatea transfrontalieră să facă obiectul raportării;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4 litera (b)</w:t>
      </w:r>
    </w:p>
    <w:p>
      <w:pPr>
        <w:pStyle w:val="Point0"/>
        <w:rPr>
          <w:noProof/>
        </w:rPr>
      </w:pPr>
      <w:r>
        <w:rPr>
          <w:noProof/>
        </w:rPr>
        <w:tab/>
        <w:t>(c)</w:t>
      </w:r>
      <w:r>
        <w:rPr>
          <w:noProof/>
        </w:rPr>
        <w:tab/>
        <w:t>un rezumat al conținutului modalității transfrontaliere care face obiectul raportării, inclusiv o trimitere la denumirea sub care este cunoscută de obicei, dacă aceasta există, și o descriere generală a modalităților relevante și a oricăror alte informații care ar putea ajuta autoritatea competentă să evalueze un posibil risc fiscal, fără a duce la dezvăluirea unui secret comercial, industrial sau profesional ori a unui proces comercial ori a unor informații a căror dezvăluire ar fi contrară politicilor publice;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articolul 1 punctul 2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Point0"/>
        <w:rPr>
          <w:noProof/>
        </w:rPr>
      </w:pPr>
      <w:r>
        <w:rPr>
          <w:noProof/>
        </w:rPr>
        <w:tab/>
        <w:t>(d)</w:t>
      </w:r>
      <w:r>
        <w:rPr>
          <w:noProof/>
        </w:rPr>
        <w:tab/>
        <w:t xml:space="preserve">data la care s-a desfășurat </w:t>
      </w:r>
      <w:r>
        <w:rPr>
          <w:rStyle w:val="CRRefonteDeleted"/>
          <w:noProof/>
          <w:highlight w:val="lightGray"/>
        </w:rPr>
        <w:t>sau la care se va desfășura</w:t>
      </w:r>
      <w:r>
        <w:rPr>
          <w:noProof/>
        </w:rPr>
        <w:t xml:space="preserve"> prima etapă a implementării modalității transfrontaliere care face obiectul raportării;</w:t>
      </w:r>
    </w:p>
    <w:p>
      <w:pPr>
        <w:pStyle w:val="Point0"/>
        <w:rPr>
          <w:noProof/>
        </w:rPr>
      </w:pPr>
      <w:r>
        <w:rPr>
          <w:noProof/>
        </w:rPr>
        <w:tab/>
        <w:t>(e)</w:t>
      </w:r>
      <w:r>
        <w:rPr>
          <w:noProof/>
        </w:rPr>
        <w:tab/>
        <w:t>detalii privind dispozițiile naționale care constituie baza modalității transfrontaliere care face obiectul raportării;</w:t>
      </w:r>
    </w:p>
    <w:p>
      <w:pPr>
        <w:pStyle w:val="Point0"/>
        <w:rPr>
          <w:noProof/>
        </w:rPr>
      </w:pPr>
      <w:r>
        <w:rPr>
          <w:noProof/>
        </w:rPr>
        <w:tab/>
        <w:t>(f)</w:t>
      </w:r>
      <w:r>
        <w:rPr>
          <w:noProof/>
        </w:rPr>
        <w:tab/>
        <w:t>valoarea modalității transfrontaliere care face obiectul raportării;</w:t>
      </w:r>
    </w:p>
    <w:p>
      <w:pPr>
        <w:pStyle w:val="Point0"/>
        <w:rPr>
          <w:noProof/>
        </w:rPr>
      </w:pPr>
      <w:r>
        <w:rPr>
          <w:noProof/>
        </w:rPr>
        <w:tab/>
        <w:t>(g)</w:t>
      </w:r>
      <w:r>
        <w:rPr>
          <w:noProof/>
        </w:rPr>
        <w:tab/>
        <w:t xml:space="preserve">identificarea statului membru al contribuabilului (contribuabililor) relevant (relevanți) și a oricăror alte state membre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sau jurisdicții ale unor țări terțe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care este probabil să fie vizate de modalitatea transfrontalieră care face obiectul raportării;</w:t>
      </w:r>
    </w:p>
    <w:p>
      <w:pPr>
        <w:pStyle w:val="Point0"/>
        <w:rPr>
          <w:noProof/>
        </w:rPr>
      </w:pPr>
      <w:r>
        <w:rPr>
          <w:noProof/>
        </w:rPr>
        <w:tab/>
        <w:t>(h)</w:t>
      </w:r>
      <w:r>
        <w:rPr>
          <w:noProof/>
        </w:rPr>
        <w:tab/>
        <w:t xml:space="preserve">identificarea oricărei alte persoane din statul membru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sau jurisdicția unei țări terțe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care este probabil să fie afectată de modalitatea transfrontalieră care face obiectul raportării, indicând care sunt statele membre de care este legată o astfel de persoană.</w:t>
      </w:r>
    </w:p>
    <w:p>
      <w:pPr>
        <w:rPr>
          <w:noProof/>
        </w:rPr>
      </w:pPr>
      <w:r>
        <w:rPr>
          <w:rStyle w:val="CRMinorChangeAdded"/>
          <w:noProof/>
        </w:rPr>
        <w:t>(14)</w:t>
      </w:r>
      <w:r>
        <w:rPr>
          <w:rStyle w:val="CRMinorChangeDeleted"/>
          <w:noProof/>
        </w:rPr>
        <w:t>(15)</w:t>
      </w:r>
      <w:r>
        <w:rPr>
          <w:noProof/>
        </w:rPr>
        <w:tab/>
        <w:t>Faptul că o administrație fiscală nu reacționează la o modalitate transfrontalieră care face obiectul raportării nu implică acceptarea valabilității sau a tratamentului fiscal ale respectivei modalități.</w:t>
      </w:r>
    </w:p>
    <w:p>
      <w:pPr>
        <w:rPr>
          <w:noProof/>
          <w:highlight w:val="lightGray"/>
        </w:rPr>
      </w:pPr>
      <w:r>
        <w:rPr>
          <w:rStyle w:val="CRRefonteDeleted"/>
          <w:noProof/>
          <w:highlight w:val="lightGray"/>
        </w:rPr>
        <w:t>(16)</w:t>
      </w:r>
      <w:r>
        <w:rPr>
          <w:noProof/>
        </w:rPr>
        <w:tab/>
      </w:r>
      <w:r>
        <w:rPr>
          <w:rStyle w:val="CRRefonteDeleted"/>
          <w:noProof/>
          <w:highlight w:val="lightGray"/>
        </w:rPr>
        <w:t>Pentru a facilita schimbul de informații menționat la alineatul (13) din prezentul articol, Comisia adoptă modalitățile practice necesare pentru punerea în aplicare a prezentului articol, inclusiv măsuri de standardizare a comunicării informațiilor prevăzute la alineatul (14) din prezentul articol, în cadrul procedurii de stabilire a formularului standard menționat la articolul 20 alineatul (5).</w:t>
      </w:r>
    </w:p>
    <w:p>
      <w:pPr>
        <w:rPr>
          <w:noProof/>
        </w:rPr>
      </w:pPr>
      <w:r>
        <w:rPr>
          <w:rStyle w:val="CRMinorChangeAdded"/>
          <w:noProof/>
        </w:rPr>
        <w:t>(15)</w:t>
      </w:r>
      <w:r>
        <w:rPr>
          <w:rStyle w:val="CRMinorChangeDeleted"/>
          <w:noProof/>
        </w:rPr>
        <w:t>(17)</w:t>
      </w:r>
      <w:r>
        <w:rPr>
          <w:noProof/>
        </w:rPr>
        <w:tab/>
        <w:t xml:space="preserve">Comisia nu are acces la informațiile menționate la </w:t>
      </w:r>
      <w:r>
        <w:rPr>
          <w:rStyle w:val="CRMinorChangeAdded"/>
          <w:noProof/>
        </w:rPr>
        <w:t>alineatul (13)</w:t>
      </w:r>
      <w:r>
        <w:rPr>
          <w:rStyle w:val="CRMinorChangeDeleted"/>
          <w:noProof/>
        </w:rPr>
        <w:t>alineatul (14)</w:t>
      </w:r>
      <w:r>
        <w:rPr>
          <w:noProof/>
        </w:rPr>
        <w:t xml:space="preserve"> literele (a), (c) și (h).</w:t>
      </w:r>
    </w:p>
    <w:p>
      <w:pPr>
        <w:rPr>
          <w:noProof/>
        </w:rPr>
      </w:pPr>
      <w:r>
        <w:rPr>
          <w:rStyle w:val="CRMinorChangeAdded"/>
          <w:noProof/>
        </w:rPr>
        <w:t>(16)</w:t>
      </w:r>
      <w:r>
        <w:rPr>
          <w:rStyle w:val="CRMinorChangeDeleted"/>
          <w:noProof/>
        </w:rPr>
        <w:t>(18)</w:t>
      </w:r>
      <w:r>
        <w:rPr>
          <w:noProof/>
        </w:rPr>
        <w:tab/>
        <w:t xml:space="preserve">Schimbul automat de informații are loc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de îndată ce informațiile devin disponibile și nu mai târziu de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în termen de</w:t>
      </w:r>
      <w:r>
        <w:rPr>
          <w:noProof/>
        </w:rPr>
        <w:t xml:space="preserve"> o lună de la sfârșitul trimestrului în care au fost depuse informațiile. </w:t>
      </w:r>
      <w:r>
        <w:rPr>
          <w:rStyle w:val="CRDeleted"/>
          <w:noProof/>
        </w:rPr>
        <w:t>Primele informații se comunică până la 31 octombrie 2020.</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8 (adaptat)</w:t>
      </w:r>
    </w:p>
    <w:bookmarkStart w:id="40" w:name="_Hlk218516689"/>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SectionTitle"/>
        <w:rPr>
          <w:rStyle w:val="CRMinorChangeAdded"/>
          <w:noProof/>
        </w:rPr>
      </w:pPr>
      <w:r>
        <w:rPr>
          <w:rStyle w:val="CRMinorChangeAdded"/>
          <w:noProof/>
        </w:rPr>
        <w:t>Secțiunea VI</w:t>
      </w:r>
    </w:p>
    <w:p>
      <w:pPr>
        <w:pStyle w:val="SectionTitle"/>
        <w:rPr>
          <w:rStyle w:val="CRMinorChangeAdded"/>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Schimbul automat </w:t>
      </w:r>
      <w:bookmarkEnd w:id="40"/>
      <w:r>
        <w:rPr>
          <w:noProof/>
        </w:rPr>
        <w:t xml:space="preserve">obligatoriu de informații raportate de Operatorii de platforme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NormalCentered"/>
        <w:rPr>
          <w:rStyle w:val="CRMinorChangeDeleted"/>
          <w:noProof/>
        </w:rPr>
      </w:pPr>
      <w:r>
        <w:rPr>
          <w:rStyle w:val="CRDeleted"/>
          <w:noProof/>
        </w:rPr>
        <w:t>Articolul 8ac</w:t>
      </w:r>
    </w:p>
    <w:p>
      <w:pPr>
        <w:pStyle w:val="NormalCentered"/>
        <w:rPr>
          <w:b/>
          <w:smallCaps/>
          <w:noProof/>
        </w:rPr>
      </w:pPr>
      <w:r>
        <w:rPr>
          <w:rStyle w:val="CRDeleted"/>
          <w:noProof/>
        </w:rPr>
        <w:t>Domeniul de aplicare și condițiile schimbului automat</w:t>
      </w:r>
      <w:r>
        <w:rPr>
          <w:rStyle w:val="CRDeleted"/>
          <w:smallCaps/>
          <w:noProof/>
        </w:rPr>
        <w:t xml:space="preserve"> </w:t>
      </w:r>
      <w:r>
        <w:rPr>
          <w:rStyle w:val="CRDeleted"/>
          <w:noProof/>
        </w:rPr>
        <w:t>obligatoriu de informații raportate de Operatorii de platforme</w:t>
      </w:r>
    </w:p>
    <w:p>
      <w:pPr>
        <w:pStyle w:val="Titrearticle"/>
        <w:rPr>
          <w:rStyle w:val="CRMinorChangeAdded"/>
          <w:noProof/>
          <w:u w:val="none"/>
        </w:rPr>
      </w:pPr>
      <w:r>
        <w:rPr>
          <w:rStyle w:val="CRMinorChangeAdded"/>
          <w:noProof/>
          <w:u w:val="none"/>
        </w:rPr>
        <w:lastRenderedPageBreak/>
        <w:t>Articolul 9</w:t>
      </w:r>
    </w:p>
    <w:p>
      <w:pPr>
        <w:pStyle w:val="NormalCentered"/>
        <w:rPr>
          <w:b/>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Domeniu de aplicare și condiții</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noProof/>
        </w:rPr>
        <w:t>(1)</w:t>
      </w:r>
      <w:r>
        <w:rPr>
          <w:noProof/>
        </w:rPr>
        <w:tab/>
        <w:t>Fiecare stat membru ia măsurile necesare pentru a impune Operatorilor de platforme cărora le revine obligația de raportare să îndeplinească procedura de diligență fiscală și să îndeplinească cerințele de raportare prevăzute în secțiunile II și III din anexa V. De asemenea, fiecare stat membru asigură punerea în aplicare efectivă și respectarea acestor măsuri în conformitate cu secțiunea IV din anexa V.</w:t>
      </w:r>
    </w:p>
    <w:p>
      <w:pPr>
        <w:rPr>
          <w:noProof/>
        </w:rPr>
      </w:pPr>
      <w:r>
        <w:rPr>
          <w:noProof/>
        </w:rPr>
        <w:t>(2)</w:t>
      </w:r>
      <w:r>
        <w:rPr>
          <w:noProof/>
        </w:rPr>
        <w:tab/>
        <w:t>În temeiul cerințelor aplicabile privind procedura de diligență fiscală și al cerințelor de raportare prevăzute în secțiunile II și III din anexa V, autoritatea competentă a unui stat membru unde a avut loc raportarea în conformitate cu alineatul (1) comunică, prin intermediul schimbului automat și în termenul prevăzut la alineatul (3), autorității competente a statului membru de rezidență al Vânzătorului raportabil, determinat în temeiul anexei V secțiunea II punctul D, iar în cazul în care Vânzătorul raportabil prestează servicii de închiriere de bunuri imobile, autorității competente a statului membru în care sunt situate bunurile imobile, următoarele informații referitoare la fiecare Vânzător raportabil:</w:t>
      </w:r>
    </w:p>
    <w:p>
      <w:pPr>
        <w:pStyle w:val="Point0"/>
        <w:rPr>
          <w:noProof/>
        </w:rPr>
      </w:pPr>
      <w:r>
        <w:rPr>
          <w:noProof/>
        </w:rPr>
        <w:tab/>
        <w:t>(a)</w:t>
      </w:r>
      <w:r>
        <w:rPr>
          <w:noProof/>
        </w:rPr>
        <w:tab/>
        <w:t xml:space="preserve">numele, adresa sediului social, NIF-ul și, dacă este cazul, numărul individual de identificare alocat în temeiul </w:t>
      </w:r>
      <w:r>
        <w:rPr>
          <w:rStyle w:val="CRMinorChangeAdded"/>
          <w:noProof/>
        </w:rPr>
        <w:t>articolului 10 alineatul (1) primul paragraf</w:t>
      </w:r>
      <w:r>
        <w:rPr>
          <w:rStyle w:val="CRDeleted"/>
          <w:noProof/>
        </w:rPr>
        <w:t>alineatului (4) primul paragraf</w:t>
      </w:r>
      <w:r>
        <w:rPr>
          <w:noProof/>
        </w:rPr>
        <w:t>, ale Operatorului de platformă care are obligația de raportare, precum și denumirea comercială (denumirile comerciale) a(le) Platformei (Platformelor) pentru care Operatorul de platformă care are obligația de raportare în cauză raportează informații;</w:t>
      </w:r>
    </w:p>
    <w:p>
      <w:pPr>
        <w:pStyle w:val="Point0"/>
        <w:rPr>
          <w:noProof/>
        </w:rPr>
      </w:pPr>
      <w:r>
        <w:rPr>
          <w:noProof/>
        </w:rPr>
        <w:tab/>
        <w:t>(b)</w:t>
      </w:r>
      <w:r>
        <w:rPr>
          <w:noProof/>
        </w:rPr>
        <w:tab/>
        <w:t>prenumele și numele Vânzătorului raportabil care este o persoană fizică și denumirea juridică a Vânzătorului raportabil care este o Entitate;</w:t>
      </w:r>
    </w:p>
    <w:p>
      <w:pPr>
        <w:pStyle w:val="Point0"/>
        <w:rPr>
          <w:noProof/>
        </w:rPr>
      </w:pPr>
      <w:r>
        <w:rPr>
          <w:noProof/>
        </w:rPr>
        <w:tab/>
        <w:t>(c)</w:t>
      </w:r>
      <w:r>
        <w:rPr>
          <w:noProof/>
        </w:rPr>
        <w:tab/>
        <w:t>adresa principală;</w:t>
      </w:r>
    </w:p>
    <w:p>
      <w:pPr>
        <w:pStyle w:val="Point0"/>
        <w:rPr>
          <w:noProof/>
        </w:rPr>
      </w:pPr>
      <w:r>
        <w:rPr>
          <w:noProof/>
        </w:rPr>
        <w:tab/>
        <w:t>(d)</w:t>
      </w:r>
      <w:r>
        <w:rPr>
          <w:noProof/>
        </w:rPr>
        <w:tab/>
        <w:t>orice NIF al Vânzătorului raportabil, inclusiv fiecare stat membru emitent, sau, în absența unui NIF, locul nașterii Vânzătorului raportabil care este o persoană fizică;</w:t>
      </w:r>
    </w:p>
    <w:p>
      <w:pPr>
        <w:pStyle w:val="Point0"/>
        <w:rPr>
          <w:noProof/>
        </w:rPr>
      </w:pPr>
      <w:r>
        <w:rPr>
          <w:noProof/>
        </w:rPr>
        <w:tab/>
        <w:t>(e)</w:t>
      </w:r>
      <w:r>
        <w:rPr>
          <w:noProof/>
        </w:rPr>
        <w:tab/>
        <w:t>numărul de înregistrare în Registrul Comerțului al Vânzătorului raportabil care este o Entitate;</w:t>
      </w:r>
    </w:p>
    <w:p>
      <w:pPr>
        <w:pStyle w:val="Point0"/>
        <w:rPr>
          <w:noProof/>
        </w:rPr>
      </w:pPr>
      <w:r>
        <w:rPr>
          <w:noProof/>
        </w:rPr>
        <w:tab/>
        <w:t>(f)</w:t>
      </w:r>
      <w:r>
        <w:rPr>
          <w:noProof/>
        </w:rPr>
        <w:tab/>
        <w:t>numărul de identificare în scopuri de TVA al Vânzătorului raportabil, dacă există;</w:t>
      </w:r>
    </w:p>
    <w:p>
      <w:pPr>
        <w:pStyle w:val="Point0"/>
        <w:rPr>
          <w:noProof/>
        </w:rPr>
      </w:pPr>
      <w:r>
        <w:rPr>
          <w:noProof/>
        </w:rPr>
        <w:tab/>
        <w:t>(g)</w:t>
      </w:r>
      <w:r>
        <w:rPr>
          <w:noProof/>
        </w:rPr>
        <w:tab/>
        <w:t>data nașterii Vânzătorului raportabil care este o persoană fizică;</w:t>
      </w:r>
    </w:p>
    <w:p>
      <w:pPr>
        <w:pStyle w:val="Point0"/>
        <w:rPr>
          <w:noProof/>
        </w:rPr>
      </w:pPr>
      <w:r>
        <w:rPr>
          <w:noProof/>
        </w:rPr>
        <w:tab/>
        <w:t>(h)</w:t>
      </w:r>
      <w:r>
        <w:rPr>
          <w:noProof/>
        </w:rPr>
        <w:tab/>
        <w:t>numărul de identificare a contului financiar în care se plătește sau se creditează Contraprestația, în măsura în care acesta este disponibil pentru Operatorul de platformă care are obligația de raportare și dacă autoritatea competentă din statul membru de rezidență al Vânzătorului raportabil, în sensul anexei V secțiunea II punctul D, nu a informat autoritățile competente din toate celelalte state membre că nu intenționează să utilizeze Numărul de identificare a contului financiar în acest scop;</w:t>
      </w:r>
    </w:p>
    <w:p>
      <w:pPr>
        <w:pStyle w:val="Point0"/>
        <w:rPr>
          <w:noProof/>
        </w:rPr>
      </w:pPr>
      <w:r>
        <w:rPr>
          <w:noProof/>
        </w:rPr>
        <w:tab/>
        <w:t>(i)</w:t>
      </w:r>
      <w:r>
        <w:rPr>
          <w:noProof/>
        </w:rPr>
        <w:tab/>
        <w:t>în cazul în care este diferit de numele Vânzătorului Raportabil, pe lângă Numărul de Identificare a Contului Financiar, numele titularului contului financiar în care se plătește sau se creditează Contraprestația, în măsura în care Operatorul de Platformă care are Obligația de Raportare cunoaște acest nume, precum și orice alte informații de identificare financiară a titularului contului respectiv disponibile pentru Operatorul de Platformă care are Obligația de Raportare;</w:t>
      </w:r>
    </w:p>
    <w:p>
      <w:pPr>
        <w:pStyle w:val="Point0"/>
        <w:rPr>
          <w:noProof/>
        </w:rPr>
      </w:pPr>
      <w:r>
        <w:rPr>
          <w:noProof/>
        </w:rPr>
        <w:lastRenderedPageBreak/>
        <w:tab/>
        <w:t>(j)</w:t>
      </w:r>
      <w:r>
        <w:rPr>
          <w:noProof/>
        </w:rPr>
        <w:tab/>
        <w:t>fiecare stat membru de rezidență al Vânzătorului raportabil, determinat în temeiul anexei V secțiunea II punctul D;</w:t>
      </w:r>
    </w:p>
    <w:p>
      <w:pPr>
        <w:pStyle w:val="Point0"/>
        <w:rPr>
          <w:noProof/>
        </w:rPr>
      </w:pPr>
      <w:r>
        <w:rPr>
          <w:noProof/>
        </w:rPr>
        <w:tab/>
        <w:t>(k)</w:t>
      </w:r>
      <w:r>
        <w:rPr>
          <w:noProof/>
        </w:rPr>
        <w:tab/>
        <w:t>Contraprestația totală plătită sau creditată în fiecare trimestru al Perioadei de Raportare și numărul de Activități Relevante pentru care aceasta a fost plătită sau creditată;</w:t>
      </w:r>
    </w:p>
    <w:p>
      <w:pPr>
        <w:pStyle w:val="Point0"/>
        <w:rPr>
          <w:noProof/>
        </w:rPr>
      </w:pPr>
      <w:r>
        <w:rPr>
          <w:noProof/>
        </w:rPr>
        <w:tab/>
        <w:t>(l)</w:t>
      </w:r>
      <w:r>
        <w:rPr>
          <w:noProof/>
        </w:rPr>
        <w:tab/>
        <w:t>orice onorarii, comisioane sau taxe reținute sau percepute de Operatorul de platforme care are obligația de raportare în fiecare trimestru al Perioadei de raportare;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5</w:t>
      </w:r>
    </w:p>
    <w:p>
      <w:pPr>
        <w:pStyle w:val="Point0"/>
        <w:rPr>
          <w:noProof/>
        </w:rPr>
      </w:pPr>
      <w:r>
        <w:rPr>
          <w:noProof/>
        </w:rPr>
        <w:tab/>
        <w:t>(m)</w:t>
      </w:r>
      <w:r>
        <w:rPr>
          <w:noProof/>
        </w:rPr>
        <w:tab/>
        <w:t>identificatorul Serviciului de Identificare și statul membru emitent, în cazul în care Operatorul de Platformă care are Obligația de Raportare se bazează pe confirmarea directă a identității și a reședinței Vânzătorului prin intermediul unui Serviciu de Identificare pus la dispoziție de un stat membru sau de Uniune pentru a stabili identitatea și rezidența fiscală a Vânzătorului; în astfel de cazuri, nu este necesar să se comunice statului membru emitent al identificatorului Serviciului de Identificare informațiile menționate la literele (c)-(g).</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8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În cazul în care Vânzătorul raportabil prestează servicii de închiriere de bunuri imobile, se comunică următoarele informații suplimentare:</w:t>
      </w:r>
    </w:p>
    <w:p>
      <w:pPr>
        <w:pStyle w:val="Point0"/>
        <w:rPr>
          <w:noProof/>
        </w:rPr>
      </w:pPr>
      <w:r>
        <w:rPr>
          <w:noProof/>
        </w:rPr>
        <w:tab/>
        <w:t>(a)</w:t>
      </w:r>
      <w:r>
        <w:rPr>
          <w:noProof/>
        </w:rPr>
        <w:tab/>
        <w:t xml:space="preserve">adresa fiecărui Bun imobil listat, stabilită pe baza procedurii prevăzute în anexa V secțiunea II punctul E, și numărul cărții funciare respective sau echivalentul acestuia în temeiul dreptului intern al statului membru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sau al altei jurisdicții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în care se află Bunul imobil respectiv, dacă este disponibil;</w:t>
      </w:r>
    </w:p>
    <w:p>
      <w:pPr>
        <w:pStyle w:val="Point0"/>
        <w:rPr>
          <w:noProof/>
        </w:rPr>
      </w:pPr>
      <w:r>
        <w:rPr>
          <w:noProof/>
        </w:rPr>
        <w:tab/>
        <w:t>(b)</w:t>
      </w:r>
      <w:r>
        <w:rPr>
          <w:noProof/>
        </w:rPr>
        <w:tab/>
        <w:t>Contraprestația totală plătită sau creditată în fiecare trimestru al Perioadei de raportare și numărul de Activități relevante corespunzător fiecărui Bun imobil listat;</w:t>
      </w:r>
    </w:p>
    <w:p>
      <w:pPr>
        <w:pStyle w:val="Point0"/>
        <w:rPr>
          <w:noProof/>
        </w:rPr>
      </w:pPr>
      <w:r>
        <w:rPr>
          <w:noProof/>
        </w:rPr>
        <w:tab/>
        <w:t>(c)</w:t>
      </w:r>
      <w:r>
        <w:rPr>
          <w:noProof/>
        </w:rPr>
        <w:tab/>
        <w:t>dacă este disponibil, numărul de zile pentru care a fost închiriat fiecare Bun Imobil Listat în timpul Perioadei de Raportare și tipul fiecărui Bun Imobil Listat.</w:t>
      </w:r>
    </w:p>
    <w:p>
      <w:pPr>
        <w:rPr>
          <w:noProof/>
        </w:rPr>
      </w:pPr>
      <w:r>
        <w:rPr>
          <w:noProof/>
        </w:rPr>
        <w:t>(3)</w:t>
      </w:r>
      <w:r>
        <w:rPr>
          <w:noProof/>
        </w:rPr>
        <w:tab/>
        <w:t xml:space="preserve">Comunicarea în temeiul alineatului (2) de la prezentul articol se efectuează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de îndată ce informațiile devin disponibile și nu mai târziu de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prin intermediul formularului-tip menționat la articolul 20 alineatul (4), în termen de</w:t>
      </w:r>
      <w:r>
        <w:rPr>
          <w:noProof/>
        </w:rPr>
        <w:t xml:space="preserve"> două luni de la încheierea Perioadei de raportare aferente cerințelor de raportare aplicabile ale Operatorului de platformă care are obligația de raportare. </w:t>
      </w:r>
      <w:r>
        <w:rPr>
          <w:rStyle w:val="CRDeleted"/>
          <w:noProof/>
        </w:rPr>
        <w:t>Primele informații se comunică pentru Perioadele de raportare care încep la 1 ianuarie 2023.</w:t>
      </w:r>
    </w:p>
    <w:p>
      <w:pPr>
        <w:pStyle w:val="Titrearticle"/>
        <w:rPr>
          <w:rStyle w:val="CRMinorChangeAdded"/>
          <w:noProof/>
          <w:u w:val="none"/>
        </w:rPr>
      </w:pPr>
      <w:r>
        <w:rPr>
          <w:rStyle w:val="CRMinorChangeAdded"/>
          <w:noProof/>
          <w:u w:val="none"/>
        </w:rPr>
        <w:t>Articolul 10</w:t>
      </w:r>
    </w:p>
    <w:p>
      <w:pPr>
        <w:pStyle w:val="NormalCentered"/>
        <w:rPr>
          <w:b/>
          <w:bCs/>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Înregistrarea Operatorilor de platforme care au obligația de raportare</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rStyle w:val="CRMinorChangeAdded"/>
          <w:noProof/>
        </w:rPr>
        <w:t>(1)</w:t>
      </w:r>
      <w:r>
        <w:rPr>
          <w:rStyle w:val="CRMinorChangeDeleted"/>
          <w:noProof/>
        </w:rPr>
        <w:t>(4)</w:t>
      </w:r>
      <w:r>
        <w:rPr>
          <w:noProof/>
        </w:rPr>
        <w:tab/>
        <w:t xml:space="preserve">Pentru a asigura respectarea cerințelor de raportare în temeiul </w:t>
      </w:r>
      <w:r>
        <w:rPr>
          <w:rStyle w:val="CRMinorChangeDeleted"/>
          <w:noProof/>
        </w:rPr>
        <w:t>alineatului (1) de la prezentul</w:t>
      </w:r>
      <w:r>
        <w:rPr>
          <w:noProof/>
        </w:rPr>
        <w:t xml:space="preserve"> articol</w:t>
      </w:r>
      <w:r>
        <w:rPr>
          <w:rStyle w:val="CRMinorChangeAdded"/>
          <w:noProof/>
        </w:rPr>
        <w:t>ului</w:t>
      </w:r>
      <w:r>
        <w:rPr>
          <w:noProof/>
        </w:rPr>
        <w:t xml:space="preserve"> </w:t>
      </w:r>
      <w:r>
        <w:rPr>
          <w:rStyle w:val="CRMinorChangeAdded"/>
          <w:noProof/>
        </w:rPr>
        <w:t>9 alineatul (1)</w:t>
      </w:r>
      <w:r>
        <w:rPr>
          <w:noProof/>
        </w:rPr>
        <w:t xml:space="preserve">, fiecare stat membru stabilește normele necesare pentru a impune unui Operator de platformă care are obligația de raportare în sensul anexei V secțiunea I punctul A subpunctul 4 litera (b) să se înregistreze în Uniune. Autoritatea </w:t>
      </w:r>
      <w:r>
        <w:rPr>
          <w:noProof/>
        </w:rPr>
        <w:lastRenderedPageBreak/>
        <w:t>competentă a statului membru de înregistrare alocă un număr individual de identificare unui astfel de Operator de platformă care are obligația de raportare.</w:t>
      </w:r>
    </w:p>
    <w:p>
      <w:pPr>
        <w:rPr>
          <w:noProof/>
        </w:rPr>
      </w:pPr>
      <w:r>
        <w:rPr>
          <w:noProof/>
        </w:rPr>
        <w:t>Statele membre stabilesc normele în temeiul cărora un Operator de platformă care are obligația de raportare poate alege să se înregistreze la autoritatea competentă dintr-un singur stat membru în conformitate cu normele prevăzute în anexa V secțiunea IV punctul F. Statele membre iau măsurile necesare pentru a impune ca un Operator de platformă care are obligația de raportare în sensul anexei V secțiunea I punctul A subpunctul 4 litera (b), a cărui înregistrare a fost revocată în conformitate cu anexa V secțiunea IV punctul F subpunctul 7, să poată fi autorizat să se reînregistreze numai cu condiția de a furniza autorităților statului membru în cauză garanții adecvate privind angajamentul său de a respecta cerințele de raportare din Uniune, inclusiv orice cerință de raportare neîndeplinită.</w:t>
      </w:r>
    </w:p>
    <w:p>
      <w:pPr>
        <w:rPr>
          <w:noProof/>
        </w:rPr>
      </w:pPr>
      <w:r>
        <w:rPr>
          <w:noProof/>
        </w:rPr>
        <w:t>Comisia stabilește, prin intermediul unor acte de punere în aplicare, modalitățile practice necesare pentru înregistrarea și identificarea Operatorilor de platforme care au obligația de raportare. Aceste acte de punere în aplicare se adoptă în conformitate cu procedura menționată la articolul </w:t>
      </w:r>
      <w:r>
        <w:rPr>
          <w:rStyle w:val="CRMinorChangeAdded"/>
          <w:noProof/>
        </w:rPr>
        <w:t>51</w:t>
      </w:r>
      <w:r>
        <w:rPr>
          <w:rStyle w:val="CRMinorChangeDeleted"/>
          <w:noProof/>
        </w:rPr>
        <w:t>26</w:t>
      </w:r>
      <w:r>
        <w:rPr>
          <w:noProof/>
        </w:rPr>
        <w:t xml:space="preserve"> alineatul (2).</w:t>
      </w:r>
    </w:p>
    <w:p>
      <w:pPr>
        <w:rPr>
          <w:noProof/>
        </w:rPr>
      </w:pPr>
      <w:r>
        <w:rPr>
          <w:rStyle w:val="CRMinorChangeAdded"/>
          <w:noProof/>
        </w:rPr>
        <w:t>(2)</w:t>
      </w:r>
      <w:r>
        <w:rPr>
          <w:rStyle w:val="CRMinorChangeDeleted"/>
          <w:noProof/>
        </w:rPr>
        <w:t>5</w:t>
      </w:r>
      <w:r>
        <w:rPr>
          <w:noProof/>
        </w:rPr>
        <w:tab/>
        <w:t xml:space="preserve">În cazul în care un Operator de platformă este considerat Operator de platformă exclus, autoritatea competentă a statului membru în care s-a făcut demonstrația în conformitate cu anexa V secțiunea I </w:t>
      </w:r>
      <w:r>
        <w:rPr>
          <w:rStyle w:val="CRDeleted"/>
          <w:noProof/>
        </w:rPr>
        <w:t>punctul A subpunctul 3</w:t>
      </w:r>
      <w:r>
        <w:rPr>
          <w:noProof/>
        </w:rPr>
        <w:t xml:space="preserve"> </w:t>
      </w:r>
      <w:r>
        <w:rPr>
          <w:rStyle w:val="CRDeleted"/>
          <w:noProof/>
        </w:rPr>
        <w:t>punctul A subpunctul 3</w:t>
      </w:r>
      <w:r>
        <w:rPr>
          <w:noProof/>
        </w:rPr>
        <w:t xml:space="preserve"> notifică acest lucru autorităților competente din toate celelalte state membre, inclusiv orice modificări ulterioare.</w:t>
      </w:r>
    </w:p>
    <w:p>
      <w:pPr>
        <w:rPr>
          <w:noProof/>
        </w:rPr>
      </w:pPr>
      <w:r>
        <w:rPr>
          <w:rStyle w:val="CRMinorChangeAdded"/>
          <w:noProof/>
        </w:rPr>
        <w:t>(3)</w:t>
      </w:r>
      <w:r>
        <w:rPr>
          <w:rStyle w:val="CRMinorChangeDeleted"/>
          <w:noProof/>
        </w:rPr>
        <w:t>(6)</w:t>
      </w:r>
      <w:r>
        <w:rPr>
          <w:noProof/>
        </w:rPr>
        <w:tab/>
      </w:r>
      <w:r>
        <w:rPr>
          <w:rStyle w:val="CRDeleted"/>
          <w:noProof/>
        </w:rPr>
        <w:t>Până la 31 decembrie 2022,</w:t>
      </w:r>
      <w:r>
        <w:rPr>
          <w:noProof/>
        </w:rPr>
        <w:t xml:space="preserve"> Comisia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menține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întocmește</w:t>
      </w:r>
      <w:r>
        <w:rPr>
          <w:noProof/>
        </w:rPr>
        <w:t xml:space="preserve"> un registru central în care se înregistrează informațiile care trebuie notificate în conformitate cu alineatul (2) de la prezentul articol și care trebuie comunicate în conformitate cu anexa V secțiunea IV punctul F subpunct</w:t>
      </w:r>
      <w:r>
        <w:rPr>
          <w:rStyle w:val="CRMinorChangeAdded"/>
          <w:noProof/>
        </w:rPr>
        <w:t>ele</w:t>
      </w:r>
      <w:r>
        <w:rPr>
          <w:rStyle w:val="CRMinorChangeDeleted"/>
          <w:noProof/>
        </w:rPr>
        <w:t>ul</w:t>
      </w:r>
      <w:r>
        <w:rPr>
          <w:noProof/>
        </w:rPr>
        <w:t xml:space="preserve"> 2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și 8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Registrul central respectiv este pus la dispoziția autorităților competente din toate statele membre.</w:t>
      </w:r>
    </w:p>
    <w:p>
      <w:pPr>
        <w:pStyle w:val="Titrearticle"/>
        <w:rPr>
          <w:rStyle w:val="CRMinorChangeAdded"/>
          <w:noProof/>
          <w:u w:val="none"/>
        </w:rPr>
      </w:pPr>
      <w:r>
        <w:rPr>
          <w:rStyle w:val="CRMinorChangeAdded"/>
          <w:noProof/>
          <w:u w:val="none"/>
        </w:rPr>
        <w:t>Articolul 11</w:t>
      </w:r>
    </w:p>
    <w:p>
      <w:pPr>
        <w:pStyle w:val="NormalCentered"/>
        <w:rPr>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Echivalența</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rStyle w:val="CRMinorChangeAdded"/>
          <w:noProof/>
        </w:rPr>
        <w:t>(1)</w:t>
      </w:r>
      <w:r>
        <w:rPr>
          <w:rStyle w:val="CRMinorChangeDeleted"/>
          <w:noProof/>
        </w:rPr>
        <w:t>(7)</w:t>
      </w:r>
      <w:r>
        <w:rPr>
          <w:noProof/>
        </w:rPr>
        <w:tab/>
        <w:t>La solicitarea motivată a unui stat membru sau din proprie inițiativă, Comisia stabilește, prin intermediul unor acte de punere în aplicare, dacă informațiile care trebuie să facă obiectul schimbului automat de informații în temeiul unui acord între autoritățile competente ale statului membru în cauză și o jurisdicție din afara Uniunii, în sensul anexei V secțiunea I punctul A subpunctul 7, sunt echivalente cu cele precizate în anexa V secțiunea III punctul B. Aceste acte de punere în aplicare se adoptă în conformitate cu procedura menționată la articolul </w:t>
      </w:r>
      <w:r>
        <w:rPr>
          <w:rStyle w:val="CRMinorChangeAdded"/>
          <w:noProof/>
        </w:rPr>
        <w:t>51</w:t>
      </w:r>
      <w:r>
        <w:rPr>
          <w:rStyle w:val="CRMinorChangeDeleted"/>
          <w:noProof/>
        </w:rPr>
        <w:t>26</w:t>
      </w:r>
      <w:r>
        <w:rPr>
          <w:noProof/>
        </w:rPr>
        <w:t xml:space="preserve"> alineatul (2).</w:t>
      </w:r>
    </w:p>
    <w:p>
      <w:pPr>
        <w:rPr>
          <w:noProof/>
        </w:rPr>
      </w:pPr>
      <w:r>
        <w:rPr>
          <w:noProof/>
        </w:rPr>
        <w:t>Un stat membru care solicită măsura menționată la primul paragraf trimite Comisiei o cerere motivată.</w:t>
      </w:r>
    </w:p>
    <w:p>
      <w:pPr>
        <w:rPr>
          <w:noProof/>
        </w:rPr>
      </w:pPr>
      <w:r>
        <w:rPr>
          <w:noProof/>
        </w:rPr>
        <w:t xml:space="preserve">În cazul în care Comisia consideră că nu dispune de toate informațiile necesare pentru evaluarea cererii, aceasta contactează statul membru în cauză în termen de două luni de la primirea cererii și precizează informațiile suplimentare care sunt necesare. Odată ce Comisia dispune de toate informațiile pe care le consideră necesare, aceasta informează statul membru solicitant în termen de o lună și transmite informațiile relevante comitetului menționat la </w:t>
      </w:r>
      <w:r>
        <w:rPr>
          <w:rStyle w:val="CRMinorChangeAdded"/>
          <w:noProof/>
        </w:rPr>
        <w:t>articolul 51 alineatul (1)</w:t>
      </w:r>
      <w:r>
        <w:rPr>
          <w:noProof/>
        </w:rPr>
        <w:t xml:space="preserve"> </w:t>
      </w:r>
      <w:r>
        <w:rPr>
          <w:rStyle w:val="CRMinorChangeDeleted"/>
          <w:noProof/>
        </w:rPr>
        <w:t>articolul 26 alineatul (2)</w:t>
      </w:r>
      <w:r>
        <w:rPr>
          <w:noProof/>
        </w:rPr>
        <w:t>.</w:t>
      </w:r>
    </w:p>
    <w:p>
      <w:pPr>
        <w:rPr>
          <w:noProof/>
        </w:rPr>
      </w:pPr>
      <w:r>
        <w:rPr>
          <w:noProof/>
        </w:rPr>
        <w:t xml:space="preserve">Atunci când acționează din proprie inițiativă, Comisia adoptă un act de punere în aplicare, astfel cum se menționează la primul paragraf, numai după ce un stat membru a încheiat cu o jurisdicție din afara Uniunii un acord privind stabilirea autorității competente care impune </w:t>
      </w:r>
      <w:r>
        <w:rPr>
          <w:noProof/>
        </w:rPr>
        <w:lastRenderedPageBreak/>
        <w:t>schimbul automat de informații privind vânzătorii care obțin venituri din activități facilitate prin intermediul Platformelor.</w:t>
      </w:r>
    </w:p>
    <w:p>
      <w:pPr>
        <w:rPr>
          <w:noProof/>
        </w:rPr>
      </w:pPr>
      <w:r>
        <w:rPr>
          <w:noProof/>
        </w:rPr>
        <w:t>Atunci când stabilește dacă informațiile sunt echivalente în sensul primului paragraf în legătură cu o Activitate relevantă, Comisia ține seama în mod corespunzător de măsura în care regimul pe care se bazează aceste informații corespunde celui prevăzut în anexa V, în special în ceea ce privește:</w:t>
      </w:r>
    </w:p>
    <w:p>
      <w:pPr>
        <w:pStyle w:val="Point0"/>
        <w:rPr>
          <w:noProof/>
        </w:rPr>
      </w:pPr>
      <w:r>
        <w:rPr>
          <w:noProof/>
        </w:rPr>
        <w:tab/>
        <w:t>(i)</w:t>
      </w:r>
      <w:r>
        <w:rPr>
          <w:noProof/>
        </w:rPr>
        <w:tab/>
        <w:t>definițiile termenilor «Operator de platformă care are obligația de raportare», «Vânzător raportabil», «Activitate relevantă»;</w:t>
      </w:r>
    </w:p>
    <w:p>
      <w:pPr>
        <w:pStyle w:val="Point0"/>
        <w:rPr>
          <w:noProof/>
        </w:rPr>
      </w:pPr>
      <w:r>
        <w:rPr>
          <w:noProof/>
        </w:rPr>
        <w:tab/>
        <w:t>(ii)</w:t>
      </w:r>
      <w:r>
        <w:rPr>
          <w:noProof/>
        </w:rPr>
        <w:tab/>
        <w:t>procedurile aplicabile în scopul identificării Vânzătorilor raportabili;</w:t>
      </w:r>
    </w:p>
    <w:p>
      <w:pPr>
        <w:pStyle w:val="Point0"/>
        <w:rPr>
          <w:noProof/>
        </w:rPr>
      </w:pPr>
      <w:r>
        <w:rPr>
          <w:noProof/>
        </w:rPr>
        <w:tab/>
        <w:t>(iii)</w:t>
      </w:r>
      <w:r>
        <w:rPr>
          <w:noProof/>
        </w:rPr>
        <w:tab/>
        <w:t>cerințele de raportare; și</w:t>
      </w:r>
    </w:p>
    <w:p>
      <w:pPr>
        <w:pStyle w:val="Point0"/>
        <w:rPr>
          <w:noProof/>
        </w:rPr>
      </w:pPr>
      <w:r>
        <w:rPr>
          <w:noProof/>
        </w:rPr>
        <w:tab/>
        <w:t>(iv)</w:t>
      </w:r>
      <w:r>
        <w:rPr>
          <w:noProof/>
        </w:rPr>
        <w:tab/>
        <w:t>normele și procedurile administrative care se instituie de către jurisdicțiile din afara Uniunii pentru a asigura punerea în aplicare efectivă și respectarea procedurii de diligență fiscală și a cerințelor de raportare prevăzute în regimul respectiv.</w:t>
      </w:r>
    </w:p>
    <w:p>
      <w:pPr>
        <w:rPr>
          <w:noProof/>
        </w:rPr>
      </w:pPr>
      <w:r>
        <w:rPr>
          <w:noProof/>
        </w:rPr>
        <w:t>Pentru a stabili că informațiile nu mai sunt echivalente se aplică aceeași procedură.</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rPr>
          <w:noProof/>
          <w:highlight w:val="lightGray"/>
        </w:rPr>
      </w:pPr>
      <w:r>
        <w:rPr>
          <w:noProof/>
          <w:highlight w:val="lightGray"/>
        </w:rPr>
        <w:t>(2)</w:t>
      </w:r>
      <w:r>
        <w:rPr>
          <w:noProof/>
        </w:rPr>
        <w:tab/>
      </w:r>
      <w:r>
        <w:rPr>
          <w:noProof/>
          <w:highlight w:val="lightGray"/>
        </w:rPr>
        <w:t xml:space="preserve">În cazul în care un acord privind stabilirea autorității competente cu o jurisdicție din afara Uniunii care prevede schimbul automat de informații privind vânzătorii care obțin venituri din activități facilitate de Platforme a fost stabilit ca fiind echivalent, statele membre, în conformitate cu procedurile lor interne respective, iau toate măsurile necesare pentru a activa fără întârziere relația de schimb cu jurisdicția în cauză din afara Uniunii și notifică acest lucru Comisiei Europene.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6 (adaptat)</w:t>
      </w:r>
    </w:p>
    <w:bookmarkStart w:id="41" w:name="_Hlk218516732"/>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SectionTitle"/>
        <w:rPr>
          <w:rStyle w:val="CRMinorChangeAdded"/>
          <w:noProof/>
        </w:rPr>
      </w:pPr>
      <w:r>
        <w:rPr>
          <w:rStyle w:val="CRMinorChangeAdded"/>
          <w:noProof/>
        </w:rPr>
        <w:t>Secțiunea VII</w:t>
      </w:r>
    </w:p>
    <w:bookmarkEnd w:id="41"/>
    <w:p>
      <w:pPr>
        <w:pStyle w:val="SectionTitle"/>
        <w:rPr>
          <w:rStyle w:val="CRMinorChangeAdded"/>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Schimbul automat obligatoriu de informații raportate de Furnizorii de Servicii de Criptoactive Raportori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rStyle w:val="CRDeleted"/>
          <w:noProof/>
        </w:rPr>
        <w:t>Articolul 8ad</w:t>
      </w:r>
    </w:p>
    <w:p>
      <w:pPr>
        <w:pStyle w:val="Titrearticle"/>
        <w:rPr>
          <w:rStyle w:val="CRMinorChangeDeleted"/>
          <w:noProof/>
        </w:rPr>
      </w:pPr>
      <w:bookmarkStart w:id="42" w:name="_Hlk231484011"/>
      <w:r>
        <w:rPr>
          <w:rStyle w:val="CRDeleted"/>
          <w:noProof/>
        </w:rPr>
        <w:t>Domeniul de aplicare și condițiile pentru schimbul automat obligatoriu de informații raportate de Furnizorii de Servicii de Criptoactive Raportori</w:t>
      </w:r>
      <w:bookmarkEnd w:id="42"/>
    </w:p>
    <w:p>
      <w:pPr>
        <w:pStyle w:val="Titrearticle"/>
        <w:rPr>
          <w:rStyle w:val="CRMinorChangeAdded"/>
          <w:noProof/>
          <w:u w:val="none"/>
        </w:rPr>
      </w:pPr>
      <w:r>
        <w:rPr>
          <w:rStyle w:val="CRMinorChangeAdded"/>
          <w:noProof/>
          <w:u w:val="none"/>
        </w:rPr>
        <w:t>Articolul 12</w:t>
      </w:r>
    </w:p>
    <w:p>
      <w:pPr>
        <w:pStyle w:val="NormalCentered"/>
        <w:rPr>
          <w:b/>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 xml:space="preserve">Domeniu de aplicare și condiții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noProof/>
        </w:rPr>
        <w:t>(1)</w:t>
      </w:r>
      <w:r>
        <w:rPr>
          <w:noProof/>
        </w:rPr>
        <w:tab/>
        <w:t>Fiecare stat membru ia măsurile necesare pentru a impune Furnizorilor de Servicii de Criptoactive Raportori să îndeplinească cerințele de raportare și procedurile de diligență fiscală prevăzute în secțiunile II și, respectiv, III din anexa VI. De asemenea, fiecare stat membru asigură punerea în aplicare efectivă și respectarea acestor măsuri în conformitate cu secțiunea V din anexa VI.</w:t>
      </w:r>
    </w:p>
    <w:p>
      <w:pPr>
        <w:rPr>
          <w:noProof/>
        </w:rPr>
      </w:pPr>
      <w:r>
        <w:rPr>
          <w:noProof/>
        </w:rPr>
        <w:lastRenderedPageBreak/>
        <w:t>(2)</w:t>
      </w:r>
      <w:r>
        <w:rPr>
          <w:noProof/>
        </w:rPr>
        <w:tab/>
        <w:t xml:space="preserve">În temeiul cerințelor de raportare aplicabile și al procedurilor de diligență fiscală prevăzute în secțiunile II și, respectiv, III din anexa VI, autoritatea competentă a unui stat membru în care are loc raportarea menționată la alineatul (1) </w:t>
      </w:r>
      <w:r>
        <w:rPr>
          <w:rStyle w:val="CRDeleted"/>
          <w:noProof/>
        </w:rPr>
        <w:t>din prezentul articol</w:t>
      </w:r>
      <w:r>
        <w:rPr>
          <w:noProof/>
        </w:rPr>
        <w:t xml:space="preserve"> comunică informațiile menționate la alineatul (3) </w:t>
      </w:r>
      <w:r>
        <w:rPr>
          <w:rStyle w:val="CRDeleted"/>
          <w:noProof/>
        </w:rPr>
        <w:t>din prezentul articol</w:t>
      </w:r>
      <w:r>
        <w:rPr>
          <w:noProof/>
        </w:rPr>
        <w:t xml:space="preserve">, prin intermediul unui schimb automat și în termenul stabilit la alineatul </w:t>
      </w:r>
      <w:r>
        <w:rPr>
          <w:rStyle w:val="CRMinorChangeAdded"/>
          <w:noProof/>
        </w:rPr>
        <w:t>(5)</w:t>
      </w:r>
      <w:r>
        <w:rPr>
          <w:rStyle w:val="CRMinorChangeDeleted"/>
          <w:noProof/>
        </w:rPr>
        <w:t>(6)</w:t>
      </w:r>
      <w:r>
        <w:rPr>
          <w:noProof/>
        </w:rPr>
        <w:t xml:space="preserve"> </w:t>
      </w:r>
      <w:r>
        <w:rPr>
          <w:rStyle w:val="CRDeleted"/>
          <w:noProof/>
        </w:rPr>
        <w:t>din prezentul articol</w:t>
      </w:r>
      <w:r>
        <w:rPr>
          <w:noProof/>
        </w:rPr>
        <w:t xml:space="preserve">, către autoritățile competente din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statele membre în cauză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toate celelalte state membre,</w:t>
      </w:r>
      <w:r>
        <w:rPr>
          <w:noProof/>
        </w:rPr>
        <w:t xml:space="preserve"> </w:t>
      </w:r>
      <w:r>
        <w:rPr>
          <w:rStyle w:val="CRRefonteDeleted"/>
          <w:noProof/>
          <w:highlight w:val="lightGray"/>
        </w:rPr>
        <w:t>în conformitate cu modalitățile practice adoptate în temeiul articolului 21</w:t>
      </w:r>
      <w:r>
        <w:rPr>
          <w:noProof/>
        </w:rPr>
        <w:t>.</w:t>
      </w:r>
    </w:p>
    <w:p>
      <w:pPr>
        <w:rPr>
          <w:noProof/>
        </w:rPr>
      </w:pPr>
      <w:r>
        <w:rPr>
          <w:noProof/>
        </w:rPr>
        <w:t>(3)</w:t>
      </w:r>
      <w:r>
        <w:rPr>
          <w:noProof/>
        </w:rPr>
        <w:tab/>
        <w:t>Autoritatea competentă a unui stat membru comunică următoarele informații cu privire la fiecare Persoană care face Obiectul Raportării:</w:t>
      </w:r>
    </w:p>
    <w:p>
      <w:pPr>
        <w:pStyle w:val="Point0"/>
        <w:rPr>
          <w:noProof/>
        </w:rPr>
      </w:pPr>
      <w:r>
        <w:rPr>
          <w:noProof/>
        </w:rPr>
        <w:tab/>
        <w:t>(a)</w:t>
      </w:r>
      <w:r>
        <w:rPr>
          <w:noProof/>
        </w:rPr>
        <w:tab/>
        <w:t xml:space="preserve">numele, adresa, statul membru (statele membre) de rezidență, numărul (numerele) de identificare fiscală (NIF) și, în cazul unei persoane fizice, data și locul nașterii fiecărui Utilizator care face Obiectul Raportării, iar în cazul oricărei Entități care, după aplicarea procedurilor de diligență fiscală prevăzute în secțiunea III din anexa VI, este identificată ca având una sau mai multe Persoane care Exercită Controlul care sunt Persoane care fac Obiectul Raportării, numele, adresa, statul membru (statele membre) de rezidență și numărul (numerele) de identificare fiscală (NIF) ale Entității, precum și numele, adresa, statul membru (statele membre) de rezidență, numărul (numerele) de identificare fiscală (NIF) și data și locul nașterii fiecărei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Persoane care exercită Controlul asupra Entității care este Persoană care face Obiectul Raportării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Persoane care face Obiectul Raportării</w:t>
      </w:r>
      <w:r>
        <w:rPr>
          <w:noProof/>
        </w:rPr>
        <w:t>, împreună cu rolul (rolurile) în temeiul căruia (cărora) fiecare Persoană care face Obiectul Raportării este o Persoană care Exercită Controlul asupra Entității;</w:t>
      </w:r>
    </w:p>
    <w:p>
      <w:pPr>
        <w:pStyle w:val="Point0"/>
        <w:rPr>
          <w:noProof/>
        </w:rPr>
      </w:pPr>
      <w:r>
        <w:rPr>
          <w:noProof/>
        </w:rPr>
        <w:tab/>
        <w:t xml:space="preserve">fără a aduce atingere primului paragraf de la prezenta literă, în cazul în care Furnizorul de Servicii de Criptoactive Raportor </w:t>
      </w:r>
      <w:r>
        <w:rPr>
          <w:rStyle w:val="CRDeleted"/>
          <w:noProof/>
        </w:rPr>
        <w:t>raportează unei autorități competente care utilizează un Serviciu de Identificare și</w:t>
      </w:r>
      <w:r>
        <w:rPr>
          <w:noProof/>
        </w:rPr>
        <w:t xml:space="preserve"> se bazează pe confirmarea directă a identității și a rezidenței Persoanei care face Obiectul Raportării prin intermediul unui Serviciu de Identificare pus la dispoziție de un stat membru sau de Uniune pentru a stabili identitatea și rezidența fiscală ale Persoanei care face Obiectul Raportării, informațiile care trebuie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comunicate statului membru emitent al identificatorului Serviciului de Identificare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raportate</w:t>
      </w:r>
      <w:r>
        <w:rPr>
          <w:noProof/>
        </w:rPr>
        <w:t xml:space="preserve"> cu privire la Persoana care face Obiectul Raportării sunt numele, identificatorul din Serviciul de Identificare și statul membru emitent, precum și rolul (rolurile) în virtutea căruia (cărora) fiecare Persoană care face Obiectul Raportării este o Persoană care Exercită Controlul asupra Entității;</w:t>
      </w:r>
    </w:p>
    <w:p>
      <w:pPr>
        <w:pStyle w:val="Point0"/>
        <w:rPr>
          <w:noProof/>
        </w:rPr>
      </w:pPr>
      <w:r>
        <w:rPr>
          <w:noProof/>
        </w:rPr>
        <w:tab/>
        <w:t>(b)</w:t>
      </w:r>
      <w:r>
        <w:rPr>
          <w:noProof/>
        </w:rPr>
        <w:tab/>
        <w:t xml:space="preserve">numele, adresa, numărul de identificare fiscală (NIF) și, dacă este disponibil, numărul individual de identificare menționat la </w:t>
      </w:r>
      <w:r>
        <w:rPr>
          <w:rStyle w:val="CRMinorChangeAdded"/>
          <w:noProof/>
        </w:rPr>
        <w:t>articolul 13 alineatul (1)</w:t>
      </w:r>
      <w:r>
        <w:rPr>
          <w:noProof/>
        </w:rPr>
        <w:t xml:space="preserve"> </w:t>
      </w:r>
      <w:r>
        <w:rPr>
          <w:rStyle w:val="CRMinorChangeDeleted"/>
          <w:noProof/>
        </w:rPr>
        <w:t>alineatul (7)</w:t>
      </w:r>
      <w:r>
        <w:rPr>
          <w:noProof/>
        </w:rPr>
        <w:t xml:space="preserve"> și Identificatorul global al entității juridice ale Furnizorului de Servicii de Criptoactive Raportor;</w:t>
      </w:r>
    </w:p>
    <w:p>
      <w:pPr>
        <w:pStyle w:val="Point0"/>
        <w:rPr>
          <w:noProof/>
        </w:rPr>
      </w:pPr>
      <w:r>
        <w:rPr>
          <w:noProof/>
        </w:rPr>
        <w:tab/>
        <w:t>(c)</w:t>
      </w:r>
      <w:r>
        <w:rPr>
          <w:noProof/>
        </w:rPr>
        <w:tab/>
        <w:t>pentru fiecare tip de Criptoactiv care face obiectul Raportării și cu care Furnizorul de Servicii de Criptoactive Raportor a efectuat Tranzacții care fac obiectul Raportării în cursul anului calendaristic relevant sau al altei perioade de raportare adecvate, dacă este cazul:</w:t>
      </w:r>
    </w:p>
    <w:p>
      <w:pPr>
        <w:pStyle w:val="Point1"/>
        <w:rPr>
          <w:noProof/>
        </w:rPr>
      </w:pPr>
      <w:r>
        <w:rPr>
          <w:noProof/>
        </w:rPr>
        <w:tab/>
        <w:t>(i)</w:t>
      </w:r>
      <w:r>
        <w:rPr>
          <w:noProof/>
        </w:rPr>
        <w:tab/>
        <w:t>denumirea completă a tipului de Criptoactiv care face Obiectul Raportării;</w:t>
      </w:r>
    </w:p>
    <w:p>
      <w:pPr>
        <w:pStyle w:val="Point1"/>
        <w:rPr>
          <w:noProof/>
        </w:rPr>
      </w:pPr>
      <w:r>
        <w:rPr>
          <w:noProof/>
        </w:rPr>
        <w:tab/>
        <w:t>(ii)</w:t>
      </w:r>
      <w:r>
        <w:rPr>
          <w:noProof/>
        </w:rPr>
        <w:tab/>
        <w:t>suma brută agregată plătită, numărul agregat de unități și numărul de Tranzacții care fac Obiectul Raportării în contextul achizițiilor în schimbul Monedei Fiduciare;</w:t>
      </w:r>
    </w:p>
    <w:p>
      <w:pPr>
        <w:pStyle w:val="Point1"/>
        <w:rPr>
          <w:noProof/>
        </w:rPr>
      </w:pPr>
      <w:r>
        <w:rPr>
          <w:noProof/>
        </w:rPr>
        <w:lastRenderedPageBreak/>
        <w:tab/>
        <w:t>(iii)</w:t>
      </w:r>
      <w:r>
        <w:rPr>
          <w:noProof/>
        </w:rPr>
        <w:tab/>
        <w:t>suma brută agregată încasată, numărul agregat de unități și numărul de Tranzacții care fac Obiectul Raportării în contextul vânzărilor în schimbul Monedei Fiduciare;</w:t>
      </w:r>
    </w:p>
    <w:p>
      <w:pPr>
        <w:pStyle w:val="Point1"/>
        <w:rPr>
          <w:noProof/>
        </w:rPr>
      </w:pPr>
      <w:r>
        <w:rPr>
          <w:noProof/>
        </w:rPr>
        <w:tab/>
        <w:t>(iv)</w:t>
      </w:r>
      <w:r>
        <w:rPr>
          <w:noProof/>
        </w:rPr>
        <w:tab/>
        <w:t>valoarea justă de piață agregată, numărul agregat de unități și numărul de Tranzacții care fac Obiectul Raportării în contextul achizițiilor în schimbul altor Criptoactive care fac Obiectul Raportării;</w:t>
      </w:r>
    </w:p>
    <w:p>
      <w:pPr>
        <w:pStyle w:val="Point1"/>
        <w:rPr>
          <w:noProof/>
        </w:rPr>
      </w:pPr>
      <w:r>
        <w:rPr>
          <w:noProof/>
        </w:rPr>
        <w:tab/>
        <w:t>(v)</w:t>
      </w:r>
      <w:r>
        <w:rPr>
          <w:noProof/>
        </w:rPr>
        <w:tab/>
        <w:t>valoarea justă de piață agregată, numărul agregat de unități și numărul de Tranzacții care fac Obiectul Raportării în contextul vânzărilor în schimbul altor Criptoactive care fac Obiectul Raportării;</w:t>
      </w:r>
    </w:p>
    <w:p>
      <w:pPr>
        <w:pStyle w:val="Point1"/>
        <w:rPr>
          <w:noProof/>
        </w:rPr>
      </w:pPr>
      <w:r>
        <w:rPr>
          <w:noProof/>
        </w:rPr>
        <w:tab/>
        <w:t>(vi)</w:t>
      </w:r>
      <w:r>
        <w:rPr>
          <w:noProof/>
        </w:rPr>
        <w:tab/>
        <w:t>valoarea justă de piață agregată, numărul agregat de unități și numărul de Tranzacții de Plată cu Amănuntul care fac Obiectul Raportării;</w:t>
      </w:r>
    </w:p>
    <w:p>
      <w:pPr>
        <w:pStyle w:val="Point1"/>
        <w:rPr>
          <w:noProof/>
        </w:rPr>
      </w:pPr>
      <w:r>
        <w:rPr>
          <w:noProof/>
        </w:rPr>
        <w:tab/>
        <w:t>(vii)</w:t>
      </w:r>
      <w:r>
        <w:rPr>
          <w:noProof/>
        </w:rPr>
        <w:tab/>
        <w:t>valoarea justă de piață agregată, numărul agregat de unități și numărul de Tranzacții care fac Obiectul Raportării, defalcate pe tipuri de transfer în cazul în care acestea sunt cunoscute de Furnizorul de Servicii de Criptoactive Raportor, în cazul acelor Transferuri către Utilizatorul care face Obiectul Raportării care nu intră sub incidența punctelor (ii) și (iv);</w:t>
      </w:r>
    </w:p>
    <w:p>
      <w:pPr>
        <w:pStyle w:val="Point1"/>
        <w:rPr>
          <w:noProof/>
        </w:rPr>
      </w:pPr>
      <w:r>
        <w:rPr>
          <w:noProof/>
        </w:rPr>
        <w:tab/>
        <w:t>(viii)</w:t>
      </w:r>
      <w:r>
        <w:rPr>
          <w:noProof/>
        </w:rPr>
        <w:tab/>
        <w:t>valoarea justă de piață agregată, numărul agregat de unități și numărul de Tranzacții care fac Obiectul Raportării, defalcate pe tipuri de transfer în cazul în care acestea sunt cunoscute de Furnizorul de Servicii de Criptoactive Raportor, în cazul acelor Transferuri din partea Utilizatorului care face Obiectul Raportării care nu intră sub incidența punctelor (iii), (v) și (vi); și</w:t>
      </w:r>
    </w:p>
    <w:p>
      <w:pPr>
        <w:pStyle w:val="Point1"/>
        <w:rPr>
          <w:noProof/>
        </w:rPr>
      </w:pPr>
      <w:r>
        <w:rPr>
          <w:noProof/>
        </w:rPr>
        <w:tab/>
        <w:t>(ix)</w:t>
      </w:r>
      <w:r>
        <w:rPr>
          <w:noProof/>
        </w:rPr>
        <w:tab/>
        <w:t>valoarea justă de piață agregată, precum și numărul agregat de unități de Transferuri efectuate de Furnizorul de Servicii de Criptoactive Raportor către adresele registrelor distribuite menționate în Regulamentul (UE) 2023/1113 despre care nu se știe că ar fi asociate cu un furnizor de servicii de active virtuale sau cu o instituție financiară.</w:t>
      </w:r>
    </w:p>
    <w:p>
      <w:pPr>
        <w:rPr>
          <w:noProof/>
        </w:rPr>
      </w:pPr>
      <w:r>
        <w:rPr>
          <w:noProof/>
        </w:rPr>
        <w:t>În sensul literei (c) punctele (ii) și (iii), suma plătită sau încasată se raportează în Moneda Fiduciară în care a fost plătită sau încasată. În cazul în care sumele au fost plătite sau încasate în mai multe Monede Fiduciare, sumele se comunică într-o singură monedă, convertită la momentul fiecărei Tranzacții care face obiectul Raportării, într-un mod aplicat consecvent de către Furnizorul de Servicii de Criptoactive Raportor.</w:t>
      </w:r>
    </w:p>
    <w:p>
      <w:pPr>
        <w:rPr>
          <w:noProof/>
        </w:rPr>
      </w:pPr>
      <w:r>
        <w:rPr>
          <w:noProof/>
        </w:rPr>
        <w:t>În sensul literei (c) punctele (iv)-(ix), valoarea justă de piață se determină și se comunică într-o singură Monedă Fiduciară, evaluată la momentul fiecărei Tranzacții care face obiectul Raportării într-un mod aplicat consecvent de către Furnizorul de Servicii de Criptoactive Raportor.</w:t>
      </w:r>
    </w:p>
    <w:p>
      <w:pPr>
        <w:rPr>
          <w:noProof/>
        </w:rPr>
      </w:pPr>
      <w:r>
        <w:rPr>
          <w:noProof/>
        </w:rPr>
        <w:t>În cadrul informațiilor comunicate se specifică Moneda Fiduciară în care este raportată fiecare sumă.</w:t>
      </w:r>
    </w:p>
    <w:p>
      <w:pPr>
        <w:rPr>
          <w:noProof/>
          <w:highlight w:val="lightGray"/>
        </w:rPr>
      </w:pPr>
      <w:r>
        <w:rPr>
          <w:rStyle w:val="CRRefonteDeleted"/>
          <w:noProof/>
          <w:highlight w:val="lightGray"/>
        </w:rPr>
        <w:t>(4)</w:t>
      </w:r>
      <w:r>
        <w:rPr>
          <w:noProof/>
        </w:rPr>
        <w:tab/>
      </w:r>
      <w:r>
        <w:rPr>
          <w:rStyle w:val="CRRefonteDeleted"/>
          <w:noProof/>
          <w:highlight w:val="lightGray"/>
        </w:rPr>
        <w:t>Pentru a facilita schimbul de informații menționate la alineatul (3) din prezentul articol, Comisia adoptă, prin acte de punere în aplicare, măsurile practice necesare, inclusiv măsuri de standardizare a comunicării informațiilor prevăzute la alineatul respectiv, în cadrul procedurii de stabilire a formularului-tip electronic prevăzut la articolul 20 alineatul (5). Respectivele acte de punere în aplicare se adoptă în conformitate cu procedura menționată la articolul 26 alineatul (2).</w:t>
      </w:r>
    </w:p>
    <w:p>
      <w:pPr>
        <w:rPr>
          <w:noProof/>
        </w:rPr>
      </w:pPr>
      <w:r>
        <w:rPr>
          <w:rStyle w:val="CRMinorChangeAdded"/>
          <w:noProof/>
        </w:rPr>
        <w:t>(4)</w:t>
      </w:r>
      <w:r>
        <w:rPr>
          <w:rStyle w:val="CRMinorChangeDeleted"/>
          <w:noProof/>
        </w:rPr>
        <w:t>(5)</w:t>
      </w:r>
      <w:r>
        <w:rPr>
          <w:noProof/>
        </w:rPr>
        <w:tab/>
        <w:t>Comisia nu are acces la informațiile menționate la alineatul (3) literele (a) și (b).</w:t>
      </w:r>
    </w:p>
    <w:p>
      <w:pPr>
        <w:rPr>
          <w:noProof/>
        </w:rPr>
      </w:pPr>
      <w:r>
        <w:rPr>
          <w:noProof/>
        </w:rPr>
        <w:lastRenderedPageBreak/>
        <w:t>(5)</w:t>
      </w:r>
      <w:r>
        <w:rPr>
          <w:noProof/>
        </w:rPr>
        <w:tab/>
        <w:t xml:space="preserve">Comunicarea în temeiul alineatului (3) din prezentul articol se efectuează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fără întârziere și în decurs de cel mult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prin intermediul formularului-tip electronic menționat la articolul 20 alineatul (5), în termen de</w:t>
      </w:r>
      <w:r>
        <w:rPr>
          <w:noProof/>
        </w:rPr>
        <w:t xml:space="preserve"> nouă luni de la încheierea anului calendaristic aferent cerințelor de raportare aplicabile Furnizorilor de Servicii de Criptoactive Raportori. </w:t>
      </w:r>
      <w:r>
        <w:rPr>
          <w:rStyle w:val="CRDeleted"/>
          <w:noProof/>
        </w:rPr>
        <w:t>Primele informații se comunică pentru anul calendaristic relevant sau pentru altă perioadă de raportare adecvată începând cu 1 ianuarie 2026.</w:t>
      </w:r>
    </w:p>
    <w:p>
      <w:pPr>
        <w:pStyle w:val="Titrearticle"/>
        <w:rPr>
          <w:rStyle w:val="CRMinorChangeAdded"/>
          <w:noProof/>
          <w:u w:val="none"/>
        </w:rPr>
      </w:pPr>
      <w:r>
        <w:rPr>
          <w:rStyle w:val="CRMinorChangeAdded"/>
          <w:noProof/>
          <w:u w:val="none"/>
        </w:rPr>
        <w:t>Articolul 13</w:t>
      </w:r>
    </w:p>
    <w:p>
      <w:pPr>
        <w:pStyle w:val="NormalCentered"/>
        <w:rPr>
          <w:b/>
          <w:bCs/>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Înregistrarea Operatorilor de Criptoactive</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rStyle w:val="CRMinorChangeAdded"/>
          <w:noProof/>
        </w:rPr>
        <w:t>(1)</w:t>
      </w:r>
      <w:r>
        <w:rPr>
          <w:rStyle w:val="CRMinorChangeDeleted"/>
          <w:noProof/>
        </w:rPr>
        <w:t>(7)</w:t>
      </w:r>
      <w:r>
        <w:rPr>
          <w:noProof/>
        </w:rPr>
        <w:tab/>
        <w:t xml:space="preserve">Pentru a asigura respectarea cerințelor de raportare menționate la </w:t>
      </w:r>
      <w:r>
        <w:rPr>
          <w:rStyle w:val="CRMinorChangeDeleted"/>
          <w:noProof/>
        </w:rPr>
        <w:t>alineatul (1)</w:t>
      </w:r>
      <w:r>
        <w:rPr>
          <w:rStyle w:val="CRMinorChangeAdded"/>
          <w:noProof/>
        </w:rPr>
        <w:t xml:space="preserve"> articolul 12 alineatul (1)</w:t>
      </w:r>
      <w:r>
        <w:rPr>
          <w:noProof/>
        </w:rPr>
        <w:t>, fiecare stat membru stabilește normele necesare pentru a impune unui Operator de Criptoactive să se înregistreze în Uniune. Autoritatea competentă a statului membru de înregistrare alocă respectivului Operator de Criptoactive un număr individual de identificare.</w:t>
      </w:r>
    </w:p>
    <w:p>
      <w:pPr>
        <w:rPr>
          <w:noProof/>
        </w:rPr>
      </w:pPr>
      <w:r>
        <w:rPr>
          <w:noProof/>
        </w:rPr>
        <w:t>Statele membre stabilesc normele în temeiul cărora un Operator de Criptoactive se înregistrează la autoritatea competentă dintr-un singur stat membru în conformitate cu normele prevăzute în anexa VI secțiunea V punctul F.</w:t>
      </w:r>
    </w:p>
    <w:p>
      <w:pPr>
        <w:rPr>
          <w:noProof/>
        </w:rPr>
      </w:pPr>
      <w:r>
        <w:rPr>
          <w:noProof/>
        </w:rPr>
        <w:t>Statele membre iau măsurile necesare pentru a impune ca unui Operator de Criptoactive a cărui înregistrare a fost revocată în conformitate cu anexa VI secțiunea V punctul F subpunctul 7 să i se permită reînregistrarea numai cu condiția să furnizeze autorităților statului membru în cauză o garanție adecvată privind angajamentul său de a respecta cerințele de raportare din Uniune, inclusiv orice cerință de raportare neîndeplinită restantă.</w:t>
      </w:r>
    </w:p>
    <w:p>
      <w:pPr>
        <w:rPr>
          <w:noProof/>
        </w:rPr>
      </w:pPr>
      <w:r>
        <w:rPr>
          <w:rStyle w:val="CRMinorChangeAdded"/>
          <w:noProof/>
        </w:rPr>
        <w:t>(2)</w:t>
      </w:r>
      <w:r>
        <w:rPr>
          <w:rStyle w:val="CRMinorChangeDeleted"/>
          <w:noProof/>
        </w:rPr>
        <w:t>(8)</w:t>
      </w:r>
      <w:r>
        <w:rPr>
          <w:noProof/>
        </w:rPr>
        <w:tab/>
        <w:t xml:space="preserve">Alineatul </w:t>
      </w:r>
      <w:r>
        <w:rPr>
          <w:rStyle w:val="CRMinorChangeAdded"/>
          <w:noProof/>
        </w:rPr>
        <w:t>(1)</w:t>
      </w:r>
      <w:r>
        <w:rPr>
          <w:rStyle w:val="CRMinorChangeDeleted"/>
          <w:noProof/>
        </w:rPr>
        <w:t>(7)</w:t>
      </w:r>
      <w:r>
        <w:rPr>
          <w:noProof/>
        </w:rPr>
        <w:t xml:space="preserve"> de la prezentul articol nu se aplică Furnizorilor de Servicii de Criptoactive în sensul anexei VI secțiunea IV punctul B subpunctul 1.</w:t>
      </w:r>
    </w:p>
    <w:p>
      <w:pPr>
        <w:rPr>
          <w:noProof/>
        </w:rPr>
      </w:pPr>
      <w:r>
        <w:rPr>
          <w:rStyle w:val="CRMinorChangeAdded"/>
          <w:noProof/>
        </w:rPr>
        <w:t>(3)</w:t>
      </w:r>
      <w:r>
        <w:rPr>
          <w:rStyle w:val="CRMinorChangeDeleted"/>
          <w:noProof/>
        </w:rPr>
        <w:t>(9)</w:t>
      </w:r>
      <w:r>
        <w:rPr>
          <w:noProof/>
        </w:rPr>
        <w:tab/>
        <w:t>Comisia stabilește, prin acte de punere în aplicare, modalitățile practice și tehnice necesare pentru înregistrarea și identificarea Operatorilor de Criptoactive. Respectivele acte de punere în aplicare se adoptă în conformitate cu procedura menționată la articolul </w:t>
      </w:r>
      <w:r>
        <w:rPr>
          <w:rStyle w:val="CRMinorChangeAdded"/>
          <w:noProof/>
        </w:rPr>
        <w:t>51</w:t>
      </w:r>
      <w:r>
        <w:rPr>
          <w:rStyle w:val="CRMinorChangeDeleted"/>
          <w:noProof/>
        </w:rPr>
        <w:t>26</w:t>
      </w:r>
      <w:r>
        <w:rPr>
          <w:noProof/>
        </w:rPr>
        <w:t xml:space="preserve"> alineatul (2).</w:t>
      </w:r>
    </w:p>
    <w:p>
      <w:pPr>
        <w:rPr>
          <w:noProof/>
        </w:rPr>
      </w:pPr>
      <w:r>
        <w:rPr>
          <w:rStyle w:val="CRMinorChangeAdded"/>
          <w:noProof/>
        </w:rPr>
        <w:t>(4)</w:t>
      </w:r>
      <w:r>
        <w:rPr>
          <w:rStyle w:val="CRMinorChangeDeleted"/>
          <w:noProof/>
        </w:rPr>
        <w:t>(10)</w:t>
      </w:r>
      <w:r>
        <w:rPr>
          <w:noProof/>
        </w:rPr>
        <w:tab/>
      </w:r>
      <w:r>
        <w:rPr>
          <w:rStyle w:val="CRDeleted"/>
          <w:noProof/>
        </w:rPr>
        <w:t>Până la 31 decembrie 2025,</w:t>
      </w:r>
      <w:r>
        <w:rPr>
          <w:noProof/>
        </w:rPr>
        <w:t xml:space="preserve"> Comisia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menține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întocmește</w:t>
      </w:r>
      <w:r>
        <w:rPr>
          <w:noProof/>
        </w:rPr>
        <w:t xml:space="preserve"> un registru al Operatorilor de Criptoactive în care se înregistrează informațiile care se comunică în conformitate cu anexa VI secțiunea V punctul F subpunctul 2. Registrul Operatorilor de Criptoactive respectiv este pus la dispoziția autorităților competente din toate statele membre.</w:t>
      </w:r>
    </w:p>
    <w:p>
      <w:pPr>
        <w:pStyle w:val="Titrearticle"/>
        <w:rPr>
          <w:rStyle w:val="CRMinorChangeAdded"/>
          <w:noProof/>
          <w:u w:val="none"/>
        </w:rPr>
      </w:pPr>
      <w:r>
        <w:rPr>
          <w:rStyle w:val="CRMinorChangeAdded"/>
          <w:noProof/>
          <w:u w:val="none"/>
        </w:rPr>
        <w:t>Articolul 14</w:t>
      </w:r>
    </w:p>
    <w:p>
      <w:pPr>
        <w:pStyle w:val="NormalCentered"/>
        <w:rPr>
          <w:b/>
          <w:bCs/>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Echivalența</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rStyle w:val="CRMinorChangeAdded"/>
          <w:noProof/>
        </w:rPr>
        <w:t>(1)</w:t>
      </w:r>
      <w:r>
        <w:rPr>
          <w:rStyle w:val="CRMinorChangeDeleted"/>
          <w:noProof/>
        </w:rPr>
        <w:t>(11)</w:t>
      </w:r>
      <w:r>
        <w:rPr>
          <w:noProof/>
        </w:rPr>
        <w:tab/>
        <w:t>La solicitarea motivată a oricărui stat membru sau din proprie inițiativă, Comisia stabilește, prin intermediul unor acte de punere în aplicare, dacă informațiile care trebuie să facă obiectul schimbului automat de informații în temeiul unui acord între autoritățile competente ale statului membru în cauză și o jurisdicție din afara Uniunii corespund celor indicate în secțiunea II punctul B din anexa VI, în sensul secțiunii IV punctul F subpunctul 5 din anexa VI. Respectivele acte de punere în aplicare se adoptă în conformitate cu procedura menționată la articolul </w:t>
      </w:r>
      <w:r>
        <w:rPr>
          <w:rStyle w:val="CRMinorChangeAdded"/>
          <w:noProof/>
        </w:rPr>
        <w:t>51</w:t>
      </w:r>
      <w:r>
        <w:rPr>
          <w:rStyle w:val="CRMinorChangeDeleted"/>
          <w:noProof/>
        </w:rPr>
        <w:t>26</w:t>
      </w:r>
      <w:r>
        <w:rPr>
          <w:noProof/>
        </w:rPr>
        <w:t xml:space="preserve"> alineatul (2).</w:t>
      </w:r>
    </w:p>
    <w:p>
      <w:pPr>
        <w:rPr>
          <w:noProof/>
        </w:rPr>
      </w:pPr>
      <w:r>
        <w:rPr>
          <w:noProof/>
        </w:rPr>
        <w:t>Un stat membru care solicită măsura menționată la primul paragraf transmite Comisiei o cerere motivată.</w:t>
      </w:r>
    </w:p>
    <w:p>
      <w:pPr>
        <w:rPr>
          <w:noProof/>
        </w:rPr>
      </w:pPr>
      <w:r>
        <w:rPr>
          <w:noProof/>
        </w:rPr>
        <w:lastRenderedPageBreak/>
        <w:t>În cazul în care consideră că nu dispune de toate informațiile necesare pentru evaluarea cererii, Comisia contactează statul membru în cauză în termen de două luni de la primirea cererii și precizează informațiile suplimentare care sunt necesare. Odată ce Comisia dispune de toate informațiile pe care le consideră necesare, aceasta informează statul membru solicitant în termen de o lună și transmite informațiile relevante comitetului menționat la articolul </w:t>
      </w:r>
      <w:r>
        <w:rPr>
          <w:rStyle w:val="CRMinorChangeAdded"/>
          <w:noProof/>
        </w:rPr>
        <w:t>51</w:t>
      </w:r>
      <w:r>
        <w:rPr>
          <w:rStyle w:val="CRMinorChangeDeleted"/>
          <w:noProof/>
        </w:rPr>
        <w:t>26</w:t>
      </w:r>
      <w:r>
        <w:rPr>
          <w:noProof/>
        </w:rPr>
        <w:t xml:space="preserve"> alineatul (1).</w:t>
      </w:r>
    </w:p>
    <w:p>
      <w:pPr>
        <w:rPr>
          <w:noProof/>
        </w:rPr>
      </w:pPr>
      <w:r>
        <w:rPr>
          <w:noProof/>
        </w:rPr>
        <w:t>Atunci când acționează din proprie inițiativă, Comisia adoptă un act de punere în aplicare, astfel cum se menționează la primul paragraf, numai cu privire la un acord privind stabilirea autorității competente încheiat de un stat membru cu o jurisdicție din afara Uniunii în care se prevede schimbul automat de informații privind o persoană fizică sau o Entitate care este client al unui Furnizor de Servicii de Criptoactive Raportor în scopul efectuării Tranzacțiilor care fac Obiectul Raportării.</w:t>
      </w:r>
    </w:p>
    <w:p>
      <w:pPr>
        <w:rPr>
          <w:noProof/>
        </w:rPr>
      </w:pPr>
      <w:r>
        <w:rPr>
          <w:noProof/>
        </w:rPr>
        <w:t>Atunci când stabilește dacă informațiile corespund Tranzacțiilor care fac Obiectul Raportării, în sensul primului paragraf, Comisia ține seama în mod corespunzător de măsura în care regimul pe care se bazează aceste informații corespunde celui prevăzut în anexa VI, în special în ceea ce privește:</w:t>
      </w:r>
    </w:p>
    <w:p>
      <w:pPr>
        <w:pStyle w:val="Point0"/>
        <w:rPr>
          <w:noProof/>
        </w:rPr>
      </w:pPr>
      <w:r>
        <w:rPr>
          <w:noProof/>
        </w:rPr>
        <w:tab/>
        <w:t>(a)</w:t>
      </w:r>
      <w:r>
        <w:rPr>
          <w:noProof/>
        </w:rPr>
        <w:tab/>
        <w:t>definiția Furnizorului de Servicii de Criptoactive Raportor, a Utilizatorului care face Obiectul Raportării și a Tranzacției care face Obiectul Raportării;</w:t>
      </w:r>
    </w:p>
    <w:p>
      <w:pPr>
        <w:pStyle w:val="Point0"/>
        <w:rPr>
          <w:noProof/>
        </w:rPr>
      </w:pPr>
      <w:r>
        <w:rPr>
          <w:noProof/>
        </w:rPr>
        <w:tab/>
        <w:t>(b)</w:t>
      </w:r>
      <w:r>
        <w:rPr>
          <w:noProof/>
        </w:rPr>
        <w:tab/>
        <w:t>procedurile aplicabile în scopul identificării Utilizatorilor care fac Obiectul Raportării;</w:t>
      </w:r>
    </w:p>
    <w:p>
      <w:pPr>
        <w:pStyle w:val="Point0"/>
        <w:rPr>
          <w:noProof/>
        </w:rPr>
      </w:pPr>
      <w:r>
        <w:rPr>
          <w:noProof/>
        </w:rPr>
        <w:tab/>
        <w:t>(c)</w:t>
      </w:r>
      <w:r>
        <w:rPr>
          <w:noProof/>
        </w:rPr>
        <w:tab/>
        <w:t>cerințele de raportare;</w:t>
      </w:r>
    </w:p>
    <w:p>
      <w:pPr>
        <w:pStyle w:val="Point0"/>
        <w:rPr>
          <w:noProof/>
        </w:rPr>
      </w:pPr>
      <w:r>
        <w:rPr>
          <w:noProof/>
        </w:rPr>
        <w:tab/>
        <w:t>(d)</w:t>
      </w:r>
      <w:r>
        <w:rPr>
          <w:noProof/>
        </w:rPr>
        <w:tab/>
        <w:t>normele și procedurile administrative care trebuie instituite de către jurisdicțiile din afara Uniunii pentru a asigura punerea în aplicare efectivă și respectarea procedurilor de diligență fiscală și a cerințelor de raportare prevăzute în regimul respectiv.</w:t>
      </w:r>
    </w:p>
    <w:p>
      <w:pPr>
        <w:rPr>
          <w:noProof/>
        </w:rPr>
      </w:pPr>
      <w:r>
        <w:rPr>
          <w:noProof/>
        </w:rPr>
        <w:t>Procedura prevăzută la prezentul alineat se aplică și pentru a stabili că informațiile nu mai corespund informațiilor prevăzute în anexa VI secțiunea IV punctul F subpunctul 5.</w:t>
      </w:r>
    </w:p>
    <w:p>
      <w:pPr>
        <w:rPr>
          <w:noProof/>
        </w:rPr>
      </w:pPr>
      <w:r>
        <w:rPr>
          <w:rStyle w:val="CRMinorChangeAdded"/>
          <w:noProof/>
        </w:rPr>
        <w:t>(2)</w:t>
      </w:r>
      <w:r>
        <w:rPr>
          <w:rStyle w:val="CRMinorChangeDeleted"/>
          <w:noProof/>
        </w:rPr>
        <w:t>(12)</w:t>
      </w:r>
      <w:r>
        <w:rPr>
          <w:noProof/>
        </w:rPr>
        <w:tab/>
        <w:t xml:space="preserve">Fără a aduce atingere alineatului </w:t>
      </w:r>
      <w:r>
        <w:rPr>
          <w:rStyle w:val="CRMinorChangeAdded"/>
          <w:noProof/>
        </w:rPr>
        <w:t>(1)</w:t>
      </w:r>
      <w:r>
        <w:rPr>
          <w:rStyle w:val="CRMinorChangeDeleted"/>
          <w:noProof/>
        </w:rPr>
        <w:t>(11)</w:t>
      </w:r>
      <w:r>
        <w:rPr>
          <w:noProof/>
        </w:rPr>
        <w:t xml:space="preserve">, în cazul în care se stabilește că un standard internațional privind raportarea și schimbul automat de informații privind criptoactivele este un standard minim sau echivalent, nu mai este necesară stabilirea de către Comisie, prin intermediul unor acte de punere în aplicare, a faptului că informațiile care trebuie să facă obiectul schimbului automat în temeiul aplicării standardului respectiv și al acordului privind stabilirea autorității competente încheiat între statul membru (statele membre) în cauză și o jurisdicție din afara Uniunii corespund. Se consideră că aceste informații corespund informațiilor care trebuie transmise în temeiul prezentei directive, cu condiția să existe un acord efectiv privind stabilirea autorității competente încheiat între autoritățile competente din toate statele membre în cauză și jurisdicția din afara Uniunii care solicită schimbul automat de informații cu privire la o persoană fizică sau o entitate care este client al unui Furnizor de Servicii de Criptoactive Raportor în scopul efectuării Tranzacțiilor care fac obiectul Raportării. Dispozițiile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corespunzătoare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privind corespondența</w:t>
      </w:r>
      <w:r>
        <w:rPr>
          <w:noProof/>
        </w:rPr>
        <w:t xml:space="preserve"> din prezentul articol și din anexa VI nu se mai aplică în astfel de scopuri.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articolul 1 punctul 3 (adaptat)</w:t>
      </w:r>
    </w:p>
    <w:bookmarkStart w:id="43" w:name="_Hlk218516869"/>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SectionTitle"/>
        <w:rPr>
          <w:rStyle w:val="CRMinorChangeAdded"/>
          <w:noProof/>
        </w:rPr>
      </w:pPr>
      <w:r>
        <w:rPr>
          <w:rStyle w:val="CRMinorChangeAdded"/>
          <w:noProof/>
        </w:rPr>
        <w:t>Secțiunea VIII</w:t>
      </w:r>
    </w:p>
    <w:p>
      <w:pPr>
        <w:pStyle w:val="SectionTitle"/>
        <w:rPr>
          <w:rStyle w:val="CRMinorChangeAdded"/>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Schimb</w:t>
      </w:r>
      <w:bookmarkEnd w:id="43"/>
      <w:r>
        <w:rPr>
          <w:noProof/>
        </w:rPr>
        <w:t xml:space="preserve">ul de informații cu privire la Declarațiile privind impozitul suplimentar în temeiul articolului 44 din Directiva (UE) 2022/2523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rStyle w:val="CRDeleted"/>
          <w:noProof/>
        </w:rPr>
        <w:t>Articolul 8ae</w:t>
      </w:r>
    </w:p>
    <w:p>
      <w:pPr>
        <w:pStyle w:val="NormalCentered"/>
        <w:rPr>
          <w:b/>
          <w:noProof/>
        </w:rPr>
      </w:pPr>
      <w:r>
        <w:rPr>
          <w:rStyle w:val="CRDeleted"/>
          <w:b/>
          <w:noProof/>
        </w:rPr>
        <w:t>Formatul pentru depunerea declarațiilor și schimbul</w:t>
      </w:r>
      <w:r>
        <w:rPr>
          <w:rStyle w:val="CRDeleted"/>
          <w:b/>
          <w:smallCaps/>
          <w:noProof/>
        </w:rPr>
        <w:t xml:space="preserve"> de informații cu privire la Declarațiile privind impozitul suplimentar în temeiul articolului 44 din Directiva (UE) 2022/2523</w:t>
      </w:r>
    </w:p>
    <w:p>
      <w:pPr>
        <w:pStyle w:val="Titrearticle"/>
        <w:rPr>
          <w:rStyle w:val="CRMinorChangeAdded"/>
          <w:noProof/>
          <w:u w:val="none"/>
        </w:rPr>
      </w:pPr>
      <w:r>
        <w:rPr>
          <w:rStyle w:val="CRMinorChangeAdded"/>
          <w:noProof/>
          <w:u w:val="none"/>
        </w:rPr>
        <w:t>Articolul 15</w:t>
      </w:r>
    </w:p>
    <w:p>
      <w:pPr>
        <w:pStyle w:val="NormalCentered"/>
        <w:rPr>
          <w:b/>
          <w:bCs/>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 xml:space="preserve">Formatul pentru depunerea declarațiilor și schimbul de informații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noProof/>
        </w:rPr>
        <w:t>(1)</w:t>
      </w:r>
      <w:r>
        <w:rPr>
          <w:noProof/>
        </w:rPr>
        <w:tab/>
        <w:t xml:space="preserve">Fiecare stat membru ia măsurile necesare pentru a impune entității constitutive care depune declarația din cadrul unui grup de întreprinderi multinaționale să utilizeze </w:t>
      </w:r>
      <w:bookmarkStart w:id="44" w:name="_Hlk228470889"/>
      <w:r>
        <w:rPr>
          <w:rStyle w:val="CRRefonteDeleted"/>
          <w:noProof/>
          <w:highlight w:val="lightGray"/>
        </w:rPr>
        <w:t>modelul standard prevăzut în secțiunea IV din anexa VII la</w:t>
      </w:r>
      <w:bookmarkEnd w:id="44"/>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formularul standard stabilit în conformitate cu articolul 43 din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prezenta directivă în vederea îndeplinirii obligațiilor de declarare în temeiul articolului 44 din Directiva (UE) 2022/2523.</w:t>
      </w:r>
    </w:p>
    <w:p>
      <w:pPr>
        <w:rPr>
          <w:noProof/>
        </w:rPr>
      </w:pPr>
      <w:r>
        <w:rPr>
          <w:noProof/>
        </w:rPr>
        <w:t>(2)</w:t>
      </w:r>
      <w:r>
        <w:rPr>
          <w:noProof/>
        </w:rPr>
        <w:tab/>
        <w:t>Autoritatea competentă a unui stat membru care a primit Declarația privind impozitul suplimentar depusă de societatea-mamă finală sau de entitatea desemnată care depune declarația, astfel cum se menționează la articolul 44 alineatul (3) literele (a) și (b) din Directiva (UE) 2022/2523, comunică, prin intermediul schimbului automat și în conformitate cu abordarea în materie de diseminare de la literele (a)-(c) de mai jos, următoarele:</w:t>
      </w:r>
    </w:p>
    <w:p>
      <w:pPr>
        <w:pStyle w:val="Point0"/>
        <w:rPr>
          <w:noProof/>
        </w:rPr>
      </w:pPr>
      <w:r>
        <w:rPr>
          <w:noProof/>
        </w:rPr>
        <w:tab/>
        <w:t>(a)</w:t>
      </w:r>
      <w:r>
        <w:rPr>
          <w:noProof/>
        </w:rPr>
        <w:tab/>
        <w:t>Secțiunea generală din Declarația privind impozitul suplimentar către Statul membru de punere în aplicare în care sunt situate societatea-mamă finală sau entitățile constitutive ale grupului de întreprinderi multinaționale;</w:t>
      </w:r>
    </w:p>
    <w:p>
      <w:pPr>
        <w:pStyle w:val="Point0"/>
        <w:rPr>
          <w:noProof/>
        </w:rPr>
      </w:pPr>
      <w:r>
        <w:rPr>
          <w:noProof/>
        </w:rPr>
        <w:tab/>
        <w:t>(b)</w:t>
      </w:r>
      <w:r>
        <w:rPr>
          <w:noProof/>
        </w:rPr>
        <w:tab/>
        <w:t>Secțiunea generală din Declarația privind impozitul suplimentar, cu excepția sintezei generale a informațiilor din secțiunea 1.4 din cadrul acesteia, către statele membre care aplică doar un impozit suplimentar național calificat (qualified domestic top-up tax – QDTT) și:</w:t>
      </w:r>
    </w:p>
    <w:p>
      <w:pPr>
        <w:pStyle w:val="Point1"/>
        <w:rPr>
          <w:noProof/>
        </w:rPr>
      </w:pPr>
      <w:r>
        <w:rPr>
          <w:noProof/>
        </w:rPr>
        <w:tab/>
        <w:t>(i)</w:t>
      </w:r>
      <w:r>
        <w:rPr>
          <w:noProof/>
        </w:rPr>
        <w:tab/>
        <w:t>în care sunt situate entitățile constitutive ale grupului de întreprinderi multinaționale;</w:t>
      </w:r>
    </w:p>
    <w:p>
      <w:pPr>
        <w:pStyle w:val="Point1"/>
        <w:rPr>
          <w:noProof/>
        </w:rPr>
      </w:pPr>
      <w:r>
        <w:rPr>
          <w:noProof/>
        </w:rPr>
        <w:tab/>
        <w:t>(ii)</w:t>
      </w:r>
      <w:r>
        <w:rPr>
          <w:noProof/>
        </w:rPr>
        <w:tab/>
        <w:t>în care este situată o asociere în participație sau un membru al unui grup de asocieri în participație ale grupului de întreprinderi multinaționale, dacă impozitul suplimentar național calificat este impus asocierilor în participație din statele membre respective;</w:t>
      </w:r>
    </w:p>
    <w:p>
      <w:pPr>
        <w:pStyle w:val="Point1"/>
        <w:rPr>
          <w:noProof/>
        </w:rPr>
      </w:pPr>
      <w:r>
        <w:rPr>
          <w:noProof/>
        </w:rPr>
        <w:tab/>
        <w:t>(iii)</w:t>
      </w:r>
      <w:r>
        <w:rPr>
          <w:noProof/>
        </w:rPr>
        <w:tab/>
        <w:t>dacă, în statele membre respective, impozitul suplimentar național calificat este impus unei entități constitutive apatride sau unei asocieri în participație apatride a grupului de întreprinderi multinaționale;</w:t>
      </w:r>
    </w:p>
    <w:p>
      <w:pPr>
        <w:pStyle w:val="Point0"/>
        <w:rPr>
          <w:noProof/>
        </w:rPr>
      </w:pPr>
      <w:r>
        <w:rPr>
          <w:noProof/>
        </w:rPr>
        <w:lastRenderedPageBreak/>
        <w:tab/>
        <w:t>(c)</w:t>
      </w:r>
      <w:r>
        <w:rPr>
          <w:noProof/>
        </w:rPr>
        <w:tab/>
        <w:t>una sau mai multe Secțiuni jurisdicționale din Declarația privind impozitul suplimentar către statele membre care au drepturi de impozitare în temeiul Directivei (UE) 2022/2523, inclusiv dreptul de a aplica impozitul suplimentar național calificat, în cazul statelor membre vizate de respectivele Secțiuni jurisdicționale.</w:t>
      </w:r>
    </w:p>
    <w:p>
      <w:pPr>
        <w:rPr>
          <w:noProof/>
        </w:rPr>
      </w:pPr>
      <w:r>
        <w:rPr>
          <w:noProof/>
        </w:rPr>
        <w:t xml:space="preserve">Prin excepție de la </w:t>
      </w:r>
      <w:r>
        <w:rPr>
          <w:rStyle w:val="CRDeleted"/>
          <w:noProof/>
        </w:rPr>
        <w:t>primul paragraf</w:t>
      </w:r>
      <w:r>
        <w:rPr>
          <w:noProof/>
        </w:rPr>
        <w:t xml:space="preserve"> litera (c), jurisdicțiilor care aplică UTPR cu un procent alocat în temeiul UTPR egal cu zero li se pune la dispoziție doar partea din Declarația privind impozitul suplimentar care conține informații privind atribuirea impozitului suplimentar în temeiul UTPR în ceea ce privește jurisdicția respectivă, aceste informații fiind în concordanță cu un extras din secțiunea 3.4.3 din Declarația privind impozitul suplimentar, iar Statului membru de punere în aplicare în care este situată societatea-mamă finală i se pun la dispoziție toate Secțiunile jurisdicționale.</w:t>
      </w:r>
    </w:p>
    <w:p>
      <w:pPr>
        <w:rPr>
          <w:noProof/>
        </w:rPr>
      </w:pPr>
      <w:r>
        <w:rPr>
          <w:noProof/>
        </w:rPr>
        <w:t>(3)</w:t>
      </w:r>
      <w:r>
        <w:rPr>
          <w:noProof/>
        </w:rPr>
        <w:tab/>
        <w:t xml:space="preserve">Autoritatea competentă a unui stat membru comunică Declarația privind impozitul suplimentar primită în temeiul alineatului (2)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fără întârziere și în termen de cel mult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trei luni de la termenul de depunere pentru Anul fiscal de raportare.</w:t>
      </w:r>
    </w:p>
    <w:p>
      <w:pPr>
        <w:rPr>
          <w:noProof/>
        </w:rPr>
      </w:pPr>
      <w:r>
        <w:rPr>
          <w:noProof/>
        </w:rPr>
        <w:t>(4)</w:t>
      </w:r>
      <w:r>
        <w:rPr>
          <w:noProof/>
        </w:rPr>
        <w:tab/>
        <w:t xml:space="preserve">Autoritatea competentă a unui stat membru comunică Declarația privind impozitul suplimentar primită după termenul de depunere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de îndată ce informațiile sunt disponibile și în orice caz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în termen de cel mult trei luni de la data primirii acesteia.</w:t>
      </w:r>
    </w:p>
    <w:p>
      <w:pPr>
        <w:rPr>
          <w:noProof/>
          <w:highlight w:val="lightGray"/>
        </w:rPr>
      </w:pPr>
      <w:r>
        <w:rPr>
          <w:rStyle w:val="CRRefonteDeleted"/>
          <w:noProof/>
          <w:highlight w:val="lightGray"/>
        </w:rPr>
        <w:t>(5)</w:t>
      </w:r>
      <w:r>
        <w:rPr>
          <w:noProof/>
        </w:rPr>
        <w:tab/>
      </w:r>
      <w:r>
        <w:rPr>
          <w:rStyle w:val="CRRefonteDeleted"/>
          <w:noProof/>
          <w:highlight w:val="lightGray"/>
        </w:rPr>
        <w:t>Comisia adoptă, prin acte de punere în aplicare, modalitățile practice necesare pentru a facilita comunicarea menționată la alineatul (2) din prezentul articol. Respectivele acte de punere în aplicare se adoptă în conformitate cu procedura menționată la articolul 26 alineatul (2).</w:t>
      </w:r>
    </w:p>
    <w:p>
      <w:pPr>
        <w:rPr>
          <w:noProof/>
        </w:rPr>
      </w:pPr>
      <w:r>
        <w:rPr>
          <w:rStyle w:val="CRMinorChangeAdded"/>
          <w:noProof/>
        </w:rPr>
        <w:t>(5)</w:t>
      </w:r>
      <w:r>
        <w:rPr>
          <w:rStyle w:val="CRMinorChangeDeleted"/>
          <w:noProof/>
        </w:rPr>
        <w:t>(6)</w:t>
      </w:r>
      <w:r>
        <w:rPr>
          <w:noProof/>
        </w:rPr>
        <w:tab/>
        <w:t>Comisia nu are acces la informațiile menționate la alineatul (2) literele (a)</w:t>
      </w:r>
      <w:r>
        <w:rPr>
          <w:rStyle w:val="CRMinorChangeAdded"/>
          <w:noProof/>
        </w:rPr>
        <w:t xml:space="preserve">, (b) și </w:t>
      </w:r>
      <w:r>
        <w:rPr>
          <w:rStyle w:val="CRMinorChangeDeleted"/>
          <w:noProof/>
        </w:rPr>
        <w:t>-</w:t>
      </w:r>
      <w:r>
        <w:rPr>
          <w:noProof/>
        </w:rPr>
        <w:t>(c).</w:t>
      </w:r>
    </w:p>
    <w:p>
      <w:pPr>
        <w:rPr>
          <w:rStyle w:val="CRRefonteDeleted"/>
          <w:noProof/>
        </w:rPr>
      </w:pPr>
      <w:r>
        <w:rPr>
          <w:rStyle w:val="CRRefonteDeleted"/>
          <w:noProof/>
          <w:highlight w:val="lightGray"/>
        </w:rPr>
        <w:t>(7)</w:t>
      </w:r>
      <w:r>
        <w:rPr>
          <w:noProof/>
        </w:rPr>
        <w:tab/>
      </w:r>
      <w:r>
        <w:rPr>
          <w:rStyle w:val="CRRefonteDeleted"/>
          <w:noProof/>
          <w:highlight w:val="lightGray"/>
        </w:rPr>
        <w:t>Comunicarea de informații menționată la alineatele (2), (3) și (4) din prezentul articol se efectuează utilizându-se formatul electronic standardizat menționat la articolul 20 alineatul (4).</w:t>
      </w:r>
    </w:p>
    <w:p>
      <w:pPr>
        <w:pStyle w:val="Titrearticle"/>
        <w:rPr>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rStyle w:val="CRMinorChangeAdded"/>
          <w:b/>
          <w:i w:val="0"/>
          <w:smallCaps/>
          <w:noProof/>
          <w:sz w:val="28"/>
        </w:rPr>
        <w:t>Secțiunea IX – Notificări</w:t>
      </w:r>
      <w:r>
        <w:rPr>
          <w:b/>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Titrearticle"/>
        <w:rPr>
          <w:noProof/>
          <w:highlight w:val="lightGray"/>
        </w:rPr>
      </w:pPr>
      <w:r>
        <w:rPr>
          <w:noProof/>
          <w:highlight w:val="lightGray"/>
        </w:rPr>
        <w:t>Articolul 16</w:t>
      </w:r>
    </w:p>
    <w:p>
      <w:pPr>
        <w:pStyle w:val="NormalCentered"/>
        <w:rPr>
          <w:b/>
          <w:bCs/>
          <w:noProof/>
          <w:highlight w:val="lightGray"/>
        </w:rPr>
      </w:pPr>
      <w:r>
        <w:rPr>
          <w:b/>
          <w:noProof/>
          <w:highlight w:val="lightGray"/>
        </w:rPr>
        <w:t>Notificări în sensul anexei III la prezenta directivă și al articolului 44 alineatul (4) din Directiva (UE) 2022/2523 și schimbul automat</w:t>
      </w:r>
    </w:p>
    <w:p>
      <w:pPr>
        <w:pStyle w:val="NormalCentered"/>
        <w:jc w:val="both"/>
        <w:rPr>
          <w:noProof/>
          <w:highlight w:val="lightGray"/>
        </w:rPr>
      </w:pPr>
      <w:r>
        <w:rPr>
          <w:noProof/>
          <w:highlight w:val="lightGray"/>
        </w:rPr>
        <w:t>(1)</w:t>
      </w:r>
      <w:r>
        <w:rPr>
          <w:noProof/>
        </w:rPr>
        <w:tab/>
      </w:r>
      <w:r>
        <w:rPr>
          <w:noProof/>
          <w:highlight w:val="lightGray"/>
        </w:rPr>
        <w:t xml:space="preserve">În pofida secțiunii II din anexa III la prezenta directivă și a articolului 44 alineatul (4) din Directiva (UE) 2022/2523, fiecare stat membru ia măsurile necesare pentru a permite entității raportoare în temeiul articolului 7 din prezenta directivă sau entității constitutive care depune declarația din cadrul unui grup de întreprinderi multinaționale care depune rapoarte în temeiul articolului 15 din prezenta directivă să depună o singură notificare. </w:t>
      </w:r>
    </w:p>
    <w:p>
      <w:pPr>
        <w:rPr>
          <w:noProof/>
          <w:highlight w:val="lightGray"/>
        </w:rPr>
      </w:pPr>
      <w:r>
        <w:rPr>
          <w:noProof/>
          <w:highlight w:val="lightGray"/>
        </w:rPr>
        <w:t>Notificarea unică se depune de către entitatea constitutivă care depune declarația din cadrul unui grup de întreprinderi multinaționale în numele tuturor entităților unui grup de întreprinderi multinaționale care își au rezidența în Uniune, utilizând formularul-tip stabilit în conformitate cu articolul 43, cel târziu în ultima zi a Anului fiscal de raportare al respectivului grup de întreprinderi multinaționale.</w:t>
      </w:r>
    </w:p>
    <w:p>
      <w:pPr>
        <w:rPr>
          <w:noProof/>
          <w:highlight w:val="lightGray"/>
        </w:rPr>
      </w:pPr>
      <w:r>
        <w:rPr>
          <w:noProof/>
          <w:highlight w:val="lightGray"/>
        </w:rPr>
        <w:t>Această notificare include următoarele informații:</w:t>
      </w:r>
    </w:p>
    <w:p>
      <w:pPr>
        <w:rPr>
          <w:noProof/>
          <w:highlight w:val="lightGray"/>
        </w:rPr>
      </w:pPr>
      <w:r>
        <w:rPr>
          <w:noProof/>
        </w:rPr>
        <w:lastRenderedPageBreak/>
        <w:tab/>
      </w:r>
      <w:r>
        <w:rPr>
          <w:noProof/>
          <w:highlight w:val="lightGray"/>
        </w:rPr>
        <w:t>(a) identificarea grupului de întreprinderi multinaționale;</w:t>
      </w:r>
    </w:p>
    <w:p>
      <w:pPr>
        <w:ind w:left="720"/>
        <w:rPr>
          <w:noProof/>
          <w:highlight w:val="lightGray"/>
        </w:rPr>
      </w:pPr>
      <w:r>
        <w:rPr>
          <w:noProof/>
          <w:highlight w:val="lightGray"/>
        </w:rPr>
        <w:t>(b) identificarea entităților din grupul de întreprinderi multinaționale care își au rezidența sau sunt situate în Uniune;</w:t>
      </w:r>
    </w:p>
    <w:p>
      <w:pPr>
        <w:ind w:firstLine="720"/>
        <w:rPr>
          <w:noProof/>
          <w:highlight w:val="lightGray"/>
        </w:rPr>
      </w:pPr>
      <w:r>
        <w:rPr>
          <w:noProof/>
          <w:highlight w:val="lightGray"/>
        </w:rPr>
        <w:t>(c) identificarea societății-mamă finale a grupului de întreprinderi multinaționale;</w:t>
      </w:r>
    </w:p>
    <w:p>
      <w:pPr>
        <w:ind w:left="720"/>
        <w:rPr>
          <w:noProof/>
          <w:highlight w:val="lightGray"/>
        </w:rPr>
      </w:pPr>
      <w:r>
        <w:rPr>
          <w:noProof/>
          <w:highlight w:val="lightGray"/>
        </w:rPr>
        <w:t>(d) identificarea entității constitutive care va prezenta raportul menționat la articolul 44 din Directiva (UE) 2022/2523 și în secțiunea II din anexa III la prezenta directivă;</w:t>
      </w:r>
    </w:p>
    <w:p>
      <w:pPr>
        <w:ind w:firstLine="720"/>
        <w:rPr>
          <w:noProof/>
          <w:highlight w:val="lightGray"/>
        </w:rPr>
      </w:pPr>
      <w:r>
        <w:rPr>
          <w:noProof/>
          <w:highlight w:val="lightGray"/>
        </w:rPr>
        <w:t>(e) data de începere și de încheiere a Anului fiscal de raportare;</w:t>
      </w:r>
    </w:p>
    <w:p>
      <w:pPr>
        <w:ind w:left="720"/>
        <w:rPr>
          <w:noProof/>
          <w:highlight w:val="lightGray"/>
        </w:rPr>
      </w:pPr>
      <w:r>
        <w:rPr>
          <w:noProof/>
          <w:highlight w:val="lightGray"/>
        </w:rPr>
        <w:t>(f) informații din care să reiasă dacă entitatea transmite notificarea în scopul transmiterii de rapoarte în temeiul articolului 7 din prezenta directivă, al articolului 15 din prezenta directivă sau al ambelor.</w:t>
      </w:r>
    </w:p>
    <w:p>
      <w:pPr>
        <w:rPr>
          <w:noProof/>
          <w:highlight w:val="lightGray"/>
        </w:rPr>
      </w:pPr>
      <w:r>
        <w:rPr>
          <w:noProof/>
          <w:highlight w:val="lightGray"/>
        </w:rPr>
        <w:t>(2)</w:t>
      </w:r>
      <w:r>
        <w:rPr>
          <w:noProof/>
        </w:rPr>
        <w:tab/>
      </w:r>
      <w:r>
        <w:rPr>
          <w:noProof/>
          <w:highlight w:val="lightGray"/>
        </w:rPr>
        <w:t>Autoritatea competentă a unui stat membru care a primit notificarea depusă de entitatea constitutivă din cadrul unui grup de întreprinderi multinaționale comunică notificarea, prin intermediul schimbului automat, tuturor statelor membre în cauză, fără întârziere și în termen de cel mult trei luni de la data primirii acesteia.</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(adaptat)</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SectionTitle000000"/>
        <w:rPr>
          <w:i/>
          <w:noProof/>
        </w:rPr>
      </w:pPr>
      <w:r>
        <w:rPr>
          <w:rStyle w:val="CRMinorChangeAdded"/>
          <w:noProof/>
        </w:rPr>
        <w:t>CAPITOLUL III</w:t>
      </w:r>
    </w:p>
    <w:p>
      <w:pPr>
        <w:pStyle w:val="SectionTitle000000"/>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w:t>
      </w:r>
      <w:r>
        <w:rPr>
          <w:i/>
          <w:noProof/>
        </w:rPr>
        <w:t>SCHIMBUL NEAUTOMAT DE INFORMAȚII</w:t>
      </w:r>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SectionTitle000000"/>
        <w:rPr>
          <w:noProof/>
        </w:rPr>
      </w:pPr>
      <w:r>
        <w:rPr>
          <w:i/>
          <w:noProof/>
        </w:rPr>
        <w:t>SECȚIUNEA I</w:t>
      </w:r>
    </w:p>
    <w:p>
      <w:pPr>
        <w:pStyle w:val="SectionTitle000000"/>
        <w:rPr>
          <w:noProof/>
        </w:rPr>
      </w:pPr>
      <w:r>
        <w:rPr>
          <w:i/>
          <w:noProof/>
        </w:rPr>
        <w:t>Schimbul de informații la cerere</w:t>
      </w:r>
    </w:p>
    <w:p>
      <w:pPr>
        <w:pStyle w:val="Titrearticle"/>
        <w:rPr>
          <w:noProof/>
        </w:rPr>
      </w:pPr>
      <w:r>
        <w:rPr>
          <w:noProof/>
        </w:rPr>
        <w:t xml:space="preserve">Articolul </w:t>
      </w:r>
      <w:bookmarkStart w:id="45" w:name="_Hlk228473743"/>
      <w:r>
        <w:rPr>
          <w:rStyle w:val="CRMinorChangeAdded"/>
          <w:noProof/>
        </w:rPr>
        <w:t>17</w:t>
      </w:r>
      <w:r>
        <w:rPr>
          <w:rStyle w:val="CRMinorChangeDeleted"/>
          <w:noProof/>
        </w:rPr>
        <w:t>5</w:t>
      </w:r>
      <w:bookmarkEnd w:id="45"/>
    </w:p>
    <w:p>
      <w:pPr>
        <w:pStyle w:val="NormalCentered"/>
        <w:rPr>
          <w:b/>
          <w:noProof/>
        </w:rPr>
      </w:pPr>
      <w:r>
        <w:rPr>
          <w:b/>
          <w:noProof/>
        </w:rPr>
        <w:t>Procedura aplicabilă schimbului de informații la cerere</w:t>
      </w:r>
    </w:p>
    <w:p>
      <w:pPr>
        <w:rPr>
          <w:noProof/>
        </w:rPr>
      </w:pPr>
      <w:r>
        <w:rPr>
          <w:noProof/>
        </w:rPr>
        <w:t xml:space="preserve">La cererea autorității solicitante, autoritatea solicitată comunică autorității solicitante orice informații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care sunt în mod previzibil relevante și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la care se face referire la articolul 1 alineatul (1)</w:t>
      </w:r>
      <w:r>
        <w:rPr>
          <w:noProof/>
        </w:rPr>
        <w:t xml:space="preserve"> pe care le deține sau pe care le obține în urma anchetelor administrative.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2</w:t>
      </w:r>
    </w:p>
    <w:p>
      <w:pPr>
        <w:pStyle w:val="Titrearticle"/>
        <w:rPr>
          <w:noProof/>
        </w:rPr>
      </w:pPr>
      <w:r>
        <w:rPr>
          <w:noProof/>
        </w:rPr>
        <w:t xml:space="preserve">Articolul </w:t>
      </w:r>
      <w:r>
        <w:rPr>
          <w:rStyle w:val="CRMinorChangeAdded"/>
          <w:noProof/>
        </w:rPr>
        <w:t>18</w:t>
      </w:r>
      <w:r>
        <w:rPr>
          <w:rStyle w:val="CRMinorChangeDeleted"/>
          <w:noProof/>
        </w:rPr>
        <w:t>5a</w:t>
      </w:r>
    </w:p>
    <w:p>
      <w:pPr>
        <w:pStyle w:val="NormalCentered"/>
        <w:rPr>
          <w:b/>
          <w:noProof/>
        </w:rPr>
      </w:pPr>
      <w:r>
        <w:rPr>
          <w:b/>
          <w:noProof/>
        </w:rPr>
        <w:t>Relevanța previzibilă</w:t>
      </w:r>
    </w:p>
    <w:p>
      <w:pPr>
        <w:rPr>
          <w:noProof/>
        </w:rPr>
      </w:pPr>
      <w:r>
        <w:rPr>
          <w:noProof/>
        </w:rPr>
        <w:t>(1)</w:t>
      </w:r>
      <w:r>
        <w:rPr>
          <w:noProof/>
        </w:rPr>
        <w:tab/>
        <w:t>În sensul unei cereri menționate la articolul 17, informațiile solicitate sunt relevante în mod previzibil dacă, la momentul transmiterii cererii, autoritatea solicitantă consideră că, în conformitate cu dreptul său intern, există o posibilitate rezonabilă ca informațiile solicitate să fie relevante pentru situația fiscală a unuia sau mai multor contribuabili identificați prin nume sau în alt mod și să fie justificate în scopul anchetei.</w:t>
      </w:r>
    </w:p>
    <w:p>
      <w:pPr>
        <w:rPr>
          <w:noProof/>
        </w:rPr>
      </w:pPr>
      <w:r>
        <w:rPr>
          <w:noProof/>
        </w:rPr>
        <w:lastRenderedPageBreak/>
        <w:t>(2)</w:t>
      </w:r>
      <w:r>
        <w:rPr>
          <w:noProof/>
        </w:rPr>
        <w:tab/>
        <w:t>În scopul demonstrării relevanței previzibile a informațiilor solicitate, autoritatea solicitantă furnizează autorității solicitate cel puțin următoarele informații:</w:t>
      </w:r>
    </w:p>
    <w:p>
      <w:pPr>
        <w:pStyle w:val="Point0"/>
        <w:rPr>
          <w:noProof/>
        </w:rPr>
      </w:pPr>
      <w:r>
        <w:rPr>
          <w:noProof/>
        </w:rPr>
        <w:tab/>
        <w:t>(a)</w:t>
      </w:r>
      <w:r>
        <w:rPr>
          <w:noProof/>
        </w:rPr>
        <w:tab/>
        <w:t>scopul fiscal pentru care se solicită informația; și</w:t>
      </w:r>
    </w:p>
    <w:p>
      <w:pPr>
        <w:pStyle w:val="Point0"/>
        <w:rPr>
          <w:noProof/>
        </w:rPr>
      </w:pPr>
      <w:r>
        <w:rPr>
          <w:noProof/>
        </w:rPr>
        <w:tab/>
        <w:t>(b)</w:t>
      </w:r>
      <w:r>
        <w:rPr>
          <w:noProof/>
        </w:rPr>
        <w:tab/>
        <w:t>precizarea informațiilor necesare pentru administrarea sau aplicarea dreptului său intern.</w:t>
      </w:r>
    </w:p>
    <w:p>
      <w:pPr>
        <w:rPr>
          <w:noProof/>
        </w:rPr>
      </w:pPr>
      <w:r>
        <w:rPr>
          <w:noProof/>
        </w:rPr>
        <w:t>(3)</w:t>
      </w:r>
      <w:r>
        <w:rPr>
          <w:noProof/>
        </w:rPr>
        <w:tab/>
        <w:t>În cazul în care o cerere menționată la articolul </w:t>
      </w:r>
      <w:r>
        <w:rPr>
          <w:rStyle w:val="CRMinorChangeAdded"/>
          <w:noProof/>
        </w:rPr>
        <w:t>17</w:t>
      </w:r>
      <w:r>
        <w:rPr>
          <w:rStyle w:val="CRMinorChangeDeleted"/>
          <w:noProof/>
        </w:rPr>
        <w:t>5</w:t>
      </w:r>
      <w:r>
        <w:rPr>
          <w:noProof/>
        </w:rPr>
        <w:t xml:space="preserve"> vizează un grup de contribuabili care nu pot fi identificați individual, autoritatea solicitantă furnizează autorității solicitate cel puțin următoarele informații:</w:t>
      </w:r>
    </w:p>
    <w:p>
      <w:pPr>
        <w:pStyle w:val="Point0"/>
        <w:rPr>
          <w:noProof/>
        </w:rPr>
      </w:pPr>
      <w:r>
        <w:rPr>
          <w:noProof/>
        </w:rPr>
        <w:tab/>
        <w:t>(a)</w:t>
      </w:r>
      <w:r>
        <w:rPr>
          <w:noProof/>
        </w:rPr>
        <w:tab/>
        <w:t>o descriere detaliată a grupului;</w:t>
      </w:r>
    </w:p>
    <w:p>
      <w:pPr>
        <w:pStyle w:val="Point0"/>
        <w:rPr>
          <w:noProof/>
        </w:rPr>
      </w:pPr>
      <w:r>
        <w:rPr>
          <w:noProof/>
        </w:rPr>
        <w:tab/>
        <w:t>(b)</w:t>
      </w:r>
      <w:r>
        <w:rPr>
          <w:noProof/>
        </w:rPr>
        <w:tab/>
        <w:t>o explicație privind legea aplicabilă și faptele pe baza cărora există motive să se considere că contribuabilii din grup nu au respectat legea aplicabilă;</w:t>
      </w:r>
    </w:p>
    <w:p>
      <w:pPr>
        <w:pStyle w:val="Point0"/>
        <w:rPr>
          <w:noProof/>
        </w:rPr>
      </w:pPr>
      <w:r>
        <w:rPr>
          <w:noProof/>
        </w:rPr>
        <w:tab/>
        <w:t>(c)</w:t>
      </w:r>
      <w:r>
        <w:rPr>
          <w:noProof/>
        </w:rPr>
        <w:tab/>
        <w:t>o explicație privind modul în care informațiile solicitate ar ajuta să se stabilească dacă contribuabilii din grup s-au conformat cerințelor legale; și</w:t>
      </w:r>
    </w:p>
    <w:p>
      <w:pPr>
        <w:pStyle w:val="Point0"/>
        <w:rPr>
          <w:noProof/>
        </w:rPr>
      </w:pPr>
      <w:r>
        <w:rPr>
          <w:noProof/>
        </w:rPr>
        <w:tab/>
        <w:t>(d)</w:t>
      </w:r>
      <w:r>
        <w:rPr>
          <w:noProof/>
        </w:rPr>
        <w:tab/>
        <w:t>dacă este cazul, faptele și circumstanțele referitoare la implicarea unui terț care a contribuit în mod activ la eventuala nerespectare a legii aplicabile de către contribuabilii din grup.</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Titrearticle"/>
        <w:rPr>
          <w:noProof/>
        </w:rPr>
      </w:pPr>
      <w:r>
        <w:rPr>
          <w:noProof/>
        </w:rPr>
        <w:t xml:space="preserve">Articolul </w:t>
      </w:r>
      <w:r>
        <w:rPr>
          <w:rStyle w:val="CRMinorChangeAdded"/>
          <w:noProof/>
        </w:rPr>
        <w:t>19</w:t>
      </w:r>
      <w:r>
        <w:rPr>
          <w:rStyle w:val="CRMinorChangeDeleted"/>
          <w:noProof/>
        </w:rPr>
        <w:t>6</w:t>
      </w:r>
    </w:p>
    <w:p>
      <w:pPr>
        <w:pStyle w:val="NormalCentered"/>
        <w:rPr>
          <w:b/>
          <w:noProof/>
        </w:rPr>
      </w:pPr>
      <w:r>
        <w:rPr>
          <w:b/>
          <w:noProof/>
        </w:rPr>
        <w:t>Anchete administrative</w:t>
      </w:r>
    </w:p>
    <w:p>
      <w:pPr>
        <w:rPr>
          <w:noProof/>
        </w:rPr>
      </w:pPr>
      <w:r>
        <w:rPr>
          <w:noProof/>
        </w:rPr>
        <w:t>(1)</w:t>
      </w:r>
      <w:r>
        <w:rPr>
          <w:noProof/>
        </w:rPr>
        <w:tab/>
        <w:t xml:space="preserve">Autoritatea solicitată asigură efectuarea oricăror anchete administrative necesare pentru a obține informațiile menționate la articolul </w:t>
      </w:r>
      <w:r>
        <w:rPr>
          <w:rStyle w:val="CRMinorChangeAdded"/>
          <w:noProof/>
        </w:rPr>
        <w:t>17</w:t>
      </w:r>
      <w:r>
        <w:rPr>
          <w:rStyle w:val="CRMinorChangeDeleted"/>
          <w:noProof/>
        </w:rPr>
        <w:t>5</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3</w:t>
      </w:r>
    </w:p>
    <w:p>
      <w:pPr>
        <w:rPr>
          <w:noProof/>
        </w:rPr>
      </w:pPr>
      <w:r>
        <w:rPr>
          <w:noProof/>
        </w:rPr>
        <w:t>(2)</w:t>
      </w:r>
      <w:r>
        <w:rPr>
          <w:noProof/>
        </w:rPr>
        <w:tab/>
        <w:t>Cererea menționată la articolul </w:t>
      </w:r>
      <w:r>
        <w:rPr>
          <w:rStyle w:val="CRMinorChangeAdded"/>
          <w:noProof/>
        </w:rPr>
        <w:t>17</w:t>
      </w:r>
      <w:r>
        <w:rPr>
          <w:rStyle w:val="CRMinorChangeDeleted"/>
          <w:noProof/>
        </w:rPr>
        <w:t>5</w:t>
      </w:r>
      <w:r>
        <w:rPr>
          <w:noProof/>
        </w:rPr>
        <w:t xml:space="preserve"> poate conține o cerere motivată de efectuare a unei anchete administrative. În cazul în care autoritatea solicitată consideră că nu este necesară o anchetă administrativă, aceasta informează de îndată autoritatea solicitantă cu privire la motivele acestei decizii.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noProof/>
        </w:rPr>
        <w:t>(3)</w:t>
      </w:r>
      <w:r>
        <w:rPr>
          <w:noProof/>
        </w:rPr>
        <w:tab/>
        <w:t>Pentru a obține informațiile solicitate sau a efectua ancheta administrativă cerută, autoritatea solicitată urmează aceleași proceduri ca atunci când acționează din proprie inițiativă sau la cererea unei alte autorități din statul său membru.</w:t>
      </w:r>
    </w:p>
    <w:p>
      <w:pPr>
        <w:rPr>
          <w:noProof/>
        </w:rPr>
      </w:pPr>
      <w:r>
        <w:rPr>
          <w:noProof/>
        </w:rPr>
        <w:t>(4)</w:t>
      </w:r>
      <w:r>
        <w:rPr>
          <w:noProof/>
        </w:rPr>
        <w:tab/>
        <w:t>Atunci când autoritatea solicitantă i-o solicită în mod expres, autoritatea solicitată transmite documente originale, cu condiția ca acest lucru să nu contravină dispozițiilor în vigoare în statul membru al autorității solicitate.</w:t>
      </w:r>
    </w:p>
    <w:p>
      <w:pPr>
        <w:pStyle w:val="Titrearticle"/>
        <w:rPr>
          <w:noProof/>
        </w:rPr>
      </w:pPr>
      <w:r>
        <w:rPr>
          <w:noProof/>
        </w:rPr>
        <w:lastRenderedPageBreak/>
        <w:t xml:space="preserve">Articolul </w:t>
      </w:r>
      <w:r>
        <w:rPr>
          <w:rStyle w:val="CRMinorChangeAdded"/>
          <w:noProof/>
        </w:rPr>
        <w:t>20</w:t>
      </w:r>
      <w:r>
        <w:rPr>
          <w:rStyle w:val="CRMinorChangeDeleted"/>
          <w:noProof/>
        </w:rPr>
        <w:t>7</w:t>
      </w:r>
    </w:p>
    <w:p>
      <w:pPr>
        <w:pStyle w:val="NormalCentered"/>
        <w:keepNext/>
        <w:rPr>
          <w:b/>
          <w:noProof/>
        </w:rPr>
      </w:pPr>
      <w:r>
        <w:rPr>
          <w:b/>
          <w:noProof/>
        </w:rPr>
        <w:t>Termene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4</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keepNext/>
        <w:rPr>
          <w:noProof/>
        </w:rPr>
      </w:pPr>
      <w:r>
        <w:rPr>
          <w:noProof/>
        </w:rPr>
        <w:t>(1)</w:t>
      </w:r>
      <w:r>
        <w:rPr>
          <w:noProof/>
        </w:rPr>
        <w:tab/>
        <w:t>Autoritatea solicitată furnizează informațiile prevăzute la articolul </w:t>
      </w:r>
      <w:bookmarkStart w:id="46" w:name="_Hlk228473977"/>
      <w:r>
        <w:rPr>
          <w:noProof/>
        </w:rPr>
        <w:t>175</w:t>
      </w:r>
      <w:bookmarkEnd w:id="46"/>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de îndată ce devin disponibile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în cel mai scurt timp posibil</w:t>
      </w:r>
      <w:r>
        <w:rPr>
          <w:noProof/>
        </w:rPr>
        <w:t>, în termen de trei luni de la data primirii cererii. Totuși, în cazul în care autoritatea solicitată nu este în măsură să răspundă cererii în termenul stabilit, aceasta notifică autorității solicitante fără întârziere și, în orice caz, în termen de trei luni de la primirea cererii, motivele nerespectării termenului și data la care consideră că va fi în măsură să ofere un răspuns. Acest termen nu poate depăși șase luni de la data primirii cererii.</w:t>
      </w:r>
    </w:p>
    <w:p>
      <w:pPr>
        <w:rPr>
          <w:noProof/>
        </w:rPr>
      </w:pPr>
      <w:r>
        <w:rPr>
          <w:noProof/>
        </w:rPr>
        <w:t>Cu toate acestea, în cazul în care autoritatea solicitată deține deja informațiile cerute, transmiterea acestora se face în termen de două luni de la data primirii cererii.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(adaptat)</w:t>
      </w:r>
    </w:p>
    <w:p>
      <w:pPr>
        <w:rPr>
          <w:noProof/>
        </w:rPr>
      </w:pPr>
      <w:r>
        <w:rPr>
          <w:noProof/>
        </w:rPr>
        <w:t>(2)</w:t>
      </w:r>
      <w:r>
        <w:rPr>
          <w:noProof/>
        </w:rPr>
        <w:tab/>
        <w:t>Pentru anumite cazuri speciale, autoritatea solicitantă și cea solicitată pot conveni asupra unor termene diferite de cele prevăzute la alineatul (1).</w:t>
      </w:r>
    </w:p>
    <w:p>
      <w:pPr>
        <w:rPr>
          <w:noProof/>
        </w:rPr>
      </w:pPr>
      <w:r>
        <w:rPr>
          <w:noProof/>
        </w:rPr>
        <w:t>(3)</w:t>
      </w:r>
      <w:r>
        <w:rPr>
          <w:noProof/>
        </w:rPr>
        <w:tab/>
        <w:t xml:space="preserve">Autoritatea solicitată confirmă autorității solicitante, </w:t>
      </w:r>
      <w:r>
        <w:rPr>
          <w:rStyle w:val="CRRefonteDeleted"/>
          <w:noProof/>
          <w:highlight w:val="lightGray"/>
        </w:rPr>
        <w:t>dacă este posibil</w:t>
      </w:r>
      <w:r>
        <w:rPr>
          <w:noProof/>
        </w:rPr>
        <w:t xml:space="preserve"> prin mijloace electronice, primirea unei cereri fără întârziere și, în orice caz, în termen de cel mult șapte zile lucrătoare de la primire.</w:t>
      </w:r>
    </w:p>
    <w:p>
      <w:pPr>
        <w:rPr>
          <w:noProof/>
        </w:rPr>
      </w:pPr>
      <w:r>
        <w:rPr>
          <w:noProof/>
        </w:rPr>
        <w:t>(4)</w:t>
      </w:r>
      <w:r>
        <w:rPr>
          <w:noProof/>
        </w:rPr>
        <w:tab/>
        <w:t xml:space="preserve">În termen de o lună de la primirea cererii, autoritatea solicitată notifică autorității solicitante orice nereguli ale cererii, precum și nevoia unor eventuale informații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generale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suplimentare. Într-un astfel de caz, termenele prevăzute la alineatul (1) se calculează din ziua următoare celei în care autoritatea solicitată primește informațiile suplimentare necesare.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rStyle w:val="CRMinorChangeAdded"/>
          <w:noProof/>
        </w:rPr>
        <w:t>(5)</w:t>
      </w:r>
      <w:r>
        <w:rPr>
          <w:rStyle w:val="CRMinorChangeDeleted"/>
          <w:noProof/>
        </w:rPr>
        <w:t>(6)</w:t>
      </w:r>
      <w:r>
        <w:rPr>
          <w:noProof/>
        </w:rPr>
        <w:tab/>
        <w:t xml:space="preserve">În cazul în care autoritatea solicitată nu se află în posesia informațiilor solicitate și nu este în măsură să răspundă sau refuză să răspundă unei cereri de informații din motivele prevăzute la articolul </w:t>
      </w:r>
      <w:r>
        <w:rPr>
          <w:rStyle w:val="CRMinorChangeAdded"/>
          <w:noProof/>
        </w:rPr>
        <w:t>31</w:t>
      </w:r>
      <w:r>
        <w:rPr>
          <w:rStyle w:val="CRMinorChangeDeleted"/>
          <w:noProof/>
        </w:rPr>
        <w:t>17</w:t>
      </w:r>
      <w:r>
        <w:rPr>
          <w:noProof/>
        </w:rPr>
        <w:t>, aceasta notifică autorității solicitante motivele sale fără întârziere și, în orice caz, în termen de o lună de la data primirii cererii.</w:t>
      </w:r>
    </w:p>
    <w:p>
      <w:pPr>
        <w:pStyle w:val="SectionTitle000000"/>
        <w:rPr>
          <w:noProof/>
        </w:rPr>
      </w:pPr>
      <w:r>
        <w:rPr>
          <w:i/>
          <w:noProof/>
        </w:rPr>
        <w:t xml:space="preserve">SECȚIUNEA </w:t>
      </w:r>
      <w:r>
        <w:rPr>
          <w:rStyle w:val="CRMinorChangeAdded"/>
          <w:i/>
          <w:noProof/>
        </w:rPr>
        <w:t>II</w:t>
      </w:r>
      <w:r>
        <w:rPr>
          <w:rStyle w:val="CRMinorChangeDeleted"/>
          <w:i/>
          <w:noProof/>
        </w:rPr>
        <w:t>III</w:t>
      </w:r>
    </w:p>
    <w:p>
      <w:pPr>
        <w:pStyle w:val="SectionTitle000000"/>
        <w:rPr>
          <w:noProof/>
        </w:rPr>
      </w:pPr>
      <w:r>
        <w:rPr>
          <w:i/>
          <w:noProof/>
        </w:rPr>
        <w:t>Schimbul spontan de informații</w:t>
      </w:r>
    </w:p>
    <w:p>
      <w:pPr>
        <w:pStyle w:val="Titrearticle"/>
        <w:rPr>
          <w:noProof/>
        </w:rPr>
      </w:pPr>
      <w:r>
        <w:rPr>
          <w:noProof/>
        </w:rPr>
        <w:t xml:space="preserve">Articolul </w:t>
      </w:r>
      <w:r>
        <w:rPr>
          <w:rStyle w:val="CRMinorChangeAdded"/>
          <w:noProof/>
        </w:rPr>
        <w:t>21</w:t>
      </w:r>
      <w:r>
        <w:rPr>
          <w:rStyle w:val="CRMinorChangeDeleted"/>
          <w:noProof/>
        </w:rPr>
        <w:t>9</w:t>
      </w:r>
    </w:p>
    <w:p>
      <w:pPr>
        <w:pStyle w:val="NormalCentered"/>
        <w:rPr>
          <w:b/>
          <w:noProof/>
        </w:rPr>
      </w:pPr>
      <w:r>
        <w:rPr>
          <w:b/>
          <w:noProof/>
        </w:rPr>
        <w:t>Domeniul de aplicare și condițiile schimbului spontan de informații</w:t>
      </w:r>
    </w:p>
    <w:p>
      <w:pPr>
        <w:rPr>
          <w:noProof/>
        </w:rPr>
      </w:pPr>
      <w:r>
        <w:rPr>
          <w:noProof/>
        </w:rPr>
        <w:t>(1)</w:t>
      </w:r>
      <w:r>
        <w:rPr>
          <w:noProof/>
        </w:rPr>
        <w:tab/>
        <w:t>Autoritatea competentă din fiecare stat membru comunică autorității competente din orice alt stat membru interesat informațiile menționate la articolul 1 alineatul (1), în oricare dintre următoarele situații:</w:t>
      </w:r>
    </w:p>
    <w:p>
      <w:pPr>
        <w:pStyle w:val="Point0"/>
        <w:rPr>
          <w:noProof/>
        </w:rPr>
      </w:pPr>
      <w:r>
        <w:rPr>
          <w:noProof/>
        </w:rPr>
        <w:tab/>
        <w:t>(a)</w:t>
      </w:r>
      <w:r>
        <w:rPr>
          <w:noProof/>
        </w:rPr>
        <w:tab/>
        <w:t>autoritatea competentă a unui stat membru are dovezi pe baza cărora presupune că pot exista pierderi fiscale într-un alt stat membru;</w:t>
      </w:r>
    </w:p>
    <w:p>
      <w:pPr>
        <w:pStyle w:val="Point0"/>
        <w:rPr>
          <w:noProof/>
        </w:rPr>
      </w:pPr>
      <w:r>
        <w:rPr>
          <w:noProof/>
        </w:rPr>
        <w:lastRenderedPageBreak/>
        <w:tab/>
        <w:t>(b)</w:t>
      </w:r>
      <w:r>
        <w:rPr>
          <w:noProof/>
        </w:rPr>
        <w:tab/>
        <w:t>o persoană impozabilă obține o reducere sau o scutire de impozit într-un stat membru care ar putea determina o mărire a impozitului sau o obligație de plată a impozitului într-un alt stat membru;</w:t>
      </w:r>
    </w:p>
    <w:p>
      <w:pPr>
        <w:pStyle w:val="Point0"/>
        <w:rPr>
          <w:noProof/>
        </w:rPr>
      </w:pPr>
      <w:r>
        <w:rPr>
          <w:noProof/>
        </w:rPr>
        <w:tab/>
        <w:t>(c)</w:t>
      </w:r>
      <w:r>
        <w:rPr>
          <w:noProof/>
        </w:rPr>
        <w:tab/>
        <w:t>afacerile între o persoană impozabilă dintr-un stat membru și o persoană impozabilă din alt stat membru sunt realizate printr-una sau mai multe țări, astfel încât să rezulte o scădere a impozitului în unul din cele două state membre sau în amândouă;</w:t>
      </w:r>
    </w:p>
    <w:p>
      <w:pPr>
        <w:pStyle w:val="Point0"/>
        <w:rPr>
          <w:noProof/>
        </w:rPr>
      </w:pPr>
      <w:r>
        <w:rPr>
          <w:noProof/>
        </w:rPr>
        <w:tab/>
        <w:t>(d)</w:t>
      </w:r>
      <w:r>
        <w:rPr>
          <w:noProof/>
        </w:rPr>
        <w:tab/>
        <w:t>autoritatea competentă a unui stat membru are dovezi pe baza cărora presupune că poate avea loc o diminuare a impozitului în urma unor transferuri artificiale ale profiturilor în cadrul unor grupuri de întreprinderi;</w:t>
      </w:r>
    </w:p>
    <w:p>
      <w:pPr>
        <w:pStyle w:val="Point0"/>
        <w:rPr>
          <w:noProof/>
        </w:rPr>
      </w:pPr>
      <w:r>
        <w:rPr>
          <w:noProof/>
        </w:rPr>
        <w:tab/>
        <w:t>(e)</w:t>
      </w:r>
      <w:r>
        <w:rPr>
          <w:noProof/>
        </w:rPr>
        <w:tab/>
        <w:t>informațiile transmise unui stat membru de către autoritatea competentă a altui stat membru au permis obținerea unor informații care pot fi importante în evaluarea impozitului datorat în cel de al doilea stat membru.</w:t>
      </w:r>
    </w:p>
    <w:p>
      <w:pPr>
        <w:rPr>
          <w:noProof/>
        </w:rPr>
      </w:pPr>
      <w:r>
        <w:rPr>
          <w:noProof/>
        </w:rPr>
        <w:t>(2)</w:t>
      </w:r>
      <w:r>
        <w:rPr>
          <w:noProof/>
        </w:rPr>
        <w:tab/>
        <w:t>Autoritățile competente din fiecare stat membru pot să comunice, prin schimb spontan, autorităților competente din celelalte state membre orice informații de care au cunoștință și care pot fi utile autorităților competente din celelalte state membre.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articolul 1 punctul 5</w:t>
      </w:r>
    </w:p>
    <w:p>
      <w:pPr>
        <w:pStyle w:val="CRReference"/>
        <w:rPr>
          <w:noProof/>
        </w:rPr>
      </w:pPr>
      <w:r>
        <w:rPr>
          <w:noProof/>
        </w:rPr>
        <w:t>(adaptat)</w:t>
      </w:r>
    </w:p>
    <w:p>
      <w:pPr>
        <w:pStyle w:val="Titrearticle"/>
        <w:rPr>
          <w:noProof/>
        </w:rPr>
      </w:pPr>
      <w:r>
        <w:rPr>
          <w:noProof/>
        </w:rPr>
        <w:t xml:space="preserve">Articolul </w:t>
      </w:r>
      <w:r>
        <w:rPr>
          <w:rStyle w:val="CRMinorChangeAdded"/>
          <w:noProof/>
        </w:rPr>
        <w:t>22</w:t>
      </w:r>
      <w:r>
        <w:rPr>
          <w:rStyle w:val="CRMinorChangeDeleted"/>
          <w:noProof/>
        </w:rPr>
        <w:t>9a</w:t>
      </w:r>
    </w:p>
    <w:p>
      <w:pPr>
        <w:pStyle w:val="NormalCentered"/>
        <w:rPr>
          <w:b/>
          <w:noProof/>
        </w:rPr>
      </w:pPr>
      <w:r>
        <w:rPr>
          <w:b/>
          <w:noProof/>
        </w:rPr>
        <w:t>Colaborarea în ceea ce privește corecțiile, respectarea și aplicarea normelor în legătură cu Declarațiile privind impozitul suplimentar</w:t>
      </w:r>
    </w:p>
    <w:p>
      <w:pPr>
        <w:rPr>
          <w:noProof/>
        </w:rPr>
      </w:pPr>
      <w:r>
        <w:rPr>
          <w:noProof/>
        </w:rPr>
        <w:t>(1)</w:t>
      </w:r>
      <w:r>
        <w:rPr>
          <w:noProof/>
        </w:rPr>
        <w:tab/>
        <w:t xml:space="preserve">În cazul în care autoritatea competentă a unui stat membru are motive să creadă că informațiile dintr-o Declarație privind impozitul suplimentar depusă de o societate-mamă finală sau de o entitate desemnată care depune declarația situată în jurisdicția altui stat membru, comunicate în temeiul articolului </w:t>
      </w:r>
      <w:r>
        <w:rPr>
          <w:rStyle w:val="CRMinorChangeAdded"/>
          <w:noProof/>
        </w:rPr>
        <w:t>15</w:t>
      </w:r>
      <w:r>
        <w:rPr>
          <w:rStyle w:val="CRMinorChangeDeleted"/>
          <w:noProof/>
        </w:rPr>
        <w:t>8ae</w:t>
      </w:r>
      <w:r>
        <w:rPr>
          <w:noProof/>
        </w:rPr>
        <w:t>, necesită corectarea unor erori evidente, aceasta transmite o notificare, fără întârzieri nejustificate, autorității competente a celuilalt stat membru. În cazul în care este de acord că informațiile din Declarația privind impozitul suplimentar necesită corecții, autoritatea competentă notificată ia, fără întârzieri nejustificate, măsuri adecvate pentru a obține o Declarație privind impozitul suplimentar corectată din partea societății-mamă finale sau a entității desemnate care depune declarația. Aceasta comunică, fără întârzieri nejustificate, Declarația privind impozitul suplimentar corectată tuturor autorităților competente pentru care informațiile respective fac obiectul schimbului, în conformitate cu prezenta directivă.</w:t>
      </w:r>
    </w:p>
    <w:p>
      <w:pPr>
        <w:rPr>
          <w:noProof/>
        </w:rPr>
      </w:pPr>
      <w:r>
        <w:rPr>
          <w:noProof/>
        </w:rPr>
        <w:t>(2)</w:t>
      </w:r>
      <w:r>
        <w:rPr>
          <w:noProof/>
        </w:rPr>
        <w:tab/>
        <w:t>În cazul în care autoritatea competentă a unui stat membru primește o notificare din partea uneia sau mai multor entități constitutive care sunt situate în statul său membru, conform căreia Declarația privind impozitul suplimentar pentru respectivele entități constitutive trebuia să fie depusă de societatea-mamă finală sau de entitatea desemnată care depune declarația situată într-un alt stat membru, dar informațiile din Declarația privind impozitul suplimentar nu au fost comunicate în termenele specificate la articolul </w:t>
      </w:r>
      <w:r>
        <w:rPr>
          <w:rStyle w:val="CRMinorChangeAdded"/>
          <w:noProof/>
        </w:rPr>
        <w:t>15</w:t>
      </w:r>
      <w:r>
        <w:rPr>
          <w:rStyle w:val="CRMinorChangeDeleted"/>
          <w:noProof/>
        </w:rPr>
        <w:t>8ae</w:t>
      </w:r>
      <w:r>
        <w:rPr>
          <w:noProof/>
        </w:rPr>
        <w:t xml:space="preserve"> alineatul (3) sau la articolul </w:t>
      </w:r>
      <w:r>
        <w:rPr>
          <w:rStyle w:val="CRMinorChangeAdded"/>
          <w:noProof/>
        </w:rPr>
        <w:t>54 alineatul (1)</w:t>
      </w:r>
      <w:r>
        <w:rPr>
          <w:rStyle w:val="CRMinorChangeDeleted"/>
          <w:noProof/>
        </w:rPr>
        <w:t>27d alineatele (3) și (4)</w:t>
      </w:r>
      <w:r>
        <w:rPr>
          <w:noProof/>
        </w:rPr>
        <w:t xml:space="preserve">, aceasta notifică, fără întârzieri nejustificate, celeilalte autorități competente faptul că informațiile nu au fost primite. Autoritatea competentă notificată stabilește, fără întârzieri nejustificate, motivul pentru care Declarația privind impozitul suplimentar în cauză nu a fost comunicată și informează autoritatea competentă în termen de o lună de la primirea notificării, indicând </w:t>
      </w:r>
      <w:r>
        <w:rPr>
          <w:noProof/>
        </w:rPr>
        <w:lastRenderedPageBreak/>
        <w:t>inclusiv data preconizată a schimbului de informații referitor la declarația respectivă, dacă este cazul. Termenul preconizat pentru realizarea schimbului de informații nu depășește trei luni de la data primirii notificării privind nerealizarea schimbului.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CRReference"/>
        <w:rPr>
          <w:noProof/>
        </w:rPr>
      </w:pPr>
      <w:r>
        <w:rPr>
          <w:noProof/>
        </w:rPr>
        <w:t>(adaptat)</w:t>
      </w:r>
    </w:p>
    <w:p>
      <w:pPr>
        <w:pStyle w:val="Titrearticle"/>
        <w:rPr>
          <w:noProof/>
        </w:rPr>
      </w:pPr>
      <w:r>
        <w:rPr>
          <w:noProof/>
        </w:rPr>
        <w:t xml:space="preserve">Articolul </w:t>
      </w:r>
      <w:r>
        <w:rPr>
          <w:rStyle w:val="CRMinorChangeAdded"/>
          <w:noProof/>
        </w:rPr>
        <w:t>23</w:t>
      </w:r>
      <w:r>
        <w:rPr>
          <w:rStyle w:val="CRMinorChangeDeleted"/>
          <w:noProof/>
        </w:rPr>
        <w:t>10</w:t>
      </w:r>
    </w:p>
    <w:p>
      <w:pPr>
        <w:pStyle w:val="NormalCentered"/>
        <w:rPr>
          <w:b/>
          <w:noProof/>
        </w:rPr>
      </w:pPr>
      <w:r>
        <w:rPr>
          <w:b/>
          <w:noProof/>
        </w:rPr>
        <w:t>Termene</w:t>
      </w:r>
    </w:p>
    <w:p>
      <w:pPr>
        <w:rPr>
          <w:noProof/>
        </w:rPr>
      </w:pPr>
      <w:r>
        <w:rPr>
          <w:noProof/>
        </w:rPr>
        <w:t>(1)</w:t>
      </w:r>
      <w:r>
        <w:rPr>
          <w:noProof/>
        </w:rPr>
        <w:tab/>
        <w:t xml:space="preserve">Autoritatea competentă căreia i se pun la dispoziție informațiile menționate la articolul </w:t>
      </w:r>
      <w:r>
        <w:rPr>
          <w:rStyle w:val="CRMinorChangeAdded"/>
          <w:noProof/>
        </w:rPr>
        <w:t>21</w:t>
      </w:r>
      <w:r>
        <w:rPr>
          <w:rStyle w:val="CRMinorChangeDeleted"/>
          <w:noProof/>
        </w:rPr>
        <w:t>9</w:t>
      </w:r>
      <w:r>
        <w:rPr>
          <w:noProof/>
        </w:rPr>
        <w:t xml:space="preserve"> alineatul (1) transmite informațiile respective autorității competente a oricărui alt stat membru interesat, cât de curând posibil, dar nu mai târziu de o lună de la data la care informațiile au fost puse la dispoziție.</w:t>
      </w:r>
    </w:p>
    <w:p>
      <w:pPr>
        <w:rPr>
          <w:noProof/>
        </w:rPr>
      </w:pPr>
      <w:r>
        <w:rPr>
          <w:noProof/>
        </w:rPr>
        <w:t>(2)</w:t>
      </w:r>
      <w:r>
        <w:rPr>
          <w:noProof/>
        </w:rPr>
        <w:tab/>
        <w:t xml:space="preserve">Autoritatea competentă căreia i se comunică informațiile în temeiul articolului </w:t>
      </w:r>
      <w:r>
        <w:rPr>
          <w:rStyle w:val="CRMinorChangeAdded"/>
          <w:noProof/>
        </w:rPr>
        <w:t>21</w:t>
      </w:r>
      <w:r>
        <w:rPr>
          <w:rStyle w:val="CRMinorChangeDeleted"/>
          <w:noProof/>
        </w:rPr>
        <w:t>9</w:t>
      </w:r>
      <w:r>
        <w:rPr>
          <w:noProof/>
        </w:rPr>
        <w:t xml:space="preserve"> confirmă</w:t>
      </w:r>
      <w:r>
        <w:rPr>
          <w:rStyle w:val="CRRefonteDeleted"/>
          <w:noProof/>
          <w:highlight w:val="lightGray"/>
        </w:rPr>
        <w:t>, dacă este posibil prin mijloace electronice,</w:t>
      </w:r>
      <w:r>
        <w:rPr>
          <w:noProof/>
        </w:rPr>
        <w:t xml:space="preserve"> primirea acestor informații autorității competente care le-a furnizat, fără întârziere și, în orice caz, în termen de cel mult șapte zile lucrătoare de la primire.</w:t>
      </w:r>
    </w:p>
    <w:p>
      <w:pPr>
        <w:pStyle w:val="SectionTitle000000"/>
        <w:rPr>
          <w:noProof/>
        </w:rPr>
      </w:pPr>
      <w:r>
        <w:rPr>
          <w:noProof/>
        </w:rPr>
        <w:t xml:space="preserve">CAPITOLUL </w:t>
      </w:r>
      <w:r>
        <w:rPr>
          <w:rStyle w:val="CRMinorChangeAdded"/>
          <w:noProof/>
        </w:rPr>
        <w:t>IV</w:t>
      </w:r>
      <w:r>
        <w:rPr>
          <w:rStyle w:val="CRMinorChangeDeleted"/>
          <w:noProof/>
        </w:rPr>
        <w:t>III</w:t>
      </w:r>
    </w:p>
    <w:p>
      <w:pPr>
        <w:pStyle w:val="SectionTitle000000"/>
        <w:rPr>
          <w:noProof/>
        </w:rPr>
      </w:pPr>
      <w:r>
        <w:rPr>
          <w:i/>
          <w:noProof/>
        </w:rPr>
        <w:t>ALTE FORME DE COOPERARE ADMINISTRATIVĂ</w:t>
      </w:r>
    </w:p>
    <w:p>
      <w:pPr>
        <w:pStyle w:val="SectionTitle000000"/>
        <w:rPr>
          <w:noProof/>
        </w:rPr>
      </w:pPr>
      <w:r>
        <w:rPr>
          <w:i/>
          <w:noProof/>
        </w:rPr>
        <w:t>SECȚIUNEA I</w:t>
      </w:r>
    </w:p>
    <w:p>
      <w:pPr>
        <w:pStyle w:val="SectionTitle000000"/>
        <w:rPr>
          <w:noProof/>
        </w:rPr>
      </w:pPr>
      <w:r>
        <w:rPr>
          <w:i/>
          <w:noProof/>
        </w:rPr>
        <w:t>Prezența în birourile administrative și participarea la anchetele administrative</w:t>
      </w:r>
    </w:p>
    <w:p>
      <w:pPr>
        <w:pStyle w:val="Titrearticle"/>
        <w:rPr>
          <w:noProof/>
        </w:rPr>
      </w:pPr>
      <w:r>
        <w:rPr>
          <w:noProof/>
        </w:rPr>
        <w:t xml:space="preserve">Articolul </w:t>
      </w:r>
      <w:r>
        <w:rPr>
          <w:rStyle w:val="CRMinorChangeAdded"/>
          <w:noProof/>
        </w:rPr>
        <w:t>24</w:t>
      </w:r>
      <w:r>
        <w:rPr>
          <w:rStyle w:val="CRMinorChangeDeleted"/>
          <w:noProof/>
        </w:rPr>
        <w:t>11</w:t>
      </w:r>
    </w:p>
    <w:p>
      <w:pPr>
        <w:pStyle w:val="NormalCentered"/>
        <w:rPr>
          <w:b/>
          <w:noProof/>
        </w:rPr>
      </w:pPr>
      <w:r>
        <w:rPr>
          <w:b/>
          <w:noProof/>
        </w:rPr>
        <w:t>Domeniu de aplicare și condiții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10 litera (a)</w:t>
      </w:r>
    </w:p>
    <w:p>
      <w:pPr>
        <w:rPr>
          <w:noProof/>
        </w:rPr>
      </w:pPr>
      <w:r>
        <w:rPr>
          <w:noProof/>
        </w:rPr>
        <w:t>(1)</w:t>
      </w:r>
      <w:r>
        <w:rPr>
          <w:noProof/>
        </w:rPr>
        <w:tab/>
        <w:t>În scopul comunicării informațiilor menționate la articolul 1 alineatul (1), autoritatea competentă a unui stat membru poate solicita autorității competente a unui alt stat membru ca, în conformitate cu normele procedurale prevăzute de cea din urmă, funcționarii autorizați de cea dintâi:</w:t>
      </w:r>
    </w:p>
    <w:p>
      <w:pPr>
        <w:pStyle w:val="Point0"/>
        <w:rPr>
          <w:noProof/>
        </w:rPr>
      </w:pPr>
      <w:r>
        <w:rPr>
          <w:noProof/>
        </w:rPr>
        <w:tab/>
        <w:t>(a)</w:t>
      </w:r>
      <w:r>
        <w:rPr>
          <w:noProof/>
        </w:rPr>
        <w:tab/>
        <w:t>să fie prezenți în birourile în care își desfășoară activitatea autoritățile administrative ale statului membru solicitat;</w:t>
      </w:r>
    </w:p>
    <w:p>
      <w:pPr>
        <w:pStyle w:val="Point0"/>
        <w:rPr>
          <w:noProof/>
        </w:rPr>
      </w:pPr>
      <w:r>
        <w:rPr>
          <w:noProof/>
        </w:rPr>
        <w:tab/>
        <w:t>(b)</w:t>
      </w:r>
      <w:r>
        <w:rPr>
          <w:noProof/>
        </w:rPr>
        <w:tab/>
        <w:t>să fie prezenți în timpul anchetelor administrative efectuate pe teritoriul statului membru solicitat;</w:t>
      </w:r>
    </w:p>
    <w:p>
      <w:pPr>
        <w:pStyle w:val="Point0"/>
        <w:rPr>
          <w:noProof/>
        </w:rPr>
      </w:pPr>
      <w:r>
        <w:rPr>
          <w:noProof/>
        </w:rPr>
        <w:tab/>
        <w:t>(c)</w:t>
      </w:r>
      <w:r>
        <w:rPr>
          <w:noProof/>
        </w:rPr>
        <w:tab/>
        <w:t>să participe la anchetele administrative desfășurate de statul membru solicitat prin intermediul mijloacelor de comunicare electronice, după caz.</w:t>
      </w:r>
    </w:p>
    <w:p>
      <w:pPr>
        <w:pStyle w:val="Point0"/>
        <w:rPr>
          <w:noProof/>
        </w:rPr>
      </w:pPr>
      <w:r>
        <w:rPr>
          <w:noProof/>
        </w:rPr>
        <w:lastRenderedPageBreak/>
        <w:tab/>
        <w:t>Autoritatea solicitantă răspunde la o cerere în conformitate cu primul paragraf în termen de 60 de zile de la primirea cererii, pentru a-și confirma acordul sau a-și comunica refuzul motivat autorității solicitante.</w:t>
      </w:r>
    </w:p>
    <w:p>
      <w:pPr>
        <w:pStyle w:val="Point0"/>
        <w:rPr>
          <w:noProof/>
        </w:rPr>
      </w:pPr>
      <w:r>
        <w:rPr>
          <w:noProof/>
        </w:rPr>
        <w:tab/>
        <w:t>În cazul în care informațiile solicitate sunt incluse în documentația la care au acces funcționarii autorității solicitate, funcționarii autorității solicitante primesc copii ale documentelor care conțin informațiile solicitate.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CRReference"/>
        <w:rPr>
          <w:noProof/>
        </w:rPr>
      </w:pPr>
      <w:r>
        <w:rPr>
          <w:noProof/>
        </w:rPr>
        <w:t>(adaptat)</w:t>
      </w:r>
    </w:p>
    <w:p>
      <w:pPr>
        <w:pStyle w:val="CRReference"/>
        <w:rPr>
          <w:noProof/>
        </w:rPr>
      </w:pPr>
      <w:r>
        <w:rPr>
          <w:noProof/>
        </w:rPr>
        <w:fldChar w:fldCharType="begin"/>
      </w:r>
      <w:r>
        <w:rPr>
          <w:noProof/>
        </w:rPr>
        <w:instrText xml:space="preserve"> QUOTE "è" </w:instrText>
      </w:r>
      <w:r>
        <w:rPr>
          <w:noProof/>
        </w:rPr>
        <w:fldChar w:fldCharType="separate"/>
      </w:r>
      <w:r>
        <w:rPr>
          <w:rStyle w:val="CRMarker"/>
          <w:noProof/>
        </w:rPr>
        <w:t>è</w:t>
      </w:r>
      <w:r>
        <w:rPr>
          <w:noProof/>
        </w:rPr>
        <w:fldChar w:fldCharType="end"/>
      </w:r>
      <w:r>
        <w:rPr>
          <w:rStyle w:val="CRRefNum"/>
          <w:noProof/>
        </w:rPr>
        <w:t>1</w:t>
      </w:r>
      <w:r>
        <w:rPr>
          <w:noProof/>
        </w:rPr>
        <w:t> 2021/514 articolul 1 punctul 10 litera (b)</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(2)</w:t>
      </w:r>
      <w:r>
        <w:rPr>
          <w:noProof/>
        </w:rPr>
        <w:tab/>
      </w:r>
      <w:r>
        <w:rPr>
          <w:noProof/>
        </w:rPr>
        <w:fldChar w:fldCharType="begin"/>
      </w:r>
      <w:r>
        <w:rPr>
          <w:noProof/>
        </w:rPr>
        <w:instrText xml:space="preserve"> QUOTE "è" </w:instrText>
      </w:r>
      <w:r>
        <w:rPr>
          <w:noProof/>
        </w:rPr>
        <w:fldChar w:fldCharType="separate"/>
      </w:r>
      <w:r>
        <w:rPr>
          <w:rStyle w:val="CRMarker"/>
          <w:noProof/>
        </w:rPr>
        <w:t>è</w:t>
      </w:r>
      <w:r>
        <w:rPr>
          <w:noProof/>
        </w:rPr>
        <w:fldChar w:fldCharType="end"/>
      </w:r>
      <w:r>
        <w:rPr>
          <w:rStyle w:val="CRRefNum"/>
          <w:noProof/>
        </w:rPr>
        <w:t>1</w:t>
      </w:r>
      <w:r>
        <w:rPr>
          <w:noProof/>
        </w:rPr>
        <w:t> Dacă funcționarii autorității solicitante sunt prezenți în timpul anchetelor administrative sau participă la anchetele administrative prin intermediul mijloacelor de comunicare electronice, aceștia pot să intervieveze persoane și să examineze evidențe, sub rezerva normelor procedurale stabilite de statul membru solicitat. </w:t>
      </w:r>
      <w:r>
        <w:rPr>
          <w:noProof/>
        </w:rPr>
        <w:fldChar w:fldCharType="begin"/>
      </w:r>
      <w:r>
        <w:rPr>
          <w:noProof/>
        </w:rPr>
        <w:instrText xml:space="preserve"> QUOTE "ç" </w:instrText>
      </w:r>
      <w:r>
        <w:rPr>
          <w:noProof/>
        </w:rPr>
        <w:fldChar w:fldCharType="separate"/>
      </w:r>
      <w:r>
        <w:rPr>
          <w:rStyle w:val="CRMarker"/>
          <w:noProof/>
        </w:rPr>
        <w:t>ç</w:t>
      </w:r>
      <w:r>
        <w:rPr>
          <w:noProof/>
        </w:rPr>
        <w:fldChar w:fldCharType="end"/>
      </w:r>
    </w:p>
    <w:p>
      <w:pPr>
        <w:rPr>
          <w:noProof/>
        </w:rPr>
      </w:pPr>
      <w:r>
        <w:rPr>
          <w:noProof/>
        </w:rPr>
        <w:t>Refuzul unei persoane care face obiectul unei anchete de a respecta măsurile de control luate de funcționarii autorității solicitante este tratat de către autoritatea solicitată drept un refuz împotriva propriilor săi funcționari.</w:t>
      </w:r>
    </w:p>
    <w:p>
      <w:pPr>
        <w:rPr>
          <w:noProof/>
        </w:rPr>
      </w:pPr>
      <w:r>
        <w:rPr>
          <w:noProof/>
        </w:rPr>
        <w:t>(3)</w:t>
      </w:r>
      <w:r>
        <w:rPr>
          <w:noProof/>
        </w:rPr>
        <w:tab/>
        <w:t>Funcționarii abilitați de statul membru solicitant prezenți într-un alt stat membru în conformitate cu alineatul (1) trebuie să fie în măsură să prezinte în orice moment o împuternicire scrisă în care le sunt indicate identitatea și calitatea oficială.</w:t>
      </w:r>
    </w:p>
    <w:p>
      <w:pPr>
        <w:pStyle w:val="SectionTitle000000"/>
        <w:rPr>
          <w:noProof/>
        </w:rPr>
      </w:pPr>
      <w:r>
        <w:rPr>
          <w:i/>
          <w:noProof/>
        </w:rPr>
        <w:t>SECȚIUNEA II</w:t>
      </w:r>
    </w:p>
    <w:p>
      <w:pPr>
        <w:pStyle w:val="SectionTitle000000"/>
        <w:rPr>
          <w:noProof/>
        </w:rPr>
      </w:pPr>
      <w:r>
        <w:rPr>
          <w:i/>
          <w:noProof/>
        </w:rPr>
        <w:t>Controale simultane</w:t>
      </w:r>
    </w:p>
    <w:p>
      <w:pPr>
        <w:pStyle w:val="Titrearticle"/>
        <w:rPr>
          <w:noProof/>
        </w:rPr>
      </w:pPr>
      <w:r>
        <w:rPr>
          <w:noProof/>
        </w:rPr>
        <w:t xml:space="preserve">Articolul </w:t>
      </w:r>
      <w:r>
        <w:rPr>
          <w:rStyle w:val="CRMinorChangeAdded"/>
          <w:noProof/>
        </w:rPr>
        <w:t>25</w:t>
      </w:r>
      <w:r>
        <w:rPr>
          <w:rStyle w:val="CRMinorChangeDeleted"/>
          <w:noProof/>
        </w:rPr>
        <w:t>12</w:t>
      </w:r>
    </w:p>
    <w:p>
      <w:pPr>
        <w:pStyle w:val="NormalCentered"/>
        <w:rPr>
          <w:b/>
          <w:noProof/>
        </w:rPr>
      </w:pPr>
      <w:r>
        <w:rPr>
          <w:b/>
          <w:noProof/>
        </w:rPr>
        <w:t>Controale simultane</w:t>
      </w:r>
    </w:p>
    <w:p>
      <w:pPr>
        <w:rPr>
          <w:noProof/>
        </w:rPr>
      </w:pPr>
      <w:r>
        <w:rPr>
          <w:noProof/>
        </w:rPr>
        <w:t>(1)</w:t>
      </w:r>
      <w:r>
        <w:rPr>
          <w:noProof/>
        </w:rPr>
        <w:tab/>
        <w:t xml:space="preserve">Atunci când două sau mai multe state membre convin să efectueze controale simultane, fiecare pe teritoriul propriu, ale uneia sau mai multor persoane care prezintă un interes comun sau complementar, pentru a face schimb cu informațiile astfel obținute, se aplică alineatele (2), (3) </w:t>
      </w:r>
      <w:r>
        <w:rPr>
          <w:rStyle w:val="CRMinorChangeDeleted"/>
          <w:noProof/>
        </w:rPr>
        <w:t>și</w:t>
      </w:r>
      <w:r>
        <w:rPr>
          <w:noProof/>
        </w:rPr>
        <w:t xml:space="preserve"> (4)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și 5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rPr>
          <w:noProof/>
        </w:rPr>
      </w:pPr>
      <w:r>
        <w:rPr>
          <w:noProof/>
        </w:rPr>
        <w:t>(2)</w:t>
      </w:r>
      <w:r>
        <w:rPr>
          <w:noProof/>
        </w:rPr>
        <w:tab/>
        <w:t>Autoritatea competentă din fiecare stat membru identifică în mod independent persoanele pentru care intenționează să propună un control simultan. Ea notifică autorităților competente din celelalte state membre implicate orice cazuri pentru care propune efectuarea unui control simultan, indicând motivele acestei alegeri.</w:t>
      </w:r>
    </w:p>
    <w:p>
      <w:pPr>
        <w:rPr>
          <w:noProof/>
        </w:rPr>
      </w:pPr>
      <w:r>
        <w:rPr>
          <w:noProof/>
        </w:rPr>
        <w:t>Autoritatea competentă indică perioada în care trebuie efectuate aceste controale.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11</w:t>
      </w:r>
    </w:p>
    <w:p>
      <w:pPr>
        <w:rPr>
          <w:noProof/>
        </w:rPr>
      </w:pPr>
      <w:r>
        <w:rPr>
          <w:noProof/>
        </w:rPr>
        <w:t>(3)</w:t>
      </w:r>
      <w:r>
        <w:rPr>
          <w:noProof/>
        </w:rPr>
        <w:tab/>
        <w:t>Autoritatea competentă a fiecărui stat membru implicat decide dacă dorește să participe la controalele simultane. Aceasta confirmă autorității competente care a propus controlul simultan acordul său sau îi comunică refuzul său motivat în termen de 60 de zile de la primirea propunerii.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noProof/>
        </w:rPr>
        <w:t>(4)</w:t>
      </w:r>
      <w:r>
        <w:rPr>
          <w:noProof/>
        </w:rPr>
        <w:tab/>
        <w:t>Autoritatea competentă din fiecare stat membru implicat desemnează un reprezentant însărcinat cu supravegherea și coordonarea operațiunii de control.</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rPr>
          <w:noProof/>
          <w:highlight w:val="lightGray"/>
        </w:rPr>
      </w:pPr>
      <w:bookmarkStart w:id="47" w:name="_Hlk228474712"/>
      <w:r>
        <w:rPr>
          <w:noProof/>
          <w:highlight w:val="lightGray"/>
        </w:rPr>
        <w:t>(5)</w:t>
      </w:r>
      <w:r>
        <w:rPr>
          <w:noProof/>
        </w:rPr>
        <w:tab/>
      </w:r>
      <w:r>
        <w:rPr>
          <w:noProof/>
          <w:highlight w:val="lightGray"/>
        </w:rPr>
        <w:t>În cazurile menționate la alineatul (1) în care una sau mai multe persoane de interes comun sau complementar sunt Operatori de platforme care au obligația de raportare, astfel cum sunt definiți în anexa V secțiunea I punctul A subpunctul 4 litera (b), controalele respective se efectuează în scopul asigurării conformității cu articolul 9 și cu anexa V, ținând seama de activitatea economică a Operatorului de platformă care are obligația de raportare sau de furnizarea de activități relevante în Uniune. Constatările acestor controale pot sprijini coordonarea acțiunilor statelor membre în vederea asigurării conformității, inclusiv prin aplicarea sancțiunilor menționate la articolul 34.</w:t>
      </w:r>
    </w:p>
    <w:bookmarkEnd w:id="47"/>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12</w:t>
      </w:r>
    </w:p>
    <w:p>
      <w:pPr>
        <w:pStyle w:val="CRReference"/>
        <w:rPr>
          <w:noProof/>
        </w:rPr>
      </w:pPr>
      <w:r>
        <w:rPr>
          <w:noProof/>
        </w:rPr>
        <w:t>(adaptat)</w:t>
      </w:r>
    </w:p>
    <w:p>
      <w:pPr>
        <w:pStyle w:val="SectionTitle000000"/>
        <w:rPr>
          <w:noProof/>
        </w:rPr>
      </w:pPr>
      <w:r>
        <w:rPr>
          <w:i/>
          <w:noProof/>
        </w:rPr>
        <w:t xml:space="preserve">SECȚIUNEA </w:t>
      </w:r>
      <w:r>
        <w:rPr>
          <w:rStyle w:val="CRMinorChangeAdded"/>
          <w:i/>
          <w:noProof/>
        </w:rPr>
        <w:t>III</w:t>
      </w:r>
      <w:r>
        <w:rPr>
          <w:rStyle w:val="CRMinorChangeDeleted"/>
          <w:i/>
          <w:noProof/>
        </w:rPr>
        <w:t>IIa</w:t>
      </w:r>
    </w:p>
    <w:p>
      <w:pPr>
        <w:pStyle w:val="SectionTitle000000"/>
        <w:rPr>
          <w:noProof/>
        </w:rPr>
      </w:pPr>
      <w:r>
        <w:rPr>
          <w:i/>
          <w:noProof/>
        </w:rPr>
        <w:t>Controale comune</w:t>
      </w:r>
    </w:p>
    <w:p>
      <w:pPr>
        <w:pStyle w:val="Titrearticle"/>
        <w:rPr>
          <w:noProof/>
        </w:rPr>
      </w:pPr>
      <w:r>
        <w:rPr>
          <w:noProof/>
        </w:rPr>
        <w:t xml:space="preserve">Articolul </w:t>
      </w:r>
      <w:bookmarkStart w:id="48" w:name="_Hlk228475068"/>
      <w:r>
        <w:rPr>
          <w:rStyle w:val="CRMinorChangeAdded"/>
          <w:noProof/>
        </w:rPr>
        <w:t>26</w:t>
      </w:r>
      <w:r>
        <w:rPr>
          <w:rStyle w:val="CRMinorChangeDeleted"/>
          <w:noProof/>
        </w:rPr>
        <w:t>12a</w:t>
      </w:r>
      <w:bookmarkEnd w:id="48"/>
    </w:p>
    <w:p>
      <w:pPr>
        <w:pStyle w:val="NormalCentered"/>
        <w:rPr>
          <w:b/>
          <w:noProof/>
        </w:rPr>
      </w:pPr>
      <w:r>
        <w:rPr>
          <w:b/>
          <w:noProof/>
        </w:rPr>
        <w:t>Controale comune</w:t>
      </w:r>
    </w:p>
    <w:p>
      <w:pPr>
        <w:rPr>
          <w:noProof/>
        </w:rPr>
      </w:pPr>
      <w:r>
        <w:rPr>
          <w:noProof/>
        </w:rPr>
        <w:t>(1)</w:t>
      </w:r>
      <w:r>
        <w:rPr>
          <w:noProof/>
        </w:rPr>
        <w:tab/>
        <w:t>O autoritate competentă dintr-unul sau mai multe state membre poate solicita unei autorități competente dintr-un alt stat membru (sau din alte state membre) să desfășoare un control comun. Autoritățile competente solicitate răspund la cererea de control comun în termen de 60 de zile de la primirea acesteia. Autoritățile competente solicitate pot respinge o cerere de efectuare a unui control comun din partea unei autorități competente dintr-un stat membru din motive justificate.</w:t>
      </w:r>
    </w:p>
    <w:p>
      <w:pPr>
        <w:rPr>
          <w:noProof/>
        </w:rPr>
      </w:pPr>
      <w:r>
        <w:rPr>
          <w:noProof/>
        </w:rPr>
        <w:t>(2)</w:t>
      </w:r>
      <w:r>
        <w:rPr>
          <w:noProof/>
        </w:rPr>
        <w:tab/>
        <w:t>Controalele comune se desfășoară într-un mod coordonat, convenit în prealabil, inclusiv în ceea ce privește regimul lingvistic, de către autoritățile competente din statul membru solicitant și statul membru solicitat și în conformitate cu normele legale și procedurale ale statului membru în care au loc activitățile controlului comun. În fiecare stat membru în care au loc activitățile controlului comun, autoritatea competentă din statul membru respectiv desemnează un reprezentant însărcinat cu supravegherea și coordonarea controlului comun în statul membru respectiv.</w:t>
      </w:r>
    </w:p>
    <w:p>
      <w:pPr>
        <w:rPr>
          <w:noProof/>
        </w:rPr>
      </w:pPr>
      <w:r>
        <w:rPr>
          <w:noProof/>
        </w:rPr>
        <w:t>Drepturile și obligațiile funcționarilor statelor membre care participă la controlul comun, atunci când aceștia sunt prezenți la activități desfășurate într-un alt stat membru, se stabilesc în conformitate cu legislația statului membru în care au loc activitățile controlului comun. În cadrul respectării legislației statului membru în care au loc activitățile controlului comun, funcționarii unui alt stat membru nu exercită nicio competență care ar depăși sfera competențelor care le sunt conferite în temeiul legislației propriului stat membru.</w:t>
      </w:r>
    </w:p>
    <w:p>
      <w:pPr>
        <w:rPr>
          <w:noProof/>
        </w:rPr>
      </w:pPr>
      <w:r>
        <w:rPr>
          <w:noProof/>
        </w:rPr>
        <w:t>(3)</w:t>
      </w:r>
      <w:r>
        <w:rPr>
          <w:noProof/>
        </w:rPr>
        <w:tab/>
        <w:t>Fără a aduce atingere alineatului (2), statul membru în care au loc activitățile controlului comun ia măsurile necesare astfel încât:</w:t>
      </w:r>
    </w:p>
    <w:p>
      <w:pPr>
        <w:pStyle w:val="Point0"/>
        <w:rPr>
          <w:noProof/>
        </w:rPr>
      </w:pPr>
      <w:r>
        <w:rPr>
          <w:noProof/>
        </w:rPr>
        <w:lastRenderedPageBreak/>
        <w:tab/>
        <w:t>(a)</w:t>
      </w:r>
      <w:r>
        <w:rPr>
          <w:noProof/>
        </w:rPr>
        <w:tab/>
        <w:t>funcționarii altor state membre care participă la activitățile controlului comun să aibă posibilitatea de a intervieva persoane și de a examina evidențe împreună cu funcționarii statului membru în care au loc activitățile controlului comun, sub rezerva normelor procedurale stabilite de statul membru în care au loc activitățile respective;</w:t>
      </w:r>
    </w:p>
    <w:p>
      <w:pPr>
        <w:pStyle w:val="Point0"/>
        <w:rPr>
          <w:noProof/>
        </w:rPr>
      </w:pPr>
      <w:r>
        <w:rPr>
          <w:noProof/>
        </w:rPr>
        <w:tab/>
        <w:t>(b)</w:t>
      </w:r>
      <w:r>
        <w:rPr>
          <w:noProof/>
        </w:rPr>
        <w:tab/>
        <w:t>probele colectate în timpul activităților controlului comun să poată fi evaluate, inclusiv în ceea ce privește admisibilitatea lor, în aceleași condiții juridice ca în cazul unui control efectuat în statul membru respectiv la care ar participa numai funcționarii statului membru respectiv, inclusiv în cursul unor eventuale proceduri privind plângeri, reexaminări sau căi de atac; și</w:t>
      </w:r>
    </w:p>
    <w:p>
      <w:pPr>
        <w:pStyle w:val="Point0"/>
        <w:rPr>
          <w:noProof/>
        </w:rPr>
      </w:pPr>
      <w:r>
        <w:rPr>
          <w:noProof/>
        </w:rPr>
        <w:tab/>
        <w:t>(c)</w:t>
      </w:r>
      <w:r>
        <w:rPr>
          <w:noProof/>
        </w:rPr>
        <w:tab/>
        <w:t>persoana sau persoanele care fac obiectul unui control comun sau care sunt afectate de acesta să se bucure de aceleași drepturi și să aibă aceleași obligații ca în cazul unui control la care ar participa numai funcționarii statului membru respectiv, inclusiv în cursul unor eventuale proceduri privind plângeri, reexaminări sau căi de atac.</w:t>
      </w:r>
    </w:p>
    <w:p>
      <w:pPr>
        <w:rPr>
          <w:noProof/>
        </w:rPr>
      </w:pPr>
      <w:r>
        <w:rPr>
          <w:noProof/>
        </w:rPr>
        <w:t>(4)</w:t>
      </w:r>
      <w:r>
        <w:rPr>
          <w:noProof/>
        </w:rPr>
        <w:tab/>
        <w:t>În cazul în care autoritățile competente din două sau mai multe state membre desfășoară un control comun, se străduiesc să convină asupra faptelor și circumstanțelor relevante pentru controlul comun și depun eforturi pentru a ajunge, pe baza rezultatelor controlului comun, la un acord privind situația fiscală a persoanei (persoanelor) controlate. Constatările controlului comun sunt incluse într-un raport final. Aspectele asupra cărora autoritățile competente convin sunt reflectate în raportul final și sunt luate în considerare în cadrul instrumentelor relevante emise de autoritățile competente ale statelor membre participante în urma controlului comun respectiv.</w:t>
      </w:r>
    </w:p>
    <w:p>
      <w:pPr>
        <w:rPr>
          <w:noProof/>
        </w:rPr>
      </w:pPr>
      <w:r>
        <w:rPr>
          <w:noProof/>
        </w:rPr>
        <w:t>Sub rezerva primului paragraf, acțiunile întreprinse de către autoritățile competente ale unui stat membru sau de oricare dintre funcționarii acestuia în urma unui control comun și orice alte proceduri din statul membru respectiv, cum ar fi o decizie a autorităților fiscale, o procedură privind o cale de atac sau o soluționare aferentă, au loc în conformitate cu dreptul intern al statului membru respectiv.</w:t>
      </w:r>
    </w:p>
    <w:p>
      <w:pPr>
        <w:rPr>
          <w:noProof/>
        </w:rPr>
      </w:pPr>
      <w:r>
        <w:rPr>
          <w:noProof/>
        </w:rPr>
        <w:t>(5)</w:t>
      </w:r>
      <w:r>
        <w:rPr>
          <w:noProof/>
        </w:rPr>
        <w:tab/>
        <w:t>Persoana sau persoanele controlate sunt informate cu privire la rezultatul controlului comun, primind inclusiv o copie a raportului final, în termen de 60 de zile de la data emiterii raportului final.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SectionTitle000000"/>
        <w:rPr>
          <w:noProof/>
        </w:rPr>
      </w:pPr>
      <w:r>
        <w:rPr>
          <w:i/>
          <w:noProof/>
        </w:rPr>
        <w:t xml:space="preserve">SECȚIUNEA </w:t>
      </w:r>
      <w:r>
        <w:rPr>
          <w:rStyle w:val="CRMinorChangeAdded"/>
          <w:i/>
          <w:noProof/>
        </w:rPr>
        <w:t>IV</w:t>
      </w:r>
      <w:r>
        <w:rPr>
          <w:rStyle w:val="CRMinorChangeDeleted"/>
          <w:i/>
          <w:noProof/>
        </w:rPr>
        <w:t>III</w:t>
      </w:r>
    </w:p>
    <w:p>
      <w:pPr>
        <w:pStyle w:val="SectionTitle000000"/>
        <w:rPr>
          <w:noProof/>
        </w:rPr>
      </w:pPr>
      <w:r>
        <w:rPr>
          <w:i/>
          <w:noProof/>
        </w:rPr>
        <w:t>Notificări administrative</w:t>
      </w:r>
    </w:p>
    <w:p>
      <w:pPr>
        <w:pStyle w:val="Titrearticle"/>
        <w:rPr>
          <w:noProof/>
        </w:rPr>
      </w:pPr>
      <w:r>
        <w:rPr>
          <w:noProof/>
        </w:rPr>
        <w:t xml:space="preserve">Articolul </w:t>
      </w:r>
      <w:r>
        <w:rPr>
          <w:rStyle w:val="CRMinorChangeAdded"/>
          <w:noProof/>
        </w:rPr>
        <w:t>27</w:t>
      </w:r>
      <w:r>
        <w:rPr>
          <w:rStyle w:val="CRMinorChangeDeleted"/>
          <w:noProof/>
        </w:rPr>
        <w:t>13</w:t>
      </w:r>
    </w:p>
    <w:p>
      <w:pPr>
        <w:pStyle w:val="NormalCentered"/>
        <w:rPr>
          <w:b/>
          <w:noProof/>
        </w:rPr>
      </w:pPr>
      <w:r>
        <w:rPr>
          <w:b/>
          <w:noProof/>
        </w:rPr>
        <w:t>Cereri de notificare</w:t>
      </w:r>
    </w:p>
    <w:p>
      <w:pPr>
        <w:rPr>
          <w:noProof/>
        </w:rPr>
      </w:pPr>
      <w:r>
        <w:rPr>
          <w:noProof/>
        </w:rPr>
        <w:t>(1)</w:t>
      </w:r>
      <w:r>
        <w:rPr>
          <w:noProof/>
        </w:rPr>
        <w:tab/>
        <w:t>La cererea autorității competente a unui stat membru, autoritatea competentă a unui alt stat membru comunică destinatarului, în conformitate cu normele care reglementează notificarea actelor similare în statul membru solicitat, toate actele și deciziile emise de autoritățile administrative ale statului membru solicitant și care se referă la aplicarea pe teritoriul său a legislației privind taxele și impozitele reglementate de prezenta directivă.</w:t>
      </w:r>
    </w:p>
    <w:p>
      <w:pPr>
        <w:rPr>
          <w:noProof/>
        </w:rPr>
      </w:pPr>
      <w:r>
        <w:rPr>
          <w:noProof/>
        </w:rPr>
        <w:lastRenderedPageBreak/>
        <w:t>(2)</w:t>
      </w:r>
      <w:r>
        <w:rPr>
          <w:noProof/>
        </w:rPr>
        <w:tab/>
        <w:t>Cererile de notificare precizează obiectul actului sau al deciziei care trebuie notificate și indică numele și adresa destinatarului, precum și orice alte informații care pot facilita identificarea acestuia.</w:t>
      </w:r>
    </w:p>
    <w:p>
      <w:pPr>
        <w:rPr>
          <w:noProof/>
        </w:rPr>
      </w:pPr>
      <w:r>
        <w:rPr>
          <w:noProof/>
        </w:rPr>
        <w:t>(3)</w:t>
      </w:r>
      <w:r>
        <w:rPr>
          <w:noProof/>
        </w:rPr>
        <w:tab/>
        <w:t>Autoritatea solicitată informează de îndată autoritatea solicitantă cu privire la răspunsul său la cererea respectivă și îi comunică, în special, data notificării destinatarului în privința actului sau a deciziei.</w:t>
      </w:r>
    </w:p>
    <w:p>
      <w:pPr>
        <w:rPr>
          <w:noProof/>
        </w:rPr>
      </w:pPr>
      <w:r>
        <w:rPr>
          <w:noProof/>
        </w:rPr>
        <w:t>(4)</w:t>
      </w:r>
      <w:r>
        <w:rPr>
          <w:noProof/>
        </w:rPr>
        <w:tab/>
        <w:t>Autoritatea solicitantă face o cerere de notificare în temeiul prezentului articol numai în cazul în care nu este în măsură să efectueze notificarea în conformitate cu normele care reglementează notificarea instrumentelor în cauză în statul membru solicitant sau în cazul în care o astfel de notificare ar cauza dificultăți disproporționate. Autoritatea competentă a unui stat membru poate transmite orice document prin poștă recomandată sau prin poștă electronică în mod direct unei persoane aflate pe teritoriul unui alt stat membru.</w:t>
      </w:r>
    </w:p>
    <w:p>
      <w:pPr>
        <w:pStyle w:val="SectionTitle000000"/>
        <w:rPr>
          <w:noProof/>
        </w:rPr>
      </w:pPr>
      <w:r>
        <w:rPr>
          <w:i/>
          <w:noProof/>
        </w:rPr>
        <w:t xml:space="preserve">SECȚIUNEA </w:t>
      </w:r>
      <w:r>
        <w:rPr>
          <w:rStyle w:val="CRMinorChangeAdded"/>
          <w:i/>
          <w:noProof/>
        </w:rPr>
        <w:t>V</w:t>
      </w:r>
      <w:r>
        <w:rPr>
          <w:rStyle w:val="CRMinorChangeDeleted"/>
          <w:i/>
          <w:noProof/>
        </w:rPr>
        <w:t>IV</w:t>
      </w:r>
    </w:p>
    <w:p>
      <w:pPr>
        <w:pStyle w:val="SectionTitle000000"/>
        <w:rPr>
          <w:noProof/>
        </w:rPr>
      </w:pPr>
      <w:r>
        <w:rPr>
          <w:i/>
          <w:noProof/>
        </w:rPr>
        <w:t>Feedback</w:t>
      </w:r>
    </w:p>
    <w:p>
      <w:pPr>
        <w:pStyle w:val="Titrearticle"/>
        <w:rPr>
          <w:noProof/>
        </w:rPr>
      </w:pPr>
      <w:r>
        <w:rPr>
          <w:noProof/>
        </w:rPr>
        <w:t xml:space="preserve">Articolul </w:t>
      </w:r>
      <w:r>
        <w:rPr>
          <w:rStyle w:val="CRMinorChangeDeleted"/>
          <w:noProof/>
        </w:rPr>
        <w:t>14</w:t>
      </w:r>
      <w:r>
        <w:rPr>
          <w:rStyle w:val="CRMinorChangeAdded"/>
          <w:noProof/>
        </w:rPr>
        <w:t>28</w:t>
      </w:r>
    </w:p>
    <w:p>
      <w:pPr>
        <w:pStyle w:val="NormalCentered"/>
        <w:rPr>
          <w:b/>
          <w:noProof/>
        </w:rPr>
      </w:pPr>
      <w:r>
        <w:rPr>
          <w:b/>
          <w:noProof/>
        </w:rPr>
        <w:t>Condiții</w:t>
      </w:r>
    </w:p>
    <w:p>
      <w:pPr>
        <w:rPr>
          <w:noProof/>
        </w:rPr>
      </w:pPr>
      <w:r>
        <w:rPr>
          <w:noProof/>
        </w:rPr>
        <w:t>(1)</w:t>
      </w:r>
      <w:r>
        <w:rPr>
          <w:noProof/>
        </w:rPr>
        <w:tab/>
        <w:t xml:space="preserve">În cazul în care o autoritate competentă furnizează informații în temeiul articolului </w:t>
      </w:r>
      <w:r>
        <w:rPr>
          <w:rStyle w:val="CRMinorChangeAdded"/>
          <w:noProof/>
        </w:rPr>
        <w:t>17</w:t>
      </w:r>
      <w:r>
        <w:rPr>
          <w:rStyle w:val="CRMinorChangeDeleted"/>
          <w:noProof/>
        </w:rPr>
        <w:t>5</w:t>
      </w:r>
      <w:r>
        <w:rPr>
          <w:noProof/>
        </w:rPr>
        <w:t xml:space="preserve"> sau </w:t>
      </w:r>
      <w:r>
        <w:rPr>
          <w:rStyle w:val="CRMinorChangeAdded"/>
          <w:noProof/>
        </w:rPr>
        <w:t>21</w:t>
      </w:r>
      <w:r>
        <w:rPr>
          <w:rStyle w:val="CRMinorChangeDeleted"/>
          <w:noProof/>
        </w:rPr>
        <w:t>9</w:t>
      </w:r>
      <w:r>
        <w:rPr>
          <w:noProof/>
        </w:rPr>
        <w:t xml:space="preserve">, aceasta poate solicita autorității competente care primește informațiile să transmită feedback cu privire la informațiile primite. În cazul în care se solicită feedback, autoritatea competentă care a primit informațiile transmite feedbackul autorității competente care a furnizat informațiile, fără a aduce atingere normelor privind secretul fiscal și protecția datelor, aplicabile în statul său membru, în cel mai scurt timp posibil și în termen de cel mult trei luni de la momentul în care se cunoaște rezultatul utilizării informațiilor solicitate. Comisia stabilește măsurile practice în conformitate cu procedura menționată la articolul </w:t>
      </w:r>
      <w:r>
        <w:rPr>
          <w:rStyle w:val="CRMinorChangeAdded"/>
          <w:noProof/>
        </w:rPr>
        <w:t>42</w:t>
      </w:r>
      <w:r>
        <w:rPr>
          <w:rStyle w:val="CRMinorChangeDeleted"/>
          <w:noProof/>
        </w:rPr>
        <w:t>26 alineatul (2)</w:t>
      </w:r>
      <w:r>
        <w:rPr>
          <w:noProof/>
        </w:rPr>
        <w:t>.</w:t>
      </w:r>
    </w:p>
    <w:p>
      <w:pPr>
        <w:rPr>
          <w:noProof/>
        </w:rPr>
      </w:pPr>
      <w:r>
        <w:rPr>
          <w:noProof/>
        </w:rPr>
        <w:t>(2)</w:t>
      </w:r>
      <w:r>
        <w:rPr>
          <w:noProof/>
        </w:rPr>
        <w:tab/>
        <w:t xml:space="preserve">Autoritățile competente ale statelor membre transmit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cel puțin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anual celorlalte state membre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implicate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feedback cu privire la schimbul automat de informații, în conformitate cu măsurile practice convenite bilateral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și cu sprijinul tehnic al Comisiei , astfel cum se prevede la articolele 43 și 44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SectionTitle000000"/>
        <w:rPr>
          <w:noProof/>
        </w:rPr>
      </w:pPr>
      <w:r>
        <w:rPr>
          <w:noProof/>
        </w:rPr>
        <w:lastRenderedPageBreak/>
        <w:t xml:space="preserve">CAPITOLUL </w:t>
      </w:r>
      <w:r>
        <w:rPr>
          <w:rStyle w:val="CRMinorChangeAdded"/>
          <w:noProof/>
        </w:rPr>
        <w:t>V</w:t>
      </w:r>
      <w:r>
        <w:rPr>
          <w:rStyle w:val="CRMinorChangeDeleted"/>
          <w:noProof/>
        </w:rPr>
        <w:t>IV</w:t>
      </w:r>
    </w:p>
    <w:p>
      <w:pPr>
        <w:pStyle w:val="SectionTitle000000"/>
        <w:rPr>
          <w:noProof/>
        </w:rPr>
      </w:pPr>
      <w:r>
        <w:rPr>
          <w:rStyle w:val="CRDeleted"/>
          <w:i/>
          <w:noProof/>
        </w:rPr>
        <w:t>CONDIȚII APLICABILE COOPERĂRII ADMINISTRATIVE</w:t>
      </w:r>
      <w:r>
        <w:rPr>
          <w:i/>
          <w:noProof/>
        </w:rPr>
        <w:t xml:space="preserve"> </w:t>
      </w: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w:t>
      </w:r>
      <w:r>
        <w:rPr>
          <w:i/>
          <w:noProof/>
        </w:rPr>
        <w:t>DISPOZIȚII REFERITOARE LA GUVERNANȚĂ</w:t>
      </w:r>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SectionTitle000000"/>
        <w:rPr>
          <w:noProof/>
        </w:rPr>
      </w:pPr>
      <w:bookmarkStart w:id="49" w:name="_Hlk218518938"/>
      <w:r>
        <w:rPr>
          <w:noProof/>
        </w:rPr>
        <w:t>Secțiunea I</w:t>
      </w:r>
    </w:p>
    <w:p>
      <w:pPr>
        <w:pStyle w:val="SectionTitle000000"/>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Aspecte generale</w:t>
      </w:r>
      <w:bookmarkEnd w:id="49"/>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noProof/>
        </w:rPr>
        <w:t xml:space="preserve">Articolul </w:t>
      </w:r>
      <w:r>
        <w:rPr>
          <w:rStyle w:val="CRMinorChangeAdded"/>
          <w:noProof/>
        </w:rPr>
        <w:t>29</w:t>
      </w:r>
      <w:r>
        <w:rPr>
          <w:rStyle w:val="CRMinorChangeDeleted"/>
          <w:noProof/>
        </w:rPr>
        <w:t>4</w:t>
      </w:r>
    </w:p>
    <w:p>
      <w:pPr>
        <w:pStyle w:val="NormalCentered"/>
        <w:keepNext/>
        <w:rPr>
          <w:b/>
          <w:noProof/>
        </w:rPr>
      </w:pPr>
      <w:r>
        <w:rPr>
          <w:b/>
          <w:noProof/>
        </w:rPr>
        <w:t>Organizare</w:t>
      </w:r>
    </w:p>
    <w:p>
      <w:pPr>
        <w:keepNext/>
        <w:rPr>
          <w:noProof/>
        </w:rPr>
      </w:pPr>
      <w:r>
        <w:rPr>
          <w:noProof/>
        </w:rPr>
        <w:t>(1)</w:t>
      </w:r>
      <w:r>
        <w:rPr>
          <w:noProof/>
        </w:rPr>
        <w:tab/>
        <w:t>Fiecare stat membru informează Comisia</w:t>
      </w:r>
      <w:r>
        <w:rPr>
          <w:rStyle w:val="CRDeleted"/>
          <w:noProof/>
        </w:rPr>
        <w:t>,</w:t>
      </w:r>
      <w:r>
        <w:rPr>
          <w:noProof/>
        </w:rPr>
        <w:t xml:space="preserve"> </w:t>
      </w:r>
      <w:r>
        <w:rPr>
          <w:rStyle w:val="CRDeleted"/>
          <w:noProof/>
        </w:rPr>
        <w:t>în termen de o lună începând cu 11 martie 2011,</w:t>
      </w:r>
      <w:r>
        <w:rPr>
          <w:noProof/>
        </w:rPr>
        <w:t xml:space="preserve"> cu privire la autoritatea competentă pe care o desemnează în temeiul prezentei directive și informează Comisia fără întârziere cu privire la orice eventuală schimbare a acesteia.</w:t>
      </w:r>
    </w:p>
    <w:p>
      <w:pPr>
        <w:rPr>
          <w:noProof/>
        </w:rPr>
      </w:pPr>
      <w:r>
        <w:rPr>
          <w:noProof/>
        </w:rPr>
        <w:t xml:space="preserve">Comisia pune aceste informații la dispoziția celorlalte state membre și publică lista autorităților statelor membre în </w:t>
      </w:r>
      <w:r>
        <w:rPr>
          <w:i/>
          <w:noProof/>
        </w:rPr>
        <w:t>Jurnalul Oficial al Uniunii Europene</w:t>
      </w:r>
      <w:r>
        <w:rPr>
          <w:noProof/>
        </w:rPr>
        <w:t>.</w:t>
      </w:r>
    </w:p>
    <w:p>
      <w:pPr>
        <w:rPr>
          <w:noProof/>
        </w:rPr>
      </w:pPr>
      <w:r>
        <w:rPr>
          <w:noProof/>
        </w:rPr>
        <w:t>(2)</w:t>
      </w:r>
      <w:r>
        <w:rPr>
          <w:noProof/>
        </w:rPr>
        <w:tab/>
        <w:t>Autoritatea competentă desemnează un singur birou central de legătură. Autoritatea competentă este responsabilă de informarea Comisiei și a celorlalte state membre cu privire la acesta.</w:t>
      </w:r>
    </w:p>
    <w:p>
      <w:pPr>
        <w:rPr>
          <w:noProof/>
        </w:rPr>
      </w:pPr>
      <w:r>
        <w:rPr>
          <w:noProof/>
        </w:rPr>
        <w:t>Biroul central de legătură poate fi desemnat, de asemenea, responsabil de contactele cu Comisia. Autoritatea competentă este responsabilă de informarea Comisiei cu privire la acest lucru.</w:t>
      </w:r>
    </w:p>
    <w:p>
      <w:pPr>
        <w:rPr>
          <w:noProof/>
        </w:rPr>
      </w:pPr>
      <w:r>
        <w:rPr>
          <w:noProof/>
        </w:rPr>
        <w:t>(3)</w:t>
      </w:r>
      <w:r>
        <w:rPr>
          <w:noProof/>
        </w:rPr>
        <w:tab/>
        <w:t>Autoritatea competentă a fiecărui stat membru poate desemna departamente de legătură cu competențe repartizate conform legislației sau politicii sale naționale. Biroul central de legătură are responsabilitatea de a actualiza lista departamentelor de legătură și de a o pune la dispoziția birourilor centrale de legătură din celelalte state membre interesate, precum și a Comisiei.</w:t>
      </w:r>
    </w:p>
    <w:p>
      <w:pPr>
        <w:rPr>
          <w:noProof/>
        </w:rPr>
      </w:pPr>
      <w:r>
        <w:rPr>
          <w:noProof/>
        </w:rPr>
        <w:t>(4)</w:t>
      </w:r>
      <w:r>
        <w:rPr>
          <w:noProof/>
        </w:rPr>
        <w:tab/>
        <w:t xml:space="preserve">Autoritatea competentă a fiecărui stat membru poate desemna funcționari competenți. Biroul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central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fiscal</w:t>
      </w:r>
      <w:r>
        <w:rPr>
          <w:noProof/>
        </w:rPr>
        <w:t xml:space="preserve"> de legătură are responsabilitatea de a actualiza lista acestor funcționari competenți și de a o pune la dispoziția birourilor centrale de legătură din celelalte state membre interesate, precum și a Comisiei.</w:t>
      </w:r>
    </w:p>
    <w:p>
      <w:pPr>
        <w:rPr>
          <w:noProof/>
        </w:rPr>
      </w:pPr>
      <w:r>
        <w:rPr>
          <w:noProof/>
        </w:rPr>
        <w:t>(5)</w:t>
      </w:r>
      <w:r>
        <w:rPr>
          <w:noProof/>
        </w:rPr>
        <w:tab/>
        <w:t>Funcționarii implicați în cooperarea administrativă în temeiul prezentei directive sunt considerați, în orice situație, ca fiind funcționari competenți în acest sens, în conformitate cu condițiile prevăzute de autoritățile competente.</w:t>
      </w:r>
    </w:p>
    <w:p>
      <w:pPr>
        <w:rPr>
          <w:noProof/>
        </w:rPr>
      </w:pPr>
      <w:r>
        <w:rPr>
          <w:noProof/>
        </w:rPr>
        <w:t>(6)</w:t>
      </w:r>
      <w:r>
        <w:rPr>
          <w:noProof/>
        </w:rPr>
        <w:tab/>
        <w:t>Atunci când un departament de legătură sau un funcționar competent trimite sau primește o cerere sau un răspuns la o cerere de cooperare, acesta informează biroul central de legătură din statul său membru, conform procedurilor prevăzute de acesta din urmă.</w:t>
      </w:r>
    </w:p>
    <w:p>
      <w:pPr>
        <w:rPr>
          <w:noProof/>
        </w:rPr>
      </w:pPr>
      <w:r>
        <w:rPr>
          <w:noProof/>
        </w:rPr>
        <w:t>(7)</w:t>
      </w:r>
      <w:r>
        <w:rPr>
          <w:noProof/>
        </w:rPr>
        <w:tab/>
        <w:t xml:space="preserve">Atunci când un departament de legătură sau un funcționar competent primește o cerere de cooperare care necesită o acțiune în afara competenței care i-a fost repartizată conform legislației sau politicii naționale a statului său membru, el transmite fără întârziere această cerere biroului central de legătură al statului său membru și informează autoritatea solicitantă. Într-un astfel de caz, perioada prevăzută la articolul </w:t>
      </w:r>
      <w:r>
        <w:rPr>
          <w:rStyle w:val="CRMinorChangeAdded"/>
          <w:noProof/>
        </w:rPr>
        <w:t>20</w:t>
      </w:r>
      <w:r>
        <w:rPr>
          <w:rStyle w:val="CRMinorChangeDeleted"/>
          <w:noProof/>
        </w:rPr>
        <w:t>20</w:t>
      </w:r>
      <w:r>
        <w:rPr>
          <w:noProof/>
        </w:rPr>
        <w:t xml:space="preserve"> începe în ziua următoare transmiterii cererii de cooperare către biroul central de legătură.</w:t>
      </w:r>
    </w:p>
    <w:p>
      <w:pPr>
        <w:pStyle w:val="Titrearticle"/>
        <w:rPr>
          <w:noProof/>
        </w:rPr>
      </w:pPr>
      <w:r>
        <w:rPr>
          <w:noProof/>
        </w:rPr>
        <w:lastRenderedPageBreak/>
        <w:t xml:space="preserve">Articolul </w:t>
      </w:r>
      <w:r>
        <w:rPr>
          <w:rStyle w:val="CRMinorChangeAdded"/>
          <w:noProof/>
        </w:rPr>
        <w:t>30</w:t>
      </w:r>
      <w:r>
        <w:rPr>
          <w:rStyle w:val="CRMinorChangeDeleted"/>
          <w:noProof/>
        </w:rPr>
        <w:t>16</w:t>
      </w:r>
    </w:p>
    <w:p>
      <w:pPr>
        <w:pStyle w:val="NormalCentered"/>
        <w:rPr>
          <w:b/>
          <w:noProof/>
        </w:rPr>
      </w:pPr>
      <w:r>
        <w:rPr>
          <w:b/>
          <w:noProof/>
        </w:rPr>
        <w:t>Transmiterea de informații și documente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7 litera (a)</w:t>
      </w:r>
    </w:p>
    <w:p>
      <w:pPr>
        <w:rPr>
          <w:noProof/>
        </w:rPr>
      </w:pPr>
      <w:r>
        <w:rPr>
          <w:noProof/>
        </w:rPr>
        <w:t>(1)</w:t>
      </w:r>
      <w:r>
        <w:rPr>
          <w:noProof/>
        </w:rPr>
        <w:tab/>
        <w:t>Informațiile comunicate între statele membre sub orice formă conform prezentei directive intră sub incidența secretului profesional și se bucură de protecția conferită informațiilor de acest tip în temeiul dreptului intern al statului membru care le primește. Astfel de informații pot fi utilizate pentru evaluarea, administrarea și aplicarea dreptului intern al statelor membre referitor la taxele și impozitele menționate la articolul 2, precum și la TVA, la alte impozite indirecte, la taxele vamale și la combaterea spălării banilor și a finanțării terorismului.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 xml:space="preserve">Aceste informații pot fi utilizate, de asemenea, pentru stabilirea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administrarea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recuperarea altor taxe și impozite prevăzute la articolul 2 din Directiva 2010/24/UE a Consiliului </w:t>
      </w:r>
      <w:r>
        <w:rPr>
          <w:rStyle w:val="CRMinorChangeDeleted"/>
          <w:noProof/>
        </w:rPr>
        <w:t>din 16 martie 2010 privind asistența reciprocă în materie de recuperare a creanțelor legate de impozite, taxe și alte măsuri</w:t>
      </w:r>
      <w:r>
        <w:rPr>
          <w:rStyle w:val="FootnoteReference"/>
          <w:noProof/>
        </w:rPr>
        <w:footnoteReference w:id="53"/>
      </w:r>
      <w:r>
        <w:rPr>
          <w:noProof/>
        </w:rPr>
        <w:t xml:space="preserve"> sau pentru stabilirea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administrarea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recuperarea contribuțiilor obligatorii la sistemul de securitate socială.</w:t>
      </w:r>
    </w:p>
    <w:p>
      <w:pPr>
        <w:rPr>
          <w:noProof/>
        </w:rPr>
      </w:pPr>
      <w:r>
        <w:rPr>
          <w:noProof/>
        </w:rPr>
        <w:t>De asemenea, acestea pot fi folosite în legătură cu procedurile judiciare și administrative care pot implica sancțiuni, inițiate ca urmare a încălcării legislației fiscale, fără a aduce atingere normelor și dispozițiilor generale care reglementează drepturile acuzaților și martorilor în cadrul acestor proceduri.</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rPr>
          <w:noProof/>
        </w:rPr>
      </w:pPr>
      <w:r>
        <w:rPr>
          <w:noProof/>
          <w:highlight w:val="lightGray"/>
        </w:rPr>
        <w:t>Aceste informații pot fi utilizate, de asemenea, în scopuri statistice.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13 litera (b)</w:t>
      </w:r>
    </w:p>
    <w:p>
      <w:pPr>
        <w:rPr>
          <w:noProof/>
        </w:rPr>
      </w:pPr>
      <w:r>
        <w:rPr>
          <w:noProof/>
        </w:rPr>
        <w:t>(2)</w:t>
      </w:r>
      <w:r>
        <w:rPr>
          <w:noProof/>
        </w:rPr>
        <w:tab/>
        <w:t>Informațiile și documentele primite în temeiul prezentei directive pot fi utilizate în alte scopuri decât cele menționate la alineatul (1), cu permisiunea autorității competente a statului membru care comunică informațiile în temeiul prezentei directive și numai în măsura în care acest lucru este permis în temeiul dreptului intern al statului membru al autorității competente care primește informațiile. O astfel de permisiune se acordă dacă informațiile pot fi utilizate în scopuri asemănătoare în statul membru al autorității competente care comunică informațiile.</w:t>
      </w:r>
    </w:p>
    <w:p>
      <w:pPr>
        <w:rPr>
          <w:noProof/>
        </w:rPr>
      </w:pPr>
      <w:r>
        <w:rPr>
          <w:noProof/>
        </w:rPr>
        <w:t xml:space="preserve">Autoritatea competentă a fiecărui stat membru poate comunica autorităților competente din toate celelalte state membre o listă cu scopurile pentru care se pot utiliza informațiile și documentele, altele decât cele menționate la alineatul (1), în conformitate cu dreptul său intern. Autoritatea competentă care primește informații și documente poate utiliza informațiile </w:t>
      </w:r>
      <w:r>
        <w:rPr>
          <w:noProof/>
        </w:rPr>
        <w:lastRenderedPageBreak/>
        <w:t>și documentele primite fără permisiunea menționată la primul paragraf de la prezentul alineat pentru oricare dintre scopurile enumerate de statul membru care comunică informațiile.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7 litera (b)</w:t>
      </w:r>
    </w:p>
    <w:p>
      <w:pPr>
        <w:pStyle w:val="CRReference"/>
        <w:rPr>
          <w:noProof/>
        </w:rPr>
      </w:pPr>
      <w:r>
        <w:rPr>
          <w:noProof/>
        </w:rPr>
        <w:t>(adaptat)</w:t>
      </w:r>
    </w:p>
    <w:p>
      <w:pPr>
        <w:rPr>
          <w:noProof/>
        </w:rPr>
      </w:pPr>
      <w:r>
        <w:rPr>
          <w:noProof/>
        </w:rPr>
        <w:t>Autoritatea competentă care primește informații și documente poate, de asemenea, să utilizeze informațiile și documentele primite fără permisiunea menționată la primul paragraf de la prezentul alineat în orice scop care face obiectul unui act întemeiat pe articolul 215 din Tratatul privind funcționarea Uniunii Europene și să le comunice în acest scop autorității competente responsabile cu măsurile restrictive din statul membru în cauză.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7 litera (c)</w:t>
      </w:r>
    </w:p>
    <w:p>
      <w:pPr>
        <w:rPr>
          <w:noProof/>
        </w:rPr>
      </w:pPr>
      <w:r>
        <w:rPr>
          <w:noProof/>
        </w:rPr>
        <w:t>(3)</w:t>
      </w:r>
      <w:r>
        <w:rPr>
          <w:noProof/>
        </w:rPr>
        <w:tab/>
        <w:t>Dacă o autoritate competentă a unui stat membru consideră că informațiile primite de la autoritatea competentă a unui alt stat membru pot fi utile, în scopurile menționate la alineatul (1), autorității competente a unui al treilea stat membru, le poate transmite acesteia din urmă, cu condiția ca această partajare să respecte normele și procedurile prevăzute de prezenta directivă. Aceasta informează autoritatea competentă a statului membru din care provin informațiile cu privire la intenția sa de a partaja informațiile respective unui stat membru terț. Statul membru din care provin informațiile se poate opune partajării informațiilor respective în termen de 15 zile calendaristice de la data primirii comunicării din partea statului membru care dorește să partajeze informațiile.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noProof/>
        </w:rPr>
        <w:t>(4)</w:t>
      </w:r>
      <w:r>
        <w:rPr>
          <w:noProof/>
        </w:rPr>
        <w:tab/>
        <w:t>Permisiunea de a utiliza în temeiul alineatului (2) informațiile transmise în temeiul alineatului (3) poate fi acordată numai de către autoritatea competentă a statului membru de unde provin informațiile.</w:t>
      </w:r>
    </w:p>
    <w:p>
      <w:pPr>
        <w:rPr>
          <w:noProof/>
        </w:rPr>
      </w:pPr>
      <w:r>
        <w:rPr>
          <w:noProof/>
        </w:rPr>
        <w:t>(5)</w:t>
      </w:r>
      <w:r>
        <w:rPr>
          <w:noProof/>
        </w:rPr>
        <w:tab/>
        <w:t>Informațiile, rapoartele, declarațiile și orice alte documente, precum și copiile certificate sau extrasele din aceste documente, obținute de autoritatea solicitată și comunicate autorității solicitante în temeiul prezentei directive pot fi invocate ca dovezi de către organismele competente ale statului membru solicitant, în același mod ca informațiile, rapoartele, declarațiile și orice alte documente similare furnizate de o autoritate din statul membru respectiv.</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2016/881 articolul 1 punctul 3</w:t>
      </w:r>
    </w:p>
    <w:p>
      <w:pPr>
        <w:pStyle w:val="CRReference"/>
        <w:rPr>
          <w:noProof/>
        </w:rPr>
      </w:pPr>
      <w:r>
        <w:rPr>
          <w:noProof/>
        </w:rPr>
        <w:t>(adaptat)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(6)</w:t>
      </w:r>
      <w:r>
        <w:rPr>
          <w:noProof/>
        </w:rPr>
        <w:tab/>
        <w:t>În pofida alineatelor (1)-(4) de la prezentul articol, informațiile comunicate de statele membre între ele în temeiul articolului </w:t>
      </w:r>
      <w:r>
        <w:rPr>
          <w:rStyle w:val="CRMinorChangeAdded"/>
          <w:noProof/>
        </w:rPr>
        <w:t>7</w:t>
      </w:r>
      <w:r>
        <w:rPr>
          <w:rStyle w:val="CRMinorChangeDeleted"/>
          <w:noProof/>
        </w:rPr>
        <w:t>8aa</w:t>
      </w:r>
      <w:r>
        <w:rPr>
          <w:noProof/>
        </w:rPr>
        <w:t xml:space="preserve"> sunt utilizate în scopul evaluării riscurilor de nivel înalt aferente prețurilor de transfer și a riscurilor aferente erodării bazei impozabile și transferului profiturilor, inclusiv al evaluării riscului de neconformare de către membrii grupului de întreprinderi multinaționale la normele aplicabile în materie de prețuri de transfer și, după caz, în scopul analizelor economice și statistice. Ajustarea prețurilor de transfer de către autoritățile fiscale din statul membru destinatar nu se bazează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exclusiv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pe </w:t>
      </w:r>
      <w:r>
        <w:rPr>
          <w:noProof/>
        </w:rPr>
        <w:lastRenderedPageBreak/>
        <w:t>informațiile care fac obiectul schimbului în temeiul articolului </w:t>
      </w:r>
      <w:r>
        <w:rPr>
          <w:rStyle w:val="CRMinorChangeAdded"/>
          <w:noProof/>
        </w:rPr>
        <w:t>7</w:t>
      </w:r>
      <w:r>
        <w:rPr>
          <w:rStyle w:val="CRMinorChangeDeleted"/>
          <w:noProof/>
        </w:rPr>
        <w:t>8aa</w:t>
      </w:r>
      <w:r>
        <w:rPr>
          <w:noProof/>
        </w:rPr>
        <w:t>. În pofida celor de mai sus, nu există nicio interdicție privind utilizarea informațiilor comunicate de statele membre între ele în temeiul articolului </w:t>
      </w:r>
      <w:r>
        <w:rPr>
          <w:rStyle w:val="CRMinorChangeAdded"/>
          <w:noProof/>
        </w:rPr>
        <w:t>7</w:t>
      </w:r>
      <w:r>
        <w:rPr>
          <w:rStyle w:val="CRMinorChangeDeleted"/>
          <w:noProof/>
        </w:rPr>
        <w:t>8aa</w:t>
      </w:r>
      <w:r>
        <w:rPr>
          <w:noProof/>
        </w:rPr>
        <w:t xml:space="preserve"> ca bază pentru efectuarea de cercetări suplimentare ale acordurilor privind prețurile de transfer ale grupului de întreprinderi multinaționale sau ale altor aspecte de natură fiscală în cursul unui audit fiscal și, prin urmare, pot fi făcute ajustări corespunzătoare ale venitului impozabil al entității constitutive.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Titrearticle"/>
        <w:rPr>
          <w:noProof/>
        </w:rPr>
      </w:pPr>
      <w:r>
        <w:rPr>
          <w:noProof/>
        </w:rPr>
        <w:t xml:space="preserve">Articolul </w:t>
      </w:r>
      <w:r>
        <w:rPr>
          <w:rStyle w:val="CRMinorChangeAdded"/>
          <w:noProof/>
        </w:rPr>
        <w:t>31</w:t>
      </w:r>
      <w:r>
        <w:rPr>
          <w:rStyle w:val="CRMinorChangeDeleted"/>
          <w:noProof/>
        </w:rPr>
        <w:t>17</w:t>
      </w:r>
    </w:p>
    <w:p>
      <w:pPr>
        <w:pStyle w:val="NormalCentered"/>
        <w:rPr>
          <w:b/>
          <w:noProof/>
        </w:rPr>
      </w:pPr>
      <w:r>
        <w:rPr>
          <w:b/>
          <w:noProof/>
        </w:rPr>
        <w:t>Limite</w:t>
      </w:r>
    </w:p>
    <w:p>
      <w:pPr>
        <w:rPr>
          <w:noProof/>
        </w:rPr>
      </w:pPr>
      <w:r>
        <w:rPr>
          <w:noProof/>
        </w:rPr>
        <w:t>(1)</w:t>
      </w:r>
      <w:r>
        <w:rPr>
          <w:noProof/>
        </w:rPr>
        <w:tab/>
        <w:t xml:space="preserve">Autoritatea solicitată dintr-un stat membru furnizează autorității solicitante dintr-un alt stat membru informațiile menționate la articolul </w:t>
      </w:r>
      <w:r>
        <w:rPr>
          <w:rStyle w:val="CRMinorChangeAdded"/>
          <w:noProof/>
        </w:rPr>
        <w:t>17</w:t>
      </w:r>
      <w:r>
        <w:rPr>
          <w:rStyle w:val="CRMinorChangeDeleted"/>
          <w:noProof/>
        </w:rPr>
        <w:t>5</w:t>
      </w:r>
      <w:r>
        <w:rPr>
          <w:noProof/>
        </w:rPr>
        <w:t>, cu condiția ca autoritatea solicitantă să fi epuizat sursele uzuale de informații pe care le-ar fi putut utiliza în această situație pentru a obține informațiile solicitate, fără a risca să pună în pericol atingerea scopului urmărit.</w:t>
      </w:r>
    </w:p>
    <w:p>
      <w:pPr>
        <w:rPr>
          <w:noProof/>
        </w:rPr>
      </w:pPr>
      <w:r>
        <w:rPr>
          <w:noProof/>
        </w:rPr>
        <w:t>(2)</w:t>
      </w:r>
      <w:r>
        <w:rPr>
          <w:noProof/>
        </w:rPr>
        <w:tab/>
        <w:t>Prezenta directivă nu impune unui stat membru solicitat obligația de a efectua anchete sau de a comunica informații, în cazul în care efectuarea acestor anchete sau obținerea informațiilor respective pentru propriile scopuri ar fi contrară legislației acelui stat membru.</w:t>
      </w:r>
    </w:p>
    <w:p>
      <w:pPr>
        <w:rPr>
          <w:noProof/>
        </w:rPr>
      </w:pPr>
      <w:r>
        <w:rPr>
          <w:noProof/>
        </w:rPr>
        <w:t>(3)</w:t>
      </w:r>
      <w:r>
        <w:rPr>
          <w:noProof/>
        </w:rPr>
        <w:tab/>
        <w:t>Autoritatea competentă a unui stat membru solicitat poate refuza să furnizeze informații, în cazul în care statul membru solicitant nu este în măsură, din motive juridice, să furnizeze informații similare.</w:t>
      </w:r>
    </w:p>
    <w:p>
      <w:pPr>
        <w:rPr>
          <w:noProof/>
        </w:rPr>
      </w:pPr>
      <w:r>
        <w:rPr>
          <w:noProof/>
        </w:rPr>
        <w:t>(4)</w:t>
      </w:r>
      <w:r>
        <w:rPr>
          <w:noProof/>
        </w:rPr>
        <w:tab/>
        <w:t>Furnizarea de informații poate fi refuzată în cazul în care ar conduce la divulgarea unui secret comercial, industrial sau profesional sau a unui procedeu comercial ori a unor informații a căror divulgare ar fi contrară ordinii publice.</w:t>
      </w:r>
    </w:p>
    <w:p>
      <w:pPr>
        <w:rPr>
          <w:noProof/>
        </w:rPr>
      </w:pPr>
      <w:r>
        <w:rPr>
          <w:noProof/>
        </w:rPr>
        <w:t>(5)</w:t>
      </w:r>
      <w:r>
        <w:rPr>
          <w:noProof/>
        </w:rPr>
        <w:tab/>
        <w:t>Autoritatea solicitată comunică autorității solicitante motivele refuzului de a răspunde la cererea de informații.</w:t>
      </w:r>
    </w:p>
    <w:p>
      <w:pPr>
        <w:pStyle w:val="Titrearticle"/>
        <w:rPr>
          <w:noProof/>
        </w:rPr>
      </w:pPr>
      <w:r>
        <w:rPr>
          <w:noProof/>
        </w:rPr>
        <w:t xml:space="preserve">Articolul </w:t>
      </w:r>
      <w:r>
        <w:rPr>
          <w:rStyle w:val="CRMinorChangeAdded"/>
          <w:noProof/>
        </w:rPr>
        <w:t>32</w:t>
      </w:r>
      <w:r>
        <w:rPr>
          <w:rStyle w:val="CRMinorChangeDeleted"/>
          <w:noProof/>
        </w:rPr>
        <w:t>18</w:t>
      </w:r>
    </w:p>
    <w:p>
      <w:pPr>
        <w:pStyle w:val="NormalCentered"/>
        <w:rPr>
          <w:b/>
          <w:noProof/>
        </w:rPr>
      </w:pPr>
      <w:r>
        <w:rPr>
          <w:b/>
          <w:noProof/>
        </w:rPr>
        <w:t>Obligații</w:t>
      </w:r>
    </w:p>
    <w:p>
      <w:pPr>
        <w:rPr>
          <w:noProof/>
        </w:rPr>
      </w:pPr>
      <w:r>
        <w:rPr>
          <w:noProof/>
        </w:rPr>
        <w:t>(1)</w:t>
      </w:r>
      <w:r>
        <w:rPr>
          <w:noProof/>
        </w:rPr>
        <w:tab/>
        <w:t xml:space="preserve">În cazul în care un stat membru solicită informații în temeiul prezentei directive, statul membru solicitat recurge la mecanismul său de colectare de informații pentru a obține informațiile solicitate, chiar dacă acestea nu îi sunt necesare pentru propriile scopuri fiscale. Această obligație nu aduce atingere articolului </w:t>
      </w:r>
      <w:r>
        <w:rPr>
          <w:rStyle w:val="CRMinorChangeAdded"/>
          <w:noProof/>
        </w:rPr>
        <w:t>31</w:t>
      </w:r>
      <w:r>
        <w:rPr>
          <w:rStyle w:val="CRMinorChangeDeleted"/>
          <w:noProof/>
        </w:rPr>
        <w:t>17</w:t>
      </w:r>
      <w:r>
        <w:rPr>
          <w:noProof/>
        </w:rPr>
        <w:t xml:space="preserve"> alineatele (2), (3) și (4), ale căror dispoziții nu pot fi în niciun caz interpretate în sensul autorizării unui stat membru solicitat să refuze furnizarea informațiilor pentru simplul motiv că acestea nu prezintă un interes național.</w:t>
      </w:r>
    </w:p>
    <w:p>
      <w:pPr>
        <w:rPr>
          <w:noProof/>
        </w:rPr>
      </w:pPr>
      <w:r>
        <w:rPr>
          <w:noProof/>
        </w:rPr>
        <w:t>(2)</w:t>
      </w:r>
      <w:r>
        <w:rPr>
          <w:noProof/>
        </w:rPr>
        <w:tab/>
        <w:t xml:space="preserve">Dispozițiile articolului </w:t>
      </w:r>
      <w:r>
        <w:rPr>
          <w:rStyle w:val="CRMinorChangeAdded"/>
          <w:noProof/>
        </w:rPr>
        <w:t>31</w:t>
      </w:r>
      <w:r>
        <w:rPr>
          <w:rStyle w:val="CRMinorChangeDeleted"/>
          <w:noProof/>
        </w:rPr>
        <w:t>17</w:t>
      </w:r>
      <w:r>
        <w:rPr>
          <w:noProof/>
        </w:rPr>
        <w:t xml:space="preserve"> alineatele (2) și (4) nu pot fi în niciun caz interpretate ca permițând unei autorități solicitate a unui stat membru să refuze furnizarea de informații pentru simplul motiv că aceste informații sunt deținute de o bancă, de o altă instituție financiară, de o persoană desemnată sau care acționează în calitate de agent sau de administrator, sau că informațiile respective se referă la participațiile la capitalul unei persoane.</w:t>
      </w:r>
    </w:p>
    <w:p>
      <w:pPr>
        <w:rPr>
          <w:noProof/>
          <w:highlight w:val="lightGray"/>
        </w:rPr>
      </w:pPr>
      <w:r>
        <w:rPr>
          <w:rStyle w:val="CRRefonteDeleted"/>
          <w:noProof/>
          <w:highlight w:val="lightGray"/>
        </w:rPr>
        <w:t>(3)</w:t>
      </w:r>
      <w:r>
        <w:rPr>
          <w:noProof/>
        </w:rPr>
        <w:tab/>
      </w:r>
      <w:r>
        <w:rPr>
          <w:rStyle w:val="CRRefonteDeleted"/>
          <w:noProof/>
          <w:highlight w:val="lightGray"/>
        </w:rPr>
        <w:t xml:space="preserve">Fără a aduce atingere alineatului (2), statele membre pot refuza transmiterea informațiilor solicitate în cazul în care aceste informații se referă la perioade de impozitare dinainte de 1 ianuarie 2011, iar transmiterea unor astfel de informații ar fi putut fi refuzată pe </w:t>
      </w:r>
      <w:r>
        <w:rPr>
          <w:rStyle w:val="CRRefonteDeleted"/>
          <w:noProof/>
          <w:highlight w:val="lightGray"/>
        </w:rPr>
        <w:lastRenderedPageBreak/>
        <w:t>baza articolului 8 alineatul (1) din Directiva 77/799/CEE dacă ar fi fost solicitate înainte de 11 martie 2011.</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articolul 1 punctul 6</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rStyle w:val="CRMinorChangeAdded"/>
          <w:noProof/>
        </w:rPr>
        <w:t>(3)</w:t>
      </w:r>
      <w:r>
        <w:rPr>
          <w:rStyle w:val="CRMinorChangeDeleted"/>
          <w:noProof/>
        </w:rPr>
        <w:t>(4)</w:t>
      </w:r>
      <w:r>
        <w:rPr>
          <w:noProof/>
        </w:rPr>
        <w:tab/>
        <w:t>Autoritatea competentă a fiecărui stat membru instituie un mecanism eficace pentru a garanta utilizarea informațiilor obținute în urma raportării sau a schimbului de informații prevăzute la articolele </w:t>
      </w:r>
      <w:bookmarkStart w:id="50" w:name="_Hlk228476099"/>
      <w:r>
        <w:rPr>
          <w:rStyle w:val="CRRefonteDeleted"/>
          <w:noProof/>
          <w:highlight w:val="lightGray"/>
        </w:rPr>
        <w:t>8-8ae</w:t>
      </w:r>
      <w:bookmarkEnd w:id="50"/>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4-9, 12, 15 și 16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rStyle w:val="CRMinorChangeAdded"/>
          <w:noProof/>
        </w:rPr>
        <w:t>(4)</w:t>
      </w:r>
      <w:r>
        <w:rPr>
          <w:rStyle w:val="CRMinorChangeDeleted"/>
          <w:noProof/>
        </w:rPr>
        <w:t>(8)</w:t>
      </w:r>
      <w:r>
        <w:rPr>
          <w:noProof/>
        </w:rPr>
        <w:tab/>
        <w:t>În cazul în care statele membre convin să facă automat schimb de informații referitoare la categorii suplimentare de venituri și de capital în cadrul unor acorduri bilaterale sau multilaterale pe care le încheie cu alte state membre, acestea comunică acordurile respective Comisiei, care le pune la dispoziția tuturor celorlalte state membre.</w:t>
      </w:r>
    </w:p>
    <w:p>
      <w:pPr>
        <w:pStyle w:val="Titrearticle"/>
        <w:rPr>
          <w:noProof/>
        </w:rPr>
      </w:pPr>
      <w:r>
        <w:rPr>
          <w:noProof/>
        </w:rPr>
        <w:t xml:space="preserve">Articolul </w:t>
      </w:r>
      <w:r>
        <w:rPr>
          <w:rStyle w:val="CRMinorChangeAdded"/>
          <w:noProof/>
        </w:rPr>
        <w:t>33</w:t>
      </w:r>
      <w:r>
        <w:rPr>
          <w:rStyle w:val="CRMinorChangeDeleted"/>
          <w:noProof/>
        </w:rPr>
        <w:t>19</w:t>
      </w:r>
    </w:p>
    <w:p>
      <w:pPr>
        <w:pStyle w:val="NormalCentered"/>
        <w:rPr>
          <w:b/>
          <w:noProof/>
        </w:rPr>
      </w:pPr>
      <w:r>
        <w:rPr>
          <w:b/>
          <w:noProof/>
        </w:rPr>
        <w:t>Lărgirea cooperării extinse oferite unei țări terțe</w:t>
      </w:r>
    </w:p>
    <w:p>
      <w:pPr>
        <w:rPr>
          <w:noProof/>
        </w:rPr>
      </w:pPr>
      <w:r>
        <w:rPr>
          <w:noProof/>
        </w:rPr>
        <w:t>Atunci când un stat membru oferă unei țări terțe o cooperare mai extinsă decât cea prevăzută de prezenta directivă, statul membru respectiv nu poate refuza o astfel de cooperare extinsă cu niciunul dintre celelalte state membre care doresc să inițieze o astfel de cooperare extinsă reciprocă cu statul membru respectiv.</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articolul 1 punctul 9</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Titrearticle"/>
        <w:rPr>
          <w:noProof/>
        </w:rPr>
      </w:pPr>
      <w:r>
        <w:rPr>
          <w:noProof/>
        </w:rPr>
        <w:t xml:space="preserve">Articolul </w:t>
      </w:r>
      <w:r>
        <w:rPr>
          <w:rStyle w:val="CRMinorChangeAdded"/>
          <w:noProof/>
        </w:rPr>
        <w:t>34</w:t>
      </w:r>
      <w:r>
        <w:rPr>
          <w:rStyle w:val="CRMinorChangeDeleted"/>
          <w:noProof/>
        </w:rPr>
        <w:t>25a</w:t>
      </w:r>
    </w:p>
    <w:p>
      <w:pPr>
        <w:pStyle w:val="NormalCentered"/>
        <w:rPr>
          <w:b/>
          <w:noProof/>
        </w:rPr>
      </w:pPr>
      <w:r>
        <w:rPr>
          <w:b/>
          <w:noProof/>
        </w:rPr>
        <w:t>Sancțiuni</w:t>
      </w:r>
    </w:p>
    <w:p>
      <w:pPr>
        <w:rPr>
          <w:noProof/>
        </w:rPr>
      </w:pPr>
      <w:r>
        <w:rPr>
          <w:noProof/>
        </w:rPr>
        <w:t>Statele membre stabilesc normele referitoare la sancțiunile aplicabile pentru încălcarea dispozițiilor naționale adoptate în temeiul prezentei directive și în ceea ce privește articolele și iau toate măsurile necesare pentru a asigura punerea în aplicare a acestora. Sancțiunile prevăzute sunt eficace, proporționale și cu efect de descurajare.</w:t>
      </w:r>
    </w:p>
    <w:p>
      <w:pPr>
        <w:rPr>
          <w:noProof/>
        </w:rPr>
      </w:pPr>
      <w:r>
        <w:rPr>
          <w:noProof/>
        </w:rPr>
        <w:t>Statele membre stabilesc normele referitoare la sancțiunile aplicabile pentru încălcarea dispozițiilor naționale adoptate în temeiul prezentei directive și în ceea ce privește articolele </w:t>
      </w:r>
      <w:bookmarkStart w:id="51" w:name="_Hlk228476604"/>
      <w:r>
        <w:rPr>
          <w:rStyle w:val="CRRefonteDeleted"/>
          <w:noProof/>
          <w:highlight w:val="lightGray"/>
        </w:rPr>
        <w:t>8aa-8ae</w:t>
      </w:r>
      <w:bookmarkEnd w:id="51"/>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5, 7, 8, 9, 10, 12, 13, 15 și 16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iau toate măsurile necesare pentru a asigura punerea în aplicare a acestora. Sancțiunile prevăzute sunt eficace, proporționale și cu efect de descurajare.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16 (adaptat)</w:t>
      </w:r>
    </w:p>
    <w:bookmarkStart w:id="52" w:name="_Hlk218519931"/>
    <w:p>
      <w:pPr>
        <w:pStyle w:val="SectionTitle000000"/>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Secțiunea II – NIF</w:t>
      </w:r>
      <w:bookmarkEnd w:id="52"/>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noProof/>
        </w:rPr>
        <w:t xml:space="preserve">Articolul </w:t>
      </w:r>
      <w:r>
        <w:rPr>
          <w:rStyle w:val="CRMinorChangeAdded"/>
          <w:noProof/>
        </w:rPr>
        <w:t>35</w:t>
      </w:r>
      <w:r>
        <w:rPr>
          <w:rStyle w:val="CRMinorChangeDeleted"/>
          <w:noProof/>
        </w:rPr>
        <w:t>27c</w:t>
      </w:r>
    </w:p>
    <w:p>
      <w:pPr>
        <w:pStyle w:val="NormalCentered"/>
        <w:rPr>
          <w:b/>
          <w:noProof/>
        </w:rPr>
      </w:pPr>
      <w:r>
        <w:rPr>
          <w:b/>
          <w:noProof/>
        </w:rPr>
        <w:t>Raportarea și comunicarea NIF</w:t>
      </w:r>
    </w:p>
    <w:p>
      <w:pPr>
        <w:rPr>
          <w:noProof/>
        </w:rPr>
      </w:pPr>
      <w:r>
        <w:rPr>
          <w:noProof/>
        </w:rPr>
        <w:t>(1)</w:t>
      </w:r>
      <w:r>
        <w:rPr>
          <w:noProof/>
        </w:rPr>
        <w:tab/>
        <w:t xml:space="preserve">Fiecare stat membru ia măsurile necesare pentru a impune ca NIF al persoanelor sau entităților raportate, emis de statul membru de rezidență, să fie raportat de entitatea raportoare sau de persoana raportoare și să fie comunicat de fiecare stat membru </w:t>
      </w:r>
      <w:r>
        <w:rPr>
          <w:rStyle w:val="CRRefonteDeleted"/>
          <w:noProof/>
          <w:highlight w:val="lightGray"/>
        </w:rPr>
        <w:t>atunci când se impune aceasta</w:t>
      </w:r>
      <w:r>
        <w:rPr>
          <w:noProof/>
        </w:rPr>
        <w:t xml:space="preserve"> în temeiul articolelor și anexelor prezentei directive.</w:t>
      </w:r>
    </w:p>
    <w:p>
      <w:pPr>
        <w:rPr>
          <w:noProof/>
        </w:rPr>
      </w:pPr>
      <w:r>
        <w:rPr>
          <w:noProof/>
        </w:rPr>
        <w:t>(2)</w:t>
      </w:r>
      <w:r>
        <w:rPr>
          <w:noProof/>
        </w:rPr>
        <w:tab/>
        <w:t>Pentru perioadele impozabile care încep la 1 ianuarie 2030 sau ulterior acestei date, fiecare stat membru ia măsurile necesare pentru a impune obligația ca NIF al rezidenților emis de statul membru de rezidență să fie raportat.</w:t>
      </w:r>
    </w:p>
    <w:p>
      <w:pPr>
        <w:pStyle w:val="Titrearticle"/>
        <w:rPr>
          <w:noProof/>
        </w:rPr>
      </w:pPr>
      <w:bookmarkStart w:id="53" w:name="_Hlk228477103"/>
      <w:r>
        <w:rPr>
          <w:rStyle w:val="CRMinorChangeAdded"/>
          <w:noProof/>
          <w:u w:val="none"/>
        </w:rPr>
        <w:t>Articolul 36</w:t>
      </w:r>
      <w:bookmarkEnd w:id="53"/>
    </w:p>
    <w:p>
      <w:pPr>
        <w:pStyle w:val="NormalCentered"/>
        <w:rPr>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Instrumentul pentru verificarea NIF</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10 litera (b) (adaptat)</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rStyle w:val="CRMinorChangeAdded"/>
          <w:noProof/>
        </w:rPr>
        <w:t>(1)</w:t>
      </w:r>
      <w:r>
        <w:rPr>
          <w:rStyle w:val="CRMinorChangeDeleted"/>
          <w:noProof/>
        </w:rPr>
        <w:t>(8)</w:t>
      </w:r>
      <w:r>
        <w:rPr>
          <w:noProof/>
        </w:rPr>
        <w:tab/>
        <w:t xml:space="preserve">Comisia pune la dispoziția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statelor membre, până la 31 decembrie 2030 cel târziu,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rPr>
        <w:t>statelor membre</w:t>
      </w:r>
      <w:r>
        <w:rPr>
          <w:noProof/>
        </w:rPr>
        <w:t xml:space="preserve"> un instrument care să permită verificarea </w:t>
      </w:r>
      <w:r>
        <w:rPr>
          <w:rStyle w:val="CRRefonteDeleted"/>
          <w:noProof/>
          <w:highlight w:val="lightGray"/>
        </w:rPr>
        <w:t>electronică</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digitală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automată a </w:t>
      </w:r>
      <w:r>
        <w:rPr>
          <w:rStyle w:val="CRRefonteDeleted"/>
          <w:noProof/>
          <w:highlight w:val="lightGray"/>
        </w:rPr>
        <w:t>corectitudinii</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valabilității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numerelor de identificare fiscală (NIF) furnizate de o entitate raportoare sau de un contribuabil în scopul schimbului automat de informații.</w:t>
      </w:r>
    </w:p>
    <w:p>
      <w:pPr>
        <w:rPr>
          <w:noProof/>
        </w:rPr>
      </w:pPr>
      <w:r>
        <w:rPr>
          <w:noProof/>
        </w:rPr>
        <w:t xml:space="preserve">Comisia </w:t>
      </w:r>
      <w:r>
        <w:rPr>
          <w:rStyle w:val="CRRefonteDeleted"/>
          <w:noProof/>
          <w:highlight w:val="lightGray"/>
        </w:rPr>
        <w:t>elaborează</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stabilește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parametrii tehnici ai instrumentului menționat la primul paragraf prin intermediul unor acte de punere în aplicare. Respectivele acte de punere în aplicare se adoptă în conformitate cu procedura menționată la articolul </w:t>
      </w:r>
      <w:r>
        <w:rPr>
          <w:rStyle w:val="CRMinorChangeAdded"/>
          <w:noProof/>
        </w:rPr>
        <w:t>51</w:t>
      </w:r>
      <w:r>
        <w:rPr>
          <w:rStyle w:val="CRMinorChangeDeleted"/>
          <w:noProof/>
        </w:rPr>
        <w:t>26</w:t>
      </w:r>
      <w:r>
        <w:rPr>
          <w:noProof/>
        </w:rPr>
        <w:t xml:space="preserve"> alineatul (2).</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"ê" </w:instrText>
      </w:r>
      <w:r>
        <w:rPr>
          <w:noProof/>
          <w:highlight w:val="lightGray"/>
        </w:rPr>
        <w:fldChar w:fldCharType="separate"/>
      </w:r>
      <w:r>
        <w:rPr>
          <w:rStyle w:val="CRMarker"/>
          <w:noProof/>
          <w:highlight w:val="lightGray"/>
        </w:rPr>
        <w:t>ê</w:t>
      </w:r>
      <w:r>
        <w:rPr>
          <w:noProof/>
          <w:highlight w:val="lightGray"/>
        </w:rPr>
        <w:fldChar w:fldCharType="end"/>
      </w:r>
      <w:r>
        <w:rPr>
          <w:noProof/>
          <w:highlight w:val="lightGray"/>
        </w:rPr>
        <w:t> 2025/872 articolul 1 punctul 8 (adaptat)</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rStyle w:val="CRMinorChangeAdded"/>
          <w:noProof/>
        </w:rPr>
        <w:t>(2)</w:t>
      </w:r>
      <w:r>
        <w:rPr>
          <w:rStyle w:val="CRMinorChangeDeleted"/>
          <w:noProof/>
        </w:rPr>
        <w:t>(4)</w:t>
      </w:r>
      <w:r>
        <w:rPr>
          <w:noProof/>
        </w:rPr>
        <w:tab/>
        <w:t>Statele membre se asigură că autoritățile fiscale obțin confirmarea prin mijloace electronice a valabilității NIF al oricărui contribuabil care face obiectul schimbului de informații în temeiul articol</w:t>
      </w:r>
      <w:r>
        <w:rPr>
          <w:rStyle w:val="CRMinorChangeDeleted"/>
          <w:noProof/>
        </w:rPr>
        <w:t>ului</w:t>
      </w:r>
      <w:r>
        <w:rPr>
          <w:rStyle w:val="CRMinorChangeAdded"/>
          <w:noProof/>
        </w:rPr>
        <w:t>elor</w:t>
      </w:r>
      <w:r>
        <w:rPr>
          <w:noProof/>
        </w:rPr>
        <w:t xml:space="preserve"> 4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și 6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NormalCentered"/>
        <w:jc w:val="both"/>
        <w:rPr>
          <w:noProof/>
        </w:rPr>
      </w:pPr>
      <w:r>
        <w:rPr>
          <w:noProof/>
        </w:rPr>
        <w:t xml:space="preserve">Statele membre </w:t>
      </w:r>
      <w:r>
        <w:rPr>
          <w:rStyle w:val="CRRefonteDeleted"/>
          <w:noProof/>
          <w:highlight w:val="lightGray"/>
        </w:rPr>
        <w:t>depun eforturi pentru a</w:t>
      </w:r>
      <w:r>
        <w:rPr>
          <w:noProof/>
        </w:rPr>
        <w:t> se asigur</w:t>
      </w:r>
      <w:r>
        <w:rPr>
          <w:rStyle w:val="CRMinorChangeAdded"/>
          <w:noProof/>
        </w:rPr>
        <w:t>ă</w:t>
      </w:r>
      <w:r>
        <w:rPr>
          <w:rStyle w:val="CRMinorChangeDeleted"/>
          <w:noProof/>
        </w:rPr>
        <w:t>a</w:t>
      </w:r>
      <w:r>
        <w:rPr>
          <w:noProof/>
        </w:rPr>
        <w:t xml:space="preserve"> că unei entități raportoare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care dorește acest lucru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i se permite să obțină confirmarea prin mijloace electronice a valabilității </w:t>
      </w:r>
      <w:r>
        <w:rPr>
          <w:rStyle w:val="CRRefonteDeleted"/>
          <w:noProof/>
          <w:highlight w:val="lightGray"/>
        </w:rPr>
        <w:t>informațiilor referitoare la</w:t>
      </w:r>
      <w:r>
        <w:rPr>
          <w:noProof/>
        </w:rPr>
        <w:t xml:space="preserve"> NIF al oricărui contribuabil care face obiectul schimbului de informații în temeiul articolelor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5, 7, 8, 9, 12, 15 și 16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8-8ae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Confirmarea valabilității NIF poate fi solicitată numai în scopul validării corectitudinii datelor.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rPr>
          <w:noProof/>
          <w:highlight w:val="lightGray"/>
        </w:rPr>
      </w:pPr>
      <w:r>
        <w:rPr>
          <w:noProof/>
          <w:highlight w:val="lightGray"/>
        </w:rPr>
        <w:t>(3) Prin derogare de la articolele 8, 9, 12, 15 și 16, statele membre permit unei entități raportoare să raporteze numai numele și NIF verificat al contribuabilului în cauză în oricare dintre următoarele cazuri:</w:t>
      </w:r>
    </w:p>
    <w:p>
      <w:pPr>
        <w:ind w:left="720"/>
        <w:rPr>
          <w:noProof/>
          <w:highlight w:val="lightGray"/>
        </w:rPr>
      </w:pPr>
      <w:r>
        <w:rPr>
          <w:noProof/>
          <w:highlight w:val="lightGray"/>
        </w:rPr>
        <w:t>(a)</w:t>
      </w:r>
      <w:r>
        <w:rPr>
          <w:noProof/>
        </w:rPr>
        <w:tab/>
      </w:r>
      <w:r>
        <w:rPr>
          <w:noProof/>
          <w:highlight w:val="lightGray"/>
        </w:rPr>
        <w:t>confirmarea valabilității NIF a fost obținută cu ajutorul instrumentului de verificare a NIF, menționat la alineatul (1) al prezentului articol;</w:t>
      </w:r>
    </w:p>
    <w:p>
      <w:pPr>
        <w:ind w:left="720"/>
        <w:rPr>
          <w:noProof/>
          <w:highlight w:val="lightGray"/>
        </w:rPr>
      </w:pPr>
      <w:r>
        <w:rPr>
          <w:noProof/>
          <w:highlight w:val="lightGray"/>
        </w:rPr>
        <w:t>(b)</w:t>
      </w:r>
      <w:r>
        <w:rPr>
          <w:noProof/>
        </w:rPr>
        <w:tab/>
      </w:r>
      <w:r>
        <w:rPr>
          <w:noProof/>
          <w:highlight w:val="lightGray"/>
        </w:rPr>
        <w:t>contribuabilul a fost identificat prin intermediul serviciilor publice de verificare ale statelor membre sau al serviciilor echivalente ale UE sau al identificatorului unic european (EUID) atribuit în conformitate cu Directiva 2017/1132.</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(adaptat)</w:t>
      </w:r>
    </w:p>
    <w:p>
      <w:pPr>
        <w:pStyle w:val="SectionTitle000000"/>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Secțiunea III – Obligații speciale și accesul la registre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Clear"/>
        <w:rPr>
          <w:noProof/>
        </w:rPr>
      </w:pPr>
      <w:r>
        <w:rPr>
          <w:noProof/>
        </w:rPr>
        <w:t xml:space="preserve">Articolul </w:t>
      </w:r>
      <w:r>
        <w:rPr>
          <w:rStyle w:val="CRMinorChangeAdded"/>
          <w:noProof/>
        </w:rPr>
        <w:t>37</w:t>
      </w:r>
      <w:r>
        <w:rPr>
          <w:rStyle w:val="CRMinorChangeDeleted"/>
          <w:noProof/>
        </w:rPr>
        <w:t>22</w:t>
      </w:r>
    </w:p>
    <w:p>
      <w:pPr>
        <w:pStyle w:val="NormalCentered"/>
        <w:rPr>
          <w:b/>
          <w:noProof/>
        </w:rPr>
      </w:pPr>
      <w:r>
        <w:rPr>
          <w:b/>
          <w:noProof/>
        </w:rPr>
        <w:t>Obligații speciale</w:t>
      </w:r>
    </w:p>
    <w:p>
      <w:pPr>
        <w:rPr>
          <w:noProof/>
        </w:rPr>
      </w:pPr>
      <w:r>
        <w:rPr>
          <w:noProof/>
        </w:rPr>
        <w:t>(1)</w:t>
      </w:r>
      <w:r>
        <w:rPr>
          <w:noProof/>
        </w:rPr>
        <w:tab/>
        <w:t>Statele membre iau toate măsurile necesare pentru:</w:t>
      </w:r>
    </w:p>
    <w:p>
      <w:pPr>
        <w:pStyle w:val="Point0"/>
        <w:rPr>
          <w:noProof/>
        </w:rPr>
      </w:pPr>
      <w:r>
        <w:rPr>
          <w:noProof/>
        </w:rPr>
        <w:tab/>
        <w:t>(a)</w:t>
      </w:r>
      <w:r>
        <w:rPr>
          <w:noProof/>
        </w:rPr>
        <w:tab/>
        <w:t xml:space="preserve">a asigura o coordonare internă eficace a măsurilor de organizare menționate la articolul </w:t>
      </w:r>
      <w:r>
        <w:rPr>
          <w:rStyle w:val="CRMinorChangeAdded"/>
          <w:noProof/>
        </w:rPr>
        <w:t>29</w:t>
      </w:r>
      <w:r>
        <w:rPr>
          <w:rStyle w:val="CRMinorChangeDeleted"/>
          <w:noProof/>
        </w:rPr>
        <w:t>4</w:t>
      </w:r>
      <w:r>
        <w:rPr>
          <w:noProof/>
        </w:rPr>
        <w:t>;</w:t>
      </w:r>
    </w:p>
    <w:p>
      <w:pPr>
        <w:pStyle w:val="Point0"/>
        <w:rPr>
          <w:noProof/>
        </w:rPr>
      </w:pPr>
      <w:r>
        <w:rPr>
          <w:noProof/>
        </w:rPr>
        <w:tab/>
        <w:t>(b)</w:t>
      </w:r>
      <w:r>
        <w:rPr>
          <w:noProof/>
        </w:rPr>
        <w:tab/>
        <w:t xml:space="preserve">a stabili o cooperare directă cu autoritățile celorlalte state membre, menționate la articolul </w:t>
      </w:r>
      <w:r>
        <w:rPr>
          <w:rStyle w:val="CRMinorChangeAdded"/>
          <w:noProof/>
        </w:rPr>
        <w:t>29</w:t>
      </w:r>
      <w:r>
        <w:rPr>
          <w:rStyle w:val="CRMinorChangeDeleted"/>
          <w:noProof/>
        </w:rPr>
        <w:t>4</w:t>
      </w:r>
      <w:r>
        <w:rPr>
          <w:noProof/>
        </w:rPr>
        <w:t>;</w:t>
      </w:r>
    </w:p>
    <w:p>
      <w:pPr>
        <w:pStyle w:val="Point0"/>
        <w:rPr>
          <w:noProof/>
        </w:rPr>
      </w:pPr>
      <w:r>
        <w:rPr>
          <w:noProof/>
        </w:rPr>
        <w:tab/>
        <w:t>(c)</w:t>
      </w:r>
      <w:r>
        <w:rPr>
          <w:noProof/>
        </w:rPr>
        <w:tab/>
        <w:t>a asigura buna funcționare a sistemului de cooperare administrativă prevăzut de prezenta directivă.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noProof/>
        </w:rPr>
        <w:t>(2)</w:t>
      </w:r>
      <w:r>
        <w:rPr>
          <w:noProof/>
        </w:rPr>
        <w:tab/>
        <w:t>Comisia comunică fiecărui stat membru orice informații generale privind implementarea și aplicarea prezentei directive pe care le primește și pe care este în măsură să le furnizeze.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jc w:val="center"/>
        <w:rPr>
          <w:i/>
          <w:iCs/>
          <w:noProof/>
          <w:highlight w:val="lightGray"/>
        </w:rPr>
      </w:pPr>
      <w:r>
        <w:rPr>
          <w:i/>
          <w:noProof/>
          <w:highlight w:val="lightGray"/>
        </w:rPr>
        <w:t>Articolul 38</w:t>
      </w:r>
    </w:p>
    <w:p>
      <w:pPr>
        <w:jc w:val="center"/>
        <w:rPr>
          <w:b/>
          <w:bCs/>
          <w:noProof/>
          <w:highlight w:val="lightGray"/>
        </w:rPr>
      </w:pPr>
      <w:r>
        <w:rPr>
          <w:b/>
          <w:noProof/>
          <w:highlight w:val="lightGray"/>
        </w:rPr>
        <w:t>Accesul la registrele și procedurile instituite în temeiul legislației privind combaterea spălării banilor</w:t>
      </w:r>
    </w:p>
    <w:p>
      <w:pPr>
        <w:rPr>
          <w:noProof/>
          <w:highlight w:val="lightGray"/>
        </w:rPr>
      </w:pPr>
      <w:r>
        <w:rPr>
          <w:noProof/>
          <w:highlight w:val="lightGray"/>
        </w:rPr>
        <w:t>(1) Statele membre se asigură că autoritățile fiscale au acces imediat, direct și gratuit la informații care permit identificarea în timp util a beneficiarilor reali ai entităților juridice și ai construcțiilor juridice prin intermediul registrelor centrale interconectate ale beneficiarilor reali, astfel cum se prevede la articolul 10 din Directiva (UE) 2024/1640.</w:t>
      </w:r>
    </w:p>
    <w:p>
      <w:pPr>
        <w:rPr>
          <w:noProof/>
          <w:highlight w:val="lightGray"/>
        </w:rPr>
      </w:pPr>
      <w:r>
        <w:rPr>
          <w:noProof/>
          <w:highlight w:val="lightGray"/>
        </w:rPr>
        <w:t xml:space="preserve">(2) Statele membre se asigură că autoritățile fiscale au competența de a accesa și de a consulta, în mod direct și imediat, informațiile privind conturile bancare disponibile prin </w:t>
      </w:r>
      <w:r>
        <w:rPr>
          <w:noProof/>
          <w:highlight w:val="lightGray"/>
        </w:rPr>
        <w:lastRenderedPageBreak/>
        <w:t>intermediul registrelor de conturi bancare menționate la articolul 16 alineatul (1) din Directiva 2024/1640.</w:t>
      </w:r>
    </w:p>
    <w:p>
      <w:pPr>
        <w:rPr>
          <w:noProof/>
          <w:highlight w:val="lightGray"/>
        </w:rPr>
      </w:pPr>
      <w:r>
        <w:rPr>
          <w:noProof/>
          <w:highlight w:val="lightGray"/>
        </w:rPr>
        <w:t>(3) Statele membre se asigură că autoritățile fiscale au acces imediat, direct și gratuit la informațiile care permit identificarea în timp util a oricăror bunuri imobile și a persoanelor fizice sau a entităților juridice sau a construcțiilor juridice care dețin bunurile respective, precum și la informațiile care permit identificarea și analizarea tranzacțiilor care implică bunuri imobile, astfel cum se menționează la articolul 18 din Directiva (UE) 2024/1640. Accesul este furnizat prin intermediul unui punct unic de acces care urmează să fie instituit în fiecare stat membru și care permite autorităților competente să acceseze, prin mijloace electronice, informații în format digital care, dacă este posibil, pot fi citite automat.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16</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rStyle w:val="CRMinorChangeAdded"/>
          <w:noProof/>
        </w:rPr>
        <w:t>(4)</w:t>
      </w:r>
      <w:r>
        <w:rPr>
          <w:rStyle w:val="CRMinorChangeDeleted"/>
          <w:noProof/>
        </w:rPr>
        <w:t>(1a)</w:t>
      </w:r>
      <w:r>
        <w:rPr>
          <w:noProof/>
        </w:rPr>
        <w:tab/>
        <w:t xml:space="preserve">În scopul punerii în aplicare și al asigurării respectării normelor de drept ale statelor membre care pun în aplicare prezenta directivă, precum și pentru asigurarea funcționării cooperării administrative pe care o instituie, statele membre asigură prin lege accesul autorităților fiscale la mecanismele, procedurile, documentele și informațiile menționate la </w:t>
      </w:r>
      <w:r>
        <w:rPr>
          <w:rStyle w:val="CRRefonteDeleted"/>
          <w:noProof/>
          <w:highlight w:val="lightGray"/>
        </w:rPr>
        <w:t>articolele 13, 30, 31, 32a și 40 din Directiva (UE) 2015/849</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capitolul III și la articolul 77 din Regulamentul (UE) 2024/1624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a Parlamentului European și a Consiliului</w:t>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jc w:val="center"/>
        <w:rPr>
          <w:i/>
          <w:iCs/>
          <w:noProof/>
          <w:highlight w:val="lightGray"/>
        </w:rPr>
      </w:pPr>
      <w:r>
        <w:rPr>
          <w:i/>
          <w:noProof/>
          <w:highlight w:val="lightGray"/>
        </w:rPr>
        <w:t>Articolul 39</w:t>
      </w:r>
    </w:p>
    <w:p>
      <w:pPr>
        <w:jc w:val="center"/>
        <w:rPr>
          <w:b/>
          <w:bCs/>
          <w:noProof/>
          <w:highlight w:val="lightGray"/>
        </w:rPr>
      </w:pPr>
      <w:r>
        <w:rPr>
          <w:b/>
          <w:noProof/>
          <w:highlight w:val="lightGray"/>
        </w:rPr>
        <w:t>Accesul la registrele și bazele de date naționale privind plata pensiilor</w:t>
      </w:r>
    </w:p>
    <w:p>
      <w:pPr>
        <w:rPr>
          <w:noProof/>
        </w:rPr>
      </w:pPr>
      <w:bookmarkStart w:id="54" w:name="_Hlk227267130"/>
      <w:r>
        <w:rPr>
          <w:noProof/>
          <w:highlight w:val="lightGray"/>
        </w:rPr>
        <w:t>Statele membre se asigură că autoritățile fiscale au acces direct și rapid la informațiile necesare în acest scop care sunt păstrate în registrele și bazele de date naționale existente privind plata pensiilor, în conformitate cu condițiile prevăzute de dreptul intern.</w:t>
      </w:r>
    </w:p>
    <w:bookmarkEnd w:id="54"/>
    <w:p>
      <w:pPr>
        <w:pStyle w:val="CRSeparator"/>
        <w:rPr>
          <w:rFonts w:eastAsiaTheme="minorHAnsi"/>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18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clearChangeAdded"/>
        <w:rPr>
          <w:noProof/>
        </w:rPr>
      </w:pPr>
      <w:r>
        <w:rPr>
          <w:noProof/>
        </w:rPr>
        <w:t xml:space="preserve">Secțiunea IV </w:t>
      </w:r>
    </w:p>
    <w:p>
      <w:pPr>
        <w:pStyle w:val="clearChangeAdded"/>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Protecția datelor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noProof/>
        </w:rPr>
        <w:t xml:space="preserve">Articolul </w:t>
      </w:r>
      <w:r>
        <w:rPr>
          <w:rStyle w:val="CRMinorChangeDeleted"/>
          <w:noProof/>
        </w:rPr>
        <w:t>25</w:t>
      </w:r>
      <w:r>
        <w:rPr>
          <w:rStyle w:val="CRMinorChangeAdded"/>
          <w:noProof/>
        </w:rPr>
        <w:t>40</w:t>
      </w:r>
    </w:p>
    <w:p>
      <w:pPr>
        <w:pStyle w:val="NormalCentered"/>
        <w:rPr>
          <w:b/>
          <w:noProof/>
        </w:rPr>
      </w:pPr>
      <w:r>
        <w:rPr>
          <w:b/>
          <w:noProof/>
        </w:rPr>
        <w:t>Protecția datelor</w:t>
      </w:r>
    </w:p>
    <w:p>
      <w:pPr>
        <w:rPr>
          <w:noProof/>
        </w:rPr>
      </w:pPr>
      <w:r>
        <w:rPr>
          <w:noProof/>
        </w:rPr>
        <w:t>(1)</w:t>
      </w:r>
      <w:r>
        <w:rPr>
          <w:noProof/>
        </w:rPr>
        <w:tab/>
        <w:t xml:space="preserve">Orice schimb de informații efectuat în temeiul prezentei directive intră sub incidența Regulamentului (UE) 2016/679 </w:t>
      </w:r>
      <w:bookmarkStart w:id="55" w:name="_Hlk229948154"/>
      <w:r>
        <w:rPr>
          <w:rStyle w:val="CRMinorChangeDeleted"/>
          <w:noProof/>
        </w:rPr>
        <w:t>al Parlamentului European și al Consiliului</w:t>
      </w:r>
      <w:r>
        <w:rPr>
          <w:rStyle w:val="CRMinorChangeDeleted"/>
          <w:noProof/>
          <w:vertAlign w:val="superscript"/>
        </w:rPr>
        <w:footnoteReference w:id="54"/>
      </w:r>
      <w:bookmarkEnd w:id="55"/>
      <w:r>
        <w:rPr>
          <w:noProof/>
        </w:rPr>
        <w:t xml:space="preserve">. Totuși, în scopul aplicării corecte a prezentei directive, statele membre limitează domeniul de aplicare a </w:t>
      </w:r>
      <w:r>
        <w:rPr>
          <w:noProof/>
        </w:rPr>
        <w:lastRenderedPageBreak/>
        <w:t>obligațiilor și drepturilor prevăzute la articolul 13, la articolul 14 alineatul (1) și la articolul 15 din Regulamentul (UE) 2016/679, în măsura în care acest lucru este necesar pentru protejarea intereselor menționate la articolul 23 alineatul (1) litera (e) din regulamentul respectiv.</w:t>
      </w:r>
    </w:p>
    <w:p>
      <w:pPr>
        <w:rPr>
          <w:noProof/>
        </w:rPr>
      </w:pPr>
      <w:r>
        <w:rPr>
          <w:noProof/>
        </w:rPr>
        <w:t>(2)</w:t>
      </w:r>
      <w:r>
        <w:rPr>
          <w:noProof/>
        </w:rPr>
        <w:tab/>
        <w:t xml:space="preserve">Regulamentul (UE) 2018/1725 </w:t>
      </w:r>
      <w:r>
        <w:rPr>
          <w:rStyle w:val="CRMinorChangeDeleted"/>
          <w:noProof/>
        </w:rPr>
        <w:t>al Parlamentului European și al Consiliului</w:t>
      </w:r>
      <w:r>
        <w:rPr>
          <w:rStyle w:val="CRMinorChangeDeleted"/>
          <w:noProof/>
          <w:vertAlign w:val="superscript"/>
        </w:rPr>
        <w:footnoteReference w:id="55"/>
      </w:r>
      <w:r>
        <w:rPr>
          <w:noProof/>
        </w:rPr>
        <w:t xml:space="preserve"> se aplică în cazul oricărei prelucrări de date cu caracter personal în temeiul prezentei directive de către instituțiile, organele, oficiile și agențiile Uniunii. Cu toate acestea, în scopul aplicării corecte a prezentei directive, domeniul de aplicare a obligațiilor și drepturilor prevăzute la articolul 15, articolul 16 alineatul (1) și articolele 17-21 din Regulamentul (UE) 2018/1725 este limitat în măsura în care acest lucru este necesar pentru protejarea intereselor menționate la articolul 25 alineatul (1) </w:t>
      </w:r>
      <w:r>
        <w:rPr>
          <w:rStyle w:val="CRRefonteDeleted"/>
          <w:noProof/>
          <w:highlight w:val="lightGray"/>
        </w:rPr>
        <w:t>litera</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literele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și (g)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din regulamentul respectiv.</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13 litera (a)</w:t>
      </w:r>
    </w:p>
    <w:p>
      <w:pPr>
        <w:rPr>
          <w:noProof/>
        </w:rPr>
      </w:pPr>
      <w:r>
        <w:rPr>
          <w:noProof/>
        </w:rPr>
        <w:t>(3)</w:t>
      </w:r>
      <w:r>
        <w:rPr>
          <w:noProof/>
        </w:rPr>
        <w:tab/>
        <w:t>Instituțiile Financiare Raportoare, intermediarii, Operatorii de Platforme care au Obligația de Raportare, Furnizorii de Servicii de Criptoactive Raportori și autoritățile competente ale statelor membre sunt considerați operatori de date care acționează individual sau în comun. Atunci când Comisia prelucrează date cu caracter personal în scopurile prezentei directive, se consideră că aceasta prelucrează datele cu caracter personal în numele operatorilor și are obligația de a respecta cerințele prevăzute în Regulamentul (UE) 2018/1725 pentru persoanele împuternicite de operatori. Prelucrarea este reglementată printr-un contract în sensul articolului 28 alineatul (3) din Regulamentul (UE) 2016/679 și al articolului 29 alineatul (3) din Regulamentul (UE) 2018/1725.</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13 litera (b)</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(4)</w:t>
      </w:r>
      <w:r>
        <w:rPr>
          <w:noProof/>
        </w:rPr>
        <w:tab/>
        <w:t>Fără a aduce atingere alineatului (1), fiecare stat membru trebuie să asigure faptul că fiecare dintre Instituțiile Financiare Raportoare, intermediarii, Operatorii de Platforme care au Obligația de Raportare sau, după caz, Furnizorii de Servicii de Criptoactive Raportori care se află în jurisdicția sa:</w:t>
      </w:r>
    </w:p>
    <w:p>
      <w:pPr>
        <w:pStyle w:val="Point0"/>
        <w:rPr>
          <w:noProof/>
        </w:rPr>
      </w:pPr>
      <w:r>
        <w:rPr>
          <w:noProof/>
        </w:rPr>
        <w:tab/>
        <w:t>(a)</w:t>
      </w:r>
      <w:r>
        <w:rPr>
          <w:noProof/>
        </w:rPr>
        <w:tab/>
        <w:t xml:space="preserve">informează fiecare persoană vizată că informațiile care o privesc vor fi </w:t>
      </w:r>
      <w:r>
        <w:rPr>
          <w:rStyle w:val="CRRefonteDeleted"/>
          <w:noProof/>
          <w:highlight w:val="lightGray"/>
        </w:rPr>
        <w:t>colectate și transferate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prelucrate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în conformitate cu prezenta directivă; și</w:t>
      </w:r>
    </w:p>
    <w:p>
      <w:pPr>
        <w:pStyle w:val="Point0"/>
        <w:rPr>
          <w:noProof/>
        </w:rPr>
      </w:pPr>
      <w:r>
        <w:rPr>
          <w:noProof/>
        </w:rPr>
        <w:tab/>
        <w:t>(b)</w:t>
      </w:r>
      <w:r>
        <w:rPr>
          <w:noProof/>
        </w:rPr>
        <w:tab/>
        <w:t xml:space="preserve">comunică fiecărei persoane vizate toate informațiile pe care aceasta are dreptul să le primească de la operatorul de date,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în conformitate cu articolele 13 și 14 din Regulamentul (UE) 2016/679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în timp util, astfel încât persoana respectivă să aibă suficient timp să își exercite drepturile la protecția datelor și, în orice caz, înainte de raportarea informațiilor</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18</w:t>
      </w:r>
    </w:p>
    <w:p>
      <w:pPr>
        <w:rPr>
          <w:noProof/>
        </w:rPr>
      </w:pPr>
      <w:r>
        <w:rPr>
          <w:noProof/>
        </w:rPr>
        <w:t xml:space="preserve">Prin excepție de la </w:t>
      </w:r>
      <w:r>
        <w:rPr>
          <w:rStyle w:val="CRMinorChangeDeleted"/>
          <w:noProof/>
        </w:rPr>
        <w:t>primul paragraf</w:t>
      </w:r>
      <w:r>
        <w:rPr>
          <w:noProof/>
        </w:rPr>
        <w:t xml:space="preserve"> litera (b), fiecare stat membru stabilește normele care impun Operatorilor de platforme care au obligația de raportare obligația de a informa Vânzătorii raportabili în legătură cu Contraprestația raportată.</w:t>
      </w:r>
    </w:p>
    <w:p>
      <w:pPr>
        <w:rPr>
          <w:noProof/>
        </w:rPr>
      </w:pPr>
      <w:r>
        <w:rPr>
          <w:noProof/>
        </w:rPr>
        <w:t>(5)</w:t>
      </w:r>
      <w:r>
        <w:rPr>
          <w:noProof/>
        </w:rPr>
        <w:tab/>
        <w:t>Informațiile prelucrate în conformitate cu prezenta directivă se păstrează pentru o perioadă care nu depășește perioada necesară pentru atingerea obiectivelor prezentei directive și, în orice caz, în conformitate cu normele de drept intern referitoare la termenele de prescripție aplicabile fiecărui operator de date.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articolul 1 punctul 8</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rStyle w:val="CRMinorChangeAdded"/>
          <w:noProof/>
        </w:rPr>
        <w:t>(6)</w:t>
      </w:r>
      <w:r>
        <w:rPr>
          <w:rStyle w:val="CRMinorChangeDeleted"/>
          <w:noProof/>
        </w:rPr>
        <w:t>(3)</w:t>
      </w:r>
      <w:r>
        <w:rPr>
          <w:noProof/>
        </w:rPr>
        <w:tab/>
        <w:t>Pentru a atinge scopul prezentei directive, statele membre păstrează evidențele informațiilor primite prin intermediul schimbului automat de informații în temeiul articolelor </w:t>
      </w:r>
      <w:r>
        <w:rPr>
          <w:rStyle w:val="CRRefonteDeleted"/>
          <w:noProof/>
          <w:highlight w:val="lightGray"/>
        </w:rPr>
        <w:t>8-8ad</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4-9, 12, 15 și 16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pentru o perioadă care nu depășește perioada necesară, dar în orice caz nu mai puțin de cinci ani de la data primirii lor.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18 (adaptat)</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Titrearticle"/>
        <w:rPr>
          <w:noProof/>
        </w:rPr>
      </w:pPr>
      <w:r>
        <w:rPr>
          <w:rStyle w:val="CRMinorChangeAdded"/>
          <w:noProof/>
          <w:u w:val="none"/>
        </w:rPr>
        <w:t>Articolul 41</w:t>
      </w:r>
    </w:p>
    <w:p>
      <w:pPr>
        <w:pStyle w:val="NormalCentered"/>
        <w:rPr>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Încălcarea securității datelor</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rStyle w:val="CRMinorChangeAdded"/>
          <w:noProof/>
        </w:rPr>
        <w:t>(1)</w:t>
      </w:r>
      <w:r>
        <w:rPr>
          <w:rStyle w:val="CRMinorChangeDeleted"/>
          <w:noProof/>
        </w:rPr>
        <w:t>(6)</w:t>
      </w:r>
      <w:r>
        <w:rPr>
          <w:noProof/>
        </w:rPr>
        <w:tab/>
        <w:t>Statul membru în care a avut loc o încălcare a securității datelor raportează fără întârziere Comisiei încălcarea securității datelor și eventuale măsuri de remediere ulterioare. Comisia informează fără întârziere toate statele membre cu privire la încălcarea securității datelor care i-a fost raportată sau de care are cunoștință și cu privire la eventuale măsuri de remediere.</w:t>
      </w:r>
    </w:p>
    <w:p>
      <w:pPr>
        <w:rPr>
          <w:noProof/>
        </w:rPr>
      </w:pPr>
      <w:r>
        <w:rPr>
          <w:noProof/>
        </w:rPr>
        <w:t>Fiecare stat membru poate suspenda schimbul de informații către statul membru (statele membre) în care a avut loc încălcarea securității datelor, notificând în scris Comisia și statul membru (statele membre) în cauză. O astfel de suspendare are efect imediat.</w:t>
      </w:r>
    </w:p>
    <w:p>
      <w:pPr>
        <w:rPr>
          <w:noProof/>
        </w:rPr>
      </w:pPr>
      <w:r>
        <w:rPr>
          <w:noProof/>
        </w:rPr>
        <w:t xml:space="preserve">Statul membru (statele membre) în care a avut loc încălcarea securității datelor investighează, oprește și remediază încălcarea securității datelor și solicită Comisiei, printr-o cerere scrisă, suspendarea accesului la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în sensul prezentei directive, dacă încălcarea securității datelor nu poate fi oprită imediat și în mod corespunzător. La cererea respectivă, Comisia suspendă accesul la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al statului membru (statelor membre) respectiv(e) în sensul prezentei directive.</w:t>
      </w:r>
    </w:p>
    <w:p>
      <w:pPr>
        <w:rPr>
          <w:noProof/>
        </w:rPr>
      </w:pPr>
      <w:r>
        <w:rPr>
          <w:noProof/>
        </w:rPr>
        <w:t xml:space="preserve">După raportarea de către statul membru în care a avut loc încălcarea securității datelor a remedierii încălcării securității datelor, Comisia restabilește accesul la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al statului membru (statelor membre) în cauză în sensul prezentei directive. În cazul în care unul sau mai multe state membre solicită Comisiei să verifice în comun dacă încălcarea securității datelor a fost remediată cu succes, Comisia restabilește accesul la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al statului membru (statelor membre) respectiv(e) în sensul prezentei directive după verificarea respectivă.</w:t>
      </w:r>
    </w:p>
    <w:p>
      <w:pPr>
        <w:rPr>
          <w:noProof/>
        </w:rPr>
      </w:pPr>
      <w:r>
        <w:rPr>
          <w:noProof/>
        </w:rPr>
        <w:lastRenderedPageBreak/>
        <w:t xml:space="preserve">Atunci când are loc o încălcare a securității datelor în </w:t>
      </w:r>
      <w:r>
        <w:rPr>
          <w:rStyle w:val="CRDeleted"/>
          <w:noProof/>
        </w:rPr>
        <w:t>registrul</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repertoriul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central sau în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în sensul prezentei directive și când ar putea fi afectat schimbul între statele membre prin intermediul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Comisia informează statele membre cu privire la încălcarea securității datelor și la eventualele măsuri de remediere luate, fără întârzieri nejustificate. Astfel de măsuri de remediere pot include suspendarea accesului la </w:t>
      </w:r>
      <w:r>
        <w:rPr>
          <w:rStyle w:val="CRDeleted"/>
          <w:noProof/>
        </w:rPr>
        <w:t>registrul</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repertoriul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central sau la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CCN</w:t>
      </w:r>
      <w:r>
        <w:rPr>
          <w:noProof/>
        </w:rPr>
        <w:t xml:space="preserve"> în sensul prezentei directive până la remedierea încălcării securității datelor.</w:t>
      </w:r>
    </w:p>
    <w:p>
      <w:pPr>
        <w:rPr>
          <w:noProof/>
        </w:rPr>
      </w:pPr>
      <w:r>
        <w:rPr>
          <w:rStyle w:val="CRMinorChangeAdded"/>
          <w:noProof/>
        </w:rPr>
        <w:t>(2)</w:t>
      </w:r>
      <w:r>
        <w:rPr>
          <w:rStyle w:val="CRMinorChangeDeleted"/>
          <w:noProof/>
        </w:rPr>
        <w:t>(7)</w:t>
      </w:r>
      <w:r>
        <w:rPr>
          <w:noProof/>
        </w:rPr>
        <w:tab/>
        <w:t>Statele membre, asistate de Comisie, convin asupra modalităților practice necesare pentru punerea în aplicare a prezentului articol, inclusiv asupra unor proceduri de gestionare a încălcărilor securității datelor care sunt aliniate la bunele practici recunoscute la nivel internațional, și, după caz, asupra unui acord comun între operatori de date, a unui acord între operatorul de date și persoana împuternicită de operator sau a unor modele ale acestora.</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4</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(3)</w:t>
      </w:r>
      <w:r>
        <w:rPr>
          <w:noProof/>
        </w:rPr>
        <w:tab/>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În cazul unei încălcări a securității datelor cu caracter personal,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Added"/>
          <w:noProof/>
        </w:rPr>
        <w:t>s</w:t>
      </w:r>
      <w:r>
        <w:rPr>
          <w:rStyle w:val="CRMinorChangeDeleted"/>
          <w:noProof/>
        </w:rPr>
        <w:t>S</w:t>
      </w:r>
      <w:r>
        <w:rPr>
          <w:noProof/>
        </w:rPr>
        <w:t xml:space="preserve">tatele membre se asigură că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operatorul notifică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Added"/>
          <w:noProof/>
        </w:rPr>
        <w:t>fiecare</w:t>
      </w:r>
      <w:r>
        <w:rPr>
          <w:noProof/>
        </w:rPr>
        <w:t xml:space="preserve"> </w:t>
      </w:r>
      <w:r>
        <w:rPr>
          <w:rStyle w:val="CRMinorChangeDeleted"/>
          <w:noProof/>
        </w:rPr>
        <w:t>fiecărei</w:t>
      </w:r>
      <w:r>
        <w:rPr>
          <w:noProof/>
        </w:rPr>
        <w:t xml:space="preserve"> </w:t>
      </w:r>
      <w:r>
        <w:rPr>
          <w:rStyle w:val="CRRefonteDeleted"/>
          <w:noProof/>
          <w:highlight w:val="lightGray"/>
        </w:rPr>
        <w:t>Persoane care face obiectul raportării</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contribuabil în conformitate cu articolul 34 din Regulamentul (UE) 2016/679.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îi este notificată încălcarea securității datelor sale atunci când respectiva încălcare este de natură să afecteze în mod negativ protecția datelor cu caracter personal sau a vieții private a persoanei în cauză.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(adaptat)</w:t>
      </w:r>
    </w:p>
    <w:p>
      <w:pPr>
        <w:pStyle w:val="SectionTitle000000"/>
        <w:rPr>
          <w:noProof/>
        </w:rPr>
      </w:pPr>
      <w:bookmarkStart w:id="56" w:name="_Hlk218520759"/>
      <w:r>
        <w:rPr>
          <w:noProof/>
        </w:rPr>
        <w:t>Secțiunea V</w:t>
      </w:r>
    </w:p>
    <w:p>
      <w:pPr>
        <w:pStyle w:val="SectionTitle000000"/>
        <w:rPr>
          <w:b w:val="0"/>
          <w:bCs/>
          <w:smallCaps w:val="0"/>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Subiecte legate de tehnologia informației</w:t>
      </w:r>
      <w:bookmarkEnd w:id="56"/>
      <w:r>
        <w:rPr>
          <w:noProof/>
        </w:rPr>
        <w:t xml:space="preserve">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Titrearticle"/>
        <w:rPr>
          <w:noProof/>
        </w:rPr>
      </w:pPr>
      <w:r>
        <w:rPr>
          <w:noProof/>
        </w:rPr>
        <w:t xml:space="preserve">Articolul </w:t>
      </w:r>
      <w:r>
        <w:rPr>
          <w:rStyle w:val="CRMinorChangeAdded"/>
          <w:noProof/>
        </w:rPr>
        <w:t>42</w:t>
      </w:r>
      <w:r>
        <w:rPr>
          <w:rStyle w:val="CRMinorChangeDeleted"/>
          <w:noProof/>
        </w:rPr>
        <w:t>20</w:t>
      </w:r>
    </w:p>
    <w:p>
      <w:pPr>
        <w:pStyle w:val="NormalCentered"/>
        <w:rPr>
          <w:rStyle w:val="CRDeleted"/>
          <w:b/>
          <w:noProof/>
        </w:rPr>
      </w:pPr>
      <w:r>
        <w:rPr>
          <w:b/>
          <w:noProof/>
        </w:rPr>
        <w:t xml:space="preserve">Formulare-tip și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regimul lingvistic pentru schimbul neautomat de informații</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b/>
          <w:noProof/>
        </w:rPr>
        <w:t>formate electronice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(1)</w:t>
      </w:r>
      <w:r>
        <w:rPr>
          <w:noProof/>
        </w:rPr>
        <w:tab/>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Comisia este împuternicită să adopte acte de punere în aplicare, în conformitate cu procedura menționată la articolul 51 alineatul (2), pentru a stabili formularul-tip în format digital care trebuie utilizat pentru a trimite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Added"/>
          <w:noProof/>
        </w:rPr>
        <w:t>c</w:t>
      </w:r>
      <w:r>
        <w:rPr>
          <w:rStyle w:val="CRMinorChangeDeleted"/>
          <w:noProof/>
        </w:rPr>
        <w:t>C</w:t>
      </w:r>
      <w:r>
        <w:rPr>
          <w:noProof/>
        </w:rPr>
        <w:t xml:space="preserve">ererile de informații și de anchete administrative formulate conform articolului </w:t>
      </w:r>
      <w:r>
        <w:rPr>
          <w:rStyle w:val="CRMinorChangeAdded"/>
          <w:noProof/>
        </w:rPr>
        <w:t>17</w:t>
      </w:r>
      <w:r>
        <w:rPr>
          <w:rStyle w:val="CRMinorChangeDeleted"/>
          <w:noProof/>
        </w:rPr>
        <w:t>5</w:t>
      </w:r>
      <w:r>
        <w:rPr>
          <w:noProof/>
        </w:rPr>
        <w:t xml:space="preserve"> și răspunsurile aferente, confirmările de primire, cererile de informații generale suplimentare și declarațiile de incapacitate sau de refuz în temeiul articolului </w:t>
      </w:r>
      <w:r>
        <w:rPr>
          <w:rStyle w:val="CRMinorChangeAdded"/>
          <w:noProof/>
        </w:rPr>
        <w:t>20</w:t>
      </w:r>
      <w:r>
        <w:rPr>
          <w:rStyle w:val="CRMinorChangeDeleted"/>
          <w:noProof/>
        </w:rPr>
        <w:t>7</w:t>
      </w:r>
      <w:r>
        <w:rPr>
          <w:noProof/>
        </w:rPr>
        <w:t xml:space="preserve"> </w:t>
      </w:r>
      <w:r>
        <w:rPr>
          <w:rStyle w:val="CRRefonteDeleted"/>
          <w:noProof/>
          <w:highlight w:val="lightGray"/>
        </w:rPr>
        <w:t>se trimit, în măsura posibilului, pe baza unui formular-tip adoptat de Comisie în conformitate cu procedura menționată la articolul 5126 alineatul (2)</w:t>
      </w:r>
      <w:r>
        <w:rPr>
          <w:rStyle w:val="CRMinorChangeDeleted"/>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highlight w:val="lightGray"/>
        </w:rPr>
      </w:pPr>
      <w:r>
        <w:rPr>
          <w:rStyle w:val="CRRefonteDeleted"/>
          <w:noProof/>
          <w:highlight w:val="lightGray"/>
        </w:rPr>
        <w:t>Formularele-tip pot fi însoțite de rapoarte, declarații sau orice alte documente, precum și de copii certificate sau de extrase din acestea.</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14 litera (a)</w:t>
      </w:r>
    </w:p>
    <w:p>
      <w:pPr>
        <w:rPr>
          <w:noProof/>
        </w:rPr>
      </w:pPr>
      <w:r>
        <w:rPr>
          <w:noProof/>
        </w:rPr>
        <w:t>(2)</w:t>
      </w:r>
      <w:r>
        <w:rPr>
          <w:noProof/>
        </w:rPr>
        <w:tab/>
        <w:t>Formularul-tip menționat la alineatul (1) include cel puțin următoarele informații care trebuie furnizate de către autoritatea solicitantă:</w:t>
      </w:r>
    </w:p>
    <w:p>
      <w:pPr>
        <w:pStyle w:val="Point0"/>
        <w:rPr>
          <w:noProof/>
        </w:rPr>
      </w:pPr>
      <w:r>
        <w:rPr>
          <w:noProof/>
        </w:rPr>
        <w:tab/>
        <w:t>(a)</w:t>
      </w:r>
      <w:r>
        <w:rPr>
          <w:noProof/>
        </w:rPr>
        <w:tab/>
        <w:t>identitatea persoanei care este supusă examinării sau anchetei și, în cazul cererilor referitoare la grupuri, astfel cum sunt menționate la articolul </w:t>
      </w:r>
      <w:r>
        <w:rPr>
          <w:rStyle w:val="CRMinorChangeAdded"/>
          <w:noProof/>
        </w:rPr>
        <w:t>18</w:t>
      </w:r>
      <w:r>
        <w:rPr>
          <w:rStyle w:val="CRMinorChangeDeleted"/>
          <w:noProof/>
        </w:rPr>
        <w:t>5a</w:t>
      </w:r>
      <w:r>
        <w:rPr>
          <w:noProof/>
        </w:rPr>
        <w:t xml:space="preserve"> alineatul (3), o descriere detaliată a grupului;</w:t>
      </w:r>
    </w:p>
    <w:p>
      <w:pPr>
        <w:pStyle w:val="Point0"/>
        <w:rPr>
          <w:noProof/>
        </w:rPr>
      </w:pPr>
      <w:r>
        <w:rPr>
          <w:noProof/>
        </w:rPr>
        <w:tab/>
        <w:t>(b)</w:t>
      </w:r>
      <w:r>
        <w:rPr>
          <w:noProof/>
        </w:rPr>
        <w:tab/>
        <w:t>scopul fiscal pentru care se solicită informația.</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noProof/>
        </w:rPr>
        <w:t>În măsura cunoscută și în acord cu evoluțiile internaționale, autoritatea solicitantă poate furniza numele și adresa oricărei persoane despre care se crede că deține informațiile solicitate, precum și orice element care poate facilita colectarea de informații de către autoritatea solicitată.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14 litera (b)</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(3)</w:t>
      </w:r>
      <w:r>
        <w:rPr>
          <w:noProof/>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Comisia este împuternicită să adopte acte de punere în aplicare, în conformitate cu procedura menționată la articolul 51 alineatul (2), pentru a stabili formularul-tip în format digital care trebuie utilizat pentru a transmite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rPr>
        <w:t>I</w:t>
      </w:r>
      <w:r>
        <w:rPr>
          <w:rStyle w:val="CRMinorChangeAdded"/>
          <w:noProof/>
        </w:rPr>
        <w:t>i</w:t>
      </w:r>
      <w:r>
        <w:rPr>
          <w:noProof/>
        </w:rPr>
        <w:t xml:space="preserve">nformațiile comunicate în mod spontan și confirmarea primirii acestora, prevăzute la articolele </w:t>
      </w:r>
      <w:r>
        <w:rPr>
          <w:rStyle w:val="CRMinorChangeDeleted"/>
          <w:noProof/>
        </w:rPr>
        <w:t>9</w:t>
      </w:r>
      <w:r>
        <w:rPr>
          <w:rStyle w:val="CRMinorChangeAdded"/>
          <w:noProof/>
        </w:rPr>
        <w:t>21,</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22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respectiv, </w:t>
      </w:r>
      <w:r>
        <w:rPr>
          <w:rStyle w:val="CRMinorChangeAdded"/>
          <w:noProof/>
        </w:rPr>
        <w:t>23</w:t>
      </w:r>
      <w:r>
        <w:rPr>
          <w:rStyle w:val="CRMinorChangeDeleted"/>
          <w:noProof/>
        </w:rPr>
        <w:t>10</w:t>
      </w:r>
      <w:r>
        <w:rPr>
          <w:noProof/>
        </w:rPr>
        <w:t xml:space="preserve"> , cererile de notificări administrative prevăzute la articolul </w:t>
      </w:r>
      <w:r>
        <w:rPr>
          <w:rStyle w:val="CRMinorChangeAdded"/>
          <w:noProof/>
        </w:rPr>
        <w:t>27</w:t>
      </w:r>
      <w:r>
        <w:rPr>
          <w:rStyle w:val="CRMinorChangeDeleted"/>
          <w:noProof/>
        </w:rPr>
        <w:t>13</w:t>
      </w:r>
      <w:r>
        <w:rPr>
          <w:noProof/>
        </w:rPr>
        <w:t>, informațiile legate de feedback prevăzute la articolul </w:t>
      </w:r>
      <w:r>
        <w:rPr>
          <w:rStyle w:val="CRMinorChangeAdded"/>
          <w:noProof/>
        </w:rPr>
        <w:t>28</w:t>
      </w:r>
      <w:r>
        <w:rPr>
          <w:rStyle w:val="CRMinorChangeDeleted"/>
          <w:noProof/>
        </w:rPr>
        <w:t>14</w:t>
      </w:r>
      <w:r>
        <w:rPr>
          <w:noProof/>
        </w:rPr>
        <w:t xml:space="preserve"> și comunicările prevăzute la articolul </w:t>
      </w:r>
      <w:r>
        <w:rPr>
          <w:rStyle w:val="CRMinorChangeAdded"/>
          <w:noProof/>
        </w:rPr>
        <w:t>30</w:t>
      </w:r>
      <w:r>
        <w:rPr>
          <w:rStyle w:val="CRMinorChangeDeleted"/>
          <w:noProof/>
        </w:rPr>
        <w:t>16</w:t>
      </w:r>
      <w:r>
        <w:rPr>
          <w:noProof/>
        </w:rPr>
        <w:t xml:space="preserve"> alineatele (2) și (3) și la articolul </w:t>
      </w:r>
      <w:r>
        <w:rPr>
          <w:rStyle w:val="CRMinorChangeAdded"/>
          <w:noProof/>
        </w:rPr>
        <w:t>50</w:t>
      </w:r>
      <w:r>
        <w:rPr>
          <w:rStyle w:val="CRMinorChangeDeleted"/>
          <w:noProof/>
        </w:rPr>
        <w:t>24</w:t>
      </w:r>
      <w:r>
        <w:rPr>
          <w:noProof/>
        </w:rPr>
        <w:t xml:space="preserve"> alineatul (2) </w:t>
      </w:r>
      <w:r>
        <w:rPr>
          <w:rStyle w:val="CRMinorChangeDeleted"/>
          <w:noProof/>
        </w:rPr>
        <w:t>se transmit prin intermediul formularelor-tip adoptate de Comisie în conformitate cu procedura menționată la articolul 26 alineatul (2)</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2011/16/EU (adaptat)</w:t>
      </w:r>
    </w:p>
    <w:p>
      <w:pPr>
        <w:rPr>
          <w:noProof/>
        </w:rPr>
      </w:pPr>
      <w:r>
        <w:rPr>
          <w:noProof/>
        </w:rPr>
        <w:t>(4)</w:t>
      </w:r>
      <w:r>
        <w:rPr>
          <w:noProof/>
        </w:rPr>
        <w:tab/>
        <w:t>Cererile de cooperare, inclusiv cererile de notificare, și documentele anexate pot fi redactate în orice limbă aleasă de comun acord de autoritatea solicitată și autoritatea solicitantă.</w:t>
      </w:r>
    </w:p>
    <w:p>
      <w:pPr>
        <w:rPr>
          <w:noProof/>
        </w:rPr>
      </w:pPr>
      <w:r>
        <w:rPr>
          <w:noProof/>
        </w:rPr>
        <w:t>Cererile respective sunt însoțite de o traducere în limba oficială sau în una dintre limbile oficiale ale statului membru al autorității solicitate numai în situații speciale, când autoritatea solicitată motivează cererea de traducere.</w:t>
      </w:r>
    </w:p>
    <w:p>
      <w:pPr>
        <w:pStyle w:val="Titrearticle"/>
        <w:rPr>
          <w:rStyle w:val="CRMinorChangeAdded"/>
          <w:noProof/>
        </w:rPr>
      </w:pPr>
      <w:r>
        <w:rPr>
          <w:rStyle w:val="CRMinorChangeAdded"/>
          <w:noProof/>
        </w:rPr>
        <w:lastRenderedPageBreak/>
        <w:t>Articolul 43</w:t>
      </w:r>
    </w:p>
    <w:p>
      <w:pPr>
        <w:pStyle w:val="NormalCentered"/>
        <w:keepNext/>
        <w:rPr>
          <w:b/>
          <w:bCs/>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Formulare-tip și regimul lingvistic pentru schimbul automat de informații</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articolul 1 punctul 7</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keepNext/>
        <w:rPr>
          <w:noProof/>
        </w:rPr>
      </w:pPr>
      <w:r>
        <w:rPr>
          <w:rStyle w:val="CRMinorChangeAdded"/>
          <w:noProof/>
        </w:rPr>
        <w:t>(1)</w:t>
      </w:r>
      <w:r>
        <w:rPr>
          <w:rStyle w:val="CRMinorChangeDeleted"/>
          <w:noProof/>
        </w:rPr>
        <w:t>(4)</w:t>
      </w:r>
      <w:r>
        <w:rPr>
          <w:noProof/>
        </w:rPr>
        <w:tab/>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Comisia este împuternicită să adopte acte de punere în aplicare, în conformitate cu procedura menționată la articolul 51 alineatul (2), pentru a stabili formularul-tip în format digital, inclusiv regimul lingvistic care trebuie utilizat pentru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Added"/>
          <w:noProof/>
        </w:rPr>
        <w:t>s</w:t>
      </w:r>
      <w:r>
        <w:rPr>
          <w:rStyle w:val="CRMinorChangeDeleted"/>
          <w:noProof/>
        </w:rPr>
        <w:t>S</w:t>
      </w:r>
      <w:r>
        <w:rPr>
          <w:noProof/>
        </w:rPr>
        <w:t xml:space="preserve">chimbul automat de informații în temeiul articolelor </w:t>
      </w:r>
      <w:r>
        <w:rPr>
          <w:rStyle w:val="CRRefonteDeleted"/>
          <w:noProof/>
          <w:highlight w:val="lightGray"/>
        </w:rPr>
        <w:t>8, 8ac și 8ae</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4-9 și al articolelor 12, 15 și 16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w:t>
      </w:r>
      <w:r>
        <w:rPr>
          <w:rStyle w:val="CRRefonteDeleted"/>
          <w:noProof/>
          <w:highlight w:val="lightGray"/>
        </w:rPr>
        <w:t>se efectuează utilizându-se un format electronic standardizat elaborat pentru a facilita acest schimb automat de informații, adoptat de Comisie în conformitate cu procedura menționată la articolul 26 alineatul (2).</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9 (adaptat)</w:t>
      </w:r>
    </w:p>
    <w:p>
      <w:pPr>
        <w:pStyle w:val="CRReference"/>
        <w:rPr>
          <w:rStyle w:val="CRMinorChangeAdd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rStyle w:val="CRMinorChangeAdded"/>
          <w:noProof/>
        </w:rPr>
        <w:t>(2)</w:t>
      </w:r>
      <w:r>
        <w:rPr>
          <w:noProof/>
        </w:rPr>
        <w:tab/>
        <w:t xml:space="preserve">Respectivele formulare-tip </w:t>
      </w:r>
      <w:r>
        <w:rPr>
          <w:rStyle w:val="CRDeleted"/>
          <w:noProof/>
        </w:rPr>
        <w:t>electronice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digitale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nu conțin alte elemente care fac obiectul schimbului de informații decât cele enumerate la articol</w:t>
      </w:r>
      <w:r>
        <w:rPr>
          <w:rStyle w:val="CRMinorChangeAdded"/>
          <w:noProof/>
        </w:rPr>
        <w:t>ele</w:t>
      </w:r>
      <w:r>
        <w:rPr>
          <w:rStyle w:val="CRMinorChangeDeleted"/>
          <w:noProof/>
        </w:rPr>
        <w:t>ul</w:t>
      </w:r>
      <w:r>
        <w:rPr>
          <w:noProof/>
        </w:rPr>
        <w:t> </w:t>
      </w:r>
      <w:r>
        <w:rPr>
          <w:rStyle w:val="CRRefonteDeleted"/>
          <w:noProof/>
          <w:highlight w:val="lightGray"/>
        </w:rPr>
        <w:t>8a alineatul (6), la articolul 8ab alineatul (14) și la articolul 8ad alineatul (3)</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4-9 și la articolele 12, 15 și 16, precum și la articolul 44 din Directiva (UE) 2023/2523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alte câmpuri conexe care au legătură cu respectivele elemente și care sunt necesare pentru realizarea obiectivelor </w:t>
      </w:r>
      <w:r>
        <w:rPr>
          <w:rStyle w:val="CRRefonteDeleted"/>
          <w:noProof/>
          <w:highlight w:val="lightGray"/>
        </w:rPr>
        <w:t>articolelor 8a, 8ab și, respectiv, 8ad</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respectivelor schimburi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rPr>
          <w:noProof/>
        </w:rPr>
      </w:pPr>
      <w:r>
        <w:rPr>
          <w:rStyle w:val="CRMinorChangeAdded"/>
          <w:noProof/>
        </w:rPr>
        <w:t>(3)</w:t>
      </w:r>
      <w:r>
        <w:rPr>
          <w:noProof/>
        </w:rPr>
        <w:tab/>
        <w:t xml:space="preserve">Regimul lingvistic menționat la </w:t>
      </w:r>
      <w:r>
        <w:rPr>
          <w:rStyle w:val="CRDeleted"/>
          <w:noProof/>
        </w:rPr>
        <w:t>primul paragraf de la prezentul</w:t>
      </w:r>
      <w:r>
        <w:rPr>
          <w:noProof/>
        </w:rPr>
        <w:t xml:space="preserve"> alineat</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ul (1)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nu împiedică statele membre să comunice informațiile menționate la articolele </w:t>
      </w:r>
      <w:r>
        <w:rPr>
          <w:rStyle w:val="CRMinorChangeDeleted"/>
          <w:noProof/>
        </w:rPr>
        <w:t>8a</w:t>
      </w:r>
      <w:r>
        <w:rPr>
          <w:rStyle w:val="CRMinorChangeAdded"/>
          <w:noProof/>
        </w:rPr>
        <w:t>6</w:t>
      </w:r>
      <w:r>
        <w:rPr>
          <w:noProof/>
        </w:rPr>
        <w:t xml:space="preserve"> și </w:t>
      </w:r>
      <w:r>
        <w:rPr>
          <w:rStyle w:val="CRMinorChangeDeleted"/>
          <w:noProof/>
        </w:rPr>
        <w:t>8ab</w:t>
      </w:r>
      <w:r>
        <w:rPr>
          <w:rStyle w:val="CRMinorChangeAdded"/>
          <w:noProof/>
        </w:rPr>
        <w:t>8</w:t>
      </w:r>
      <w:r>
        <w:rPr>
          <w:noProof/>
        </w:rPr>
        <w:t xml:space="preserve"> în oricare dintre limbile oficiale ale Uniunii. Cu toate acestea, este posibil ca regimul lingvistic respectiv să prevadă transmiterea elementelor esențiale ale informațiilor și într-o altă limbă oficială a Uniunii.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Titrearticle"/>
        <w:rPr>
          <w:noProof/>
        </w:rPr>
      </w:pPr>
      <w:r>
        <w:rPr>
          <w:noProof/>
        </w:rPr>
        <w:t xml:space="preserve">Articolul </w:t>
      </w:r>
      <w:r>
        <w:rPr>
          <w:rStyle w:val="CRMinorChangeAdded"/>
          <w:noProof/>
        </w:rPr>
        <w:t>44</w:t>
      </w:r>
      <w:r>
        <w:rPr>
          <w:rStyle w:val="CRMinorChangeDeleted"/>
          <w:noProof/>
        </w:rPr>
        <w:t>21</w:t>
      </w:r>
    </w:p>
    <w:p>
      <w:pPr>
        <w:pStyle w:val="NormalCentered"/>
        <w:rPr>
          <w:b/>
          <w:noProof/>
        </w:rPr>
      </w:pPr>
      <w:r>
        <w:rPr>
          <w:b/>
          <w:noProof/>
        </w:rPr>
        <w:t xml:space="preserve">Măsuri practice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referitoare la comunicarea informațiilor</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noProof/>
        </w:rPr>
        <w:t>(1)</w:t>
      </w:r>
      <w:r>
        <w:rPr>
          <w:noProof/>
        </w:rPr>
        <w:tab/>
        <w:t>Informațiile comunicate în temeiul prezentei directive se furnizează</w:t>
      </w:r>
      <w:r>
        <w:rPr>
          <w:rStyle w:val="CRRefonteDeleted"/>
          <w:noProof/>
          <w:highlight w:val="lightGray"/>
        </w:rPr>
        <w:t>, în măsura posibilului,</w:t>
      </w:r>
      <w:r>
        <w:rPr>
          <w:noProof/>
        </w:rPr>
        <w:t xml:space="preserve"> prin mijloace electronice, utilizând </w:t>
      </w:r>
      <w:r>
        <w:rPr>
          <w:rStyle w:val="CRRefonteDeleted"/>
          <w:noProof/>
          <w:highlight w:val="lightGray"/>
        </w:rPr>
        <w:t>rețeaua CCN</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rPr>
          <w:noProof/>
        </w:rPr>
      </w:pPr>
      <w:r>
        <w:rPr>
          <w:noProof/>
        </w:rPr>
        <w:t xml:space="preserve">Dacă este necesar, Comisia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este împuternicită să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adopt</w:t>
      </w:r>
      <w:r>
        <w:rPr>
          <w:rStyle w:val="CRMinorChangeAdded"/>
          <w:noProof/>
        </w:rPr>
        <w:t>e</w:t>
      </w:r>
      <w:r>
        <w:rPr>
          <w:rStyle w:val="CRMinorChangeDeleted"/>
          <w:noProof/>
        </w:rPr>
        <w:t>ă</w:t>
      </w:r>
      <w:r>
        <w:rPr>
          <w:noProof/>
        </w:rPr>
        <w:t xml:space="preserve"> măsurile practice necesare pentru punerea în aplicarea a primului paragraf în conformitate cu procedura menționată la articolul </w:t>
      </w:r>
      <w:r>
        <w:rPr>
          <w:rStyle w:val="CRMinorChangeAdded"/>
          <w:noProof/>
        </w:rPr>
        <w:t>51</w:t>
      </w:r>
      <w:r>
        <w:rPr>
          <w:rStyle w:val="CRMinorChangeDeleted"/>
          <w:noProof/>
        </w:rPr>
        <w:t>26</w:t>
      </w:r>
      <w:r>
        <w:rPr>
          <w:noProof/>
        </w:rPr>
        <w:t xml:space="preserve"> alineatul (2).</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2014/107/UE articolul 1 punctul 4</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(2)</w:t>
      </w:r>
      <w:r>
        <w:rPr>
          <w:noProof/>
        </w:rPr>
        <w:tab/>
        <w:t xml:space="preserve">Comisia este însărcinată să efectueze orice adaptare a </w:t>
      </w:r>
      <w:r>
        <w:rPr>
          <w:rStyle w:val="CRRefonteDeleted"/>
          <w:noProof/>
          <w:highlight w:val="lightGray"/>
        </w:rPr>
        <w:t>rețelei CCN</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necesară pentru a permite schimbul de informații de acest tip între statele membre și să asigure securitatea </w:t>
      </w:r>
      <w:r>
        <w:rPr>
          <w:rStyle w:val="CRRefonteDeleted"/>
          <w:noProof/>
          <w:highlight w:val="lightGray"/>
        </w:rPr>
        <w:t>rețelei CCN</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rPr>
          <w:noProof/>
        </w:rPr>
      </w:pPr>
      <w:r>
        <w:rPr>
          <w:noProof/>
        </w:rPr>
        <w:t xml:space="preserve">Statele membre sunt însărcinate să efectueze orice adaptare a sistemelor lor necesară pentru a permite schimbul de informații de acest tip prin intermediul </w:t>
      </w:r>
      <w:r>
        <w:rPr>
          <w:rStyle w:val="CRRefonteDeleted"/>
          <w:noProof/>
          <w:highlight w:val="lightGray"/>
        </w:rPr>
        <w:t>rețelei CCN</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să asigure securitatea sistemelor lor. </w:t>
      </w:r>
    </w:p>
    <w:p>
      <w:pPr>
        <w:rPr>
          <w:noProof/>
        </w:rPr>
      </w:pPr>
      <w:r>
        <w:rPr>
          <w:noProof/>
        </w:rPr>
        <w:t>Statele membre renunță la orice cerere de rambursare a cheltuielilor ocazionate de aplicarea prezentei directive, exceptând, după caz, cheltuielile cu onorariile plătite experților.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articolul 1 punctul 5 litera (a)</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(3)</w:t>
      </w:r>
      <w:r>
        <w:rPr>
          <w:noProof/>
        </w:rPr>
        <w:tab/>
        <w:t xml:space="preserve">Persoanele acreditate în mod corespunzător de autoritatea de acreditare în materie de securitate a Comisiei pot avea acces la informațiile în cauză numai în măsura în care acest lucru este necesar pentru întreținerea, menținerea și dezvoltarea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SDIE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registrului menționat la alineatul (5) și a rețelei CCN</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10 litera (a) (adaptat)</w:t>
      </w:r>
    </w:p>
    <w:p>
      <w:pPr>
        <w:rPr>
          <w:dstrike/>
          <w:noProof/>
        </w:rPr>
      </w:pPr>
      <w:r>
        <w:rPr>
          <w:rStyle w:val="CRDeleted"/>
          <w:noProof/>
        </w:rPr>
        <w:t>(5)</w:t>
      </w:r>
      <w:r>
        <w:rPr>
          <w:noProof/>
        </w:rPr>
        <w:tab/>
      </w:r>
      <w:r>
        <w:rPr>
          <w:rStyle w:val="CRDeleted"/>
          <w:noProof/>
        </w:rPr>
        <w:t xml:space="preserve">Până la 31 decembrie 2017, Comisia dezvoltă și dotează cu sprijin tehnic și logistic un registru central securizat la nivel de stat membru privind cooperarea administrativă în domeniul fiscal, în care </w:t>
      </w:r>
      <w:r>
        <w:rPr>
          <w:dstrike/>
          <w:noProof/>
        </w:rPr>
        <w:t>informațiile se comunică în cadrul articolului 8a alineatele (1) și (2) se înregistrează în vederea efectuării schimbului automat prevăzut la respectivele alineate.</w:t>
      </w:r>
    </w:p>
    <w:p>
      <w:pPr>
        <w:rPr>
          <w:noProof/>
        </w:rPr>
      </w:pPr>
      <w:r>
        <w:rPr>
          <w:rStyle w:val="CRDeleted"/>
          <w:noProof/>
        </w:rPr>
        <w:t>Până la 31 decembrie 2019, Comisia dezvoltă și dotează cu sprijin tehnic și logistic un registru central securizat la nivel de stat membru privind cooperarea administrativă în domeniul fiscal, în care informațiile care se comunică în cadrul articolului 8ab alineatele (13), (14) și (16) se înregistrează în vederea efectuării schimbului automat prevăzut la respectivele alineate.</w:t>
      </w:r>
    </w:p>
    <w:p>
      <w:pPr>
        <w:rPr>
          <w:noProof/>
        </w:rPr>
      </w:pPr>
      <w:r>
        <w:rPr>
          <w:rStyle w:val="CRDeleted"/>
          <w:noProof/>
        </w:rPr>
        <w:t>Până la 31 decembrie 2026, Comisia dezvoltă și dotează cu sprijin tehnic și logistic un registru central securizat la nivel de stat membru privind cooperarea administrativă în domeniul fiscal, în care informațiile care se comunică în cadrul articolului 8ad alineatele (2) și (3) se înregistrează în vederea efectuării schimbului automat prevăzut la respectivele alineate.</w:t>
      </w:r>
    </w:p>
    <w:p>
      <w:pPr>
        <w:rPr>
          <w:noProof/>
        </w:rPr>
      </w:pPr>
      <w:r>
        <w:rPr>
          <w:rStyle w:val="CRDeleted"/>
          <w:noProof/>
        </w:rPr>
        <w:t xml:space="preserve">Autoritățile competente ale tuturor statelor membre au acces la informațiile înregistrate în respectivul registru. Cu toate acestea, în ceea ce privește informațiile care se comunică în cadrul articolului 8ad alineatele (2) și (3), autoritatea competentă a unui stat membru are acces numai la informațiile referitoare la Utilizatorii care fac Obiectul Raportării și la Persoanele care fac Obiectul Raportării rezidente în statul membru respectiv. Comisia are, de asemenea, acces la informațiile înregistrate în repertoriul respectiv, însă cu limitările prevăzute la articolul 8a alineatul (8), la articolul 8ab alineatul (17) și la articolul 8ad alineatul (5) și numai în scopul colectării de statistici în conformitate cu alineatul (7) din prezentul articol. Comisia </w:t>
      </w:r>
      <w:r>
        <w:rPr>
          <w:rStyle w:val="CRDeleted"/>
          <w:noProof/>
        </w:rPr>
        <w:lastRenderedPageBreak/>
        <w:t>adoptă, prin acte de punere în aplicare, modalitățile practice necesare. Respectivele acte de punere în aplicare se adoptă în conformitate cu procedura menționată la articolul 26 alineatul (2).</w:t>
      </w:r>
    </w:p>
    <w:p>
      <w:pPr>
        <w:rPr>
          <w:rStyle w:val="CRDeleted"/>
          <w:noProof/>
        </w:rPr>
      </w:pPr>
      <w:r>
        <w:rPr>
          <w:rStyle w:val="CRDeleted"/>
          <w:noProof/>
        </w:rPr>
        <w:t>Până când respectivul registru central securizat devine operațional, schimbul automat menționat la articolul 8a alineatele (1) și (2), la articolul 8ab alineatele (13), (14) și (16) și la articolul 8ad alineatele (2) și (3) se realizează în conformitate cu alineatul (1) din prezentul articol și cu modalitățile practice aplicabile.</w:t>
      </w:r>
    </w:p>
    <w:p>
      <w:pPr>
        <w:rPr>
          <w:noProof/>
        </w:rPr>
      </w:pPr>
      <w:r>
        <w:rPr>
          <w:rStyle w:val="CRDeleted"/>
          <w:noProof/>
        </w:rPr>
        <w:t>(6)</w:t>
      </w:r>
      <w:r>
        <w:rPr>
          <w:noProof/>
        </w:rPr>
        <w:tab/>
      </w:r>
      <w:r>
        <w:rPr>
          <w:rStyle w:val="CRDeleted"/>
          <w:noProof/>
        </w:rPr>
        <w:t>Informațiile comunicate în temeiul articolului 8aa alineatul (2) se furnizează prin mijloace electronice utilizând rețeaua CCN. Comisia adoptă, prin intermediul unor acte de punere în aplicare, mecanismele practice necesare pentru modernizarea rețelei CCN. Respectivele acte de punere în aplicare se adoptă în conformitate cu procedura menționată la articolul 26 alineatul (2).</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jc w:val="center"/>
        <w:rPr>
          <w:rStyle w:val="CRMinorChangeDeleted"/>
          <w:noProof/>
        </w:rPr>
      </w:pPr>
      <w:r>
        <w:rPr>
          <w:noProof/>
        </w:rPr>
        <w:t xml:space="preserve">CAPITOLUL </w:t>
      </w:r>
      <w:r>
        <w:rPr>
          <w:rStyle w:val="CRMinorChangeAdded"/>
          <w:noProof/>
        </w:rPr>
        <w:t>VI</w:t>
      </w:r>
      <w:r>
        <w:rPr>
          <w:rStyle w:val="CRMinorChangeDeleted"/>
          <w:noProof/>
        </w:rPr>
        <w:t>V</w:t>
      </w:r>
    </w:p>
    <w:p>
      <w:pPr>
        <w:jc w:val="center"/>
        <w:rPr>
          <w:noProof/>
        </w:rPr>
      </w:pPr>
      <w:r>
        <w:rPr>
          <w:i/>
          <w:noProof/>
        </w:rPr>
        <w:t>SCHIMBUL DE EXPERIENȚĂ ȘI DE BUNE PRACTICI</w:t>
      </w:r>
    </w:p>
    <w:p>
      <w:pPr>
        <w:jc w:val="center"/>
        <w:rPr>
          <w:noProof/>
        </w:rPr>
      </w:pPr>
      <w:r>
        <w:rPr>
          <w:i/>
          <w:noProof/>
        </w:rPr>
        <w:t xml:space="preserve">Articolul </w:t>
      </w:r>
      <w:r>
        <w:rPr>
          <w:rStyle w:val="CRMinorChangeAdded"/>
          <w:i/>
          <w:noProof/>
        </w:rPr>
        <w:t>45</w:t>
      </w:r>
      <w:r>
        <w:rPr>
          <w:rStyle w:val="CRMinorChangeDeleted"/>
          <w:i/>
          <w:noProof/>
        </w:rPr>
        <w:t>15</w:t>
      </w:r>
    </w:p>
    <w:p>
      <w:pPr>
        <w:jc w:val="center"/>
        <w:rPr>
          <w:noProof/>
        </w:rPr>
      </w:pPr>
      <w:r>
        <w:rPr>
          <w:b/>
          <w:noProof/>
        </w:rPr>
        <w:t>Domeniu de aplicare și condiții</w:t>
      </w:r>
    </w:p>
    <w:p>
      <w:pPr>
        <w:rPr>
          <w:noProof/>
        </w:rPr>
      </w:pPr>
      <w:r>
        <w:rPr>
          <w:noProof/>
        </w:rPr>
        <w:t>(1)</w:t>
      </w:r>
      <w:r>
        <w:rPr>
          <w:noProof/>
        </w:rPr>
        <w:tab/>
        <w:t>Împreună cu Comisia, statele membre examinează și evaluează cooperarea administrativă prevăzută de prezenta directivă și fac schimb de experiență în scopul îmbunătățirii acestei cooperări și, dacă este cazul, al elaborării unor norme în domeniile respective.</w:t>
      </w:r>
    </w:p>
    <w:p>
      <w:pPr>
        <w:rPr>
          <w:noProof/>
        </w:rPr>
      </w:pPr>
      <w:r>
        <w:rPr>
          <w:noProof/>
        </w:rPr>
        <w:t>(2)</w:t>
      </w:r>
      <w:r>
        <w:rPr>
          <w:noProof/>
        </w:rPr>
        <w:tab/>
        <w:t>Alături de Comisie, statele membre pot elabora orientări cu privire la orice aspect considerat necesar pentru schimbul de bune practici și schimbul de experiență.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articolul 1 punctul 4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jc w:val="center"/>
        <w:rPr>
          <w:noProof/>
        </w:rPr>
      </w:pPr>
      <w:r>
        <w:rPr>
          <w:i/>
          <w:noProof/>
        </w:rPr>
        <w:t xml:space="preserve">Articolul </w:t>
      </w:r>
      <w:r>
        <w:rPr>
          <w:rStyle w:val="CRMinorChangeAdded"/>
          <w:i/>
          <w:noProof/>
        </w:rPr>
        <w:t>46</w:t>
      </w:r>
      <w:r>
        <w:rPr>
          <w:rStyle w:val="CRMinorChangeDeleted"/>
          <w:i/>
          <w:noProof/>
        </w:rPr>
        <w:t>8b</w:t>
      </w:r>
    </w:p>
    <w:p>
      <w:pPr>
        <w:jc w:val="center"/>
        <w:rPr>
          <w:noProof/>
        </w:rPr>
      </w:pPr>
      <w:r>
        <w:rPr>
          <w:b/>
          <w:noProof/>
        </w:rPr>
        <w:t>Statistici privind schimburile automate</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și furnizarea de informații institutelor naționale de statistică</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rStyle w:val="CRMinorChangeAdded"/>
          <w:noProof/>
        </w:rPr>
        <w:t>(1)</w:t>
      </w:r>
      <w:r>
        <w:rPr>
          <w:noProof/>
        </w:rPr>
        <w:tab/>
        <w:t xml:space="preserve">În fiecare an, statele membre pun la dispoziția Comisiei statistici cu privire la volumul schimburilor automate prevăzute la </w:t>
      </w:r>
      <w:r>
        <w:rPr>
          <w:rStyle w:val="CRRefonteDeleted"/>
          <w:noProof/>
          <w:highlight w:val="lightGray"/>
        </w:rPr>
        <w:t>articolul 8 alineatele (1) și (3a) și la articolele 8aa, 8ac și 8ae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articolele 4-9, 12, 15 și 16</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informații cu privire la costurile și beneficiile administrative și la alte costuri și beneficii relevante legate de schimburile care au avut loc și cu privire la orice potențiale modificări, atât pentru administrațiile fiscale, cât și pentru terți.</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rPr>
          <w:noProof/>
          <w:highlight w:val="lightGray"/>
        </w:rPr>
      </w:pPr>
      <w:r>
        <w:rPr>
          <w:noProof/>
          <w:highlight w:val="lightGray"/>
        </w:rPr>
        <w:t>(2)</w:t>
      </w:r>
      <w:r>
        <w:rPr>
          <w:noProof/>
        </w:rPr>
        <w:tab/>
      </w:r>
      <w:bookmarkStart w:id="57" w:name="_Hlk231316425"/>
      <w:r>
        <w:rPr>
          <w:noProof/>
          <w:highlight w:val="lightGray"/>
        </w:rPr>
        <w:t xml:space="preserve">Statele membre furnizează anual institutelor lor naționale de statistică statistici privind volumul schimburilor automate în temeiul articolelor 4-9, 12, 15 și 16. Statele membre furnizează anual autorității lor statistice naționale toate informațiile primite prin intermediul schimburilor efectuate în temeiul articolului 7. Autoritățile statistice naționale utilizează </w:t>
      </w:r>
      <w:r>
        <w:rPr>
          <w:noProof/>
          <w:highlight w:val="lightGray"/>
        </w:rPr>
        <w:lastRenderedPageBreak/>
        <w:t>datele exclusiv în scopuri statistice și asigură confidențialitatea deplină a informațiilor primite</w:t>
      </w:r>
      <w:bookmarkEnd w:id="57"/>
      <w:r>
        <w:rPr>
          <w:noProof/>
          <w:highlight w:val="lightGray"/>
        </w:rPr>
        <w:t>.</w:t>
      </w:r>
    </w:p>
    <w:p>
      <w:pPr>
        <w:pStyle w:val="Titrearticle"/>
        <w:rPr>
          <w:noProof/>
          <w:highlight w:val="lightGray"/>
        </w:rPr>
      </w:pPr>
      <w:r>
        <w:rPr>
          <w:noProof/>
          <w:highlight w:val="lightGray"/>
        </w:rPr>
        <w:t>Articolul 47</w:t>
      </w:r>
    </w:p>
    <w:p>
      <w:pPr>
        <w:jc w:val="center"/>
        <w:rPr>
          <w:rStyle w:val="CRMinorChangeDeleted"/>
          <w:noProof/>
          <w:highlight w:val="lightGray"/>
        </w:rPr>
      </w:pPr>
      <w:r>
        <w:rPr>
          <w:b/>
          <w:noProof/>
          <w:highlight w:val="lightGray"/>
        </w:rPr>
        <w:t>Platforma pentru colectarea statisticilor privind schimburile automate</w:t>
      </w:r>
    </w:p>
    <w:p>
      <w:pPr>
        <w:pStyle w:val="CRSeparator"/>
        <w:rPr>
          <w:rStyle w:val="CRMinorChangeDeleted"/>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2021/514 articolul 1 punctul 15 </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rStyle w:val="CRMinorChangeDeleted"/>
          <w:noProof/>
        </w:rPr>
        <w:t>(7)</w:t>
      </w:r>
      <w:r>
        <w:rPr>
          <w:noProof/>
        </w:rPr>
        <w:tab/>
        <w:t>Comisia dezvoltă o interfață centrală securizată de cooperare administrativă în domeniul fiscal și asigură sprijin tehnic și logistic pentru respectiva interfață, în care statele membre comunică prin intermediul formularelor-tip în temeiul articolului </w:t>
      </w:r>
      <w:r>
        <w:rPr>
          <w:rStyle w:val="CRMinorChangeDeleted"/>
          <w:noProof/>
        </w:rPr>
        <w:t>20 alineatele (1) și (3)</w:t>
      </w:r>
      <w:r>
        <w:rPr>
          <w:noProof/>
        </w:rPr>
        <w:t xml:space="preserve"> </w:t>
      </w:r>
      <w:r>
        <w:rPr>
          <w:rStyle w:val="CRMinorChangeAdded"/>
          <w:noProof/>
        </w:rPr>
        <w:t>43</w:t>
      </w:r>
      <w:r>
        <w:rPr>
          <w:noProof/>
        </w:rPr>
        <w:t xml:space="preserve">. Autoritățile competente ale tuturor statelor membre au acces la respectiva interfață. În scopul colectării de statistici, Comisia are acces la informațiile privind schimburile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automate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înregistrate în interfață și care pot fi extrase automatizat. Comisia are acces numai la date anonime și agregate. Accesarea de către Comisie nu aduce atingere obligației statelor membre de a furniza statistici privind schimbul de informații în conformitate cu articolul </w:t>
      </w:r>
      <w:r>
        <w:rPr>
          <w:rStyle w:val="CRMinorChangeAdded"/>
          <w:noProof/>
        </w:rPr>
        <w:t>48</w:t>
      </w:r>
      <w:r>
        <w:rPr>
          <w:rStyle w:val="CRMinorChangeDeleted"/>
          <w:noProof/>
        </w:rPr>
        <w:t>23</w:t>
      </w:r>
      <w:r>
        <w:rPr>
          <w:noProof/>
        </w:rPr>
        <w:t xml:space="preserve"> alineatul (4). Comisia stabilește, prin intermediul unor acte de punere în aplicare, modalitățile practice necesare. Aceste acte de punere în aplicare se adoptă în conformitate cu procedura menționată la articolul </w:t>
      </w:r>
      <w:r>
        <w:rPr>
          <w:rStyle w:val="CRMinorChangeAdded"/>
          <w:noProof/>
        </w:rPr>
        <w:t>51</w:t>
      </w:r>
      <w:r>
        <w:rPr>
          <w:rStyle w:val="CRMinorChangeDeleted"/>
          <w:noProof/>
        </w:rPr>
        <w:t>26</w:t>
      </w:r>
      <w:r>
        <w:rPr>
          <w:noProof/>
        </w:rPr>
        <w:t xml:space="preserve"> alineatul (2).</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10 litera (b)</w:t>
      </w:r>
    </w:p>
    <w:p>
      <w:pPr>
        <w:rPr>
          <w:rStyle w:val="CRRefonteDeleted"/>
          <w:noProof/>
          <w:highlight w:val="lightGray"/>
        </w:rPr>
      </w:pPr>
      <w:r>
        <w:rPr>
          <w:rStyle w:val="CRRefonteDeleted"/>
          <w:noProof/>
          <w:highlight w:val="lightGray"/>
        </w:rPr>
        <w:t>(8)</w:t>
      </w:r>
      <w:r>
        <w:rPr>
          <w:noProof/>
        </w:rPr>
        <w:tab/>
      </w:r>
      <w:r>
        <w:rPr>
          <w:rStyle w:val="CRRefonteDeleted"/>
          <w:noProof/>
          <w:highlight w:val="lightGray"/>
        </w:rPr>
        <w:t>Comisia pune la dispoziția statelor membre un instrument care să permită verificarea electronică și automată a corectitudinii numerelor de identificare fiscală (NIF) furnizate de o entitate raportoare sau de un contribuabil în scopul schimbului automat de informații.</w:t>
      </w:r>
    </w:p>
    <w:p>
      <w:pPr>
        <w:rPr>
          <w:rStyle w:val="CRRefonteDeleted"/>
          <w:noProof/>
          <w:highlight w:val="lightGray"/>
        </w:rPr>
      </w:pPr>
      <w:r>
        <w:rPr>
          <w:rStyle w:val="CRRefonteDeleted"/>
          <w:noProof/>
          <w:highlight w:val="lightGray"/>
        </w:rPr>
        <w:t>Comisia elaborează parametrii tehnici ai instrumentului menționat la primul paragraf prin intermediul unor acte de punere în aplicare. Aceste acte de punere în aplicare se adoptă în conformitate cu procedura menționată la articolul 26 alineatul (2).</w:t>
      </w:r>
    </w:p>
    <w:p>
      <w:pPr>
        <w:pStyle w:val="CRSeparator"/>
        <w:rPr>
          <w:rFonts w:eastAsiaTheme="minorHAnsi"/>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(adaptat)</w:t>
      </w:r>
    </w:p>
    <w:p>
      <w:pPr>
        <w:pStyle w:val="Titrearticle"/>
        <w:rPr>
          <w:noProof/>
        </w:rPr>
      </w:pPr>
      <w:r>
        <w:rPr>
          <w:noProof/>
        </w:rPr>
        <w:t xml:space="preserve">Articolul </w:t>
      </w:r>
      <w:r>
        <w:rPr>
          <w:rStyle w:val="CRMinorChangeAdded"/>
          <w:noProof/>
        </w:rPr>
        <w:t>48</w:t>
      </w:r>
      <w:r>
        <w:rPr>
          <w:rStyle w:val="CRMinorChangeDeleted"/>
          <w:noProof/>
        </w:rPr>
        <w:t>23</w:t>
      </w:r>
    </w:p>
    <w:p>
      <w:pPr>
        <w:pStyle w:val="NormalCentered"/>
        <w:rPr>
          <w:b/>
          <w:noProof/>
        </w:rPr>
      </w:pPr>
      <w:r>
        <w:rPr>
          <w:b/>
          <w:noProof/>
        </w:rPr>
        <w:t>Evaluare</w:t>
      </w:r>
    </w:p>
    <w:p>
      <w:pPr>
        <w:rPr>
          <w:noProof/>
        </w:rPr>
      </w:pPr>
      <w:r>
        <w:rPr>
          <w:noProof/>
        </w:rPr>
        <w:t>(1)</w:t>
      </w:r>
      <w:r>
        <w:rPr>
          <w:noProof/>
        </w:rPr>
        <w:tab/>
        <w:t>Statele membre și Comisia examinează și evaluează funcționarea sistemului de cooperare administrativă prevăzut de prezenta directivă.</w:t>
      </w:r>
    </w:p>
    <w:p>
      <w:pPr>
        <w:rPr>
          <w:noProof/>
        </w:rPr>
      </w:pPr>
      <w:r>
        <w:rPr>
          <w:noProof/>
        </w:rPr>
        <w:t>(2)</w:t>
      </w:r>
      <w:r>
        <w:rPr>
          <w:noProof/>
        </w:rPr>
        <w:tab/>
        <w:t xml:space="preserve">Statele membre transmit Comisiei orice informații pertinente necesare pentru evaluarea eficacității cooperării administrative prevăzute de prezenta directivă în ceea ce privește combaterea </w:t>
      </w:r>
      <w:r>
        <w:rPr>
          <w:rStyle w:val="CRDeleted"/>
          <w:noProof/>
        </w:rPr>
        <w:t>fraudei și a evaziunii fiscale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evaziunii fiscale și a evitării obligațiilor fiscale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2023/2226 articolul 1 punctul 12</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(3)</w:t>
      </w:r>
      <w:r>
        <w:rPr>
          <w:noProof/>
        </w:rPr>
        <w:tab/>
        <w:t xml:space="preserve">Fiecare stat membru monitorizează și evaluează, în ceea ce îl privește, eficacitatea cooperării administrative în conformitate cu prezenta directivă, inclusiv în scopul combaterii evaziunii fiscale și a evitării obligațiilor fiscale, și comunică anual Comisiei rezultatele evaluării sale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inclusiv instrumentele care măsoară rezultatul cooperării administrative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Comisia adoptă, prin intermediul unor acte de punere în aplicare, formularul și condițiile de comunicare a evaluării anuale respective. Aceste acte de punere în aplicare se adoptă în conformitate cu procedura menționată la articolul </w:t>
      </w:r>
      <w:r>
        <w:rPr>
          <w:rStyle w:val="CRMinorChangeAdded"/>
          <w:noProof/>
        </w:rPr>
        <w:t>51</w:t>
      </w:r>
      <w:r>
        <w:rPr>
          <w:rStyle w:val="CRMinorChangeDeleted"/>
          <w:noProof/>
        </w:rPr>
        <w:t>26</w:t>
      </w:r>
      <w:r>
        <w:rPr>
          <w:noProof/>
        </w:rPr>
        <w:t xml:space="preserve"> alineatul (2).</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rPr>
          <w:noProof/>
        </w:rPr>
      </w:pPr>
      <w:r>
        <w:rPr>
          <w:noProof/>
        </w:rPr>
        <w:t>(4)</w:t>
      </w:r>
      <w:r>
        <w:rPr>
          <w:noProof/>
        </w:rPr>
        <w:tab/>
        <w:t>Comisia stabilește, în conformitate cu procedura prevăzută la articolul</w:t>
      </w:r>
      <w:r>
        <w:rPr>
          <w:rStyle w:val="CRMinorChangeAdded"/>
          <w:noProof/>
        </w:rPr>
        <w:t>51</w:t>
      </w:r>
      <w:r>
        <w:rPr>
          <w:rStyle w:val="CRMinorChangeDeleted"/>
          <w:noProof/>
        </w:rPr>
        <w:t>26</w:t>
      </w:r>
      <w:r>
        <w:rPr>
          <w:noProof/>
        </w:rPr>
        <w:t xml:space="preserve"> alineatul (2), o listă cu datele statistice care urmează să fie furnizate de statele membre în vederea evaluării prezentei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2015/2376 articolul 1 punctul 7</w:t>
      </w:r>
    </w:p>
    <w:p>
      <w:pPr>
        <w:pStyle w:val="Titrearticle"/>
        <w:rPr>
          <w:noProof/>
        </w:rPr>
      </w:pPr>
      <w:r>
        <w:rPr>
          <w:noProof/>
        </w:rPr>
        <w:t xml:space="preserve">Articolul </w:t>
      </w:r>
      <w:r>
        <w:rPr>
          <w:rStyle w:val="CRMinorChangeAdded"/>
          <w:noProof/>
        </w:rPr>
        <w:t>49</w:t>
      </w:r>
      <w:r>
        <w:rPr>
          <w:rStyle w:val="CRMinorChangeDeleted"/>
          <w:noProof/>
        </w:rPr>
        <w:t>23a</w:t>
      </w:r>
    </w:p>
    <w:p>
      <w:pPr>
        <w:pStyle w:val="NormalCentered"/>
        <w:rPr>
          <w:b/>
          <w:noProof/>
        </w:rPr>
      </w:pPr>
      <w:r>
        <w:rPr>
          <w:b/>
          <w:noProof/>
        </w:rPr>
        <w:t>Confidențialitatea informațiilor</w:t>
      </w:r>
    </w:p>
    <w:p>
      <w:pPr>
        <w:rPr>
          <w:noProof/>
        </w:rPr>
      </w:pPr>
      <w:r>
        <w:rPr>
          <w:noProof/>
        </w:rPr>
        <w:t>(1)</w:t>
      </w:r>
      <w:r>
        <w:rPr>
          <w:noProof/>
        </w:rPr>
        <w:tab/>
        <w:t>În conformitate cu dispozițiile aplicabile autorităților din Uniune, Comisia păstrează confidențialitatea informațiilor care îi sunt comunicate în temeiul prezentei directive, informații care nu pot fi utilizate în alte scopuri în afară de cele necesare pentru a stabili dacă și în ce măsură statele membre se conformează prezentei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2021/514 articolul 1 punctul 17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noProof/>
        </w:rPr>
        <w:t>(2)</w:t>
      </w:r>
      <w:r>
        <w:rPr>
          <w:noProof/>
        </w:rPr>
        <w:tab/>
        <w:t>Informațiile comunicate Comisiei de un stat membru în temeiul articolului </w:t>
      </w:r>
      <w:r>
        <w:rPr>
          <w:rStyle w:val="CRMinorChangeDeleted"/>
          <w:noProof/>
        </w:rPr>
        <w:t>23</w:t>
      </w:r>
      <w:r>
        <w:rPr>
          <w:rStyle w:val="CRMinorChangeAdded"/>
          <w:noProof/>
        </w:rPr>
        <w:t>48</w:t>
      </w:r>
      <w:r>
        <w:rPr>
          <w:noProof/>
        </w:rPr>
        <w:t>, precum și orice raport sau document elaborat de Comisie pe baza acestor informații pot fi transmise altor state membre. Astfel de informații transmise intră sub incidența secretului de serviciu și beneficiază de protecția acordată informațiilor asemănătoare conform dreptului intern al statului membru care le-a primit.</w:t>
      </w:r>
    </w:p>
    <w:p>
      <w:pPr>
        <w:rPr>
          <w:noProof/>
        </w:rPr>
      </w:pPr>
      <w:r>
        <w:rPr>
          <w:noProof/>
        </w:rPr>
        <w:t>Rapoartele și documentele elaborate de Comisie, menționate în primul paragraf, pot fi utilizate de statele membre doar în scopuri analitice, nu se publică și nici nu se pun la dispoziția unei alte persoane sau a unui alt organism fără acordul expres al Comisiei.</w:t>
      </w:r>
    </w:p>
    <w:p>
      <w:pPr>
        <w:rPr>
          <w:noProof/>
        </w:rPr>
      </w:pPr>
      <w:r>
        <w:rPr>
          <w:noProof/>
        </w:rPr>
        <w:t xml:space="preserve">Prin excepție de la primul și al doilea paragraf, Comisia poate publica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rapoarte privind utilizarea informațiilor care au făcut obiectul schimburilor în temeiul prezentei directive, precum și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rPr>
        <w:t>anual</w:t>
      </w:r>
      <w:r>
        <w:rPr>
          <w:noProof/>
        </w:rPr>
        <w:t xml:space="preserve"> rezumate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anuale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anonimizate ale datelor statistice pe care i le comunică statele membre în conformitate cu articolul </w:t>
      </w:r>
      <w:r>
        <w:rPr>
          <w:rStyle w:val="CRMinorChangeAdded"/>
          <w:noProof/>
        </w:rPr>
        <w:t>48</w:t>
      </w:r>
      <w:r>
        <w:rPr>
          <w:rStyle w:val="CRMinorChangeDeleted"/>
          <w:noProof/>
        </w:rPr>
        <w:t>23</w:t>
      </w:r>
      <w:r>
        <w:rPr>
          <w:noProof/>
        </w:rPr>
        <w:t xml:space="preserve"> alineatul (4).</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SectionTitle000000"/>
        <w:rPr>
          <w:noProof/>
        </w:rPr>
      </w:pPr>
      <w:r>
        <w:rPr>
          <w:noProof/>
        </w:rPr>
        <w:t xml:space="preserve">CAPITOLUL </w:t>
      </w:r>
      <w:r>
        <w:rPr>
          <w:rStyle w:val="CRMinorChangeAdded"/>
          <w:noProof/>
        </w:rPr>
        <w:t>VII</w:t>
      </w:r>
      <w:r>
        <w:rPr>
          <w:rStyle w:val="CRMinorChangeDeleted"/>
          <w:noProof/>
        </w:rPr>
        <w:t>VI</w:t>
      </w:r>
    </w:p>
    <w:p>
      <w:pPr>
        <w:pStyle w:val="SectionTitle000000"/>
        <w:rPr>
          <w:noProof/>
        </w:rPr>
      </w:pPr>
      <w:r>
        <w:rPr>
          <w:i/>
          <w:noProof/>
        </w:rPr>
        <w:t>RELAȚII CU ȚĂRILE TERȚE</w:t>
      </w:r>
    </w:p>
    <w:p>
      <w:pPr>
        <w:pStyle w:val="Titrearticle"/>
        <w:rPr>
          <w:noProof/>
        </w:rPr>
      </w:pPr>
      <w:r>
        <w:rPr>
          <w:noProof/>
        </w:rPr>
        <w:t xml:space="preserve">Articolul </w:t>
      </w:r>
      <w:r>
        <w:rPr>
          <w:rStyle w:val="CRMinorChangeAdded"/>
          <w:noProof/>
        </w:rPr>
        <w:t>50</w:t>
      </w:r>
      <w:r>
        <w:rPr>
          <w:rStyle w:val="CRMinorChangeDeleted"/>
          <w:noProof/>
        </w:rPr>
        <w:t>24</w:t>
      </w:r>
    </w:p>
    <w:p>
      <w:pPr>
        <w:pStyle w:val="NormalCentered"/>
        <w:rPr>
          <w:b/>
          <w:noProof/>
        </w:rPr>
      </w:pPr>
      <w:r>
        <w:rPr>
          <w:b/>
          <w:noProof/>
        </w:rPr>
        <w:t>Schimbul de informații cu țările terțe</w:t>
      </w:r>
    </w:p>
    <w:p>
      <w:pPr>
        <w:rPr>
          <w:noProof/>
        </w:rPr>
      </w:pPr>
      <w:r>
        <w:rPr>
          <w:noProof/>
        </w:rPr>
        <w:t>(1)</w:t>
      </w:r>
      <w:r>
        <w:rPr>
          <w:noProof/>
        </w:rPr>
        <w:tab/>
        <w:t>În cazul în care autoritatea competentă a unui stat membru primește de la o țară terță informații care sunt în mod previzibil relevante pentru administrarea și aplicarea legilor interne ale acestui stat membru în privința taxelor și impozitelor menționate la articolul 2, autoritatea respectivă poate, în măsura în care acest lucru este permis în temeiul unui acord cu țara terță respectivă, să comunice aceste informații autorităților competente ale statelor membre pentru care ar putea fi utile și oricărei autorități solicitante.</w:t>
      </w:r>
    </w:p>
    <w:p>
      <w:pPr>
        <w:rPr>
          <w:noProof/>
        </w:rPr>
      </w:pPr>
      <w:r>
        <w:rPr>
          <w:noProof/>
        </w:rPr>
        <w:t>(2)</w:t>
      </w:r>
      <w:r>
        <w:rPr>
          <w:noProof/>
        </w:rPr>
        <w:tab/>
        <w:t>Autoritățile competente pot transmite unei țări terțe, conform normelor interne privind comunicarea datelor cu caracter personal către țările terțe, informații obținute în temeiul prezentei directive, dacă toate condițiile de mai jos sunt îndeplinite:</w:t>
      </w:r>
    </w:p>
    <w:p>
      <w:pPr>
        <w:pStyle w:val="Point0"/>
        <w:rPr>
          <w:noProof/>
        </w:rPr>
      </w:pPr>
      <w:r>
        <w:rPr>
          <w:noProof/>
        </w:rPr>
        <w:tab/>
        <w:t>(a)</w:t>
      </w:r>
      <w:r>
        <w:rPr>
          <w:noProof/>
        </w:rPr>
        <w:tab/>
        <w:t>autoritatea competentă a statului membru din care provin informațiile și-a dat acordul cu privire la comunicarea acestora;</w:t>
      </w:r>
    </w:p>
    <w:p>
      <w:pPr>
        <w:pStyle w:val="Point0"/>
        <w:rPr>
          <w:noProof/>
        </w:rPr>
      </w:pPr>
      <w:r>
        <w:rPr>
          <w:noProof/>
        </w:rPr>
        <w:tab/>
        <w:t>(b)</w:t>
      </w:r>
      <w:r>
        <w:rPr>
          <w:noProof/>
        </w:rPr>
        <w:tab/>
        <w:t>țara terță în cauză s-a angajat să coopereze pentru strângerea dovezilor care să ateste caracterul neregulamentar sau ilegal al tranzacțiilor care par să contravină legislației fiscale sau să constituie o încălcare a acesteia.</w:t>
      </w:r>
    </w:p>
    <w:p>
      <w:pPr>
        <w:pStyle w:val="SectionTitle000000"/>
        <w:rPr>
          <w:noProof/>
        </w:rPr>
      </w:pPr>
      <w:r>
        <w:rPr>
          <w:noProof/>
        </w:rPr>
        <w:t xml:space="preserve">CAPITOLUL </w:t>
      </w:r>
      <w:r>
        <w:rPr>
          <w:rStyle w:val="CRMinorChangeAdded"/>
          <w:noProof/>
        </w:rPr>
        <w:t>VIII</w:t>
      </w:r>
      <w:r>
        <w:rPr>
          <w:rStyle w:val="CRMinorChangeDeleted"/>
          <w:noProof/>
        </w:rPr>
        <w:t>VII</w:t>
      </w:r>
    </w:p>
    <w:p>
      <w:pPr>
        <w:pStyle w:val="SectionTitle000000"/>
        <w:rPr>
          <w:noProof/>
        </w:rPr>
      </w:pPr>
      <w:r>
        <w:rPr>
          <w:i/>
          <w:noProof/>
        </w:rPr>
        <w:t>DISPOZIȚII GENERALE ȘI FINALE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2016/881 articolul 1 punctul 8</w:t>
      </w:r>
    </w:p>
    <w:p>
      <w:pPr>
        <w:pStyle w:val="Titrearticle"/>
        <w:rPr>
          <w:noProof/>
        </w:rPr>
      </w:pPr>
      <w:r>
        <w:rPr>
          <w:noProof/>
        </w:rPr>
        <w:t xml:space="preserve">Articolul </w:t>
      </w:r>
      <w:r>
        <w:rPr>
          <w:rStyle w:val="CRMinorChangeAdded"/>
          <w:noProof/>
        </w:rPr>
        <w:t>51</w:t>
      </w:r>
      <w:r>
        <w:rPr>
          <w:rStyle w:val="CRMinorChangeDeleted"/>
          <w:noProof/>
        </w:rPr>
        <w:t>26</w:t>
      </w:r>
    </w:p>
    <w:p>
      <w:pPr>
        <w:pStyle w:val="NormalCentered"/>
        <w:rPr>
          <w:b/>
          <w:noProof/>
        </w:rPr>
      </w:pPr>
      <w:r>
        <w:rPr>
          <w:b/>
          <w:noProof/>
        </w:rPr>
        <w:t>Procedura comitetului</w:t>
      </w:r>
    </w:p>
    <w:p>
      <w:pPr>
        <w:rPr>
          <w:noProof/>
        </w:rPr>
      </w:pPr>
      <w:r>
        <w:rPr>
          <w:noProof/>
        </w:rPr>
        <w:t>(1)</w:t>
      </w:r>
      <w:r>
        <w:rPr>
          <w:noProof/>
        </w:rPr>
        <w:tab/>
        <w:t>Comisia este asistată de Comitetul privind cooperarea administrativă în domeniul impozitării. Comitetul respectiv este un comitet în sensul Regulamentului (UE) nr. 182/2011</w:t>
      </w:r>
      <w:r>
        <w:rPr>
          <w:rStyle w:val="FootnoteReference"/>
          <w:noProof/>
        </w:rPr>
        <w:footnoteReference w:id="56"/>
      </w:r>
      <w:r>
        <w:rPr>
          <w:noProof/>
        </w:rPr>
        <w:t>.</w:t>
      </w:r>
    </w:p>
    <w:p>
      <w:pPr>
        <w:rPr>
          <w:noProof/>
        </w:rPr>
      </w:pPr>
      <w:r>
        <w:rPr>
          <w:noProof/>
        </w:rPr>
        <w:t>(2)</w:t>
      </w:r>
      <w:r>
        <w:rPr>
          <w:noProof/>
        </w:rPr>
        <w:tab/>
        <w:t>Atunci când se face trimitere la prezentul alineat, se aplică articolul 5 din Regulamentul (UE) nr. 182/2011.</w:t>
      </w:r>
    </w:p>
    <w:p>
      <w:pPr>
        <w:pStyle w:val="CRSeparator"/>
        <w:rPr>
          <w:rFonts w:eastAsiaTheme="minorHAnsi"/>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Titrearticle"/>
        <w:rPr>
          <w:noProof/>
          <w:highlight w:val="lightGray"/>
        </w:rPr>
      </w:pPr>
      <w:r>
        <w:rPr>
          <w:noProof/>
          <w:highlight w:val="lightGray"/>
        </w:rPr>
        <w:t>Articolul 52</w:t>
      </w:r>
    </w:p>
    <w:p>
      <w:pPr>
        <w:pStyle w:val="NormalCentered"/>
        <w:rPr>
          <w:b/>
          <w:bCs/>
          <w:noProof/>
          <w:highlight w:val="lightGray"/>
        </w:rPr>
      </w:pPr>
      <w:r>
        <w:rPr>
          <w:b/>
          <w:noProof/>
          <w:highlight w:val="lightGray"/>
        </w:rPr>
        <w:t>Act de punere în aplicare al Consiliului</w:t>
      </w:r>
    </w:p>
    <w:p>
      <w:pPr>
        <w:rPr>
          <w:noProof/>
        </w:rPr>
      </w:pPr>
      <w:r>
        <w:rPr>
          <w:noProof/>
          <w:highlight w:val="lightGray"/>
        </w:rPr>
        <w:t>Pe baza unei propuneri din partea Comisiei, Consiliul adoptă, în termen de 5 ani de la data intrării în vigoare a prezentei directive, un act de punere în aplicare prin care stabilește criteriile aplicabile pentru cerințele prevăzute în partea II punctul D subpunctul 2 literele (a) și (b) din anexa IV.</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2018/822 articolul 1 punctul 7</w:t>
      </w:r>
    </w:p>
    <w:p>
      <w:pPr>
        <w:pStyle w:val="Titrearticle"/>
        <w:rPr>
          <w:noProof/>
        </w:rPr>
      </w:pPr>
      <w:r>
        <w:rPr>
          <w:noProof/>
        </w:rPr>
        <w:t xml:space="preserve">Articolul </w:t>
      </w:r>
      <w:r>
        <w:rPr>
          <w:rStyle w:val="CRMinorChangeAdded"/>
          <w:noProof/>
        </w:rPr>
        <w:t>53</w:t>
      </w:r>
      <w:r>
        <w:rPr>
          <w:rStyle w:val="CRMinorChangeDeleted"/>
          <w:noProof/>
        </w:rPr>
        <w:t>27</w:t>
      </w:r>
    </w:p>
    <w:p>
      <w:pPr>
        <w:pStyle w:val="NormalCentered"/>
        <w:rPr>
          <w:b/>
          <w:noProof/>
        </w:rPr>
      </w:pPr>
      <w:r>
        <w:rPr>
          <w:b/>
          <w:noProof/>
        </w:rPr>
        <w:t>Raportare</w:t>
      </w:r>
    </w:p>
    <w:p>
      <w:pPr>
        <w:rPr>
          <w:noProof/>
        </w:rPr>
      </w:pPr>
      <w:r>
        <w:rPr>
          <w:rStyle w:val="CRMinorChangeDeleted"/>
          <w:noProof/>
        </w:rPr>
        <w:t>(1)</w:t>
      </w:r>
      <w:r>
        <w:rPr>
          <w:noProof/>
        </w:rPr>
        <w:tab/>
        <w:t>La fiecare cinci ani după data de 1 ianuarie 2013, Comisia prezintă Parlamentului European și Consiliului un raport privind aplicarea prezentei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2020/876 articolul 1 (adaptat)</w:t>
      </w:r>
    </w:p>
    <w:p>
      <w:pPr>
        <w:pStyle w:val="Titrearticle"/>
        <w:rPr>
          <w:noProof/>
        </w:rPr>
      </w:pPr>
      <w:r>
        <w:rPr>
          <w:rStyle w:val="CRDeleted"/>
          <w:noProof/>
        </w:rPr>
        <w:t>Articolul 27a</w:t>
      </w:r>
    </w:p>
    <w:p>
      <w:pPr>
        <w:pStyle w:val="NormalCentered"/>
        <w:rPr>
          <w:b/>
          <w:bCs/>
          <w:noProof/>
        </w:rPr>
      </w:pPr>
      <w:r>
        <w:rPr>
          <w:rStyle w:val="CRDeleted"/>
          <w:b/>
          <w:noProof/>
        </w:rPr>
        <w:t>Amânarea opțională a termenelor din cauza pandemiei de COVID‐19</w:t>
      </w:r>
    </w:p>
    <w:p>
      <w:pPr>
        <w:rPr>
          <w:noProof/>
        </w:rPr>
      </w:pPr>
      <w:r>
        <w:rPr>
          <w:rStyle w:val="CRDeleted"/>
          <w:noProof/>
        </w:rPr>
        <w:t>(1)</w:t>
      </w:r>
      <w:r>
        <w:rPr>
          <w:noProof/>
        </w:rPr>
        <w:tab/>
      </w:r>
      <w:r>
        <w:rPr>
          <w:rStyle w:val="CRDeleted"/>
          <w:noProof/>
        </w:rPr>
        <w:t>În pofida termenelor de depunere a informațiilor prevăzute la articolul 8ab alineatul (12), statele membre pot adopta măsurile necesare pentru a permite intermediarilor și contribuabililor relevanți să depună, până la 28 februarie 2021, informații cu privire la modalitățile transfrontaliere care fac obiectul raportării, cu privire la care primul pas în procesul de implementare a fost făcut între 25 iunie 2018 și 30 iunie 2020.</w:t>
      </w:r>
    </w:p>
    <w:p>
      <w:pPr>
        <w:rPr>
          <w:noProof/>
        </w:rPr>
      </w:pPr>
      <w:r>
        <w:rPr>
          <w:rStyle w:val="CRDeleted"/>
          <w:noProof/>
        </w:rPr>
        <w:t>(2)</w:t>
      </w:r>
      <w:r>
        <w:rPr>
          <w:noProof/>
        </w:rPr>
        <w:tab/>
      </w:r>
      <w:r>
        <w:rPr>
          <w:rStyle w:val="CRDeleted"/>
          <w:noProof/>
        </w:rPr>
        <w:t>În cazul în care statele membre adoptă măsurile menționate la alineatul (1), acestea adoptă, de asemenea, măsurile necesare pentru a permite ca</w:t>
      </w:r>
      <w:r>
        <w:rPr>
          <w:noProof/>
        </w:rPr>
        <w:t>:</w:t>
      </w:r>
    </w:p>
    <w:p>
      <w:pPr>
        <w:pStyle w:val="Point0"/>
        <w:rPr>
          <w:noProof/>
        </w:rPr>
      </w:pPr>
      <w:r>
        <w:rPr>
          <w:noProof/>
        </w:rPr>
        <w:tab/>
      </w:r>
      <w:r>
        <w:rPr>
          <w:rStyle w:val="CRDeleted"/>
          <w:noProof/>
        </w:rPr>
        <w:t>(a)</w:t>
      </w:r>
      <w:r>
        <w:rPr>
          <w:noProof/>
        </w:rPr>
        <w:tab/>
      </w:r>
      <w:r>
        <w:rPr>
          <w:rStyle w:val="CRDeleted"/>
          <w:noProof/>
        </w:rPr>
        <w:t>în pofida articolului 8ab alineatul (18), primele informații să fie comunicate până la 30 aprilie 2021;</w:t>
      </w:r>
    </w:p>
    <w:p>
      <w:pPr>
        <w:pStyle w:val="Point0"/>
        <w:rPr>
          <w:noProof/>
        </w:rPr>
      </w:pPr>
      <w:r>
        <w:rPr>
          <w:noProof/>
        </w:rPr>
        <w:tab/>
      </w:r>
      <w:r>
        <w:rPr>
          <w:rStyle w:val="CRDeleted"/>
          <w:noProof/>
        </w:rPr>
        <w:t>(b)</w:t>
      </w:r>
      <w:r>
        <w:rPr>
          <w:noProof/>
        </w:rPr>
        <w:tab/>
      </w:r>
      <w:r>
        <w:rPr>
          <w:rStyle w:val="CRDeleted"/>
          <w:noProof/>
        </w:rPr>
        <w:t>perioada de 30 de zile pentru depunerea informațiilor menționată la articolul 8ab alineatele (1) și (7) să înceapă cel târziu la 1 ianuarie 2021, în cazul în care:</w:t>
      </w:r>
    </w:p>
    <w:p>
      <w:pPr>
        <w:pStyle w:val="Point1"/>
        <w:rPr>
          <w:noProof/>
        </w:rPr>
      </w:pPr>
      <w:r>
        <w:rPr>
          <w:noProof/>
        </w:rPr>
        <w:tab/>
      </w:r>
      <w:r>
        <w:rPr>
          <w:rStyle w:val="CRDeleted"/>
          <w:noProof/>
        </w:rPr>
        <w:t>(i)</w:t>
      </w:r>
      <w:r>
        <w:rPr>
          <w:noProof/>
        </w:rPr>
        <w:tab/>
      </w:r>
      <w:r>
        <w:rPr>
          <w:rStyle w:val="CRDeleted"/>
          <w:noProof/>
        </w:rPr>
        <w:t>o modalitate transfrontalieră care face obiectul raportării este pusă la dispoziție în vederea implementării sau este pregătită pentru implementare, sau în cazul în care primul pas în procesul de implementare a acesteia este făcut între 1 iulie 2020 și 31 decembrie 2020; sau</w:t>
      </w:r>
    </w:p>
    <w:p>
      <w:pPr>
        <w:pStyle w:val="Point1"/>
        <w:rPr>
          <w:noProof/>
        </w:rPr>
      </w:pPr>
      <w:r>
        <w:rPr>
          <w:noProof/>
        </w:rPr>
        <w:tab/>
      </w:r>
      <w:r>
        <w:rPr>
          <w:rStyle w:val="CRDeleted"/>
          <w:noProof/>
        </w:rPr>
        <w:t>(ii)</w:t>
      </w:r>
      <w:r>
        <w:rPr>
          <w:noProof/>
        </w:rPr>
        <w:tab/>
      </w:r>
      <w:r>
        <w:rPr>
          <w:rStyle w:val="CRDeleted"/>
          <w:noProof/>
        </w:rPr>
        <w:t>intermediarii, în înțelesul articolului 3 punctul 21 al doilea paragraf, furnizează direct sau prin intermediul altor persoane ajutor, asistență sau consiliere în perioada 1 iulie 2020-31 decembrie 2020;</w:t>
      </w:r>
    </w:p>
    <w:p>
      <w:pPr>
        <w:pStyle w:val="Point0"/>
        <w:rPr>
          <w:noProof/>
        </w:rPr>
      </w:pPr>
      <w:r>
        <w:rPr>
          <w:noProof/>
        </w:rPr>
        <w:tab/>
      </w:r>
      <w:r>
        <w:rPr>
          <w:rStyle w:val="CRDeleted"/>
          <w:noProof/>
        </w:rPr>
        <w:t>(c)</w:t>
      </w:r>
      <w:r>
        <w:rPr>
          <w:noProof/>
        </w:rPr>
        <w:tab/>
      </w:r>
      <w:r>
        <w:rPr>
          <w:rStyle w:val="CRDeleted"/>
          <w:noProof/>
        </w:rPr>
        <w:t>în cazul modalităților comercializabile, intermediarul să întocmească primul raport periodic în conformitate cu articolul 8ab alineatul (2) până la 30 aprilie 2021.</w:t>
      </w:r>
    </w:p>
    <w:p>
      <w:pPr>
        <w:rPr>
          <w:noProof/>
        </w:rPr>
      </w:pPr>
      <w:r>
        <w:rPr>
          <w:rStyle w:val="CRDeleted"/>
          <w:noProof/>
        </w:rPr>
        <w:lastRenderedPageBreak/>
        <w:t>(3)</w:t>
      </w:r>
      <w:r>
        <w:rPr>
          <w:noProof/>
        </w:rPr>
        <w:tab/>
      </w:r>
      <w:r>
        <w:rPr>
          <w:rStyle w:val="CRDeleted"/>
          <w:noProof/>
        </w:rPr>
        <w:t>În pofida termenului prevăzut la articolul 8 alineatul (6) litera (b), statele membre pot adopta măsurile necesare astfel încât comunicarea informațiilor menționată la articolul 8 alineatul (3a) care se referă la anul calendaristic 2019 sau la o altă perioadă de raportare corespunzătoare să aibă loc în termen de 12 luni de la sfârșitul anului calendaristic 2019 sau al celeilalte perioade de raportare corespunzătoare.</w:t>
      </w:r>
    </w:p>
    <w:p>
      <w:pPr>
        <w:pStyle w:val="Titrearticle"/>
        <w:rPr>
          <w:noProof/>
        </w:rPr>
      </w:pPr>
      <w:r>
        <w:rPr>
          <w:rStyle w:val="CRDeleted"/>
          <w:noProof/>
        </w:rPr>
        <w:t>Articolul 27b</w:t>
      </w:r>
    </w:p>
    <w:p>
      <w:pPr>
        <w:pStyle w:val="NormalCentered"/>
        <w:rPr>
          <w:b/>
          <w:bCs/>
          <w:noProof/>
        </w:rPr>
      </w:pPr>
      <w:r>
        <w:rPr>
          <w:rStyle w:val="CRDeleted"/>
          <w:b/>
          <w:noProof/>
        </w:rPr>
        <w:t>Prelungirea perioadei de amânare</w:t>
      </w:r>
    </w:p>
    <w:p>
      <w:pPr>
        <w:rPr>
          <w:noProof/>
        </w:rPr>
      </w:pPr>
      <w:r>
        <w:rPr>
          <w:rStyle w:val="CRDeleted"/>
          <w:noProof/>
        </w:rPr>
        <w:t>(1)</w:t>
      </w:r>
      <w:r>
        <w:rPr>
          <w:noProof/>
        </w:rPr>
        <w:tab/>
      </w:r>
      <w:r>
        <w:rPr>
          <w:rStyle w:val="CRDeleted"/>
          <w:noProof/>
        </w:rPr>
        <w:t>Consiliul, hotărând în unanimitate la propunerea Comisiei, poate adopta o decizie de punere în aplicare pentru a prelungi perioada de amânare a termenelor prevăzute la articolul 27a cu trei luni, cu condiția ca riscurile grave pentru sănătatea publică, obstacolele și perturbarea economică cauzate de pandemia de COVID‐19 să persiste și ca statele membre să aplice măsuri de limitare a mișcării persoanelor.</w:t>
      </w:r>
    </w:p>
    <w:p>
      <w:pPr>
        <w:rPr>
          <w:noProof/>
        </w:rPr>
      </w:pPr>
      <w:r>
        <w:rPr>
          <w:rStyle w:val="CRDeleted"/>
          <w:noProof/>
        </w:rPr>
        <w:t>(2)</w:t>
      </w:r>
      <w:r>
        <w:rPr>
          <w:noProof/>
        </w:rPr>
        <w:tab/>
      </w:r>
      <w:r>
        <w:rPr>
          <w:rStyle w:val="CRDeleted"/>
          <w:noProof/>
        </w:rPr>
        <w:t>Propunerea de decizie de punere în aplicare a Consiliului este înaintată Consiliului cu cel puțin o lună înainte de expirarea termenelor relevante.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articolul 1 punctul 10 (adaptat)</w:t>
      </w:r>
    </w:p>
    <w:p>
      <w:pPr>
        <w:pStyle w:val="Titrearticle"/>
        <w:rPr>
          <w:noProof/>
        </w:rPr>
      </w:pPr>
      <w:r>
        <w:rPr>
          <w:noProof/>
        </w:rPr>
        <w:t xml:space="preserve">Articolul </w:t>
      </w:r>
      <w:r>
        <w:rPr>
          <w:rStyle w:val="CRMinorChangeAdded"/>
          <w:noProof/>
        </w:rPr>
        <w:t>54</w:t>
      </w:r>
      <w:r>
        <w:rPr>
          <w:rStyle w:val="CRMinorChangeDeleted"/>
          <w:noProof/>
        </w:rPr>
        <w:t>27d</w:t>
      </w:r>
    </w:p>
    <w:p>
      <w:pPr>
        <w:pStyle w:val="NormalCentered"/>
        <w:rPr>
          <w:b/>
          <w:bCs/>
          <w:noProof/>
        </w:rPr>
      </w:pPr>
      <w:r>
        <w:rPr>
          <w:b/>
          <w:noProof/>
        </w:rPr>
        <w:t>Primul An fiscal de raportare și comunicarea de informații în temeiul articolului </w:t>
      </w:r>
      <w:r>
        <w:rPr>
          <w:rStyle w:val="CRMinorChangeAdded"/>
          <w:b/>
          <w:noProof/>
        </w:rPr>
        <w:t>15</w:t>
      </w:r>
      <w:r>
        <w:rPr>
          <w:noProof/>
        </w:rPr>
        <w:t xml:space="preserve"> </w:t>
      </w:r>
      <w:r>
        <w:rPr>
          <w:rStyle w:val="CRDeleted"/>
          <w:b/>
          <w:noProof/>
        </w:rPr>
        <w:t>8ae</w:t>
      </w:r>
      <w:r>
        <w:rPr>
          <w:b/>
          <w:noProof/>
        </w:rPr>
        <w:t>, efectuat</w:t>
      </w:r>
      <w:r>
        <w:rPr>
          <w:rStyle w:val="CRMinorChangeAdded"/>
          <w:b/>
          <w:noProof/>
        </w:rPr>
        <w:t>ă</w:t>
      </w:r>
      <w:r>
        <w:rPr>
          <w:b/>
          <w:noProof/>
        </w:rPr>
        <w:t xml:space="preserve"> pentru prima dată</w:t>
      </w:r>
    </w:p>
    <w:p>
      <w:pPr>
        <w:rPr>
          <w:noProof/>
        </w:rPr>
      </w:pPr>
      <w:r>
        <w:rPr>
          <w:rStyle w:val="CRDeleted"/>
          <w:noProof/>
        </w:rPr>
        <w:t>(1)</w:t>
      </w:r>
      <w:r>
        <w:rPr>
          <w:noProof/>
        </w:rPr>
        <w:tab/>
      </w:r>
      <w:r>
        <w:rPr>
          <w:rStyle w:val="CRDeleted"/>
          <w:noProof/>
        </w:rPr>
        <w:t>Primul An fiscal de raportare pentru care se comunică informații în temeiul articolului 8ae este primul an fiscal care începe de la 31 decembrie 2023.</w:t>
      </w:r>
    </w:p>
    <w:p>
      <w:pPr>
        <w:rPr>
          <w:noProof/>
        </w:rPr>
      </w:pPr>
      <w:r>
        <w:rPr>
          <w:rStyle w:val="CRMinorChangeAdded"/>
          <w:noProof/>
        </w:rPr>
        <w:t>(1)</w:t>
      </w:r>
      <w:r>
        <w:rPr>
          <w:rStyle w:val="CRMinorChangeDeleted"/>
          <w:noProof/>
        </w:rPr>
        <w:t>(2)</w:t>
      </w:r>
      <w:r>
        <w:rPr>
          <w:noProof/>
        </w:rPr>
        <w:tab/>
        <w:t xml:space="preserve">Pentru statele membre care au optat să nu aplice IIR și UTPR în temeiul articolului 50 alineatul (1) din Directiva (UE) 2022/2523, primul An fiscal de raportare pentru care se comunică informații în temeiul articolului </w:t>
      </w:r>
      <w:r>
        <w:rPr>
          <w:rStyle w:val="CRMinorChangeAdded"/>
          <w:noProof/>
        </w:rPr>
        <w:t>15</w:t>
      </w:r>
      <w:r>
        <w:rPr>
          <w:rStyle w:val="CRMinorChangeDeleted"/>
          <w:noProof/>
        </w:rPr>
        <w:t>8ae</w:t>
      </w:r>
      <w:r>
        <w:rPr>
          <w:noProof/>
        </w:rPr>
        <w:t xml:space="preserve"> este primul an fiscal de după încheierea perioadei unei astfel de opțiuni.</w:t>
      </w:r>
    </w:p>
    <w:p>
      <w:pPr>
        <w:rPr>
          <w:noProof/>
        </w:rPr>
      </w:pPr>
      <w:r>
        <w:rPr>
          <w:noProof/>
        </w:rPr>
        <w:t>Prin excepție de la primul paragraf de la prezentul alineat, pentru statele membre care au optat să nu aplice IIR și UTPR în temeiul articolului 50 alineatul (1) din Directiva (UE) 2022/2523 și care au optat să aplice un impozit suplimentar național calificat în temeiul articolului 11 alineatul (1) din directiva respectivă, primul An fiscal de raportare pentru care se comunică informații în temeiul articolului </w:t>
      </w:r>
      <w:r>
        <w:rPr>
          <w:rStyle w:val="CRMinorChangeAdded"/>
          <w:noProof/>
        </w:rPr>
        <w:t>15</w:t>
      </w:r>
      <w:r>
        <w:rPr>
          <w:rStyle w:val="CRMinorChangeDeleted"/>
          <w:noProof/>
        </w:rPr>
        <w:t>8ae</w:t>
      </w:r>
      <w:r>
        <w:rPr>
          <w:noProof/>
        </w:rPr>
        <w:t xml:space="preserve"> este primul an fiscal în care se aplică impozitul suplimentar național calificat.</w:t>
      </w:r>
    </w:p>
    <w:p>
      <w:pPr>
        <w:rPr>
          <w:noProof/>
        </w:rPr>
      </w:pPr>
      <w:r>
        <w:rPr>
          <w:rStyle w:val="CRMinorChangeAdded"/>
          <w:noProof/>
        </w:rPr>
        <w:t>(2)</w:t>
      </w:r>
      <w:r>
        <w:rPr>
          <w:rStyle w:val="CRMinorChangeDeleted"/>
          <w:noProof/>
        </w:rPr>
        <w:t>(3)</w:t>
      </w:r>
      <w:r>
        <w:rPr>
          <w:noProof/>
        </w:rPr>
        <w:tab/>
        <w:t>Autoritatea competentă a statului membru comunică informațiile în temeiul articolului </w:t>
      </w:r>
      <w:r>
        <w:rPr>
          <w:rStyle w:val="CRMinorChangeAdded"/>
          <w:noProof/>
        </w:rPr>
        <w:t>15</w:t>
      </w:r>
      <w:r>
        <w:rPr>
          <w:rStyle w:val="CRMinorChangeDeleted"/>
          <w:noProof/>
        </w:rPr>
        <w:t>8ae</w:t>
      </w:r>
      <w:r>
        <w:rPr>
          <w:noProof/>
        </w:rPr>
        <w:t xml:space="preserve"> cu privire la primul An fiscal de raportare la cel mult șase luni de la termenul de depunere.</w:t>
      </w:r>
    </w:p>
    <w:p>
      <w:pPr>
        <w:rPr>
          <w:rStyle w:val="CRDeleted"/>
          <w:noProof/>
        </w:rPr>
      </w:pPr>
      <w:r>
        <w:rPr>
          <w:rStyle w:val="CRDeleted"/>
          <w:noProof/>
        </w:rPr>
        <w:t>(4)</w:t>
      </w:r>
      <w:r>
        <w:rPr>
          <w:noProof/>
        </w:rPr>
        <w:tab/>
      </w:r>
      <w:r>
        <w:rPr>
          <w:rStyle w:val="CRDeleted"/>
          <w:noProof/>
        </w:rPr>
        <w:t>În orice caz, statele membre comunică informațiile prevăzute la articolul 8ae pentru prima dată cel mai devreme la 1 decembrie 2026.</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w:t>
      </w:r>
    </w:p>
    <w:p>
      <w:pPr>
        <w:pStyle w:val="Titrearticle"/>
        <w:rPr>
          <w:rStyle w:val="CRRefonteDeleted"/>
          <w:noProof/>
          <w:highlight w:val="lightGray"/>
        </w:rPr>
      </w:pPr>
      <w:r>
        <w:rPr>
          <w:rStyle w:val="CRRefonteDeleted"/>
          <w:noProof/>
          <w:highlight w:val="lightGray"/>
        </w:rPr>
        <w:t>Articolul 28</w:t>
      </w:r>
    </w:p>
    <w:p>
      <w:pPr>
        <w:pStyle w:val="NormalCentered"/>
        <w:keepNext/>
        <w:rPr>
          <w:rStyle w:val="CRRefonteDeleted"/>
          <w:noProof/>
          <w:highlight w:val="lightGray"/>
        </w:rPr>
      </w:pPr>
      <w:r>
        <w:rPr>
          <w:rStyle w:val="CRRefonteDeleted"/>
          <w:b/>
          <w:noProof/>
          <w:highlight w:val="lightGray"/>
        </w:rPr>
        <w:t>Abrogarea Directivei 77/799/CEE</w:t>
      </w:r>
    </w:p>
    <w:p>
      <w:pPr>
        <w:keepNext/>
        <w:rPr>
          <w:rStyle w:val="CRRefonteDeleted"/>
          <w:noProof/>
          <w:highlight w:val="lightGray"/>
        </w:rPr>
      </w:pPr>
      <w:r>
        <w:rPr>
          <w:rStyle w:val="CRRefonteDeleted"/>
          <w:noProof/>
          <w:highlight w:val="lightGray"/>
        </w:rPr>
        <w:t>Directiva 77/799/CEE se abrogă de la 1 ianuarie 2013.</w:t>
      </w:r>
    </w:p>
    <w:p>
      <w:pPr>
        <w:keepNext/>
        <w:rPr>
          <w:rStyle w:val="CRRefonteDeleted"/>
          <w:noProof/>
          <w:highlight w:val="lightGray"/>
        </w:rPr>
      </w:pPr>
      <w:r>
        <w:rPr>
          <w:rStyle w:val="CRRefonteDeleted"/>
          <w:noProof/>
          <w:highlight w:val="lightGray"/>
        </w:rPr>
        <w:t>Trimiterile la directiva abrogată se interpretează ca trimiteri la prezenta directivă.</w:t>
      </w:r>
    </w:p>
    <w:p>
      <w:pPr>
        <w:pStyle w:val="Titrearticle"/>
        <w:rPr>
          <w:noProof/>
        </w:rPr>
      </w:pPr>
      <w:r>
        <w:rPr>
          <w:noProof/>
        </w:rPr>
        <w:t xml:space="preserve">Articolul </w:t>
      </w:r>
      <w:r>
        <w:rPr>
          <w:rStyle w:val="CRMinorChangeAdded"/>
          <w:noProof/>
        </w:rPr>
        <w:t>55</w:t>
      </w:r>
      <w:r>
        <w:rPr>
          <w:rStyle w:val="CRMinorChangeDeleted"/>
          <w:noProof/>
        </w:rPr>
        <w:t>29</w:t>
      </w:r>
    </w:p>
    <w:p>
      <w:pPr>
        <w:pStyle w:val="NormalCentered"/>
        <w:rPr>
          <w:b/>
          <w:noProof/>
        </w:rPr>
      </w:pPr>
      <w:r>
        <w:rPr>
          <w:b/>
          <w:noProof/>
        </w:rPr>
        <w:t>Transpunere</w:t>
      </w:r>
    </w:p>
    <w:p>
      <w:pPr>
        <w:rPr>
          <w:rStyle w:val="CRRefonteDeleted"/>
          <w:noProof/>
          <w:highlight w:val="lightGray"/>
        </w:rPr>
      </w:pPr>
      <w:r>
        <w:rPr>
          <w:rStyle w:val="CRRefonteDeleted"/>
          <w:noProof/>
          <w:highlight w:val="lightGray"/>
        </w:rPr>
        <w:t>(1)</w:t>
      </w:r>
      <w:r>
        <w:rPr>
          <w:noProof/>
        </w:rPr>
        <w:tab/>
      </w:r>
      <w:r>
        <w:rPr>
          <w:rStyle w:val="CRRefonteDeleted"/>
          <w:noProof/>
          <w:highlight w:val="lightGray"/>
        </w:rPr>
        <w:t>Statele membre pun în aplicare actele cu putere de lege și dispozițiile administrative necesare respectării prezentei directive de la 1 ianuarie 2013.</w:t>
      </w:r>
    </w:p>
    <w:p>
      <w:pPr>
        <w:rPr>
          <w:rStyle w:val="CRRefonteDeleted"/>
          <w:noProof/>
          <w:highlight w:val="lightGray"/>
        </w:rPr>
      </w:pPr>
      <w:r>
        <w:rPr>
          <w:rStyle w:val="CRRefonteDeleted"/>
          <w:noProof/>
          <w:highlight w:val="lightGray"/>
        </w:rPr>
        <w:t>Totuși, acestea pun în aplicare actele cu putere de lege și dispozițiile administrative necesare respectării articolului 8 al prezentei directive de la 1 ianuarie 2015.</w:t>
      </w:r>
    </w:p>
    <w:p>
      <w:pPr>
        <w:spacing w:after="240"/>
        <w:rPr>
          <w:noProof/>
          <w:highlight w:val="lightGray"/>
        </w:rPr>
      </w:pPr>
      <w:r>
        <w:rPr>
          <w:rStyle w:val="CRRefonteDeleted"/>
          <w:noProof/>
          <w:highlight w:val="lightGray"/>
        </w:rPr>
        <w:t>Acestea informează de îndată Comisia cu privire la aceasta.</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rPr>
          <w:noProof/>
          <w:highlight w:val="lightGray"/>
        </w:rPr>
      </w:pPr>
      <w:r>
        <w:rPr>
          <w:noProof/>
          <w:highlight w:val="lightGray"/>
        </w:rPr>
        <w:t>(1)</w:t>
      </w:r>
      <w:r>
        <w:rPr>
          <w:noProof/>
        </w:rPr>
        <w:tab/>
      </w:r>
      <w:r>
        <w:rPr>
          <w:noProof/>
          <w:highlight w:val="lightGray"/>
        </w:rPr>
        <w:t>Statele membre adoptă și publică, până la [31 decembrie 2027], actele cu putere de lege și dispozițiile administrative necesare pentru a se conforma articolului 3 punctele 19, 23 și 30, articolului 8 alineatele (1), (4)-(7), (13) și (16), articolelor 7 și 15, precum și anexei IV și secțiunii I din anexa V. Statele membre comunică de îndată Comisiei textul măsurilor respective.</w:t>
      </w:r>
    </w:p>
    <w:p>
      <w:pPr>
        <w:rPr>
          <w:noProof/>
          <w:highlight w:val="lightGray"/>
        </w:rPr>
      </w:pPr>
      <w:r>
        <w:rPr>
          <w:noProof/>
          <w:highlight w:val="lightGray"/>
        </w:rPr>
        <w:t>Statele membre aplică dispozițiile respective de la [1 ianuarie 2028].</w:t>
      </w:r>
    </w:p>
    <w:p>
      <w:pPr>
        <w:rPr>
          <w:noProof/>
          <w:highlight w:val="lightGray"/>
        </w:rPr>
      </w:pPr>
      <w:r>
        <w:rPr>
          <w:noProof/>
          <w:highlight w:val="lightGray"/>
        </w:rPr>
        <w:t>(2)</w:t>
      </w:r>
      <w:r>
        <w:rPr>
          <w:noProof/>
        </w:rPr>
        <w:tab/>
      </w:r>
      <w:r>
        <w:rPr>
          <w:noProof/>
          <w:highlight w:val="lightGray"/>
        </w:rPr>
        <w:t>Statele membre adoptă și publică, până la [31 decembrie 2029], actele cu putere de lege și dispozițiile administrative necesare pentru a se conforma articolului 1 alineatele (1), (3) și (4), articolului 3 punctele 3, 10, 13, 14, 22, 26, 27, 30, articolului 4 alineatele (1) și (3), articolului 5 alineatul (3), articolului 6 alineatul (2), articolului 7 alineatele (1), (3) și (4), articolului 9, articolului 10 alineatul (3), articolului 11 alineatul (2), articolului 12 alineatele (1) și (5), articolului 15 alineatele (1), (3) și (4), articolului 16, articolului 17, articolului 20 alineatele (1) și (3), articolului 23 alineatul (2), articolului 25 alineatul (5), articolului 28 alineatul (2), articolului 30 alineatele (1) și (6), articolului 34, articolului 35 alineatul (1), articolului 36, articolului 38, articolului 39, articolului 40 alineatele (2) și (4), articolului 41 alineatele (1) și (3), articolului 42 alineatele (1) și (3), articolului 43 alineatele (1) și (2), articolului 44, articolului 46, articolului 38 alineatul (3), articolului 49 alineatul (2) și articolului 52, precum și secțiunii VIII din anexa I, anexei V, secțiunilor III și V din anexa VI. Statele membre comunică de îndată Comisiei textul dispozițiilor respective.</w:t>
      </w:r>
    </w:p>
    <w:p>
      <w:pPr>
        <w:rPr>
          <w:rStyle w:val="CRMinorChangeAdded"/>
          <w:noProof/>
          <w:highlight w:val="lightGray"/>
        </w:rPr>
      </w:pPr>
      <w:r>
        <w:rPr>
          <w:noProof/>
          <w:highlight w:val="lightGray"/>
        </w:rPr>
        <w:t>Statele membre aplică dispozițiile respective de la [1 ianuarie 2030].</w:t>
      </w:r>
    </w:p>
    <w:p>
      <w:pPr>
        <w:pStyle w:val="CRSeparator"/>
        <w:rPr>
          <w:rStyle w:val="CRMinorChangeAdded"/>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(UE) 2025/872 articolul 1 punctul 10 </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r>
        <w:rPr>
          <w:rStyle w:val="CRMinorChangeAdded"/>
          <w:noProof/>
        </w:rPr>
        <w:t>(3)</w:t>
      </w:r>
      <w:r>
        <w:rPr>
          <w:rStyle w:val="CRMinorChangeDeleted"/>
          <w:noProof/>
        </w:rPr>
        <w:t>(1)</w:t>
      </w:r>
      <w:r>
        <w:rPr>
          <w:noProof/>
        </w:rPr>
        <w:tab/>
        <w:t xml:space="preserve">Atunci când statele membre adoptă dispozițiile respective, acestea conțin o trimitere la prezenta directivă. </w:t>
      </w:r>
      <w:r>
        <w:rPr>
          <w:rStyle w:val="CRRefonteDeleted"/>
          <w:noProof/>
          <w:highlight w:val="lightGray"/>
        </w:rPr>
        <w:t>sau sunt însoțite de o asemenea trimitere la data publicării lor oficiale. Statele membre prevăd metodele de efectuare a unei astfel de trimiteri</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Acestea conțin, de asemenea, o mențiune care precizează că trimiterile, în acte cu putere de lege și acte administrative în vigoare, la directiva abrogată prin prezenta directivă se interpretează ca trimiteri la prezenta directivă. Statele membre stabilesc modalitatea de efectuare a unei astfel de trimiteri și de formulare a acestei mențiuni.</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articolul 1 punctul 10</w:t>
      </w:r>
    </w:p>
    <w:p>
      <w:pPr>
        <w:rPr>
          <w:noProof/>
        </w:rPr>
      </w:pPr>
      <w:r>
        <w:rPr>
          <w:rStyle w:val="CRMinorChangeAdded"/>
          <w:noProof/>
        </w:rPr>
        <w:t>(4)</w:t>
      </w:r>
      <w:r>
        <w:rPr>
          <w:rStyle w:val="CRMinorChangeDeleted"/>
          <w:noProof/>
        </w:rPr>
        <w:t>(2)</w:t>
      </w:r>
      <w:r>
        <w:rPr>
          <w:noProof/>
        </w:rPr>
        <w:tab/>
        <w:t>Comisiei îi sunt comunicate de către statele membre textele principalelor dispoziții de drept intern pe care le adoptă în domeniul reglementat de prezenta directivă.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2011/16/UE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Titrearticle"/>
        <w:rPr>
          <w:noProof/>
        </w:rPr>
      </w:pPr>
      <w:r>
        <w:rPr>
          <w:noProof/>
        </w:rPr>
        <w:t xml:space="preserve">Articolul </w:t>
      </w:r>
      <w:r>
        <w:rPr>
          <w:rStyle w:val="CRMinorChangeAdded"/>
          <w:noProof/>
        </w:rPr>
        <w:t>56</w:t>
      </w:r>
      <w:r>
        <w:rPr>
          <w:rStyle w:val="CRMinorChangeDeleted"/>
          <w:noProof/>
        </w:rPr>
        <w:t>28</w:t>
      </w:r>
    </w:p>
    <w:p>
      <w:pPr>
        <w:pStyle w:val="NormalCentered"/>
        <w:rPr>
          <w:b/>
          <w:noProof/>
        </w:rPr>
      </w:pPr>
      <w:r>
        <w:rPr>
          <w:b/>
          <w:noProof/>
        </w:rPr>
        <w:t xml:space="preserve">Abrogarea </w:t>
      </w:r>
      <w:r>
        <w:rPr>
          <w:rStyle w:val="CRDeleted"/>
          <w:b/>
          <w:noProof/>
        </w:rPr>
        <w:t>Directivei 77/799/CEE</w:t>
      </w:r>
    </w:p>
    <w:p>
      <w:pPr>
        <w:rPr>
          <w:noProof/>
        </w:rPr>
      </w:pPr>
      <w:r>
        <w:rPr>
          <w:noProof/>
        </w:rPr>
        <w:t xml:space="preserve">Directiva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2011/16/UE, astfel cum a fost modificată prin directivele menționate în anexa VIII partea 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77/799/CEE</w:t>
      </w:r>
      <w:r>
        <w:rPr>
          <w:noProof/>
        </w:rPr>
        <w:t xml:space="preserve"> se abrogă de la </w:t>
      </w:r>
      <w:r>
        <w:rPr>
          <w:rStyle w:val="CRDeleted"/>
          <w:noProof/>
        </w:rPr>
        <w:t>1 ianuarie 2013</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1 ianuarie 2030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 fără a aduce atingere obligațiilor statelor membre în ceea ce privește termenele de transpunere în dreptul intern și datele de aplicare a directivelor menționate în anexa VIII partea B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rPr>
          <w:noProof/>
        </w:rPr>
      </w:pPr>
      <w:r>
        <w:rPr>
          <w:noProof/>
        </w:rPr>
        <w:t xml:space="preserve">Trimiterile la directiva abrogată se interpretează ca trimiteri la prezenta directivă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și se citesc în conformitate cu tabelul de corespondență din anexa IX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pStyle w:val="Titrearticle"/>
        <w:rPr>
          <w:noProof/>
        </w:rPr>
      </w:pPr>
      <w:r>
        <w:rPr>
          <w:noProof/>
        </w:rPr>
        <w:t xml:space="preserve">Articolul </w:t>
      </w:r>
      <w:r>
        <w:rPr>
          <w:rStyle w:val="CRMinorChangeAdded"/>
          <w:noProof/>
        </w:rPr>
        <w:t>57</w:t>
      </w:r>
      <w:r>
        <w:rPr>
          <w:rStyle w:val="CRMinorChangeDeleted"/>
          <w:noProof/>
        </w:rPr>
        <w:t>30</w:t>
      </w:r>
    </w:p>
    <w:p>
      <w:pPr>
        <w:pStyle w:val="NormalCentered"/>
        <w:rPr>
          <w:noProof/>
        </w:rPr>
      </w:pPr>
      <w:r>
        <w:rPr>
          <w:b/>
          <w:noProof/>
        </w:rPr>
        <w:t xml:space="preserve">Intrarea în vigoare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b/>
          <w:noProof/>
        </w:rPr>
        <w:t xml:space="preserve"> și aplicarea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rPr>
          <w:noProof/>
        </w:rPr>
      </w:pPr>
      <w:r>
        <w:rPr>
          <w:noProof/>
        </w:rPr>
        <w:t>(1)</w:t>
      </w:r>
      <w:r>
        <w:rPr>
          <w:noProof/>
        </w:rPr>
        <w:tab/>
        <w:t xml:space="preserve">Prezenta directivă intră în vigoare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a douăzecea zi</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la data publicării în Jurnalul Oficial al Uniunii Europene.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rPr>
          <w:noProof/>
          <w:highlight w:val="lightGray"/>
        </w:rPr>
      </w:pPr>
      <w:r>
        <w:rPr>
          <w:noProof/>
          <w:highlight w:val="lightGray"/>
        </w:rPr>
        <w:t>(2)</w:t>
      </w:r>
      <w:r>
        <w:rPr>
          <w:noProof/>
        </w:rPr>
        <w:tab/>
      </w:r>
      <w:r>
        <w:rPr>
          <w:noProof/>
          <w:highlight w:val="lightGray"/>
        </w:rPr>
        <w:t>Anexele III și VII se aplică din ziua următoare datei intrării în vigoare a prezentei directive.</w:t>
      </w:r>
    </w:p>
    <w:p>
      <w:pPr>
        <w:rPr>
          <w:noProof/>
        </w:rPr>
      </w:pPr>
      <w:r>
        <w:rPr>
          <w:noProof/>
          <w:highlight w:val="lightGray"/>
        </w:rPr>
        <w:t>(3)</w:t>
      </w:r>
      <w:r>
        <w:rPr>
          <w:noProof/>
        </w:rPr>
        <w:tab/>
      </w:r>
      <w:r>
        <w:rPr>
          <w:noProof/>
          <w:highlight w:val="lightGray"/>
        </w:rPr>
        <w:t xml:space="preserve">Articolul 1 alineatul (2), articolul 2, articolul 3 punctele 1-8, 11, 12, 15-18, 20, 21, 24 și 25, articolul 5 alineatele (1) și (2), articolul 6 alineatele (1), (3)-(8), articolul 7 alineatul (2), articolul 8 alineatele (2), (3), (8)-(12), (14) și (15), articolul 10 alineatele (1) și (2), articolul 11 alineatul (1), articolul 12 alineatele (2)-(4), articolul 13, articolul 14, articolul 15 alineatele (2) și (5), articolul 18, articolul 19, articolul 20 alineatele (2) și (4), articolul 21, articolul 22, articolul 23 alineatul (1), articolul 24, articolul 25 alineatele (1)-(4), articolul 26, articolul 27, articolul 28 alineatul (1), articolul 29, articolul 30 alineatele (2)-(5), articolul 31, articolul 32, </w:t>
      </w:r>
      <w:r>
        <w:rPr>
          <w:noProof/>
          <w:highlight w:val="lightGray"/>
        </w:rPr>
        <w:lastRenderedPageBreak/>
        <w:t>articolul 33, articolul 35 alineatul (2), articolul 37, articolul 40 alineatele (1), (3), (5) și (6), articolul 41 alineatul (2), articolul 42 alineatele (2) și (4), articolul 43 alineatul (3), articolul 45, articolul 47, articolul 48 alineatele (1), (2) și (4), articolul 49 alineatul (1), articolul 50, articolul 51, articolul 54, precum și anexa I secțiunile I-VII și IX, anexa II, anexa V secțiunile I, II și IV se aplică de la [1 ianuarie 2030].</w:t>
      </w:r>
    </w:p>
    <w:p>
      <w:pPr>
        <w:pStyle w:val="CRSeparator"/>
        <w:rPr>
          <w:noProof/>
          <w:lang w:eastAsia="en-GB"/>
        </w:rPr>
      </w:pPr>
    </w:p>
    <w:p>
      <w:pPr>
        <w:pStyle w:val="CRReference"/>
        <w:rPr>
          <w:noProof/>
          <w:highlight w:val="lightGray"/>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2025/872 articolul 2 (adaptat)</w:t>
      </w:r>
    </w:p>
    <w:p>
      <w:pPr>
        <w:rPr>
          <w:noProof/>
        </w:rPr>
      </w:pPr>
      <w:r>
        <w:rPr>
          <w:noProof/>
        </w:rPr>
        <w:t>(3)</w:t>
      </w:r>
      <w:r>
        <w:rPr>
          <w:noProof/>
        </w:rPr>
        <w:tab/>
      </w:r>
      <w:r>
        <w:rPr>
          <w:rStyle w:val="CRDeleted"/>
          <w:noProof/>
        </w:rPr>
        <w:t>Acestea</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Statele membre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aplică dispozițiile </w:t>
      </w:r>
      <w:r>
        <w:rPr>
          <w:rStyle w:val="CRDeleted"/>
          <w:noProof/>
        </w:rPr>
        <w:t>respective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menționate la articolul 2 alineatul (2) primul paragraf din Directiva 2025/872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din ziua următoare datei de încheiere a perioadei de opțiune </w:t>
      </w:r>
      <w:r>
        <w:rPr>
          <w:rStyle w:val="CRDeleted"/>
          <w:noProof/>
        </w:rPr>
        <w:t>respective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menționate la paragraful respectiv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rPr>
          <w:noProof/>
        </w:rPr>
      </w:pPr>
      <w:r>
        <w:rPr>
          <w:noProof/>
        </w:rPr>
        <w:t xml:space="preserve">Acestea aplică dispozițiile </w:t>
      </w:r>
      <w:r>
        <w:rPr>
          <w:rStyle w:val="CRDeleted"/>
          <w:noProof/>
        </w:rPr>
        <w:t>respective</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menționate la articolul 2 alineatul (2) al treilea paragraf din Directiva 2025/872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de la data de începere a primului An fiscal de raportare pentru care au optat să aplice un impozit suplimentar național calificat.</w:t>
      </w:r>
    </w:p>
    <w:p>
      <w:pPr>
        <w:rPr>
          <w:noProof/>
        </w:rPr>
      </w:pPr>
    </w:p>
    <w:p>
      <w:pPr>
        <w:pStyle w:val="CRSeparator"/>
        <w:rPr>
          <w:noProof/>
          <w:lang w:val="en-IE"/>
        </w:rPr>
      </w:pPr>
    </w:p>
    <w:p>
      <w:pPr>
        <w:pStyle w:val="CRReference"/>
        <w:rPr>
          <w:noProof/>
          <w:lang w:val="en-IE"/>
        </w:rPr>
      </w:pPr>
      <w:r>
        <w:rPr>
          <w:noProof/>
        </w:rPr>
        <w:fldChar w:fldCharType="begin"/>
      </w:r>
      <w:r>
        <w:rPr>
          <w:noProof/>
          <w:lang w:val="en-IE"/>
        </w:rPr>
        <w:instrText xml:space="preserve"> QUOTE "</w:instrText>
      </w:r>
      <w:r>
        <w:rPr>
          <w:rStyle w:val="CRMarker"/>
          <w:noProof/>
          <w:lang w:val="en-IE"/>
        </w:rPr>
        <w:instrText>ê</w:instrText>
      </w:r>
      <w:r>
        <w:rPr>
          <w:noProof/>
          <w:lang w:val="en-IE"/>
        </w:rPr>
        <w:instrText xml:space="preserve">" </w:instrText>
      </w:r>
      <w:r>
        <w:rPr>
          <w:noProof/>
        </w:rPr>
        <w:fldChar w:fldCharType="separate"/>
      </w:r>
      <w:r>
        <w:rPr>
          <w:rStyle w:val="CRMarker"/>
          <w:noProof/>
          <w:lang w:val="en-IE"/>
        </w:rPr>
        <w:t>ê</w:t>
      </w:r>
      <w:r>
        <w:rPr>
          <w:noProof/>
        </w:rPr>
        <w:fldChar w:fldCharType="end"/>
      </w:r>
      <w:r>
        <w:rPr>
          <w:noProof/>
          <w:lang w:val="en-IE"/>
        </w:rPr>
        <w:t> 2011/16/UE</w:t>
      </w:r>
    </w:p>
    <w:p>
      <w:pPr>
        <w:pStyle w:val="Titrearticle"/>
        <w:rPr>
          <w:noProof/>
        </w:rPr>
      </w:pPr>
      <w:r>
        <w:rPr>
          <w:noProof/>
        </w:rPr>
        <w:t xml:space="preserve">Articolul </w:t>
      </w:r>
      <w:r>
        <w:rPr>
          <w:rStyle w:val="CRMinorChangeAdded"/>
          <w:noProof/>
        </w:rPr>
        <w:t>58</w:t>
      </w:r>
      <w:r>
        <w:rPr>
          <w:rStyle w:val="CRMinorChangeDeleted"/>
          <w:noProof/>
        </w:rPr>
        <w:t>31</w:t>
      </w:r>
    </w:p>
    <w:p>
      <w:pPr>
        <w:pStyle w:val="NormalCentered"/>
        <w:rPr>
          <w:b/>
          <w:noProof/>
        </w:rPr>
      </w:pPr>
      <w:r>
        <w:rPr>
          <w:b/>
          <w:noProof/>
        </w:rPr>
        <w:t>Destinatari</w:t>
      </w:r>
    </w:p>
    <w:p>
      <w:pPr>
        <w:rPr>
          <w:noProof/>
        </w:rPr>
      </w:pPr>
      <w:r>
        <w:rPr>
          <w:noProof/>
        </w:rPr>
        <w:t>Prezenta directivă se adresează statelor membre.</w:t>
      </w:r>
    </w:p>
    <w:p>
      <w:pPr>
        <w:rPr>
          <w:noProof/>
        </w:rPr>
        <w:sectPr>
          <w:pgSz w:w="11907" w:h="16840" w:code="9"/>
          <w:pgMar w:top="1134" w:right="1418" w:bottom="1134" w:left="1418" w:header="709" w:footer="709" w:gutter="0"/>
          <w:pgNumType w:start="1"/>
          <w:cols w:space="720"/>
          <w:docGrid w:linePitch="360"/>
        </w:sectPr>
      </w:pPr>
    </w:p>
    <w:p>
      <w:pPr>
        <w:spacing w:before="0" w:after="200" w:line="276" w:lineRule="auto"/>
        <w:jc w:val="left"/>
        <w:rPr>
          <w:b/>
          <w:noProof/>
          <w:u w:val="single"/>
        </w:rPr>
      </w:pPr>
      <w:r>
        <w:rPr>
          <w:b/>
          <w:noProof/>
          <w:u w:val="single"/>
        </w:rPr>
        <w:lastRenderedPageBreak/>
        <w:t>FIȘĂ FINANCIARĂ LEGISLATIVĂ ȘI DIGITALĂ</w:t>
      </w:r>
    </w:p>
    <w:p>
      <w:pPr>
        <w:tabs>
          <w:tab w:val="left" w:pos="850"/>
        </w:tabs>
        <w:spacing w:before="0" w:after="200" w:line="276" w:lineRule="auto"/>
        <w:ind w:left="850"/>
        <w:rPr>
          <w:b/>
          <w:noProof/>
        </w:rPr>
      </w:pPr>
      <w:bookmarkStart w:id="58" w:name="_Toc514938007"/>
      <w:bookmarkStart w:id="59" w:name="_Toc520485025"/>
      <w:bookmarkStart w:id="60" w:name="_Toc160804567"/>
      <w:bookmarkStart w:id="61" w:name="_Toc167220259"/>
      <w:bookmarkStart w:id="62" w:name="_Toc177548992"/>
      <w:r>
        <w:rPr>
          <w:b/>
          <w:noProof/>
        </w:rPr>
        <w:t>1.</w:t>
      </w:r>
      <w:r>
        <w:rPr>
          <w:noProof/>
        </w:rPr>
        <w:tab/>
      </w:r>
      <w:r>
        <w:rPr>
          <w:b/>
          <w:noProof/>
        </w:rPr>
        <w:t>CADRUL PROPUNERII/INIȚIATIVEI</w:t>
      </w:r>
      <w:bookmarkEnd w:id="58"/>
      <w:bookmarkEnd w:id="59"/>
      <w:bookmarkEnd w:id="60"/>
      <w:bookmarkEnd w:id="61"/>
      <w:bookmarkEnd w:id="62"/>
      <w:r>
        <w:rPr>
          <w:b/>
          <w:noProof/>
        </w:rPr>
        <w:t xml:space="preserve"> </w:t>
      </w:r>
    </w:p>
    <w:p>
      <w:pPr>
        <w:tabs>
          <w:tab w:val="left" w:pos="850"/>
        </w:tabs>
        <w:spacing w:before="0" w:after="200" w:line="276" w:lineRule="auto"/>
        <w:ind w:left="850"/>
        <w:rPr>
          <w:b/>
          <w:noProof/>
        </w:rPr>
      </w:pPr>
      <w:bookmarkStart w:id="63" w:name="_Toc514938008"/>
      <w:bookmarkStart w:id="64" w:name="_Toc520485026"/>
      <w:bookmarkStart w:id="65" w:name="_Toc160804568"/>
      <w:bookmarkStart w:id="66" w:name="_Toc167220260"/>
      <w:bookmarkStart w:id="67" w:name="_Toc177548993"/>
      <w:r>
        <w:rPr>
          <w:b/>
          <w:noProof/>
        </w:rPr>
        <w:t>1.1.</w:t>
      </w:r>
      <w:r>
        <w:rPr>
          <w:noProof/>
        </w:rPr>
        <w:tab/>
      </w:r>
      <w:r>
        <w:rPr>
          <w:b/>
          <w:noProof/>
        </w:rPr>
        <w:t>Titlul propunerii/inițiativei</w:t>
      </w:r>
      <w:bookmarkEnd w:id="63"/>
      <w:bookmarkEnd w:id="64"/>
      <w:bookmarkEnd w:id="65"/>
      <w:bookmarkEnd w:id="66"/>
      <w:bookmarkEnd w:id="67"/>
    </w:p>
    <w:p>
      <w:pPr>
        <w:spacing w:before="0" w:after="200" w:line="276" w:lineRule="auto"/>
        <w:rPr>
          <w:noProof/>
        </w:rPr>
      </w:pPr>
      <w:r>
        <w:rPr>
          <w:noProof/>
        </w:rPr>
        <w:t>Directivă a Consiliului privind cooperarea administrativă în domeniul fiscal (reformare)</w:t>
      </w:r>
    </w:p>
    <w:p>
      <w:pPr>
        <w:tabs>
          <w:tab w:val="left" w:pos="850"/>
        </w:tabs>
        <w:spacing w:before="0" w:after="200" w:line="276" w:lineRule="auto"/>
        <w:ind w:left="850"/>
        <w:rPr>
          <w:b/>
          <w:i/>
          <w:noProof/>
        </w:rPr>
      </w:pPr>
      <w:bookmarkStart w:id="68" w:name="_Toc514938011"/>
      <w:bookmarkStart w:id="69" w:name="_Toc520485027"/>
      <w:bookmarkStart w:id="70" w:name="_Toc160804569"/>
      <w:bookmarkStart w:id="71" w:name="_Toc167220261"/>
      <w:bookmarkStart w:id="72" w:name="_Toc177548994"/>
      <w:r>
        <w:rPr>
          <w:b/>
          <w:noProof/>
        </w:rPr>
        <w:t>1.2.</w:t>
      </w:r>
      <w:r>
        <w:rPr>
          <w:noProof/>
        </w:rPr>
        <w:tab/>
      </w:r>
      <w:r>
        <w:rPr>
          <w:b/>
          <w:noProof/>
        </w:rPr>
        <w:t>Domeniul de politică vizat</w:t>
      </w:r>
      <w:bookmarkEnd w:id="68"/>
      <w:bookmarkEnd w:id="69"/>
      <w:bookmarkEnd w:id="70"/>
      <w:bookmarkEnd w:id="71"/>
      <w:bookmarkEnd w:id="72"/>
      <w:r>
        <w:rPr>
          <w:b/>
          <w:i/>
          <w:noProof/>
        </w:rPr>
        <w:t xml:space="preserve"> </w:t>
      </w:r>
    </w:p>
    <w:p>
      <w:pPr>
        <w:spacing w:before="0" w:after="200" w:line="276" w:lineRule="auto"/>
        <w:rPr>
          <w:noProof/>
        </w:rPr>
      </w:pPr>
      <w:r>
        <w:rPr>
          <w:noProof/>
        </w:rPr>
        <w:t>Politică fiscală</w:t>
      </w:r>
    </w:p>
    <w:p>
      <w:pPr>
        <w:tabs>
          <w:tab w:val="left" w:pos="850"/>
        </w:tabs>
        <w:spacing w:before="0" w:after="200" w:line="276" w:lineRule="auto"/>
        <w:ind w:left="850"/>
        <w:rPr>
          <w:b/>
          <w:noProof/>
        </w:rPr>
      </w:pPr>
      <w:bookmarkStart w:id="73" w:name="_Toc514938015"/>
      <w:bookmarkStart w:id="74" w:name="_Toc520485029"/>
      <w:bookmarkStart w:id="75" w:name="_Toc160804571"/>
      <w:bookmarkStart w:id="76" w:name="_Toc167220263"/>
      <w:bookmarkStart w:id="77" w:name="_Toc177548995"/>
      <w:r>
        <w:rPr>
          <w:b/>
          <w:noProof/>
        </w:rPr>
        <w:t>1.3.</w:t>
      </w:r>
      <w:r>
        <w:rPr>
          <w:noProof/>
        </w:rPr>
        <w:tab/>
      </w:r>
      <w:r>
        <w:rPr>
          <w:b/>
          <w:noProof/>
        </w:rPr>
        <w:t>Obiectiv</w:t>
      </w:r>
      <w:bookmarkEnd w:id="73"/>
      <w:bookmarkEnd w:id="74"/>
      <w:bookmarkEnd w:id="75"/>
      <w:bookmarkEnd w:id="76"/>
      <w:bookmarkEnd w:id="77"/>
    </w:p>
    <w:p>
      <w:pPr>
        <w:tabs>
          <w:tab w:val="left" w:pos="850"/>
        </w:tabs>
        <w:spacing w:before="0" w:after="200" w:line="276" w:lineRule="auto"/>
        <w:ind w:left="850"/>
        <w:rPr>
          <w:i/>
          <w:noProof/>
        </w:rPr>
      </w:pPr>
      <w:bookmarkStart w:id="78" w:name="_Toc514938016"/>
      <w:bookmarkStart w:id="79" w:name="_Toc520485030"/>
      <w:bookmarkStart w:id="80" w:name="_Toc160804572"/>
      <w:bookmarkStart w:id="81" w:name="_Toc167220264"/>
      <w:bookmarkStart w:id="82" w:name="_Toc177548996"/>
      <w:r>
        <w:rPr>
          <w:i/>
          <w:noProof/>
        </w:rPr>
        <w:t>1.3.1.</w:t>
      </w:r>
      <w:r>
        <w:rPr>
          <w:noProof/>
        </w:rPr>
        <w:tab/>
      </w:r>
      <w:r>
        <w:rPr>
          <w:i/>
          <w:noProof/>
        </w:rPr>
        <w:t>Obiectiv general</w:t>
      </w:r>
      <w:bookmarkEnd w:id="78"/>
      <w:bookmarkEnd w:id="79"/>
      <w:bookmarkEnd w:id="80"/>
      <w:bookmarkEnd w:id="81"/>
      <w:bookmarkEnd w:id="82"/>
    </w:p>
    <w:p>
      <w:pPr>
        <w:spacing w:before="0" w:after="200" w:line="276" w:lineRule="auto"/>
        <w:rPr>
          <w:noProof/>
        </w:rPr>
      </w:pPr>
      <w:r>
        <w:rPr>
          <w:noProof/>
        </w:rPr>
        <w:t xml:space="preserve">Propunerea consolidează Directiva 2011/16/UE cu cele 9 modificări ulterioare ale sale într-un singur text coerent, asigurând astfel coerența și ușurința de utilizare a textului. </w:t>
      </w:r>
    </w:p>
    <w:p>
      <w:pPr>
        <w:spacing w:before="0" w:after="200" w:line="276" w:lineRule="auto"/>
        <w:rPr>
          <w:noProof/>
        </w:rPr>
      </w:pPr>
      <w:r>
        <w:rPr>
          <w:noProof/>
        </w:rPr>
        <w:t>Propunerea urmărește să asigure o funcționare echitabilă și eficientă a pieței interne, oferind statelor membre norme clare și cuprinzătoare pe baza cărora să coopereze între ele pentru a se asigura că taxele și impozitele sunt percepute corect. Astfel, propunerea asigură faptul că statele membre dispun de instrumente eficiente și eficace de combatere a fraudei fiscale, a evitării obligațiilor fiscale și a evaziunii fiscale.</w:t>
      </w:r>
    </w:p>
    <w:p>
      <w:pPr>
        <w:spacing w:before="0" w:after="200" w:line="276" w:lineRule="auto"/>
        <w:rPr>
          <w:noProof/>
        </w:rPr>
      </w:pPr>
      <w:r>
        <w:rPr>
          <w:noProof/>
        </w:rPr>
        <w:t>Propunerea simplifică și raționalizează obligațiile de raportare ale întreprinderilor și, prin urmare, reduce sarcina administrativă care le revine acestora.</w:t>
      </w:r>
    </w:p>
    <w:p>
      <w:pPr>
        <w:tabs>
          <w:tab w:val="left" w:pos="850"/>
        </w:tabs>
        <w:spacing w:before="0" w:after="200" w:line="276" w:lineRule="auto"/>
        <w:ind w:left="850"/>
        <w:rPr>
          <w:i/>
          <w:noProof/>
        </w:rPr>
      </w:pPr>
      <w:bookmarkStart w:id="83" w:name="_Toc514938018"/>
      <w:bookmarkStart w:id="84" w:name="_Toc520485031"/>
      <w:bookmarkStart w:id="85" w:name="_Toc160804573"/>
      <w:bookmarkStart w:id="86" w:name="_Toc167220265"/>
      <w:bookmarkStart w:id="87" w:name="_Toc177548997"/>
      <w:r>
        <w:rPr>
          <w:i/>
          <w:noProof/>
        </w:rPr>
        <w:t>1.3.2.</w:t>
      </w:r>
      <w:r>
        <w:rPr>
          <w:noProof/>
        </w:rPr>
        <w:tab/>
      </w:r>
      <w:r>
        <w:rPr>
          <w:i/>
          <w:noProof/>
        </w:rPr>
        <w:t>Obiectiv specific</w:t>
      </w:r>
      <w:bookmarkEnd w:id="83"/>
      <w:bookmarkEnd w:id="84"/>
      <w:bookmarkEnd w:id="85"/>
      <w:bookmarkEnd w:id="86"/>
      <w:bookmarkEnd w:id="87"/>
    </w:p>
    <w:p>
      <w:pPr>
        <w:spacing w:before="0" w:after="200" w:line="276" w:lineRule="auto"/>
        <w:rPr>
          <w:noProof/>
        </w:rPr>
      </w:pPr>
      <w:r>
        <w:rPr>
          <w:noProof/>
        </w:rPr>
        <w:t>Reducerea sarcinii administrative impuse întreprinderilor ca urmare a simplificării obligațiilor de notificare pentru raportarea pentru fiecare țară în parte și a notificărilor în scopul depunerii la nivel central a declarației privind impozitul suplimentar. Reducerea sarcinii administrative impuse întreprinderilor ca urmare a reducerii obligațiilor de raportare care nu mai sunt considerate proporționale.</w:t>
      </w:r>
    </w:p>
    <w:p>
      <w:pPr>
        <w:spacing w:before="0" w:after="200" w:line="276" w:lineRule="auto"/>
        <w:rPr>
          <w:noProof/>
        </w:rPr>
      </w:pPr>
      <w:r>
        <w:rPr>
          <w:noProof/>
        </w:rPr>
        <w:t>Reducerea sarcinii impuse statelor membre, deoarece instrumentul de verificare a NIF va permite verificarea automată și corelarea contribuabililor în cauză.</w:t>
      </w:r>
    </w:p>
    <w:p>
      <w:pPr>
        <w:tabs>
          <w:tab w:val="left" w:pos="850"/>
        </w:tabs>
        <w:spacing w:before="0" w:after="200" w:line="276" w:lineRule="auto"/>
        <w:ind w:left="850"/>
        <w:rPr>
          <w:i/>
          <w:noProof/>
        </w:rPr>
      </w:pPr>
      <w:bookmarkStart w:id="88" w:name="_Toc514938019"/>
      <w:bookmarkStart w:id="89" w:name="_Toc520485032"/>
      <w:bookmarkStart w:id="90" w:name="_Toc160804574"/>
      <w:bookmarkStart w:id="91" w:name="_Toc167220266"/>
      <w:bookmarkStart w:id="92" w:name="_Toc177548998"/>
      <w:r>
        <w:rPr>
          <w:i/>
          <w:noProof/>
        </w:rPr>
        <w:t>1.3.3.</w:t>
      </w:r>
      <w:r>
        <w:rPr>
          <w:noProof/>
        </w:rPr>
        <w:tab/>
      </w:r>
      <w:r>
        <w:rPr>
          <w:i/>
          <w:noProof/>
        </w:rPr>
        <w:t>Rezultatul (rezultatele) și impactul preconizate</w:t>
      </w:r>
      <w:bookmarkEnd w:id="88"/>
      <w:bookmarkEnd w:id="89"/>
      <w:bookmarkEnd w:id="90"/>
      <w:bookmarkEnd w:id="91"/>
      <w:bookmarkEnd w:id="92"/>
    </w:p>
    <w:p>
      <w:pPr>
        <w:spacing w:before="0" w:after="200" w:line="276" w:lineRule="auto"/>
        <w:rPr>
          <w:i/>
          <w:noProof/>
        </w:rPr>
      </w:pPr>
      <w:r>
        <w:rPr>
          <w:i/>
          <w:noProof/>
        </w:rPr>
        <w:t>A se preciza efectele pe care ar trebui să le aibă propunerea/inițiativa asupra beneficiarilor vizați/grupurilor vizate.</w:t>
      </w:r>
    </w:p>
    <w:p>
      <w:pPr>
        <w:spacing w:before="0" w:after="200" w:line="276" w:lineRule="auto"/>
        <w:rPr>
          <w:noProof/>
        </w:rPr>
      </w:pPr>
      <w:r>
        <w:rPr>
          <w:noProof/>
        </w:rPr>
        <w:t>În ceea ce privește întreprinderile, facem distincție între grupurile mari de întreprinderi multinaționale care intră în domeniul de aplicare al Directivei privind pilonul 2, alte întreprinderi care nu intră în domeniul de aplicare al pilonului 2 și operatorii de platforme de orice dimensiune.</w:t>
      </w:r>
    </w:p>
    <w:p>
      <w:pPr>
        <w:spacing w:before="0" w:after="200" w:line="276" w:lineRule="auto"/>
        <w:rPr>
          <w:noProof/>
        </w:rPr>
      </w:pPr>
      <w:r>
        <w:rPr>
          <w:noProof/>
        </w:rPr>
        <w:lastRenderedPageBreak/>
        <w:t xml:space="preserve">Grupurile de întreprinderi multinaționale care intră în domeniul de aplicare al Directivei privind pilonul 2 (venituri anuale consolidate de cel puțin 750 de milioane EUR) nu vor mai fi obligate să raporteze modalitățile transfrontaliere în temeiul DAC6, deoarece se consideră că riscurile sunt acoperite de normele privind impozitul minim global. Acest lucru va reduce în mod direct costurile de asigurare a conformității asociate pentru întreprinderile respective. Acestea vor beneficia, de asemenea, de o notificare unică ce acoperă DAC4/DAC9, depusă o singură dată pentru fiecare grup prin intermediul unui model comun și având un termen armonizat, în locul notificărilor separate în sensul DAC4 și DAC9 efectuate de către fiecare dintre cele 109 000 de filiale ale întreprinderilor multinaționale care intră în domeniul de aplicare al pilonului 2. </w:t>
      </w:r>
    </w:p>
    <w:p>
      <w:pPr>
        <w:spacing w:before="0" w:after="200" w:line="276" w:lineRule="auto"/>
        <w:rPr>
          <w:noProof/>
        </w:rPr>
      </w:pPr>
      <w:r>
        <w:rPr>
          <w:noProof/>
        </w:rPr>
        <w:t>Grupurile mai mici de întreprinderi multinaționale, și anume cele care nu intră în domeniul de aplicare al Directivei privind pilonul 2, vor beneficia de o reducere a numărului de informări în temeiul DAC6 (aproximativ 8 300 pe an). Având în vedere populația mai mare, se preconizează că o parte semnificativă a economiilor rezultate în materie de costuri de asigurare a conformității va reveni întreprinderilor mai mici, inclusiv celor cu mai puțin de 50 de angajați. În cadrul populației de întreprinderi multinaționale din Europa, întreprinderile cu mai puțin de 50 de angajați reprezintă aproape două treimi, ceea ce înseamnă că este probabil ca o parte substanțială a beneficiilor să fie concentrată în rândul acestor entități mai mici.</w:t>
      </w:r>
    </w:p>
    <w:p>
      <w:pPr>
        <w:spacing w:before="0" w:after="200" w:line="276" w:lineRule="auto"/>
        <w:rPr>
          <w:noProof/>
        </w:rPr>
      </w:pPr>
      <w:r>
        <w:rPr>
          <w:noProof/>
        </w:rPr>
        <w:t>Operatorii de platforme, atât cei mai mari, cât și cei mai mici, vor înregistra o reducere a volumelor de raportare ca urmare a creșterii pragului monetar (la 3 000 EUR) și a eliminării pragului de activitate de 30 de tranzacții pentru vânzătorii de bunuri, eliminând necesitatea de a raporta vânzătorii ocazionali de bunuri cu valoare scăzută. Opțiunea preferată are potențialul de a reduce numărul vânzătorilor raportați cu până la 11,3 milioane pe an.</w:t>
      </w:r>
    </w:p>
    <w:p>
      <w:pPr>
        <w:spacing w:before="0" w:after="200" w:line="276" w:lineRule="auto"/>
        <w:rPr>
          <w:noProof/>
        </w:rPr>
      </w:pPr>
      <w:r>
        <w:rPr>
          <w:noProof/>
        </w:rPr>
        <w:t>În cele din urmă, contribuabilii și intermediarii fiscali, de exemplu consilierii și contabilii, vor beneficia de eliminarea semnelor distinctive din categoria A (generice) în temeiul DAC6 și de orientări mai clare privind testul beneficiului principal, reducându-se „raportarea defensivă” a tranzacțiilor comerciale standard.</w:t>
      </w:r>
    </w:p>
    <w:p>
      <w:pPr>
        <w:spacing w:before="0" w:after="200" w:line="276" w:lineRule="auto"/>
        <w:rPr>
          <w:noProof/>
        </w:rPr>
      </w:pPr>
      <w:r>
        <w:rPr>
          <w:noProof/>
        </w:rPr>
        <w:t xml:space="preserve">Autoritățile fiscale vor prelucra date de mai bună calitate ca urmare a verificării centralizate a NIF și a unor schimburi mai complete în temeiul DAC1, în timp ce volumul de informații legate de tranzacțiile cu valoare scăzută aferente DAC6 și DAC7 va scădea, permițând evaluări ale riscurilor mai bine direcționate. Se preconizează că costurile vor fi determinate în primul rând de necesitatea de a adapta sistemele informatice și mecanismele prin care se realizează schimbul de date pentru a accesa și a face schimb de informații deținute de un set mai larg de autorități publice. Amploarea acestor costuri va depinde de nivelul existent de digitalizare și interoperabilitate a bazelor de date din sectorul public din fiecare stat membru. În sistemele mai avansate, în care datele sunt deja accesibile la nivel central, ajustările necesare pot fi relativ limitate. În schimb, statele membre cu infrastructuri de date mai fragmentate se pot confrunta cu costuri inițiale de investiții mai mari legate de integrarea sistemelor, standardizarea datelor și cadrele de guvernanță. </w:t>
      </w:r>
    </w:p>
    <w:p>
      <w:pPr>
        <w:keepNext/>
        <w:tabs>
          <w:tab w:val="left" w:pos="850"/>
        </w:tabs>
        <w:spacing w:before="0" w:after="200" w:line="276" w:lineRule="auto"/>
        <w:ind w:left="850"/>
        <w:rPr>
          <w:i/>
          <w:noProof/>
        </w:rPr>
      </w:pPr>
      <w:bookmarkStart w:id="93" w:name="_Toc514938023"/>
      <w:bookmarkStart w:id="94" w:name="_Toc520485033"/>
      <w:bookmarkStart w:id="95" w:name="_Toc160804575"/>
      <w:bookmarkStart w:id="96" w:name="_Toc167220267"/>
      <w:bookmarkStart w:id="97" w:name="_Toc177548999"/>
      <w:r>
        <w:rPr>
          <w:i/>
          <w:noProof/>
        </w:rPr>
        <w:lastRenderedPageBreak/>
        <w:t>1.3.4.</w:t>
      </w:r>
      <w:r>
        <w:rPr>
          <w:noProof/>
        </w:rPr>
        <w:tab/>
      </w:r>
      <w:r>
        <w:rPr>
          <w:i/>
          <w:noProof/>
        </w:rPr>
        <w:t>Indicatori de performanță</w:t>
      </w:r>
      <w:bookmarkEnd w:id="93"/>
      <w:bookmarkEnd w:id="94"/>
      <w:bookmarkEnd w:id="95"/>
      <w:bookmarkEnd w:id="96"/>
      <w:bookmarkEnd w:id="97"/>
    </w:p>
    <w:p>
      <w:pPr>
        <w:spacing w:before="0" w:after="200" w:line="276" w:lineRule="auto"/>
        <w:rPr>
          <w:i/>
          <w:noProof/>
        </w:rPr>
      </w:pPr>
      <w:r>
        <w:rPr>
          <w:i/>
          <w:noProof/>
        </w:rPr>
        <w:t>A se preciza indicatorii care permit monitorizarea progreselor și a realizărilor obținute.</w:t>
      </w:r>
    </w:p>
    <w:tbl>
      <w:tblPr>
        <w:tblW w:w="9229"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000"/>
        <w:gridCol w:w="1582"/>
        <w:gridCol w:w="2529"/>
        <w:gridCol w:w="1559"/>
        <w:gridCol w:w="1559"/>
      </w:tblGrid>
      <w:tr>
        <w:trPr>
          <w:trHeight w:val="498"/>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pPr>
              <w:spacing w:before="0" w:after="200" w:line="276" w:lineRule="auto"/>
              <w:rPr>
                <w:b/>
                <w:bCs/>
                <w:noProof/>
              </w:rPr>
            </w:pPr>
            <w:r>
              <w:rPr>
                <w:b/>
                <w:noProof/>
              </w:rPr>
              <w:t>Obiectiv specific</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pPr>
              <w:spacing w:before="0" w:after="200" w:line="276" w:lineRule="auto"/>
              <w:rPr>
                <w:b/>
                <w:bCs/>
                <w:noProof/>
              </w:rPr>
            </w:pPr>
            <w:r>
              <w:rPr>
                <w:b/>
                <w:noProof/>
              </w:rPr>
              <w:t>Indicator</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pPr>
              <w:spacing w:before="0" w:after="200" w:line="276" w:lineRule="auto"/>
              <w:rPr>
                <w:b/>
                <w:bCs/>
                <w:noProof/>
              </w:rPr>
            </w:pPr>
            <w:r>
              <w:rPr>
                <w:b/>
                <w:noProof/>
              </w:rPr>
              <w:t>Valoarea de referință</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pPr>
              <w:spacing w:before="0" w:after="200" w:line="276" w:lineRule="auto"/>
              <w:rPr>
                <w:b/>
                <w:bCs/>
                <w:noProof/>
              </w:rPr>
            </w:pPr>
            <w:r>
              <w:rPr>
                <w:b/>
                <w:noProof/>
              </w:rPr>
              <w:t>Sursa datelor</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pPr>
              <w:spacing w:before="0" w:after="200" w:line="276" w:lineRule="auto"/>
              <w:rPr>
                <w:b/>
                <w:bCs/>
                <w:noProof/>
              </w:rPr>
            </w:pPr>
            <w:r>
              <w:rPr>
                <w:b/>
                <w:noProof/>
              </w:rPr>
              <w:t>Frecvența</w:t>
            </w:r>
          </w:p>
        </w:tc>
      </w:tr>
      <w:tr>
        <w:trPr>
          <w:trHeight w:val="2209"/>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Asigurarea unei raportări în temeiul DAC6 care să fie proporțională și sigură din punct de vedere juridic (eliminarea anumitor semne distinctive de categoria A legate de testul beneficiului principal și excluderea entităților care fac obiectul pilonului 2)</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Numărul de informări anuale în temeiul DAC6 </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8 300 de rapoarte anuale de informare legate de semnele distinctive de categoria A legate de testul beneficiului principal (aproximativ 8 % din acestea provin de la entități raportoare care intră în domeniul de aplicare al pilonului 2)</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Statistici referitoare la repertoriul central DAC6</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Anual</w:t>
            </w:r>
          </w:p>
        </w:tc>
      </w:tr>
      <w:tr>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Asigurarea unei raportări proporționale și mai bine direcționate a vânzătorilor în temeiul DAC7</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Numărul anual de vânzători raportați pentru vânzarea de bunuri. </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13,5 milioane de vânzători raportați anual </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Statistici raportate de statele membre</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Anual</w:t>
            </w:r>
          </w:p>
        </w:tc>
      </w:tr>
      <w:tr>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Eliminarea obligațiilor de notificare redundante (DAC4/DAC9) și nearmonizate pentru grupurile de întreprinderi multinaționale </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Numărul de notificări transmise de entitățile constitutive și numărul de notificări transmise la nivel de grup</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Aproximativ 4 700 de grupuri de întreprinderi multinaționale și 109 000 de entități constitutive </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Statistici raportate de statele membre </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Anual</w:t>
            </w:r>
          </w:p>
        </w:tc>
      </w:tr>
      <w:tr>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Îmbunătățirea corectitudinii NIF raportat</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Rata de corelare automată a NIF-urilor în statele membre </w:t>
            </w:r>
            <w:r>
              <w:rPr>
                <w:noProof/>
              </w:rPr>
              <w:lastRenderedPageBreak/>
              <w:t xml:space="preserve">destinatare; </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lastRenderedPageBreak/>
              <w:t>Ratele actuale de corelare automată raportate de statele membre</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Statistici furnizate de statele membre</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Anual</w:t>
            </w:r>
          </w:p>
        </w:tc>
      </w:tr>
      <w:tr>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Îmbunătățirea calității și a exhaustivității schimburilor în temeiul DAC1</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Numărul de categorii care fac obiectul unui schimb între statele membre și creșterea volumului de informații comunicate</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Minimum cinci categorii de venituri în temeiul DAC1 și numai informațiile disponibile în dosarele fiscale</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Statistici DAC1 raportate de statele membre</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Anual</w:t>
            </w:r>
          </w:p>
        </w:tc>
      </w:tr>
      <w:tr>
        <w:trPr>
          <w:trHeight w:val="300"/>
        </w:trPr>
        <w:tc>
          <w:tcPr>
            <w:tcW w:w="20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Consolidarea respectării obligațiilor fiscale și protecția bazelor de impozitare</w:t>
            </w:r>
          </w:p>
        </w:tc>
        <w:tc>
          <w:tcPr>
            <w:tcW w:w="15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 xml:space="preserve">Evaluări fiscale suplimentare sau venituri estimate legate de informațiile care au făcut obiectul schimburilor în temeiul DAC </w:t>
            </w:r>
          </w:p>
        </w:tc>
        <w:tc>
          <w:tcPr>
            <w:tcW w:w="25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Nivelurile actuale raportate de statele membre în urma schimburilor în temeiul DAC</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Statistici raportate de statele membre</w:t>
            </w:r>
          </w:p>
        </w:tc>
        <w:tc>
          <w:tcPr>
            <w:tcW w:w="155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pPr>
              <w:spacing w:before="0" w:after="200" w:line="276" w:lineRule="auto"/>
              <w:rPr>
                <w:noProof/>
              </w:rPr>
            </w:pPr>
            <w:r>
              <w:rPr>
                <w:noProof/>
              </w:rPr>
              <w:t>Anual</w:t>
            </w:r>
          </w:p>
        </w:tc>
      </w:tr>
    </w:tbl>
    <w:p>
      <w:pPr>
        <w:tabs>
          <w:tab w:val="left" w:pos="850"/>
        </w:tabs>
        <w:spacing w:before="0" w:after="200" w:line="276" w:lineRule="auto"/>
        <w:ind w:left="850"/>
        <w:rPr>
          <w:b/>
          <w:noProof/>
        </w:rPr>
      </w:pPr>
      <w:bookmarkStart w:id="98" w:name="_Toc177549000"/>
      <w:r>
        <w:rPr>
          <w:b/>
          <w:noProof/>
        </w:rPr>
        <w:t>1.4.</w:t>
      </w:r>
      <w:r>
        <w:rPr>
          <w:noProof/>
        </w:rPr>
        <w:tab/>
      </w:r>
      <w:r>
        <w:rPr>
          <w:b/>
          <w:noProof/>
        </w:rPr>
        <w:t>Obiectul propunerii/inițiativei</w:t>
      </w:r>
      <w:bookmarkEnd w:id="98"/>
      <w:r>
        <w:rPr>
          <w:b/>
          <w:noProof/>
        </w:rPr>
        <w:t xml:space="preserve"> </w:t>
      </w:r>
    </w:p>
    <w:p>
      <w:pPr>
        <w:spacing w:before="0" w:after="200" w:line="276" w:lineRule="auto"/>
        <w:rPr>
          <w:noProof/>
        </w:rPr>
      </w:pPr>
      <w:r>
        <w:rPr>
          <w:noProof/>
        </w:rPr>
        <w:t>¨</w:t>
      </w:r>
      <w:r>
        <w:rPr>
          <w:i/>
          <w:noProof/>
        </w:rPr>
        <w:t xml:space="preserve"> </w:t>
      </w:r>
      <w:r>
        <w:rPr>
          <w:noProof/>
        </w:rPr>
        <w:t xml:space="preserve">o acțiune nouă </w:t>
      </w:r>
    </w:p>
    <w:p>
      <w:pPr>
        <w:spacing w:before="0" w:after="200" w:line="276" w:lineRule="auto"/>
        <w:rPr>
          <w:noProof/>
        </w:rPr>
      </w:pPr>
      <w:r>
        <w:rPr>
          <w:noProof/>
        </w:rPr>
        <w:t>¨</w:t>
      </w:r>
      <w:r>
        <w:rPr>
          <w:i/>
          <w:noProof/>
        </w:rPr>
        <w:t xml:space="preserve"> </w:t>
      </w:r>
      <w:r>
        <w:rPr>
          <w:noProof/>
        </w:rPr>
        <w:t>o acțiune nouă întreprinsă ca urmare a unui proiect-pilot/a unei acțiuni pregătitoare</w:t>
      </w:r>
      <w:r>
        <w:rPr>
          <w:rStyle w:val="FootnoteReference"/>
          <w:noProof/>
        </w:rPr>
        <w:footnoteReference w:id="57"/>
      </w:r>
      <w:r>
        <w:rPr>
          <w:noProof/>
        </w:rPr>
        <w:t xml:space="preserve"> </w:t>
      </w:r>
    </w:p>
    <w:p>
      <w:pPr>
        <w:spacing w:before="0" w:after="200" w:line="276" w:lineRule="auto"/>
        <w:rPr>
          <w:noProof/>
        </w:rPr>
      </w:pPr>
      <w:r>
        <w:rPr>
          <w:noProof/>
        </w:rPr>
        <w:t>¨</w:t>
      </w:r>
      <w:r>
        <w:rPr>
          <w:i/>
          <w:noProof/>
        </w:rPr>
        <w:t xml:space="preserve"> </w:t>
      </w:r>
      <w:r>
        <w:rPr>
          <w:noProof/>
        </w:rPr>
        <w:t xml:space="preserve">prelungirea unei acțiuni existente </w:t>
      </w:r>
    </w:p>
    <w:p>
      <w:pPr>
        <w:spacing w:before="0" w:after="200" w:line="276" w:lineRule="auto"/>
        <w:rPr>
          <w:noProof/>
        </w:rPr>
      </w:pPr>
      <w:sdt>
        <w:sdtPr>
          <w:rPr>
            <w:b/>
            <w:iCs/>
            <w:noProof/>
          </w:rPr>
          <w:id w:val="1980188352"/>
          <w14:checkbox>
            <w14:checked w14:val="1"/>
            <w14:checkedState w14:val="2612" w14:font="MS Gothic"/>
            <w14:uncheckedState w14:val="2610" w14:font="MS Gothic"/>
          </w14:checkbox>
        </w:sdtPr>
        <w:sdtContent>
          <w:r>
            <w:rPr>
              <w:rFonts w:ascii="Segoe UI Symbol" w:hAnsi="Segoe UI Symbol" w:cs="Segoe UI Symbol"/>
              <w:b/>
              <w:iCs/>
              <w:noProof/>
            </w:rPr>
            <w:t>☒</w:t>
          </w:r>
        </w:sdtContent>
      </w:sdt>
      <w:r>
        <w:rPr>
          <w:b/>
          <w:iCs/>
          <w:noProof/>
        </w:rPr>
        <w:t xml:space="preserve"> </w:t>
      </w:r>
      <w:r>
        <w:rPr>
          <w:noProof/>
        </w:rPr>
        <w:t>o fuziune sau o redirecționare a uneia sau mai multor acțiuni către o altă/o nouă acțiune</w:t>
      </w:r>
    </w:p>
    <w:p>
      <w:pPr>
        <w:tabs>
          <w:tab w:val="left" w:pos="850"/>
        </w:tabs>
        <w:spacing w:before="0" w:after="200" w:line="276" w:lineRule="auto"/>
        <w:ind w:left="850"/>
        <w:rPr>
          <w:b/>
          <w:bCs/>
          <w:noProof/>
        </w:rPr>
      </w:pPr>
      <w:bookmarkStart w:id="99" w:name="_Toc514938025"/>
      <w:bookmarkStart w:id="100" w:name="_Toc520485034"/>
      <w:bookmarkStart w:id="101" w:name="_Toc160804576"/>
      <w:bookmarkStart w:id="102" w:name="_Toc167220268"/>
      <w:bookmarkStart w:id="103" w:name="_Toc177549001"/>
      <w:r>
        <w:rPr>
          <w:b/>
          <w:noProof/>
        </w:rPr>
        <w:t>1.5.</w:t>
      </w:r>
      <w:r>
        <w:rPr>
          <w:noProof/>
        </w:rPr>
        <w:tab/>
      </w:r>
      <w:r>
        <w:rPr>
          <w:b/>
          <w:noProof/>
        </w:rPr>
        <w:t>Motivele propunerii/inițiativei</w:t>
      </w:r>
      <w:bookmarkEnd w:id="99"/>
      <w:bookmarkEnd w:id="100"/>
      <w:bookmarkEnd w:id="101"/>
      <w:bookmarkEnd w:id="102"/>
      <w:bookmarkEnd w:id="103"/>
      <w:r>
        <w:rPr>
          <w:b/>
          <w:noProof/>
        </w:rPr>
        <w:t xml:space="preserve"> </w:t>
      </w:r>
    </w:p>
    <w:p>
      <w:pPr>
        <w:spacing w:before="0" w:after="200" w:line="276" w:lineRule="auto"/>
        <w:rPr>
          <w:i/>
          <w:noProof/>
        </w:rPr>
      </w:pPr>
      <w:bookmarkStart w:id="104" w:name="_Toc514938026"/>
      <w:bookmarkStart w:id="105" w:name="_Toc520485035"/>
      <w:bookmarkStart w:id="106" w:name="_Toc160804577"/>
      <w:bookmarkStart w:id="107" w:name="_Toc167220269"/>
      <w:bookmarkStart w:id="108" w:name="_Toc177549002"/>
      <w:r>
        <w:rPr>
          <w:i/>
          <w:noProof/>
        </w:rPr>
        <w:t>1.5.1.</w:t>
      </w:r>
      <w:r>
        <w:rPr>
          <w:noProof/>
        </w:rPr>
        <w:tab/>
      </w:r>
      <w:r>
        <w:rPr>
          <w:i/>
          <w:noProof/>
        </w:rPr>
        <w:t>Cerința (cerințele) care trebuie îndeplinită (îndeplinite) pe termen scurt sau lung, inclusiv un calendar detaliat pentru punerea în aplicare a inițiativei</w:t>
      </w:r>
      <w:bookmarkEnd w:id="104"/>
      <w:bookmarkEnd w:id="105"/>
      <w:bookmarkEnd w:id="106"/>
      <w:bookmarkEnd w:id="107"/>
      <w:bookmarkEnd w:id="108"/>
    </w:p>
    <w:p>
      <w:pPr>
        <w:spacing w:before="0" w:after="200" w:line="276" w:lineRule="auto"/>
        <w:rPr>
          <w:noProof/>
        </w:rPr>
      </w:pPr>
      <w:r>
        <w:rPr>
          <w:noProof/>
        </w:rPr>
        <w:t>Propunerea ar trebui pusă în aplicare în trei etape:</w:t>
      </w:r>
    </w:p>
    <w:p>
      <w:pPr>
        <w:spacing w:before="0" w:after="200" w:line="276" w:lineRule="auto"/>
        <w:rPr>
          <w:noProof/>
        </w:rPr>
      </w:pPr>
      <w:r>
        <w:rPr>
          <w:noProof/>
        </w:rPr>
        <w:t>În primul rând, eliminările tabelelor utilizate pentru comunicarea rapoartelor pentru fiecare țară în parte și ale tabelelor utilizate pentru comunicarea declarației privind impozitul suplimentar din anexa III și, respectiv, din anexa VI ar trebui să producă efecte la data intrării în vigoare a directivei, deoarece permit întreprinderilor multinaționale să utilizeze formularul existent pentru raportare cuprins în actele de punere în aplicare.</w:t>
      </w:r>
    </w:p>
    <w:p>
      <w:pPr>
        <w:spacing w:before="0" w:after="200" w:line="276" w:lineRule="auto"/>
        <w:rPr>
          <w:noProof/>
        </w:rPr>
      </w:pPr>
      <w:r>
        <w:rPr>
          <w:noProof/>
        </w:rPr>
        <w:lastRenderedPageBreak/>
        <w:t>În al doilea rând, măsurile care vizează simplificarea raportării de către întreprinderi, și anume cele cuprinse la articolul 8 și în anexa IV, la articolele 9 și 12, la articolul 36 alineatul (4) și în anexa V secțiunea I punctul B.4 litera (d), necesită mai puține adaptări și ar trebui puse în aplicare până la 1. 1. 2028, deoarece se referă la reducerea cerințelor de raportare și la utilizarea formularelor existente pentru raportare care sunt cuprinse în actele de punere în aplicare.</w:t>
      </w:r>
    </w:p>
    <w:p>
      <w:pPr>
        <w:spacing w:before="0" w:after="200" w:line="276" w:lineRule="auto"/>
        <w:rPr>
          <w:noProof/>
        </w:rPr>
      </w:pPr>
      <w:r>
        <w:rPr>
          <w:noProof/>
        </w:rPr>
        <w:t>În al treilea rând, măsurile care necesită adaptări mai ample ale sistemelor informatice și care vizează îmbunătățirea funcționării cooperării administrative, cum ar fi raționalizarea notificărilor de la articolul 15, instrumentul de verificare a NIF de la articolul 36 și modificările de la articolul 4, ar trebui puse în aplicare până la 1. 1. 2030.</w:t>
      </w:r>
    </w:p>
    <w:p>
      <w:pPr>
        <w:tabs>
          <w:tab w:val="left" w:pos="850"/>
        </w:tabs>
        <w:spacing w:before="0" w:after="200" w:line="276" w:lineRule="auto"/>
        <w:ind w:left="850"/>
        <w:rPr>
          <w:bCs/>
          <w:i/>
          <w:noProof/>
        </w:rPr>
      </w:pPr>
      <w:bookmarkStart w:id="109" w:name="_Toc514938029"/>
      <w:bookmarkStart w:id="110" w:name="_Toc520485036"/>
      <w:bookmarkStart w:id="111" w:name="_Toc160804578"/>
      <w:bookmarkStart w:id="112" w:name="_Toc167220270"/>
      <w:bookmarkStart w:id="113" w:name="_Toc177549003"/>
      <w:r>
        <w:rPr>
          <w:i/>
          <w:noProof/>
        </w:rPr>
        <w:t>1.5.2.</w:t>
      </w:r>
      <w:r>
        <w:rPr>
          <w:noProof/>
        </w:rPr>
        <w:tab/>
      </w:r>
      <w:r>
        <w:rPr>
          <w:i/>
          <w:noProof/>
        </w:rPr>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109"/>
      <w:bookmarkEnd w:id="110"/>
      <w:bookmarkEnd w:id="111"/>
      <w:bookmarkEnd w:id="112"/>
      <w:bookmarkEnd w:id="113"/>
    </w:p>
    <w:p>
      <w:pPr>
        <w:spacing w:before="0" w:after="200" w:line="276" w:lineRule="auto"/>
        <w:rPr>
          <w:noProof/>
        </w:rPr>
      </w:pPr>
      <w:r>
        <w:rPr>
          <w:noProof/>
        </w:rPr>
        <w:t>Propunerea simplifică, pe de o parte, și îmbunătățește instrumentele existente de cooperare administrativă între statele membre. O astfel de acțiune nu este posibilă la nivelul statelor membre, deoarece cadrul de cooperare trebuie să fie comun pentru a funcționa în practică. Prin urmare, acțiunea UE este esențială.</w:t>
      </w:r>
    </w:p>
    <w:p>
      <w:pPr>
        <w:tabs>
          <w:tab w:val="left" w:pos="850"/>
        </w:tabs>
        <w:spacing w:before="0" w:after="200" w:line="276" w:lineRule="auto"/>
        <w:ind w:left="850"/>
        <w:rPr>
          <w:i/>
          <w:noProof/>
        </w:rPr>
      </w:pPr>
      <w:bookmarkStart w:id="114" w:name="_Toc514938030"/>
      <w:bookmarkStart w:id="115" w:name="_Toc520485037"/>
      <w:bookmarkStart w:id="116" w:name="_Toc160804579"/>
      <w:bookmarkStart w:id="117" w:name="_Toc167220271"/>
      <w:bookmarkStart w:id="118" w:name="_Toc177549004"/>
      <w:r>
        <w:rPr>
          <w:i/>
          <w:noProof/>
        </w:rPr>
        <w:t>1.5.3.</w:t>
      </w:r>
      <w:r>
        <w:rPr>
          <w:noProof/>
        </w:rPr>
        <w:tab/>
      </w:r>
      <w:r>
        <w:rPr>
          <w:i/>
          <w:noProof/>
        </w:rPr>
        <w:t>Învățăminte desprinse din experiențele anterioare similare</w:t>
      </w:r>
      <w:bookmarkEnd w:id="114"/>
      <w:bookmarkEnd w:id="115"/>
      <w:bookmarkEnd w:id="116"/>
      <w:bookmarkEnd w:id="117"/>
      <w:bookmarkEnd w:id="118"/>
    </w:p>
    <w:p>
      <w:pPr>
        <w:spacing w:before="0" w:after="200" w:line="276" w:lineRule="auto"/>
        <w:rPr>
          <w:noProof/>
        </w:rPr>
      </w:pPr>
      <w:r>
        <w:rPr>
          <w:noProof/>
        </w:rPr>
        <w:t>Propunerea consolidează, simplifică și îmbunătățește mecanismele existente de cooperare administrativă între autoritățile fiscale. Modificările se bazează pe consultări ample cu părțile interesate, precum și pe evaluarea directivei, care s-a încheiat în 2024 și care a arătat că directiva funcționează bine, însă sunt necesare unele îmbunătățiri. În plus, în conformitate cu orientările politice ale Comisiei Europene, obligațiile existente au fost revizuite și simplificate atunci când a fost posibil.</w:t>
      </w:r>
    </w:p>
    <w:p>
      <w:pPr>
        <w:tabs>
          <w:tab w:val="left" w:pos="850"/>
        </w:tabs>
        <w:spacing w:before="0" w:after="200" w:line="276" w:lineRule="auto"/>
        <w:ind w:left="850"/>
        <w:rPr>
          <w:i/>
          <w:noProof/>
        </w:rPr>
      </w:pPr>
      <w:bookmarkStart w:id="119" w:name="_Toc514938033"/>
      <w:bookmarkStart w:id="120" w:name="_Toc520485038"/>
      <w:bookmarkStart w:id="121" w:name="_Toc160804580"/>
      <w:bookmarkStart w:id="122" w:name="_Toc167220272"/>
      <w:bookmarkStart w:id="123" w:name="_Toc177549005"/>
      <w:r>
        <w:rPr>
          <w:i/>
          <w:noProof/>
        </w:rPr>
        <w:t>1.5.4.</w:t>
      </w:r>
      <w:r>
        <w:rPr>
          <w:noProof/>
        </w:rPr>
        <w:tab/>
      </w:r>
      <w:r>
        <w:rPr>
          <w:i/>
          <w:noProof/>
        </w:rPr>
        <w:t>Compatibilitatea cu cadrul financiar multianual și posibilele sinergii cu alte instrumente corespunzătoare</w:t>
      </w:r>
      <w:bookmarkEnd w:id="119"/>
      <w:bookmarkEnd w:id="120"/>
      <w:bookmarkEnd w:id="121"/>
      <w:bookmarkEnd w:id="122"/>
      <w:bookmarkEnd w:id="123"/>
    </w:p>
    <w:p>
      <w:pPr>
        <w:spacing w:before="0" w:after="200" w:line="276" w:lineRule="auto"/>
        <w:rPr>
          <w:noProof/>
        </w:rPr>
      </w:pPr>
      <w:r>
        <w:rPr>
          <w:noProof/>
        </w:rPr>
        <w:t>Având în vedere că propunerea constă într-o reformare a directivei existente privind cooperarea administrativă, procedurile, mecanismele și instrumentele IT deja instituite sau aflate în curs de elaborare în temeiul directivei respective vor fi disponibile în scopurile prezentei propuneri.</w:t>
      </w:r>
    </w:p>
    <w:p>
      <w:pPr>
        <w:tabs>
          <w:tab w:val="left" w:pos="850"/>
        </w:tabs>
        <w:spacing w:before="0" w:after="200" w:line="276" w:lineRule="auto"/>
        <w:ind w:left="850"/>
        <w:rPr>
          <w:i/>
          <w:noProof/>
        </w:rPr>
      </w:pPr>
      <w:bookmarkStart w:id="124" w:name="_Toc514938036"/>
      <w:bookmarkStart w:id="125" w:name="_Toc520485039"/>
      <w:bookmarkStart w:id="126" w:name="_Toc160804581"/>
      <w:bookmarkStart w:id="127" w:name="_Toc167220273"/>
      <w:bookmarkStart w:id="128" w:name="_Toc177549006"/>
      <w:r>
        <w:rPr>
          <w:i/>
          <w:noProof/>
        </w:rPr>
        <w:t>1.5.5.</w:t>
      </w:r>
      <w:r>
        <w:rPr>
          <w:noProof/>
        </w:rPr>
        <w:tab/>
      </w:r>
      <w:r>
        <w:rPr>
          <w:i/>
          <w:noProof/>
        </w:rPr>
        <w:t>Evaluarea diferitelor opțiuni de finanțare disponibile, inclusiv a posibilităților de realocare a creditelor</w:t>
      </w:r>
      <w:bookmarkEnd w:id="124"/>
      <w:bookmarkEnd w:id="125"/>
      <w:bookmarkEnd w:id="126"/>
      <w:bookmarkEnd w:id="127"/>
      <w:bookmarkEnd w:id="128"/>
    </w:p>
    <w:p>
      <w:pPr>
        <w:spacing w:before="0" w:after="200" w:line="276" w:lineRule="auto"/>
        <w:rPr>
          <w:noProof/>
        </w:rPr>
      </w:pPr>
      <w:r>
        <w:rPr>
          <w:noProof/>
        </w:rPr>
        <w:t>Costurile de punere în aplicare a inițiativei vor fi finanțate din bugetul UE numai în ceea ce privește componentele centrale ale sistemului de schimb automat de informații de la articolul 16 și ale instrumentului de verificare a NIF de la articolul 36. Altfel, măsurile avute în vedere vor trebui să fie puse în aplicare de statele membre.</w:t>
      </w:r>
    </w:p>
    <w:p>
      <w:pPr>
        <w:tabs>
          <w:tab w:val="left" w:pos="850"/>
        </w:tabs>
        <w:spacing w:before="0" w:after="200" w:line="276" w:lineRule="auto"/>
        <w:ind w:left="850"/>
        <w:rPr>
          <w:b/>
          <w:bCs/>
          <w:noProof/>
        </w:rPr>
      </w:pPr>
      <w:r>
        <w:rPr>
          <w:noProof/>
        </w:rPr>
        <w:br w:type="page"/>
      </w:r>
      <w:bookmarkStart w:id="129" w:name="_Toc514938039"/>
      <w:bookmarkStart w:id="130" w:name="_Toc520485040"/>
      <w:bookmarkStart w:id="131" w:name="_Toc160804582"/>
      <w:bookmarkStart w:id="132" w:name="_Toc167220274"/>
      <w:bookmarkStart w:id="133" w:name="_Toc177549007"/>
      <w:r>
        <w:rPr>
          <w:b/>
          <w:noProof/>
        </w:rPr>
        <w:lastRenderedPageBreak/>
        <w:t>1.6.</w:t>
      </w:r>
      <w:r>
        <w:rPr>
          <w:noProof/>
        </w:rPr>
        <w:tab/>
      </w:r>
      <w:r>
        <w:rPr>
          <w:b/>
          <w:noProof/>
        </w:rPr>
        <w:t>Durata propunerii/inițiativei</w:t>
      </w:r>
      <w:bookmarkEnd w:id="129"/>
      <w:bookmarkEnd w:id="130"/>
      <w:r>
        <w:rPr>
          <w:b/>
          <w:noProof/>
        </w:rPr>
        <w:t xml:space="preserve"> și a impactului său financiar</w:t>
      </w:r>
      <w:bookmarkEnd w:id="131"/>
      <w:bookmarkEnd w:id="132"/>
      <w:bookmarkEnd w:id="133"/>
    </w:p>
    <w:p>
      <w:pPr>
        <w:spacing w:before="0" w:after="200" w:line="276" w:lineRule="auto"/>
        <w:jc w:val="left"/>
        <w:rPr>
          <w:noProof/>
        </w:rPr>
      </w:pPr>
      <w:sdt>
        <w:sdtPr>
          <w:rPr>
            <w:b/>
            <w:iCs/>
            <w:noProof/>
          </w:rPr>
          <w:id w:val="-1832064649"/>
          <w14:checkbox>
            <w14:checked w14:val="0"/>
            <w14:checkedState w14:val="2612" w14:font="MS Gothic"/>
            <w14:uncheckedState w14:val="2610" w14:font="MS Gothic"/>
          </w14:checkbox>
        </w:sdtPr>
        <w:sdtContent>
          <w:r>
            <w:rPr>
              <w:rFonts w:ascii="MS Gothic" w:eastAsia="MS Gothic" w:hAnsi="MS Gothic" w:hint="eastAsia"/>
              <w:b/>
              <w:iCs/>
              <w:noProof/>
            </w:rPr>
            <w:t>☐</w:t>
          </w:r>
        </w:sdtContent>
      </w:sdt>
      <w:r>
        <w:rPr>
          <w:noProof/>
        </w:rPr>
        <w:t>¨</w:t>
      </w:r>
      <w:r>
        <w:rPr>
          <w:b/>
          <w:i/>
          <w:noProof/>
        </w:rPr>
        <w:t xml:space="preserve"> </w:t>
      </w:r>
      <w:r>
        <w:rPr>
          <w:b/>
          <w:noProof/>
        </w:rPr>
        <w:t xml:space="preserve">durată limitată </w:t>
      </w:r>
    </w:p>
    <w:p>
      <w:pPr>
        <w:pStyle w:val="Tiret0"/>
        <w:numPr>
          <w:ilvl w:val="0"/>
          <w:numId w:val="63"/>
        </w:numPr>
        <w:rPr>
          <w:noProof/>
        </w:rPr>
      </w:pPr>
      <w:r>
        <w:rPr>
          <w:noProof/>
        </w:rPr>
        <w:t xml:space="preserve">de la [ZZ/LL]AAAA până la [ZZ/LL]AAAA </w:t>
      </w:r>
    </w:p>
    <w:p>
      <w:pPr>
        <w:pStyle w:val="Tiret0"/>
        <w:rPr>
          <w:noProof/>
        </w:rPr>
      </w:pPr>
      <w:r>
        <w:rPr>
          <w:noProof/>
        </w:rPr>
        <w:t xml:space="preserve">impactul financiar din AAAA până în AAAA pentru creditele de angajament și din AAAA până în AAAA pentru creditele de plată. </w:t>
      </w:r>
    </w:p>
    <w:p>
      <w:pPr>
        <w:spacing w:before="0" w:after="200" w:line="276" w:lineRule="auto"/>
        <w:jc w:val="left"/>
        <w:rPr>
          <w:noProof/>
        </w:rPr>
      </w:pPr>
      <w:sdt>
        <w:sdtPr>
          <w:rPr>
            <w:b/>
            <w:iCs/>
            <w:noProof/>
          </w:rPr>
          <w:id w:val="356935553"/>
          <w14:checkbox>
            <w14:checked w14:val="1"/>
            <w14:checkedState w14:val="2612" w14:font="MS Gothic"/>
            <w14:uncheckedState w14:val="2610" w14:font="MS Gothic"/>
          </w14:checkbox>
        </w:sdtPr>
        <w:sdtContent>
          <w:r>
            <w:rPr>
              <w:rFonts w:ascii="Segoe UI Symbol" w:hAnsi="Segoe UI Symbol" w:cs="Segoe UI Symbol"/>
              <w:b/>
              <w:iCs/>
              <w:noProof/>
            </w:rPr>
            <w:t>☒</w:t>
          </w:r>
        </w:sdtContent>
      </w:sdt>
      <w:r>
        <w:rPr>
          <w:b/>
          <w:iCs/>
          <w:noProof/>
        </w:rPr>
        <w:t xml:space="preserve"> </w:t>
      </w:r>
      <w:r>
        <w:rPr>
          <w:b/>
          <w:noProof/>
        </w:rPr>
        <w:t>durată nelimitată</w:t>
      </w:r>
    </w:p>
    <w:p>
      <w:pPr>
        <w:pStyle w:val="Tiret0"/>
        <w:rPr>
          <w:noProof/>
        </w:rPr>
      </w:pPr>
      <w:r>
        <w:rPr>
          <w:noProof/>
        </w:rPr>
        <w:t>punere în aplicare cu o perioadă de creștere în intensitate din 2027,</w:t>
      </w:r>
    </w:p>
    <w:p>
      <w:pPr>
        <w:pStyle w:val="Tiret0"/>
        <w:rPr>
          <w:noProof/>
        </w:rPr>
      </w:pPr>
      <w:r>
        <w:rPr>
          <w:noProof/>
        </w:rPr>
        <w:t>urmată de o perioadă de funcționare la capacitate maximă în 2030.</w:t>
      </w:r>
    </w:p>
    <w:p>
      <w:pPr>
        <w:tabs>
          <w:tab w:val="left" w:pos="850"/>
        </w:tabs>
        <w:spacing w:before="0" w:after="200" w:line="276" w:lineRule="auto"/>
        <w:ind w:left="850"/>
        <w:jc w:val="left"/>
        <w:rPr>
          <w:b/>
          <w:bCs/>
          <w:noProof/>
        </w:rPr>
      </w:pPr>
      <w:bookmarkStart w:id="134" w:name="_Toc514938040"/>
      <w:bookmarkStart w:id="135" w:name="_Toc520485041"/>
      <w:bookmarkStart w:id="136" w:name="_Toc160804583"/>
      <w:bookmarkStart w:id="137" w:name="_Toc167220275"/>
      <w:bookmarkStart w:id="138" w:name="_Toc177549008"/>
      <w:r>
        <w:rPr>
          <w:b/>
          <w:noProof/>
        </w:rPr>
        <w:t>1.7.</w:t>
      </w:r>
      <w:r>
        <w:rPr>
          <w:noProof/>
        </w:rPr>
        <w:tab/>
      </w:r>
      <w:r>
        <w:rPr>
          <w:b/>
          <w:noProof/>
        </w:rPr>
        <w:t>Metoda (metodele) de execuție a bugetului planificată (planificate)</w:t>
      </w:r>
      <w:bookmarkEnd w:id="134"/>
      <w:bookmarkEnd w:id="135"/>
      <w:bookmarkEnd w:id="136"/>
      <w:bookmarkEnd w:id="137"/>
      <w:bookmarkEnd w:id="138"/>
      <w:r>
        <w:rPr>
          <w:b/>
          <w:noProof/>
          <w:vertAlign w:val="superscript"/>
        </w:rPr>
        <w:t xml:space="preserve"> </w:t>
      </w:r>
    </w:p>
    <w:p>
      <w:pPr>
        <w:spacing w:before="0" w:after="200" w:line="276" w:lineRule="auto"/>
        <w:jc w:val="left"/>
        <w:rPr>
          <w:noProof/>
        </w:rPr>
      </w:pPr>
      <w:sdt>
        <w:sdtPr>
          <w:rPr>
            <w:b/>
            <w:iCs/>
            <w:noProof/>
          </w:rPr>
          <w:id w:val="124207261"/>
          <w14:checkbox>
            <w14:checked w14:val="1"/>
            <w14:checkedState w14:val="2612" w14:font="MS Gothic"/>
            <w14:uncheckedState w14:val="2610" w14:font="MS Gothic"/>
          </w14:checkbox>
        </w:sdtPr>
        <w:sdtContent>
          <w:r>
            <w:rPr>
              <w:rFonts w:ascii="MS Gothic" w:eastAsia="MS Gothic" w:hAnsi="MS Gothic" w:hint="eastAsia"/>
              <w:b/>
              <w:iCs/>
              <w:noProof/>
            </w:rPr>
            <w:t>☒</w:t>
          </w:r>
        </w:sdtContent>
      </w:sdt>
      <w:r>
        <w:rPr>
          <w:b/>
          <w:iCs/>
          <w:noProof/>
        </w:rPr>
        <w:t xml:space="preserve"> </w:t>
      </w:r>
      <w:r>
        <w:rPr>
          <w:b/>
          <w:noProof/>
        </w:rPr>
        <w:t>Gestiune directă</w:t>
      </w:r>
      <w:r>
        <w:rPr>
          <w:noProof/>
        </w:rPr>
        <w:t xml:space="preserve"> asigurată de Comisie</w:t>
      </w:r>
    </w:p>
    <w:p>
      <w:pPr>
        <w:pStyle w:val="Tiret0"/>
        <w:rPr>
          <w:noProof/>
        </w:rPr>
      </w:pPr>
      <w:r>
        <w:rPr>
          <w:noProof/>
        </w:rPr>
        <w:t xml:space="preserve">prin intermediul serviciilor sale, inclusiv al personalului din delegațiile Uniunii </w:t>
      </w:r>
    </w:p>
    <w:p>
      <w:pPr>
        <w:pStyle w:val="Tiret0"/>
        <w:rPr>
          <w:noProof/>
        </w:rPr>
      </w:pPr>
      <w:r>
        <w:rPr>
          <w:noProof/>
        </w:rPr>
        <w:t xml:space="preserve">prin intermediul agențiilor executive </w:t>
      </w:r>
    </w:p>
    <w:p>
      <w:pPr>
        <w:spacing w:before="0" w:after="200" w:line="276" w:lineRule="auto"/>
        <w:jc w:val="left"/>
        <w:rPr>
          <w:noProof/>
        </w:rPr>
      </w:pPr>
      <w:sdt>
        <w:sdtPr>
          <w:rPr>
            <w:b/>
            <w:iCs/>
            <w:noProof/>
          </w:rPr>
          <w:id w:val="-1849634995"/>
          <w14:checkbox>
            <w14:checked w14:val="0"/>
            <w14:checkedState w14:val="2612" w14:font="MS Gothic"/>
            <w14:uncheckedState w14:val="2610" w14:font="MS Gothic"/>
          </w14:checkbox>
        </w:sdtPr>
        <w:sdtContent>
          <w:r>
            <w:rPr>
              <w:rFonts w:ascii="MS Gothic" w:eastAsia="MS Gothic" w:hAnsi="MS Gothic" w:hint="eastAsia"/>
              <w:b/>
              <w:iCs/>
              <w:noProof/>
            </w:rPr>
            <w:t>☐</w:t>
          </w:r>
        </w:sdtContent>
      </w:sdt>
      <w:r>
        <w:rPr>
          <w:noProof/>
        </w:rPr>
        <w:t>¨</w:t>
      </w:r>
      <w:r>
        <w:rPr>
          <w:b/>
          <w:i/>
          <w:noProof/>
        </w:rPr>
        <w:t xml:space="preserve"> </w:t>
      </w:r>
      <w:r>
        <w:rPr>
          <w:b/>
          <w:noProof/>
        </w:rPr>
        <w:t>Gestiune partajată</w:t>
      </w:r>
      <w:r>
        <w:rPr>
          <w:noProof/>
        </w:rPr>
        <w:t xml:space="preserve"> cu statele membre </w:t>
      </w:r>
    </w:p>
    <w:p>
      <w:pPr>
        <w:spacing w:before="0" w:after="200" w:line="276" w:lineRule="auto"/>
        <w:jc w:val="left"/>
        <w:rPr>
          <w:noProof/>
        </w:rPr>
      </w:pPr>
      <w:sdt>
        <w:sdtPr>
          <w:rPr>
            <w:b/>
            <w:iCs/>
            <w:noProof/>
          </w:rPr>
          <w:id w:val="-531119214"/>
          <w14:checkbox>
            <w14:checked w14:val="0"/>
            <w14:checkedState w14:val="2612" w14:font="MS Gothic"/>
            <w14:uncheckedState w14:val="2610" w14:font="MS Gothic"/>
          </w14:checkbox>
        </w:sdtPr>
        <w:sdtContent>
          <w:r>
            <w:rPr>
              <w:rFonts w:ascii="MS Gothic" w:eastAsia="MS Gothic" w:hAnsi="MS Gothic" w:hint="eastAsia"/>
              <w:b/>
              <w:iCs/>
              <w:noProof/>
            </w:rPr>
            <w:t>☐</w:t>
          </w:r>
        </w:sdtContent>
      </w:sdt>
      <w:r>
        <w:rPr>
          <w:noProof/>
        </w:rPr>
        <w:t>¨</w:t>
      </w:r>
      <w:r>
        <w:rPr>
          <w:i/>
          <w:noProof/>
        </w:rPr>
        <w:t xml:space="preserve"> </w:t>
      </w:r>
      <w:r>
        <w:rPr>
          <w:b/>
          <w:noProof/>
        </w:rPr>
        <w:t>Gestiune indirectă</w:t>
      </w:r>
      <w:r>
        <w:rPr>
          <w:noProof/>
        </w:rPr>
        <w:t>, cu delegarea sarcinilor de execuție bugetară:</w:t>
      </w:r>
    </w:p>
    <w:p>
      <w:pPr>
        <w:pStyle w:val="Tiret0"/>
        <w:rPr>
          <w:noProof/>
        </w:rPr>
      </w:pPr>
      <w:r>
        <w:rPr>
          <w:noProof/>
        </w:rPr>
        <w:t>țărilor terțe sau organismelor pe care le-au desemnat acestea</w:t>
      </w:r>
    </w:p>
    <w:p>
      <w:pPr>
        <w:pStyle w:val="Tiret0"/>
        <w:rPr>
          <w:noProof/>
        </w:rPr>
      </w:pPr>
      <w:r>
        <w:rPr>
          <w:noProof/>
        </w:rPr>
        <w:t>organizațiilor internaționale și agențiilor acestora (a se preciza)</w:t>
      </w:r>
    </w:p>
    <w:p>
      <w:pPr>
        <w:pStyle w:val="Tiret0"/>
        <w:rPr>
          <w:noProof/>
        </w:rPr>
      </w:pPr>
      <w:r>
        <w:rPr>
          <w:noProof/>
        </w:rPr>
        <w:t>Băncii Europene de Investiții și Fondului European de Investiții</w:t>
      </w:r>
    </w:p>
    <w:p>
      <w:pPr>
        <w:pStyle w:val="Tiret0"/>
        <w:rPr>
          <w:noProof/>
        </w:rPr>
      </w:pPr>
      <w:r>
        <w:rPr>
          <w:noProof/>
        </w:rPr>
        <w:t>organismelor menționate la articolele 70 și 71 din Regulamentul financiar</w:t>
      </w:r>
    </w:p>
    <w:p>
      <w:pPr>
        <w:pStyle w:val="Tiret0"/>
        <w:rPr>
          <w:noProof/>
        </w:rPr>
      </w:pPr>
      <w:r>
        <w:rPr>
          <w:noProof/>
        </w:rPr>
        <w:t>organismelor de drept public</w:t>
      </w:r>
    </w:p>
    <w:p>
      <w:pPr>
        <w:pStyle w:val="Tiret0"/>
        <w:rPr>
          <w:noProof/>
        </w:rPr>
      </w:pPr>
      <w:r>
        <w:rPr>
          <w:noProof/>
        </w:rPr>
        <w:t>organismelor de drept privat cu misiune de serviciu public, cu condiția să li se furnizeze garanții financiare adecvate</w:t>
      </w:r>
    </w:p>
    <w:p>
      <w:pPr>
        <w:pStyle w:val="Tiret0"/>
        <w:rPr>
          <w:noProof/>
        </w:rPr>
      </w:pPr>
      <w:r>
        <w:rPr>
          <w:noProof/>
        </w:rPr>
        <w:t>organismelor de drept privat dintr-un stat membru care sunt responsabile cu punerea în aplicare a unui parteneriat public-privat și cărora li se furnizează garanții financiare adecvate</w:t>
      </w:r>
    </w:p>
    <w:p>
      <w:pPr>
        <w:pStyle w:val="Tiret0"/>
        <w:rPr>
          <w:noProof/>
        </w:rPr>
      </w:pPr>
      <w:r>
        <w:rPr>
          <w:noProof/>
        </w:rPr>
        <w:t>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pPr>
        <w:pStyle w:val="Tiret0"/>
        <w:rPr>
          <w:noProof/>
        </w:rPr>
      </w:pPr>
      <w:r>
        <w:rPr>
          <w:noProof/>
        </w:rPr>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pPr>
        <w:keepNext/>
        <w:spacing w:before="0" w:after="200" w:line="276" w:lineRule="auto"/>
        <w:jc w:val="left"/>
        <w:rPr>
          <w:b/>
          <w:bCs/>
          <w:noProof/>
        </w:rPr>
      </w:pPr>
      <w:r>
        <w:rPr>
          <w:b/>
          <w:noProof/>
        </w:rPr>
        <w:lastRenderedPageBreak/>
        <w:t xml:space="preserve">Observații </w:t>
      </w:r>
    </w:p>
    <w:p>
      <w:pPr>
        <w:spacing w:before="0" w:after="200" w:line="276" w:lineRule="auto"/>
        <w:rPr>
          <w:noProof/>
        </w:rPr>
      </w:pPr>
      <w:r>
        <w:rPr>
          <w:noProof/>
        </w:rPr>
        <w:t>Prezenta propunere se bazează pe cadrul și pe sistemele existente pentru schimbul automat de informații, care au fost dezvoltate în temeiul articolului 21 din Directiva 2011/16/UE și în contextul modificărilor anterioare (articolul 43 din propunere). Comisia elaborează, împreună cu statele membre, un format electronic standardizat pentru schimbul de informații prin intermediul unor măsuri de punere în aplicare. În ceea ce privește schimbul securizat de informații digitale (SDIE), prin care se va putea realiza schimbul de informații între statele membre, Comisia este responsabilă pentru dezvoltarea, întreținerea și adaptarea unei astfel de rețele, iar statele membre se vor angaja să creeze infrastructura internă adecvată care să facă posibil schimbul de informații prin intermediul rețelei SDIE. Comisia va dezvolta un nou instrument pentru verificarea NIF, bazându-se, de asemenea, pe experiența dobândită cu instrumentul existent în domeniul TVA.</w:t>
      </w:r>
    </w:p>
    <w:p>
      <w:pPr>
        <w:spacing w:before="0" w:after="200" w:line="276" w:lineRule="auto"/>
        <w:jc w:val="left"/>
        <w:rPr>
          <w:noProof/>
        </w:rPr>
        <w:sectPr>
          <w:pgSz w:w="11907" w:h="16840" w:code="9"/>
          <w:pgMar w:top="1134" w:right="1418" w:bottom="1134" w:left="1418" w:header="709" w:footer="709" w:gutter="0"/>
          <w:pgNumType w:start="1"/>
          <w:cols w:space="708"/>
          <w:docGrid w:linePitch="360"/>
        </w:sectPr>
      </w:pPr>
    </w:p>
    <w:p>
      <w:pPr>
        <w:tabs>
          <w:tab w:val="left" w:pos="850"/>
        </w:tabs>
        <w:spacing w:before="0" w:after="200" w:line="276" w:lineRule="auto"/>
        <w:ind w:left="850"/>
        <w:jc w:val="left"/>
        <w:rPr>
          <w:b/>
          <w:bCs/>
          <w:noProof/>
        </w:rPr>
      </w:pPr>
      <w:bookmarkStart w:id="139" w:name="_Toc514938041"/>
      <w:bookmarkStart w:id="140" w:name="_Toc520485042"/>
      <w:bookmarkStart w:id="141" w:name="_Toc160804584"/>
      <w:bookmarkStart w:id="142" w:name="_Toc167220276"/>
      <w:bookmarkStart w:id="143" w:name="_Toc177549009"/>
      <w:r>
        <w:rPr>
          <w:b/>
          <w:noProof/>
        </w:rPr>
        <w:lastRenderedPageBreak/>
        <w:t>2.</w:t>
      </w:r>
      <w:r>
        <w:rPr>
          <w:noProof/>
        </w:rPr>
        <w:tab/>
      </w:r>
      <w:r>
        <w:rPr>
          <w:b/>
          <w:noProof/>
        </w:rPr>
        <w:t>MĂSURI DE GESTIUNE</w:t>
      </w:r>
      <w:bookmarkEnd w:id="139"/>
      <w:bookmarkEnd w:id="140"/>
      <w:bookmarkEnd w:id="141"/>
      <w:bookmarkEnd w:id="142"/>
      <w:bookmarkEnd w:id="143"/>
      <w:r>
        <w:rPr>
          <w:b/>
          <w:noProof/>
        </w:rPr>
        <w:t xml:space="preserve"> </w:t>
      </w:r>
    </w:p>
    <w:p>
      <w:pPr>
        <w:tabs>
          <w:tab w:val="left" w:pos="850"/>
        </w:tabs>
        <w:spacing w:before="0" w:after="200" w:line="276" w:lineRule="auto"/>
        <w:ind w:left="850"/>
        <w:jc w:val="left"/>
        <w:rPr>
          <w:b/>
          <w:noProof/>
        </w:rPr>
      </w:pPr>
      <w:bookmarkStart w:id="144" w:name="_Toc514938042"/>
      <w:bookmarkStart w:id="145" w:name="_Toc520485043"/>
      <w:bookmarkStart w:id="146" w:name="_Toc160804585"/>
      <w:bookmarkStart w:id="147" w:name="_Toc167220277"/>
      <w:bookmarkStart w:id="148" w:name="_Toc177549010"/>
      <w:r>
        <w:rPr>
          <w:b/>
          <w:noProof/>
        </w:rPr>
        <w:t>2.1.</w:t>
      </w:r>
      <w:r>
        <w:rPr>
          <w:noProof/>
        </w:rPr>
        <w:tab/>
      </w:r>
      <w:r>
        <w:rPr>
          <w:b/>
          <w:noProof/>
        </w:rPr>
        <w:t>Dispoziții în materie de monitorizare și de raportare</w:t>
      </w:r>
      <w:bookmarkEnd w:id="144"/>
      <w:bookmarkEnd w:id="145"/>
      <w:bookmarkEnd w:id="146"/>
      <w:bookmarkEnd w:id="147"/>
      <w:bookmarkEnd w:id="148"/>
      <w:r>
        <w:rPr>
          <w:b/>
          <w:noProof/>
        </w:rPr>
        <w:t xml:space="preserve"> </w:t>
      </w:r>
    </w:p>
    <w:p>
      <w:pPr>
        <w:spacing w:before="0" w:after="200" w:line="276" w:lineRule="auto"/>
        <w:jc w:val="left"/>
        <w:rPr>
          <w:noProof/>
        </w:rPr>
      </w:pPr>
      <w:r>
        <w:rPr>
          <w:noProof/>
        </w:rPr>
        <w:t>A se preciza frecvența și condițiile.</w:t>
      </w:r>
    </w:p>
    <w:p>
      <w:pPr>
        <w:spacing w:before="0" w:after="200" w:line="276" w:lineRule="auto"/>
        <w:rPr>
          <w:noProof/>
        </w:rPr>
      </w:pPr>
      <w:r>
        <w:rPr>
          <w:noProof/>
        </w:rPr>
        <w:t>Comisia va evalua funcționarea intervenției în raport cu principalele obiective de politică. Monitorizarea și evaluarea vor fi efectuate în conformitate cu celelalte elemente ale cooperării administrative.</w:t>
      </w:r>
    </w:p>
    <w:p>
      <w:pPr>
        <w:spacing w:before="0" w:after="200" w:line="276" w:lineRule="auto"/>
        <w:rPr>
          <w:noProof/>
        </w:rPr>
      </w:pPr>
      <w:r>
        <w:rPr>
          <w:noProof/>
        </w:rPr>
        <w:t>Statele membre vor transmite anual Comisiei date corespunzătoare informațiilor prezentate în tabelul de mai sus, referitor la indicatorii de performanță, care vor fi utilizate pentru monitorizarea conformității cu propunerea.</w:t>
      </w:r>
    </w:p>
    <w:p>
      <w:pPr>
        <w:spacing w:before="0" w:after="200" w:line="276" w:lineRule="auto"/>
        <w:jc w:val="left"/>
        <w:rPr>
          <w:noProof/>
        </w:rPr>
      </w:pPr>
      <w:r>
        <w:rPr>
          <w:noProof/>
        </w:rPr>
        <w:t>Statele membre se angajează:</w:t>
      </w:r>
    </w:p>
    <w:p>
      <w:pPr>
        <w:pStyle w:val="Text1"/>
        <w:rPr>
          <w:noProof/>
        </w:rPr>
      </w:pPr>
      <w:r>
        <w:rPr>
          <w:noProof/>
        </w:rPr>
        <w:t>- să comunice Comisiei o evaluare anuală a eficacității schimbului automat de informații prevăzut în prezenta propunere;</w:t>
      </w:r>
    </w:p>
    <w:p>
      <w:pPr>
        <w:pStyle w:val="Text1"/>
        <w:rPr>
          <w:noProof/>
        </w:rPr>
      </w:pPr>
      <w:r>
        <w:rPr>
          <w:noProof/>
        </w:rPr>
        <w:t>- să furnizeze o listă de date statistice, care este stabilită de Comisie în conformitate cu procedura de la articolul 51 alineatul (2) (măsuri de punere în aplicare), pentru evaluarea prezentei directive;</w:t>
      </w:r>
    </w:p>
    <w:p>
      <w:pPr>
        <w:pStyle w:val="Text1"/>
        <w:rPr>
          <w:noProof/>
        </w:rPr>
      </w:pPr>
      <w:r>
        <w:rPr>
          <w:noProof/>
        </w:rPr>
        <w:t xml:space="preserve">- să comunice anual Comisiei rezultatele evaluării lor privind eficacitatea cooperării administrative. </w:t>
      </w:r>
    </w:p>
    <w:p>
      <w:pPr>
        <w:spacing w:before="0" w:after="200" w:line="276" w:lineRule="auto"/>
        <w:rPr>
          <w:noProof/>
        </w:rPr>
      </w:pPr>
      <w:r>
        <w:rPr>
          <w:noProof/>
        </w:rPr>
        <w:t>La articolul 48 din propunere, Comisia s-a angajat să transmită un raport cu privire la aplicarea directivei o dată la cinci ani, termenul începând să curgă după 1 ianuarie 2013.</w:t>
      </w:r>
    </w:p>
    <w:p>
      <w:pPr>
        <w:tabs>
          <w:tab w:val="left" w:pos="850"/>
        </w:tabs>
        <w:spacing w:before="0" w:after="200" w:line="276" w:lineRule="auto"/>
        <w:ind w:left="850"/>
        <w:jc w:val="left"/>
        <w:rPr>
          <w:b/>
          <w:bCs/>
          <w:noProof/>
        </w:rPr>
      </w:pPr>
      <w:bookmarkStart w:id="149" w:name="_Toc514938045"/>
      <w:bookmarkStart w:id="150" w:name="_Toc520485044"/>
      <w:bookmarkStart w:id="151" w:name="_Toc160804586"/>
      <w:bookmarkStart w:id="152" w:name="_Toc167220278"/>
      <w:bookmarkStart w:id="153" w:name="_Toc177549011"/>
      <w:r>
        <w:rPr>
          <w:b/>
          <w:noProof/>
        </w:rPr>
        <w:t>2.2.</w:t>
      </w:r>
      <w:r>
        <w:rPr>
          <w:noProof/>
        </w:rPr>
        <w:tab/>
      </w:r>
      <w:r>
        <w:rPr>
          <w:b/>
          <w:noProof/>
        </w:rPr>
        <w:t>Sistemul (sistemele) de gestiune și de control</w:t>
      </w:r>
      <w:bookmarkEnd w:id="149"/>
      <w:bookmarkEnd w:id="150"/>
      <w:bookmarkEnd w:id="151"/>
      <w:bookmarkEnd w:id="152"/>
      <w:bookmarkEnd w:id="153"/>
      <w:r>
        <w:rPr>
          <w:b/>
          <w:noProof/>
        </w:rPr>
        <w:t xml:space="preserve"> </w:t>
      </w:r>
    </w:p>
    <w:p>
      <w:pPr>
        <w:tabs>
          <w:tab w:val="left" w:pos="850"/>
        </w:tabs>
        <w:spacing w:before="0" w:after="200" w:line="276" w:lineRule="auto"/>
        <w:ind w:left="850"/>
        <w:jc w:val="left"/>
        <w:rPr>
          <w:i/>
          <w:noProof/>
        </w:rPr>
      </w:pPr>
      <w:bookmarkStart w:id="154" w:name="_Toc514938046"/>
      <w:bookmarkStart w:id="155" w:name="_Toc520485045"/>
      <w:bookmarkStart w:id="156" w:name="_Toc160804587"/>
      <w:bookmarkStart w:id="157" w:name="_Toc167220279"/>
      <w:bookmarkStart w:id="158" w:name="_Toc177549012"/>
      <w:r>
        <w:rPr>
          <w:i/>
          <w:noProof/>
        </w:rPr>
        <w:t>2.2.1.</w:t>
      </w:r>
      <w:r>
        <w:rPr>
          <w:noProof/>
        </w:rPr>
        <w:tab/>
      </w:r>
      <w:r>
        <w:rPr>
          <w:i/>
          <w:noProof/>
        </w:rPr>
        <w:t>Justificarea metodei (metodelor) de execuție bugetară, a mecanismului (mecanismelor) de punere în aplicare a finanțării, a modalităților de plată și a strategiei de control propuse</w:t>
      </w:r>
      <w:bookmarkEnd w:id="154"/>
      <w:bookmarkEnd w:id="155"/>
      <w:bookmarkEnd w:id="156"/>
      <w:bookmarkEnd w:id="157"/>
      <w:bookmarkEnd w:id="158"/>
    </w:p>
    <w:p>
      <w:pPr>
        <w:spacing w:before="0" w:after="200" w:line="276" w:lineRule="auto"/>
        <w:rPr>
          <w:noProof/>
        </w:rPr>
      </w:pPr>
      <w:r>
        <w:rPr>
          <w:noProof/>
        </w:rPr>
        <w:t>Punerea în aplicare a inițiativei se va baza pe autoritățile competente (administrațiile fiscale) ale statelor membre. Ele vor fi responsabile de finanțarea propriilor sisteme naționale și a adaptărilor necesare pentru ca schimburile să aibă loc.</w:t>
      </w:r>
    </w:p>
    <w:p>
      <w:pPr>
        <w:spacing w:before="0" w:after="200" w:line="276" w:lineRule="auto"/>
        <w:rPr>
          <w:noProof/>
        </w:rPr>
      </w:pPr>
      <w:r>
        <w:rPr>
          <w:noProof/>
        </w:rPr>
        <w:t>Comisia va institui infrastructura care va face posibilă realizarea schimburilor între autoritățile fiscale ale statelor membre. Au fost instituite sisteme informatice pentru domeniul de aplicare actual al DAC, care vor fi utilizate și pentru această inițiativă. Comisia va finanța adaptările sistemelor necesare pentru efectuarea schimburilor care vor conține principalele elemente de control, și anume pe cele privind contractele de achiziții, verificarea tehnică a achizițiilor, verificarea ex ante a angajamentelor și verificarea ex ante a plăților.</w:t>
      </w:r>
    </w:p>
    <w:p>
      <w:pPr>
        <w:tabs>
          <w:tab w:val="left" w:pos="850"/>
        </w:tabs>
        <w:spacing w:before="0" w:after="200" w:line="276" w:lineRule="auto"/>
        <w:ind w:left="850"/>
        <w:jc w:val="left"/>
        <w:rPr>
          <w:bCs/>
          <w:i/>
          <w:noProof/>
        </w:rPr>
      </w:pPr>
      <w:bookmarkStart w:id="159" w:name="_Toc514938047"/>
      <w:bookmarkStart w:id="160" w:name="_Toc520485046"/>
      <w:bookmarkStart w:id="161" w:name="_Toc160804588"/>
      <w:bookmarkStart w:id="162" w:name="_Toc167220280"/>
      <w:bookmarkStart w:id="163" w:name="_Toc177549013"/>
      <w:r>
        <w:rPr>
          <w:i/>
          <w:noProof/>
        </w:rPr>
        <w:t>2.2.2.</w:t>
      </w:r>
      <w:r>
        <w:rPr>
          <w:noProof/>
        </w:rPr>
        <w:tab/>
      </w:r>
      <w:r>
        <w:rPr>
          <w:i/>
          <w:noProof/>
        </w:rPr>
        <w:t>Informații privind riscurile identificate și sistemul (sistemele) de control intern instituit(e) pentru atenuarea lor</w:t>
      </w:r>
      <w:bookmarkEnd w:id="159"/>
      <w:bookmarkEnd w:id="160"/>
      <w:bookmarkEnd w:id="161"/>
      <w:bookmarkEnd w:id="162"/>
      <w:bookmarkEnd w:id="163"/>
    </w:p>
    <w:p>
      <w:pPr>
        <w:spacing w:before="0" w:after="200" w:line="276" w:lineRule="auto"/>
        <w:rPr>
          <w:noProof/>
        </w:rPr>
      </w:pPr>
      <w:r>
        <w:rPr>
          <w:noProof/>
        </w:rPr>
        <w:t xml:space="preserve">Pentru a se asigura evaluarea conformității generale cu obligațiile de raportare ale întreprinderilor, statele membre vor avea obligația să raporteze anual Comisiei statisticile </w:t>
      </w:r>
      <w:r>
        <w:rPr>
          <w:noProof/>
        </w:rPr>
        <w:lastRenderedPageBreak/>
        <w:t>relevante. În plus, administrațiile naționale vor fi responsabile de aplicarea sancțiunilor și, în general, de asigurarea conformității cu intervenția propusă. De asemenea, administrațiile fiscale naționale vor fi în măsură să efectueze audituri pentru a detecta și a descuraja neconformitățile.</w:t>
      </w:r>
    </w:p>
    <w:p>
      <w:pPr>
        <w:spacing w:before="0" w:after="200" w:line="276" w:lineRule="auto"/>
        <w:rPr>
          <w:noProof/>
        </w:rPr>
      </w:pPr>
      <w:r>
        <w:rPr>
          <w:noProof/>
        </w:rPr>
        <w:t>Programul ulterior programului Fiscalis</w:t>
      </w:r>
      <w:r>
        <w:rPr>
          <w:rStyle w:val="FootnoteReference"/>
          <w:noProof/>
        </w:rPr>
        <w:footnoteReference w:id="58"/>
      </w:r>
      <w:r>
        <w:rPr>
          <w:noProof/>
        </w:rPr>
        <w:t xml:space="preserve"> va sprijini sistemul de control intern, prin furnizarea de fonduri pentru următoarele:</w:t>
      </w:r>
    </w:p>
    <w:p>
      <w:pPr>
        <w:spacing w:before="0" w:after="200" w:line="276" w:lineRule="auto"/>
        <w:rPr>
          <w:noProof/>
        </w:rPr>
      </w:pPr>
      <w:r>
        <w:rPr>
          <w:noProof/>
        </w:rPr>
        <w:t>- acțiuni comune (de exemplu sub forma grupurilor de proiecte);</w:t>
      </w:r>
    </w:p>
    <w:p>
      <w:pPr>
        <w:spacing w:before="0" w:after="200" w:line="276" w:lineRule="auto"/>
        <w:rPr>
          <w:noProof/>
        </w:rPr>
      </w:pPr>
      <w:r>
        <w:rPr>
          <w:noProof/>
        </w:rPr>
        <w:t>- elaborarea specificațiilor tehnice, inclusiv a schemei XML.</w:t>
      </w:r>
    </w:p>
    <w:p>
      <w:pPr>
        <w:spacing w:before="0" w:after="200" w:line="276" w:lineRule="auto"/>
        <w:rPr>
          <w:noProof/>
        </w:rPr>
      </w:pPr>
      <w:r>
        <w:rPr>
          <w:noProof/>
        </w:rPr>
        <w:t>Elementele principale ale strategiei de control sunt:</w:t>
      </w:r>
    </w:p>
    <w:p>
      <w:pPr>
        <w:spacing w:before="0" w:after="200" w:line="276" w:lineRule="auto"/>
        <w:jc w:val="left"/>
        <w:rPr>
          <w:i/>
          <w:iCs/>
          <w:noProof/>
        </w:rPr>
      </w:pPr>
      <w:r>
        <w:rPr>
          <w:i/>
          <w:noProof/>
        </w:rPr>
        <w:t>Contractele de achiziții publice</w:t>
      </w:r>
    </w:p>
    <w:p>
      <w:pPr>
        <w:spacing w:before="0" w:after="200" w:line="276" w:lineRule="auto"/>
        <w:rPr>
          <w:noProof/>
        </w:rPr>
      </w:pPr>
      <w:r>
        <w:rPr>
          <w:noProof/>
        </w:rPr>
        <w:t>Procedurile de control pentru achiziții publice definite în Regulamentul financiar: orice contract de achiziții publice se realizează în conformitate cu procedura consacrată de verificare, de către serviciile Comisiei, pentru efectuarea plății, ținând cont de obligațiile contractuale și de buna gestionare financiară și generală. În toate contractele încheiate între Comisie și beneficiari sunt prevăzute măsuri antifraudă (controale, rapoarte etc.). Se elaborează caiete de sarcini detaliate, care stau la baza fiecărui contract specific. Procesul de acceptare respectă cu strictețe metodologia TAXUD TEMPO: livrabilele sunt analizate, modificate dacă este necesar și, în cele din urmă, admise (sau respinse) în mod explicit. Nu se plătește nicio factură fără o „scrisoare de acceptare”.</w:t>
      </w:r>
    </w:p>
    <w:p>
      <w:pPr>
        <w:spacing w:before="0" w:after="200" w:line="276" w:lineRule="auto"/>
        <w:jc w:val="left"/>
        <w:rPr>
          <w:i/>
          <w:iCs/>
          <w:noProof/>
        </w:rPr>
      </w:pPr>
      <w:r>
        <w:rPr>
          <w:i/>
          <w:noProof/>
        </w:rPr>
        <w:t>Verificarea tehnică a achizițiilor publice</w:t>
      </w:r>
    </w:p>
    <w:p>
      <w:pPr>
        <w:spacing w:before="0" w:after="200" w:line="276" w:lineRule="auto"/>
        <w:rPr>
          <w:noProof/>
        </w:rPr>
      </w:pPr>
      <w:r>
        <w:rPr>
          <w:noProof/>
        </w:rPr>
        <w:t>DG TAXUD efectuează controale privind livrabilele și supraveghează operațiunile și serviciile prestate de contractanți. De asemenea, efectuează în mod regulat audituri de calitate și de securitate la nivelul contractanților. Auditurile de calitate verifică gradul în care procesele efective ale contractanților respectă normele și procedurile definite în planurile de calitate ale acestora. Auditurile de securitate se concentrează pe procese, proceduri și configurații specifice.</w:t>
      </w:r>
    </w:p>
    <w:p>
      <w:pPr>
        <w:spacing w:before="0" w:after="200" w:line="276" w:lineRule="auto"/>
        <w:rPr>
          <w:noProof/>
        </w:rPr>
      </w:pPr>
      <w:r>
        <w:rPr>
          <w:noProof/>
        </w:rPr>
        <w:t>Pe lângă controalele menționate mai sus, DG TAXUD execută controale financiare tradiționale:</w:t>
      </w:r>
    </w:p>
    <w:p>
      <w:pPr>
        <w:spacing w:before="0" w:after="200" w:line="276" w:lineRule="auto"/>
        <w:rPr>
          <w:i/>
          <w:iCs/>
          <w:noProof/>
        </w:rPr>
      </w:pPr>
      <w:r>
        <w:rPr>
          <w:i/>
          <w:noProof/>
        </w:rPr>
        <w:t>Verificarea ex ante a angajamentelor</w:t>
      </w:r>
    </w:p>
    <w:p>
      <w:pPr>
        <w:spacing w:before="0" w:after="200" w:line="276" w:lineRule="auto"/>
        <w:rPr>
          <w:noProof/>
        </w:rPr>
      </w:pPr>
      <w:r>
        <w:rPr>
          <w:noProof/>
        </w:rPr>
        <w:t xml:space="preserve">Toate angajamentele din cadrul DG TAXUD sunt verificate de șeful unității Finanțe, achiziții publice și conformitate. Prin urmare, 100 % din sumele angajate sunt acoperite de verificarea </w:t>
      </w:r>
      <w:r>
        <w:rPr>
          <w:noProof/>
        </w:rPr>
        <w:lastRenderedPageBreak/>
        <w:t>ex ante. Această procedură oferă un nivel ridicat de garantare a legalității și regularității tranzacțiilor.</w:t>
      </w:r>
    </w:p>
    <w:p>
      <w:pPr>
        <w:spacing w:before="0" w:after="200" w:line="276" w:lineRule="auto"/>
        <w:jc w:val="left"/>
        <w:rPr>
          <w:i/>
          <w:iCs/>
          <w:noProof/>
        </w:rPr>
      </w:pPr>
      <w:r>
        <w:rPr>
          <w:i/>
          <w:noProof/>
        </w:rPr>
        <w:t>Verificarea ex ante a plăților</w:t>
      </w:r>
    </w:p>
    <w:p>
      <w:pPr>
        <w:spacing w:before="0" w:after="200" w:line="276" w:lineRule="auto"/>
        <w:rPr>
          <w:noProof/>
        </w:rPr>
      </w:pPr>
      <w:r>
        <w:rPr>
          <w:noProof/>
        </w:rPr>
        <w:t>100 % din plăți sunt verificate ex ante. În plus, cel puțin o plată (din toate categoriile de cheltuieli) pe săptămână este selectată aleatoriu pentru o verificare ex ante suplimentară efectuată de către șeful unității Finanțe, achiziții publice și conformitate. Nu există niciun obiectiv legat de acoperire, deoarece scopul acestei verificări este de a controla plățile în mod „aleatoriu” pentru a verifica dacă toate plățile au fost pregătite în conformitate cu cerințele. Restul plăților sunt prelucrate zilnic în conformitate cu normele în vigoare.</w:t>
      </w:r>
    </w:p>
    <w:p>
      <w:pPr>
        <w:spacing w:before="0" w:after="200" w:line="276" w:lineRule="auto"/>
        <w:jc w:val="left"/>
        <w:rPr>
          <w:i/>
          <w:iCs/>
          <w:noProof/>
        </w:rPr>
      </w:pPr>
      <w:r>
        <w:rPr>
          <w:i/>
          <w:noProof/>
        </w:rPr>
        <w:t>Declarațiile ordonatorilor de credite subdelegați</w:t>
      </w:r>
    </w:p>
    <w:p>
      <w:pPr>
        <w:spacing w:before="0" w:after="200" w:line="276" w:lineRule="auto"/>
        <w:rPr>
          <w:noProof/>
        </w:rPr>
      </w:pPr>
      <w:r>
        <w:rPr>
          <w:noProof/>
        </w:rPr>
        <w:t>Toți ordonatorii de credite subdelegați semnează declarații în sprijinul raportului anual de activitate pentru anul în cauză. Aceste declarații acoperă operațiunile din cadrul programului. Ordonatorii de credite subdelegați declară că operațiunile legate de execuția bugetară au fost efectuate în conformitate cu principiile bunei gestiuni financiare, că sistemele de gestionare și de control existente oferă suficiente garanții privind legalitatea și regularitatea tranzacțiilor și că riscurile asociate acestor operațiuni au fost identificate corect și raportate și că au fost puse în aplicare acțiuni de atenuare.</w:t>
      </w:r>
    </w:p>
    <w:p>
      <w:pPr>
        <w:tabs>
          <w:tab w:val="left" w:pos="850"/>
        </w:tabs>
        <w:spacing w:before="0" w:after="200" w:line="276" w:lineRule="auto"/>
        <w:ind w:left="850"/>
        <w:jc w:val="left"/>
        <w:rPr>
          <w:i/>
          <w:noProof/>
        </w:rPr>
      </w:pPr>
      <w:bookmarkStart w:id="164" w:name="_Toc514938048"/>
      <w:bookmarkStart w:id="165" w:name="_Toc520485047"/>
      <w:bookmarkStart w:id="166" w:name="_Toc160804589"/>
      <w:bookmarkStart w:id="167" w:name="_Toc167220281"/>
      <w:bookmarkStart w:id="168" w:name="_Toc177549014"/>
      <w:r>
        <w:rPr>
          <w:i/>
          <w:noProof/>
        </w:rPr>
        <w:t>2.2.3.</w:t>
      </w:r>
      <w:r>
        <w:rPr>
          <w:noProof/>
        </w:rPr>
        <w:tab/>
      </w:r>
      <w:r>
        <w:rPr>
          <w:i/>
          <w:noProof/>
        </w:rPr>
        <w:t>Estimarea și justificarea raportului cost-eficacitate al controalelor (raportul dintre costurile controalelor și valoarea fondurilor aferente gestionate) și evaluarea nivelurilor preconizate ale riscurilor de eroare (la plată și la închidere)</w:t>
      </w:r>
      <w:bookmarkEnd w:id="164"/>
      <w:bookmarkEnd w:id="165"/>
      <w:bookmarkEnd w:id="166"/>
      <w:bookmarkEnd w:id="167"/>
      <w:bookmarkEnd w:id="168"/>
      <w:r>
        <w:rPr>
          <w:i/>
          <w:noProof/>
        </w:rPr>
        <w:t xml:space="preserve"> </w:t>
      </w:r>
    </w:p>
    <w:p>
      <w:pPr>
        <w:spacing w:before="0" w:after="200" w:line="276" w:lineRule="auto"/>
        <w:rPr>
          <w:noProof/>
        </w:rPr>
      </w:pPr>
      <w:r>
        <w:rPr>
          <w:noProof/>
        </w:rPr>
        <w:t xml:space="preserve">Controalele stabilite permit DG TAXUD să aibă garanții suficiente cu privire la calitatea și la regularitatea cheltuielilor și să reducă riscul de neconformitate. Măsurile strategiei de control menționate mai sus reduc riscurile potențiale sub ținta de 2 % și acoperă toți beneficiarii. Orice măsură suplimentară pentru a reduce și mai mult riscul ar conduce la costuri disproporționat de ridicate și, prin urmare, nu este avută în vedere. Costurile totale ocazionate de punerea în aplicare a strategiei de control de mai sus – pentru toate cheltuielile din cadrul noului program – sunt limitate la 1,6 % din plățile totale efectuate. Se preconizează că ele vor rămâne la același nivel pentru această inițiativă. Strategia de control a programului limitează riscul de neconformitate practic la zero și rămâne proporțională cu riscurile implicate. </w:t>
      </w:r>
    </w:p>
    <w:p>
      <w:pPr>
        <w:tabs>
          <w:tab w:val="left" w:pos="850"/>
        </w:tabs>
        <w:spacing w:before="0" w:after="200" w:line="276" w:lineRule="auto"/>
        <w:ind w:left="850"/>
        <w:jc w:val="left"/>
        <w:rPr>
          <w:b/>
          <w:bCs/>
          <w:noProof/>
        </w:rPr>
      </w:pPr>
      <w:bookmarkStart w:id="169" w:name="_Toc514938049"/>
      <w:bookmarkStart w:id="170" w:name="_Toc520485048"/>
      <w:bookmarkStart w:id="171" w:name="_Toc160804590"/>
      <w:bookmarkStart w:id="172" w:name="_Toc167220282"/>
      <w:bookmarkStart w:id="173" w:name="_Toc177549015"/>
      <w:r>
        <w:rPr>
          <w:b/>
          <w:noProof/>
        </w:rPr>
        <w:t>2.3.</w:t>
      </w:r>
      <w:r>
        <w:rPr>
          <w:noProof/>
        </w:rPr>
        <w:tab/>
      </w:r>
      <w:r>
        <w:rPr>
          <w:b/>
          <w:noProof/>
        </w:rPr>
        <w:t>Măsuri de prevenire a fraudelor și a neregulilor</w:t>
      </w:r>
      <w:bookmarkEnd w:id="169"/>
      <w:bookmarkEnd w:id="170"/>
      <w:bookmarkEnd w:id="171"/>
      <w:bookmarkEnd w:id="172"/>
      <w:bookmarkEnd w:id="173"/>
      <w:r>
        <w:rPr>
          <w:b/>
          <w:noProof/>
        </w:rPr>
        <w:t xml:space="preserve"> </w:t>
      </w:r>
    </w:p>
    <w:p>
      <w:pPr>
        <w:spacing w:before="0" w:after="200" w:line="276" w:lineRule="auto"/>
        <w:jc w:val="left"/>
        <w:rPr>
          <w:noProof/>
        </w:rPr>
      </w:pPr>
      <w:r>
        <w:rPr>
          <w:noProof/>
        </w:rPr>
        <w:t>Oficiul European de Luptă Antifraudă (OLAF) poate efectua investigații, inclusiv verificări și inspecții la fața locului, în conformitate cu dispozițiile și procedurile prevăzute de Regulamentul (CE) nr. 1073/1999 al Parlamentului European și al Consiliului</w:t>
      </w:r>
      <w:r>
        <w:rPr>
          <w:rStyle w:val="FootnoteReference"/>
          <w:noProof/>
        </w:rPr>
        <w:footnoteReference w:id="59"/>
      </w:r>
      <w:r>
        <w:rPr>
          <w:noProof/>
        </w:rPr>
        <w:t xml:space="preserve"> și de </w:t>
      </w:r>
      <w:r>
        <w:rPr>
          <w:noProof/>
        </w:rPr>
        <w:lastRenderedPageBreak/>
        <w:t>Regulamentul (Euratom, CE) nr. 2185/96 al Consiliului</w:t>
      </w:r>
      <w:r>
        <w:rPr>
          <w:rStyle w:val="FootnoteReference"/>
          <w:noProof/>
        </w:rPr>
        <w:footnoteReference w:id="60"/>
      </w:r>
      <w:r>
        <w:rPr>
          <w:noProof/>
        </w:rPr>
        <w:t xml:space="preserve"> pentru a stabili existența fraudei, a corupției sau a oricăror alte activități ilegale care afectează interesele financiare ale Uniunii în legătură cu un acord de grant, cu o decizie de acordare a unui grant sau cu un contract finanțat în temeiul acestui regulament.</w:t>
      </w:r>
    </w:p>
    <w:p>
      <w:pPr>
        <w:spacing w:before="0" w:after="200" w:line="276" w:lineRule="auto"/>
        <w:jc w:val="left"/>
        <w:rPr>
          <w:noProof/>
        </w:rPr>
        <w:sectPr>
          <w:pgSz w:w="11907" w:h="16840" w:code="9"/>
          <w:pgMar w:top="1134" w:right="1418" w:bottom="1134" w:left="1418" w:header="709" w:footer="709" w:gutter="0"/>
          <w:cols w:space="708"/>
          <w:docGrid w:linePitch="360"/>
        </w:sectPr>
      </w:pPr>
    </w:p>
    <w:p>
      <w:pPr>
        <w:tabs>
          <w:tab w:val="left" w:pos="850"/>
        </w:tabs>
        <w:spacing w:before="0" w:after="200" w:line="276" w:lineRule="auto"/>
        <w:ind w:left="850"/>
        <w:jc w:val="left"/>
        <w:rPr>
          <w:b/>
          <w:noProof/>
        </w:rPr>
      </w:pPr>
      <w:bookmarkStart w:id="174" w:name="_Toc514938050"/>
      <w:bookmarkStart w:id="175" w:name="_Toc520485049"/>
      <w:bookmarkStart w:id="176" w:name="_Toc160804591"/>
      <w:bookmarkStart w:id="177" w:name="_Toc167220283"/>
      <w:bookmarkStart w:id="178" w:name="_Toc177549016"/>
      <w:r>
        <w:rPr>
          <w:b/>
          <w:noProof/>
        </w:rPr>
        <w:lastRenderedPageBreak/>
        <w:t>3.</w:t>
      </w:r>
      <w:r>
        <w:rPr>
          <w:noProof/>
        </w:rPr>
        <w:tab/>
      </w:r>
      <w:r>
        <w:rPr>
          <w:b/>
          <w:noProof/>
        </w:rPr>
        <w:t>IMPACTUL FINANCIAR ESTIMAT AL PROPUNERII/INIȚIATIVEI</w:t>
      </w:r>
      <w:bookmarkEnd w:id="174"/>
      <w:bookmarkEnd w:id="175"/>
      <w:bookmarkEnd w:id="176"/>
      <w:bookmarkEnd w:id="177"/>
      <w:bookmarkEnd w:id="178"/>
      <w:r>
        <w:rPr>
          <w:b/>
          <w:noProof/>
        </w:rPr>
        <w:t xml:space="preserve"> </w:t>
      </w:r>
    </w:p>
    <w:p>
      <w:pPr>
        <w:spacing w:before="0" w:after="200" w:line="276" w:lineRule="auto"/>
        <w:rPr>
          <w:noProof/>
        </w:rPr>
      </w:pPr>
      <w:r>
        <w:rPr>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tabs>
          <w:tab w:val="left" w:pos="850"/>
        </w:tabs>
        <w:spacing w:before="0" w:after="200" w:line="276" w:lineRule="auto"/>
        <w:ind w:left="850"/>
        <w:jc w:val="left"/>
        <w:rPr>
          <w:b/>
          <w:noProof/>
        </w:rPr>
      </w:pPr>
      <w:bookmarkStart w:id="179" w:name="_Toc514938051"/>
      <w:bookmarkStart w:id="180" w:name="_Toc520485050"/>
      <w:bookmarkStart w:id="181" w:name="_Toc160804592"/>
      <w:bookmarkStart w:id="182" w:name="_Toc167220284"/>
      <w:bookmarkStart w:id="183" w:name="_Toc177549017"/>
      <w:r>
        <w:rPr>
          <w:b/>
          <w:noProof/>
        </w:rPr>
        <w:t>3.1.</w:t>
      </w:r>
      <w:r>
        <w:rPr>
          <w:noProof/>
        </w:rPr>
        <w:tab/>
      </w:r>
      <w:r>
        <w:rPr>
          <w:b/>
          <w:noProof/>
        </w:rPr>
        <w:t>Rubrica (rubricile) din cadrul financiar multianual și linia (liniile) bugetară (bugetare) de cheltuieli afectată (afectate)</w:t>
      </w:r>
      <w:bookmarkEnd w:id="179"/>
      <w:bookmarkEnd w:id="180"/>
      <w:bookmarkEnd w:id="181"/>
      <w:bookmarkEnd w:id="182"/>
      <w:bookmarkEnd w:id="183"/>
      <w:r>
        <w:rPr>
          <w:b/>
          <w:noProof/>
        </w:rPr>
        <w:t xml:space="preserve"> </w:t>
      </w:r>
    </w:p>
    <w:p>
      <w:pPr>
        <w:pStyle w:val="Bullet0"/>
        <w:numPr>
          <w:ilvl w:val="0"/>
          <w:numId w:val="64"/>
        </w:numPr>
        <w:rPr>
          <w:noProof/>
        </w:rPr>
      </w:pPr>
      <w:r>
        <w:rPr>
          <w:noProof/>
        </w:rPr>
        <w:t xml:space="preserve">Linii bugetare existente </w:t>
      </w:r>
    </w:p>
    <w:p>
      <w:pPr>
        <w:spacing w:before="0" w:after="200" w:line="276" w:lineRule="auto"/>
        <w:jc w:val="left"/>
        <w:rPr>
          <w:i/>
          <w:noProof/>
        </w:rPr>
      </w:pPr>
      <w:r>
        <w:rPr>
          <w:i/>
          <w:noProof/>
        </w:rPr>
        <w:t>În ordinea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3909"/>
        <w:gridCol w:w="1185"/>
        <w:gridCol w:w="966"/>
        <w:gridCol w:w="1092"/>
        <w:gridCol w:w="966"/>
        <w:gridCol w:w="1463"/>
      </w:tblGrid>
      <w:tr>
        <w:trPr>
          <w:jc w:val="center"/>
        </w:trPr>
        <w:tc>
          <w:tcPr>
            <w:tcW w:w="1092" w:type="dxa"/>
            <w:vMerge w:val="restart"/>
            <w:vAlign w:val="center"/>
          </w:tcPr>
          <w:p>
            <w:pPr>
              <w:spacing w:before="0" w:after="200" w:line="276" w:lineRule="auto"/>
              <w:jc w:val="left"/>
              <w:rPr>
                <w:noProof/>
              </w:rPr>
            </w:pPr>
            <w:r>
              <w:rPr>
                <w:noProof/>
              </w:rPr>
              <w:t>Rubrica din cadrul financiar multianual</w:t>
            </w:r>
          </w:p>
        </w:tc>
        <w:tc>
          <w:tcPr>
            <w:tcW w:w="3909" w:type="dxa"/>
            <w:vAlign w:val="center"/>
          </w:tcPr>
          <w:p>
            <w:pPr>
              <w:spacing w:before="0" w:after="200" w:line="276" w:lineRule="auto"/>
              <w:jc w:val="left"/>
              <w:rPr>
                <w:noProof/>
              </w:rPr>
            </w:pPr>
            <w:r>
              <w:rPr>
                <w:noProof/>
              </w:rPr>
              <w:t>Linia bugetară</w:t>
            </w:r>
          </w:p>
        </w:tc>
        <w:tc>
          <w:tcPr>
            <w:tcW w:w="1185" w:type="dxa"/>
            <w:vAlign w:val="center"/>
          </w:tcPr>
          <w:p>
            <w:pPr>
              <w:spacing w:before="0" w:after="200" w:line="276" w:lineRule="auto"/>
              <w:jc w:val="left"/>
              <w:rPr>
                <w:noProof/>
              </w:rPr>
            </w:pPr>
            <w:r>
              <w:rPr>
                <w:noProof/>
              </w:rPr>
              <w:t>Tipul de cheltuieli</w:t>
            </w:r>
          </w:p>
        </w:tc>
        <w:tc>
          <w:tcPr>
            <w:tcW w:w="4487" w:type="dxa"/>
            <w:gridSpan w:val="4"/>
            <w:vAlign w:val="center"/>
          </w:tcPr>
          <w:p>
            <w:pPr>
              <w:spacing w:before="0" w:after="200" w:line="276" w:lineRule="auto"/>
              <w:jc w:val="left"/>
              <w:rPr>
                <w:noProof/>
              </w:rPr>
            </w:pPr>
            <w:r>
              <w:rPr>
                <w:noProof/>
              </w:rPr>
              <w:t xml:space="preserve">Contribuție </w:t>
            </w:r>
          </w:p>
        </w:tc>
      </w:tr>
      <w:tr>
        <w:trPr>
          <w:cantSplit/>
          <w:jc w:val="center"/>
        </w:trPr>
        <w:tc>
          <w:tcPr>
            <w:tcW w:w="1092" w:type="dxa"/>
            <w:vMerge/>
            <w:vAlign w:val="center"/>
          </w:tcPr>
          <w:p>
            <w:pPr>
              <w:spacing w:before="0" w:after="200" w:line="276" w:lineRule="auto"/>
              <w:jc w:val="left"/>
              <w:rPr>
                <w:noProof/>
              </w:rPr>
            </w:pPr>
          </w:p>
        </w:tc>
        <w:tc>
          <w:tcPr>
            <w:tcW w:w="3909" w:type="dxa"/>
            <w:vAlign w:val="center"/>
          </w:tcPr>
          <w:p>
            <w:pPr>
              <w:spacing w:before="0" w:after="200" w:line="276" w:lineRule="auto"/>
              <w:jc w:val="left"/>
              <w:rPr>
                <w:noProof/>
              </w:rPr>
            </w:pPr>
            <w:r>
              <w:rPr>
                <w:noProof/>
              </w:rPr>
              <w:t xml:space="preserve">Numărul </w:t>
            </w:r>
            <w:r>
              <w:rPr>
                <w:noProof/>
              </w:rPr>
              <w:br/>
            </w:r>
          </w:p>
        </w:tc>
        <w:tc>
          <w:tcPr>
            <w:tcW w:w="1185" w:type="dxa"/>
            <w:vAlign w:val="center"/>
          </w:tcPr>
          <w:p>
            <w:pPr>
              <w:spacing w:before="0" w:after="200" w:line="276" w:lineRule="auto"/>
              <w:jc w:val="left"/>
              <w:rPr>
                <w:noProof/>
              </w:rPr>
            </w:pPr>
            <w:r>
              <w:rPr>
                <w:noProof/>
              </w:rPr>
              <w:t>Dif./Nedif.</w:t>
            </w:r>
            <w:r>
              <w:rPr>
                <w:rStyle w:val="FootnoteReference"/>
                <w:noProof/>
              </w:rPr>
              <w:footnoteReference w:id="61"/>
            </w:r>
          </w:p>
        </w:tc>
        <w:tc>
          <w:tcPr>
            <w:tcW w:w="966" w:type="dxa"/>
            <w:vAlign w:val="center"/>
          </w:tcPr>
          <w:p>
            <w:pPr>
              <w:spacing w:before="0" w:after="200" w:line="276" w:lineRule="auto"/>
              <w:jc w:val="left"/>
              <w:rPr>
                <w:b/>
                <w:noProof/>
              </w:rPr>
            </w:pPr>
            <w:r>
              <w:rPr>
                <w:noProof/>
              </w:rPr>
              <w:t>din partea țărilor AELS</w:t>
            </w:r>
            <w:r>
              <w:rPr>
                <w:rStyle w:val="FootnoteReference"/>
                <w:noProof/>
              </w:rPr>
              <w:footnoteReference w:id="62"/>
            </w:r>
          </w:p>
        </w:tc>
        <w:tc>
          <w:tcPr>
            <w:tcW w:w="1092" w:type="dxa"/>
            <w:vAlign w:val="center"/>
          </w:tcPr>
          <w:p>
            <w:pPr>
              <w:spacing w:before="0" w:after="200" w:line="276" w:lineRule="auto"/>
              <w:jc w:val="left"/>
              <w:rPr>
                <w:noProof/>
              </w:rPr>
            </w:pPr>
            <w:r>
              <w:rPr>
                <w:noProof/>
              </w:rPr>
              <w:t>din partea țărilor candidate și potențial candidate</w:t>
            </w:r>
            <w:r>
              <w:rPr>
                <w:rStyle w:val="FootnoteReference"/>
                <w:noProof/>
              </w:rPr>
              <w:footnoteReference w:id="63"/>
            </w:r>
          </w:p>
        </w:tc>
        <w:tc>
          <w:tcPr>
            <w:tcW w:w="966" w:type="dxa"/>
            <w:vAlign w:val="center"/>
          </w:tcPr>
          <w:p>
            <w:pPr>
              <w:spacing w:before="0" w:after="200" w:line="276" w:lineRule="auto"/>
              <w:jc w:val="left"/>
              <w:rPr>
                <w:noProof/>
              </w:rPr>
            </w:pPr>
            <w:r>
              <w:rPr>
                <w:noProof/>
              </w:rPr>
              <w:t>din partea altor țări terțe</w:t>
            </w:r>
          </w:p>
        </w:tc>
        <w:tc>
          <w:tcPr>
            <w:tcW w:w="1463" w:type="dxa"/>
            <w:vAlign w:val="center"/>
          </w:tcPr>
          <w:p>
            <w:pPr>
              <w:spacing w:before="0" w:after="200" w:line="276" w:lineRule="auto"/>
              <w:jc w:val="left"/>
              <w:rPr>
                <w:noProof/>
              </w:rPr>
            </w:pPr>
            <w:r>
              <w:rPr>
                <w:noProof/>
              </w:rPr>
              <w:t>alte venituri alocate</w:t>
            </w:r>
          </w:p>
        </w:tc>
      </w:tr>
      <w:tr>
        <w:trPr>
          <w:jc w:val="center"/>
        </w:trPr>
        <w:tc>
          <w:tcPr>
            <w:tcW w:w="1092" w:type="dxa"/>
            <w:vAlign w:val="center"/>
          </w:tcPr>
          <w:p>
            <w:pPr>
              <w:spacing w:before="0" w:after="200" w:line="276" w:lineRule="auto"/>
              <w:jc w:val="left"/>
              <w:rPr>
                <w:noProof/>
              </w:rPr>
            </w:pPr>
            <w:r>
              <w:rPr>
                <w:noProof/>
              </w:rPr>
              <w:t>1</w:t>
            </w:r>
          </w:p>
        </w:tc>
        <w:tc>
          <w:tcPr>
            <w:tcW w:w="3909" w:type="dxa"/>
            <w:vAlign w:val="center"/>
          </w:tcPr>
          <w:p>
            <w:pPr>
              <w:spacing w:before="0" w:after="200" w:line="276" w:lineRule="auto"/>
              <w:jc w:val="left"/>
              <w:rPr>
                <w:noProof/>
              </w:rPr>
            </w:pPr>
            <w:r>
              <w:rPr>
                <w:noProof/>
              </w:rPr>
              <w:t>05.0305 – Programul privind piața unică și domeniul vamal</w:t>
            </w:r>
          </w:p>
        </w:tc>
        <w:tc>
          <w:tcPr>
            <w:tcW w:w="1185" w:type="dxa"/>
            <w:vAlign w:val="center"/>
          </w:tcPr>
          <w:p>
            <w:pPr>
              <w:spacing w:before="0" w:after="200" w:line="276" w:lineRule="auto"/>
              <w:jc w:val="left"/>
              <w:rPr>
                <w:noProof/>
              </w:rPr>
            </w:pPr>
            <w:r>
              <w:rPr>
                <w:noProof/>
              </w:rPr>
              <w:t>Dif.</w:t>
            </w:r>
          </w:p>
        </w:tc>
        <w:tc>
          <w:tcPr>
            <w:tcW w:w="966" w:type="dxa"/>
            <w:vAlign w:val="center"/>
          </w:tcPr>
          <w:p>
            <w:pPr>
              <w:spacing w:before="0" w:after="200" w:line="276" w:lineRule="auto"/>
              <w:jc w:val="left"/>
              <w:rPr>
                <w:noProof/>
              </w:rPr>
            </w:pPr>
            <w:r>
              <w:rPr>
                <w:noProof/>
              </w:rPr>
              <w:t>NU</w:t>
            </w:r>
          </w:p>
        </w:tc>
        <w:tc>
          <w:tcPr>
            <w:tcW w:w="1092" w:type="dxa"/>
            <w:vAlign w:val="center"/>
          </w:tcPr>
          <w:p>
            <w:pPr>
              <w:spacing w:before="0" w:after="200" w:line="276" w:lineRule="auto"/>
              <w:jc w:val="left"/>
              <w:rPr>
                <w:noProof/>
              </w:rPr>
            </w:pPr>
            <w:r>
              <w:rPr>
                <w:noProof/>
              </w:rPr>
              <w:t>NU</w:t>
            </w:r>
          </w:p>
        </w:tc>
        <w:tc>
          <w:tcPr>
            <w:tcW w:w="966" w:type="dxa"/>
            <w:vAlign w:val="center"/>
          </w:tcPr>
          <w:p>
            <w:pPr>
              <w:spacing w:before="0" w:after="200" w:line="276" w:lineRule="auto"/>
              <w:jc w:val="left"/>
              <w:rPr>
                <w:noProof/>
              </w:rPr>
            </w:pPr>
            <w:r>
              <w:rPr>
                <w:noProof/>
              </w:rPr>
              <w:t>NU</w:t>
            </w:r>
          </w:p>
        </w:tc>
        <w:tc>
          <w:tcPr>
            <w:tcW w:w="1463" w:type="dxa"/>
            <w:vAlign w:val="center"/>
          </w:tcPr>
          <w:p>
            <w:pPr>
              <w:spacing w:before="0" w:after="200" w:line="276" w:lineRule="auto"/>
              <w:jc w:val="left"/>
              <w:rPr>
                <w:noProof/>
              </w:rPr>
            </w:pPr>
            <w:r>
              <w:rPr>
                <w:noProof/>
              </w:rPr>
              <w:t>NU</w:t>
            </w:r>
          </w:p>
        </w:tc>
      </w:tr>
    </w:tbl>
    <w:p>
      <w:pPr>
        <w:spacing w:before="0" w:after="200" w:line="276" w:lineRule="auto"/>
        <w:jc w:val="left"/>
        <w:rPr>
          <w:noProof/>
        </w:rPr>
        <w:sectPr>
          <w:pgSz w:w="11907" w:h="16840" w:code="1"/>
          <w:pgMar w:top="1134" w:right="1418" w:bottom="1134" w:left="1418" w:header="709" w:footer="709" w:gutter="0"/>
          <w:cols w:space="708"/>
          <w:docGrid w:linePitch="360"/>
        </w:sectPr>
      </w:pPr>
    </w:p>
    <w:p>
      <w:pPr>
        <w:tabs>
          <w:tab w:val="left" w:pos="850"/>
        </w:tabs>
        <w:spacing w:before="0" w:after="200" w:line="276" w:lineRule="auto"/>
        <w:ind w:left="850"/>
        <w:jc w:val="left"/>
        <w:rPr>
          <w:b/>
          <w:bCs/>
          <w:noProof/>
        </w:rPr>
      </w:pPr>
      <w:bookmarkStart w:id="184" w:name="_Toc514938052"/>
      <w:bookmarkStart w:id="185" w:name="_Toc520485051"/>
      <w:bookmarkStart w:id="186" w:name="_Toc160804593"/>
      <w:bookmarkStart w:id="187" w:name="_Toc167220285"/>
      <w:bookmarkStart w:id="188" w:name="_Toc177549018"/>
      <w:r>
        <w:rPr>
          <w:b/>
          <w:noProof/>
        </w:rPr>
        <w:lastRenderedPageBreak/>
        <w:t>3.2.</w:t>
      </w:r>
      <w:r>
        <w:rPr>
          <w:noProof/>
        </w:rPr>
        <w:tab/>
      </w:r>
      <w:r>
        <w:rPr>
          <w:b/>
          <w:noProof/>
        </w:rPr>
        <w:t>Impactul financiar estimat al propunerii asupra creditelor</w:t>
      </w:r>
      <w:bookmarkEnd w:id="184"/>
      <w:bookmarkEnd w:id="185"/>
      <w:bookmarkEnd w:id="186"/>
      <w:bookmarkEnd w:id="187"/>
      <w:bookmarkEnd w:id="188"/>
      <w:r>
        <w:rPr>
          <w:b/>
          <w:noProof/>
        </w:rPr>
        <w:t xml:space="preserve"> </w:t>
      </w:r>
    </w:p>
    <w:p>
      <w:pPr>
        <w:tabs>
          <w:tab w:val="left" w:pos="850"/>
        </w:tabs>
        <w:spacing w:before="0" w:after="200" w:line="276" w:lineRule="auto"/>
        <w:ind w:left="850"/>
        <w:jc w:val="left"/>
        <w:rPr>
          <w:i/>
          <w:noProof/>
        </w:rPr>
      </w:pPr>
      <w:bookmarkStart w:id="189" w:name="_Toc514938053"/>
      <w:bookmarkStart w:id="190" w:name="_Toc520485052"/>
      <w:bookmarkStart w:id="191" w:name="_Toc160804594"/>
      <w:bookmarkStart w:id="192" w:name="_Toc167220286"/>
      <w:bookmarkStart w:id="193" w:name="_Toc177549019"/>
      <w:r>
        <w:rPr>
          <w:i/>
          <w:noProof/>
        </w:rPr>
        <w:t>3.2.1.</w:t>
      </w:r>
      <w:r>
        <w:rPr>
          <w:noProof/>
        </w:rPr>
        <w:tab/>
      </w:r>
      <w:r>
        <w:rPr>
          <w:i/>
          <w:noProof/>
        </w:rPr>
        <w:t>Sinteza impactului estimat asupra creditelor operaționale</w:t>
      </w:r>
      <w:bookmarkEnd w:id="189"/>
      <w:bookmarkEnd w:id="190"/>
      <w:bookmarkEnd w:id="191"/>
      <w:bookmarkEnd w:id="192"/>
      <w:bookmarkEnd w:id="193"/>
      <w:r>
        <w:rPr>
          <w:i/>
          <w:noProof/>
        </w:rPr>
        <w:t xml:space="preserve"> </w:t>
      </w:r>
    </w:p>
    <w:p>
      <w:pPr>
        <w:pStyle w:val="Tiret0"/>
        <w:rPr>
          <w:noProof/>
        </w:rPr>
      </w:pPr>
      <w:r>
        <w:rPr>
          <w:noProof/>
        </w:rPr>
        <w:t xml:space="preserve">Propunerea/inițiativa nu implică utilizarea de credite operaționale </w:t>
      </w:r>
    </w:p>
    <w:p>
      <w:pPr>
        <w:pStyle w:val="Tiret0"/>
        <w:rPr>
          <w:noProof/>
        </w:rPr>
      </w:pPr>
      <w:sdt>
        <w:sdtPr>
          <w:rPr>
            <w:noProof/>
          </w:rPr>
          <w:id w:val="242773977"/>
          <w14:checkbox>
            <w14:checked w14:val="1"/>
            <w14:checkedState w14:val="2612" w14:font="MS Gothic"/>
            <w14:uncheckedState w14:val="2610" w14:font="MS Gothic"/>
          </w14:checkbox>
        </w:sdtPr>
        <w:sdtContent>
          <w:r>
            <w:rPr>
              <w:rFonts w:ascii="Segoe UI Symbol" w:hAnsi="Segoe UI Symbol" w:cs="Segoe UI Symbol"/>
              <w:noProof/>
            </w:rPr>
            <w:t>☒</w:t>
          </w:r>
        </w:sdtContent>
      </w:sdt>
      <w:r>
        <w:rPr>
          <w:noProof/>
        </w:rPr>
        <w:tab/>
        <w:t>Propunerea/inițiativa implică utilizarea de credite operaționale, conform explicațiilor de mai jos</w:t>
      </w:r>
    </w:p>
    <w:p>
      <w:pPr>
        <w:tabs>
          <w:tab w:val="left" w:pos="850"/>
        </w:tabs>
        <w:spacing w:before="0" w:after="200" w:line="276" w:lineRule="auto"/>
        <w:ind w:left="850"/>
        <w:jc w:val="left"/>
        <w:rPr>
          <w:i/>
          <w:noProof/>
        </w:rPr>
      </w:pPr>
      <w:bookmarkStart w:id="194" w:name="_Toc160804595"/>
      <w:bookmarkStart w:id="195" w:name="_Toc167220287"/>
      <w:bookmarkStart w:id="196" w:name="_Toc177549020"/>
      <w:r>
        <w:rPr>
          <w:i/>
          <w:noProof/>
        </w:rPr>
        <w:t>3.2.1.1.</w:t>
      </w:r>
      <w:r>
        <w:rPr>
          <w:noProof/>
        </w:rPr>
        <w:tab/>
      </w:r>
      <w:r>
        <w:rPr>
          <w:i/>
          <w:noProof/>
        </w:rPr>
        <w:t>Credite din bugetul votat</w:t>
      </w:r>
      <w:bookmarkEnd w:id="194"/>
      <w:bookmarkEnd w:id="195"/>
      <w:bookmarkEnd w:id="196"/>
    </w:p>
    <w:p>
      <w:pPr>
        <w:spacing w:before="0" w:after="200" w:line="276" w:lineRule="auto"/>
        <w:jc w:val="left"/>
        <w:rPr>
          <w:noProof/>
        </w:rPr>
      </w:pPr>
      <w:r>
        <w:rPr>
          <w:noProof/>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0" w:after="200" w:line="276" w:lineRule="auto"/>
              <w:jc w:val="left"/>
              <w:rPr>
                <w:b/>
                <w:noProof/>
              </w:rPr>
            </w:pPr>
            <w:r>
              <w:rPr>
                <w:b/>
                <w:noProof/>
              </w:rPr>
              <w:t xml:space="preserve">Rubrica din cadrul financiar multianual </w:t>
            </w:r>
          </w:p>
        </w:tc>
        <w:tc>
          <w:tcPr>
            <w:tcW w:w="396" w:type="pct"/>
            <w:vAlign w:val="center"/>
          </w:tcPr>
          <w:p>
            <w:pPr>
              <w:spacing w:before="0" w:after="200" w:line="276" w:lineRule="auto"/>
              <w:jc w:val="left"/>
              <w:rPr>
                <w:noProof/>
              </w:rPr>
            </w:pPr>
            <w:r>
              <w:rPr>
                <w:noProof/>
              </w:rPr>
              <w:t>1</w:t>
            </w:r>
          </w:p>
        </w:tc>
        <w:tc>
          <w:tcPr>
            <w:tcW w:w="2865" w:type="pct"/>
            <w:vAlign w:val="center"/>
          </w:tcPr>
          <w:p>
            <w:pPr>
              <w:spacing w:before="0" w:after="200" w:line="276" w:lineRule="auto"/>
              <w:jc w:val="left"/>
              <w:rPr>
                <w:noProof/>
              </w:rPr>
            </w:pPr>
            <w:r>
              <w:rPr>
                <w:noProof/>
              </w:rPr>
              <w:t>Piața unică</w:t>
            </w:r>
          </w:p>
        </w:tc>
      </w:tr>
    </w:tbl>
    <w:p>
      <w:pPr>
        <w:spacing w:before="0" w:after="200" w:line="276" w:lineRule="auto"/>
        <w:jc w:val="left"/>
        <w:rPr>
          <w:noProof/>
        </w:rPr>
      </w:pPr>
    </w:p>
    <w:tbl>
      <w:tblPr>
        <w:tblW w:w="5000" w:type="pct"/>
        <w:tblLook w:val="04A0" w:firstRow="1" w:lastRow="0" w:firstColumn="1" w:lastColumn="0" w:noHBand="0" w:noVBand="1"/>
      </w:tblPr>
      <w:tblGrid>
        <w:gridCol w:w="3077"/>
        <w:gridCol w:w="1527"/>
        <w:gridCol w:w="1209"/>
        <w:gridCol w:w="793"/>
        <w:gridCol w:w="731"/>
        <w:gridCol w:w="794"/>
        <w:gridCol w:w="794"/>
        <w:gridCol w:w="794"/>
        <w:gridCol w:w="794"/>
        <w:gridCol w:w="794"/>
        <w:gridCol w:w="2913"/>
      </w:tblGrid>
      <w:tr>
        <w:trPr>
          <w:trHeight w:val="410"/>
        </w:trPr>
        <w:tc>
          <w:tcPr>
            <w:tcW w:w="1981"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200" w:line="276" w:lineRule="auto"/>
              <w:jc w:val="left"/>
              <w:rPr>
                <w:noProof/>
              </w:rPr>
            </w:pPr>
            <w:r>
              <w:rPr>
                <w:noProof/>
              </w:rPr>
              <w:t>DG: TAXUD</w:t>
            </w:r>
          </w:p>
        </w:tc>
        <w:tc>
          <w:tcPr>
            <w:tcW w:w="287"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Anul</w:t>
            </w:r>
          </w:p>
        </w:tc>
        <w:tc>
          <w:tcPr>
            <w:tcW w:w="265"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Anul</w:t>
            </w:r>
          </w:p>
        </w:tc>
        <w:tc>
          <w:tcPr>
            <w:tcW w:w="287"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Anul</w:t>
            </w:r>
          </w:p>
        </w:tc>
        <w:tc>
          <w:tcPr>
            <w:tcW w:w="287"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Anul</w:t>
            </w:r>
          </w:p>
        </w:tc>
        <w:tc>
          <w:tcPr>
            <w:tcW w:w="287"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Anul</w:t>
            </w:r>
          </w:p>
        </w:tc>
        <w:tc>
          <w:tcPr>
            <w:tcW w:w="287"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Anul</w:t>
            </w:r>
          </w:p>
        </w:tc>
        <w:tc>
          <w:tcPr>
            <w:tcW w:w="287"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Anul</w:t>
            </w:r>
          </w:p>
        </w:tc>
        <w:tc>
          <w:tcPr>
            <w:tcW w:w="1032"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200" w:line="276" w:lineRule="auto"/>
              <w:jc w:val="left"/>
              <w:rPr>
                <w:b/>
                <w:bCs/>
                <w:noProof/>
              </w:rPr>
            </w:pPr>
            <w:r>
              <w:rPr>
                <w:b/>
                <w:noProof/>
              </w:rPr>
              <w:t>TOTAL CFM 2028-2034</w:t>
            </w:r>
          </w:p>
        </w:tc>
      </w:tr>
      <w:tr>
        <w:trPr>
          <w:trHeight w:val="300"/>
        </w:trPr>
        <w:tc>
          <w:tcPr>
            <w:tcW w:w="1981" w:type="pct"/>
            <w:gridSpan w:val="3"/>
            <w:vMerge/>
            <w:vAlign w:val="center"/>
            <w:hideMark/>
          </w:tcPr>
          <w:p>
            <w:pPr>
              <w:spacing w:before="0" w:after="200" w:line="276" w:lineRule="auto"/>
              <w:jc w:val="left"/>
              <w:rPr>
                <w:noProof/>
              </w:rPr>
            </w:pP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265"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c>
          <w:tcPr>
            <w:tcW w:w="1032" w:type="pct"/>
            <w:vMerge/>
            <w:vAlign w:val="center"/>
            <w:hideMark/>
          </w:tcPr>
          <w:p>
            <w:pPr>
              <w:spacing w:before="0" w:after="200" w:line="276" w:lineRule="auto"/>
              <w:jc w:val="left"/>
              <w:rPr>
                <w:b/>
                <w:bCs/>
                <w:noProof/>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vAlign w:val="center"/>
            <w:hideMark/>
          </w:tcPr>
          <w:p>
            <w:pPr>
              <w:spacing w:before="0" w:after="200" w:line="276" w:lineRule="auto"/>
              <w:jc w:val="left"/>
              <w:rPr>
                <w:noProof/>
              </w:rPr>
            </w:pPr>
            <w:r>
              <w:rPr>
                <w:noProof/>
              </w:rPr>
              <w:t xml:space="preserve">Credite operaționale </w:t>
            </w:r>
          </w:p>
        </w:tc>
      </w:tr>
      <w:tr>
        <w:trPr>
          <w:trHeight w:val="470"/>
        </w:trPr>
        <w:tc>
          <w:tcPr>
            <w:tcW w:w="1090" w:type="pct"/>
            <w:vMerge w:val="restart"/>
            <w:tcBorders>
              <w:top w:val="nil"/>
              <w:left w:val="single" w:sz="8" w:space="0" w:color="auto"/>
              <w:bottom w:val="single" w:sz="8" w:space="0" w:color="000000" w:themeColor="text1"/>
              <w:right w:val="single" w:sz="8" w:space="0" w:color="auto"/>
            </w:tcBorders>
            <w:noWrap/>
            <w:vAlign w:val="center"/>
            <w:hideMark/>
          </w:tcPr>
          <w:p>
            <w:pPr>
              <w:spacing w:before="0" w:after="200" w:line="276" w:lineRule="auto"/>
              <w:jc w:val="left"/>
              <w:rPr>
                <w:noProof/>
              </w:rPr>
            </w:pPr>
            <w:r>
              <w:rPr>
                <w:noProof/>
              </w:rPr>
              <w:t>Linia bugetară 05.0305</w:t>
            </w:r>
          </w:p>
        </w:tc>
        <w:tc>
          <w:tcPr>
            <w:tcW w:w="54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Angajamente</w:t>
            </w:r>
          </w:p>
        </w:tc>
        <w:tc>
          <w:tcPr>
            <w:tcW w:w="34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(1a)</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3,4</w:t>
            </w:r>
          </w:p>
        </w:tc>
        <w:tc>
          <w:tcPr>
            <w:tcW w:w="265"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3,3</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3,2</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1,9</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1,5</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0,5</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0,5</w:t>
            </w:r>
          </w:p>
        </w:tc>
        <w:tc>
          <w:tcPr>
            <w:tcW w:w="1032"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b/>
                <w:noProof/>
              </w:rPr>
              <w:t>14,3</w:t>
            </w:r>
          </w:p>
        </w:tc>
      </w:tr>
      <w:tr>
        <w:trPr>
          <w:trHeight w:val="300"/>
        </w:trPr>
        <w:tc>
          <w:tcPr>
            <w:tcW w:w="1090" w:type="pct"/>
            <w:vMerge/>
            <w:vAlign w:val="center"/>
            <w:hideMark/>
          </w:tcPr>
          <w:p>
            <w:pPr>
              <w:spacing w:before="0" w:after="200" w:line="276" w:lineRule="auto"/>
              <w:jc w:val="left"/>
              <w:rPr>
                <w:noProof/>
              </w:rPr>
            </w:pPr>
          </w:p>
        </w:tc>
        <w:tc>
          <w:tcPr>
            <w:tcW w:w="54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Plăți</w:t>
            </w:r>
          </w:p>
        </w:tc>
        <w:tc>
          <w:tcPr>
            <w:tcW w:w="34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(2a)</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3,4</w:t>
            </w:r>
          </w:p>
        </w:tc>
        <w:tc>
          <w:tcPr>
            <w:tcW w:w="265"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3,3</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3,2</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1,9</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1,5</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0,5</w:t>
            </w:r>
          </w:p>
        </w:tc>
        <w:tc>
          <w:tcPr>
            <w:tcW w:w="287" w:type="pct"/>
            <w:tcBorders>
              <w:top w:val="nil"/>
              <w:left w:val="nil"/>
              <w:bottom w:val="single" w:sz="8" w:space="0" w:color="auto"/>
              <w:right w:val="single" w:sz="8" w:space="0" w:color="auto"/>
            </w:tcBorders>
            <w:hideMark/>
          </w:tcPr>
          <w:p>
            <w:pPr>
              <w:spacing w:before="0" w:after="200" w:line="276" w:lineRule="auto"/>
              <w:jc w:val="left"/>
              <w:rPr>
                <w:noProof/>
              </w:rPr>
            </w:pPr>
            <w:r>
              <w:rPr>
                <w:noProof/>
              </w:rPr>
              <w:t>0,5</w:t>
            </w:r>
          </w:p>
        </w:tc>
        <w:tc>
          <w:tcPr>
            <w:tcW w:w="1032"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b/>
                <w:noProof/>
              </w:rPr>
              <w:t>14,3</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200" w:line="276" w:lineRule="auto"/>
              <w:jc w:val="left"/>
              <w:rPr>
                <w:noProof/>
              </w:rPr>
            </w:pPr>
            <w:r>
              <w:rPr>
                <w:noProof/>
              </w:rPr>
              <w:t>Credite cu caracter administrativ finanțate din bugetul unor programe specifice</w:t>
            </w:r>
            <w:r>
              <w:rPr>
                <w:rStyle w:val="FootnoteReference"/>
                <w:noProof/>
              </w:rPr>
              <w:footnoteReference w:id="64"/>
            </w:r>
          </w:p>
        </w:tc>
      </w:tr>
      <w:tr>
        <w:trPr>
          <w:trHeight w:val="530"/>
        </w:trPr>
        <w:tc>
          <w:tcPr>
            <w:tcW w:w="1090"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Linia bugetară</w:t>
            </w:r>
          </w:p>
        </w:tc>
        <w:tc>
          <w:tcPr>
            <w:tcW w:w="54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34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(3)</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 </w:t>
            </w:r>
          </w:p>
        </w:tc>
        <w:tc>
          <w:tcPr>
            <w:tcW w:w="265"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 </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 </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 </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 </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 </w:t>
            </w:r>
          </w:p>
        </w:tc>
        <w:tc>
          <w:tcPr>
            <w:tcW w:w="287"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 </w:t>
            </w:r>
          </w:p>
        </w:tc>
        <w:tc>
          <w:tcPr>
            <w:tcW w:w="10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200" w:line="276" w:lineRule="auto"/>
              <w:jc w:val="left"/>
              <w:rPr>
                <w:b/>
                <w:bCs/>
                <w:noProof/>
              </w:rPr>
            </w:pPr>
            <w:r>
              <w:rPr>
                <w:b/>
                <w:noProof/>
              </w:rPr>
              <w:t>0</w:t>
            </w:r>
          </w:p>
        </w:tc>
      </w:tr>
      <w:tr>
        <w:trPr>
          <w:trHeight w:val="850"/>
        </w:trPr>
        <w:tc>
          <w:tcPr>
            <w:tcW w:w="1090" w:type="pct"/>
            <w:tcBorders>
              <w:top w:val="nil"/>
              <w:left w:val="single" w:sz="8" w:space="0" w:color="auto"/>
              <w:bottom w:val="nil"/>
              <w:right w:val="single" w:sz="8" w:space="0" w:color="auto"/>
            </w:tcBorders>
            <w:vAlign w:val="center"/>
            <w:hideMark/>
          </w:tcPr>
          <w:p>
            <w:pPr>
              <w:spacing w:before="0" w:after="200" w:line="276" w:lineRule="auto"/>
              <w:jc w:val="left"/>
              <w:rPr>
                <w:b/>
                <w:bCs/>
                <w:noProof/>
              </w:rPr>
            </w:pPr>
            <w:r>
              <w:rPr>
                <w:b/>
                <w:noProof/>
              </w:rPr>
              <w:lastRenderedPageBreak/>
              <w:t>TOTAL credite</w:t>
            </w:r>
          </w:p>
        </w:tc>
        <w:tc>
          <w:tcPr>
            <w:tcW w:w="54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Angajamente</w:t>
            </w:r>
          </w:p>
        </w:tc>
        <w:tc>
          <w:tcPr>
            <w:tcW w:w="34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=1a+1b+3</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3,4</w:t>
            </w:r>
          </w:p>
        </w:tc>
        <w:tc>
          <w:tcPr>
            <w:tcW w:w="265"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3,3</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3,2</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1,9</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1,5</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0,5</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0,5</w:t>
            </w:r>
          </w:p>
        </w:tc>
        <w:tc>
          <w:tcPr>
            <w:tcW w:w="1032"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b/>
                <w:noProof/>
              </w:rPr>
              <w:t>14,3</w:t>
            </w:r>
          </w:p>
        </w:tc>
      </w:tr>
      <w:tr>
        <w:trPr>
          <w:trHeight w:val="570"/>
        </w:trPr>
        <w:tc>
          <w:tcPr>
            <w:tcW w:w="1090"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b/>
                <w:bCs/>
                <w:noProof/>
              </w:rPr>
            </w:pPr>
            <w:r>
              <w:rPr>
                <w:b/>
                <w:noProof/>
              </w:rPr>
              <w:t>pentru DG TAXUD</w:t>
            </w:r>
          </w:p>
        </w:tc>
        <w:tc>
          <w:tcPr>
            <w:tcW w:w="54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Plăți</w:t>
            </w:r>
          </w:p>
        </w:tc>
        <w:tc>
          <w:tcPr>
            <w:tcW w:w="34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=2a+2b+3</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3,4</w:t>
            </w:r>
          </w:p>
        </w:tc>
        <w:tc>
          <w:tcPr>
            <w:tcW w:w="265"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3,3</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3,2</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1,9</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1,5</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0,5</w:t>
            </w:r>
          </w:p>
        </w:tc>
        <w:tc>
          <w:tcPr>
            <w:tcW w:w="287"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noProof/>
              </w:rPr>
              <w:t>0,5</w:t>
            </w:r>
          </w:p>
        </w:tc>
        <w:tc>
          <w:tcPr>
            <w:tcW w:w="1032" w:type="pct"/>
            <w:tcBorders>
              <w:top w:val="nil"/>
              <w:left w:val="nil"/>
              <w:bottom w:val="single" w:sz="8" w:space="0" w:color="auto"/>
              <w:right w:val="single" w:sz="8" w:space="0" w:color="auto"/>
            </w:tcBorders>
            <w:shd w:val="clear" w:color="auto" w:fill="D9D9D9" w:themeFill="background1" w:themeFillShade="D9"/>
            <w:hideMark/>
          </w:tcPr>
          <w:p>
            <w:pPr>
              <w:spacing w:before="0" w:after="200" w:line="276" w:lineRule="auto"/>
              <w:jc w:val="left"/>
              <w:rPr>
                <w:b/>
                <w:bCs/>
                <w:noProof/>
              </w:rPr>
            </w:pPr>
            <w:r>
              <w:rPr>
                <w:b/>
                <w:noProof/>
              </w:rPr>
              <w:t>14,3</w:t>
            </w:r>
          </w:p>
        </w:tc>
      </w:tr>
    </w:tbl>
    <w:p>
      <w:pPr>
        <w:spacing w:before="0" w:after="200" w:line="276" w:lineRule="auto"/>
        <w:jc w:val="left"/>
        <w:rPr>
          <w:noProof/>
        </w:rPr>
      </w:pPr>
    </w:p>
    <w:p>
      <w:pPr>
        <w:spacing w:before="0" w:after="200" w:line="276" w:lineRule="auto"/>
        <w:jc w:val="left"/>
        <w:rPr>
          <w:noProof/>
        </w:rPr>
      </w:pPr>
    </w:p>
    <w:tbl>
      <w:tblPr>
        <w:tblW w:w="5000" w:type="pct"/>
        <w:tblLook w:val="04A0" w:firstRow="1" w:lastRow="0" w:firstColumn="1" w:lastColumn="0" w:noHBand="0" w:noVBand="1"/>
      </w:tblPr>
      <w:tblGrid>
        <w:gridCol w:w="2001"/>
        <w:gridCol w:w="1526"/>
        <w:gridCol w:w="1186"/>
        <w:gridCol w:w="1186"/>
        <w:gridCol w:w="1024"/>
        <w:gridCol w:w="1024"/>
        <w:gridCol w:w="1027"/>
        <w:gridCol w:w="1027"/>
        <w:gridCol w:w="1027"/>
        <w:gridCol w:w="1027"/>
        <w:gridCol w:w="1027"/>
        <w:gridCol w:w="1138"/>
      </w:tblGrid>
      <w:tr>
        <w:trPr>
          <w:trHeight w:val="410"/>
        </w:trPr>
        <w:tc>
          <w:tcPr>
            <w:tcW w:w="704" w:type="pct"/>
            <w:tcBorders>
              <w:top w:val="nil"/>
              <w:left w:val="nil"/>
              <w:bottom w:val="nil"/>
              <w:right w:val="nil"/>
            </w:tcBorders>
            <w:noWrap/>
            <w:vAlign w:val="bottom"/>
            <w:hideMark/>
          </w:tcPr>
          <w:p>
            <w:pPr>
              <w:spacing w:before="0" w:after="200" w:line="276" w:lineRule="auto"/>
              <w:jc w:val="left"/>
              <w:rPr>
                <w:noProof/>
              </w:rPr>
            </w:pPr>
          </w:p>
        </w:tc>
        <w:tc>
          <w:tcPr>
            <w:tcW w:w="537" w:type="pct"/>
            <w:tcBorders>
              <w:top w:val="nil"/>
              <w:left w:val="nil"/>
              <w:bottom w:val="nil"/>
              <w:right w:val="nil"/>
            </w:tcBorders>
            <w:noWrap/>
            <w:vAlign w:val="bottom"/>
            <w:hideMark/>
          </w:tcPr>
          <w:p>
            <w:pPr>
              <w:spacing w:before="0" w:after="200" w:line="276" w:lineRule="auto"/>
              <w:jc w:val="left"/>
              <w:rPr>
                <w:noProof/>
              </w:rPr>
            </w:pPr>
          </w:p>
        </w:tc>
        <w:tc>
          <w:tcPr>
            <w:tcW w:w="417" w:type="pct"/>
            <w:tcBorders>
              <w:top w:val="nil"/>
              <w:left w:val="nil"/>
              <w:bottom w:val="nil"/>
              <w:right w:val="nil"/>
            </w:tcBorders>
            <w:noWrap/>
            <w:vAlign w:val="bottom"/>
            <w:hideMark/>
          </w:tcPr>
          <w:p>
            <w:pPr>
              <w:spacing w:before="0" w:after="200" w:line="276" w:lineRule="auto"/>
              <w:jc w:val="left"/>
              <w:rPr>
                <w:noProof/>
              </w:rPr>
            </w:pPr>
          </w:p>
        </w:tc>
        <w:tc>
          <w:tcPr>
            <w:tcW w:w="417" w:type="pct"/>
            <w:tcBorders>
              <w:top w:val="nil"/>
              <w:left w:val="nil"/>
              <w:bottom w:val="nil"/>
              <w:right w:val="single" w:sz="8" w:space="0" w:color="auto"/>
            </w:tcBorders>
            <w:noWrap/>
            <w:vAlign w:val="bottom"/>
            <w:hideMark/>
          </w:tcPr>
          <w:p>
            <w:pPr>
              <w:spacing w:before="0" w:after="200" w:line="276" w:lineRule="auto"/>
              <w:jc w:val="left"/>
              <w:rPr>
                <w:noProof/>
              </w:rPr>
            </w:pPr>
            <w:r>
              <w:rPr>
                <w:noProof/>
              </w:rPr>
              <w:t xml:space="preserve"> </w:t>
            </w:r>
          </w:p>
        </w:tc>
        <w:tc>
          <w:tcPr>
            <w:tcW w:w="36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6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61"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61"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61"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61"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61"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40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r>
              <w:rPr>
                <w:b/>
                <w:noProof/>
              </w:rPr>
              <w:t>TOTAL CFM 2028-2034</w:t>
            </w:r>
          </w:p>
        </w:tc>
      </w:tr>
      <w:tr>
        <w:trPr>
          <w:trHeight w:val="300"/>
        </w:trPr>
        <w:tc>
          <w:tcPr>
            <w:tcW w:w="704" w:type="pct"/>
            <w:tcBorders>
              <w:top w:val="nil"/>
              <w:left w:val="nil"/>
              <w:bottom w:val="nil"/>
              <w:right w:val="nil"/>
            </w:tcBorders>
            <w:noWrap/>
            <w:vAlign w:val="bottom"/>
            <w:hideMark/>
          </w:tcPr>
          <w:p>
            <w:pPr>
              <w:spacing w:before="0" w:after="200" w:line="276" w:lineRule="auto"/>
              <w:jc w:val="left"/>
              <w:rPr>
                <w:b/>
                <w:bCs/>
                <w:noProof/>
              </w:rPr>
            </w:pPr>
          </w:p>
        </w:tc>
        <w:tc>
          <w:tcPr>
            <w:tcW w:w="537" w:type="pct"/>
            <w:tcBorders>
              <w:top w:val="nil"/>
              <w:left w:val="nil"/>
              <w:bottom w:val="nil"/>
              <w:right w:val="nil"/>
            </w:tcBorders>
            <w:noWrap/>
            <w:vAlign w:val="bottom"/>
            <w:hideMark/>
          </w:tcPr>
          <w:p>
            <w:pPr>
              <w:spacing w:before="0" w:after="200" w:line="276" w:lineRule="auto"/>
              <w:jc w:val="left"/>
              <w:rPr>
                <w:noProof/>
              </w:rPr>
            </w:pPr>
          </w:p>
        </w:tc>
        <w:tc>
          <w:tcPr>
            <w:tcW w:w="417" w:type="pct"/>
            <w:tcBorders>
              <w:top w:val="nil"/>
              <w:left w:val="nil"/>
              <w:bottom w:val="nil"/>
              <w:right w:val="nil"/>
            </w:tcBorders>
            <w:noWrap/>
            <w:vAlign w:val="bottom"/>
            <w:hideMark/>
          </w:tcPr>
          <w:p>
            <w:pPr>
              <w:spacing w:before="0" w:after="200" w:line="276" w:lineRule="auto"/>
              <w:jc w:val="left"/>
              <w:rPr>
                <w:noProof/>
              </w:rPr>
            </w:pPr>
          </w:p>
        </w:tc>
        <w:tc>
          <w:tcPr>
            <w:tcW w:w="417" w:type="pct"/>
            <w:tcBorders>
              <w:top w:val="nil"/>
              <w:left w:val="nil"/>
              <w:bottom w:val="nil"/>
              <w:right w:val="single" w:sz="8" w:space="0" w:color="auto"/>
            </w:tcBorders>
            <w:noWrap/>
            <w:vAlign w:val="bottom"/>
            <w:hideMark/>
          </w:tcPr>
          <w:p>
            <w:pPr>
              <w:spacing w:before="0" w:after="200" w:line="276" w:lineRule="auto"/>
              <w:jc w:val="left"/>
              <w:rPr>
                <w:noProof/>
              </w:rPr>
            </w:pPr>
            <w:r>
              <w:rPr>
                <w:noProof/>
              </w:rPr>
              <w:t xml:space="preserve"> </w:t>
            </w:r>
          </w:p>
        </w:tc>
        <w:tc>
          <w:tcPr>
            <w:tcW w:w="36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36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361"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361"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361"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361"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361"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c>
          <w:tcPr>
            <w:tcW w:w="400"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r>
      <w:tr>
        <w:trPr>
          <w:trHeight w:val="617"/>
        </w:trPr>
        <w:tc>
          <w:tcPr>
            <w:tcW w:w="70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noProof/>
              </w:rPr>
            </w:pPr>
            <w:r>
              <w:rPr>
                <w:noProof/>
              </w:rPr>
              <w:t>• TOTAL credite operaționale (toate rubricile operaționale)</w:t>
            </w:r>
          </w:p>
        </w:tc>
        <w:tc>
          <w:tcPr>
            <w:tcW w:w="537"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Angajamente</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200" w:line="276" w:lineRule="auto"/>
              <w:jc w:val="left"/>
              <w:rPr>
                <w:noProof/>
              </w:rPr>
            </w:pPr>
            <w:r>
              <w:rPr>
                <w:noProof/>
              </w:rPr>
              <w:t>(4)</w:t>
            </w:r>
          </w:p>
        </w:tc>
        <w:tc>
          <w:tcPr>
            <w:tcW w:w="360"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3,4</w:t>
            </w:r>
          </w:p>
        </w:tc>
        <w:tc>
          <w:tcPr>
            <w:tcW w:w="360"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3,3</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3,2</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1,9</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1,5</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0,5</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0,5</w:t>
            </w:r>
          </w:p>
        </w:tc>
        <w:tc>
          <w:tcPr>
            <w:tcW w:w="400"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b/>
                <w:noProof/>
              </w:rPr>
              <w:t>14,3</w:t>
            </w:r>
          </w:p>
        </w:tc>
      </w:tr>
      <w:tr>
        <w:trPr>
          <w:trHeight w:val="300"/>
        </w:trPr>
        <w:tc>
          <w:tcPr>
            <w:tcW w:w="704"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noProof/>
              </w:rPr>
            </w:pPr>
          </w:p>
        </w:tc>
        <w:tc>
          <w:tcPr>
            <w:tcW w:w="537"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Plăți</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200" w:line="276" w:lineRule="auto"/>
              <w:jc w:val="left"/>
              <w:rPr>
                <w:noProof/>
              </w:rPr>
            </w:pPr>
            <w:r>
              <w:rPr>
                <w:noProof/>
              </w:rPr>
              <w:t>(5)</w:t>
            </w:r>
          </w:p>
        </w:tc>
        <w:tc>
          <w:tcPr>
            <w:tcW w:w="360"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3,4</w:t>
            </w:r>
          </w:p>
        </w:tc>
        <w:tc>
          <w:tcPr>
            <w:tcW w:w="360"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3,3</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3,2</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1,9</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1,5</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0,5</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noProof/>
              </w:rPr>
            </w:pPr>
            <w:r>
              <w:rPr>
                <w:noProof/>
              </w:rPr>
              <w:t>0,5</w:t>
            </w:r>
          </w:p>
        </w:tc>
        <w:tc>
          <w:tcPr>
            <w:tcW w:w="400"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b/>
                <w:noProof/>
              </w:rPr>
              <w:t>14,3</w:t>
            </w:r>
          </w:p>
        </w:tc>
      </w:tr>
      <w:tr>
        <w:trPr>
          <w:trHeight w:val="276"/>
        </w:trPr>
        <w:tc>
          <w:tcPr>
            <w:tcW w:w="124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TOTAL credite cu caracter administrativ finanțate din bugetul unor programe specifice (toate rubricile operaționale)</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200" w:line="276" w:lineRule="auto"/>
              <w:jc w:val="left"/>
              <w:rPr>
                <w:noProof/>
              </w:rPr>
            </w:pPr>
            <w:r>
              <w:rPr>
                <w:noProof/>
              </w:rPr>
              <w:t>(6)</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154"/>
        </w:trPr>
        <w:tc>
          <w:tcPr>
            <w:tcW w:w="704" w:type="pct"/>
            <w:tcBorders>
              <w:top w:val="nil"/>
              <w:left w:val="single" w:sz="8" w:space="0" w:color="auto"/>
              <w:bottom w:val="nil"/>
              <w:right w:val="single" w:sz="8" w:space="0" w:color="auto"/>
            </w:tcBorders>
            <w:shd w:val="thinDiagStripe" w:color="C0C0C0" w:fill="E6E6E6"/>
            <w:vAlign w:val="center"/>
            <w:hideMark/>
          </w:tcPr>
          <w:p>
            <w:pPr>
              <w:spacing w:before="0" w:after="200" w:line="276" w:lineRule="auto"/>
              <w:jc w:val="left"/>
              <w:rPr>
                <w:b/>
                <w:bCs/>
                <w:noProof/>
              </w:rPr>
            </w:pPr>
            <w:r>
              <w:rPr>
                <w:b/>
                <w:noProof/>
              </w:rPr>
              <w:t>TOTAL credite în cadrul rubricilor 1-3</w:t>
            </w:r>
          </w:p>
        </w:tc>
        <w:tc>
          <w:tcPr>
            <w:tcW w:w="537" w:type="pct"/>
            <w:tcBorders>
              <w:top w:val="nil"/>
              <w:left w:val="nil"/>
              <w:bottom w:val="nil"/>
              <w:right w:val="single" w:sz="8" w:space="0" w:color="auto"/>
            </w:tcBorders>
            <w:vAlign w:val="center"/>
            <w:hideMark/>
          </w:tcPr>
          <w:p>
            <w:pPr>
              <w:spacing w:before="0" w:after="200" w:line="276" w:lineRule="auto"/>
              <w:jc w:val="left"/>
              <w:rPr>
                <w:noProof/>
              </w:rPr>
            </w:pPr>
            <w:r>
              <w:rPr>
                <w:noProof/>
              </w:rPr>
              <w:t>Angajamente</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200" w:line="276" w:lineRule="auto"/>
              <w:jc w:val="left"/>
              <w:rPr>
                <w:noProof/>
              </w:rPr>
            </w:pPr>
            <w:r>
              <w:rPr>
                <w:noProof/>
              </w:rPr>
              <w:t>=4+6</w:t>
            </w:r>
          </w:p>
        </w:tc>
        <w:tc>
          <w:tcPr>
            <w:tcW w:w="360"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3,4</w:t>
            </w:r>
          </w:p>
        </w:tc>
        <w:tc>
          <w:tcPr>
            <w:tcW w:w="360"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3,3</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3,2</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1,9</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1,5</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0,5</w:t>
            </w:r>
          </w:p>
        </w:tc>
        <w:tc>
          <w:tcPr>
            <w:tcW w:w="361"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0,5</w:t>
            </w:r>
          </w:p>
        </w:tc>
        <w:tc>
          <w:tcPr>
            <w:tcW w:w="400"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b/>
                <w:noProof/>
              </w:rPr>
              <w:t>14,3</w:t>
            </w:r>
          </w:p>
        </w:tc>
      </w:tr>
      <w:tr>
        <w:trPr>
          <w:trHeight w:val="1040"/>
        </w:trPr>
        <w:tc>
          <w:tcPr>
            <w:tcW w:w="704" w:type="pct"/>
            <w:tcBorders>
              <w:top w:val="nil"/>
              <w:left w:val="single" w:sz="8" w:space="0" w:color="auto"/>
              <w:bottom w:val="nil"/>
              <w:right w:val="single" w:sz="8" w:space="0" w:color="auto"/>
            </w:tcBorders>
            <w:shd w:val="thinDiagStripe" w:color="C0C0C0" w:fill="E6E6E6"/>
            <w:vAlign w:val="center"/>
            <w:hideMark/>
          </w:tcPr>
          <w:p>
            <w:pPr>
              <w:spacing w:before="0" w:after="200" w:line="276" w:lineRule="auto"/>
              <w:jc w:val="left"/>
              <w:rPr>
                <w:noProof/>
              </w:rPr>
            </w:pPr>
            <w:r>
              <w:rPr>
                <w:noProof/>
              </w:rPr>
              <w:lastRenderedPageBreak/>
              <w:t>din cadrul financiar multianual</w:t>
            </w:r>
          </w:p>
        </w:tc>
        <w:tc>
          <w:tcPr>
            <w:tcW w:w="537" w:type="pct"/>
            <w:vMerge w:val="restart"/>
            <w:tcBorders>
              <w:top w:val="nil"/>
              <w:left w:val="single" w:sz="8" w:space="0" w:color="auto"/>
              <w:bottom w:val="single" w:sz="8" w:space="0" w:color="000000"/>
              <w:right w:val="single" w:sz="8" w:space="0" w:color="auto"/>
            </w:tcBorders>
            <w:vAlign w:val="center"/>
            <w:hideMark/>
          </w:tcPr>
          <w:p>
            <w:pPr>
              <w:spacing w:before="0" w:after="200" w:line="276" w:lineRule="auto"/>
              <w:jc w:val="left"/>
              <w:rPr>
                <w:noProof/>
              </w:rPr>
            </w:pPr>
            <w:r>
              <w:rPr>
                <w:noProof/>
              </w:rPr>
              <w:t>Plăți</w:t>
            </w:r>
          </w:p>
        </w:tc>
        <w:tc>
          <w:tcPr>
            <w:tcW w:w="834"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r>
              <w:rPr>
                <w:noProof/>
              </w:rPr>
              <w:t>=5+6</w:t>
            </w:r>
          </w:p>
        </w:tc>
        <w:tc>
          <w:tcPr>
            <w:tcW w:w="360" w:type="pct"/>
            <w:vMerge w:val="restart"/>
            <w:tcBorders>
              <w:top w:val="nil"/>
              <w:left w:val="single" w:sz="8" w:space="0" w:color="000000"/>
              <w:bottom w:val="single" w:sz="8" w:space="0" w:color="000000"/>
              <w:right w:val="single" w:sz="8" w:space="0" w:color="auto"/>
            </w:tcBorders>
            <w:shd w:val="clear" w:color="000000" w:fill="D9D9D9"/>
            <w:hideMark/>
          </w:tcPr>
          <w:p>
            <w:pPr>
              <w:spacing w:before="0" w:after="200" w:line="276" w:lineRule="auto"/>
              <w:jc w:val="left"/>
              <w:rPr>
                <w:b/>
                <w:bCs/>
                <w:noProof/>
              </w:rPr>
            </w:pPr>
            <w:r>
              <w:rPr>
                <w:noProof/>
              </w:rPr>
              <w:t>3,4</w:t>
            </w:r>
          </w:p>
        </w:tc>
        <w:tc>
          <w:tcPr>
            <w:tcW w:w="360" w:type="pct"/>
            <w:vMerge w:val="restart"/>
            <w:tcBorders>
              <w:top w:val="nil"/>
              <w:left w:val="single" w:sz="8" w:space="0" w:color="auto"/>
              <w:bottom w:val="single" w:sz="8" w:space="0" w:color="000000"/>
              <w:right w:val="single" w:sz="8" w:space="0" w:color="auto"/>
            </w:tcBorders>
            <w:shd w:val="clear" w:color="000000" w:fill="D9D9D9"/>
            <w:hideMark/>
          </w:tcPr>
          <w:p>
            <w:pPr>
              <w:spacing w:before="0" w:after="200" w:line="276" w:lineRule="auto"/>
              <w:jc w:val="left"/>
              <w:rPr>
                <w:b/>
                <w:bCs/>
                <w:noProof/>
              </w:rPr>
            </w:pPr>
            <w:r>
              <w:rPr>
                <w:noProof/>
              </w:rPr>
              <w:t>3,3</w:t>
            </w:r>
          </w:p>
        </w:tc>
        <w:tc>
          <w:tcPr>
            <w:tcW w:w="361" w:type="pct"/>
            <w:vMerge w:val="restart"/>
            <w:tcBorders>
              <w:top w:val="nil"/>
              <w:left w:val="single" w:sz="8" w:space="0" w:color="auto"/>
              <w:bottom w:val="single" w:sz="8" w:space="0" w:color="000000"/>
              <w:right w:val="single" w:sz="8" w:space="0" w:color="auto"/>
            </w:tcBorders>
            <w:shd w:val="clear" w:color="000000" w:fill="D9D9D9"/>
            <w:hideMark/>
          </w:tcPr>
          <w:p>
            <w:pPr>
              <w:spacing w:before="0" w:after="200" w:line="276" w:lineRule="auto"/>
              <w:jc w:val="left"/>
              <w:rPr>
                <w:b/>
                <w:bCs/>
                <w:noProof/>
              </w:rPr>
            </w:pPr>
            <w:r>
              <w:rPr>
                <w:noProof/>
              </w:rPr>
              <w:t>3,2</w:t>
            </w:r>
          </w:p>
        </w:tc>
        <w:tc>
          <w:tcPr>
            <w:tcW w:w="361" w:type="pct"/>
            <w:vMerge w:val="restart"/>
            <w:tcBorders>
              <w:top w:val="nil"/>
              <w:left w:val="single" w:sz="8" w:space="0" w:color="auto"/>
              <w:bottom w:val="single" w:sz="8" w:space="0" w:color="000000"/>
              <w:right w:val="single" w:sz="8" w:space="0" w:color="auto"/>
            </w:tcBorders>
            <w:shd w:val="clear" w:color="000000" w:fill="D9D9D9"/>
            <w:hideMark/>
          </w:tcPr>
          <w:p>
            <w:pPr>
              <w:spacing w:before="0" w:after="200" w:line="276" w:lineRule="auto"/>
              <w:jc w:val="left"/>
              <w:rPr>
                <w:b/>
                <w:bCs/>
                <w:noProof/>
              </w:rPr>
            </w:pPr>
            <w:r>
              <w:rPr>
                <w:noProof/>
              </w:rPr>
              <w:t>1,9</w:t>
            </w:r>
          </w:p>
        </w:tc>
        <w:tc>
          <w:tcPr>
            <w:tcW w:w="361" w:type="pct"/>
            <w:vMerge w:val="restart"/>
            <w:tcBorders>
              <w:top w:val="nil"/>
              <w:left w:val="single" w:sz="8" w:space="0" w:color="000000"/>
              <w:bottom w:val="single" w:sz="8" w:space="0" w:color="000000"/>
              <w:right w:val="single" w:sz="8" w:space="0" w:color="auto"/>
            </w:tcBorders>
            <w:shd w:val="clear" w:color="000000" w:fill="D9D9D9"/>
            <w:hideMark/>
          </w:tcPr>
          <w:p>
            <w:pPr>
              <w:spacing w:before="0" w:after="200" w:line="276" w:lineRule="auto"/>
              <w:jc w:val="left"/>
              <w:rPr>
                <w:b/>
                <w:bCs/>
                <w:noProof/>
              </w:rPr>
            </w:pPr>
            <w:r>
              <w:rPr>
                <w:noProof/>
              </w:rPr>
              <w:t>1,5</w:t>
            </w:r>
          </w:p>
        </w:tc>
        <w:tc>
          <w:tcPr>
            <w:tcW w:w="361" w:type="pct"/>
            <w:vMerge w:val="restart"/>
            <w:tcBorders>
              <w:top w:val="nil"/>
              <w:left w:val="single" w:sz="8" w:space="0" w:color="auto"/>
              <w:bottom w:val="single" w:sz="8" w:space="0" w:color="000000"/>
              <w:right w:val="single" w:sz="8" w:space="0" w:color="auto"/>
            </w:tcBorders>
            <w:shd w:val="clear" w:color="000000" w:fill="D9D9D9"/>
            <w:hideMark/>
          </w:tcPr>
          <w:p>
            <w:pPr>
              <w:spacing w:before="0" w:after="200" w:line="276" w:lineRule="auto"/>
              <w:jc w:val="left"/>
              <w:rPr>
                <w:b/>
                <w:bCs/>
                <w:noProof/>
              </w:rPr>
            </w:pPr>
            <w:r>
              <w:rPr>
                <w:noProof/>
              </w:rPr>
              <w:t>0,5</w:t>
            </w:r>
          </w:p>
        </w:tc>
        <w:tc>
          <w:tcPr>
            <w:tcW w:w="361" w:type="pct"/>
            <w:vMerge w:val="restart"/>
            <w:tcBorders>
              <w:top w:val="nil"/>
              <w:left w:val="single" w:sz="8" w:space="0" w:color="auto"/>
              <w:bottom w:val="single" w:sz="8" w:space="0" w:color="000000"/>
              <w:right w:val="single" w:sz="8" w:space="0" w:color="auto"/>
            </w:tcBorders>
            <w:shd w:val="clear" w:color="000000" w:fill="D9D9D9"/>
            <w:hideMark/>
          </w:tcPr>
          <w:p>
            <w:pPr>
              <w:spacing w:before="0" w:after="200" w:line="276" w:lineRule="auto"/>
              <w:jc w:val="left"/>
              <w:rPr>
                <w:b/>
                <w:bCs/>
                <w:noProof/>
              </w:rPr>
            </w:pPr>
            <w:r>
              <w:rPr>
                <w:noProof/>
              </w:rPr>
              <w:t>0,5</w:t>
            </w:r>
          </w:p>
        </w:tc>
        <w:tc>
          <w:tcPr>
            <w:tcW w:w="400" w:type="pct"/>
            <w:vMerge w:val="restart"/>
            <w:tcBorders>
              <w:top w:val="nil"/>
              <w:left w:val="single" w:sz="8" w:space="0" w:color="auto"/>
              <w:bottom w:val="single" w:sz="8" w:space="0" w:color="000000"/>
              <w:right w:val="single" w:sz="8" w:space="0" w:color="auto"/>
            </w:tcBorders>
            <w:shd w:val="clear" w:color="000000" w:fill="D9D9D9"/>
            <w:hideMark/>
          </w:tcPr>
          <w:p>
            <w:pPr>
              <w:spacing w:before="0" w:after="200" w:line="276" w:lineRule="auto"/>
              <w:jc w:val="left"/>
              <w:rPr>
                <w:b/>
                <w:bCs/>
                <w:noProof/>
              </w:rPr>
            </w:pPr>
            <w:r>
              <w:rPr>
                <w:b/>
                <w:noProof/>
              </w:rPr>
              <w:t>14,3</w:t>
            </w:r>
          </w:p>
        </w:tc>
      </w:tr>
      <w:tr>
        <w:trPr>
          <w:trHeight w:val="54"/>
        </w:trPr>
        <w:tc>
          <w:tcPr>
            <w:tcW w:w="704"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200" w:line="276" w:lineRule="auto"/>
              <w:jc w:val="left"/>
              <w:rPr>
                <w:noProof/>
              </w:rPr>
            </w:pPr>
            <w:r>
              <w:rPr>
                <w:noProof/>
              </w:rPr>
              <w:t>(Suma de referință)</w:t>
            </w:r>
          </w:p>
        </w:tc>
        <w:tc>
          <w:tcPr>
            <w:tcW w:w="537" w:type="pct"/>
            <w:vMerge/>
            <w:tcBorders>
              <w:top w:val="nil"/>
              <w:left w:val="single" w:sz="8" w:space="0" w:color="auto"/>
              <w:bottom w:val="single" w:sz="8" w:space="0" w:color="000000"/>
              <w:right w:val="single" w:sz="8" w:space="0" w:color="auto"/>
            </w:tcBorders>
            <w:vAlign w:val="center"/>
            <w:hideMark/>
          </w:tcPr>
          <w:p>
            <w:pPr>
              <w:spacing w:before="0" w:after="200" w:line="276" w:lineRule="auto"/>
              <w:jc w:val="left"/>
              <w:rPr>
                <w:noProof/>
              </w:rPr>
            </w:pPr>
          </w:p>
        </w:tc>
        <w:tc>
          <w:tcPr>
            <w:tcW w:w="834"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p>
        </w:tc>
        <w:tc>
          <w:tcPr>
            <w:tcW w:w="360" w:type="pct"/>
            <w:vMerge/>
            <w:tcBorders>
              <w:top w:val="nil"/>
              <w:left w:val="single" w:sz="8" w:space="0" w:color="000000"/>
              <w:bottom w:val="single" w:sz="8" w:space="0" w:color="000000"/>
              <w:right w:val="single" w:sz="8" w:space="0" w:color="auto"/>
            </w:tcBorders>
            <w:vAlign w:val="center"/>
            <w:hideMark/>
          </w:tcPr>
          <w:p>
            <w:pPr>
              <w:spacing w:before="0" w:after="200" w:line="276" w:lineRule="auto"/>
              <w:jc w:val="left"/>
              <w:rPr>
                <w:b/>
                <w:bCs/>
                <w:noProof/>
              </w:rPr>
            </w:pPr>
          </w:p>
        </w:tc>
        <w:tc>
          <w:tcPr>
            <w:tcW w:w="360" w:type="pct"/>
            <w:vMerge/>
            <w:tcBorders>
              <w:top w:val="nil"/>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c>
          <w:tcPr>
            <w:tcW w:w="361" w:type="pct"/>
            <w:vMerge/>
            <w:tcBorders>
              <w:top w:val="nil"/>
              <w:left w:val="single" w:sz="8" w:space="0" w:color="000000"/>
              <w:bottom w:val="single" w:sz="8" w:space="0" w:color="000000"/>
              <w:right w:val="single" w:sz="8" w:space="0" w:color="auto"/>
            </w:tcBorders>
            <w:vAlign w:val="center"/>
            <w:hideMark/>
          </w:tcPr>
          <w:p>
            <w:pPr>
              <w:spacing w:before="0" w:after="200" w:line="276" w:lineRule="auto"/>
              <w:jc w:val="left"/>
              <w:rPr>
                <w:b/>
                <w:bCs/>
                <w:noProof/>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c>
          <w:tcPr>
            <w:tcW w:w="400" w:type="pct"/>
            <w:vMerge/>
            <w:tcBorders>
              <w:top w:val="nil"/>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r>
    </w:tbl>
    <w:p>
      <w:pPr>
        <w:spacing w:before="0" w:after="200" w:line="276" w:lineRule="auto"/>
        <w:jc w:val="left"/>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0" w:after="200" w:line="276" w:lineRule="auto"/>
              <w:jc w:val="left"/>
              <w:rPr>
                <w:b/>
                <w:noProof/>
              </w:rPr>
            </w:pPr>
            <w:r>
              <w:rPr>
                <w:noProof/>
              </w:rPr>
              <w:br w:type="page"/>
            </w:r>
            <w:r>
              <w:rPr>
                <w:b/>
                <w:noProof/>
              </w:rPr>
              <w:t xml:space="preserve">Rubrica din cadrul financiar multianual </w:t>
            </w:r>
          </w:p>
        </w:tc>
        <w:tc>
          <w:tcPr>
            <w:tcW w:w="396" w:type="pct"/>
            <w:shd w:val="thinDiagStripe" w:color="C0C0C0" w:fill="auto"/>
            <w:vAlign w:val="center"/>
          </w:tcPr>
          <w:p>
            <w:pPr>
              <w:spacing w:before="0" w:after="200" w:line="276" w:lineRule="auto"/>
              <w:jc w:val="left"/>
              <w:rPr>
                <w:noProof/>
              </w:rPr>
            </w:pPr>
            <w:r>
              <w:rPr>
                <w:noProof/>
              </w:rPr>
              <w:t>4</w:t>
            </w:r>
          </w:p>
        </w:tc>
        <w:tc>
          <w:tcPr>
            <w:tcW w:w="2865" w:type="pct"/>
            <w:vAlign w:val="center"/>
          </w:tcPr>
          <w:p>
            <w:pPr>
              <w:spacing w:before="0" w:after="200" w:line="276" w:lineRule="auto"/>
              <w:jc w:val="left"/>
              <w:rPr>
                <w:noProof/>
              </w:rPr>
            </w:pPr>
            <w:r>
              <w:rPr>
                <w:noProof/>
              </w:rPr>
              <w:t>„Cheltuieli administrative”</w:t>
            </w:r>
          </w:p>
        </w:tc>
      </w:tr>
    </w:tbl>
    <w:p>
      <w:pPr>
        <w:spacing w:before="0" w:after="200" w:line="276" w:lineRule="auto"/>
        <w:jc w:val="left"/>
        <w:rPr>
          <w:noProof/>
        </w:rPr>
      </w:pPr>
    </w:p>
    <w:tbl>
      <w:tblPr>
        <w:tblW w:w="5000" w:type="pct"/>
        <w:tblLook w:val="04A0" w:firstRow="1" w:lastRow="0" w:firstColumn="1" w:lastColumn="0" w:noHBand="0" w:noVBand="1"/>
      </w:tblPr>
      <w:tblGrid>
        <w:gridCol w:w="1986"/>
        <w:gridCol w:w="2711"/>
        <w:gridCol w:w="726"/>
        <w:gridCol w:w="726"/>
        <w:gridCol w:w="995"/>
        <w:gridCol w:w="995"/>
        <w:gridCol w:w="995"/>
        <w:gridCol w:w="995"/>
        <w:gridCol w:w="995"/>
        <w:gridCol w:w="995"/>
        <w:gridCol w:w="995"/>
        <w:gridCol w:w="1106"/>
      </w:tblGrid>
      <w:tr>
        <w:trPr>
          <w:trHeight w:val="410"/>
        </w:trPr>
        <w:tc>
          <w:tcPr>
            <w:tcW w:w="2161"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r>
              <w:rPr>
                <w:noProof/>
              </w:rPr>
              <w:t>DG: TAXUD</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9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r>
              <w:rPr>
                <w:b/>
                <w:noProof/>
              </w:rPr>
              <w:t>TOTAL CFM 2028-2034</w:t>
            </w:r>
          </w:p>
        </w:tc>
      </w:tr>
      <w:tr>
        <w:trPr>
          <w:trHeight w:val="300"/>
        </w:trPr>
        <w:tc>
          <w:tcPr>
            <w:tcW w:w="2161"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c>
          <w:tcPr>
            <w:tcW w:w="391"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r>
      <w:tr>
        <w:trPr>
          <w:trHeight w:val="300"/>
        </w:trPr>
        <w:tc>
          <w:tcPr>
            <w:tcW w:w="2161"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Ÿ Resurse umane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300"/>
        </w:trPr>
        <w:tc>
          <w:tcPr>
            <w:tcW w:w="2161"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Ÿ Alte cheltuieli administrative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850"/>
        </w:trPr>
        <w:tc>
          <w:tcPr>
            <w:tcW w:w="698"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TOTAL DG </w:t>
            </w:r>
            <w:r>
              <w:rPr>
                <w:noProof/>
              </w:rPr>
              <w:t>&lt;…….&gt;</w:t>
            </w:r>
          </w:p>
        </w:tc>
        <w:tc>
          <w:tcPr>
            <w:tcW w:w="1463" w:type="pct"/>
            <w:gridSpan w:val="3"/>
            <w:tcBorders>
              <w:top w:val="single" w:sz="8" w:space="0" w:color="auto"/>
              <w:left w:val="nil"/>
              <w:bottom w:val="single" w:sz="8" w:space="0" w:color="auto"/>
              <w:right w:val="single" w:sz="8" w:space="0" w:color="000000"/>
            </w:tcBorders>
            <w:vAlign w:val="center"/>
            <w:hideMark/>
          </w:tcPr>
          <w:p>
            <w:pPr>
              <w:spacing w:before="0" w:after="200" w:line="276" w:lineRule="auto"/>
              <w:jc w:val="left"/>
              <w:rPr>
                <w:noProof/>
              </w:rPr>
            </w:pPr>
            <w:r>
              <w:rPr>
                <w:noProof/>
              </w:rPr>
              <w:t xml:space="preserve">Credite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300"/>
        </w:trPr>
        <w:tc>
          <w:tcPr>
            <w:tcW w:w="698" w:type="pct"/>
            <w:tcBorders>
              <w:top w:val="nil"/>
              <w:left w:val="nil"/>
              <w:bottom w:val="nil"/>
              <w:right w:val="nil"/>
            </w:tcBorders>
            <w:noWrap/>
            <w:vAlign w:val="bottom"/>
            <w:hideMark/>
          </w:tcPr>
          <w:p>
            <w:pPr>
              <w:spacing w:before="0" w:after="200" w:line="276" w:lineRule="auto"/>
              <w:jc w:val="left"/>
              <w:rPr>
                <w:b/>
                <w:bCs/>
                <w:noProof/>
              </w:rPr>
            </w:pPr>
          </w:p>
        </w:tc>
        <w:tc>
          <w:tcPr>
            <w:tcW w:w="952" w:type="pct"/>
            <w:tcBorders>
              <w:top w:val="nil"/>
              <w:left w:val="nil"/>
              <w:bottom w:val="nil"/>
              <w:right w:val="nil"/>
            </w:tcBorders>
            <w:noWrap/>
            <w:vAlign w:val="bottom"/>
            <w:hideMark/>
          </w:tcPr>
          <w:p>
            <w:pPr>
              <w:spacing w:before="0" w:after="200" w:line="276" w:lineRule="auto"/>
              <w:jc w:val="left"/>
              <w:rPr>
                <w:noProof/>
              </w:rPr>
            </w:pPr>
          </w:p>
        </w:tc>
        <w:tc>
          <w:tcPr>
            <w:tcW w:w="255" w:type="pct"/>
            <w:tcBorders>
              <w:top w:val="nil"/>
              <w:left w:val="nil"/>
              <w:bottom w:val="nil"/>
              <w:right w:val="nil"/>
            </w:tcBorders>
            <w:noWrap/>
            <w:vAlign w:val="bottom"/>
            <w:hideMark/>
          </w:tcPr>
          <w:p>
            <w:pPr>
              <w:spacing w:before="0" w:after="200" w:line="276" w:lineRule="auto"/>
              <w:jc w:val="left"/>
              <w:rPr>
                <w:noProof/>
              </w:rPr>
            </w:pPr>
          </w:p>
        </w:tc>
        <w:tc>
          <w:tcPr>
            <w:tcW w:w="255"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91" w:type="pct"/>
            <w:tcBorders>
              <w:top w:val="nil"/>
              <w:left w:val="nil"/>
              <w:bottom w:val="nil"/>
              <w:right w:val="nil"/>
            </w:tcBorders>
            <w:noWrap/>
            <w:vAlign w:val="bottom"/>
            <w:hideMark/>
          </w:tcPr>
          <w:p>
            <w:pPr>
              <w:spacing w:before="0" w:after="200" w:line="276" w:lineRule="auto"/>
              <w:jc w:val="left"/>
              <w:rPr>
                <w:noProof/>
              </w:rPr>
            </w:pPr>
          </w:p>
        </w:tc>
      </w:tr>
      <w:tr>
        <w:trPr>
          <w:trHeight w:val="410"/>
        </w:trPr>
        <w:tc>
          <w:tcPr>
            <w:tcW w:w="2161"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r>
              <w:rPr>
                <w:noProof/>
              </w:rPr>
              <w:t>DG: &lt;…….&gt;</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50"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39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r>
              <w:rPr>
                <w:b/>
                <w:noProof/>
              </w:rPr>
              <w:t>TOTAL CFM 2028-2034</w:t>
            </w:r>
          </w:p>
        </w:tc>
      </w:tr>
      <w:tr>
        <w:trPr>
          <w:trHeight w:val="300"/>
        </w:trPr>
        <w:tc>
          <w:tcPr>
            <w:tcW w:w="2161"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350"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c>
          <w:tcPr>
            <w:tcW w:w="391"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r>
      <w:tr>
        <w:trPr>
          <w:trHeight w:val="300"/>
        </w:trPr>
        <w:tc>
          <w:tcPr>
            <w:tcW w:w="2161"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lastRenderedPageBreak/>
              <w:t xml:space="preserve">Ÿ Resurse umane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300"/>
        </w:trPr>
        <w:tc>
          <w:tcPr>
            <w:tcW w:w="2161"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Ÿ Alte cheltuieli administrative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850"/>
        </w:trPr>
        <w:tc>
          <w:tcPr>
            <w:tcW w:w="698"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b/>
                <w:bCs/>
                <w:noProof/>
              </w:rPr>
            </w:pPr>
            <w:r>
              <w:rPr>
                <w:b/>
                <w:noProof/>
              </w:rPr>
              <w:t xml:space="preserve">TOTAL DG </w:t>
            </w:r>
            <w:r>
              <w:rPr>
                <w:noProof/>
              </w:rPr>
              <w:t>&lt;…….&gt;</w:t>
            </w:r>
          </w:p>
        </w:tc>
        <w:tc>
          <w:tcPr>
            <w:tcW w:w="1463" w:type="pct"/>
            <w:gridSpan w:val="3"/>
            <w:tcBorders>
              <w:top w:val="single" w:sz="8" w:space="0" w:color="auto"/>
              <w:left w:val="nil"/>
              <w:bottom w:val="single" w:sz="8" w:space="0" w:color="auto"/>
              <w:right w:val="single" w:sz="8" w:space="0" w:color="000000"/>
            </w:tcBorders>
            <w:vAlign w:val="center"/>
            <w:hideMark/>
          </w:tcPr>
          <w:p>
            <w:pPr>
              <w:spacing w:before="0" w:after="200" w:line="276" w:lineRule="auto"/>
              <w:jc w:val="left"/>
              <w:rPr>
                <w:noProof/>
              </w:rPr>
            </w:pPr>
            <w:r>
              <w:rPr>
                <w:noProof/>
              </w:rPr>
              <w:t xml:space="preserve">Credite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9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300"/>
        </w:trPr>
        <w:tc>
          <w:tcPr>
            <w:tcW w:w="698" w:type="pct"/>
            <w:tcBorders>
              <w:top w:val="nil"/>
              <w:left w:val="nil"/>
              <w:bottom w:val="nil"/>
              <w:right w:val="nil"/>
            </w:tcBorders>
            <w:noWrap/>
            <w:vAlign w:val="bottom"/>
            <w:hideMark/>
          </w:tcPr>
          <w:p>
            <w:pPr>
              <w:spacing w:before="0" w:after="200" w:line="276" w:lineRule="auto"/>
              <w:jc w:val="left"/>
              <w:rPr>
                <w:b/>
                <w:bCs/>
                <w:noProof/>
              </w:rPr>
            </w:pPr>
          </w:p>
        </w:tc>
        <w:tc>
          <w:tcPr>
            <w:tcW w:w="952" w:type="pct"/>
            <w:tcBorders>
              <w:top w:val="nil"/>
              <w:left w:val="nil"/>
              <w:bottom w:val="nil"/>
              <w:right w:val="nil"/>
            </w:tcBorders>
            <w:noWrap/>
            <w:vAlign w:val="bottom"/>
            <w:hideMark/>
          </w:tcPr>
          <w:p>
            <w:pPr>
              <w:spacing w:before="0" w:after="200" w:line="276" w:lineRule="auto"/>
              <w:jc w:val="left"/>
              <w:rPr>
                <w:noProof/>
              </w:rPr>
            </w:pPr>
          </w:p>
        </w:tc>
        <w:tc>
          <w:tcPr>
            <w:tcW w:w="255" w:type="pct"/>
            <w:tcBorders>
              <w:top w:val="nil"/>
              <w:left w:val="nil"/>
              <w:bottom w:val="nil"/>
              <w:right w:val="nil"/>
            </w:tcBorders>
            <w:noWrap/>
            <w:vAlign w:val="bottom"/>
            <w:hideMark/>
          </w:tcPr>
          <w:p>
            <w:pPr>
              <w:spacing w:before="0" w:after="200" w:line="276" w:lineRule="auto"/>
              <w:jc w:val="left"/>
              <w:rPr>
                <w:noProof/>
              </w:rPr>
            </w:pPr>
          </w:p>
        </w:tc>
        <w:tc>
          <w:tcPr>
            <w:tcW w:w="255"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50" w:type="pct"/>
            <w:tcBorders>
              <w:top w:val="nil"/>
              <w:left w:val="nil"/>
              <w:bottom w:val="nil"/>
              <w:right w:val="nil"/>
            </w:tcBorders>
            <w:noWrap/>
            <w:vAlign w:val="bottom"/>
            <w:hideMark/>
          </w:tcPr>
          <w:p>
            <w:pPr>
              <w:spacing w:before="0" w:after="200" w:line="276" w:lineRule="auto"/>
              <w:jc w:val="left"/>
              <w:rPr>
                <w:noProof/>
              </w:rPr>
            </w:pPr>
          </w:p>
        </w:tc>
        <w:tc>
          <w:tcPr>
            <w:tcW w:w="391" w:type="pct"/>
            <w:tcBorders>
              <w:top w:val="nil"/>
              <w:left w:val="nil"/>
              <w:bottom w:val="nil"/>
              <w:right w:val="nil"/>
            </w:tcBorders>
            <w:noWrap/>
            <w:vAlign w:val="bottom"/>
            <w:hideMark/>
          </w:tcPr>
          <w:p>
            <w:pPr>
              <w:spacing w:before="0" w:after="200" w:line="276" w:lineRule="auto"/>
              <w:jc w:val="left"/>
              <w:rPr>
                <w:noProof/>
              </w:rPr>
            </w:pPr>
          </w:p>
        </w:tc>
      </w:tr>
      <w:tr>
        <w:trPr>
          <w:trHeight w:val="1430"/>
        </w:trPr>
        <w:tc>
          <w:tcPr>
            <w:tcW w:w="1651"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pPr>
              <w:spacing w:before="0" w:after="200" w:line="276" w:lineRule="auto"/>
              <w:jc w:val="left"/>
              <w:rPr>
                <w:b/>
                <w:bCs/>
                <w:noProof/>
              </w:rPr>
            </w:pPr>
            <w:r>
              <w:rPr>
                <w:b/>
                <w:noProof/>
              </w:rPr>
              <w:t xml:space="preserve">TOTAL credite în cadrul RUBRICII 4 din cadrul financiar multianual </w:t>
            </w:r>
          </w:p>
        </w:tc>
        <w:tc>
          <w:tcPr>
            <w:tcW w:w="510" w:type="pct"/>
            <w:gridSpan w:val="2"/>
            <w:tcBorders>
              <w:top w:val="single" w:sz="8" w:space="0" w:color="auto"/>
              <w:left w:val="nil"/>
              <w:bottom w:val="single" w:sz="8" w:space="0" w:color="auto"/>
              <w:right w:val="single" w:sz="8" w:space="0" w:color="000000"/>
            </w:tcBorders>
            <w:vAlign w:val="center"/>
            <w:hideMark/>
          </w:tcPr>
          <w:p>
            <w:pPr>
              <w:spacing w:before="0" w:after="200" w:line="276" w:lineRule="auto"/>
              <w:jc w:val="left"/>
              <w:rPr>
                <w:noProof/>
              </w:rPr>
            </w:pPr>
            <w:r>
              <w:rPr>
                <w:noProof/>
              </w:rPr>
              <w:t>(Total angajamente = Total plăți)</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391" w:type="pct"/>
            <w:tcBorders>
              <w:top w:val="single" w:sz="8" w:space="0" w:color="auto"/>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bl>
    <w:p>
      <w:pPr>
        <w:spacing w:before="0" w:after="200" w:line="276" w:lineRule="auto"/>
        <w:jc w:val="left"/>
        <w:rPr>
          <w:noProof/>
        </w:rPr>
      </w:pPr>
      <w:r>
        <w:rPr>
          <w:noProof/>
        </w:rPr>
        <w:t>milioane EUR (cu trei zecimale)</w:t>
      </w:r>
    </w:p>
    <w:tbl>
      <w:tblPr>
        <w:tblW w:w="5000" w:type="pct"/>
        <w:tblLook w:val="04A0" w:firstRow="1" w:lastRow="0" w:firstColumn="1" w:lastColumn="0" w:noHBand="0" w:noVBand="1"/>
      </w:tblPr>
      <w:tblGrid>
        <w:gridCol w:w="2404"/>
        <w:gridCol w:w="1841"/>
        <w:gridCol w:w="1229"/>
        <w:gridCol w:w="1229"/>
        <w:gridCol w:w="1231"/>
        <w:gridCol w:w="1231"/>
        <w:gridCol w:w="1231"/>
        <w:gridCol w:w="1231"/>
        <w:gridCol w:w="1231"/>
        <w:gridCol w:w="1362"/>
      </w:tblGrid>
      <w:tr>
        <w:trPr>
          <w:trHeight w:val="410"/>
        </w:trPr>
        <w:tc>
          <w:tcPr>
            <w:tcW w:w="1492"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r>
              <w:rPr>
                <w:noProof/>
              </w:rPr>
              <w:t xml:space="preserve"> </w:t>
            </w:r>
          </w:p>
        </w:tc>
        <w:tc>
          <w:tcPr>
            <w:tcW w:w="432"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432"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433"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433"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433"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433"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433"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48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r>
              <w:rPr>
                <w:b/>
                <w:noProof/>
              </w:rPr>
              <w:t>TOTAL CFM 2028-2034</w:t>
            </w:r>
          </w:p>
        </w:tc>
      </w:tr>
      <w:tr>
        <w:trPr>
          <w:trHeight w:val="300"/>
        </w:trPr>
        <w:tc>
          <w:tcPr>
            <w:tcW w:w="1492"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noProof/>
              </w:rPr>
            </w:pPr>
          </w:p>
        </w:tc>
        <w:tc>
          <w:tcPr>
            <w:tcW w:w="432"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432"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43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43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43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43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43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c>
          <w:tcPr>
            <w:tcW w:w="480"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r>
      <w:tr>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200" w:line="276" w:lineRule="auto"/>
              <w:jc w:val="left"/>
              <w:rPr>
                <w:b/>
                <w:bCs/>
                <w:noProof/>
              </w:rPr>
            </w:pPr>
            <w:r>
              <w:rPr>
                <w:b/>
                <w:noProof/>
              </w:rPr>
              <w:t xml:space="preserve">TOTAL credite </w:t>
            </w:r>
            <w:r>
              <w:rPr>
                <w:b/>
                <w:noProof/>
              </w:rPr>
              <w:br/>
              <w:t>în cadrul RUBRICILOR 1-4</w:t>
            </w:r>
          </w:p>
        </w:tc>
        <w:tc>
          <w:tcPr>
            <w:tcW w:w="64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Angajamente</w:t>
            </w:r>
          </w:p>
        </w:tc>
        <w:tc>
          <w:tcPr>
            <w:tcW w:w="432"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3,4</w:t>
            </w:r>
          </w:p>
        </w:tc>
        <w:tc>
          <w:tcPr>
            <w:tcW w:w="432"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3,3</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3,2</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1,9</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1,5</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0,5</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0,5</w:t>
            </w:r>
          </w:p>
        </w:tc>
        <w:tc>
          <w:tcPr>
            <w:tcW w:w="480"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b/>
                <w:noProof/>
              </w:rPr>
              <w:t>14,3</w:t>
            </w:r>
          </w:p>
        </w:tc>
      </w:tr>
      <w:tr>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200" w:line="276" w:lineRule="auto"/>
              <w:jc w:val="left"/>
              <w:rPr>
                <w:noProof/>
              </w:rPr>
            </w:pPr>
            <w:r>
              <w:rPr>
                <w:noProof/>
              </w:rPr>
              <w:t>din cadrul financiar multianual</w:t>
            </w:r>
            <w:r>
              <w:rPr>
                <w:b/>
                <w:noProof/>
              </w:rPr>
              <w:t xml:space="preserve"> </w:t>
            </w:r>
          </w:p>
        </w:tc>
        <w:tc>
          <w:tcPr>
            <w:tcW w:w="64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Plăți</w:t>
            </w:r>
          </w:p>
        </w:tc>
        <w:tc>
          <w:tcPr>
            <w:tcW w:w="432"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3,4</w:t>
            </w:r>
          </w:p>
        </w:tc>
        <w:tc>
          <w:tcPr>
            <w:tcW w:w="432"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3,3</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3,2</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1,9</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1,5</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0,5</w:t>
            </w:r>
          </w:p>
        </w:tc>
        <w:tc>
          <w:tcPr>
            <w:tcW w:w="433"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noProof/>
              </w:rPr>
              <w:t>0,5</w:t>
            </w:r>
          </w:p>
        </w:tc>
        <w:tc>
          <w:tcPr>
            <w:tcW w:w="480" w:type="pct"/>
            <w:tcBorders>
              <w:top w:val="nil"/>
              <w:left w:val="nil"/>
              <w:bottom w:val="single" w:sz="8" w:space="0" w:color="auto"/>
              <w:right w:val="single" w:sz="8" w:space="0" w:color="auto"/>
            </w:tcBorders>
            <w:shd w:val="clear" w:color="000000" w:fill="D9D9D9"/>
            <w:hideMark/>
          </w:tcPr>
          <w:p>
            <w:pPr>
              <w:spacing w:before="0" w:after="200" w:line="276" w:lineRule="auto"/>
              <w:jc w:val="left"/>
              <w:rPr>
                <w:b/>
                <w:bCs/>
                <w:noProof/>
              </w:rPr>
            </w:pPr>
            <w:r>
              <w:rPr>
                <w:b/>
                <w:noProof/>
              </w:rPr>
              <w:t>14,3</w:t>
            </w:r>
          </w:p>
        </w:tc>
      </w:tr>
    </w:tbl>
    <w:p>
      <w:pPr>
        <w:spacing w:before="0" w:after="200" w:line="276" w:lineRule="auto"/>
        <w:jc w:val="left"/>
        <w:rPr>
          <w:bCs/>
          <w:i/>
          <w:noProof/>
        </w:rPr>
      </w:pPr>
      <w:bookmarkStart w:id="197" w:name="_Toc514938054"/>
      <w:bookmarkStart w:id="198" w:name="_Toc520485053"/>
      <w:bookmarkStart w:id="199" w:name="_Toc160804597"/>
      <w:bookmarkStart w:id="200" w:name="_Toc167220289"/>
      <w:bookmarkStart w:id="201" w:name="_Toc177549022"/>
      <w:r>
        <w:rPr>
          <w:i/>
          <w:noProof/>
        </w:rPr>
        <w:t>3.2.2.</w:t>
      </w:r>
      <w:r>
        <w:rPr>
          <w:noProof/>
        </w:rPr>
        <w:tab/>
      </w:r>
      <w:r>
        <w:rPr>
          <w:i/>
          <w:noProof/>
        </w:rPr>
        <w:t>Realizările preconizate finanțate din credite operaționale</w:t>
      </w:r>
      <w:bookmarkEnd w:id="197"/>
      <w:bookmarkEnd w:id="198"/>
      <w:r>
        <w:rPr>
          <w:i/>
          <w:noProof/>
        </w:rPr>
        <w:t xml:space="preserve"> </w:t>
      </w:r>
      <w:bookmarkEnd w:id="199"/>
      <w:bookmarkEnd w:id="200"/>
      <w:bookmarkEnd w:id="201"/>
    </w:p>
    <w:p>
      <w:pPr>
        <w:spacing w:before="0" w:after="200" w:line="276" w:lineRule="auto"/>
        <w:jc w:val="left"/>
        <w:rPr>
          <w:noProof/>
        </w:rPr>
      </w:pPr>
      <w:r>
        <w:rPr>
          <w:noProof/>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639"/>
        <w:gridCol w:w="621"/>
        <w:gridCol w:w="606"/>
        <w:gridCol w:w="42"/>
        <w:gridCol w:w="432"/>
        <w:gridCol w:w="720"/>
        <w:gridCol w:w="33"/>
        <w:gridCol w:w="507"/>
        <w:gridCol w:w="720"/>
        <w:gridCol w:w="720"/>
        <w:gridCol w:w="900"/>
      </w:tblGrid>
      <w:tr>
        <w:trPr>
          <w:jc w:val="center"/>
        </w:trPr>
        <w:tc>
          <w:tcPr>
            <w:tcW w:w="1423" w:type="dxa"/>
            <w:vMerge w:val="restart"/>
            <w:vAlign w:val="center"/>
          </w:tcPr>
          <w:p>
            <w:pPr>
              <w:spacing w:before="0" w:after="200" w:line="276" w:lineRule="auto"/>
              <w:jc w:val="left"/>
              <w:rPr>
                <w:b/>
                <w:noProof/>
              </w:rPr>
            </w:pPr>
            <w:r>
              <w:rPr>
                <w:b/>
                <w:noProof/>
              </w:rPr>
              <w:t xml:space="preserve">A se indica </w:t>
            </w:r>
            <w:r>
              <w:rPr>
                <w:b/>
                <w:noProof/>
              </w:rPr>
              <w:lastRenderedPageBreak/>
              <w:t xml:space="preserve">obiectivele și realizările </w:t>
            </w:r>
          </w:p>
          <w:p>
            <w:pPr>
              <w:spacing w:before="0" w:after="200" w:line="276" w:lineRule="auto"/>
              <w:jc w:val="left"/>
              <w:rPr>
                <w:b/>
                <w:noProof/>
              </w:rPr>
            </w:pPr>
          </w:p>
          <w:p>
            <w:pPr>
              <w:spacing w:before="0" w:after="200" w:line="276" w:lineRule="auto"/>
              <w:jc w:val="left"/>
              <w:rPr>
                <w:noProof/>
              </w:rPr>
            </w:pPr>
            <w:r>
              <w:rPr>
                <w:noProof/>
              </w:rPr>
              <w:t>ò</w:t>
            </w:r>
          </w:p>
        </w:tc>
        <w:tc>
          <w:tcPr>
            <w:tcW w:w="720" w:type="dxa"/>
            <w:vAlign w:val="center"/>
          </w:tcPr>
          <w:p>
            <w:pPr>
              <w:spacing w:before="0" w:after="200" w:line="276" w:lineRule="auto"/>
              <w:jc w:val="left"/>
              <w:rPr>
                <w:noProof/>
              </w:rPr>
            </w:pPr>
          </w:p>
        </w:tc>
        <w:tc>
          <w:tcPr>
            <w:tcW w:w="701" w:type="dxa"/>
            <w:vAlign w:val="center"/>
          </w:tcPr>
          <w:p>
            <w:pPr>
              <w:spacing w:before="0" w:after="200" w:line="276" w:lineRule="auto"/>
              <w:jc w:val="left"/>
              <w:rPr>
                <w:noProof/>
              </w:rPr>
            </w:pPr>
          </w:p>
        </w:tc>
        <w:tc>
          <w:tcPr>
            <w:tcW w:w="1224" w:type="dxa"/>
            <w:gridSpan w:val="2"/>
            <w:tcBorders>
              <w:left w:val="nil"/>
            </w:tcBorders>
            <w:vAlign w:val="center"/>
          </w:tcPr>
          <w:p>
            <w:pPr>
              <w:spacing w:before="0" w:after="200" w:line="276" w:lineRule="auto"/>
              <w:jc w:val="left"/>
              <w:rPr>
                <w:noProof/>
              </w:rPr>
            </w:pPr>
            <w:r>
              <w:rPr>
                <w:noProof/>
              </w:rPr>
              <w:t xml:space="preserve">Anul </w:t>
            </w:r>
            <w:r>
              <w:rPr>
                <w:noProof/>
              </w:rPr>
              <w:br/>
            </w:r>
            <w:r>
              <w:rPr>
                <w:b/>
                <w:noProof/>
              </w:rPr>
              <w:lastRenderedPageBreak/>
              <w:t>2028</w:t>
            </w:r>
          </w:p>
        </w:tc>
        <w:tc>
          <w:tcPr>
            <w:tcW w:w="1260" w:type="dxa"/>
            <w:gridSpan w:val="2"/>
            <w:vAlign w:val="center"/>
          </w:tcPr>
          <w:p>
            <w:pPr>
              <w:spacing w:before="0" w:after="200" w:line="276" w:lineRule="auto"/>
              <w:jc w:val="left"/>
              <w:rPr>
                <w:noProof/>
              </w:rPr>
            </w:pPr>
            <w:r>
              <w:rPr>
                <w:noProof/>
              </w:rPr>
              <w:lastRenderedPageBreak/>
              <w:t xml:space="preserve">Anul </w:t>
            </w:r>
            <w:r>
              <w:rPr>
                <w:noProof/>
              </w:rPr>
              <w:br/>
            </w:r>
            <w:r>
              <w:rPr>
                <w:b/>
                <w:noProof/>
              </w:rPr>
              <w:lastRenderedPageBreak/>
              <w:t>2029</w:t>
            </w:r>
          </w:p>
        </w:tc>
        <w:tc>
          <w:tcPr>
            <w:tcW w:w="1440" w:type="dxa"/>
            <w:gridSpan w:val="2"/>
            <w:vAlign w:val="center"/>
          </w:tcPr>
          <w:p>
            <w:pPr>
              <w:spacing w:before="0" w:after="200" w:line="276" w:lineRule="auto"/>
              <w:jc w:val="left"/>
              <w:rPr>
                <w:noProof/>
              </w:rPr>
            </w:pPr>
            <w:r>
              <w:rPr>
                <w:noProof/>
              </w:rPr>
              <w:lastRenderedPageBreak/>
              <w:t xml:space="preserve">Anul </w:t>
            </w:r>
            <w:r>
              <w:rPr>
                <w:noProof/>
              </w:rPr>
              <w:br/>
            </w:r>
            <w:r>
              <w:rPr>
                <w:b/>
                <w:noProof/>
              </w:rPr>
              <w:lastRenderedPageBreak/>
              <w:t>2030</w:t>
            </w:r>
          </w:p>
        </w:tc>
        <w:tc>
          <w:tcPr>
            <w:tcW w:w="1539" w:type="dxa"/>
            <w:gridSpan w:val="2"/>
            <w:vAlign w:val="center"/>
          </w:tcPr>
          <w:p>
            <w:pPr>
              <w:spacing w:before="0" w:after="200" w:line="276" w:lineRule="auto"/>
              <w:jc w:val="left"/>
              <w:rPr>
                <w:noProof/>
              </w:rPr>
            </w:pPr>
            <w:r>
              <w:rPr>
                <w:noProof/>
              </w:rPr>
              <w:lastRenderedPageBreak/>
              <w:t xml:space="preserve">Anul </w:t>
            </w:r>
            <w:r>
              <w:rPr>
                <w:noProof/>
              </w:rPr>
              <w:br/>
            </w:r>
            <w:r>
              <w:rPr>
                <w:b/>
                <w:noProof/>
              </w:rPr>
              <w:lastRenderedPageBreak/>
              <w:t>2031</w:t>
            </w:r>
          </w:p>
        </w:tc>
        <w:tc>
          <w:tcPr>
            <w:tcW w:w="1227" w:type="dxa"/>
            <w:gridSpan w:val="2"/>
            <w:vAlign w:val="center"/>
          </w:tcPr>
          <w:p>
            <w:pPr>
              <w:spacing w:before="0" w:after="200" w:line="276" w:lineRule="auto"/>
              <w:jc w:val="left"/>
              <w:rPr>
                <w:noProof/>
              </w:rPr>
            </w:pPr>
            <w:r>
              <w:rPr>
                <w:noProof/>
              </w:rPr>
              <w:lastRenderedPageBreak/>
              <w:t xml:space="preserve">Anul </w:t>
            </w:r>
            <w:r>
              <w:rPr>
                <w:noProof/>
              </w:rPr>
              <w:lastRenderedPageBreak/>
              <w:t>2032</w:t>
            </w:r>
          </w:p>
        </w:tc>
        <w:tc>
          <w:tcPr>
            <w:tcW w:w="1227" w:type="dxa"/>
            <w:gridSpan w:val="4"/>
            <w:vAlign w:val="center"/>
          </w:tcPr>
          <w:p>
            <w:pPr>
              <w:spacing w:before="0" w:after="200" w:line="276" w:lineRule="auto"/>
              <w:jc w:val="left"/>
              <w:rPr>
                <w:noProof/>
              </w:rPr>
            </w:pPr>
            <w:r>
              <w:rPr>
                <w:noProof/>
              </w:rPr>
              <w:lastRenderedPageBreak/>
              <w:t xml:space="preserve">Anul </w:t>
            </w:r>
            <w:r>
              <w:rPr>
                <w:noProof/>
              </w:rPr>
              <w:lastRenderedPageBreak/>
              <w:t>2033</w:t>
            </w:r>
          </w:p>
        </w:tc>
        <w:tc>
          <w:tcPr>
            <w:tcW w:w="1227" w:type="dxa"/>
            <w:gridSpan w:val="2"/>
            <w:vAlign w:val="center"/>
          </w:tcPr>
          <w:p>
            <w:pPr>
              <w:spacing w:before="0" w:after="200" w:line="276" w:lineRule="auto"/>
              <w:jc w:val="left"/>
              <w:rPr>
                <w:noProof/>
              </w:rPr>
            </w:pPr>
            <w:r>
              <w:rPr>
                <w:noProof/>
              </w:rPr>
              <w:lastRenderedPageBreak/>
              <w:t xml:space="preserve">Anul </w:t>
            </w:r>
            <w:r>
              <w:rPr>
                <w:noProof/>
              </w:rPr>
              <w:lastRenderedPageBreak/>
              <w:t>2034</w:t>
            </w:r>
          </w:p>
        </w:tc>
        <w:tc>
          <w:tcPr>
            <w:tcW w:w="1620" w:type="dxa"/>
            <w:gridSpan w:val="2"/>
            <w:tcBorders>
              <w:left w:val="nil"/>
              <w:bottom w:val="nil"/>
            </w:tcBorders>
            <w:vAlign w:val="center"/>
          </w:tcPr>
          <w:p>
            <w:pPr>
              <w:spacing w:before="0" w:after="200" w:line="276" w:lineRule="auto"/>
              <w:jc w:val="left"/>
              <w:rPr>
                <w:noProof/>
              </w:rPr>
            </w:pPr>
            <w:r>
              <w:rPr>
                <w:b/>
                <w:noProof/>
              </w:rPr>
              <w:lastRenderedPageBreak/>
              <w:t>TOTAL</w:t>
            </w:r>
          </w:p>
        </w:tc>
      </w:tr>
      <w:tr>
        <w:trPr>
          <w:jc w:val="center"/>
        </w:trPr>
        <w:tc>
          <w:tcPr>
            <w:tcW w:w="1423" w:type="dxa"/>
            <w:vMerge/>
            <w:vAlign w:val="center"/>
          </w:tcPr>
          <w:p>
            <w:pPr>
              <w:spacing w:before="0" w:after="200" w:line="276" w:lineRule="auto"/>
              <w:jc w:val="left"/>
              <w:rPr>
                <w:noProof/>
              </w:rPr>
            </w:pPr>
          </w:p>
        </w:tc>
        <w:tc>
          <w:tcPr>
            <w:tcW w:w="12185" w:type="dxa"/>
            <w:gridSpan w:val="20"/>
            <w:vAlign w:val="center"/>
          </w:tcPr>
          <w:p>
            <w:pPr>
              <w:spacing w:before="0" w:after="200" w:line="276" w:lineRule="auto"/>
              <w:jc w:val="left"/>
              <w:rPr>
                <w:noProof/>
              </w:rPr>
            </w:pPr>
            <w:r>
              <w:rPr>
                <w:b/>
                <w:noProof/>
              </w:rPr>
              <w:t>REALIZĂRI</w:t>
            </w:r>
          </w:p>
        </w:tc>
      </w:tr>
      <w:tr>
        <w:trPr>
          <w:cantSplit/>
          <w:trHeight w:val="1134"/>
          <w:jc w:val="center"/>
        </w:trPr>
        <w:tc>
          <w:tcPr>
            <w:tcW w:w="1423" w:type="dxa"/>
            <w:vMerge/>
            <w:vAlign w:val="center"/>
          </w:tcPr>
          <w:p>
            <w:pPr>
              <w:spacing w:before="0" w:after="200" w:line="276" w:lineRule="auto"/>
              <w:jc w:val="left"/>
              <w:rPr>
                <w:noProof/>
              </w:rPr>
            </w:pPr>
          </w:p>
        </w:tc>
        <w:tc>
          <w:tcPr>
            <w:tcW w:w="720" w:type="dxa"/>
            <w:vAlign w:val="center"/>
          </w:tcPr>
          <w:p>
            <w:pPr>
              <w:spacing w:before="0" w:after="200" w:line="276" w:lineRule="auto"/>
              <w:jc w:val="left"/>
              <w:rPr>
                <w:noProof/>
              </w:rPr>
            </w:pPr>
            <w:r>
              <w:rPr>
                <w:noProof/>
              </w:rPr>
              <w:t>Tipul</w:t>
            </w:r>
            <w:r>
              <w:rPr>
                <w:rStyle w:val="FootnoteReference"/>
                <w:noProof/>
              </w:rPr>
              <w:footnoteReference w:id="65"/>
            </w:r>
          </w:p>
          <w:p>
            <w:pPr>
              <w:spacing w:before="0" w:after="200" w:line="276" w:lineRule="auto"/>
              <w:jc w:val="left"/>
              <w:rPr>
                <w:noProof/>
              </w:rPr>
            </w:pPr>
          </w:p>
        </w:tc>
        <w:tc>
          <w:tcPr>
            <w:tcW w:w="701" w:type="dxa"/>
            <w:vAlign w:val="center"/>
          </w:tcPr>
          <w:p>
            <w:pPr>
              <w:spacing w:before="0" w:after="200" w:line="276" w:lineRule="auto"/>
              <w:jc w:val="left"/>
              <w:rPr>
                <w:noProof/>
              </w:rPr>
            </w:pPr>
            <w:r>
              <w:rPr>
                <w:noProof/>
              </w:rPr>
              <w:t>Costuri medii</w:t>
            </w:r>
          </w:p>
        </w:tc>
        <w:tc>
          <w:tcPr>
            <w:tcW w:w="504" w:type="dxa"/>
            <w:tcBorders>
              <w:left w:val="nil"/>
              <w:right w:val="dashSmallGap" w:sz="4" w:space="0" w:color="auto"/>
            </w:tcBorders>
            <w:textDirection w:val="btLr"/>
            <w:vAlign w:val="center"/>
          </w:tcPr>
          <w:p>
            <w:pPr>
              <w:spacing w:before="0" w:after="200" w:line="276" w:lineRule="auto"/>
              <w:jc w:val="left"/>
              <w:rPr>
                <w:noProof/>
              </w:rPr>
            </w:pPr>
            <w:r>
              <w:rPr>
                <w:noProof/>
              </w:rPr>
              <w:t>Nr.</w:t>
            </w:r>
          </w:p>
        </w:tc>
        <w:tc>
          <w:tcPr>
            <w:tcW w:w="720" w:type="dxa"/>
            <w:tcBorders>
              <w:left w:val="dashSmallGap" w:sz="4" w:space="0" w:color="auto"/>
            </w:tcBorders>
            <w:vAlign w:val="center"/>
          </w:tcPr>
          <w:p>
            <w:pPr>
              <w:spacing w:before="0" w:after="200" w:line="276" w:lineRule="auto"/>
              <w:jc w:val="left"/>
              <w:rPr>
                <w:noProof/>
              </w:rPr>
            </w:pPr>
            <w:r>
              <w:rPr>
                <w:noProof/>
              </w:rPr>
              <w:t>Costuri</w:t>
            </w:r>
          </w:p>
        </w:tc>
        <w:tc>
          <w:tcPr>
            <w:tcW w:w="540" w:type="dxa"/>
            <w:tcBorders>
              <w:right w:val="dashSmallGap" w:sz="4" w:space="0" w:color="auto"/>
            </w:tcBorders>
            <w:textDirection w:val="btLr"/>
            <w:vAlign w:val="center"/>
          </w:tcPr>
          <w:p>
            <w:pPr>
              <w:spacing w:before="0" w:after="200" w:line="276" w:lineRule="auto"/>
              <w:jc w:val="left"/>
              <w:rPr>
                <w:noProof/>
              </w:rPr>
            </w:pPr>
            <w:r>
              <w:rPr>
                <w:noProof/>
              </w:rPr>
              <w:t>Nr.</w:t>
            </w:r>
          </w:p>
        </w:tc>
        <w:tc>
          <w:tcPr>
            <w:tcW w:w="720" w:type="dxa"/>
            <w:tcBorders>
              <w:left w:val="dashSmallGap" w:sz="4" w:space="0" w:color="auto"/>
            </w:tcBorders>
            <w:vAlign w:val="center"/>
          </w:tcPr>
          <w:p>
            <w:pPr>
              <w:spacing w:before="0" w:after="200" w:line="276" w:lineRule="auto"/>
              <w:jc w:val="left"/>
              <w:rPr>
                <w:noProof/>
              </w:rPr>
            </w:pPr>
            <w:r>
              <w:rPr>
                <w:noProof/>
              </w:rPr>
              <w:t>Costuri</w:t>
            </w:r>
          </w:p>
        </w:tc>
        <w:tc>
          <w:tcPr>
            <w:tcW w:w="720" w:type="dxa"/>
            <w:tcBorders>
              <w:right w:val="dashSmallGap" w:sz="4" w:space="0" w:color="auto"/>
            </w:tcBorders>
            <w:textDirection w:val="btLr"/>
            <w:vAlign w:val="center"/>
          </w:tcPr>
          <w:p>
            <w:pPr>
              <w:spacing w:before="0" w:after="200" w:line="276" w:lineRule="auto"/>
              <w:jc w:val="left"/>
              <w:rPr>
                <w:noProof/>
              </w:rPr>
            </w:pPr>
            <w:r>
              <w:rPr>
                <w:noProof/>
              </w:rPr>
              <w:t>Nr.</w:t>
            </w:r>
          </w:p>
        </w:tc>
        <w:tc>
          <w:tcPr>
            <w:tcW w:w="720" w:type="dxa"/>
            <w:tcBorders>
              <w:left w:val="dashSmallGap" w:sz="4" w:space="0" w:color="auto"/>
            </w:tcBorders>
            <w:vAlign w:val="center"/>
          </w:tcPr>
          <w:p>
            <w:pPr>
              <w:spacing w:before="0" w:after="200" w:line="276" w:lineRule="auto"/>
              <w:jc w:val="left"/>
              <w:rPr>
                <w:noProof/>
              </w:rPr>
            </w:pPr>
            <w:r>
              <w:rPr>
                <w:noProof/>
              </w:rPr>
              <w:t>Costuri</w:t>
            </w:r>
          </w:p>
        </w:tc>
        <w:tc>
          <w:tcPr>
            <w:tcW w:w="900" w:type="dxa"/>
            <w:tcBorders>
              <w:right w:val="dashSmallGap" w:sz="4" w:space="0" w:color="auto"/>
            </w:tcBorders>
            <w:textDirection w:val="btLr"/>
            <w:vAlign w:val="center"/>
          </w:tcPr>
          <w:p>
            <w:pPr>
              <w:spacing w:before="0" w:after="200" w:line="276" w:lineRule="auto"/>
              <w:jc w:val="left"/>
              <w:rPr>
                <w:noProof/>
              </w:rPr>
            </w:pPr>
            <w:r>
              <w:rPr>
                <w:noProof/>
              </w:rPr>
              <w:t>Nr.</w:t>
            </w:r>
          </w:p>
        </w:tc>
        <w:tc>
          <w:tcPr>
            <w:tcW w:w="639" w:type="dxa"/>
            <w:tcBorders>
              <w:left w:val="dashSmallGap" w:sz="4" w:space="0" w:color="auto"/>
            </w:tcBorders>
            <w:vAlign w:val="center"/>
          </w:tcPr>
          <w:p>
            <w:pPr>
              <w:spacing w:before="0" w:after="200" w:line="276" w:lineRule="auto"/>
              <w:jc w:val="left"/>
              <w:rPr>
                <w:noProof/>
              </w:rPr>
            </w:pPr>
            <w:r>
              <w:rPr>
                <w:noProof/>
              </w:rPr>
              <w:t>Costuri</w:t>
            </w:r>
          </w:p>
        </w:tc>
        <w:tc>
          <w:tcPr>
            <w:tcW w:w="621" w:type="dxa"/>
            <w:tcBorders>
              <w:right w:val="dashSmallGap" w:sz="4" w:space="0" w:color="auto"/>
            </w:tcBorders>
            <w:textDirection w:val="btLr"/>
            <w:vAlign w:val="center"/>
          </w:tcPr>
          <w:p>
            <w:pPr>
              <w:spacing w:before="0" w:after="200" w:line="276" w:lineRule="auto"/>
              <w:jc w:val="left"/>
              <w:rPr>
                <w:noProof/>
              </w:rPr>
            </w:pPr>
            <w:r>
              <w:rPr>
                <w:noProof/>
              </w:rPr>
              <w:t>Nr.</w:t>
            </w:r>
          </w:p>
        </w:tc>
        <w:tc>
          <w:tcPr>
            <w:tcW w:w="648" w:type="dxa"/>
            <w:gridSpan w:val="2"/>
            <w:tcBorders>
              <w:left w:val="dashSmallGap" w:sz="4" w:space="0" w:color="auto"/>
            </w:tcBorders>
            <w:vAlign w:val="center"/>
          </w:tcPr>
          <w:p>
            <w:pPr>
              <w:spacing w:before="0" w:after="200" w:line="276" w:lineRule="auto"/>
              <w:jc w:val="left"/>
              <w:rPr>
                <w:noProof/>
              </w:rPr>
            </w:pPr>
            <w:r>
              <w:rPr>
                <w:noProof/>
              </w:rPr>
              <w:t>Costuri</w:t>
            </w:r>
          </w:p>
        </w:tc>
        <w:tc>
          <w:tcPr>
            <w:tcW w:w="432" w:type="dxa"/>
            <w:tcBorders>
              <w:right w:val="dashSmallGap" w:sz="4" w:space="0" w:color="auto"/>
            </w:tcBorders>
            <w:textDirection w:val="btLr"/>
            <w:vAlign w:val="center"/>
          </w:tcPr>
          <w:p>
            <w:pPr>
              <w:spacing w:before="0" w:after="200" w:line="276" w:lineRule="auto"/>
              <w:jc w:val="left"/>
              <w:rPr>
                <w:noProof/>
              </w:rPr>
            </w:pPr>
            <w:r>
              <w:rPr>
                <w:noProof/>
              </w:rPr>
              <w:t>Nr.</w:t>
            </w:r>
          </w:p>
        </w:tc>
        <w:tc>
          <w:tcPr>
            <w:tcW w:w="720" w:type="dxa"/>
            <w:tcBorders>
              <w:left w:val="dashSmallGap" w:sz="4" w:space="0" w:color="auto"/>
            </w:tcBorders>
            <w:vAlign w:val="center"/>
          </w:tcPr>
          <w:p>
            <w:pPr>
              <w:spacing w:before="0" w:after="200" w:line="276" w:lineRule="auto"/>
              <w:jc w:val="left"/>
              <w:rPr>
                <w:noProof/>
              </w:rPr>
            </w:pPr>
            <w:r>
              <w:rPr>
                <w:noProof/>
              </w:rPr>
              <w:t>Costuri</w:t>
            </w:r>
          </w:p>
        </w:tc>
        <w:tc>
          <w:tcPr>
            <w:tcW w:w="540" w:type="dxa"/>
            <w:gridSpan w:val="2"/>
            <w:tcBorders>
              <w:right w:val="dashSmallGap" w:sz="4" w:space="0" w:color="auto"/>
            </w:tcBorders>
            <w:textDirection w:val="btLr"/>
            <w:vAlign w:val="center"/>
          </w:tcPr>
          <w:p>
            <w:pPr>
              <w:spacing w:before="0" w:after="200" w:line="276" w:lineRule="auto"/>
              <w:jc w:val="left"/>
              <w:rPr>
                <w:noProof/>
              </w:rPr>
            </w:pPr>
            <w:r>
              <w:rPr>
                <w:noProof/>
              </w:rPr>
              <w:t>Nr.</w:t>
            </w:r>
          </w:p>
        </w:tc>
        <w:tc>
          <w:tcPr>
            <w:tcW w:w="720" w:type="dxa"/>
            <w:tcBorders>
              <w:left w:val="dashSmallGap" w:sz="4" w:space="0" w:color="auto"/>
            </w:tcBorders>
            <w:vAlign w:val="center"/>
          </w:tcPr>
          <w:p>
            <w:pPr>
              <w:spacing w:before="0" w:after="200" w:line="276" w:lineRule="auto"/>
              <w:jc w:val="left"/>
              <w:rPr>
                <w:noProof/>
              </w:rPr>
            </w:pPr>
            <w:r>
              <w:rPr>
                <w:noProof/>
              </w:rPr>
              <w:t>Costuri</w:t>
            </w:r>
          </w:p>
        </w:tc>
        <w:tc>
          <w:tcPr>
            <w:tcW w:w="720" w:type="dxa"/>
            <w:tcBorders>
              <w:right w:val="dashSmallGap" w:sz="4" w:space="0" w:color="auto"/>
            </w:tcBorders>
            <w:vAlign w:val="center"/>
          </w:tcPr>
          <w:p>
            <w:pPr>
              <w:spacing w:before="0" w:after="200" w:line="276" w:lineRule="auto"/>
              <w:jc w:val="left"/>
              <w:rPr>
                <w:noProof/>
              </w:rPr>
            </w:pPr>
            <w:r>
              <w:rPr>
                <w:noProof/>
              </w:rPr>
              <w:t>Total nr.</w:t>
            </w:r>
          </w:p>
        </w:tc>
        <w:tc>
          <w:tcPr>
            <w:tcW w:w="900" w:type="dxa"/>
            <w:tcBorders>
              <w:left w:val="dashSmallGap" w:sz="4" w:space="0" w:color="auto"/>
            </w:tcBorders>
            <w:vAlign w:val="center"/>
          </w:tcPr>
          <w:p>
            <w:pPr>
              <w:spacing w:before="0" w:after="200" w:line="276" w:lineRule="auto"/>
              <w:jc w:val="left"/>
              <w:rPr>
                <w:noProof/>
              </w:rPr>
            </w:pPr>
            <w:r>
              <w:rPr>
                <w:noProof/>
              </w:rPr>
              <w:t>Total costuri</w:t>
            </w:r>
          </w:p>
        </w:tc>
      </w:tr>
      <w:tr>
        <w:trPr>
          <w:jc w:val="center"/>
        </w:trPr>
        <w:tc>
          <w:tcPr>
            <w:tcW w:w="2844" w:type="dxa"/>
            <w:gridSpan w:val="3"/>
            <w:vAlign w:val="center"/>
          </w:tcPr>
          <w:p>
            <w:pPr>
              <w:spacing w:before="0" w:after="200" w:line="276" w:lineRule="auto"/>
              <w:jc w:val="left"/>
              <w:rPr>
                <w:noProof/>
              </w:rPr>
            </w:pPr>
            <w:r>
              <w:rPr>
                <w:noProof/>
              </w:rPr>
              <w:t xml:space="preserve">OBIECTIV SPECIFIC </w:t>
            </w:r>
            <w:r>
              <w:rPr>
                <w:rStyle w:val="FootnoteReference"/>
                <w:noProof/>
              </w:rPr>
              <w:footnoteReference w:id="66"/>
            </w:r>
            <w:r>
              <w:rPr>
                <w:noProof/>
              </w:rPr>
              <w:t>…</w:t>
            </w:r>
          </w:p>
        </w:tc>
        <w:tc>
          <w:tcPr>
            <w:tcW w:w="504" w:type="dxa"/>
            <w:tcBorders>
              <w:top w:val="nil"/>
              <w:left w:val="nil"/>
              <w:bottom w:val="nil"/>
              <w:right w:val="nil"/>
            </w:tcBorders>
          </w:tcPr>
          <w:p>
            <w:pPr>
              <w:spacing w:before="0" w:after="200" w:line="276" w:lineRule="auto"/>
              <w:jc w:val="left"/>
              <w:rPr>
                <w:noProof/>
              </w:rPr>
            </w:pPr>
          </w:p>
        </w:tc>
        <w:tc>
          <w:tcPr>
            <w:tcW w:w="720" w:type="dxa"/>
            <w:tcBorders>
              <w:top w:val="nil"/>
              <w:left w:val="nil"/>
              <w:bottom w:val="nil"/>
              <w:right w:val="nil"/>
            </w:tcBorders>
          </w:tcPr>
          <w:p>
            <w:pPr>
              <w:spacing w:before="0" w:after="200" w:line="276" w:lineRule="auto"/>
              <w:jc w:val="left"/>
              <w:rPr>
                <w:noProof/>
              </w:rPr>
            </w:pPr>
          </w:p>
        </w:tc>
        <w:tc>
          <w:tcPr>
            <w:tcW w:w="540" w:type="dxa"/>
            <w:tcBorders>
              <w:top w:val="nil"/>
              <w:left w:val="nil"/>
              <w:bottom w:val="nil"/>
              <w:right w:val="nil"/>
            </w:tcBorders>
          </w:tcPr>
          <w:p>
            <w:pPr>
              <w:spacing w:before="0" w:after="200" w:line="276" w:lineRule="auto"/>
              <w:jc w:val="left"/>
              <w:rPr>
                <w:noProof/>
              </w:rPr>
            </w:pPr>
          </w:p>
        </w:tc>
        <w:tc>
          <w:tcPr>
            <w:tcW w:w="720" w:type="dxa"/>
            <w:tcBorders>
              <w:top w:val="nil"/>
              <w:left w:val="nil"/>
              <w:bottom w:val="nil"/>
              <w:right w:val="nil"/>
            </w:tcBorders>
          </w:tcPr>
          <w:p>
            <w:pPr>
              <w:spacing w:before="0" w:after="200" w:line="276" w:lineRule="auto"/>
              <w:jc w:val="left"/>
              <w:rPr>
                <w:noProof/>
              </w:rPr>
            </w:pPr>
          </w:p>
        </w:tc>
        <w:tc>
          <w:tcPr>
            <w:tcW w:w="720" w:type="dxa"/>
            <w:tcBorders>
              <w:top w:val="nil"/>
              <w:left w:val="nil"/>
              <w:bottom w:val="nil"/>
              <w:right w:val="nil"/>
            </w:tcBorders>
          </w:tcPr>
          <w:p>
            <w:pPr>
              <w:spacing w:before="0" w:after="200" w:line="276" w:lineRule="auto"/>
              <w:jc w:val="left"/>
              <w:rPr>
                <w:noProof/>
              </w:rPr>
            </w:pPr>
          </w:p>
        </w:tc>
        <w:tc>
          <w:tcPr>
            <w:tcW w:w="720" w:type="dxa"/>
            <w:tcBorders>
              <w:top w:val="nil"/>
              <w:left w:val="nil"/>
              <w:bottom w:val="nil"/>
              <w:right w:val="nil"/>
            </w:tcBorders>
          </w:tcPr>
          <w:p>
            <w:pPr>
              <w:spacing w:before="0" w:after="200" w:line="276" w:lineRule="auto"/>
              <w:jc w:val="left"/>
              <w:rPr>
                <w:noProof/>
              </w:rPr>
            </w:pPr>
          </w:p>
        </w:tc>
        <w:tc>
          <w:tcPr>
            <w:tcW w:w="900" w:type="dxa"/>
            <w:tcBorders>
              <w:top w:val="nil"/>
              <w:left w:val="nil"/>
              <w:bottom w:val="nil"/>
              <w:right w:val="nil"/>
            </w:tcBorders>
          </w:tcPr>
          <w:p>
            <w:pPr>
              <w:spacing w:before="0" w:after="200" w:line="276" w:lineRule="auto"/>
              <w:jc w:val="left"/>
              <w:rPr>
                <w:noProof/>
              </w:rPr>
            </w:pPr>
          </w:p>
        </w:tc>
        <w:tc>
          <w:tcPr>
            <w:tcW w:w="639" w:type="dxa"/>
            <w:tcBorders>
              <w:top w:val="nil"/>
              <w:left w:val="nil"/>
              <w:bottom w:val="nil"/>
              <w:right w:val="nil"/>
            </w:tcBorders>
          </w:tcPr>
          <w:p>
            <w:pPr>
              <w:spacing w:before="0" w:after="200" w:line="276" w:lineRule="auto"/>
              <w:jc w:val="left"/>
              <w:rPr>
                <w:noProof/>
              </w:rPr>
            </w:pPr>
          </w:p>
        </w:tc>
        <w:tc>
          <w:tcPr>
            <w:tcW w:w="621" w:type="dxa"/>
            <w:tcBorders>
              <w:top w:val="nil"/>
              <w:left w:val="nil"/>
              <w:bottom w:val="nil"/>
              <w:right w:val="nil"/>
            </w:tcBorders>
          </w:tcPr>
          <w:p>
            <w:pPr>
              <w:spacing w:before="0" w:after="200" w:line="276" w:lineRule="auto"/>
              <w:jc w:val="left"/>
              <w:rPr>
                <w:noProof/>
              </w:rPr>
            </w:pPr>
          </w:p>
        </w:tc>
        <w:tc>
          <w:tcPr>
            <w:tcW w:w="648" w:type="dxa"/>
            <w:gridSpan w:val="2"/>
            <w:tcBorders>
              <w:top w:val="nil"/>
              <w:left w:val="nil"/>
              <w:bottom w:val="nil"/>
              <w:right w:val="nil"/>
            </w:tcBorders>
          </w:tcPr>
          <w:p>
            <w:pPr>
              <w:spacing w:before="0" w:after="200" w:line="276" w:lineRule="auto"/>
              <w:jc w:val="left"/>
              <w:rPr>
                <w:noProof/>
              </w:rPr>
            </w:pPr>
          </w:p>
        </w:tc>
        <w:tc>
          <w:tcPr>
            <w:tcW w:w="432" w:type="dxa"/>
            <w:tcBorders>
              <w:top w:val="nil"/>
              <w:left w:val="nil"/>
              <w:bottom w:val="nil"/>
              <w:right w:val="nil"/>
            </w:tcBorders>
          </w:tcPr>
          <w:p>
            <w:pPr>
              <w:spacing w:before="0" w:after="200" w:line="276" w:lineRule="auto"/>
              <w:jc w:val="left"/>
              <w:rPr>
                <w:noProof/>
              </w:rPr>
            </w:pPr>
          </w:p>
        </w:tc>
        <w:tc>
          <w:tcPr>
            <w:tcW w:w="720" w:type="dxa"/>
            <w:tcBorders>
              <w:top w:val="nil"/>
              <w:left w:val="nil"/>
              <w:bottom w:val="nil"/>
              <w:right w:val="nil"/>
            </w:tcBorders>
          </w:tcPr>
          <w:p>
            <w:pPr>
              <w:spacing w:before="0" w:after="200" w:line="276" w:lineRule="auto"/>
              <w:jc w:val="left"/>
              <w:rPr>
                <w:noProof/>
              </w:rPr>
            </w:pPr>
          </w:p>
        </w:tc>
        <w:tc>
          <w:tcPr>
            <w:tcW w:w="540" w:type="dxa"/>
            <w:gridSpan w:val="2"/>
            <w:tcBorders>
              <w:top w:val="nil"/>
              <w:left w:val="nil"/>
              <w:bottom w:val="nil"/>
              <w:right w:val="nil"/>
            </w:tcBorders>
          </w:tcPr>
          <w:p>
            <w:pPr>
              <w:spacing w:before="0" w:after="200" w:line="276" w:lineRule="auto"/>
              <w:jc w:val="left"/>
              <w:rPr>
                <w:noProof/>
              </w:rPr>
            </w:pPr>
          </w:p>
        </w:tc>
        <w:tc>
          <w:tcPr>
            <w:tcW w:w="720" w:type="dxa"/>
            <w:tcBorders>
              <w:top w:val="nil"/>
              <w:left w:val="nil"/>
              <w:bottom w:val="nil"/>
              <w:right w:val="nil"/>
            </w:tcBorders>
          </w:tcPr>
          <w:p>
            <w:pPr>
              <w:spacing w:before="0" w:after="200" w:line="276" w:lineRule="auto"/>
              <w:jc w:val="left"/>
              <w:rPr>
                <w:noProof/>
              </w:rPr>
            </w:pPr>
          </w:p>
        </w:tc>
        <w:tc>
          <w:tcPr>
            <w:tcW w:w="720" w:type="dxa"/>
            <w:tcBorders>
              <w:top w:val="nil"/>
              <w:left w:val="nil"/>
              <w:bottom w:val="nil"/>
              <w:right w:val="nil"/>
            </w:tcBorders>
          </w:tcPr>
          <w:p>
            <w:pPr>
              <w:spacing w:before="0" w:after="200" w:line="276" w:lineRule="auto"/>
              <w:jc w:val="left"/>
              <w:rPr>
                <w:noProof/>
              </w:rPr>
            </w:pPr>
          </w:p>
        </w:tc>
        <w:tc>
          <w:tcPr>
            <w:tcW w:w="900" w:type="dxa"/>
            <w:tcBorders>
              <w:top w:val="nil"/>
              <w:left w:val="nil"/>
              <w:bottom w:val="nil"/>
              <w:right w:val="nil"/>
            </w:tcBorders>
          </w:tcPr>
          <w:p>
            <w:pPr>
              <w:spacing w:before="0" w:after="200" w:line="276" w:lineRule="auto"/>
              <w:jc w:val="left"/>
              <w:rPr>
                <w:noProof/>
              </w:rPr>
            </w:pPr>
          </w:p>
        </w:tc>
      </w:tr>
      <w:tr>
        <w:trPr>
          <w:trHeight w:hRule="exact" w:val="369"/>
          <w:jc w:val="center"/>
        </w:trPr>
        <w:tc>
          <w:tcPr>
            <w:tcW w:w="1423" w:type="dxa"/>
          </w:tcPr>
          <w:p>
            <w:pPr>
              <w:spacing w:before="0" w:after="200" w:line="276" w:lineRule="auto"/>
              <w:jc w:val="left"/>
              <w:rPr>
                <w:noProof/>
              </w:rPr>
            </w:pPr>
            <w:r>
              <w:rPr>
                <w:noProof/>
              </w:rPr>
              <w:t>Specificații</w:t>
            </w:r>
          </w:p>
        </w:tc>
        <w:tc>
          <w:tcPr>
            <w:tcW w:w="720" w:type="dxa"/>
          </w:tcPr>
          <w:p>
            <w:pPr>
              <w:spacing w:before="0" w:after="200" w:line="276" w:lineRule="auto"/>
              <w:jc w:val="left"/>
              <w:rPr>
                <w:noProof/>
              </w:rPr>
            </w:pPr>
          </w:p>
        </w:tc>
        <w:tc>
          <w:tcPr>
            <w:tcW w:w="701" w:type="dxa"/>
          </w:tcPr>
          <w:p>
            <w:pPr>
              <w:spacing w:before="0" w:after="200" w:line="276" w:lineRule="auto"/>
              <w:jc w:val="left"/>
              <w:rPr>
                <w:noProof/>
              </w:rPr>
            </w:pPr>
          </w:p>
        </w:tc>
        <w:tc>
          <w:tcPr>
            <w:tcW w:w="504"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r>
              <w:rPr>
                <w:noProof/>
              </w:rPr>
              <w:t>1,5</w:t>
            </w:r>
          </w:p>
        </w:tc>
        <w:tc>
          <w:tcPr>
            <w:tcW w:w="540"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r>
              <w:rPr>
                <w:noProof/>
              </w:rPr>
              <w:t>0,3</w:t>
            </w:r>
          </w:p>
        </w:tc>
        <w:tc>
          <w:tcPr>
            <w:tcW w:w="720"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p>
        </w:tc>
        <w:tc>
          <w:tcPr>
            <w:tcW w:w="900" w:type="dxa"/>
            <w:tcBorders>
              <w:right w:val="dashSmallGap" w:sz="4" w:space="0" w:color="auto"/>
            </w:tcBorders>
          </w:tcPr>
          <w:p>
            <w:pPr>
              <w:spacing w:before="0" w:after="200" w:line="276" w:lineRule="auto"/>
              <w:jc w:val="left"/>
              <w:rPr>
                <w:noProof/>
              </w:rPr>
            </w:pPr>
          </w:p>
        </w:tc>
        <w:tc>
          <w:tcPr>
            <w:tcW w:w="639" w:type="dxa"/>
            <w:tcBorders>
              <w:left w:val="dashSmallGap" w:sz="4" w:space="0" w:color="auto"/>
            </w:tcBorders>
          </w:tcPr>
          <w:p>
            <w:pPr>
              <w:spacing w:before="0" w:after="200" w:line="276" w:lineRule="auto"/>
              <w:jc w:val="left"/>
              <w:rPr>
                <w:noProof/>
              </w:rPr>
            </w:pPr>
          </w:p>
        </w:tc>
        <w:tc>
          <w:tcPr>
            <w:tcW w:w="621" w:type="dxa"/>
            <w:tcBorders>
              <w:right w:val="dashSmallGap" w:sz="4" w:space="0" w:color="auto"/>
            </w:tcBorders>
          </w:tcPr>
          <w:p>
            <w:pPr>
              <w:spacing w:before="0" w:after="200" w:line="276" w:lineRule="auto"/>
              <w:jc w:val="left"/>
              <w:rPr>
                <w:noProof/>
              </w:rPr>
            </w:pPr>
          </w:p>
        </w:tc>
        <w:tc>
          <w:tcPr>
            <w:tcW w:w="648" w:type="dxa"/>
            <w:gridSpan w:val="2"/>
            <w:tcBorders>
              <w:left w:val="dashSmallGap" w:sz="4" w:space="0" w:color="auto"/>
            </w:tcBorders>
          </w:tcPr>
          <w:p>
            <w:pPr>
              <w:spacing w:before="0" w:after="200" w:line="276" w:lineRule="auto"/>
              <w:jc w:val="left"/>
              <w:rPr>
                <w:noProof/>
              </w:rPr>
            </w:pPr>
          </w:p>
        </w:tc>
        <w:tc>
          <w:tcPr>
            <w:tcW w:w="432"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p>
        </w:tc>
        <w:tc>
          <w:tcPr>
            <w:tcW w:w="540" w:type="dxa"/>
            <w:gridSpan w:val="2"/>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p>
        </w:tc>
        <w:tc>
          <w:tcPr>
            <w:tcW w:w="720" w:type="dxa"/>
          </w:tcPr>
          <w:p>
            <w:pPr>
              <w:spacing w:before="0" w:after="200" w:line="276" w:lineRule="auto"/>
              <w:jc w:val="left"/>
              <w:rPr>
                <w:noProof/>
              </w:rPr>
            </w:pPr>
          </w:p>
        </w:tc>
        <w:tc>
          <w:tcPr>
            <w:tcW w:w="900" w:type="dxa"/>
          </w:tcPr>
          <w:p>
            <w:pPr>
              <w:spacing w:before="0" w:after="200" w:line="276" w:lineRule="auto"/>
              <w:jc w:val="left"/>
              <w:rPr>
                <w:noProof/>
              </w:rPr>
            </w:pPr>
            <w:r>
              <w:rPr>
                <w:noProof/>
              </w:rPr>
              <w:t>1,8</w:t>
            </w:r>
          </w:p>
        </w:tc>
      </w:tr>
      <w:tr>
        <w:trPr>
          <w:trHeight w:hRule="exact" w:val="369"/>
          <w:jc w:val="center"/>
        </w:trPr>
        <w:tc>
          <w:tcPr>
            <w:tcW w:w="1423" w:type="dxa"/>
          </w:tcPr>
          <w:p>
            <w:pPr>
              <w:spacing w:before="0" w:after="200" w:line="276" w:lineRule="auto"/>
              <w:jc w:val="left"/>
              <w:rPr>
                <w:noProof/>
              </w:rPr>
            </w:pPr>
            <w:r>
              <w:rPr>
                <w:noProof/>
              </w:rPr>
              <w:t>Dezvoltare</w:t>
            </w:r>
          </w:p>
        </w:tc>
        <w:tc>
          <w:tcPr>
            <w:tcW w:w="720" w:type="dxa"/>
          </w:tcPr>
          <w:p>
            <w:pPr>
              <w:spacing w:before="0" w:after="200" w:line="276" w:lineRule="auto"/>
              <w:jc w:val="left"/>
              <w:rPr>
                <w:noProof/>
              </w:rPr>
            </w:pPr>
          </w:p>
        </w:tc>
        <w:tc>
          <w:tcPr>
            <w:tcW w:w="701" w:type="dxa"/>
          </w:tcPr>
          <w:p>
            <w:pPr>
              <w:spacing w:before="0" w:after="200" w:line="276" w:lineRule="auto"/>
              <w:jc w:val="left"/>
              <w:rPr>
                <w:noProof/>
              </w:rPr>
            </w:pPr>
          </w:p>
        </w:tc>
        <w:tc>
          <w:tcPr>
            <w:tcW w:w="504"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r>
              <w:rPr>
                <w:noProof/>
              </w:rPr>
              <w:t>1,8</w:t>
            </w:r>
          </w:p>
        </w:tc>
        <w:tc>
          <w:tcPr>
            <w:tcW w:w="540"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r>
              <w:rPr>
                <w:noProof/>
              </w:rPr>
              <w:t>2,3</w:t>
            </w:r>
          </w:p>
        </w:tc>
        <w:tc>
          <w:tcPr>
            <w:tcW w:w="720"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r>
              <w:rPr>
                <w:noProof/>
              </w:rPr>
              <w:t>2,2</w:t>
            </w:r>
          </w:p>
        </w:tc>
        <w:tc>
          <w:tcPr>
            <w:tcW w:w="900" w:type="dxa"/>
            <w:tcBorders>
              <w:right w:val="dashSmallGap" w:sz="4" w:space="0" w:color="auto"/>
            </w:tcBorders>
          </w:tcPr>
          <w:p>
            <w:pPr>
              <w:spacing w:before="0" w:after="200" w:line="276" w:lineRule="auto"/>
              <w:jc w:val="left"/>
              <w:rPr>
                <w:noProof/>
              </w:rPr>
            </w:pPr>
          </w:p>
        </w:tc>
        <w:tc>
          <w:tcPr>
            <w:tcW w:w="639" w:type="dxa"/>
            <w:tcBorders>
              <w:left w:val="dashSmallGap" w:sz="4" w:space="0" w:color="auto"/>
            </w:tcBorders>
          </w:tcPr>
          <w:p>
            <w:pPr>
              <w:spacing w:before="0" w:after="200" w:line="276" w:lineRule="auto"/>
              <w:jc w:val="left"/>
              <w:rPr>
                <w:noProof/>
              </w:rPr>
            </w:pPr>
          </w:p>
        </w:tc>
        <w:tc>
          <w:tcPr>
            <w:tcW w:w="621" w:type="dxa"/>
            <w:tcBorders>
              <w:right w:val="dashSmallGap" w:sz="4" w:space="0" w:color="auto"/>
            </w:tcBorders>
          </w:tcPr>
          <w:p>
            <w:pPr>
              <w:spacing w:before="0" w:after="200" w:line="276" w:lineRule="auto"/>
              <w:jc w:val="left"/>
              <w:rPr>
                <w:noProof/>
              </w:rPr>
            </w:pPr>
          </w:p>
        </w:tc>
        <w:tc>
          <w:tcPr>
            <w:tcW w:w="648" w:type="dxa"/>
            <w:gridSpan w:val="2"/>
            <w:tcBorders>
              <w:left w:val="dashSmallGap" w:sz="4" w:space="0" w:color="auto"/>
            </w:tcBorders>
          </w:tcPr>
          <w:p>
            <w:pPr>
              <w:spacing w:before="0" w:after="200" w:line="276" w:lineRule="auto"/>
              <w:jc w:val="left"/>
              <w:rPr>
                <w:noProof/>
              </w:rPr>
            </w:pPr>
          </w:p>
        </w:tc>
        <w:tc>
          <w:tcPr>
            <w:tcW w:w="432" w:type="dxa"/>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p>
        </w:tc>
        <w:tc>
          <w:tcPr>
            <w:tcW w:w="540" w:type="dxa"/>
            <w:gridSpan w:val="2"/>
            <w:tcBorders>
              <w:right w:val="dashSmallGap" w:sz="4" w:space="0" w:color="auto"/>
            </w:tcBorders>
          </w:tcPr>
          <w:p>
            <w:pPr>
              <w:spacing w:before="0" w:after="200" w:line="276" w:lineRule="auto"/>
              <w:jc w:val="left"/>
              <w:rPr>
                <w:noProof/>
              </w:rPr>
            </w:pPr>
          </w:p>
        </w:tc>
        <w:tc>
          <w:tcPr>
            <w:tcW w:w="720" w:type="dxa"/>
            <w:tcBorders>
              <w:left w:val="dashSmallGap" w:sz="4" w:space="0" w:color="auto"/>
            </w:tcBorders>
          </w:tcPr>
          <w:p>
            <w:pPr>
              <w:spacing w:before="0" w:after="200" w:line="276" w:lineRule="auto"/>
              <w:jc w:val="left"/>
              <w:rPr>
                <w:noProof/>
              </w:rPr>
            </w:pPr>
          </w:p>
        </w:tc>
        <w:tc>
          <w:tcPr>
            <w:tcW w:w="720" w:type="dxa"/>
          </w:tcPr>
          <w:p>
            <w:pPr>
              <w:spacing w:before="0" w:after="200" w:line="276" w:lineRule="auto"/>
              <w:jc w:val="left"/>
              <w:rPr>
                <w:noProof/>
              </w:rPr>
            </w:pPr>
          </w:p>
        </w:tc>
        <w:tc>
          <w:tcPr>
            <w:tcW w:w="900" w:type="dxa"/>
          </w:tcPr>
          <w:p>
            <w:pPr>
              <w:spacing w:before="0" w:after="200" w:line="276" w:lineRule="auto"/>
              <w:jc w:val="left"/>
              <w:rPr>
                <w:noProof/>
              </w:rPr>
            </w:pPr>
            <w:r>
              <w:rPr>
                <w:noProof/>
              </w:rPr>
              <w:t>6,3</w:t>
            </w:r>
          </w:p>
        </w:tc>
      </w:tr>
      <w:tr>
        <w:trPr>
          <w:trHeight w:hRule="exact" w:val="369"/>
          <w:jc w:val="center"/>
        </w:trPr>
        <w:tc>
          <w:tcPr>
            <w:tcW w:w="1423" w:type="dxa"/>
          </w:tcPr>
          <w:p>
            <w:pPr>
              <w:spacing w:before="0" w:after="200" w:line="276" w:lineRule="auto"/>
              <w:jc w:val="left"/>
              <w:rPr>
                <w:noProof/>
              </w:rPr>
            </w:pPr>
            <w:r>
              <w:rPr>
                <w:noProof/>
              </w:rPr>
              <w:t>Întreținere</w:t>
            </w:r>
          </w:p>
        </w:tc>
        <w:tc>
          <w:tcPr>
            <w:tcW w:w="720" w:type="dxa"/>
          </w:tcPr>
          <w:p>
            <w:pPr>
              <w:spacing w:before="0" w:after="200" w:line="276" w:lineRule="auto"/>
              <w:jc w:val="left"/>
              <w:rPr>
                <w:noProof/>
              </w:rPr>
            </w:pPr>
          </w:p>
        </w:tc>
        <w:tc>
          <w:tcPr>
            <w:tcW w:w="701" w:type="dxa"/>
          </w:tcPr>
          <w:p>
            <w:pPr>
              <w:spacing w:before="0" w:after="200" w:line="276" w:lineRule="auto"/>
              <w:jc w:val="left"/>
              <w:rPr>
                <w:noProof/>
              </w:rPr>
            </w:pPr>
          </w:p>
        </w:tc>
        <w:tc>
          <w:tcPr>
            <w:tcW w:w="504" w:type="dxa"/>
          </w:tcPr>
          <w:p>
            <w:pPr>
              <w:spacing w:before="0" w:after="200" w:line="276" w:lineRule="auto"/>
              <w:jc w:val="left"/>
              <w:rPr>
                <w:noProof/>
              </w:rPr>
            </w:pPr>
          </w:p>
        </w:tc>
        <w:tc>
          <w:tcPr>
            <w:tcW w:w="720" w:type="dxa"/>
          </w:tcPr>
          <w:p>
            <w:pPr>
              <w:spacing w:before="0" w:after="200" w:line="276" w:lineRule="auto"/>
              <w:jc w:val="left"/>
              <w:rPr>
                <w:noProof/>
              </w:rPr>
            </w:pPr>
          </w:p>
        </w:tc>
        <w:tc>
          <w:tcPr>
            <w:tcW w:w="540" w:type="dxa"/>
          </w:tcPr>
          <w:p>
            <w:pPr>
              <w:spacing w:before="0" w:after="200" w:line="276" w:lineRule="auto"/>
              <w:jc w:val="left"/>
              <w:rPr>
                <w:noProof/>
              </w:rPr>
            </w:pPr>
          </w:p>
        </w:tc>
        <w:tc>
          <w:tcPr>
            <w:tcW w:w="720" w:type="dxa"/>
          </w:tcPr>
          <w:p>
            <w:pPr>
              <w:spacing w:before="0" w:after="200" w:line="276" w:lineRule="auto"/>
              <w:jc w:val="left"/>
              <w:rPr>
                <w:noProof/>
              </w:rPr>
            </w:pPr>
          </w:p>
        </w:tc>
        <w:tc>
          <w:tcPr>
            <w:tcW w:w="720" w:type="dxa"/>
          </w:tcPr>
          <w:p>
            <w:pPr>
              <w:spacing w:before="0" w:after="200" w:line="276" w:lineRule="auto"/>
              <w:jc w:val="left"/>
              <w:rPr>
                <w:noProof/>
              </w:rPr>
            </w:pPr>
          </w:p>
        </w:tc>
        <w:tc>
          <w:tcPr>
            <w:tcW w:w="720" w:type="dxa"/>
          </w:tcPr>
          <w:p>
            <w:pPr>
              <w:spacing w:before="0" w:after="200" w:line="276" w:lineRule="auto"/>
              <w:jc w:val="left"/>
              <w:rPr>
                <w:noProof/>
              </w:rPr>
            </w:pPr>
            <w:r>
              <w:rPr>
                <w:noProof/>
              </w:rPr>
              <w:t>0,2</w:t>
            </w:r>
          </w:p>
        </w:tc>
        <w:tc>
          <w:tcPr>
            <w:tcW w:w="900" w:type="dxa"/>
          </w:tcPr>
          <w:p>
            <w:pPr>
              <w:spacing w:before="0" w:after="200" w:line="276" w:lineRule="auto"/>
              <w:jc w:val="left"/>
              <w:rPr>
                <w:noProof/>
              </w:rPr>
            </w:pPr>
          </w:p>
        </w:tc>
        <w:tc>
          <w:tcPr>
            <w:tcW w:w="639" w:type="dxa"/>
          </w:tcPr>
          <w:p>
            <w:pPr>
              <w:spacing w:before="0" w:after="200" w:line="276" w:lineRule="auto"/>
              <w:jc w:val="left"/>
              <w:rPr>
                <w:noProof/>
              </w:rPr>
            </w:pPr>
            <w:r>
              <w:rPr>
                <w:noProof/>
              </w:rPr>
              <w:t>0,3</w:t>
            </w:r>
          </w:p>
        </w:tc>
        <w:tc>
          <w:tcPr>
            <w:tcW w:w="621" w:type="dxa"/>
          </w:tcPr>
          <w:p>
            <w:pPr>
              <w:spacing w:before="0" w:after="200" w:line="276" w:lineRule="auto"/>
              <w:jc w:val="left"/>
              <w:rPr>
                <w:noProof/>
              </w:rPr>
            </w:pPr>
          </w:p>
        </w:tc>
        <w:tc>
          <w:tcPr>
            <w:tcW w:w="648" w:type="dxa"/>
            <w:gridSpan w:val="2"/>
          </w:tcPr>
          <w:p>
            <w:pPr>
              <w:spacing w:before="0" w:after="200" w:line="276" w:lineRule="auto"/>
              <w:jc w:val="left"/>
              <w:rPr>
                <w:noProof/>
              </w:rPr>
            </w:pPr>
            <w:r>
              <w:rPr>
                <w:noProof/>
              </w:rPr>
              <w:t>0,3</w:t>
            </w:r>
          </w:p>
        </w:tc>
        <w:tc>
          <w:tcPr>
            <w:tcW w:w="432" w:type="dxa"/>
          </w:tcPr>
          <w:p>
            <w:pPr>
              <w:spacing w:before="0" w:after="200" w:line="276" w:lineRule="auto"/>
              <w:jc w:val="left"/>
              <w:rPr>
                <w:noProof/>
              </w:rPr>
            </w:pPr>
          </w:p>
        </w:tc>
        <w:tc>
          <w:tcPr>
            <w:tcW w:w="720" w:type="dxa"/>
          </w:tcPr>
          <w:p>
            <w:pPr>
              <w:spacing w:before="0" w:after="200" w:line="276" w:lineRule="auto"/>
              <w:jc w:val="left"/>
              <w:rPr>
                <w:noProof/>
              </w:rPr>
            </w:pPr>
          </w:p>
        </w:tc>
        <w:tc>
          <w:tcPr>
            <w:tcW w:w="540" w:type="dxa"/>
            <w:gridSpan w:val="2"/>
          </w:tcPr>
          <w:p>
            <w:pPr>
              <w:spacing w:before="0" w:after="200" w:line="276" w:lineRule="auto"/>
              <w:jc w:val="left"/>
              <w:rPr>
                <w:noProof/>
              </w:rPr>
            </w:pPr>
          </w:p>
        </w:tc>
        <w:tc>
          <w:tcPr>
            <w:tcW w:w="720" w:type="dxa"/>
          </w:tcPr>
          <w:p>
            <w:pPr>
              <w:spacing w:before="0" w:after="200" w:line="276" w:lineRule="auto"/>
              <w:jc w:val="left"/>
              <w:rPr>
                <w:noProof/>
              </w:rPr>
            </w:pPr>
          </w:p>
        </w:tc>
        <w:tc>
          <w:tcPr>
            <w:tcW w:w="720" w:type="dxa"/>
          </w:tcPr>
          <w:p>
            <w:pPr>
              <w:spacing w:before="0" w:after="200" w:line="276" w:lineRule="auto"/>
              <w:jc w:val="left"/>
              <w:rPr>
                <w:noProof/>
              </w:rPr>
            </w:pPr>
          </w:p>
        </w:tc>
        <w:tc>
          <w:tcPr>
            <w:tcW w:w="900" w:type="dxa"/>
          </w:tcPr>
          <w:p>
            <w:pPr>
              <w:spacing w:before="0" w:after="200" w:line="276" w:lineRule="auto"/>
              <w:jc w:val="left"/>
              <w:rPr>
                <w:noProof/>
              </w:rPr>
            </w:pPr>
            <w:r>
              <w:rPr>
                <w:noProof/>
              </w:rPr>
              <w:t>0,8</w:t>
            </w:r>
          </w:p>
        </w:tc>
      </w:tr>
      <w:tr>
        <w:trPr>
          <w:trHeight w:hRule="exact" w:val="369"/>
          <w:jc w:val="center"/>
        </w:trPr>
        <w:tc>
          <w:tcPr>
            <w:tcW w:w="1423" w:type="dxa"/>
          </w:tcPr>
          <w:p>
            <w:pPr>
              <w:spacing w:before="0" w:after="200" w:line="276" w:lineRule="auto"/>
              <w:jc w:val="left"/>
              <w:rPr>
                <w:noProof/>
              </w:rPr>
            </w:pPr>
            <w:r>
              <w:rPr>
                <w:noProof/>
              </w:rPr>
              <w:t>Sprijin</w:t>
            </w:r>
          </w:p>
        </w:tc>
        <w:tc>
          <w:tcPr>
            <w:tcW w:w="720" w:type="dxa"/>
          </w:tcPr>
          <w:p>
            <w:pPr>
              <w:spacing w:before="0" w:after="200" w:line="276" w:lineRule="auto"/>
              <w:jc w:val="left"/>
              <w:rPr>
                <w:noProof/>
              </w:rPr>
            </w:pPr>
          </w:p>
        </w:tc>
        <w:tc>
          <w:tcPr>
            <w:tcW w:w="701" w:type="dxa"/>
          </w:tcPr>
          <w:p>
            <w:pPr>
              <w:spacing w:before="0" w:after="200" w:line="276" w:lineRule="auto"/>
              <w:jc w:val="left"/>
              <w:rPr>
                <w:noProof/>
              </w:rPr>
            </w:pPr>
          </w:p>
        </w:tc>
        <w:tc>
          <w:tcPr>
            <w:tcW w:w="504" w:type="dxa"/>
          </w:tcPr>
          <w:p>
            <w:pPr>
              <w:spacing w:before="0" w:after="200" w:line="276" w:lineRule="auto"/>
              <w:jc w:val="left"/>
              <w:rPr>
                <w:noProof/>
              </w:rPr>
            </w:pPr>
          </w:p>
        </w:tc>
        <w:tc>
          <w:tcPr>
            <w:tcW w:w="720" w:type="dxa"/>
          </w:tcPr>
          <w:p>
            <w:pPr>
              <w:spacing w:before="0" w:after="200" w:line="276" w:lineRule="auto"/>
              <w:jc w:val="left"/>
              <w:rPr>
                <w:noProof/>
              </w:rPr>
            </w:pPr>
          </w:p>
        </w:tc>
        <w:tc>
          <w:tcPr>
            <w:tcW w:w="540" w:type="dxa"/>
          </w:tcPr>
          <w:p>
            <w:pPr>
              <w:spacing w:before="0" w:after="200" w:line="276" w:lineRule="auto"/>
              <w:jc w:val="left"/>
              <w:rPr>
                <w:noProof/>
              </w:rPr>
            </w:pPr>
          </w:p>
        </w:tc>
        <w:tc>
          <w:tcPr>
            <w:tcW w:w="720" w:type="dxa"/>
          </w:tcPr>
          <w:p>
            <w:pPr>
              <w:spacing w:before="0" w:after="200" w:line="276" w:lineRule="auto"/>
              <w:jc w:val="left"/>
              <w:rPr>
                <w:noProof/>
              </w:rPr>
            </w:pPr>
            <w:r>
              <w:rPr>
                <w:noProof/>
              </w:rPr>
              <w:t>0,1</w:t>
            </w:r>
          </w:p>
        </w:tc>
        <w:tc>
          <w:tcPr>
            <w:tcW w:w="720" w:type="dxa"/>
          </w:tcPr>
          <w:p>
            <w:pPr>
              <w:spacing w:before="0" w:after="200" w:line="276" w:lineRule="auto"/>
              <w:jc w:val="left"/>
              <w:rPr>
                <w:noProof/>
              </w:rPr>
            </w:pPr>
          </w:p>
        </w:tc>
        <w:tc>
          <w:tcPr>
            <w:tcW w:w="720" w:type="dxa"/>
          </w:tcPr>
          <w:p>
            <w:pPr>
              <w:spacing w:before="0" w:after="200" w:line="276" w:lineRule="auto"/>
              <w:jc w:val="left"/>
              <w:rPr>
                <w:noProof/>
              </w:rPr>
            </w:pPr>
            <w:r>
              <w:rPr>
                <w:noProof/>
              </w:rPr>
              <w:t>0,1</w:t>
            </w:r>
          </w:p>
        </w:tc>
        <w:tc>
          <w:tcPr>
            <w:tcW w:w="900" w:type="dxa"/>
          </w:tcPr>
          <w:p>
            <w:pPr>
              <w:spacing w:before="0" w:after="200" w:line="276" w:lineRule="auto"/>
              <w:jc w:val="left"/>
              <w:rPr>
                <w:noProof/>
              </w:rPr>
            </w:pPr>
          </w:p>
        </w:tc>
        <w:tc>
          <w:tcPr>
            <w:tcW w:w="639" w:type="dxa"/>
          </w:tcPr>
          <w:p>
            <w:pPr>
              <w:spacing w:before="0" w:after="200" w:line="276" w:lineRule="auto"/>
              <w:jc w:val="left"/>
              <w:rPr>
                <w:noProof/>
              </w:rPr>
            </w:pPr>
            <w:r>
              <w:rPr>
                <w:noProof/>
              </w:rPr>
              <w:t>0,9</w:t>
            </w:r>
          </w:p>
        </w:tc>
        <w:tc>
          <w:tcPr>
            <w:tcW w:w="621" w:type="dxa"/>
          </w:tcPr>
          <w:p>
            <w:pPr>
              <w:spacing w:before="0" w:after="200" w:line="276" w:lineRule="auto"/>
              <w:jc w:val="left"/>
              <w:rPr>
                <w:noProof/>
              </w:rPr>
            </w:pPr>
          </w:p>
        </w:tc>
        <w:tc>
          <w:tcPr>
            <w:tcW w:w="648" w:type="dxa"/>
            <w:gridSpan w:val="2"/>
          </w:tcPr>
          <w:p>
            <w:pPr>
              <w:spacing w:before="0" w:after="200" w:line="276" w:lineRule="auto"/>
              <w:jc w:val="left"/>
              <w:rPr>
                <w:noProof/>
              </w:rPr>
            </w:pPr>
            <w:r>
              <w:rPr>
                <w:noProof/>
              </w:rPr>
              <w:t>0,5</w:t>
            </w:r>
          </w:p>
        </w:tc>
        <w:tc>
          <w:tcPr>
            <w:tcW w:w="432" w:type="dxa"/>
          </w:tcPr>
          <w:p>
            <w:pPr>
              <w:spacing w:before="0" w:after="200" w:line="276" w:lineRule="auto"/>
              <w:jc w:val="left"/>
              <w:rPr>
                <w:noProof/>
              </w:rPr>
            </w:pPr>
          </w:p>
        </w:tc>
        <w:tc>
          <w:tcPr>
            <w:tcW w:w="720" w:type="dxa"/>
          </w:tcPr>
          <w:p>
            <w:pPr>
              <w:spacing w:before="0" w:after="200" w:line="276" w:lineRule="auto"/>
              <w:jc w:val="left"/>
              <w:rPr>
                <w:noProof/>
              </w:rPr>
            </w:pPr>
            <w:r>
              <w:rPr>
                <w:noProof/>
              </w:rPr>
              <w:t>0,2</w:t>
            </w:r>
          </w:p>
        </w:tc>
        <w:tc>
          <w:tcPr>
            <w:tcW w:w="540" w:type="dxa"/>
            <w:gridSpan w:val="2"/>
          </w:tcPr>
          <w:p>
            <w:pPr>
              <w:spacing w:before="0" w:after="200" w:line="276" w:lineRule="auto"/>
              <w:jc w:val="left"/>
              <w:rPr>
                <w:noProof/>
              </w:rPr>
            </w:pPr>
          </w:p>
        </w:tc>
        <w:tc>
          <w:tcPr>
            <w:tcW w:w="720" w:type="dxa"/>
          </w:tcPr>
          <w:p>
            <w:pPr>
              <w:spacing w:before="0" w:after="200" w:line="276" w:lineRule="auto"/>
              <w:jc w:val="left"/>
              <w:rPr>
                <w:noProof/>
              </w:rPr>
            </w:pPr>
            <w:r>
              <w:rPr>
                <w:noProof/>
              </w:rPr>
              <w:t>0,2</w:t>
            </w:r>
          </w:p>
        </w:tc>
        <w:tc>
          <w:tcPr>
            <w:tcW w:w="720" w:type="dxa"/>
          </w:tcPr>
          <w:p>
            <w:pPr>
              <w:spacing w:before="0" w:after="200" w:line="276" w:lineRule="auto"/>
              <w:jc w:val="left"/>
              <w:rPr>
                <w:noProof/>
              </w:rPr>
            </w:pPr>
          </w:p>
        </w:tc>
        <w:tc>
          <w:tcPr>
            <w:tcW w:w="900" w:type="dxa"/>
          </w:tcPr>
          <w:p>
            <w:pPr>
              <w:spacing w:before="0" w:after="200" w:line="276" w:lineRule="auto"/>
              <w:jc w:val="left"/>
              <w:rPr>
                <w:noProof/>
              </w:rPr>
            </w:pPr>
            <w:r>
              <w:rPr>
                <w:noProof/>
              </w:rPr>
              <w:t>2,1</w:t>
            </w:r>
          </w:p>
        </w:tc>
      </w:tr>
      <w:tr>
        <w:trPr>
          <w:trHeight w:hRule="exact" w:val="369"/>
          <w:jc w:val="center"/>
        </w:trPr>
        <w:tc>
          <w:tcPr>
            <w:tcW w:w="1423" w:type="dxa"/>
          </w:tcPr>
          <w:p>
            <w:pPr>
              <w:spacing w:before="0" w:after="200" w:line="276" w:lineRule="auto"/>
              <w:jc w:val="left"/>
              <w:rPr>
                <w:noProof/>
              </w:rPr>
            </w:pPr>
            <w:r>
              <w:rPr>
                <w:noProof/>
              </w:rPr>
              <w:t>Formare</w:t>
            </w:r>
          </w:p>
        </w:tc>
        <w:tc>
          <w:tcPr>
            <w:tcW w:w="720" w:type="dxa"/>
          </w:tcPr>
          <w:p>
            <w:pPr>
              <w:spacing w:before="0" w:after="200" w:line="276" w:lineRule="auto"/>
              <w:jc w:val="left"/>
              <w:rPr>
                <w:noProof/>
              </w:rPr>
            </w:pPr>
          </w:p>
        </w:tc>
        <w:tc>
          <w:tcPr>
            <w:tcW w:w="701" w:type="dxa"/>
          </w:tcPr>
          <w:p>
            <w:pPr>
              <w:spacing w:before="0" w:after="200" w:line="276" w:lineRule="auto"/>
              <w:jc w:val="left"/>
              <w:rPr>
                <w:noProof/>
              </w:rPr>
            </w:pPr>
          </w:p>
        </w:tc>
        <w:tc>
          <w:tcPr>
            <w:tcW w:w="504" w:type="dxa"/>
          </w:tcPr>
          <w:p>
            <w:pPr>
              <w:spacing w:before="0" w:after="200" w:line="276" w:lineRule="auto"/>
              <w:jc w:val="left"/>
              <w:rPr>
                <w:noProof/>
              </w:rPr>
            </w:pPr>
          </w:p>
        </w:tc>
        <w:tc>
          <w:tcPr>
            <w:tcW w:w="720" w:type="dxa"/>
          </w:tcPr>
          <w:p>
            <w:pPr>
              <w:spacing w:before="0" w:after="200" w:line="276" w:lineRule="auto"/>
              <w:jc w:val="left"/>
              <w:rPr>
                <w:noProof/>
              </w:rPr>
            </w:pPr>
          </w:p>
        </w:tc>
        <w:tc>
          <w:tcPr>
            <w:tcW w:w="540" w:type="dxa"/>
          </w:tcPr>
          <w:p>
            <w:pPr>
              <w:spacing w:before="0" w:after="200" w:line="276" w:lineRule="auto"/>
              <w:jc w:val="left"/>
              <w:rPr>
                <w:noProof/>
              </w:rPr>
            </w:pPr>
          </w:p>
        </w:tc>
        <w:tc>
          <w:tcPr>
            <w:tcW w:w="720" w:type="dxa"/>
          </w:tcPr>
          <w:p>
            <w:pPr>
              <w:spacing w:before="0" w:after="200" w:line="276" w:lineRule="auto"/>
              <w:jc w:val="left"/>
              <w:rPr>
                <w:noProof/>
              </w:rPr>
            </w:pPr>
            <w:r>
              <w:rPr>
                <w:noProof/>
              </w:rPr>
              <w:t>0,5</w:t>
            </w:r>
          </w:p>
        </w:tc>
        <w:tc>
          <w:tcPr>
            <w:tcW w:w="720" w:type="dxa"/>
          </w:tcPr>
          <w:p>
            <w:pPr>
              <w:spacing w:before="0" w:after="200" w:line="276" w:lineRule="auto"/>
              <w:jc w:val="left"/>
              <w:rPr>
                <w:noProof/>
              </w:rPr>
            </w:pPr>
          </w:p>
        </w:tc>
        <w:tc>
          <w:tcPr>
            <w:tcW w:w="720" w:type="dxa"/>
          </w:tcPr>
          <w:p>
            <w:pPr>
              <w:spacing w:before="0" w:after="200" w:line="276" w:lineRule="auto"/>
              <w:jc w:val="left"/>
              <w:rPr>
                <w:noProof/>
              </w:rPr>
            </w:pPr>
            <w:r>
              <w:rPr>
                <w:noProof/>
              </w:rPr>
              <w:t>0,5</w:t>
            </w:r>
          </w:p>
        </w:tc>
        <w:tc>
          <w:tcPr>
            <w:tcW w:w="900" w:type="dxa"/>
          </w:tcPr>
          <w:p>
            <w:pPr>
              <w:spacing w:before="0" w:after="200" w:line="276" w:lineRule="auto"/>
              <w:jc w:val="left"/>
              <w:rPr>
                <w:noProof/>
              </w:rPr>
            </w:pPr>
          </w:p>
        </w:tc>
        <w:tc>
          <w:tcPr>
            <w:tcW w:w="639" w:type="dxa"/>
          </w:tcPr>
          <w:p>
            <w:pPr>
              <w:spacing w:before="0" w:after="200" w:line="276" w:lineRule="auto"/>
              <w:jc w:val="left"/>
              <w:rPr>
                <w:noProof/>
              </w:rPr>
            </w:pPr>
            <w:r>
              <w:rPr>
                <w:noProof/>
              </w:rPr>
              <w:t>0,5</w:t>
            </w:r>
          </w:p>
        </w:tc>
        <w:tc>
          <w:tcPr>
            <w:tcW w:w="621" w:type="dxa"/>
          </w:tcPr>
          <w:p>
            <w:pPr>
              <w:spacing w:before="0" w:after="200" w:line="276" w:lineRule="auto"/>
              <w:jc w:val="left"/>
              <w:rPr>
                <w:noProof/>
              </w:rPr>
            </w:pPr>
          </w:p>
        </w:tc>
        <w:tc>
          <w:tcPr>
            <w:tcW w:w="648" w:type="dxa"/>
            <w:gridSpan w:val="2"/>
          </w:tcPr>
          <w:p>
            <w:pPr>
              <w:spacing w:before="0" w:after="200" w:line="276" w:lineRule="auto"/>
              <w:jc w:val="left"/>
              <w:rPr>
                <w:noProof/>
              </w:rPr>
            </w:pPr>
            <w:r>
              <w:rPr>
                <w:noProof/>
              </w:rPr>
              <w:t>0,4</w:t>
            </w:r>
          </w:p>
        </w:tc>
        <w:tc>
          <w:tcPr>
            <w:tcW w:w="432" w:type="dxa"/>
          </w:tcPr>
          <w:p>
            <w:pPr>
              <w:spacing w:before="0" w:after="200" w:line="276" w:lineRule="auto"/>
              <w:jc w:val="left"/>
              <w:rPr>
                <w:noProof/>
              </w:rPr>
            </w:pPr>
          </w:p>
        </w:tc>
        <w:tc>
          <w:tcPr>
            <w:tcW w:w="720" w:type="dxa"/>
          </w:tcPr>
          <w:p>
            <w:pPr>
              <w:spacing w:before="0" w:after="200" w:line="276" w:lineRule="auto"/>
              <w:jc w:val="left"/>
              <w:rPr>
                <w:noProof/>
              </w:rPr>
            </w:pPr>
            <w:r>
              <w:rPr>
                <w:noProof/>
              </w:rPr>
              <w:t>0,1</w:t>
            </w:r>
          </w:p>
        </w:tc>
        <w:tc>
          <w:tcPr>
            <w:tcW w:w="540" w:type="dxa"/>
            <w:gridSpan w:val="2"/>
          </w:tcPr>
          <w:p>
            <w:pPr>
              <w:spacing w:before="0" w:after="200" w:line="276" w:lineRule="auto"/>
              <w:jc w:val="left"/>
              <w:rPr>
                <w:noProof/>
              </w:rPr>
            </w:pPr>
          </w:p>
        </w:tc>
        <w:tc>
          <w:tcPr>
            <w:tcW w:w="720" w:type="dxa"/>
          </w:tcPr>
          <w:p>
            <w:pPr>
              <w:spacing w:before="0" w:after="200" w:line="276" w:lineRule="auto"/>
              <w:jc w:val="left"/>
              <w:rPr>
                <w:noProof/>
              </w:rPr>
            </w:pPr>
            <w:r>
              <w:rPr>
                <w:noProof/>
              </w:rPr>
              <w:t>0,1</w:t>
            </w:r>
          </w:p>
        </w:tc>
        <w:tc>
          <w:tcPr>
            <w:tcW w:w="720" w:type="dxa"/>
          </w:tcPr>
          <w:p>
            <w:pPr>
              <w:spacing w:before="0" w:after="200" w:line="276" w:lineRule="auto"/>
              <w:jc w:val="left"/>
              <w:rPr>
                <w:noProof/>
              </w:rPr>
            </w:pPr>
          </w:p>
        </w:tc>
        <w:tc>
          <w:tcPr>
            <w:tcW w:w="900" w:type="dxa"/>
          </w:tcPr>
          <w:p>
            <w:pPr>
              <w:spacing w:before="0" w:after="200" w:line="276" w:lineRule="auto"/>
              <w:jc w:val="left"/>
              <w:rPr>
                <w:noProof/>
              </w:rPr>
            </w:pPr>
            <w:r>
              <w:rPr>
                <w:noProof/>
              </w:rPr>
              <w:t>2,1</w:t>
            </w:r>
          </w:p>
        </w:tc>
      </w:tr>
      <w:tr>
        <w:trPr>
          <w:trHeight w:hRule="exact" w:val="369"/>
          <w:jc w:val="center"/>
        </w:trPr>
        <w:tc>
          <w:tcPr>
            <w:tcW w:w="1423" w:type="dxa"/>
          </w:tcPr>
          <w:p>
            <w:pPr>
              <w:spacing w:before="0" w:after="200" w:line="276" w:lineRule="auto"/>
              <w:jc w:val="left"/>
              <w:rPr>
                <w:noProof/>
              </w:rPr>
            </w:pPr>
            <w:r>
              <w:rPr>
                <w:noProof/>
              </w:rPr>
              <w:t>ITSM – Infrastructură</w:t>
            </w:r>
          </w:p>
        </w:tc>
        <w:tc>
          <w:tcPr>
            <w:tcW w:w="720" w:type="dxa"/>
          </w:tcPr>
          <w:p>
            <w:pPr>
              <w:spacing w:before="0" w:after="200" w:line="276" w:lineRule="auto"/>
              <w:jc w:val="left"/>
              <w:rPr>
                <w:noProof/>
              </w:rPr>
            </w:pPr>
          </w:p>
        </w:tc>
        <w:tc>
          <w:tcPr>
            <w:tcW w:w="701" w:type="dxa"/>
          </w:tcPr>
          <w:p>
            <w:pPr>
              <w:spacing w:before="0" w:after="200" w:line="276" w:lineRule="auto"/>
              <w:jc w:val="left"/>
              <w:rPr>
                <w:noProof/>
              </w:rPr>
            </w:pPr>
          </w:p>
        </w:tc>
        <w:tc>
          <w:tcPr>
            <w:tcW w:w="504" w:type="dxa"/>
          </w:tcPr>
          <w:p>
            <w:pPr>
              <w:spacing w:before="0" w:after="200" w:line="276" w:lineRule="auto"/>
              <w:jc w:val="left"/>
              <w:rPr>
                <w:noProof/>
              </w:rPr>
            </w:pPr>
          </w:p>
        </w:tc>
        <w:tc>
          <w:tcPr>
            <w:tcW w:w="720" w:type="dxa"/>
          </w:tcPr>
          <w:p>
            <w:pPr>
              <w:spacing w:before="0" w:after="200" w:line="276" w:lineRule="auto"/>
              <w:jc w:val="left"/>
              <w:rPr>
                <w:noProof/>
              </w:rPr>
            </w:pPr>
            <w:r>
              <w:rPr>
                <w:noProof/>
              </w:rPr>
              <w:t>0,1</w:t>
            </w:r>
          </w:p>
        </w:tc>
        <w:tc>
          <w:tcPr>
            <w:tcW w:w="540" w:type="dxa"/>
          </w:tcPr>
          <w:p>
            <w:pPr>
              <w:spacing w:before="0" w:after="200" w:line="276" w:lineRule="auto"/>
              <w:jc w:val="left"/>
              <w:rPr>
                <w:noProof/>
              </w:rPr>
            </w:pPr>
          </w:p>
        </w:tc>
        <w:tc>
          <w:tcPr>
            <w:tcW w:w="720" w:type="dxa"/>
          </w:tcPr>
          <w:p>
            <w:pPr>
              <w:spacing w:before="0" w:after="200" w:line="276" w:lineRule="auto"/>
              <w:jc w:val="left"/>
              <w:rPr>
                <w:noProof/>
              </w:rPr>
            </w:pPr>
            <w:r>
              <w:rPr>
                <w:noProof/>
              </w:rPr>
              <w:t>0,1</w:t>
            </w:r>
          </w:p>
        </w:tc>
        <w:tc>
          <w:tcPr>
            <w:tcW w:w="720" w:type="dxa"/>
          </w:tcPr>
          <w:p>
            <w:pPr>
              <w:spacing w:before="0" w:after="200" w:line="276" w:lineRule="auto"/>
              <w:jc w:val="left"/>
              <w:rPr>
                <w:noProof/>
              </w:rPr>
            </w:pPr>
          </w:p>
        </w:tc>
        <w:tc>
          <w:tcPr>
            <w:tcW w:w="720" w:type="dxa"/>
          </w:tcPr>
          <w:p>
            <w:pPr>
              <w:spacing w:before="0" w:after="200" w:line="276" w:lineRule="auto"/>
              <w:jc w:val="left"/>
              <w:rPr>
                <w:noProof/>
              </w:rPr>
            </w:pPr>
            <w:r>
              <w:rPr>
                <w:noProof/>
              </w:rPr>
              <w:t>0,2</w:t>
            </w:r>
          </w:p>
        </w:tc>
        <w:tc>
          <w:tcPr>
            <w:tcW w:w="900" w:type="dxa"/>
          </w:tcPr>
          <w:p>
            <w:pPr>
              <w:spacing w:before="0" w:after="200" w:line="276" w:lineRule="auto"/>
              <w:jc w:val="left"/>
              <w:rPr>
                <w:noProof/>
              </w:rPr>
            </w:pPr>
          </w:p>
        </w:tc>
        <w:tc>
          <w:tcPr>
            <w:tcW w:w="639" w:type="dxa"/>
          </w:tcPr>
          <w:p>
            <w:pPr>
              <w:spacing w:before="0" w:after="200" w:line="276" w:lineRule="auto"/>
              <w:jc w:val="left"/>
              <w:rPr>
                <w:noProof/>
              </w:rPr>
            </w:pPr>
            <w:r>
              <w:rPr>
                <w:noProof/>
              </w:rPr>
              <w:t>0,2</w:t>
            </w:r>
          </w:p>
        </w:tc>
        <w:tc>
          <w:tcPr>
            <w:tcW w:w="621" w:type="dxa"/>
          </w:tcPr>
          <w:p>
            <w:pPr>
              <w:spacing w:before="0" w:after="200" w:line="276" w:lineRule="auto"/>
              <w:jc w:val="left"/>
              <w:rPr>
                <w:noProof/>
              </w:rPr>
            </w:pPr>
          </w:p>
        </w:tc>
        <w:tc>
          <w:tcPr>
            <w:tcW w:w="648" w:type="dxa"/>
            <w:gridSpan w:val="2"/>
          </w:tcPr>
          <w:p>
            <w:pPr>
              <w:spacing w:before="0" w:after="200" w:line="276" w:lineRule="auto"/>
              <w:jc w:val="left"/>
              <w:rPr>
                <w:noProof/>
              </w:rPr>
            </w:pPr>
            <w:r>
              <w:rPr>
                <w:noProof/>
              </w:rPr>
              <w:t>0,2</w:t>
            </w:r>
          </w:p>
        </w:tc>
        <w:tc>
          <w:tcPr>
            <w:tcW w:w="432" w:type="dxa"/>
          </w:tcPr>
          <w:p>
            <w:pPr>
              <w:spacing w:before="0" w:after="200" w:line="276" w:lineRule="auto"/>
              <w:jc w:val="left"/>
              <w:rPr>
                <w:noProof/>
              </w:rPr>
            </w:pPr>
          </w:p>
        </w:tc>
        <w:tc>
          <w:tcPr>
            <w:tcW w:w="720" w:type="dxa"/>
          </w:tcPr>
          <w:p>
            <w:pPr>
              <w:spacing w:before="0" w:after="200" w:line="276" w:lineRule="auto"/>
              <w:jc w:val="left"/>
              <w:rPr>
                <w:noProof/>
              </w:rPr>
            </w:pPr>
            <w:r>
              <w:rPr>
                <w:noProof/>
              </w:rPr>
              <w:t>0,2</w:t>
            </w:r>
          </w:p>
        </w:tc>
        <w:tc>
          <w:tcPr>
            <w:tcW w:w="540" w:type="dxa"/>
            <w:gridSpan w:val="2"/>
          </w:tcPr>
          <w:p>
            <w:pPr>
              <w:spacing w:before="0" w:after="200" w:line="276" w:lineRule="auto"/>
              <w:jc w:val="left"/>
              <w:rPr>
                <w:noProof/>
              </w:rPr>
            </w:pPr>
          </w:p>
        </w:tc>
        <w:tc>
          <w:tcPr>
            <w:tcW w:w="720" w:type="dxa"/>
          </w:tcPr>
          <w:p>
            <w:pPr>
              <w:spacing w:before="0" w:after="200" w:line="276" w:lineRule="auto"/>
              <w:jc w:val="left"/>
              <w:rPr>
                <w:noProof/>
              </w:rPr>
            </w:pPr>
            <w:r>
              <w:rPr>
                <w:noProof/>
              </w:rPr>
              <w:t>0,1</w:t>
            </w:r>
          </w:p>
        </w:tc>
        <w:tc>
          <w:tcPr>
            <w:tcW w:w="720" w:type="dxa"/>
          </w:tcPr>
          <w:p>
            <w:pPr>
              <w:spacing w:before="0" w:after="200" w:line="276" w:lineRule="auto"/>
              <w:jc w:val="left"/>
              <w:rPr>
                <w:noProof/>
              </w:rPr>
            </w:pPr>
          </w:p>
        </w:tc>
        <w:tc>
          <w:tcPr>
            <w:tcW w:w="900" w:type="dxa"/>
          </w:tcPr>
          <w:p>
            <w:pPr>
              <w:spacing w:before="0" w:after="200" w:line="276" w:lineRule="auto"/>
              <w:jc w:val="left"/>
              <w:rPr>
                <w:noProof/>
              </w:rPr>
            </w:pPr>
            <w:r>
              <w:rPr>
                <w:noProof/>
              </w:rPr>
              <w:t>1,2</w:t>
            </w:r>
          </w:p>
        </w:tc>
      </w:tr>
      <w:tr>
        <w:trPr>
          <w:trHeight w:val="77"/>
          <w:jc w:val="center"/>
        </w:trPr>
        <w:tc>
          <w:tcPr>
            <w:tcW w:w="2844" w:type="dxa"/>
            <w:gridSpan w:val="3"/>
            <w:tcBorders>
              <w:bottom w:val="single" w:sz="12" w:space="0" w:color="auto"/>
            </w:tcBorders>
            <w:vAlign w:val="center"/>
          </w:tcPr>
          <w:p>
            <w:pPr>
              <w:spacing w:before="0" w:after="200" w:line="276" w:lineRule="auto"/>
              <w:jc w:val="left"/>
              <w:rPr>
                <w:noProof/>
              </w:rPr>
            </w:pPr>
            <w:r>
              <w:rPr>
                <w:noProof/>
              </w:rPr>
              <w:t>Subtotal pentru obiectivul specific nr. 1</w:t>
            </w:r>
          </w:p>
        </w:tc>
        <w:tc>
          <w:tcPr>
            <w:tcW w:w="504" w:type="dxa"/>
            <w:tcBorders>
              <w:bottom w:val="single" w:sz="12" w:space="0" w:color="auto"/>
            </w:tcBorders>
          </w:tcPr>
          <w:p>
            <w:pPr>
              <w:spacing w:before="0" w:after="200" w:line="276" w:lineRule="auto"/>
              <w:jc w:val="left"/>
              <w:rPr>
                <w:noProof/>
              </w:rPr>
            </w:pPr>
          </w:p>
        </w:tc>
        <w:tc>
          <w:tcPr>
            <w:tcW w:w="720" w:type="dxa"/>
            <w:tcBorders>
              <w:bottom w:val="single" w:sz="12" w:space="0" w:color="auto"/>
            </w:tcBorders>
          </w:tcPr>
          <w:p>
            <w:pPr>
              <w:spacing w:before="0" w:after="200" w:line="276" w:lineRule="auto"/>
              <w:jc w:val="left"/>
              <w:rPr>
                <w:noProof/>
              </w:rPr>
            </w:pPr>
            <w:r>
              <w:rPr>
                <w:noProof/>
              </w:rPr>
              <w:t>3,4</w:t>
            </w:r>
          </w:p>
        </w:tc>
        <w:tc>
          <w:tcPr>
            <w:tcW w:w="540" w:type="dxa"/>
            <w:tcBorders>
              <w:bottom w:val="single" w:sz="12" w:space="0" w:color="auto"/>
            </w:tcBorders>
          </w:tcPr>
          <w:p>
            <w:pPr>
              <w:spacing w:before="0" w:after="200" w:line="276" w:lineRule="auto"/>
              <w:jc w:val="left"/>
              <w:rPr>
                <w:noProof/>
              </w:rPr>
            </w:pPr>
          </w:p>
        </w:tc>
        <w:tc>
          <w:tcPr>
            <w:tcW w:w="720" w:type="dxa"/>
            <w:tcBorders>
              <w:bottom w:val="single" w:sz="12" w:space="0" w:color="auto"/>
            </w:tcBorders>
          </w:tcPr>
          <w:p>
            <w:pPr>
              <w:spacing w:before="0" w:after="200" w:line="276" w:lineRule="auto"/>
              <w:jc w:val="left"/>
              <w:rPr>
                <w:noProof/>
              </w:rPr>
            </w:pPr>
            <w:r>
              <w:rPr>
                <w:noProof/>
              </w:rPr>
              <w:t>3,3</w:t>
            </w:r>
          </w:p>
        </w:tc>
        <w:tc>
          <w:tcPr>
            <w:tcW w:w="720" w:type="dxa"/>
            <w:tcBorders>
              <w:bottom w:val="single" w:sz="12" w:space="0" w:color="auto"/>
            </w:tcBorders>
          </w:tcPr>
          <w:p>
            <w:pPr>
              <w:spacing w:before="0" w:after="200" w:line="276" w:lineRule="auto"/>
              <w:jc w:val="left"/>
              <w:rPr>
                <w:noProof/>
              </w:rPr>
            </w:pPr>
          </w:p>
        </w:tc>
        <w:tc>
          <w:tcPr>
            <w:tcW w:w="720" w:type="dxa"/>
            <w:tcBorders>
              <w:bottom w:val="single" w:sz="12" w:space="0" w:color="auto"/>
            </w:tcBorders>
          </w:tcPr>
          <w:p>
            <w:pPr>
              <w:spacing w:before="0" w:after="200" w:line="276" w:lineRule="auto"/>
              <w:jc w:val="left"/>
              <w:rPr>
                <w:noProof/>
              </w:rPr>
            </w:pPr>
            <w:r>
              <w:rPr>
                <w:noProof/>
              </w:rPr>
              <w:t>3,3</w:t>
            </w:r>
          </w:p>
        </w:tc>
        <w:tc>
          <w:tcPr>
            <w:tcW w:w="900" w:type="dxa"/>
            <w:tcBorders>
              <w:bottom w:val="single" w:sz="12" w:space="0" w:color="auto"/>
            </w:tcBorders>
          </w:tcPr>
          <w:p>
            <w:pPr>
              <w:spacing w:before="0" w:after="200" w:line="276" w:lineRule="auto"/>
              <w:jc w:val="left"/>
              <w:rPr>
                <w:noProof/>
              </w:rPr>
            </w:pPr>
          </w:p>
        </w:tc>
        <w:tc>
          <w:tcPr>
            <w:tcW w:w="639" w:type="dxa"/>
            <w:tcBorders>
              <w:bottom w:val="single" w:sz="12" w:space="0" w:color="auto"/>
            </w:tcBorders>
          </w:tcPr>
          <w:p>
            <w:pPr>
              <w:spacing w:before="0" w:after="200" w:line="276" w:lineRule="auto"/>
              <w:jc w:val="left"/>
              <w:rPr>
                <w:noProof/>
              </w:rPr>
            </w:pPr>
            <w:r>
              <w:rPr>
                <w:noProof/>
              </w:rPr>
              <w:t>1,9</w:t>
            </w:r>
          </w:p>
        </w:tc>
        <w:tc>
          <w:tcPr>
            <w:tcW w:w="621" w:type="dxa"/>
            <w:tcBorders>
              <w:bottom w:val="single" w:sz="12" w:space="0" w:color="auto"/>
            </w:tcBorders>
          </w:tcPr>
          <w:p>
            <w:pPr>
              <w:spacing w:before="0" w:after="200" w:line="276" w:lineRule="auto"/>
              <w:jc w:val="left"/>
              <w:rPr>
                <w:noProof/>
              </w:rPr>
            </w:pPr>
          </w:p>
        </w:tc>
        <w:tc>
          <w:tcPr>
            <w:tcW w:w="648" w:type="dxa"/>
            <w:gridSpan w:val="2"/>
            <w:tcBorders>
              <w:bottom w:val="single" w:sz="12" w:space="0" w:color="auto"/>
            </w:tcBorders>
          </w:tcPr>
          <w:p>
            <w:pPr>
              <w:spacing w:before="0" w:after="200" w:line="276" w:lineRule="auto"/>
              <w:jc w:val="left"/>
              <w:rPr>
                <w:noProof/>
              </w:rPr>
            </w:pPr>
            <w:r>
              <w:rPr>
                <w:noProof/>
              </w:rPr>
              <w:t>1,5</w:t>
            </w:r>
          </w:p>
        </w:tc>
        <w:tc>
          <w:tcPr>
            <w:tcW w:w="432" w:type="dxa"/>
            <w:tcBorders>
              <w:bottom w:val="single" w:sz="12" w:space="0" w:color="auto"/>
            </w:tcBorders>
          </w:tcPr>
          <w:p>
            <w:pPr>
              <w:spacing w:before="0" w:after="200" w:line="276" w:lineRule="auto"/>
              <w:jc w:val="left"/>
              <w:rPr>
                <w:noProof/>
              </w:rPr>
            </w:pPr>
          </w:p>
        </w:tc>
        <w:tc>
          <w:tcPr>
            <w:tcW w:w="720" w:type="dxa"/>
            <w:tcBorders>
              <w:bottom w:val="single" w:sz="12" w:space="0" w:color="auto"/>
            </w:tcBorders>
          </w:tcPr>
          <w:p>
            <w:pPr>
              <w:spacing w:before="0" w:after="200" w:line="276" w:lineRule="auto"/>
              <w:jc w:val="left"/>
              <w:rPr>
                <w:noProof/>
              </w:rPr>
            </w:pPr>
            <w:r>
              <w:rPr>
                <w:noProof/>
              </w:rPr>
              <w:t>0,5</w:t>
            </w:r>
          </w:p>
        </w:tc>
        <w:tc>
          <w:tcPr>
            <w:tcW w:w="540" w:type="dxa"/>
            <w:gridSpan w:val="2"/>
            <w:tcBorders>
              <w:bottom w:val="single" w:sz="12" w:space="0" w:color="auto"/>
            </w:tcBorders>
          </w:tcPr>
          <w:p>
            <w:pPr>
              <w:spacing w:before="0" w:after="200" w:line="276" w:lineRule="auto"/>
              <w:jc w:val="left"/>
              <w:rPr>
                <w:noProof/>
              </w:rPr>
            </w:pPr>
          </w:p>
        </w:tc>
        <w:tc>
          <w:tcPr>
            <w:tcW w:w="720" w:type="dxa"/>
            <w:tcBorders>
              <w:bottom w:val="single" w:sz="12" w:space="0" w:color="auto"/>
            </w:tcBorders>
          </w:tcPr>
          <w:p>
            <w:pPr>
              <w:spacing w:before="0" w:after="200" w:line="276" w:lineRule="auto"/>
              <w:jc w:val="left"/>
              <w:rPr>
                <w:noProof/>
              </w:rPr>
            </w:pPr>
            <w:r>
              <w:rPr>
                <w:noProof/>
              </w:rPr>
              <w:t>0,5</w:t>
            </w:r>
          </w:p>
        </w:tc>
        <w:tc>
          <w:tcPr>
            <w:tcW w:w="720" w:type="dxa"/>
            <w:tcBorders>
              <w:bottom w:val="single" w:sz="12" w:space="0" w:color="auto"/>
            </w:tcBorders>
          </w:tcPr>
          <w:p>
            <w:pPr>
              <w:spacing w:before="0" w:after="200" w:line="276" w:lineRule="auto"/>
              <w:jc w:val="left"/>
              <w:rPr>
                <w:noProof/>
              </w:rPr>
            </w:pPr>
          </w:p>
        </w:tc>
        <w:tc>
          <w:tcPr>
            <w:tcW w:w="900" w:type="dxa"/>
            <w:tcBorders>
              <w:bottom w:val="single" w:sz="12" w:space="0" w:color="auto"/>
            </w:tcBorders>
          </w:tcPr>
          <w:p>
            <w:pPr>
              <w:spacing w:before="0" w:after="200" w:line="276" w:lineRule="auto"/>
              <w:jc w:val="left"/>
              <w:rPr>
                <w:noProof/>
              </w:rPr>
            </w:pPr>
            <w:r>
              <w:rPr>
                <w:noProof/>
              </w:rPr>
              <w:t>14,3</w:t>
            </w:r>
          </w:p>
        </w:tc>
      </w:tr>
      <w:tr>
        <w:trPr>
          <w:jc w:val="center"/>
        </w:trPr>
        <w:tc>
          <w:tcPr>
            <w:tcW w:w="2844" w:type="dxa"/>
            <w:gridSpan w:val="3"/>
            <w:tcBorders>
              <w:top w:val="single" w:sz="12" w:space="0" w:color="auto"/>
              <w:left w:val="single" w:sz="12" w:space="0" w:color="auto"/>
              <w:bottom w:val="single" w:sz="12" w:space="0" w:color="auto"/>
            </w:tcBorders>
            <w:vAlign w:val="center"/>
          </w:tcPr>
          <w:p>
            <w:pPr>
              <w:spacing w:before="0" w:after="200" w:line="276" w:lineRule="auto"/>
              <w:jc w:val="left"/>
              <w:rPr>
                <w:noProof/>
              </w:rPr>
            </w:pPr>
            <w:r>
              <w:rPr>
                <w:b/>
                <w:noProof/>
              </w:rPr>
              <w:t>TOTALURI</w:t>
            </w:r>
          </w:p>
        </w:tc>
        <w:tc>
          <w:tcPr>
            <w:tcW w:w="504" w:type="dxa"/>
            <w:tcBorders>
              <w:top w:val="single" w:sz="12" w:space="0" w:color="auto"/>
              <w:bottom w:val="single" w:sz="12" w:space="0" w:color="auto"/>
            </w:tcBorders>
          </w:tcPr>
          <w:p>
            <w:pPr>
              <w:spacing w:before="0" w:after="200" w:line="276" w:lineRule="auto"/>
              <w:jc w:val="left"/>
              <w:rPr>
                <w:noProof/>
              </w:rPr>
            </w:pPr>
          </w:p>
        </w:tc>
        <w:tc>
          <w:tcPr>
            <w:tcW w:w="720" w:type="dxa"/>
            <w:tcBorders>
              <w:top w:val="single" w:sz="12" w:space="0" w:color="auto"/>
              <w:bottom w:val="single" w:sz="12" w:space="0" w:color="auto"/>
            </w:tcBorders>
          </w:tcPr>
          <w:p>
            <w:pPr>
              <w:spacing w:before="0" w:after="200" w:line="276" w:lineRule="auto"/>
              <w:jc w:val="left"/>
              <w:rPr>
                <w:noProof/>
              </w:rPr>
            </w:pPr>
            <w:r>
              <w:rPr>
                <w:noProof/>
              </w:rPr>
              <w:t>3,4</w:t>
            </w:r>
          </w:p>
        </w:tc>
        <w:tc>
          <w:tcPr>
            <w:tcW w:w="540" w:type="dxa"/>
            <w:tcBorders>
              <w:top w:val="single" w:sz="12" w:space="0" w:color="auto"/>
              <w:bottom w:val="single" w:sz="12" w:space="0" w:color="auto"/>
            </w:tcBorders>
          </w:tcPr>
          <w:p>
            <w:pPr>
              <w:spacing w:before="0" w:after="200" w:line="276" w:lineRule="auto"/>
              <w:jc w:val="left"/>
              <w:rPr>
                <w:noProof/>
              </w:rPr>
            </w:pPr>
          </w:p>
        </w:tc>
        <w:tc>
          <w:tcPr>
            <w:tcW w:w="720" w:type="dxa"/>
            <w:tcBorders>
              <w:top w:val="single" w:sz="12" w:space="0" w:color="auto"/>
              <w:bottom w:val="single" w:sz="12" w:space="0" w:color="auto"/>
            </w:tcBorders>
          </w:tcPr>
          <w:p>
            <w:pPr>
              <w:spacing w:before="0" w:after="200" w:line="276" w:lineRule="auto"/>
              <w:jc w:val="left"/>
              <w:rPr>
                <w:noProof/>
              </w:rPr>
            </w:pPr>
            <w:r>
              <w:rPr>
                <w:noProof/>
              </w:rPr>
              <w:t>3,3</w:t>
            </w:r>
          </w:p>
        </w:tc>
        <w:tc>
          <w:tcPr>
            <w:tcW w:w="720" w:type="dxa"/>
            <w:tcBorders>
              <w:top w:val="single" w:sz="12" w:space="0" w:color="auto"/>
              <w:bottom w:val="single" w:sz="12" w:space="0" w:color="auto"/>
            </w:tcBorders>
          </w:tcPr>
          <w:p>
            <w:pPr>
              <w:spacing w:before="0" w:after="200" w:line="276" w:lineRule="auto"/>
              <w:jc w:val="left"/>
              <w:rPr>
                <w:noProof/>
              </w:rPr>
            </w:pPr>
          </w:p>
        </w:tc>
        <w:tc>
          <w:tcPr>
            <w:tcW w:w="720" w:type="dxa"/>
            <w:tcBorders>
              <w:top w:val="single" w:sz="12" w:space="0" w:color="auto"/>
              <w:bottom w:val="single" w:sz="12" w:space="0" w:color="auto"/>
            </w:tcBorders>
          </w:tcPr>
          <w:p>
            <w:pPr>
              <w:spacing w:before="0" w:after="200" w:line="276" w:lineRule="auto"/>
              <w:jc w:val="left"/>
              <w:rPr>
                <w:noProof/>
              </w:rPr>
            </w:pPr>
            <w:r>
              <w:rPr>
                <w:noProof/>
              </w:rPr>
              <w:t>3,3</w:t>
            </w:r>
          </w:p>
        </w:tc>
        <w:tc>
          <w:tcPr>
            <w:tcW w:w="900" w:type="dxa"/>
            <w:tcBorders>
              <w:top w:val="single" w:sz="12" w:space="0" w:color="auto"/>
              <w:bottom w:val="single" w:sz="12" w:space="0" w:color="auto"/>
            </w:tcBorders>
          </w:tcPr>
          <w:p>
            <w:pPr>
              <w:spacing w:before="0" w:after="200" w:line="276" w:lineRule="auto"/>
              <w:jc w:val="left"/>
              <w:rPr>
                <w:noProof/>
              </w:rPr>
            </w:pPr>
          </w:p>
        </w:tc>
        <w:tc>
          <w:tcPr>
            <w:tcW w:w="639" w:type="dxa"/>
            <w:tcBorders>
              <w:top w:val="single" w:sz="12" w:space="0" w:color="auto"/>
              <w:bottom w:val="single" w:sz="12" w:space="0" w:color="auto"/>
            </w:tcBorders>
          </w:tcPr>
          <w:p>
            <w:pPr>
              <w:spacing w:before="0" w:after="200" w:line="276" w:lineRule="auto"/>
              <w:jc w:val="left"/>
              <w:rPr>
                <w:noProof/>
              </w:rPr>
            </w:pPr>
            <w:r>
              <w:rPr>
                <w:noProof/>
              </w:rPr>
              <w:t>1,9</w:t>
            </w:r>
          </w:p>
        </w:tc>
        <w:tc>
          <w:tcPr>
            <w:tcW w:w="621" w:type="dxa"/>
            <w:tcBorders>
              <w:top w:val="single" w:sz="12" w:space="0" w:color="auto"/>
              <w:bottom w:val="single" w:sz="12" w:space="0" w:color="auto"/>
            </w:tcBorders>
          </w:tcPr>
          <w:p>
            <w:pPr>
              <w:spacing w:before="0" w:after="200" w:line="276" w:lineRule="auto"/>
              <w:jc w:val="left"/>
              <w:rPr>
                <w:noProof/>
              </w:rPr>
            </w:pPr>
          </w:p>
        </w:tc>
        <w:tc>
          <w:tcPr>
            <w:tcW w:w="648" w:type="dxa"/>
            <w:gridSpan w:val="2"/>
            <w:tcBorders>
              <w:top w:val="single" w:sz="12" w:space="0" w:color="auto"/>
              <w:bottom w:val="single" w:sz="12" w:space="0" w:color="auto"/>
            </w:tcBorders>
          </w:tcPr>
          <w:p>
            <w:pPr>
              <w:spacing w:before="0" w:after="200" w:line="276" w:lineRule="auto"/>
              <w:jc w:val="left"/>
              <w:rPr>
                <w:noProof/>
              </w:rPr>
            </w:pPr>
            <w:r>
              <w:rPr>
                <w:noProof/>
              </w:rPr>
              <w:t>1,5</w:t>
            </w:r>
          </w:p>
        </w:tc>
        <w:tc>
          <w:tcPr>
            <w:tcW w:w="432" w:type="dxa"/>
            <w:tcBorders>
              <w:top w:val="single" w:sz="12" w:space="0" w:color="auto"/>
              <w:bottom w:val="single" w:sz="12" w:space="0" w:color="auto"/>
            </w:tcBorders>
          </w:tcPr>
          <w:p>
            <w:pPr>
              <w:spacing w:before="0" w:after="200" w:line="276" w:lineRule="auto"/>
              <w:jc w:val="left"/>
              <w:rPr>
                <w:noProof/>
              </w:rPr>
            </w:pPr>
          </w:p>
        </w:tc>
        <w:tc>
          <w:tcPr>
            <w:tcW w:w="720" w:type="dxa"/>
            <w:tcBorders>
              <w:top w:val="single" w:sz="12" w:space="0" w:color="auto"/>
              <w:bottom w:val="single" w:sz="12" w:space="0" w:color="auto"/>
            </w:tcBorders>
          </w:tcPr>
          <w:p>
            <w:pPr>
              <w:spacing w:before="0" w:after="200" w:line="276" w:lineRule="auto"/>
              <w:jc w:val="left"/>
              <w:rPr>
                <w:noProof/>
              </w:rPr>
            </w:pPr>
            <w:r>
              <w:rPr>
                <w:noProof/>
              </w:rPr>
              <w:t>0,5</w:t>
            </w:r>
          </w:p>
        </w:tc>
        <w:tc>
          <w:tcPr>
            <w:tcW w:w="540" w:type="dxa"/>
            <w:gridSpan w:val="2"/>
            <w:tcBorders>
              <w:top w:val="single" w:sz="12" w:space="0" w:color="auto"/>
              <w:bottom w:val="single" w:sz="12" w:space="0" w:color="auto"/>
            </w:tcBorders>
          </w:tcPr>
          <w:p>
            <w:pPr>
              <w:spacing w:before="0" w:after="200" w:line="276" w:lineRule="auto"/>
              <w:jc w:val="left"/>
              <w:rPr>
                <w:noProof/>
              </w:rPr>
            </w:pPr>
          </w:p>
        </w:tc>
        <w:tc>
          <w:tcPr>
            <w:tcW w:w="720" w:type="dxa"/>
            <w:tcBorders>
              <w:top w:val="single" w:sz="12" w:space="0" w:color="auto"/>
              <w:bottom w:val="single" w:sz="12" w:space="0" w:color="auto"/>
            </w:tcBorders>
          </w:tcPr>
          <w:p>
            <w:pPr>
              <w:spacing w:before="0" w:after="200" w:line="276" w:lineRule="auto"/>
              <w:jc w:val="left"/>
              <w:rPr>
                <w:noProof/>
              </w:rPr>
            </w:pPr>
            <w:r>
              <w:rPr>
                <w:noProof/>
              </w:rPr>
              <w:t>0,5</w:t>
            </w:r>
          </w:p>
        </w:tc>
        <w:tc>
          <w:tcPr>
            <w:tcW w:w="720" w:type="dxa"/>
            <w:tcBorders>
              <w:top w:val="single" w:sz="12" w:space="0" w:color="auto"/>
              <w:bottom w:val="single" w:sz="12" w:space="0" w:color="auto"/>
            </w:tcBorders>
          </w:tcPr>
          <w:p>
            <w:pPr>
              <w:spacing w:before="0" w:after="200" w:line="276" w:lineRule="auto"/>
              <w:jc w:val="left"/>
              <w:rPr>
                <w:noProof/>
              </w:rPr>
            </w:pPr>
          </w:p>
        </w:tc>
        <w:tc>
          <w:tcPr>
            <w:tcW w:w="900" w:type="dxa"/>
            <w:tcBorders>
              <w:top w:val="single" w:sz="12" w:space="0" w:color="auto"/>
              <w:bottom w:val="single" w:sz="12" w:space="0" w:color="auto"/>
              <w:right w:val="single" w:sz="12" w:space="0" w:color="auto"/>
            </w:tcBorders>
          </w:tcPr>
          <w:p>
            <w:pPr>
              <w:spacing w:before="0" w:after="200" w:line="276" w:lineRule="auto"/>
              <w:jc w:val="left"/>
              <w:rPr>
                <w:noProof/>
              </w:rPr>
            </w:pPr>
            <w:r>
              <w:rPr>
                <w:noProof/>
              </w:rPr>
              <w:t>14,3</w:t>
            </w:r>
          </w:p>
        </w:tc>
      </w:tr>
    </w:tbl>
    <w:p>
      <w:pPr>
        <w:spacing w:before="0" w:after="200" w:line="276" w:lineRule="auto"/>
        <w:jc w:val="left"/>
        <w:rPr>
          <w:noProof/>
        </w:rPr>
        <w:sectPr>
          <w:headerReference w:type="default" r:id="rId20"/>
          <w:footerReference w:type="default" r:id="rId21"/>
          <w:pgSz w:w="16840" w:h="11907" w:orient="landscape" w:code="9"/>
          <w:pgMar w:top="1134" w:right="1418" w:bottom="567" w:left="1418" w:header="709" w:footer="709" w:gutter="0"/>
          <w:cols w:space="708"/>
          <w:docGrid w:linePitch="360"/>
        </w:sectPr>
      </w:pPr>
    </w:p>
    <w:p>
      <w:pPr>
        <w:tabs>
          <w:tab w:val="left" w:pos="850"/>
        </w:tabs>
        <w:spacing w:before="0" w:after="200" w:line="276" w:lineRule="auto"/>
        <w:ind w:left="850"/>
        <w:jc w:val="left"/>
        <w:rPr>
          <w:bCs/>
          <w:i/>
          <w:noProof/>
        </w:rPr>
      </w:pPr>
      <w:bookmarkStart w:id="202" w:name="_Toc514938055"/>
      <w:bookmarkStart w:id="203" w:name="_Toc520485054"/>
      <w:bookmarkStart w:id="204" w:name="_Toc160804598"/>
      <w:bookmarkStart w:id="205" w:name="_Toc167220290"/>
      <w:bookmarkStart w:id="206" w:name="_Toc177549023"/>
      <w:r>
        <w:rPr>
          <w:i/>
          <w:noProof/>
        </w:rPr>
        <w:lastRenderedPageBreak/>
        <w:t>3.2.3.</w:t>
      </w:r>
      <w:r>
        <w:rPr>
          <w:noProof/>
        </w:rPr>
        <w:tab/>
      </w:r>
      <w:r>
        <w:rPr>
          <w:i/>
          <w:noProof/>
        </w:rPr>
        <w:t>Sinteza impactului estimat asupra creditelor administrative</w:t>
      </w:r>
      <w:bookmarkEnd w:id="202"/>
      <w:bookmarkEnd w:id="203"/>
      <w:bookmarkEnd w:id="204"/>
      <w:bookmarkEnd w:id="205"/>
      <w:bookmarkEnd w:id="206"/>
      <w:r>
        <w:rPr>
          <w:i/>
          <w:noProof/>
        </w:rPr>
        <w:t xml:space="preserve"> </w:t>
      </w:r>
    </w:p>
    <w:p>
      <w:pPr>
        <w:pStyle w:val="Tiret0"/>
        <w:rPr>
          <w:noProof/>
        </w:rPr>
      </w:pPr>
      <w:sdt>
        <w:sdtPr>
          <w:rPr>
            <w:noProof/>
          </w:rPr>
          <w:id w:val="-160630370"/>
          <w14:checkbox>
            <w14:checked w14:val="1"/>
            <w14:checkedState w14:val="2612" w14:font="MS Gothic"/>
            <w14:uncheckedState w14:val="2610" w14:font="MS Gothic"/>
          </w14:checkbox>
        </w:sdtPr>
        <w:sdtContent>
          <w:r>
            <w:rPr>
              <w:rFonts w:ascii="Segoe UI Symbol" w:hAnsi="Segoe UI Symbol" w:cs="Segoe UI Symbol"/>
              <w:noProof/>
            </w:rPr>
            <w:t>☒</w:t>
          </w:r>
        </w:sdtContent>
      </w:sdt>
      <w:r>
        <w:rPr>
          <w:noProof/>
        </w:rPr>
        <w:tab/>
        <w:t xml:space="preserve">Propunerea/inițiativa nu implică utilizarea de credite cu caracter administrativ </w:t>
      </w:r>
    </w:p>
    <w:p>
      <w:pPr>
        <w:pStyle w:val="Tiret0"/>
        <w:rPr>
          <w:noProof/>
        </w:rPr>
      </w:pPr>
      <w:r>
        <w:rPr>
          <w:noProof/>
        </w:rPr>
        <w:tab/>
        <w:t>Propunerea/inițiativa implică utilizarea de credite cu caracter administrativ, conform explicațiilor de mai jos</w:t>
      </w:r>
    </w:p>
    <w:p>
      <w:pPr>
        <w:tabs>
          <w:tab w:val="left" w:pos="850"/>
        </w:tabs>
        <w:spacing w:before="0" w:after="200" w:line="276" w:lineRule="auto"/>
        <w:ind w:left="850"/>
        <w:jc w:val="left"/>
        <w:rPr>
          <w:i/>
          <w:noProof/>
        </w:rPr>
      </w:pPr>
      <w:bookmarkStart w:id="207" w:name="_Toc167220291"/>
      <w:bookmarkStart w:id="208" w:name="_Toc177549024"/>
      <w:r>
        <w:rPr>
          <w:i/>
          <w:noProof/>
        </w:rPr>
        <w:t>3.2.3.1. Credite din bugetul votat</w:t>
      </w:r>
      <w:bookmarkEnd w:id="207"/>
      <w:bookmarkEnd w:id="208"/>
    </w:p>
    <w:tbl>
      <w:tblPr>
        <w:tblW w:w="5000" w:type="pct"/>
        <w:tblLook w:val="04A0" w:firstRow="1" w:lastRow="0" w:firstColumn="1" w:lastColumn="0" w:noHBand="0" w:noVBand="1"/>
      </w:tblPr>
      <w:tblGrid>
        <w:gridCol w:w="4654"/>
        <w:gridCol w:w="1194"/>
        <w:gridCol w:w="1192"/>
        <w:gridCol w:w="1192"/>
        <w:gridCol w:w="1192"/>
        <w:gridCol w:w="1340"/>
        <w:gridCol w:w="1334"/>
        <w:gridCol w:w="1334"/>
        <w:gridCol w:w="1354"/>
      </w:tblGrid>
      <w:tr>
        <w:trPr>
          <w:trHeight w:val="300"/>
        </w:trPr>
        <w:tc>
          <w:tcPr>
            <w:tcW w:w="1574"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200" w:line="276" w:lineRule="auto"/>
              <w:jc w:val="left"/>
              <w:rPr>
                <w:b/>
                <w:bCs/>
                <w:noProof/>
              </w:rPr>
            </w:pPr>
            <w:r>
              <w:rPr>
                <w:b/>
                <w:noProof/>
              </w:rPr>
              <w:t>CREDITE VOTATE</w:t>
            </w:r>
          </w:p>
        </w:tc>
        <w:tc>
          <w:tcPr>
            <w:tcW w:w="404"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Anul</w:t>
            </w:r>
          </w:p>
        </w:tc>
        <w:tc>
          <w:tcPr>
            <w:tcW w:w="403"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Anul</w:t>
            </w:r>
          </w:p>
        </w:tc>
        <w:tc>
          <w:tcPr>
            <w:tcW w:w="403"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Anul</w:t>
            </w:r>
          </w:p>
        </w:tc>
        <w:tc>
          <w:tcPr>
            <w:tcW w:w="403" w:type="pct"/>
            <w:tcBorders>
              <w:top w:val="single" w:sz="8" w:space="0" w:color="auto"/>
              <w:left w:val="nil"/>
              <w:bottom w:val="single" w:sz="8" w:space="0" w:color="auto"/>
              <w:right w:val="single" w:sz="8" w:space="0" w:color="auto"/>
            </w:tcBorders>
            <w:vAlign w:val="center"/>
            <w:hideMark/>
          </w:tcPr>
          <w:p>
            <w:pPr>
              <w:spacing w:before="0" w:after="200" w:line="276" w:lineRule="auto"/>
              <w:jc w:val="left"/>
              <w:rPr>
                <w:noProof/>
              </w:rPr>
            </w:pPr>
            <w:r>
              <w:rPr>
                <w:noProof/>
              </w:rPr>
              <w:t>Anul</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200" w:line="276" w:lineRule="auto"/>
              <w:jc w:val="left"/>
              <w:rPr>
                <w:noProof/>
              </w:rPr>
            </w:pPr>
            <w:r>
              <w:rPr>
                <w:noProof/>
              </w:rPr>
              <w:t>Anul</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200" w:line="276" w:lineRule="auto"/>
              <w:jc w:val="left"/>
              <w:rPr>
                <w:noProof/>
              </w:rPr>
            </w:pPr>
            <w:r>
              <w:rPr>
                <w:noProof/>
              </w:rPr>
              <w:t>Anul</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200" w:line="276" w:lineRule="auto"/>
              <w:jc w:val="left"/>
              <w:rPr>
                <w:noProof/>
              </w:rPr>
            </w:pPr>
            <w:r>
              <w:rPr>
                <w:noProof/>
              </w:rPr>
              <w:t>Anul</w:t>
            </w:r>
          </w:p>
        </w:tc>
        <w:tc>
          <w:tcPr>
            <w:tcW w:w="457"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200" w:line="276" w:lineRule="auto"/>
              <w:jc w:val="left"/>
              <w:rPr>
                <w:b/>
                <w:bCs/>
                <w:noProof/>
              </w:rPr>
            </w:pPr>
            <w:r>
              <w:rPr>
                <w:b/>
                <w:noProof/>
              </w:rPr>
              <w:t>TOTAL 2028-2034</w:t>
            </w:r>
          </w:p>
        </w:tc>
      </w:tr>
      <w:tr>
        <w:trPr>
          <w:trHeight w:val="300"/>
        </w:trPr>
        <w:tc>
          <w:tcPr>
            <w:tcW w:w="1574" w:type="pct"/>
            <w:vMerge/>
            <w:tcBorders>
              <w:top w:val="single" w:sz="8" w:space="0" w:color="auto"/>
              <w:left w:val="single" w:sz="8" w:space="0" w:color="auto"/>
              <w:bottom w:val="single" w:sz="8" w:space="0" w:color="auto"/>
              <w:right w:val="single" w:sz="8" w:space="0" w:color="auto"/>
            </w:tcBorders>
            <w:vAlign w:val="center"/>
            <w:hideMark/>
          </w:tcPr>
          <w:p>
            <w:pPr>
              <w:spacing w:before="0" w:after="200" w:line="276" w:lineRule="auto"/>
              <w:jc w:val="left"/>
              <w:rPr>
                <w:b/>
                <w:bCs/>
                <w:noProof/>
              </w:rPr>
            </w:pPr>
          </w:p>
        </w:tc>
        <w:tc>
          <w:tcPr>
            <w:tcW w:w="404"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40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40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40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200" w:line="276" w:lineRule="auto"/>
              <w:jc w:val="left"/>
              <w:rPr>
                <w:b/>
                <w:bCs/>
                <w:noProof/>
              </w:rPr>
            </w:pPr>
            <w:r>
              <w:rPr>
                <w:b/>
                <w:noProof/>
              </w:rPr>
              <w:t>2032</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200" w:line="276" w:lineRule="auto"/>
              <w:jc w:val="left"/>
              <w:rPr>
                <w:b/>
                <w:bCs/>
                <w:noProof/>
              </w:rPr>
            </w:pPr>
            <w:r>
              <w:rPr>
                <w:b/>
                <w:noProof/>
              </w:rPr>
              <w:t>2033</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200" w:line="276" w:lineRule="auto"/>
              <w:jc w:val="left"/>
              <w:rPr>
                <w:b/>
                <w:bCs/>
                <w:noProof/>
              </w:rPr>
            </w:pPr>
            <w:r>
              <w:rPr>
                <w:b/>
                <w:noProof/>
              </w:rPr>
              <w:t>2034</w:t>
            </w:r>
          </w:p>
        </w:tc>
        <w:tc>
          <w:tcPr>
            <w:tcW w:w="457" w:type="pct"/>
            <w:vMerge/>
            <w:tcBorders>
              <w:top w:val="single" w:sz="8" w:space="0" w:color="auto"/>
              <w:left w:val="single" w:sz="8" w:space="0" w:color="auto"/>
              <w:bottom w:val="single" w:sz="8" w:space="0" w:color="auto"/>
              <w:right w:val="single" w:sz="8" w:space="0" w:color="auto"/>
            </w:tcBorders>
            <w:vAlign w:val="center"/>
            <w:hideMark/>
          </w:tcPr>
          <w:p>
            <w:pPr>
              <w:spacing w:before="0" w:after="200" w:line="276" w:lineRule="auto"/>
              <w:jc w:val="left"/>
              <w:rPr>
                <w:b/>
                <w:bCs/>
                <w:noProof/>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200" w:line="276" w:lineRule="auto"/>
              <w:jc w:val="left"/>
              <w:rPr>
                <w:b/>
                <w:bCs/>
                <w:noProof/>
              </w:rPr>
            </w:pPr>
            <w:r>
              <w:rPr>
                <w:b/>
                <w:noProof/>
              </w:rPr>
              <w:t>RUBRICA 4</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 xml:space="preserve">Resurse umane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 xml:space="preserve">Alte cheltuieli administrative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r>
      <w:tr>
        <w:trPr>
          <w:trHeight w:val="300"/>
        </w:trPr>
        <w:tc>
          <w:tcPr>
            <w:tcW w:w="1574" w:type="pct"/>
            <w:tcBorders>
              <w:top w:val="nil"/>
              <w:left w:val="single" w:sz="8" w:space="0" w:color="auto"/>
              <w:bottom w:val="single" w:sz="8" w:space="0" w:color="auto"/>
              <w:right w:val="single" w:sz="8" w:space="0" w:color="auto"/>
            </w:tcBorders>
            <w:shd w:val="clear" w:color="000000" w:fill="CCCCCC"/>
            <w:vAlign w:val="center"/>
            <w:hideMark/>
          </w:tcPr>
          <w:p>
            <w:pPr>
              <w:spacing w:before="0" w:after="200" w:line="276" w:lineRule="auto"/>
              <w:jc w:val="left"/>
              <w:rPr>
                <w:b/>
                <w:bCs/>
                <w:noProof/>
              </w:rPr>
            </w:pPr>
            <w:r>
              <w:rPr>
                <w:b/>
                <w:noProof/>
              </w:rPr>
              <w:t>Subtotal de la RUBRICA 4</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200" w:line="276" w:lineRule="auto"/>
              <w:jc w:val="left"/>
              <w:rPr>
                <w:b/>
                <w:bCs/>
                <w:noProof/>
              </w:rPr>
            </w:pPr>
            <w:r>
              <w:rPr>
                <w:b/>
                <w:noProof/>
              </w:rPr>
              <w:t>În afara RUBRICII 4</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 xml:space="preserve">Resurse umane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Alte cheltuieli cu caracter administrativ</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noProof/>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r>
      <w:tr>
        <w:trPr>
          <w:trHeight w:val="300"/>
        </w:trPr>
        <w:tc>
          <w:tcPr>
            <w:tcW w:w="1574" w:type="pct"/>
            <w:tcBorders>
              <w:top w:val="nil"/>
              <w:left w:val="single" w:sz="8" w:space="0" w:color="auto"/>
              <w:bottom w:val="single" w:sz="8" w:space="0" w:color="auto"/>
              <w:right w:val="single" w:sz="8" w:space="0" w:color="auto"/>
            </w:tcBorders>
            <w:shd w:val="clear" w:color="000000" w:fill="CCCCCC"/>
            <w:vAlign w:val="center"/>
            <w:hideMark/>
          </w:tcPr>
          <w:p>
            <w:pPr>
              <w:spacing w:before="0" w:after="200" w:line="276" w:lineRule="auto"/>
              <w:jc w:val="left"/>
              <w:rPr>
                <w:b/>
                <w:bCs/>
                <w:noProof/>
              </w:rPr>
            </w:pPr>
            <w:r>
              <w:rPr>
                <w:b/>
                <w:noProof/>
              </w:rPr>
              <w:t>Subtotal în afara RUBRICII 4</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200" w:line="276" w:lineRule="auto"/>
              <w:jc w:val="left"/>
              <w:rPr>
                <w:noProof/>
              </w:rPr>
            </w:pP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b/>
                <w:bCs/>
                <w:noProof/>
              </w:rPr>
            </w:pPr>
            <w:r>
              <w:rPr>
                <w:b/>
                <w:noProof/>
              </w:rPr>
              <w:t>TOTAL</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200" w:line="276" w:lineRule="auto"/>
              <w:jc w:val="left"/>
              <w:rPr>
                <w:b/>
                <w:bCs/>
                <w:noProof/>
              </w:rPr>
            </w:pPr>
            <w:r>
              <w:rPr>
                <w:b/>
                <w:noProof/>
              </w:rPr>
              <w:t>0,000</w:t>
            </w:r>
          </w:p>
        </w:tc>
        <w:tc>
          <w:tcPr>
            <w:tcW w:w="457" w:type="pct"/>
            <w:tcBorders>
              <w:top w:val="nil"/>
              <w:left w:val="single" w:sz="4" w:space="0" w:color="auto"/>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0,000</w:t>
            </w:r>
          </w:p>
        </w:tc>
      </w:tr>
    </w:tbl>
    <w:p>
      <w:pPr>
        <w:tabs>
          <w:tab w:val="left" w:pos="850"/>
        </w:tabs>
        <w:spacing w:before="0" w:after="200" w:line="276" w:lineRule="auto"/>
        <w:ind w:left="850"/>
        <w:jc w:val="left"/>
        <w:rPr>
          <w:bCs/>
          <w:i/>
          <w:noProof/>
        </w:rPr>
      </w:pPr>
      <w:bookmarkStart w:id="209" w:name="_Toc167220294"/>
      <w:bookmarkStart w:id="210" w:name="_Toc177549027"/>
      <w:r>
        <w:rPr>
          <w:i/>
          <w:noProof/>
        </w:rPr>
        <w:t>3.2.4.</w:t>
      </w:r>
      <w:r>
        <w:rPr>
          <w:noProof/>
        </w:rPr>
        <w:tab/>
      </w:r>
      <w:r>
        <w:rPr>
          <w:i/>
          <w:noProof/>
        </w:rPr>
        <w:t>Necesarul de resurse umane estimat</w:t>
      </w:r>
      <w:bookmarkEnd w:id="209"/>
      <w:bookmarkEnd w:id="210"/>
      <w:r>
        <w:rPr>
          <w:i/>
          <w:noProof/>
        </w:rPr>
        <w:t xml:space="preserve"> </w:t>
      </w:r>
    </w:p>
    <w:p>
      <w:pPr>
        <w:pStyle w:val="Tiret0"/>
        <w:rPr>
          <w:noProof/>
        </w:rPr>
      </w:pPr>
      <w:sdt>
        <w:sdtPr>
          <w:rPr>
            <w:b/>
            <w:iCs/>
            <w:noProof/>
          </w:rPr>
          <w:id w:val="-1723122138"/>
          <w14:checkbox>
            <w14:checked w14:val="1"/>
            <w14:checkedState w14:val="2612" w14:font="MS Gothic"/>
            <w14:uncheckedState w14:val="2610" w14:font="MS Gothic"/>
          </w14:checkbox>
        </w:sdtPr>
        <w:sdtContent>
          <w:r>
            <w:rPr>
              <w:rFonts w:ascii="Segoe UI Symbol" w:hAnsi="Segoe UI Symbol" w:cs="Segoe UI Symbol"/>
              <w:b/>
              <w:iCs/>
              <w:noProof/>
            </w:rPr>
            <w:t>☒</w:t>
          </w:r>
        </w:sdtContent>
      </w:sdt>
      <w:r>
        <w:rPr>
          <w:noProof/>
        </w:rPr>
        <w:tab/>
        <w:t xml:space="preserve">Propunerea/inițiativa nu implică utilizarea de resurse umane. </w:t>
      </w:r>
    </w:p>
    <w:p>
      <w:pPr>
        <w:pStyle w:val="Tiret0"/>
        <w:rPr>
          <w:noProof/>
        </w:rPr>
      </w:pPr>
      <w:r>
        <w:rPr>
          <w:noProof/>
        </w:rPr>
        <w:tab/>
        <w:t>Propunerea/inițiativa implică utilizarea de resurse umane, conform explicațiilor de mai jos</w:t>
      </w:r>
    </w:p>
    <w:p>
      <w:pPr>
        <w:tabs>
          <w:tab w:val="left" w:pos="850"/>
        </w:tabs>
        <w:spacing w:before="0" w:after="200" w:line="276" w:lineRule="auto"/>
        <w:ind w:left="850"/>
        <w:jc w:val="left"/>
        <w:rPr>
          <w:i/>
          <w:noProof/>
        </w:rPr>
      </w:pPr>
      <w:bookmarkStart w:id="211" w:name="_Toc167220295"/>
      <w:bookmarkStart w:id="212" w:name="_Toc177549028"/>
      <w:r>
        <w:rPr>
          <w:i/>
          <w:noProof/>
        </w:rPr>
        <w:t>3.2.4.1.</w:t>
      </w:r>
      <w:r>
        <w:rPr>
          <w:noProof/>
        </w:rPr>
        <w:tab/>
      </w:r>
      <w:r>
        <w:rPr>
          <w:i/>
          <w:noProof/>
        </w:rPr>
        <w:t>Finanțare din bugetul votat</w:t>
      </w:r>
      <w:bookmarkEnd w:id="211"/>
      <w:bookmarkEnd w:id="212"/>
    </w:p>
    <w:p>
      <w:pPr>
        <w:spacing w:before="0" w:after="200" w:line="276" w:lineRule="auto"/>
        <w:jc w:val="left"/>
        <w:rPr>
          <w:i/>
          <w:noProof/>
        </w:rPr>
      </w:pPr>
      <w:r>
        <w:rPr>
          <w:i/>
          <w:noProof/>
        </w:rPr>
        <w:t>Estimări în echivalent normă întreagă (ENI)</w:t>
      </w:r>
      <w:r>
        <w:rPr>
          <w:rStyle w:val="FootnoteReference"/>
          <w:noProof/>
        </w:rPr>
        <w:footnoteReference w:id="67"/>
      </w:r>
    </w:p>
    <w:p>
      <w:pPr>
        <w:spacing w:before="0" w:after="200" w:line="276" w:lineRule="auto"/>
        <w:jc w:val="left"/>
        <w:rPr>
          <w:b/>
          <w:noProof/>
        </w:rPr>
      </w:pPr>
      <w:bookmarkStart w:id="213" w:name="_Hlk156979231"/>
    </w:p>
    <w:tbl>
      <w:tblPr>
        <w:tblW w:w="5000" w:type="pct"/>
        <w:tblLook w:val="04A0" w:firstRow="1" w:lastRow="0" w:firstColumn="1" w:lastColumn="0" w:noHBand="0" w:noVBand="1"/>
      </w:tblPr>
      <w:tblGrid>
        <w:gridCol w:w="2220"/>
        <w:gridCol w:w="1830"/>
        <w:gridCol w:w="1535"/>
        <w:gridCol w:w="1535"/>
        <w:gridCol w:w="1535"/>
        <w:gridCol w:w="1535"/>
        <w:gridCol w:w="1535"/>
        <w:gridCol w:w="1535"/>
        <w:gridCol w:w="1526"/>
      </w:tblGrid>
      <w:tr>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b/>
                <w:bCs/>
                <w:noProof/>
              </w:rPr>
            </w:pPr>
            <w:r>
              <w:rPr>
                <w:b/>
                <w:noProof/>
              </w:rPr>
              <w:t>CREDITE VOTATE</w:t>
            </w:r>
          </w:p>
        </w:tc>
        <w:tc>
          <w:tcPr>
            <w:tcW w:w="519"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519"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519"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519"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519"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519"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519"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200" w:line="276" w:lineRule="auto"/>
              <w:jc w:val="left"/>
              <w:rPr>
                <w:b/>
                <w:bCs/>
                <w:noProof/>
              </w:rPr>
            </w:pPr>
          </w:p>
        </w:tc>
        <w:tc>
          <w:tcPr>
            <w:tcW w:w="519"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519"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519"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519"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519"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519"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519"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200" w:line="276" w:lineRule="auto"/>
              <w:jc w:val="left"/>
              <w:rPr>
                <w:b/>
                <w:bCs/>
                <w:noProof/>
              </w:rPr>
            </w:pPr>
            <w:r>
              <w:rPr>
                <w:b/>
                <w:noProof/>
              </w:rPr>
              <w:t>Ÿ Posturi din schema de personal (funcționari și agenți temporari)</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20 01 02 01 (la sediu și în reprezentanțele Comisiei)</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20 01 02 03 (delegațiile 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 (cercetare indirectă)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 (cercetare 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Alte linii bugetare (a se preciza)</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200" w:line="276" w:lineRule="auto"/>
              <w:jc w:val="left"/>
              <w:rPr>
                <w:b/>
                <w:bCs/>
                <w:noProof/>
              </w:rPr>
            </w:pPr>
            <w:r>
              <w:rPr>
                <w:b/>
                <w:noProof/>
              </w:rPr>
              <w:t>• Personal extern (în ENI)</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lastRenderedPageBreak/>
              <w:t>20 02 01 (AC, END din „pachetul global”)</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20 02 03 (AC, AL, END și JPD în delegațiile 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200" w:line="276" w:lineRule="auto"/>
              <w:jc w:val="left"/>
              <w:rPr>
                <w:noProof/>
              </w:rPr>
            </w:pPr>
            <w:r>
              <w:rPr>
                <w:noProof/>
              </w:rPr>
              <w:t>Linie de sprijin administrativ</w:t>
            </w:r>
          </w:p>
        </w:tc>
        <w:tc>
          <w:tcPr>
            <w:tcW w:w="619" w:type="pct"/>
            <w:tcBorders>
              <w:top w:val="nil"/>
              <w:left w:val="nil"/>
              <w:bottom w:val="single" w:sz="8" w:space="0" w:color="auto"/>
              <w:right w:val="single" w:sz="8" w:space="0" w:color="auto"/>
            </w:tcBorders>
            <w:vAlign w:val="center"/>
            <w:hideMark/>
          </w:tcPr>
          <w:p>
            <w:pPr>
              <w:numPr>
                <w:ilvl w:val="0"/>
                <w:numId w:val="17"/>
              </w:numPr>
              <w:spacing w:before="0" w:after="200" w:line="276" w:lineRule="auto"/>
              <w:ind w:left="541"/>
              <w:jc w:val="left"/>
              <w:rPr>
                <w:noProof/>
              </w:rPr>
            </w:pPr>
            <w:r>
              <w:rPr>
                <w:noProof/>
              </w:rPr>
              <w:t>la sediu</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[XX.01.YY.YY]</w:t>
            </w:r>
          </w:p>
        </w:tc>
        <w:tc>
          <w:tcPr>
            <w:tcW w:w="619" w:type="pct"/>
            <w:tcBorders>
              <w:top w:val="nil"/>
              <w:left w:val="nil"/>
              <w:bottom w:val="single" w:sz="8" w:space="0" w:color="auto"/>
              <w:right w:val="single" w:sz="8" w:space="0" w:color="auto"/>
            </w:tcBorders>
            <w:vAlign w:val="center"/>
            <w:hideMark/>
          </w:tcPr>
          <w:p>
            <w:pPr>
              <w:numPr>
                <w:ilvl w:val="0"/>
                <w:numId w:val="17"/>
              </w:numPr>
              <w:spacing w:before="0" w:after="200" w:line="276" w:lineRule="auto"/>
              <w:ind w:left="541"/>
              <w:jc w:val="left"/>
              <w:rPr>
                <w:noProof/>
              </w:rPr>
            </w:pPr>
            <w:r>
              <w:rPr>
                <w:noProof/>
              </w:rPr>
              <w:t xml:space="preserve">în delegațiile UE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 (AC, END – cercetare indirectă)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 (AC, END – cercetare 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Alte linii bugetare (a se preciza) – rubrica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Alte linii bugetare (a se preciza) – în afara rubricii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b/>
                <w:bCs/>
                <w:noProof/>
              </w:rPr>
            </w:pPr>
            <w:r>
              <w:rPr>
                <w:b/>
                <w:noProof/>
              </w:rPr>
              <w:t>TOTAL</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bl>
    <w:p>
      <w:pPr>
        <w:spacing w:before="0" w:after="200" w:line="276" w:lineRule="auto"/>
        <w:jc w:val="left"/>
        <w:rPr>
          <w:noProof/>
        </w:rPr>
      </w:pPr>
      <w:bookmarkStart w:id="214" w:name="_Hlk167692843"/>
      <w:bookmarkEnd w:id="213"/>
      <w:r>
        <w:rPr>
          <w:noProof/>
        </w:rPr>
        <w:t>Având în vedere situația globală tensionată în cadrul rubricii 4, atât în ceea ce privește personalul, cât și nivelul creditelor, necesarul de resurse umane va fi asigurat de efectivele de personal ale DG-ului în cauză alocate deja pentru gestionarea acțiunii și/sau redistribuite intern în cadrul DG-ului sau al altor servicii ale Comisiei.</w:t>
      </w:r>
    </w:p>
    <w:p>
      <w:pPr>
        <w:spacing w:before="0" w:after="200" w:line="276" w:lineRule="auto"/>
        <w:jc w:val="left"/>
        <w:rPr>
          <w:noProof/>
        </w:rPr>
      </w:pPr>
      <w:r>
        <w:rPr>
          <w:noProof/>
        </w:rPr>
        <w:t xml:space="preserve">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w:t>
      </w:r>
      <w:r>
        <w:rPr>
          <w:noProof/>
        </w:rPr>
        <w:lastRenderedPageBreak/>
        <w:t>continuare de rezultatul negocierilor interinstituționale privind CFM 2028-2034 și, ulterior, vor fi stabilite prin procedura bugetară anuală. Toate creditele și alocările de personal începând cu 2028 sunt orientative.</w:t>
      </w:r>
    </w:p>
    <w:p>
      <w:pPr>
        <w:spacing w:before="0" w:after="200" w:line="276" w:lineRule="auto"/>
        <w:jc w:val="left"/>
        <w:rPr>
          <w:noProof/>
        </w:rPr>
      </w:pPr>
      <w:r>
        <w:rPr>
          <w:noProof/>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763"/>
        <w:gridCol w:w="1955"/>
        <w:gridCol w:w="1853"/>
        <w:gridCol w:w="1852"/>
        <w:gridCol w:w="1672"/>
        <w:gridCol w:w="392"/>
      </w:tblGrid>
      <w:tr>
        <w:trPr>
          <w:trHeight w:val="300"/>
        </w:trPr>
        <w:tc>
          <w:tcPr>
            <w:tcW w:w="1845" w:type="dxa"/>
          </w:tcPr>
          <w:p>
            <w:pPr>
              <w:spacing w:before="0" w:after="200" w:line="276" w:lineRule="auto"/>
              <w:jc w:val="left"/>
              <w:rPr>
                <w:rFonts w:eastAsiaTheme="minorHAnsi"/>
                <w:b/>
                <w:bCs/>
                <w:noProof/>
                <w:szCs w:val="22"/>
                <w:lang w:eastAsia="en-US"/>
              </w:rPr>
            </w:pPr>
          </w:p>
        </w:tc>
        <w:tc>
          <w:tcPr>
            <w:tcW w:w="2031" w:type="dxa"/>
          </w:tcPr>
          <w:p>
            <w:pPr>
              <w:spacing w:before="0" w:after="200" w:line="276" w:lineRule="auto"/>
              <w:jc w:val="left"/>
              <w:rPr>
                <w:rFonts w:eastAsiaTheme="minorHAnsi"/>
                <w:b/>
                <w:bCs/>
                <w:noProof/>
                <w:szCs w:val="22"/>
              </w:rPr>
            </w:pPr>
            <w:r>
              <w:rPr>
                <w:b/>
                <w:noProof/>
              </w:rPr>
              <w:t xml:space="preserve">Personal ce urmează să fie acoperit de personalul actual disponibil în cadrul serviciilor Comisiei </w:t>
            </w:r>
          </w:p>
        </w:tc>
        <w:tc>
          <w:tcPr>
            <w:tcW w:w="5611" w:type="dxa"/>
            <w:gridSpan w:val="4"/>
          </w:tcPr>
          <w:p>
            <w:pPr>
              <w:spacing w:before="0" w:after="200" w:line="276" w:lineRule="auto"/>
              <w:jc w:val="left"/>
              <w:rPr>
                <w:rFonts w:eastAsiaTheme="minorHAnsi"/>
                <w:b/>
                <w:bCs/>
                <w:noProof/>
                <w:szCs w:val="22"/>
              </w:rPr>
            </w:pPr>
            <w:r>
              <w:rPr>
                <w:b/>
                <w:noProof/>
              </w:rPr>
              <w:t>În mod excepțional, personal suplimentar*</w:t>
            </w:r>
          </w:p>
        </w:tc>
      </w:tr>
      <w:tr>
        <w:trPr>
          <w:trHeight w:val="300"/>
        </w:trPr>
        <w:tc>
          <w:tcPr>
            <w:tcW w:w="1845" w:type="dxa"/>
          </w:tcPr>
          <w:p>
            <w:pPr>
              <w:spacing w:before="0" w:after="200" w:line="276" w:lineRule="auto"/>
              <w:jc w:val="left"/>
              <w:rPr>
                <w:rFonts w:eastAsiaTheme="minorHAnsi"/>
                <w:b/>
                <w:bCs/>
                <w:noProof/>
                <w:szCs w:val="22"/>
                <w:lang w:eastAsia="en-US"/>
              </w:rPr>
            </w:pPr>
          </w:p>
        </w:tc>
        <w:tc>
          <w:tcPr>
            <w:tcW w:w="2031" w:type="dxa"/>
          </w:tcPr>
          <w:p>
            <w:pPr>
              <w:spacing w:before="0" w:after="200" w:line="276" w:lineRule="auto"/>
              <w:jc w:val="left"/>
              <w:rPr>
                <w:rFonts w:eastAsiaTheme="minorHAnsi"/>
                <w:b/>
                <w:bCs/>
                <w:noProof/>
                <w:szCs w:val="22"/>
                <w:lang w:eastAsia="en-US"/>
              </w:rPr>
            </w:pPr>
          </w:p>
        </w:tc>
        <w:tc>
          <w:tcPr>
            <w:tcW w:w="1925" w:type="dxa"/>
          </w:tcPr>
          <w:p>
            <w:pPr>
              <w:spacing w:before="0" w:after="200" w:line="276" w:lineRule="auto"/>
              <w:jc w:val="left"/>
              <w:rPr>
                <w:rFonts w:eastAsiaTheme="minorHAnsi"/>
                <w:b/>
                <w:bCs/>
                <w:noProof/>
                <w:szCs w:val="22"/>
              </w:rPr>
            </w:pPr>
            <w:r>
              <w:rPr>
                <w:b/>
                <w:noProof/>
              </w:rPr>
              <w:t>Personal ce urmează să fie finanțat în cadrul rubricii 4 sau Cercetare</w:t>
            </w:r>
          </w:p>
        </w:tc>
        <w:tc>
          <w:tcPr>
            <w:tcW w:w="1938" w:type="dxa"/>
          </w:tcPr>
          <w:p>
            <w:pPr>
              <w:spacing w:before="0" w:after="200" w:line="276" w:lineRule="auto"/>
              <w:jc w:val="left"/>
              <w:rPr>
                <w:rFonts w:eastAsiaTheme="minorHAnsi"/>
                <w:b/>
                <w:bCs/>
                <w:noProof/>
                <w:szCs w:val="22"/>
              </w:rPr>
            </w:pPr>
            <w:r>
              <w:rPr>
                <w:b/>
                <w:noProof/>
              </w:rPr>
              <w:t>Personal ce urmează să fie finanțat de la linia BA</w:t>
            </w:r>
          </w:p>
        </w:tc>
        <w:tc>
          <w:tcPr>
            <w:tcW w:w="1748" w:type="dxa"/>
            <w:gridSpan w:val="2"/>
          </w:tcPr>
          <w:p>
            <w:pPr>
              <w:spacing w:before="0" w:after="200" w:line="276" w:lineRule="auto"/>
              <w:jc w:val="left"/>
              <w:rPr>
                <w:rFonts w:eastAsiaTheme="minorHAnsi"/>
                <w:b/>
                <w:bCs/>
                <w:noProof/>
                <w:szCs w:val="22"/>
              </w:rPr>
            </w:pPr>
            <w:r>
              <w:rPr>
                <w:b/>
                <w:noProof/>
              </w:rPr>
              <w:t>Personal ce urmează să fie finanțat din taxe</w:t>
            </w:r>
          </w:p>
        </w:tc>
      </w:tr>
      <w:tr>
        <w:trPr>
          <w:gridAfter w:val="1"/>
          <w:wAfter w:w="426" w:type="dxa"/>
          <w:trHeight w:val="300"/>
        </w:trPr>
        <w:tc>
          <w:tcPr>
            <w:tcW w:w="1845" w:type="dxa"/>
          </w:tcPr>
          <w:p>
            <w:pPr>
              <w:spacing w:before="0" w:after="200" w:line="276" w:lineRule="auto"/>
              <w:jc w:val="left"/>
              <w:rPr>
                <w:rFonts w:eastAsiaTheme="minorHAnsi"/>
                <w:noProof/>
                <w:szCs w:val="22"/>
              </w:rPr>
            </w:pPr>
            <w:r>
              <w:rPr>
                <w:noProof/>
              </w:rPr>
              <w:t>Posturi din schema de personal</w:t>
            </w:r>
          </w:p>
        </w:tc>
        <w:tc>
          <w:tcPr>
            <w:tcW w:w="2031" w:type="dxa"/>
          </w:tcPr>
          <w:p>
            <w:pPr>
              <w:spacing w:before="0" w:after="200" w:line="276" w:lineRule="auto"/>
              <w:jc w:val="left"/>
              <w:rPr>
                <w:rFonts w:eastAsiaTheme="minorHAnsi"/>
                <w:noProof/>
                <w:szCs w:val="22"/>
              </w:rPr>
            </w:pPr>
            <w:r>
              <w:rPr>
                <w:noProof/>
              </w:rPr>
              <w:t>3</w:t>
            </w:r>
          </w:p>
        </w:tc>
        <w:tc>
          <w:tcPr>
            <w:tcW w:w="1925" w:type="dxa"/>
          </w:tcPr>
          <w:p>
            <w:pPr>
              <w:spacing w:before="0" w:after="200" w:line="276" w:lineRule="auto"/>
              <w:jc w:val="left"/>
              <w:rPr>
                <w:rFonts w:eastAsiaTheme="minorHAnsi"/>
                <w:noProof/>
                <w:szCs w:val="22"/>
                <w:lang w:eastAsia="en-US"/>
              </w:rPr>
            </w:pPr>
          </w:p>
        </w:tc>
        <w:tc>
          <w:tcPr>
            <w:tcW w:w="1938" w:type="dxa"/>
          </w:tcPr>
          <w:p>
            <w:pPr>
              <w:spacing w:before="0" w:after="200" w:line="276" w:lineRule="auto"/>
              <w:jc w:val="left"/>
              <w:rPr>
                <w:rFonts w:eastAsiaTheme="minorHAnsi"/>
                <w:noProof/>
                <w:szCs w:val="22"/>
              </w:rPr>
            </w:pPr>
            <w:r>
              <w:rPr>
                <w:noProof/>
              </w:rPr>
              <w:t>N/A</w:t>
            </w:r>
          </w:p>
        </w:tc>
        <w:tc>
          <w:tcPr>
            <w:tcW w:w="1748" w:type="dxa"/>
          </w:tcPr>
          <w:p>
            <w:pPr>
              <w:spacing w:before="0" w:after="200" w:line="276" w:lineRule="auto"/>
              <w:jc w:val="left"/>
              <w:rPr>
                <w:rFonts w:eastAsiaTheme="minorHAnsi"/>
                <w:noProof/>
                <w:szCs w:val="22"/>
                <w:lang w:eastAsia="en-US"/>
              </w:rPr>
            </w:pPr>
          </w:p>
        </w:tc>
      </w:tr>
      <w:tr>
        <w:trPr>
          <w:gridAfter w:val="1"/>
          <w:wAfter w:w="426" w:type="dxa"/>
          <w:trHeight w:val="300"/>
        </w:trPr>
        <w:tc>
          <w:tcPr>
            <w:tcW w:w="1845" w:type="dxa"/>
          </w:tcPr>
          <w:p>
            <w:pPr>
              <w:spacing w:before="0" w:after="200" w:line="276" w:lineRule="auto"/>
              <w:jc w:val="left"/>
              <w:rPr>
                <w:rFonts w:eastAsiaTheme="minorHAnsi"/>
                <w:noProof/>
                <w:szCs w:val="22"/>
              </w:rPr>
            </w:pPr>
            <w:r>
              <w:rPr>
                <w:noProof/>
              </w:rPr>
              <w:t>Personal extern (AC, END, INT)</w:t>
            </w:r>
          </w:p>
        </w:tc>
        <w:tc>
          <w:tcPr>
            <w:tcW w:w="2031" w:type="dxa"/>
          </w:tcPr>
          <w:p>
            <w:pPr>
              <w:spacing w:before="0" w:after="200" w:line="276" w:lineRule="auto"/>
              <w:jc w:val="left"/>
              <w:rPr>
                <w:rFonts w:eastAsiaTheme="minorHAnsi"/>
                <w:noProof/>
                <w:szCs w:val="22"/>
              </w:rPr>
            </w:pPr>
            <w:r>
              <w:rPr>
                <w:noProof/>
              </w:rPr>
              <w:t>3</w:t>
            </w:r>
          </w:p>
        </w:tc>
        <w:tc>
          <w:tcPr>
            <w:tcW w:w="1925" w:type="dxa"/>
          </w:tcPr>
          <w:p>
            <w:pPr>
              <w:spacing w:before="0" w:after="200" w:line="276" w:lineRule="auto"/>
              <w:jc w:val="left"/>
              <w:rPr>
                <w:rFonts w:eastAsiaTheme="minorHAnsi"/>
                <w:noProof/>
                <w:szCs w:val="22"/>
                <w:lang w:eastAsia="en-US"/>
              </w:rPr>
            </w:pPr>
          </w:p>
        </w:tc>
        <w:tc>
          <w:tcPr>
            <w:tcW w:w="1938" w:type="dxa"/>
          </w:tcPr>
          <w:p>
            <w:pPr>
              <w:spacing w:before="0" w:after="200" w:line="276" w:lineRule="auto"/>
              <w:jc w:val="left"/>
              <w:rPr>
                <w:rFonts w:eastAsiaTheme="minorHAnsi"/>
                <w:noProof/>
                <w:szCs w:val="22"/>
                <w:lang w:eastAsia="en-US"/>
              </w:rPr>
            </w:pPr>
          </w:p>
        </w:tc>
        <w:tc>
          <w:tcPr>
            <w:tcW w:w="1748" w:type="dxa"/>
          </w:tcPr>
          <w:p>
            <w:pPr>
              <w:spacing w:before="0" w:after="200" w:line="276" w:lineRule="auto"/>
              <w:jc w:val="left"/>
              <w:rPr>
                <w:rFonts w:eastAsiaTheme="minorHAnsi"/>
                <w:noProof/>
                <w:szCs w:val="22"/>
                <w:lang w:eastAsia="en-US"/>
              </w:rPr>
            </w:pPr>
          </w:p>
        </w:tc>
      </w:tr>
    </w:tbl>
    <w:p>
      <w:pPr>
        <w:tabs>
          <w:tab w:val="left" w:pos="850"/>
        </w:tabs>
        <w:spacing w:before="0" w:after="200" w:line="276" w:lineRule="auto"/>
        <w:ind w:left="850"/>
        <w:jc w:val="left"/>
        <w:rPr>
          <w:i/>
          <w:noProof/>
        </w:rPr>
      </w:pPr>
      <w:bookmarkStart w:id="215" w:name="_Toc177549031"/>
      <w:r>
        <w:rPr>
          <w:i/>
          <w:noProof/>
        </w:rPr>
        <w:t>3.2.5.</w:t>
      </w:r>
      <w:r>
        <w:rPr>
          <w:noProof/>
        </w:rPr>
        <w:tab/>
      </w:r>
      <w:r>
        <w:rPr>
          <w:i/>
          <w:noProof/>
        </w:rPr>
        <w:t>Prezentare generală a impactului estimat asupra investițiilor legate de tehnologia digitală</w:t>
      </w:r>
      <w:bookmarkEnd w:id="215"/>
    </w:p>
    <w:tbl>
      <w:tblPr>
        <w:tblW w:w="5000" w:type="pct"/>
        <w:tblLook w:val="04A0" w:firstRow="1" w:lastRow="0" w:firstColumn="1" w:lastColumn="0" w:noHBand="0" w:noVBand="1"/>
      </w:tblPr>
      <w:tblGrid>
        <w:gridCol w:w="2341"/>
        <w:gridCol w:w="1549"/>
        <w:gridCol w:w="1549"/>
        <w:gridCol w:w="1547"/>
        <w:gridCol w:w="1550"/>
        <w:gridCol w:w="1550"/>
        <w:gridCol w:w="1550"/>
        <w:gridCol w:w="1550"/>
        <w:gridCol w:w="1600"/>
      </w:tblGrid>
      <w:tr>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pPr>
              <w:spacing w:before="0" w:after="200" w:line="276" w:lineRule="auto"/>
              <w:jc w:val="left"/>
              <w:rPr>
                <w:b/>
                <w:bCs/>
                <w:noProof/>
              </w:rPr>
            </w:pPr>
            <w:bookmarkStart w:id="216" w:name="_Toc514938056"/>
            <w:bookmarkStart w:id="217" w:name="_Toc520485055"/>
            <w:bookmarkStart w:id="218" w:name="_Toc160804599"/>
            <w:bookmarkStart w:id="219" w:name="_Toc167220298"/>
            <w:bookmarkStart w:id="220" w:name="_Toc177549032"/>
            <w:bookmarkEnd w:id="214"/>
            <w:r>
              <w:rPr>
                <w:b/>
                <w:noProof/>
              </w:rPr>
              <w:lastRenderedPageBreak/>
              <w:t>TOTAL credite pentru componenta digitală și IT</w:t>
            </w:r>
          </w:p>
        </w:tc>
        <w:tc>
          <w:tcPr>
            <w:tcW w:w="524"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524"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523"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524"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524"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524"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524"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Anul</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r>
              <w:rPr>
                <w:b/>
                <w:noProof/>
              </w:rPr>
              <w:t>TOTAL CFM 2028-2034</w:t>
            </w:r>
          </w:p>
        </w:tc>
      </w:tr>
      <w:tr>
        <w:trPr>
          <w:trHeight w:val="300"/>
        </w:trPr>
        <w:tc>
          <w:tcPr>
            <w:tcW w:w="792" w:type="pct"/>
            <w:vMerge/>
            <w:tcBorders>
              <w:top w:val="single" w:sz="8" w:space="0" w:color="auto"/>
              <w:left w:val="single" w:sz="8" w:space="0" w:color="auto"/>
              <w:bottom w:val="nil"/>
              <w:right w:val="single" w:sz="8" w:space="0" w:color="auto"/>
            </w:tcBorders>
            <w:vAlign w:val="center"/>
            <w:hideMark/>
          </w:tcPr>
          <w:p>
            <w:pPr>
              <w:spacing w:before="0" w:after="200" w:line="276" w:lineRule="auto"/>
              <w:jc w:val="left"/>
              <w:rPr>
                <w:b/>
                <w:bCs/>
                <w:noProof/>
              </w:rPr>
            </w:pPr>
          </w:p>
        </w:tc>
        <w:tc>
          <w:tcPr>
            <w:tcW w:w="524"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524"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523"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524"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524"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524"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524"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b/>
                <w:bCs/>
                <w:noProof/>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200" w:line="276" w:lineRule="auto"/>
              <w:jc w:val="left"/>
              <w:rPr>
                <w:b/>
                <w:bCs/>
                <w:noProof/>
              </w:rPr>
            </w:pPr>
            <w:r>
              <w:rPr>
                <w:b/>
                <w:noProof/>
              </w:rPr>
              <w:t>RUBRICA 4</w:t>
            </w:r>
          </w:p>
        </w:tc>
      </w:tr>
      <w:tr>
        <w:trPr>
          <w:trHeight w:val="790"/>
        </w:trPr>
        <w:tc>
          <w:tcPr>
            <w:tcW w:w="792"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 xml:space="preserve">Cheltuieli IT (corporative) </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200" w:line="276" w:lineRule="auto"/>
              <w:jc w:val="left"/>
              <w:rPr>
                <w:b/>
                <w:bCs/>
                <w:noProof/>
              </w:rPr>
            </w:pPr>
            <w:r>
              <w:rPr>
                <w:b/>
                <w:noProof/>
              </w:rPr>
              <w:t>Subtotal de la RUBRICA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b/>
                <w:bCs/>
                <w:noProof/>
              </w:rPr>
            </w:pPr>
            <w:r>
              <w:rPr>
                <w:b/>
                <w:noProof/>
              </w:rPr>
              <w:t>În afara RUBRICII 4</w:t>
            </w:r>
          </w:p>
        </w:tc>
      </w:tr>
      <w:tr>
        <w:trPr>
          <w:trHeight w:val="1570"/>
        </w:trPr>
        <w:tc>
          <w:tcPr>
            <w:tcW w:w="792"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Cheltuieli de politică IT pentru programele operaționale</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3,4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3,3</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3,2</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1,9</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1,5</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0,5</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noProof/>
              </w:rPr>
            </w:pPr>
            <w:r>
              <w:rPr>
                <w:noProof/>
              </w:rPr>
              <w:t>0,5</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14,3</w:t>
            </w:r>
          </w:p>
        </w:tc>
      </w:tr>
      <w:tr>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200" w:line="276" w:lineRule="auto"/>
              <w:jc w:val="left"/>
              <w:rPr>
                <w:b/>
                <w:bCs/>
                <w:noProof/>
              </w:rPr>
            </w:pPr>
            <w:r>
              <w:rPr>
                <w:b/>
                <w:noProof/>
              </w:rPr>
              <w:t>Subtotal în afara RUBRICII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noProof/>
              </w:rPr>
              <w:t>3,4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noProof/>
              </w:rPr>
              <w:t>3,3</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noProof/>
              </w:rPr>
              <w:t>3,2</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noProof/>
              </w:rPr>
              <w:t>1,9</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noProof/>
              </w:rPr>
              <w:t>1,5</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noProof/>
              </w:rPr>
              <w:t>0,5</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noProof/>
              </w:rPr>
              <w:t>0,5</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200" w:line="276" w:lineRule="auto"/>
              <w:jc w:val="left"/>
              <w:rPr>
                <w:b/>
                <w:bCs/>
                <w:noProof/>
              </w:rPr>
            </w:pPr>
            <w:r>
              <w:rPr>
                <w:b/>
                <w:noProof/>
              </w:rPr>
              <w:t>14,3</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200" w:line="276" w:lineRule="auto"/>
              <w:jc w:val="left"/>
              <w:rPr>
                <w:noProof/>
              </w:rPr>
            </w:pPr>
            <w:r>
              <w:rPr>
                <w:noProof/>
              </w:rPr>
              <w:t xml:space="preserve"> </w:t>
            </w: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200" w:line="276" w:lineRule="auto"/>
              <w:jc w:val="left"/>
              <w:rPr>
                <w:b/>
                <w:bCs/>
                <w:noProof/>
              </w:rPr>
            </w:pPr>
            <w:r>
              <w:rPr>
                <w:b/>
                <w:noProof/>
              </w:rPr>
              <w:t>TOTAL</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noProof/>
              </w:rPr>
              <w:t>3,4</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noProof/>
              </w:rPr>
              <w:t>3,3</w:t>
            </w:r>
          </w:p>
        </w:tc>
        <w:tc>
          <w:tcPr>
            <w:tcW w:w="523"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noProof/>
              </w:rPr>
              <w:t>3,2</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noProof/>
              </w:rPr>
              <w:t>1,9</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noProof/>
              </w:rPr>
              <w:t>1,5</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noProof/>
              </w:rPr>
              <w:t>0,5</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noProof/>
              </w:rPr>
              <w:t>0,5</w:t>
            </w:r>
          </w:p>
        </w:tc>
        <w:tc>
          <w:tcPr>
            <w:tcW w:w="541" w:type="pct"/>
            <w:tcBorders>
              <w:top w:val="nil"/>
              <w:left w:val="nil"/>
              <w:bottom w:val="single" w:sz="12" w:space="0" w:color="auto"/>
              <w:right w:val="single" w:sz="8" w:space="0" w:color="auto"/>
            </w:tcBorders>
            <w:shd w:val="clear" w:color="000000" w:fill="D9D9D9"/>
            <w:vAlign w:val="center"/>
            <w:hideMark/>
          </w:tcPr>
          <w:p>
            <w:pPr>
              <w:spacing w:before="0" w:after="200" w:line="276" w:lineRule="auto"/>
              <w:jc w:val="left"/>
              <w:rPr>
                <w:b/>
                <w:bCs/>
                <w:noProof/>
              </w:rPr>
            </w:pPr>
            <w:r>
              <w:rPr>
                <w:b/>
                <w:noProof/>
              </w:rPr>
              <w:t>14,3</w:t>
            </w:r>
          </w:p>
        </w:tc>
      </w:tr>
    </w:tbl>
    <w:p>
      <w:pPr>
        <w:keepNext/>
        <w:tabs>
          <w:tab w:val="left" w:pos="850"/>
        </w:tabs>
        <w:spacing w:before="0" w:after="200" w:line="276" w:lineRule="auto"/>
        <w:ind w:left="850"/>
        <w:jc w:val="left"/>
        <w:rPr>
          <w:i/>
          <w:noProof/>
        </w:rPr>
      </w:pPr>
      <w:r>
        <w:rPr>
          <w:i/>
          <w:noProof/>
        </w:rPr>
        <w:lastRenderedPageBreak/>
        <w:t>3.2.6.</w:t>
      </w:r>
      <w:r>
        <w:rPr>
          <w:noProof/>
        </w:rPr>
        <w:tab/>
      </w:r>
      <w:r>
        <w:rPr>
          <w:i/>
          <w:noProof/>
        </w:rPr>
        <w:t>Compatibilitatea cu cadrul financiar multianual actual</w:t>
      </w:r>
      <w:bookmarkEnd w:id="216"/>
      <w:bookmarkEnd w:id="217"/>
      <w:bookmarkEnd w:id="218"/>
      <w:bookmarkEnd w:id="219"/>
      <w:bookmarkEnd w:id="220"/>
      <w:r>
        <w:rPr>
          <w:i/>
          <w:noProof/>
        </w:rPr>
        <w:t xml:space="preserve"> </w:t>
      </w:r>
    </w:p>
    <w:p>
      <w:pPr>
        <w:keepNext/>
        <w:spacing w:before="0" w:after="200" w:line="276" w:lineRule="auto"/>
        <w:jc w:val="left"/>
        <w:rPr>
          <w:noProof/>
        </w:rPr>
      </w:pPr>
      <w:r>
        <w:rPr>
          <w:noProof/>
        </w:rPr>
        <w:t>Propunerea/inițiativa:</w:t>
      </w:r>
    </w:p>
    <w:p>
      <w:pPr>
        <w:pStyle w:val="Tiret0"/>
        <w:keepNext/>
        <w:rPr>
          <w:noProof/>
        </w:rPr>
      </w:pPr>
      <w:sdt>
        <w:sdtPr>
          <w:rPr>
            <w:noProof/>
          </w:rPr>
          <w:id w:val="76878632"/>
          <w14:checkbox>
            <w14:checked w14:val="1"/>
            <w14:checkedState w14:val="2612" w14:font="MS Gothic"/>
            <w14:uncheckedState w14:val="2610" w14:font="MS Gothic"/>
          </w14:checkbox>
        </w:sdtPr>
        <w:sdtContent>
          <w:r>
            <w:rPr>
              <w:rFonts w:ascii="Segoe UI Symbol" w:hAnsi="Segoe UI Symbol" w:cs="Segoe UI Symbol"/>
              <w:noProof/>
            </w:rPr>
            <w:t>☒</w:t>
          </w:r>
        </w:sdtContent>
      </w:sdt>
      <w:r>
        <w:rPr>
          <w:noProof/>
        </w:rPr>
        <w:tab/>
        <w:t>poate fi finanțată integral prin realocarea creditelor în cadrul rubricii relevante din cadrul financiar multianual (CFM)</w:t>
      </w:r>
    </w:p>
    <w:p>
      <w:pPr>
        <w:keepNext/>
        <w:spacing w:before="0" w:after="200" w:line="276" w:lineRule="auto"/>
        <w:jc w:val="left"/>
        <w:rPr>
          <w:noProof/>
        </w:rPr>
      </w:pPr>
      <w:r>
        <w:rPr>
          <w:noProof/>
        </w:rPr>
        <w:t>Prezenta propunere va fi finanțată prin noul Program privind piața unică și domeniul vamal, care urmează să fie inclus în CFM 2028-2034.</w:t>
      </w:r>
    </w:p>
    <w:p>
      <w:pPr>
        <w:spacing w:before="0" w:after="200" w:line="276" w:lineRule="auto"/>
        <w:jc w:val="left"/>
        <w:rPr>
          <w:noProof/>
        </w:rPr>
      </w:pPr>
      <w:r>
        <w:rPr>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pPr>
        <w:pStyle w:val="Tiret0"/>
        <w:rPr>
          <w:noProof/>
        </w:rPr>
      </w:pPr>
      <w:r>
        <w:rPr>
          <w:noProof/>
        </w:rPr>
        <w:tab/>
        <w:t>necesită utilizarea marjei nealocate din cadrul rubricii corespunzătoare din CFM și/sau utilizarea instrumentelor speciale, astfel cum sunt definite în Regulamentul privind CFM</w:t>
      </w:r>
    </w:p>
    <w:p>
      <w:pPr>
        <w:pStyle w:val="Tiret0"/>
        <w:rPr>
          <w:noProof/>
        </w:rPr>
      </w:pPr>
      <w:r>
        <w:rPr>
          <w:noProof/>
        </w:rPr>
        <w:tab/>
        <w:t>necesită revizuirea CFM</w:t>
      </w:r>
    </w:p>
    <w:p>
      <w:pPr>
        <w:tabs>
          <w:tab w:val="left" w:pos="850"/>
        </w:tabs>
        <w:spacing w:before="0" w:after="200" w:line="276" w:lineRule="auto"/>
        <w:ind w:left="850"/>
        <w:jc w:val="left"/>
        <w:rPr>
          <w:i/>
          <w:noProof/>
        </w:rPr>
      </w:pPr>
      <w:bookmarkStart w:id="221" w:name="_Toc514938058"/>
      <w:bookmarkStart w:id="222" w:name="_Toc520485056"/>
      <w:bookmarkStart w:id="223" w:name="_Toc160804600"/>
      <w:bookmarkStart w:id="224" w:name="_Toc167220299"/>
      <w:bookmarkStart w:id="225" w:name="_Toc177549033"/>
      <w:r>
        <w:rPr>
          <w:i/>
          <w:noProof/>
        </w:rPr>
        <w:t>3.2.7.</w:t>
      </w:r>
      <w:r>
        <w:rPr>
          <w:noProof/>
        </w:rPr>
        <w:tab/>
      </w:r>
      <w:r>
        <w:rPr>
          <w:i/>
          <w:noProof/>
        </w:rPr>
        <w:t>Contribuțiile terților</w:t>
      </w:r>
      <w:bookmarkEnd w:id="221"/>
      <w:bookmarkEnd w:id="222"/>
      <w:bookmarkEnd w:id="223"/>
      <w:bookmarkEnd w:id="224"/>
      <w:bookmarkEnd w:id="225"/>
      <w:r>
        <w:rPr>
          <w:i/>
          <w:noProof/>
        </w:rPr>
        <w:t xml:space="preserve"> </w:t>
      </w:r>
    </w:p>
    <w:p>
      <w:pPr>
        <w:spacing w:before="0" w:after="200" w:line="276" w:lineRule="auto"/>
        <w:jc w:val="left"/>
        <w:rPr>
          <w:noProof/>
        </w:rPr>
      </w:pPr>
      <w:r>
        <w:rPr>
          <w:noProof/>
        </w:rPr>
        <w:t>Propunerea/inițiativa:</w:t>
      </w:r>
    </w:p>
    <w:p>
      <w:pPr>
        <w:pStyle w:val="Tiret0"/>
        <w:rPr>
          <w:noProof/>
        </w:rPr>
      </w:pPr>
      <w:sdt>
        <w:sdtPr>
          <w:rPr>
            <w:noProof/>
          </w:rPr>
          <w:id w:val="-804772818"/>
          <w14:checkbox>
            <w14:checked w14:val="1"/>
            <w14:checkedState w14:val="2612" w14:font="MS Gothic"/>
            <w14:uncheckedState w14:val="2610" w14:font="MS Gothic"/>
          </w14:checkbox>
        </w:sdtPr>
        <w:sdtContent>
          <w:r>
            <w:rPr>
              <w:rFonts w:ascii="Segoe UI Symbol" w:hAnsi="Segoe UI Symbol" w:cs="Segoe UI Symbol"/>
              <w:noProof/>
            </w:rPr>
            <w:t>☒</w:t>
          </w:r>
        </w:sdtContent>
      </w:sdt>
      <w:r>
        <w:rPr>
          <w:noProof/>
        </w:rPr>
        <w:tab/>
        <w:t>nu prevede cofinanțare din partea terților</w:t>
      </w:r>
    </w:p>
    <w:p>
      <w:pPr>
        <w:pStyle w:val="Tiret0"/>
        <w:rPr>
          <w:noProof/>
        </w:rPr>
      </w:pPr>
      <w:r>
        <w:rPr>
          <w:noProof/>
        </w:rPr>
        <w:tab/>
        <w:t>prevede cofinanțare din partea terților, estimată mai jos:</w:t>
      </w:r>
    </w:p>
    <w:p>
      <w:pPr>
        <w:spacing w:before="0" w:after="200" w:line="276" w:lineRule="auto"/>
        <w:jc w:val="left"/>
        <w:rPr>
          <w:noProof/>
        </w:rPr>
      </w:pPr>
      <w:r>
        <w:rPr>
          <w:noProof/>
        </w:rPr>
        <w:t>Credite în milioane EUR (cu 3 zecimale)</w:t>
      </w:r>
    </w:p>
    <w:tbl>
      <w:tblPr>
        <w:tblW w:w="5000" w:type="pct"/>
        <w:tblLook w:val="04A0" w:firstRow="1" w:lastRow="0" w:firstColumn="1" w:lastColumn="0" w:noHBand="0" w:noVBand="1"/>
      </w:tblPr>
      <w:tblGrid>
        <w:gridCol w:w="2349"/>
        <w:gridCol w:w="1553"/>
        <w:gridCol w:w="1553"/>
        <w:gridCol w:w="1553"/>
        <w:gridCol w:w="1555"/>
        <w:gridCol w:w="1555"/>
        <w:gridCol w:w="1555"/>
        <w:gridCol w:w="1555"/>
        <w:gridCol w:w="1558"/>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noProof/>
              </w:rPr>
            </w:pPr>
            <w:r>
              <w:rPr>
                <w:noProof/>
              </w:rPr>
              <w:t xml:space="preserve"> </w:t>
            </w:r>
          </w:p>
        </w:tc>
        <w:tc>
          <w:tcPr>
            <w:tcW w:w="525"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 xml:space="preserve">Anul </w:t>
            </w:r>
          </w:p>
        </w:tc>
        <w:tc>
          <w:tcPr>
            <w:tcW w:w="525"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 xml:space="preserve">Anul </w:t>
            </w:r>
          </w:p>
        </w:tc>
        <w:tc>
          <w:tcPr>
            <w:tcW w:w="525"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 xml:space="preserve">Anul </w:t>
            </w:r>
          </w:p>
        </w:tc>
        <w:tc>
          <w:tcPr>
            <w:tcW w:w="526"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 xml:space="preserve">Anul </w:t>
            </w:r>
          </w:p>
        </w:tc>
        <w:tc>
          <w:tcPr>
            <w:tcW w:w="526"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 xml:space="preserve">Anul </w:t>
            </w:r>
          </w:p>
        </w:tc>
        <w:tc>
          <w:tcPr>
            <w:tcW w:w="526"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 xml:space="preserve">Anul </w:t>
            </w:r>
          </w:p>
        </w:tc>
        <w:tc>
          <w:tcPr>
            <w:tcW w:w="526" w:type="pct"/>
            <w:tcBorders>
              <w:top w:val="single" w:sz="8" w:space="0" w:color="auto"/>
              <w:left w:val="nil"/>
              <w:bottom w:val="nil"/>
              <w:right w:val="single" w:sz="8" w:space="0" w:color="auto"/>
            </w:tcBorders>
            <w:vAlign w:val="center"/>
            <w:hideMark/>
          </w:tcPr>
          <w:p>
            <w:pPr>
              <w:spacing w:before="0" w:after="200" w:line="276" w:lineRule="auto"/>
              <w:jc w:val="left"/>
              <w:rPr>
                <w:noProof/>
              </w:rPr>
            </w:pPr>
            <w:r>
              <w:rPr>
                <w:noProof/>
              </w:rPr>
              <w:t xml:space="preserve">Anul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noProof/>
              </w:rPr>
            </w:pPr>
            <w:r>
              <w:rPr>
                <w:noProof/>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noProof/>
              </w:rPr>
            </w:pP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2028</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2029</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2030</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2031</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2032</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2033</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b/>
                <w:bCs/>
                <w:noProof/>
              </w:rPr>
            </w:pPr>
            <w:r>
              <w:rPr>
                <w:b/>
                <w:noProof/>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200" w:line="276" w:lineRule="auto"/>
              <w:jc w:val="left"/>
              <w:rPr>
                <w:noProof/>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lastRenderedPageBreak/>
              <w:t>A se preciza organismul care asigură cofinanțarea</w:t>
            </w:r>
            <w:r>
              <w:rPr>
                <w:i/>
                <w:noProof/>
              </w:rPr>
              <w:t xml:space="preserve"> </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7"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200" w:line="276" w:lineRule="auto"/>
              <w:jc w:val="left"/>
              <w:rPr>
                <w:noProof/>
              </w:rPr>
            </w:pPr>
            <w:r>
              <w:rPr>
                <w:noProof/>
              </w:rPr>
              <w:t xml:space="preserve">TOTAL credite cofinanțate </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5"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6"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c>
          <w:tcPr>
            <w:tcW w:w="527" w:type="pct"/>
            <w:tcBorders>
              <w:top w:val="nil"/>
              <w:left w:val="nil"/>
              <w:bottom w:val="single" w:sz="8" w:space="0" w:color="auto"/>
              <w:right w:val="single" w:sz="8" w:space="0" w:color="auto"/>
            </w:tcBorders>
            <w:vAlign w:val="center"/>
            <w:hideMark/>
          </w:tcPr>
          <w:p>
            <w:pPr>
              <w:spacing w:before="0" w:after="200" w:line="276" w:lineRule="auto"/>
              <w:jc w:val="left"/>
              <w:rPr>
                <w:noProof/>
              </w:rPr>
            </w:pPr>
            <w:r>
              <w:rPr>
                <w:noProof/>
              </w:rPr>
              <w:t xml:space="preserve"> </w:t>
            </w:r>
          </w:p>
        </w:tc>
      </w:tr>
    </w:tbl>
    <w:p>
      <w:pPr>
        <w:spacing w:before="0" w:after="200" w:line="276" w:lineRule="auto"/>
        <w:jc w:val="left"/>
        <w:rPr>
          <w:noProof/>
        </w:rPr>
      </w:pPr>
      <w:r>
        <w:rPr>
          <w:noProof/>
        </w:rPr>
        <w:t xml:space="preserve"> </w:t>
      </w:r>
      <w:r>
        <w:rPr>
          <w:noProof/>
        </w:rPr>
        <w:br/>
      </w:r>
      <w:bookmarkStart w:id="226" w:name="_Toc514938059"/>
      <w:bookmarkStart w:id="227" w:name="_Toc520485057"/>
      <w:bookmarkStart w:id="228" w:name="_Toc160804602"/>
      <w:bookmarkStart w:id="229" w:name="_Toc167220300"/>
      <w:bookmarkStart w:id="230" w:name="_Toc177549034"/>
      <w:bookmarkStart w:id="231" w:name="_Hlk166860179"/>
      <w:r>
        <w:rPr>
          <w:noProof/>
        </w:rPr>
        <w:t>3.3.</w:t>
      </w:r>
      <w:r>
        <w:rPr>
          <w:noProof/>
        </w:rPr>
        <w:tab/>
        <w:t>Impactul estimat asupra veniturilor</w:t>
      </w:r>
      <w:bookmarkEnd w:id="226"/>
      <w:bookmarkEnd w:id="227"/>
      <w:bookmarkEnd w:id="228"/>
      <w:bookmarkEnd w:id="229"/>
      <w:bookmarkEnd w:id="230"/>
      <w:r>
        <w:rPr>
          <w:noProof/>
        </w:rPr>
        <w:t xml:space="preserve"> </w:t>
      </w:r>
    </w:p>
    <w:bookmarkEnd w:id="231"/>
    <w:p>
      <w:pPr>
        <w:pStyle w:val="Tiret0"/>
        <w:rPr>
          <w:noProof/>
        </w:rPr>
      </w:pPr>
      <w:sdt>
        <w:sdtPr>
          <w:rPr>
            <w:noProof/>
          </w:rPr>
          <w:id w:val="-681896545"/>
          <w14:checkbox>
            <w14:checked w14:val="1"/>
            <w14:checkedState w14:val="2612" w14:font="MS Gothic"/>
            <w14:uncheckedState w14:val="2610" w14:font="MS Gothic"/>
          </w14:checkbox>
        </w:sdtPr>
        <w:sdtContent>
          <w:r>
            <w:rPr>
              <w:rFonts w:ascii="Segoe UI Symbol" w:hAnsi="Segoe UI Symbol" w:cs="Segoe UI Symbol"/>
              <w:noProof/>
            </w:rPr>
            <w:t>☒</w:t>
          </w:r>
        </w:sdtContent>
      </w:sdt>
      <w:r>
        <w:rPr>
          <w:noProof/>
        </w:rPr>
        <w:tab/>
        <w:t>Propunerea/inițiativa nu are impact financiar asupra veniturilor</w:t>
      </w:r>
    </w:p>
    <w:p>
      <w:pPr>
        <w:pStyle w:val="Tiret0"/>
        <w:rPr>
          <w:noProof/>
        </w:rPr>
      </w:pPr>
      <w:r>
        <w:rPr>
          <w:noProof/>
        </w:rPr>
        <w:t>¨</w:t>
      </w:r>
      <w:r>
        <w:rPr>
          <w:noProof/>
        </w:rPr>
        <w:tab/>
        <w:t>Propunerea/inițiativa are următorul impact financiar:</w:t>
      </w:r>
    </w:p>
    <w:p>
      <w:pPr>
        <w:pStyle w:val="Tiret0"/>
        <w:rPr>
          <w:noProof/>
        </w:rPr>
      </w:pPr>
      <w:r>
        <w:rPr>
          <w:noProof/>
        </w:rPr>
        <w:t>¨</w:t>
      </w:r>
      <w:r>
        <w:rPr>
          <w:noProof/>
        </w:rPr>
        <w:tab/>
        <w:t xml:space="preserve">asupra resurselor proprii </w:t>
      </w:r>
    </w:p>
    <w:p>
      <w:pPr>
        <w:pStyle w:val="Tiret0"/>
        <w:rPr>
          <w:noProof/>
        </w:rPr>
      </w:pPr>
      <w:r>
        <w:rPr>
          <w:noProof/>
        </w:rPr>
        <w:t>¨</w:t>
      </w:r>
      <w:r>
        <w:rPr>
          <w:noProof/>
        </w:rPr>
        <w:tab/>
        <w:t>asupra altor venituri</w:t>
      </w:r>
    </w:p>
    <w:p>
      <w:pPr>
        <w:pStyle w:val="Tiret0"/>
        <w:rPr>
          <w:noProof/>
        </w:rPr>
      </w:pPr>
      <w:r>
        <w:rPr>
          <w:noProof/>
        </w:rPr>
        <w:t>¨</w:t>
      </w:r>
      <w:r>
        <w:rPr>
          <w:noProof/>
        </w:rPr>
        <w:tab/>
        <w:t>vă rugăm să precizați dacă veniturile sunt alocate unor linii de cheltuieli</w:t>
      </w:r>
    </w:p>
    <w:p>
      <w:pPr>
        <w:spacing w:before="0" w:after="200" w:line="276" w:lineRule="auto"/>
        <w:jc w:val="left"/>
        <w:rPr>
          <w:noProof/>
        </w:rPr>
      </w:pPr>
      <w:r>
        <w:rPr>
          <w:noProof/>
        </w:rPr>
        <w:t xml:space="preserve"> 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0"/>
        <w:gridCol w:w="2079"/>
        <w:gridCol w:w="1449"/>
        <w:gridCol w:w="1357"/>
        <w:gridCol w:w="1366"/>
        <w:gridCol w:w="1396"/>
        <w:gridCol w:w="1393"/>
        <w:gridCol w:w="1393"/>
        <w:gridCol w:w="1393"/>
      </w:tblGrid>
      <w:tr>
        <w:trPr>
          <w:trHeight w:val="388"/>
        </w:trPr>
        <w:tc>
          <w:tcPr>
            <w:tcW w:w="1001" w:type="pct"/>
            <w:vMerge w:val="restart"/>
            <w:vAlign w:val="center"/>
          </w:tcPr>
          <w:p>
            <w:pPr>
              <w:spacing w:before="0" w:after="200" w:line="276" w:lineRule="auto"/>
              <w:jc w:val="left"/>
              <w:rPr>
                <w:noProof/>
              </w:rPr>
            </w:pPr>
            <w:r>
              <w:rPr>
                <w:noProof/>
              </w:rPr>
              <w:t>Linia bugetară pentru venituri:</w:t>
            </w:r>
          </w:p>
        </w:tc>
        <w:tc>
          <w:tcPr>
            <w:tcW w:w="703" w:type="pct"/>
            <w:vMerge w:val="restart"/>
            <w:vAlign w:val="center"/>
          </w:tcPr>
          <w:p>
            <w:pPr>
              <w:spacing w:before="0" w:after="200" w:line="276" w:lineRule="auto"/>
              <w:jc w:val="left"/>
              <w:rPr>
                <w:noProof/>
              </w:rPr>
            </w:pPr>
            <w:r>
              <w:rPr>
                <w:noProof/>
              </w:rPr>
              <w:t>Credite disponibile pentru exercițiul financiar în curs</w:t>
            </w:r>
          </w:p>
        </w:tc>
        <w:tc>
          <w:tcPr>
            <w:tcW w:w="3296" w:type="pct"/>
            <w:gridSpan w:val="7"/>
            <w:vAlign w:val="center"/>
          </w:tcPr>
          <w:p>
            <w:pPr>
              <w:spacing w:before="0" w:after="200" w:line="276" w:lineRule="auto"/>
              <w:jc w:val="left"/>
              <w:rPr>
                <w:noProof/>
              </w:rPr>
            </w:pPr>
            <w:r>
              <w:rPr>
                <w:noProof/>
              </w:rPr>
              <w:t>Impactul propunerii/inițiativei</w:t>
            </w:r>
            <w:r>
              <w:rPr>
                <w:rStyle w:val="FootnoteReference"/>
                <w:noProof/>
              </w:rPr>
              <w:footnoteReference w:id="68"/>
            </w:r>
          </w:p>
        </w:tc>
      </w:tr>
      <w:tr>
        <w:trPr>
          <w:trHeight w:val="388"/>
        </w:trPr>
        <w:tc>
          <w:tcPr>
            <w:tcW w:w="1001" w:type="pct"/>
            <w:vMerge/>
          </w:tcPr>
          <w:p>
            <w:pPr>
              <w:spacing w:before="0" w:after="200" w:line="276" w:lineRule="auto"/>
              <w:jc w:val="left"/>
              <w:rPr>
                <w:noProof/>
              </w:rPr>
            </w:pPr>
          </w:p>
        </w:tc>
        <w:tc>
          <w:tcPr>
            <w:tcW w:w="703" w:type="pct"/>
            <w:vMerge/>
          </w:tcPr>
          <w:p>
            <w:pPr>
              <w:spacing w:before="0" w:after="200" w:line="276" w:lineRule="auto"/>
              <w:jc w:val="left"/>
              <w:rPr>
                <w:i/>
                <w:noProof/>
              </w:rPr>
            </w:pPr>
          </w:p>
        </w:tc>
        <w:tc>
          <w:tcPr>
            <w:tcW w:w="490" w:type="pct"/>
            <w:vAlign w:val="center"/>
          </w:tcPr>
          <w:p>
            <w:pPr>
              <w:spacing w:before="0" w:after="200" w:line="276" w:lineRule="auto"/>
              <w:jc w:val="left"/>
              <w:rPr>
                <w:noProof/>
              </w:rPr>
            </w:pPr>
            <w:r>
              <w:rPr>
                <w:noProof/>
              </w:rPr>
              <w:t xml:space="preserve">Anul </w:t>
            </w:r>
            <w:r>
              <w:rPr>
                <w:b/>
                <w:noProof/>
              </w:rPr>
              <w:t>2028</w:t>
            </w:r>
          </w:p>
        </w:tc>
        <w:tc>
          <w:tcPr>
            <w:tcW w:w="459" w:type="pct"/>
            <w:vAlign w:val="center"/>
          </w:tcPr>
          <w:p>
            <w:pPr>
              <w:spacing w:before="0" w:after="200" w:line="276" w:lineRule="auto"/>
              <w:jc w:val="left"/>
              <w:rPr>
                <w:noProof/>
              </w:rPr>
            </w:pPr>
            <w:r>
              <w:rPr>
                <w:noProof/>
              </w:rPr>
              <w:t xml:space="preserve">Anul </w:t>
            </w:r>
            <w:r>
              <w:rPr>
                <w:b/>
                <w:noProof/>
              </w:rPr>
              <w:t>2029</w:t>
            </w:r>
          </w:p>
        </w:tc>
        <w:tc>
          <w:tcPr>
            <w:tcW w:w="462" w:type="pct"/>
            <w:vAlign w:val="center"/>
          </w:tcPr>
          <w:p>
            <w:pPr>
              <w:spacing w:before="0" w:after="200" w:line="276" w:lineRule="auto"/>
              <w:jc w:val="left"/>
              <w:rPr>
                <w:noProof/>
              </w:rPr>
            </w:pPr>
            <w:r>
              <w:rPr>
                <w:noProof/>
              </w:rPr>
              <w:t xml:space="preserve">Anul </w:t>
            </w:r>
            <w:r>
              <w:rPr>
                <w:b/>
                <w:noProof/>
              </w:rPr>
              <w:t>2030</w:t>
            </w:r>
          </w:p>
        </w:tc>
        <w:tc>
          <w:tcPr>
            <w:tcW w:w="472" w:type="pct"/>
            <w:vAlign w:val="center"/>
          </w:tcPr>
          <w:p>
            <w:pPr>
              <w:spacing w:before="0" w:after="200" w:line="276" w:lineRule="auto"/>
              <w:jc w:val="left"/>
              <w:rPr>
                <w:noProof/>
              </w:rPr>
            </w:pPr>
            <w:r>
              <w:rPr>
                <w:noProof/>
              </w:rPr>
              <w:t xml:space="preserve">Anul </w:t>
            </w:r>
            <w:r>
              <w:rPr>
                <w:b/>
                <w:noProof/>
              </w:rPr>
              <w:t>2031</w:t>
            </w:r>
          </w:p>
        </w:tc>
        <w:tc>
          <w:tcPr>
            <w:tcW w:w="471" w:type="pct"/>
          </w:tcPr>
          <w:p>
            <w:pPr>
              <w:spacing w:before="0" w:after="200" w:line="276" w:lineRule="auto"/>
              <w:jc w:val="left"/>
              <w:rPr>
                <w:noProof/>
              </w:rPr>
            </w:pPr>
            <w:r>
              <w:rPr>
                <w:noProof/>
              </w:rPr>
              <w:t xml:space="preserve">Anul </w:t>
            </w:r>
            <w:r>
              <w:rPr>
                <w:b/>
                <w:noProof/>
              </w:rPr>
              <w:t>2032</w:t>
            </w:r>
          </w:p>
        </w:tc>
        <w:tc>
          <w:tcPr>
            <w:tcW w:w="471" w:type="pct"/>
          </w:tcPr>
          <w:p>
            <w:pPr>
              <w:spacing w:before="0" w:after="200" w:line="276" w:lineRule="auto"/>
              <w:jc w:val="left"/>
              <w:rPr>
                <w:noProof/>
              </w:rPr>
            </w:pPr>
            <w:r>
              <w:rPr>
                <w:noProof/>
              </w:rPr>
              <w:t xml:space="preserve">Anul </w:t>
            </w:r>
            <w:r>
              <w:rPr>
                <w:b/>
                <w:noProof/>
              </w:rPr>
              <w:t>2033</w:t>
            </w:r>
          </w:p>
        </w:tc>
        <w:tc>
          <w:tcPr>
            <w:tcW w:w="471" w:type="pct"/>
          </w:tcPr>
          <w:p>
            <w:pPr>
              <w:spacing w:before="0" w:after="200" w:line="276" w:lineRule="auto"/>
              <w:jc w:val="left"/>
              <w:rPr>
                <w:noProof/>
              </w:rPr>
            </w:pPr>
            <w:r>
              <w:rPr>
                <w:noProof/>
              </w:rPr>
              <w:t xml:space="preserve">Anul </w:t>
            </w:r>
            <w:r>
              <w:rPr>
                <w:b/>
                <w:noProof/>
              </w:rPr>
              <w:t>2034</w:t>
            </w:r>
          </w:p>
        </w:tc>
      </w:tr>
      <w:tr>
        <w:trPr>
          <w:trHeight w:val="388"/>
        </w:trPr>
        <w:tc>
          <w:tcPr>
            <w:tcW w:w="1001" w:type="pct"/>
            <w:vAlign w:val="center"/>
          </w:tcPr>
          <w:p>
            <w:pPr>
              <w:spacing w:before="0" w:after="200" w:line="276" w:lineRule="auto"/>
              <w:jc w:val="left"/>
              <w:rPr>
                <w:noProof/>
              </w:rPr>
            </w:pPr>
            <w:r>
              <w:rPr>
                <w:noProof/>
              </w:rPr>
              <w:t>Articolul ………….</w:t>
            </w:r>
          </w:p>
        </w:tc>
        <w:tc>
          <w:tcPr>
            <w:tcW w:w="703" w:type="pct"/>
          </w:tcPr>
          <w:p>
            <w:pPr>
              <w:spacing w:before="0" w:after="200" w:line="276" w:lineRule="auto"/>
              <w:jc w:val="left"/>
              <w:rPr>
                <w:i/>
                <w:noProof/>
              </w:rPr>
            </w:pPr>
          </w:p>
        </w:tc>
        <w:tc>
          <w:tcPr>
            <w:tcW w:w="490" w:type="pct"/>
          </w:tcPr>
          <w:p>
            <w:pPr>
              <w:spacing w:before="0" w:after="200" w:line="276" w:lineRule="auto"/>
              <w:jc w:val="left"/>
              <w:rPr>
                <w:noProof/>
              </w:rPr>
            </w:pPr>
          </w:p>
        </w:tc>
        <w:tc>
          <w:tcPr>
            <w:tcW w:w="459" w:type="pct"/>
          </w:tcPr>
          <w:p>
            <w:pPr>
              <w:spacing w:before="0" w:after="200" w:line="276" w:lineRule="auto"/>
              <w:jc w:val="left"/>
              <w:rPr>
                <w:noProof/>
              </w:rPr>
            </w:pPr>
          </w:p>
        </w:tc>
        <w:tc>
          <w:tcPr>
            <w:tcW w:w="462" w:type="pct"/>
          </w:tcPr>
          <w:p>
            <w:pPr>
              <w:spacing w:before="0" w:after="200" w:line="276" w:lineRule="auto"/>
              <w:jc w:val="left"/>
              <w:rPr>
                <w:noProof/>
              </w:rPr>
            </w:pPr>
          </w:p>
        </w:tc>
        <w:tc>
          <w:tcPr>
            <w:tcW w:w="472" w:type="pct"/>
          </w:tcPr>
          <w:p>
            <w:pPr>
              <w:spacing w:before="0" w:after="200" w:line="276" w:lineRule="auto"/>
              <w:jc w:val="left"/>
              <w:rPr>
                <w:noProof/>
              </w:rPr>
            </w:pPr>
          </w:p>
        </w:tc>
        <w:tc>
          <w:tcPr>
            <w:tcW w:w="471" w:type="pct"/>
          </w:tcPr>
          <w:p>
            <w:pPr>
              <w:spacing w:before="0" w:after="200" w:line="276" w:lineRule="auto"/>
              <w:jc w:val="left"/>
              <w:rPr>
                <w:noProof/>
              </w:rPr>
            </w:pPr>
          </w:p>
        </w:tc>
        <w:tc>
          <w:tcPr>
            <w:tcW w:w="471" w:type="pct"/>
          </w:tcPr>
          <w:p>
            <w:pPr>
              <w:spacing w:before="0" w:after="200" w:line="276" w:lineRule="auto"/>
              <w:jc w:val="left"/>
              <w:rPr>
                <w:noProof/>
              </w:rPr>
            </w:pPr>
          </w:p>
        </w:tc>
        <w:tc>
          <w:tcPr>
            <w:tcW w:w="471" w:type="pct"/>
          </w:tcPr>
          <w:p>
            <w:pPr>
              <w:spacing w:before="0" w:after="200" w:line="276" w:lineRule="auto"/>
              <w:jc w:val="left"/>
              <w:rPr>
                <w:noProof/>
              </w:rPr>
            </w:pPr>
          </w:p>
        </w:tc>
      </w:tr>
    </w:tbl>
    <w:p>
      <w:pPr>
        <w:spacing w:before="0" w:after="200" w:line="276" w:lineRule="auto"/>
        <w:jc w:val="left"/>
        <w:rPr>
          <w:noProof/>
        </w:rPr>
      </w:pPr>
      <w:r>
        <w:rPr>
          <w:noProof/>
        </w:rPr>
        <w:t>Pentru veniturile alocate, a se preciza linia (liniile) bugetară (bugetare) de cheltuieli afectată (afectate).</w:t>
      </w:r>
    </w:p>
    <w:p>
      <w:pPr>
        <w:spacing w:before="0" w:after="200" w:line="276" w:lineRule="auto"/>
        <w:jc w:val="left"/>
        <w:rPr>
          <w:noProof/>
        </w:rPr>
      </w:pPr>
      <w:r>
        <w:rPr>
          <w:noProof/>
        </w:rPr>
        <w:lastRenderedPageBreak/>
        <w:t>Alte observații (de exemplu, metoda/formula utilizată pentru calcularea impactului asupra veniturilor sau orice alte informații).</w:t>
      </w:r>
    </w:p>
    <w:p>
      <w:pPr>
        <w:spacing w:before="0" w:after="200" w:line="276" w:lineRule="auto"/>
        <w:jc w:val="left"/>
        <w:rPr>
          <w:b/>
          <w:noProof/>
        </w:rPr>
      </w:pPr>
      <w:bookmarkStart w:id="232" w:name="_Toc167220301"/>
      <w:bookmarkStart w:id="233" w:name="_Toc177549035"/>
      <w:r>
        <w:rPr>
          <w:noProof/>
        </w:rPr>
        <w:br w:type="page"/>
      </w:r>
    </w:p>
    <w:p>
      <w:pPr>
        <w:tabs>
          <w:tab w:val="left" w:pos="850"/>
        </w:tabs>
        <w:spacing w:before="0" w:after="200" w:line="276" w:lineRule="auto"/>
        <w:ind w:left="850"/>
        <w:jc w:val="left"/>
        <w:rPr>
          <w:b/>
          <w:noProof/>
        </w:rPr>
      </w:pPr>
      <w:r>
        <w:rPr>
          <w:b/>
          <w:noProof/>
        </w:rPr>
        <w:lastRenderedPageBreak/>
        <w:t>4.</w:t>
      </w:r>
      <w:r>
        <w:rPr>
          <w:noProof/>
        </w:rPr>
        <w:tab/>
      </w:r>
      <w:bookmarkStart w:id="234" w:name="_Hlk167692977"/>
      <w:r>
        <w:rPr>
          <w:b/>
          <w:noProof/>
        </w:rPr>
        <w:t>Dimensiunile digitale</w:t>
      </w:r>
      <w:bookmarkEnd w:id="232"/>
      <w:bookmarkEnd w:id="233"/>
    </w:p>
    <w:p>
      <w:pPr>
        <w:tabs>
          <w:tab w:val="left" w:pos="850"/>
        </w:tabs>
        <w:spacing w:before="0" w:after="200" w:line="276" w:lineRule="auto"/>
        <w:ind w:left="850"/>
        <w:jc w:val="left"/>
        <w:rPr>
          <w:b/>
          <w:noProof/>
        </w:rPr>
      </w:pPr>
      <w:bookmarkStart w:id="235" w:name="_Toc167220302"/>
      <w:bookmarkStart w:id="236" w:name="_Toc177549037"/>
      <w:r>
        <w:rPr>
          <w:b/>
          <w:noProof/>
        </w:rPr>
        <w:t>4.1.</w:t>
      </w:r>
      <w:r>
        <w:rPr>
          <w:noProof/>
        </w:rPr>
        <w:tab/>
      </w:r>
      <w:r>
        <w:rPr>
          <w:b/>
          <w:noProof/>
        </w:rPr>
        <w:t>Cerințe cu relevanță digitală</w:t>
      </w:r>
      <w:bookmarkEnd w:id="235"/>
      <w:bookmarkEnd w:id="236"/>
    </w:p>
    <w:tbl>
      <w:tblPr>
        <w:tblStyle w:val="TableGrid"/>
        <w:tblW w:w="12250" w:type="dxa"/>
        <w:tblLook w:val="04A0" w:firstRow="1" w:lastRow="0" w:firstColumn="1" w:lastColumn="0" w:noHBand="0" w:noVBand="1"/>
      </w:tblPr>
      <w:tblGrid>
        <w:gridCol w:w="2168"/>
        <w:gridCol w:w="4095"/>
        <w:gridCol w:w="1985"/>
        <w:gridCol w:w="1841"/>
        <w:gridCol w:w="2161"/>
      </w:tblGrid>
      <w:tr>
        <w:trPr>
          <w:trHeight w:val="300"/>
        </w:trPr>
        <w:tc>
          <w:tcPr>
            <w:tcW w:w="2168" w:type="dxa"/>
            <w:vAlign w:val="center"/>
          </w:tcPr>
          <w:p>
            <w:pPr>
              <w:spacing w:before="0" w:after="200" w:line="276" w:lineRule="auto"/>
              <w:jc w:val="left"/>
              <w:rPr>
                <w:rFonts w:eastAsiaTheme="minorHAnsi"/>
                <w:noProof/>
                <w:szCs w:val="22"/>
              </w:rPr>
            </w:pPr>
            <w:r>
              <w:rPr>
                <w:b/>
                <w:noProof/>
              </w:rPr>
              <w:t>Referința cerinței</w:t>
            </w:r>
          </w:p>
        </w:tc>
        <w:tc>
          <w:tcPr>
            <w:tcW w:w="4095" w:type="dxa"/>
            <w:vAlign w:val="center"/>
          </w:tcPr>
          <w:p>
            <w:pPr>
              <w:spacing w:before="0" w:after="200" w:line="276" w:lineRule="auto"/>
              <w:jc w:val="left"/>
              <w:rPr>
                <w:rFonts w:eastAsiaTheme="minorHAnsi"/>
                <w:noProof/>
                <w:szCs w:val="22"/>
              </w:rPr>
            </w:pPr>
            <w:r>
              <w:rPr>
                <w:b/>
                <w:noProof/>
              </w:rPr>
              <w:t>Descrierea cerinței</w:t>
            </w:r>
          </w:p>
        </w:tc>
        <w:tc>
          <w:tcPr>
            <w:tcW w:w="1985" w:type="dxa"/>
            <w:vAlign w:val="center"/>
          </w:tcPr>
          <w:p>
            <w:pPr>
              <w:spacing w:before="0" w:after="200" w:line="276" w:lineRule="auto"/>
              <w:jc w:val="left"/>
              <w:rPr>
                <w:rFonts w:eastAsiaTheme="minorHAnsi"/>
                <w:noProof/>
                <w:szCs w:val="22"/>
              </w:rPr>
            </w:pPr>
            <w:r>
              <w:rPr>
                <w:b/>
                <w:noProof/>
              </w:rPr>
              <w:t>Actorul afectat sau vizat de cerință</w:t>
            </w:r>
          </w:p>
        </w:tc>
        <w:tc>
          <w:tcPr>
            <w:tcW w:w="1841" w:type="dxa"/>
            <w:vAlign w:val="center"/>
          </w:tcPr>
          <w:p>
            <w:pPr>
              <w:spacing w:before="0" w:after="200" w:line="276" w:lineRule="auto"/>
              <w:jc w:val="left"/>
              <w:rPr>
                <w:rFonts w:eastAsiaTheme="minorHAnsi"/>
                <w:noProof/>
                <w:szCs w:val="22"/>
              </w:rPr>
            </w:pPr>
            <w:r>
              <w:rPr>
                <w:b/>
                <w:noProof/>
              </w:rPr>
              <w:t>Procese la nivel înalt</w:t>
            </w:r>
          </w:p>
        </w:tc>
        <w:tc>
          <w:tcPr>
            <w:tcW w:w="2161" w:type="dxa"/>
            <w:vAlign w:val="center"/>
          </w:tcPr>
          <w:p>
            <w:pPr>
              <w:spacing w:before="0" w:after="200" w:line="276" w:lineRule="auto"/>
              <w:jc w:val="left"/>
              <w:rPr>
                <w:rFonts w:eastAsiaTheme="minorHAnsi"/>
                <w:noProof/>
                <w:szCs w:val="22"/>
              </w:rPr>
            </w:pPr>
            <w:r>
              <w:rPr>
                <w:b/>
                <w:noProof/>
              </w:rPr>
              <w:t>Categorie</w:t>
            </w:r>
          </w:p>
        </w:tc>
      </w:tr>
      <w:tr>
        <w:trPr>
          <w:trHeight w:val="300"/>
        </w:trPr>
        <w:tc>
          <w:tcPr>
            <w:tcW w:w="2168" w:type="dxa"/>
            <w:vAlign w:val="center"/>
          </w:tcPr>
          <w:p>
            <w:pPr>
              <w:spacing w:before="0" w:after="200" w:line="276" w:lineRule="auto"/>
              <w:jc w:val="left"/>
              <w:rPr>
                <w:rFonts w:eastAsiaTheme="minorHAnsi"/>
                <w:noProof/>
                <w:szCs w:val="22"/>
              </w:rPr>
            </w:pPr>
            <w:r>
              <w:rPr>
                <w:noProof/>
              </w:rPr>
              <w:t>Considerentul 4</w:t>
            </w:r>
          </w:p>
        </w:tc>
        <w:tc>
          <w:tcPr>
            <w:tcW w:w="4095" w:type="dxa"/>
            <w:vAlign w:val="center"/>
          </w:tcPr>
          <w:p>
            <w:pPr>
              <w:spacing w:before="0" w:after="200" w:line="276" w:lineRule="auto"/>
              <w:jc w:val="left"/>
              <w:rPr>
                <w:rFonts w:eastAsiaTheme="minorHAnsi"/>
                <w:noProof/>
                <w:szCs w:val="22"/>
              </w:rPr>
            </w:pPr>
            <w:r>
              <w:rPr>
                <w:noProof/>
              </w:rPr>
              <w:t>Cooperarea administrativă trebuie să se bazeze pe sisteme de comunicații digitale securizate și actualizate.</w:t>
            </w:r>
          </w:p>
        </w:tc>
        <w:tc>
          <w:tcPr>
            <w:tcW w:w="1985" w:type="dxa"/>
            <w:vAlign w:val="center"/>
          </w:tcPr>
          <w:p>
            <w:pPr>
              <w:spacing w:before="0" w:after="200" w:line="276" w:lineRule="auto"/>
              <w:jc w:val="left"/>
              <w:rPr>
                <w:rFonts w:eastAsiaTheme="minorHAnsi"/>
                <w:noProof/>
                <w:szCs w:val="22"/>
              </w:rPr>
            </w:pPr>
            <w:r>
              <w:rPr>
                <w:noProof/>
              </w:rPr>
              <w:t>Autoritățile competente ale statelor membre pentru schimbul de informații</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Crearea unui serviciu public digital</w:t>
            </w:r>
          </w:p>
        </w:tc>
        <w:tc>
          <w:tcPr>
            <w:tcW w:w="2161" w:type="dxa"/>
            <w:vAlign w:val="center"/>
          </w:tcPr>
          <w:p>
            <w:pPr>
              <w:spacing w:before="0" w:after="200" w:line="276" w:lineRule="auto"/>
              <w:jc w:val="left"/>
              <w:rPr>
                <w:rFonts w:eastAsiaTheme="minorHAnsi"/>
                <w:noProof/>
                <w:szCs w:val="22"/>
              </w:rPr>
            </w:pPr>
            <w:r>
              <w:rPr>
                <w:noProof/>
              </w:rPr>
              <w:t>Date</w:t>
            </w:r>
          </w:p>
          <w:p>
            <w:pPr>
              <w:spacing w:before="0" w:after="200" w:line="276" w:lineRule="auto"/>
              <w:jc w:val="left"/>
              <w:rPr>
                <w:rFonts w:eastAsiaTheme="minorHAnsi"/>
                <w:noProof/>
                <w:szCs w:val="22"/>
              </w:rPr>
            </w:pPr>
            <w:r>
              <w:rPr>
                <w:noProof/>
              </w:rPr>
              <w:t>Soluții digitale</w:t>
            </w:r>
          </w:p>
          <w:p>
            <w:pPr>
              <w:spacing w:before="0" w:after="200" w:line="276" w:lineRule="auto"/>
              <w:jc w:val="left"/>
              <w:rPr>
                <w:rFonts w:eastAsiaTheme="minorHAnsi"/>
                <w:noProof/>
                <w:szCs w:val="22"/>
              </w:rPr>
            </w:pPr>
            <w:r>
              <w:rPr>
                <w:noProof/>
              </w:rPr>
              <w:t>Schimbul de informații</w:t>
            </w:r>
          </w:p>
        </w:tc>
      </w:tr>
      <w:tr>
        <w:trPr>
          <w:trHeight w:val="300"/>
        </w:trPr>
        <w:tc>
          <w:tcPr>
            <w:tcW w:w="2168" w:type="dxa"/>
            <w:vAlign w:val="center"/>
          </w:tcPr>
          <w:p>
            <w:pPr>
              <w:spacing w:before="0" w:after="200" w:line="276" w:lineRule="auto"/>
              <w:jc w:val="left"/>
              <w:rPr>
                <w:rFonts w:eastAsiaTheme="minorHAnsi"/>
                <w:noProof/>
                <w:szCs w:val="22"/>
              </w:rPr>
            </w:pPr>
            <w:r>
              <w:rPr>
                <w:noProof/>
              </w:rPr>
              <w:t>Art. 4</w:t>
            </w:r>
          </w:p>
        </w:tc>
        <w:tc>
          <w:tcPr>
            <w:tcW w:w="4095" w:type="dxa"/>
            <w:vAlign w:val="center"/>
          </w:tcPr>
          <w:p>
            <w:pPr>
              <w:spacing w:before="0" w:after="200" w:line="276" w:lineRule="auto"/>
              <w:jc w:val="left"/>
              <w:rPr>
                <w:rFonts w:eastAsiaTheme="minorHAnsi"/>
                <w:noProof/>
                <w:szCs w:val="22"/>
              </w:rPr>
            </w:pPr>
            <w:r>
              <w:rPr>
                <w:noProof/>
              </w:rPr>
              <w:t>Adoptarea modalităților practice necesare pentru a facilita comunicarea informațiilor referitoare la categoriile de venituri și de capital.</w:t>
            </w:r>
          </w:p>
          <w:p>
            <w:pPr>
              <w:spacing w:before="0" w:after="200" w:line="276" w:lineRule="auto"/>
              <w:jc w:val="left"/>
              <w:rPr>
                <w:rFonts w:eastAsiaTheme="minorHAnsi"/>
                <w:noProof/>
                <w:szCs w:val="22"/>
              </w:rPr>
            </w:pPr>
            <w:r>
              <w:rPr>
                <w:noProof/>
              </w:rPr>
              <w:t>Furnizarea unui format electronic standardizat pentru schimbul de informații.</w:t>
            </w:r>
          </w:p>
        </w:tc>
        <w:tc>
          <w:tcPr>
            <w:tcW w:w="1985" w:type="dxa"/>
            <w:vAlign w:val="center"/>
          </w:tcPr>
          <w:p>
            <w:pPr>
              <w:spacing w:before="0" w:after="200" w:line="276" w:lineRule="auto"/>
              <w:jc w:val="left"/>
              <w:rPr>
                <w:rFonts w:eastAsiaTheme="minorHAnsi"/>
                <w:noProof/>
                <w:szCs w:val="22"/>
              </w:rPr>
            </w:pPr>
            <w:r>
              <w:rPr>
                <w:noProof/>
              </w:rPr>
              <w:t>Autoritățile competente ale statelor membre pentru schimbul de informații</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Crearea unui serviciu public digital</w:t>
            </w:r>
          </w:p>
        </w:tc>
        <w:tc>
          <w:tcPr>
            <w:tcW w:w="2161" w:type="dxa"/>
            <w:vAlign w:val="center"/>
          </w:tcPr>
          <w:p>
            <w:pPr>
              <w:spacing w:before="0" w:after="200" w:line="276" w:lineRule="auto"/>
              <w:jc w:val="left"/>
              <w:rPr>
                <w:rFonts w:eastAsiaTheme="minorHAnsi"/>
                <w:noProof/>
                <w:szCs w:val="22"/>
              </w:rPr>
            </w:pPr>
            <w:r>
              <w:rPr>
                <w:noProof/>
              </w:rPr>
              <w:t>Date</w:t>
            </w:r>
          </w:p>
          <w:p>
            <w:pPr>
              <w:spacing w:before="0" w:after="200" w:line="276" w:lineRule="auto"/>
              <w:jc w:val="left"/>
              <w:rPr>
                <w:rFonts w:eastAsiaTheme="minorHAnsi"/>
                <w:noProof/>
                <w:szCs w:val="22"/>
              </w:rPr>
            </w:pPr>
            <w:r>
              <w:rPr>
                <w:noProof/>
              </w:rPr>
              <w:t>Soluții digitale</w:t>
            </w:r>
          </w:p>
          <w:p>
            <w:pPr>
              <w:spacing w:before="0" w:after="200" w:line="276" w:lineRule="auto"/>
              <w:jc w:val="left"/>
              <w:rPr>
                <w:rFonts w:eastAsiaTheme="minorHAnsi"/>
                <w:noProof/>
                <w:szCs w:val="22"/>
              </w:rPr>
            </w:pPr>
            <w:r>
              <w:rPr>
                <w:noProof/>
              </w:rPr>
              <w:t>Schimbul de informații</w:t>
            </w:r>
          </w:p>
        </w:tc>
      </w:tr>
      <w:tr>
        <w:trPr>
          <w:trHeight w:val="300"/>
        </w:trPr>
        <w:tc>
          <w:tcPr>
            <w:tcW w:w="2168" w:type="dxa"/>
            <w:vAlign w:val="center"/>
          </w:tcPr>
          <w:p>
            <w:pPr>
              <w:spacing w:before="0" w:after="200" w:line="276" w:lineRule="auto"/>
              <w:jc w:val="left"/>
              <w:rPr>
                <w:rFonts w:eastAsiaTheme="minorHAnsi"/>
                <w:noProof/>
                <w:szCs w:val="22"/>
              </w:rPr>
            </w:pPr>
            <w:r>
              <w:rPr>
                <w:noProof/>
              </w:rPr>
              <w:t>Art. 5</w:t>
            </w:r>
          </w:p>
        </w:tc>
        <w:tc>
          <w:tcPr>
            <w:tcW w:w="4095" w:type="dxa"/>
            <w:vAlign w:val="center"/>
          </w:tcPr>
          <w:p>
            <w:pPr>
              <w:spacing w:before="0" w:after="200" w:line="276" w:lineRule="auto"/>
              <w:jc w:val="left"/>
              <w:rPr>
                <w:rFonts w:eastAsiaTheme="minorHAnsi"/>
                <w:noProof/>
                <w:szCs w:val="22"/>
              </w:rPr>
            </w:pPr>
            <w:r>
              <w:rPr>
                <w:noProof/>
              </w:rPr>
              <w:t xml:space="preserve">Adoptarea modalităților practice necesare pentru a facilita comunicarea informațiilor în conformitate cu </w:t>
            </w:r>
            <w:r>
              <w:rPr>
                <w:noProof/>
              </w:rPr>
              <w:lastRenderedPageBreak/>
              <w:t>Standardul comun de raportare (SCR) al OCDE.</w:t>
            </w:r>
          </w:p>
          <w:p>
            <w:pPr>
              <w:spacing w:before="0" w:after="200" w:line="276" w:lineRule="auto"/>
              <w:jc w:val="left"/>
              <w:rPr>
                <w:rFonts w:eastAsiaTheme="minorHAnsi"/>
                <w:noProof/>
                <w:szCs w:val="22"/>
              </w:rPr>
            </w:pPr>
            <w:r>
              <w:rPr>
                <w:noProof/>
              </w:rPr>
              <w:t>Furnizarea unui format electronic standardizat pentru schimbul de informații.</w:t>
            </w:r>
          </w:p>
        </w:tc>
        <w:tc>
          <w:tcPr>
            <w:tcW w:w="1985" w:type="dxa"/>
            <w:vAlign w:val="center"/>
          </w:tcPr>
          <w:p>
            <w:pPr>
              <w:spacing w:before="0" w:after="200" w:line="276" w:lineRule="auto"/>
              <w:jc w:val="left"/>
              <w:rPr>
                <w:rFonts w:eastAsiaTheme="minorHAnsi"/>
                <w:noProof/>
                <w:szCs w:val="22"/>
              </w:rPr>
            </w:pPr>
            <w:r>
              <w:rPr>
                <w:noProof/>
              </w:rPr>
              <w:lastRenderedPageBreak/>
              <w:t xml:space="preserve">Autoritățile competente ale statelor membre </w:t>
            </w:r>
            <w:r>
              <w:rPr>
                <w:noProof/>
              </w:rPr>
              <w:lastRenderedPageBreak/>
              <w:t>pentru schimbul de informații</w:t>
            </w: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lastRenderedPageBreak/>
              <w:t xml:space="preserve">Crearea unui serviciu public </w:t>
            </w:r>
            <w:r>
              <w:rPr>
                <w:noProof/>
              </w:rPr>
              <w:lastRenderedPageBreak/>
              <w:t>digital</w:t>
            </w:r>
          </w:p>
        </w:tc>
        <w:tc>
          <w:tcPr>
            <w:tcW w:w="2161" w:type="dxa"/>
            <w:vAlign w:val="center"/>
          </w:tcPr>
          <w:p>
            <w:pPr>
              <w:spacing w:before="0" w:after="200" w:line="276" w:lineRule="auto"/>
              <w:jc w:val="left"/>
              <w:rPr>
                <w:rFonts w:eastAsiaTheme="minorHAnsi"/>
                <w:noProof/>
                <w:szCs w:val="22"/>
              </w:rPr>
            </w:pPr>
            <w:r>
              <w:rPr>
                <w:noProof/>
              </w:rPr>
              <w:lastRenderedPageBreak/>
              <w:t>Date</w:t>
            </w:r>
          </w:p>
          <w:p>
            <w:pPr>
              <w:spacing w:before="0" w:after="200" w:line="276" w:lineRule="auto"/>
              <w:jc w:val="left"/>
              <w:rPr>
                <w:rFonts w:eastAsiaTheme="minorHAnsi"/>
                <w:noProof/>
                <w:szCs w:val="22"/>
              </w:rPr>
            </w:pPr>
            <w:r>
              <w:rPr>
                <w:noProof/>
              </w:rPr>
              <w:lastRenderedPageBreak/>
              <w:t>Soluții digitale</w:t>
            </w:r>
          </w:p>
          <w:p>
            <w:pPr>
              <w:spacing w:before="0" w:after="200" w:line="276" w:lineRule="auto"/>
              <w:jc w:val="left"/>
              <w:rPr>
                <w:rFonts w:eastAsiaTheme="minorHAnsi"/>
                <w:noProof/>
                <w:szCs w:val="22"/>
              </w:rPr>
            </w:pPr>
            <w:r>
              <w:rPr>
                <w:noProof/>
              </w:rPr>
              <w:t>Schimbul de informații</w:t>
            </w:r>
          </w:p>
        </w:tc>
      </w:tr>
      <w:tr>
        <w:trPr>
          <w:trHeight w:val="300"/>
        </w:trPr>
        <w:tc>
          <w:tcPr>
            <w:tcW w:w="2168" w:type="dxa"/>
            <w:vAlign w:val="center"/>
          </w:tcPr>
          <w:p>
            <w:pPr>
              <w:spacing w:before="0" w:after="200" w:line="276" w:lineRule="auto"/>
              <w:jc w:val="left"/>
              <w:rPr>
                <w:rFonts w:eastAsiaTheme="minorHAnsi"/>
                <w:noProof/>
                <w:szCs w:val="22"/>
              </w:rPr>
            </w:pPr>
            <w:r>
              <w:rPr>
                <w:noProof/>
              </w:rPr>
              <w:lastRenderedPageBreak/>
              <w:t>Art. 6</w:t>
            </w:r>
          </w:p>
        </w:tc>
        <w:tc>
          <w:tcPr>
            <w:tcW w:w="4095" w:type="dxa"/>
            <w:vAlign w:val="center"/>
          </w:tcPr>
          <w:p>
            <w:pPr>
              <w:spacing w:before="0" w:after="200" w:line="276" w:lineRule="auto"/>
              <w:jc w:val="left"/>
              <w:rPr>
                <w:rFonts w:eastAsiaTheme="minorHAnsi"/>
                <w:noProof/>
                <w:szCs w:val="22"/>
              </w:rPr>
            </w:pPr>
            <w:r>
              <w:rPr>
                <w:noProof/>
              </w:rPr>
              <w:t>Adoptarea modalităților practice necesare pentru a facilita comunicarea informațiilor referitoare la deciziile fiscale anticipate cu aplicare transfrontalieră și la acordurile prealabile privind prețul de transfer</w:t>
            </w:r>
          </w:p>
          <w:p>
            <w:pPr>
              <w:spacing w:before="0" w:after="200" w:line="276" w:lineRule="auto"/>
              <w:jc w:val="left"/>
              <w:rPr>
                <w:rFonts w:eastAsiaTheme="minorHAnsi"/>
                <w:noProof/>
                <w:szCs w:val="22"/>
              </w:rPr>
            </w:pPr>
            <w:r>
              <w:rPr>
                <w:noProof/>
              </w:rPr>
              <w:t>Furnizarea unui format electronic standardizat pentru schimbul de informații.</w:t>
            </w:r>
          </w:p>
        </w:tc>
        <w:tc>
          <w:tcPr>
            <w:tcW w:w="1985" w:type="dxa"/>
            <w:vAlign w:val="center"/>
          </w:tcPr>
          <w:p>
            <w:pPr>
              <w:spacing w:before="0" w:after="200" w:line="276" w:lineRule="auto"/>
              <w:jc w:val="left"/>
              <w:rPr>
                <w:rFonts w:eastAsiaTheme="minorHAnsi"/>
                <w:noProof/>
                <w:szCs w:val="22"/>
              </w:rPr>
            </w:pPr>
            <w:r>
              <w:rPr>
                <w:noProof/>
              </w:rPr>
              <w:t>Autoritățile competente ale statelor membre pentru schimbul de informații</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Crearea unui serviciu public digital</w:t>
            </w:r>
          </w:p>
        </w:tc>
        <w:tc>
          <w:tcPr>
            <w:tcW w:w="2161" w:type="dxa"/>
            <w:vAlign w:val="center"/>
          </w:tcPr>
          <w:p>
            <w:pPr>
              <w:spacing w:before="0" w:after="200" w:line="276" w:lineRule="auto"/>
              <w:jc w:val="left"/>
              <w:rPr>
                <w:rFonts w:eastAsiaTheme="minorHAnsi"/>
                <w:noProof/>
                <w:szCs w:val="22"/>
              </w:rPr>
            </w:pPr>
            <w:r>
              <w:rPr>
                <w:noProof/>
              </w:rPr>
              <w:t>Date</w:t>
            </w:r>
          </w:p>
          <w:p>
            <w:pPr>
              <w:spacing w:before="0" w:after="200" w:line="276" w:lineRule="auto"/>
              <w:jc w:val="left"/>
              <w:rPr>
                <w:rFonts w:eastAsiaTheme="minorHAnsi"/>
                <w:noProof/>
                <w:szCs w:val="22"/>
              </w:rPr>
            </w:pPr>
            <w:r>
              <w:rPr>
                <w:noProof/>
              </w:rPr>
              <w:t>Soluții digitale</w:t>
            </w:r>
          </w:p>
          <w:p>
            <w:pPr>
              <w:spacing w:before="0" w:after="200" w:line="276" w:lineRule="auto"/>
              <w:jc w:val="left"/>
              <w:rPr>
                <w:rFonts w:eastAsiaTheme="minorHAnsi"/>
                <w:noProof/>
                <w:szCs w:val="22"/>
              </w:rPr>
            </w:pPr>
            <w:r>
              <w:rPr>
                <w:noProof/>
              </w:rPr>
              <w:t>Schimbul de informații</w:t>
            </w:r>
          </w:p>
        </w:tc>
      </w:tr>
      <w:tr>
        <w:trPr>
          <w:trHeight w:val="300"/>
        </w:trPr>
        <w:tc>
          <w:tcPr>
            <w:tcW w:w="2168" w:type="dxa"/>
            <w:vAlign w:val="center"/>
          </w:tcPr>
          <w:p>
            <w:pPr>
              <w:spacing w:before="0" w:after="200" w:line="276" w:lineRule="auto"/>
              <w:jc w:val="left"/>
              <w:rPr>
                <w:rFonts w:eastAsiaTheme="minorHAnsi"/>
                <w:noProof/>
                <w:szCs w:val="22"/>
              </w:rPr>
            </w:pPr>
            <w:r>
              <w:rPr>
                <w:noProof/>
              </w:rPr>
              <w:t>Art. 7</w:t>
            </w:r>
          </w:p>
        </w:tc>
        <w:tc>
          <w:tcPr>
            <w:tcW w:w="4095" w:type="dxa"/>
            <w:vAlign w:val="center"/>
          </w:tcPr>
          <w:p>
            <w:pPr>
              <w:spacing w:before="0" w:after="200" w:line="276" w:lineRule="auto"/>
              <w:jc w:val="left"/>
              <w:rPr>
                <w:rFonts w:eastAsiaTheme="minorHAnsi"/>
                <w:noProof/>
                <w:szCs w:val="22"/>
              </w:rPr>
            </w:pPr>
            <w:r>
              <w:rPr>
                <w:noProof/>
              </w:rPr>
              <w:t>Adoptarea modalităților practice necesare pentru a facilita comunicarea informațiilor cu privire la rapoartele pentru fiecare țară în parte.</w:t>
            </w:r>
          </w:p>
          <w:p>
            <w:pPr>
              <w:spacing w:before="0" w:after="200" w:line="276" w:lineRule="auto"/>
              <w:jc w:val="left"/>
              <w:rPr>
                <w:rFonts w:eastAsiaTheme="minorHAnsi"/>
                <w:noProof/>
                <w:szCs w:val="22"/>
              </w:rPr>
            </w:pPr>
            <w:r>
              <w:rPr>
                <w:noProof/>
              </w:rPr>
              <w:t>Furnizarea unui format electronic standardizat pentru schimbul de informații.</w:t>
            </w:r>
          </w:p>
        </w:tc>
        <w:tc>
          <w:tcPr>
            <w:tcW w:w="1985" w:type="dxa"/>
            <w:vAlign w:val="center"/>
          </w:tcPr>
          <w:p>
            <w:pPr>
              <w:spacing w:before="0" w:after="200" w:line="276" w:lineRule="auto"/>
              <w:jc w:val="left"/>
              <w:rPr>
                <w:rFonts w:eastAsiaTheme="minorHAnsi"/>
                <w:noProof/>
                <w:szCs w:val="22"/>
              </w:rPr>
            </w:pPr>
            <w:r>
              <w:rPr>
                <w:noProof/>
              </w:rPr>
              <w:t>Autoritățile competente ale statelor membre pentru schimbul de informații</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Crearea unui serviciu public digital</w:t>
            </w:r>
          </w:p>
        </w:tc>
        <w:tc>
          <w:tcPr>
            <w:tcW w:w="2161" w:type="dxa"/>
            <w:vAlign w:val="center"/>
          </w:tcPr>
          <w:p>
            <w:pPr>
              <w:spacing w:before="0" w:after="200" w:line="276" w:lineRule="auto"/>
              <w:jc w:val="left"/>
              <w:rPr>
                <w:rFonts w:eastAsiaTheme="minorHAnsi"/>
                <w:noProof/>
                <w:szCs w:val="22"/>
              </w:rPr>
            </w:pPr>
            <w:r>
              <w:rPr>
                <w:noProof/>
              </w:rPr>
              <w:t>Date</w:t>
            </w:r>
          </w:p>
          <w:p>
            <w:pPr>
              <w:spacing w:before="0" w:after="200" w:line="276" w:lineRule="auto"/>
              <w:jc w:val="left"/>
              <w:rPr>
                <w:rFonts w:eastAsiaTheme="minorHAnsi"/>
                <w:noProof/>
                <w:szCs w:val="22"/>
              </w:rPr>
            </w:pPr>
            <w:r>
              <w:rPr>
                <w:noProof/>
              </w:rPr>
              <w:t>Soluții digitale</w:t>
            </w:r>
          </w:p>
          <w:p>
            <w:pPr>
              <w:spacing w:before="0" w:after="200" w:line="276" w:lineRule="auto"/>
              <w:jc w:val="left"/>
              <w:rPr>
                <w:rFonts w:eastAsiaTheme="minorHAnsi"/>
                <w:noProof/>
                <w:szCs w:val="22"/>
              </w:rPr>
            </w:pPr>
            <w:r>
              <w:rPr>
                <w:noProof/>
              </w:rPr>
              <w:t>Schimbul de informații</w:t>
            </w:r>
          </w:p>
        </w:tc>
      </w:tr>
      <w:tr>
        <w:trPr>
          <w:trHeight w:val="300"/>
        </w:trPr>
        <w:tc>
          <w:tcPr>
            <w:tcW w:w="2168" w:type="dxa"/>
            <w:vAlign w:val="center"/>
          </w:tcPr>
          <w:p>
            <w:pPr>
              <w:spacing w:before="0" w:after="200" w:line="276" w:lineRule="auto"/>
              <w:jc w:val="left"/>
              <w:rPr>
                <w:rFonts w:eastAsiaTheme="minorHAnsi"/>
                <w:noProof/>
                <w:szCs w:val="22"/>
              </w:rPr>
            </w:pPr>
            <w:r>
              <w:rPr>
                <w:noProof/>
              </w:rPr>
              <w:t>Art. 8</w:t>
            </w:r>
          </w:p>
        </w:tc>
        <w:tc>
          <w:tcPr>
            <w:tcW w:w="4095" w:type="dxa"/>
            <w:vAlign w:val="center"/>
          </w:tcPr>
          <w:p>
            <w:pPr>
              <w:spacing w:before="0" w:after="200" w:line="276" w:lineRule="auto"/>
              <w:jc w:val="left"/>
              <w:rPr>
                <w:rFonts w:eastAsiaTheme="minorHAnsi"/>
                <w:noProof/>
                <w:szCs w:val="22"/>
              </w:rPr>
            </w:pPr>
            <w:r>
              <w:rPr>
                <w:noProof/>
              </w:rPr>
              <w:t xml:space="preserve">Adoptarea modalităților practice necesare pentru a facilita comunicarea </w:t>
            </w:r>
            <w:r>
              <w:rPr>
                <w:noProof/>
              </w:rPr>
              <w:lastRenderedPageBreak/>
              <w:t>informațiilor referitoare la modalitățile transfrontaliere care fac obiectul raportării</w:t>
            </w:r>
          </w:p>
          <w:p>
            <w:pPr>
              <w:spacing w:before="0" w:after="200" w:line="276" w:lineRule="auto"/>
              <w:jc w:val="left"/>
              <w:rPr>
                <w:rFonts w:eastAsiaTheme="minorHAnsi"/>
                <w:noProof/>
                <w:szCs w:val="22"/>
              </w:rPr>
            </w:pPr>
            <w:r>
              <w:rPr>
                <w:noProof/>
              </w:rPr>
              <w:t>Furnizarea unui format electronic standardizat pentru schimbul de informații.</w:t>
            </w:r>
          </w:p>
        </w:tc>
        <w:tc>
          <w:tcPr>
            <w:tcW w:w="1985" w:type="dxa"/>
            <w:vAlign w:val="center"/>
          </w:tcPr>
          <w:p>
            <w:pPr>
              <w:spacing w:before="0" w:after="200" w:line="276" w:lineRule="auto"/>
              <w:jc w:val="left"/>
              <w:rPr>
                <w:rFonts w:eastAsiaTheme="minorHAnsi"/>
                <w:noProof/>
                <w:szCs w:val="22"/>
              </w:rPr>
            </w:pPr>
            <w:r>
              <w:rPr>
                <w:noProof/>
              </w:rPr>
              <w:lastRenderedPageBreak/>
              <w:t xml:space="preserve">Autoritățile competente ale </w:t>
            </w:r>
            <w:r>
              <w:rPr>
                <w:noProof/>
              </w:rPr>
              <w:lastRenderedPageBreak/>
              <w:t>statelor membre pentru schimbul de informații</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lastRenderedPageBreak/>
              <w:t xml:space="preserve">Crearea unui serviciu public </w:t>
            </w:r>
            <w:r>
              <w:rPr>
                <w:noProof/>
              </w:rPr>
              <w:lastRenderedPageBreak/>
              <w:t>digital</w:t>
            </w:r>
          </w:p>
        </w:tc>
        <w:tc>
          <w:tcPr>
            <w:tcW w:w="2161" w:type="dxa"/>
            <w:vAlign w:val="center"/>
          </w:tcPr>
          <w:p>
            <w:pPr>
              <w:spacing w:before="0" w:after="200" w:line="276" w:lineRule="auto"/>
              <w:jc w:val="left"/>
              <w:rPr>
                <w:rFonts w:eastAsiaTheme="minorHAnsi"/>
                <w:noProof/>
                <w:szCs w:val="22"/>
              </w:rPr>
            </w:pPr>
            <w:r>
              <w:rPr>
                <w:noProof/>
              </w:rPr>
              <w:lastRenderedPageBreak/>
              <w:t>Date</w:t>
            </w:r>
          </w:p>
          <w:p>
            <w:pPr>
              <w:spacing w:before="0" w:after="200" w:line="276" w:lineRule="auto"/>
              <w:jc w:val="left"/>
              <w:rPr>
                <w:rFonts w:eastAsiaTheme="minorHAnsi"/>
                <w:noProof/>
                <w:szCs w:val="22"/>
              </w:rPr>
            </w:pPr>
            <w:r>
              <w:rPr>
                <w:noProof/>
              </w:rPr>
              <w:lastRenderedPageBreak/>
              <w:t>Soluții digitale</w:t>
            </w:r>
          </w:p>
          <w:p>
            <w:pPr>
              <w:spacing w:before="0" w:after="200" w:line="276" w:lineRule="auto"/>
              <w:jc w:val="left"/>
              <w:rPr>
                <w:rFonts w:eastAsiaTheme="minorHAnsi"/>
                <w:noProof/>
                <w:szCs w:val="22"/>
              </w:rPr>
            </w:pPr>
            <w:r>
              <w:rPr>
                <w:noProof/>
              </w:rPr>
              <w:t>Schimbul de informații</w:t>
            </w:r>
          </w:p>
        </w:tc>
      </w:tr>
      <w:tr>
        <w:trPr>
          <w:trHeight w:val="300"/>
        </w:trPr>
        <w:tc>
          <w:tcPr>
            <w:tcW w:w="2168" w:type="dxa"/>
            <w:vAlign w:val="center"/>
          </w:tcPr>
          <w:p>
            <w:pPr>
              <w:spacing w:before="0" w:after="200" w:line="276" w:lineRule="auto"/>
              <w:jc w:val="left"/>
              <w:rPr>
                <w:rFonts w:eastAsiaTheme="minorHAnsi"/>
                <w:noProof/>
                <w:szCs w:val="22"/>
              </w:rPr>
            </w:pPr>
            <w:r>
              <w:rPr>
                <w:noProof/>
              </w:rPr>
              <w:lastRenderedPageBreak/>
              <w:t>Art. 9</w:t>
            </w:r>
          </w:p>
        </w:tc>
        <w:tc>
          <w:tcPr>
            <w:tcW w:w="4095" w:type="dxa"/>
            <w:vAlign w:val="center"/>
          </w:tcPr>
          <w:p>
            <w:pPr>
              <w:spacing w:before="0" w:after="200" w:line="276" w:lineRule="auto"/>
              <w:jc w:val="left"/>
              <w:rPr>
                <w:rFonts w:eastAsiaTheme="minorHAnsi"/>
                <w:noProof/>
                <w:szCs w:val="22"/>
              </w:rPr>
            </w:pPr>
            <w:r>
              <w:rPr>
                <w:noProof/>
              </w:rPr>
              <w:t>Adoptarea modalităților practice necesare pentru a facilita comunicarea informațiilor raportate de operatorii de platforme.</w:t>
            </w:r>
          </w:p>
          <w:p>
            <w:pPr>
              <w:spacing w:before="0" w:after="200" w:line="276" w:lineRule="auto"/>
              <w:jc w:val="left"/>
              <w:rPr>
                <w:rFonts w:eastAsiaTheme="minorHAnsi"/>
                <w:noProof/>
                <w:szCs w:val="22"/>
              </w:rPr>
            </w:pPr>
            <w:r>
              <w:rPr>
                <w:noProof/>
              </w:rPr>
              <w:t>Furnizarea unui format electronic standardizat pentru schimbul de informații.</w:t>
            </w:r>
          </w:p>
        </w:tc>
        <w:tc>
          <w:tcPr>
            <w:tcW w:w="1985" w:type="dxa"/>
            <w:vAlign w:val="center"/>
          </w:tcPr>
          <w:p>
            <w:pPr>
              <w:spacing w:before="0" w:after="200" w:line="276" w:lineRule="auto"/>
              <w:jc w:val="left"/>
              <w:rPr>
                <w:rFonts w:eastAsiaTheme="minorHAnsi"/>
                <w:noProof/>
                <w:szCs w:val="22"/>
              </w:rPr>
            </w:pPr>
            <w:r>
              <w:rPr>
                <w:noProof/>
              </w:rPr>
              <w:t>Autoritățile competente ale statelor membre pentru schimbul de informații</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Crearea unui serviciu public digital</w:t>
            </w:r>
          </w:p>
        </w:tc>
        <w:tc>
          <w:tcPr>
            <w:tcW w:w="2161" w:type="dxa"/>
            <w:vAlign w:val="center"/>
          </w:tcPr>
          <w:p>
            <w:pPr>
              <w:spacing w:before="0" w:after="200" w:line="276" w:lineRule="auto"/>
              <w:jc w:val="left"/>
              <w:rPr>
                <w:rFonts w:eastAsiaTheme="minorHAnsi"/>
                <w:noProof/>
                <w:szCs w:val="22"/>
              </w:rPr>
            </w:pPr>
            <w:r>
              <w:rPr>
                <w:noProof/>
              </w:rPr>
              <w:t>Date</w:t>
            </w:r>
          </w:p>
          <w:p>
            <w:pPr>
              <w:spacing w:before="0" w:after="200" w:line="276" w:lineRule="auto"/>
              <w:jc w:val="left"/>
              <w:rPr>
                <w:rFonts w:eastAsiaTheme="minorHAnsi"/>
                <w:noProof/>
                <w:szCs w:val="22"/>
              </w:rPr>
            </w:pPr>
            <w:r>
              <w:rPr>
                <w:noProof/>
              </w:rPr>
              <w:t>Soluții digitale</w:t>
            </w:r>
          </w:p>
          <w:p>
            <w:pPr>
              <w:spacing w:before="0" w:after="200" w:line="276" w:lineRule="auto"/>
              <w:jc w:val="left"/>
              <w:rPr>
                <w:rFonts w:eastAsiaTheme="minorHAnsi"/>
                <w:noProof/>
                <w:szCs w:val="22"/>
              </w:rPr>
            </w:pPr>
            <w:r>
              <w:rPr>
                <w:noProof/>
              </w:rPr>
              <w:t>Schimbul de informații</w:t>
            </w:r>
          </w:p>
        </w:tc>
      </w:tr>
      <w:tr>
        <w:trPr>
          <w:trHeight w:val="300"/>
        </w:trPr>
        <w:tc>
          <w:tcPr>
            <w:tcW w:w="2168" w:type="dxa"/>
            <w:vAlign w:val="center"/>
          </w:tcPr>
          <w:p>
            <w:pPr>
              <w:spacing w:before="0" w:after="200" w:line="276" w:lineRule="auto"/>
              <w:jc w:val="left"/>
              <w:rPr>
                <w:rFonts w:eastAsiaTheme="minorHAnsi"/>
                <w:noProof/>
                <w:szCs w:val="22"/>
              </w:rPr>
            </w:pPr>
            <w:r>
              <w:rPr>
                <w:noProof/>
              </w:rPr>
              <w:t>Art. 10</w:t>
            </w:r>
          </w:p>
        </w:tc>
        <w:tc>
          <w:tcPr>
            <w:tcW w:w="4095" w:type="dxa"/>
            <w:vAlign w:val="center"/>
          </w:tcPr>
          <w:p>
            <w:pPr>
              <w:spacing w:before="0" w:after="200" w:line="276" w:lineRule="auto"/>
              <w:jc w:val="left"/>
              <w:rPr>
                <w:rFonts w:eastAsiaTheme="minorHAnsi"/>
                <w:noProof/>
                <w:szCs w:val="22"/>
              </w:rPr>
            </w:pPr>
            <w:r>
              <w:rPr>
                <w:noProof/>
              </w:rPr>
              <w:t>Adoptarea modalităților practice necesare pentru înregistrarea și identificarea Operatorilor de Platforme care au Obligația de Raportare.</w:t>
            </w:r>
          </w:p>
        </w:tc>
        <w:tc>
          <w:tcPr>
            <w:tcW w:w="1985" w:type="dxa"/>
            <w:vAlign w:val="center"/>
          </w:tcPr>
          <w:p>
            <w:pPr>
              <w:spacing w:before="0" w:after="200" w:line="276" w:lineRule="auto"/>
              <w:jc w:val="left"/>
              <w:rPr>
                <w:rFonts w:eastAsiaTheme="minorHAnsi"/>
                <w:noProof/>
                <w:szCs w:val="22"/>
              </w:rPr>
            </w:pPr>
            <w:r>
              <w:rPr>
                <w:noProof/>
              </w:rPr>
              <w:t>Autoritățile competente ale statelor membre pentru schimbul de informații</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Crearea unui serviciu public digital</w:t>
            </w:r>
          </w:p>
        </w:tc>
        <w:tc>
          <w:tcPr>
            <w:tcW w:w="2161" w:type="dxa"/>
            <w:vAlign w:val="center"/>
          </w:tcPr>
          <w:p>
            <w:pPr>
              <w:spacing w:before="0" w:after="200" w:line="276" w:lineRule="auto"/>
              <w:jc w:val="left"/>
              <w:rPr>
                <w:rFonts w:eastAsiaTheme="minorHAnsi"/>
                <w:noProof/>
                <w:szCs w:val="22"/>
              </w:rPr>
            </w:pPr>
            <w:r>
              <w:rPr>
                <w:noProof/>
              </w:rPr>
              <w:t>Date</w:t>
            </w:r>
          </w:p>
          <w:p>
            <w:pPr>
              <w:spacing w:before="0" w:after="200" w:line="276" w:lineRule="auto"/>
              <w:jc w:val="left"/>
              <w:rPr>
                <w:rFonts w:eastAsiaTheme="minorHAnsi"/>
                <w:noProof/>
                <w:szCs w:val="22"/>
              </w:rPr>
            </w:pPr>
            <w:r>
              <w:rPr>
                <w:noProof/>
              </w:rPr>
              <w:t>Soluții digitale</w:t>
            </w:r>
          </w:p>
          <w:p>
            <w:pPr>
              <w:spacing w:before="0" w:after="200" w:line="276" w:lineRule="auto"/>
              <w:jc w:val="left"/>
              <w:rPr>
                <w:rFonts w:eastAsiaTheme="minorHAnsi"/>
                <w:noProof/>
                <w:szCs w:val="22"/>
              </w:rPr>
            </w:pPr>
            <w:r>
              <w:rPr>
                <w:noProof/>
              </w:rPr>
              <w:t>Schimbul de informații</w:t>
            </w:r>
          </w:p>
        </w:tc>
      </w:tr>
      <w:tr>
        <w:trPr>
          <w:trHeight w:val="300"/>
        </w:trPr>
        <w:tc>
          <w:tcPr>
            <w:tcW w:w="2168" w:type="dxa"/>
            <w:vAlign w:val="center"/>
          </w:tcPr>
          <w:p>
            <w:pPr>
              <w:spacing w:before="0" w:after="200" w:line="276" w:lineRule="auto"/>
              <w:jc w:val="left"/>
              <w:rPr>
                <w:rFonts w:eastAsiaTheme="minorHAnsi"/>
                <w:noProof/>
                <w:szCs w:val="22"/>
              </w:rPr>
            </w:pPr>
            <w:r>
              <w:rPr>
                <w:noProof/>
              </w:rPr>
              <w:t>Art. 12</w:t>
            </w:r>
          </w:p>
        </w:tc>
        <w:tc>
          <w:tcPr>
            <w:tcW w:w="4095" w:type="dxa"/>
            <w:vAlign w:val="center"/>
          </w:tcPr>
          <w:p>
            <w:pPr>
              <w:spacing w:before="0" w:after="200" w:line="276" w:lineRule="auto"/>
              <w:jc w:val="left"/>
              <w:rPr>
                <w:rFonts w:eastAsiaTheme="minorHAnsi"/>
                <w:noProof/>
                <w:szCs w:val="22"/>
              </w:rPr>
            </w:pPr>
            <w:r>
              <w:rPr>
                <w:noProof/>
              </w:rPr>
              <w:t xml:space="preserve">Adoptarea modalităților practice necesare pentru a facilita comunicarea </w:t>
            </w:r>
            <w:r>
              <w:rPr>
                <w:noProof/>
              </w:rPr>
              <w:lastRenderedPageBreak/>
              <w:t>informațiilor raportate de Furnizorii de Servicii de Criptoactive Raportori.</w:t>
            </w:r>
          </w:p>
          <w:p>
            <w:pPr>
              <w:spacing w:before="0" w:after="200" w:line="276" w:lineRule="auto"/>
              <w:jc w:val="left"/>
              <w:rPr>
                <w:rFonts w:eastAsiaTheme="minorHAnsi"/>
                <w:noProof/>
                <w:szCs w:val="22"/>
              </w:rPr>
            </w:pPr>
            <w:r>
              <w:rPr>
                <w:noProof/>
              </w:rPr>
              <w:t>Furnizarea unui format electronic standardizat pentru schimbul de informații.</w:t>
            </w:r>
          </w:p>
        </w:tc>
        <w:tc>
          <w:tcPr>
            <w:tcW w:w="1985" w:type="dxa"/>
            <w:vAlign w:val="center"/>
          </w:tcPr>
          <w:p>
            <w:pPr>
              <w:spacing w:before="0" w:after="200" w:line="276" w:lineRule="auto"/>
              <w:jc w:val="left"/>
              <w:rPr>
                <w:rFonts w:eastAsiaTheme="minorHAnsi"/>
                <w:noProof/>
                <w:szCs w:val="22"/>
              </w:rPr>
            </w:pPr>
            <w:r>
              <w:rPr>
                <w:noProof/>
              </w:rPr>
              <w:lastRenderedPageBreak/>
              <w:t xml:space="preserve">Autoritățile competente ale </w:t>
            </w:r>
            <w:r>
              <w:rPr>
                <w:noProof/>
              </w:rPr>
              <w:lastRenderedPageBreak/>
              <w:t>statelor membre pentru schimbul de informații</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lastRenderedPageBreak/>
              <w:t xml:space="preserve">Crearea unui serviciu public </w:t>
            </w:r>
            <w:r>
              <w:rPr>
                <w:noProof/>
              </w:rPr>
              <w:lastRenderedPageBreak/>
              <w:t>digital</w:t>
            </w:r>
          </w:p>
        </w:tc>
        <w:tc>
          <w:tcPr>
            <w:tcW w:w="2161" w:type="dxa"/>
            <w:vAlign w:val="center"/>
          </w:tcPr>
          <w:p>
            <w:pPr>
              <w:spacing w:before="0" w:after="200" w:line="276" w:lineRule="auto"/>
              <w:jc w:val="left"/>
              <w:rPr>
                <w:rFonts w:eastAsiaTheme="minorHAnsi"/>
                <w:noProof/>
                <w:szCs w:val="22"/>
              </w:rPr>
            </w:pPr>
            <w:r>
              <w:rPr>
                <w:noProof/>
              </w:rPr>
              <w:lastRenderedPageBreak/>
              <w:t>Date</w:t>
            </w:r>
          </w:p>
          <w:p>
            <w:pPr>
              <w:spacing w:before="0" w:after="200" w:line="276" w:lineRule="auto"/>
              <w:jc w:val="left"/>
              <w:rPr>
                <w:rFonts w:eastAsiaTheme="minorHAnsi"/>
                <w:noProof/>
                <w:szCs w:val="22"/>
              </w:rPr>
            </w:pPr>
            <w:r>
              <w:rPr>
                <w:noProof/>
              </w:rPr>
              <w:lastRenderedPageBreak/>
              <w:t>Soluții digitale</w:t>
            </w:r>
          </w:p>
          <w:p>
            <w:pPr>
              <w:spacing w:before="0" w:after="200" w:line="276" w:lineRule="auto"/>
              <w:jc w:val="left"/>
              <w:rPr>
                <w:rFonts w:eastAsiaTheme="minorHAnsi"/>
                <w:noProof/>
                <w:szCs w:val="22"/>
              </w:rPr>
            </w:pPr>
            <w:r>
              <w:rPr>
                <w:noProof/>
              </w:rPr>
              <w:t>Schimbul de informații</w:t>
            </w:r>
          </w:p>
        </w:tc>
      </w:tr>
      <w:tr>
        <w:trPr>
          <w:trHeight w:val="300"/>
        </w:trPr>
        <w:tc>
          <w:tcPr>
            <w:tcW w:w="2168" w:type="dxa"/>
            <w:vAlign w:val="center"/>
          </w:tcPr>
          <w:p>
            <w:pPr>
              <w:spacing w:before="0" w:after="200" w:line="276" w:lineRule="auto"/>
              <w:jc w:val="left"/>
              <w:rPr>
                <w:rFonts w:eastAsiaTheme="minorHAnsi"/>
                <w:noProof/>
                <w:szCs w:val="22"/>
              </w:rPr>
            </w:pPr>
            <w:r>
              <w:rPr>
                <w:noProof/>
              </w:rPr>
              <w:lastRenderedPageBreak/>
              <w:t>Art. 13</w:t>
            </w:r>
          </w:p>
        </w:tc>
        <w:tc>
          <w:tcPr>
            <w:tcW w:w="4095" w:type="dxa"/>
            <w:vAlign w:val="center"/>
          </w:tcPr>
          <w:p>
            <w:pPr>
              <w:spacing w:before="0" w:after="200" w:line="276" w:lineRule="auto"/>
              <w:jc w:val="left"/>
              <w:rPr>
                <w:rFonts w:eastAsiaTheme="minorHAnsi"/>
                <w:noProof/>
                <w:szCs w:val="22"/>
              </w:rPr>
            </w:pPr>
            <w:r>
              <w:rPr>
                <w:noProof/>
              </w:rPr>
              <w:t>Adoptarea modalităților practice necesare pentru a facilita comunicarea informațiilor raportate de Furnizorii de Servicii de Criptoactive Raportori. Instituirea unui registru pentru a permite operatorilor de criptoactive care nu intră în domeniul de aplicare al Regulamentului (UE) 2023/1114 (Directiva privind piețele criptoactivelor) să se înregistreze într-un singur stat membru pentru a-și respecta obligațiile de raportare.</w:t>
            </w:r>
          </w:p>
        </w:tc>
        <w:tc>
          <w:tcPr>
            <w:tcW w:w="1985" w:type="dxa"/>
            <w:vAlign w:val="center"/>
          </w:tcPr>
          <w:p>
            <w:pPr>
              <w:spacing w:before="0" w:after="200" w:line="276" w:lineRule="auto"/>
              <w:jc w:val="left"/>
              <w:rPr>
                <w:rFonts w:eastAsiaTheme="minorHAnsi"/>
                <w:noProof/>
                <w:szCs w:val="22"/>
              </w:rPr>
            </w:pPr>
            <w:r>
              <w:rPr>
                <w:noProof/>
              </w:rPr>
              <w:t>Autoritățile competente ale statelor membre pentru schimbul de informații</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Crearea unui serviciu public digital</w:t>
            </w:r>
          </w:p>
        </w:tc>
        <w:tc>
          <w:tcPr>
            <w:tcW w:w="2161" w:type="dxa"/>
            <w:vAlign w:val="center"/>
          </w:tcPr>
          <w:p>
            <w:pPr>
              <w:spacing w:before="0" w:after="200" w:line="276" w:lineRule="auto"/>
              <w:jc w:val="left"/>
              <w:rPr>
                <w:rFonts w:eastAsiaTheme="minorHAnsi"/>
                <w:noProof/>
                <w:szCs w:val="22"/>
              </w:rPr>
            </w:pPr>
            <w:r>
              <w:rPr>
                <w:noProof/>
              </w:rPr>
              <w:t>Date</w:t>
            </w:r>
          </w:p>
          <w:p>
            <w:pPr>
              <w:spacing w:before="0" w:after="200" w:line="276" w:lineRule="auto"/>
              <w:jc w:val="left"/>
              <w:rPr>
                <w:rFonts w:eastAsiaTheme="minorHAnsi"/>
                <w:noProof/>
                <w:szCs w:val="22"/>
              </w:rPr>
            </w:pPr>
            <w:r>
              <w:rPr>
                <w:noProof/>
              </w:rPr>
              <w:t>Soluții digitale</w:t>
            </w:r>
          </w:p>
          <w:p>
            <w:pPr>
              <w:spacing w:before="0" w:after="200" w:line="276" w:lineRule="auto"/>
              <w:jc w:val="left"/>
              <w:rPr>
                <w:rFonts w:eastAsiaTheme="minorHAnsi"/>
                <w:noProof/>
                <w:szCs w:val="22"/>
              </w:rPr>
            </w:pPr>
            <w:r>
              <w:rPr>
                <w:noProof/>
              </w:rPr>
              <w:t>Schimbul de informații</w:t>
            </w:r>
          </w:p>
        </w:tc>
      </w:tr>
      <w:tr>
        <w:trPr>
          <w:trHeight w:val="300"/>
        </w:trPr>
        <w:tc>
          <w:tcPr>
            <w:tcW w:w="2168" w:type="dxa"/>
            <w:vAlign w:val="center"/>
          </w:tcPr>
          <w:p>
            <w:pPr>
              <w:spacing w:before="0" w:after="200" w:line="276" w:lineRule="auto"/>
              <w:jc w:val="left"/>
              <w:rPr>
                <w:rFonts w:eastAsiaTheme="minorHAnsi"/>
                <w:noProof/>
                <w:szCs w:val="22"/>
              </w:rPr>
            </w:pPr>
            <w:r>
              <w:rPr>
                <w:noProof/>
              </w:rPr>
              <w:t>Art. 15</w:t>
            </w:r>
          </w:p>
        </w:tc>
        <w:tc>
          <w:tcPr>
            <w:tcW w:w="4095" w:type="dxa"/>
            <w:vAlign w:val="center"/>
          </w:tcPr>
          <w:p>
            <w:pPr>
              <w:spacing w:before="0" w:after="200" w:line="276" w:lineRule="auto"/>
              <w:jc w:val="left"/>
              <w:rPr>
                <w:rFonts w:eastAsiaTheme="minorHAnsi"/>
                <w:noProof/>
                <w:szCs w:val="22"/>
              </w:rPr>
            </w:pPr>
            <w:r>
              <w:rPr>
                <w:noProof/>
              </w:rPr>
              <w:t>Adoptarea modalităților practice necesare pentru a facilita comunicarea informațiilor cu privire la Declarațiile privind impozitul suplimentar în temeiul articolului 44 din Directiva (UE) 2022/2523</w:t>
            </w:r>
          </w:p>
          <w:p>
            <w:pPr>
              <w:spacing w:before="0" w:after="200" w:line="276" w:lineRule="auto"/>
              <w:jc w:val="left"/>
              <w:rPr>
                <w:rFonts w:eastAsiaTheme="minorHAnsi"/>
                <w:noProof/>
                <w:szCs w:val="22"/>
              </w:rPr>
            </w:pPr>
            <w:r>
              <w:rPr>
                <w:noProof/>
              </w:rPr>
              <w:t xml:space="preserve">Furnizarea unui format electronic </w:t>
            </w:r>
            <w:r>
              <w:rPr>
                <w:noProof/>
              </w:rPr>
              <w:lastRenderedPageBreak/>
              <w:t>standardizat pentru schimbul de informații.</w:t>
            </w:r>
          </w:p>
        </w:tc>
        <w:tc>
          <w:tcPr>
            <w:tcW w:w="1985" w:type="dxa"/>
            <w:vAlign w:val="center"/>
          </w:tcPr>
          <w:p>
            <w:pPr>
              <w:spacing w:before="0" w:after="200" w:line="276" w:lineRule="auto"/>
              <w:jc w:val="left"/>
              <w:rPr>
                <w:rFonts w:eastAsiaTheme="minorHAnsi"/>
                <w:noProof/>
                <w:szCs w:val="22"/>
              </w:rPr>
            </w:pPr>
            <w:r>
              <w:rPr>
                <w:noProof/>
              </w:rPr>
              <w:lastRenderedPageBreak/>
              <w:t>Autoritățile competente ale statelor membre pentru schimbul de informații</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lastRenderedPageBreak/>
              <w:t>Crearea unui serviciu public digital</w:t>
            </w:r>
          </w:p>
        </w:tc>
        <w:tc>
          <w:tcPr>
            <w:tcW w:w="2161" w:type="dxa"/>
            <w:vAlign w:val="center"/>
          </w:tcPr>
          <w:p>
            <w:pPr>
              <w:spacing w:before="0" w:after="200" w:line="276" w:lineRule="auto"/>
              <w:jc w:val="left"/>
              <w:rPr>
                <w:rFonts w:eastAsiaTheme="minorHAnsi"/>
                <w:noProof/>
                <w:szCs w:val="22"/>
              </w:rPr>
            </w:pPr>
            <w:r>
              <w:rPr>
                <w:noProof/>
              </w:rPr>
              <w:t>Date</w:t>
            </w:r>
          </w:p>
          <w:p>
            <w:pPr>
              <w:spacing w:before="0" w:after="200" w:line="276" w:lineRule="auto"/>
              <w:jc w:val="left"/>
              <w:rPr>
                <w:rFonts w:eastAsiaTheme="minorHAnsi"/>
                <w:noProof/>
                <w:szCs w:val="22"/>
              </w:rPr>
            </w:pPr>
            <w:r>
              <w:rPr>
                <w:noProof/>
              </w:rPr>
              <w:t>Soluții digitale</w:t>
            </w:r>
          </w:p>
          <w:p>
            <w:pPr>
              <w:spacing w:before="0" w:after="200" w:line="276" w:lineRule="auto"/>
              <w:jc w:val="left"/>
              <w:rPr>
                <w:rFonts w:eastAsiaTheme="minorHAnsi"/>
                <w:noProof/>
                <w:szCs w:val="22"/>
              </w:rPr>
            </w:pPr>
            <w:r>
              <w:rPr>
                <w:noProof/>
              </w:rPr>
              <w:t>Schimbul de informații</w:t>
            </w:r>
          </w:p>
        </w:tc>
      </w:tr>
      <w:tr>
        <w:trPr>
          <w:trHeight w:val="3249"/>
        </w:trPr>
        <w:tc>
          <w:tcPr>
            <w:tcW w:w="2168" w:type="dxa"/>
            <w:vAlign w:val="center"/>
          </w:tcPr>
          <w:p>
            <w:pPr>
              <w:spacing w:before="0" w:after="200" w:line="276" w:lineRule="auto"/>
              <w:jc w:val="left"/>
              <w:rPr>
                <w:rFonts w:eastAsiaTheme="minorHAnsi"/>
                <w:noProof/>
                <w:szCs w:val="22"/>
              </w:rPr>
            </w:pPr>
            <w:r>
              <w:rPr>
                <w:noProof/>
              </w:rPr>
              <w:t>Art. 16</w:t>
            </w:r>
          </w:p>
        </w:tc>
        <w:tc>
          <w:tcPr>
            <w:tcW w:w="4095" w:type="dxa"/>
            <w:vAlign w:val="center"/>
          </w:tcPr>
          <w:p>
            <w:pPr>
              <w:spacing w:before="0" w:after="200" w:line="276" w:lineRule="auto"/>
              <w:jc w:val="left"/>
              <w:rPr>
                <w:rFonts w:eastAsiaTheme="minorHAnsi"/>
                <w:noProof/>
                <w:szCs w:val="22"/>
              </w:rPr>
            </w:pPr>
            <w:r>
              <w:rPr>
                <w:noProof/>
              </w:rPr>
              <w:t>Adoptarea modalităților practice necesare pentru a facilita comunicarea informațiilor cu privire la notificările raportării pentru fiecare țară în parte, ale declarațiilor privind impozitul suplimentar și ale schimbului de informații în temeiul articolului 44 din Directiva (UE) 2022/2523</w:t>
            </w:r>
          </w:p>
          <w:p>
            <w:pPr>
              <w:spacing w:before="0" w:after="200" w:line="276" w:lineRule="auto"/>
              <w:jc w:val="left"/>
              <w:rPr>
                <w:rFonts w:eastAsiaTheme="minorHAnsi"/>
                <w:noProof/>
                <w:szCs w:val="22"/>
              </w:rPr>
            </w:pPr>
            <w:r>
              <w:rPr>
                <w:noProof/>
              </w:rPr>
              <w:t>Furnizarea unui format electronic standardizat pentru schimbul de informații.</w:t>
            </w:r>
          </w:p>
        </w:tc>
        <w:tc>
          <w:tcPr>
            <w:tcW w:w="1985" w:type="dxa"/>
            <w:vAlign w:val="center"/>
          </w:tcPr>
          <w:p>
            <w:pPr>
              <w:spacing w:before="0" w:after="200" w:line="276" w:lineRule="auto"/>
              <w:jc w:val="left"/>
              <w:rPr>
                <w:rFonts w:eastAsiaTheme="minorHAnsi"/>
                <w:noProof/>
                <w:szCs w:val="22"/>
              </w:rPr>
            </w:pPr>
            <w:r>
              <w:rPr>
                <w:noProof/>
              </w:rPr>
              <w:t>Autoritățile competente ale statelor membre pentru schimbul de informații</w:t>
            </w: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Crearea unui serviciu public digital</w:t>
            </w:r>
          </w:p>
        </w:tc>
        <w:tc>
          <w:tcPr>
            <w:tcW w:w="2161" w:type="dxa"/>
            <w:vAlign w:val="center"/>
          </w:tcPr>
          <w:p>
            <w:pPr>
              <w:spacing w:before="0" w:after="200" w:line="276" w:lineRule="auto"/>
              <w:jc w:val="left"/>
              <w:rPr>
                <w:rFonts w:eastAsiaTheme="minorHAnsi"/>
                <w:noProof/>
                <w:szCs w:val="22"/>
              </w:rPr>
            </w:pPr>
            <w:r>
              <w:rPr>
                <w:noProof/>
              </w:rPr>
              <w:t>Date</w:t>
            </w:r>
          </w:p>
          <w:p>
            <w:pPr>
              <w:spacing w:before="0" w:after="200" w:line="276" w:lineRule="auto"/>
              <w:jc w:val="left"/>
              <w:rPr>
                <w:rFonts w:eastAsiaTheme="minorHAnsi"/>
                <w:noProof/>
                <w:szCs w:val="22"/>
              </w:rPr>
            </w:pPr>
            <w:r>
              <w:rPr>
                <w:noProof/>
              </w:rPr>
              <w:t>Soluții digitale</w:t>
            </w:r>
          </w:p>
          <w:p>
            <w:pPr>
              <w:spacing w:before="0" w:after="200" w:line="276" w:lineRule="auto"/>
              <w:jc w:val="left"/>
              <w:rPr>
                <w:rFonts w:eastAsiaTheme="minorHAnsi"/>
                <w:noProof/>
                <w:szCs w:val="22"/>
              </w:rPr>
            </w:pPr>
            <w:r>
              <w:rPr>
                <w:noProof/>
              </w:rPr>
              <w:t>Schimbul de informații</w:t>
            </w:r>
          </w:p>
        </w:tc>
      </w:tr>
      <w:tr>
        <w:trPr>
          <w:trHeight w:val="3249"/>
        </w:trPr>
        <w:tc>
          <w:tcPr>
            <w:tcW w:w="2168" w:type="dxa"/>
            <w:vAlign w:val="center"/>
          </w:tcPr>
          <w:p>
            <w:pPr>
              <w:spacing w:before="0" w:after="200" w:line="276" w:lineRule="auto"/>
              <w:jc w:val="left"/>
              <w:rPr>
                <w:rFonts w:eastAsiaTheme="minorHAnsi"/>
                <w:noProof/>
                <w:szCs w:val="22"/>
              </w:rPr>
            </w:pPr>
            <w:r>
              <w:rPr>
                <w:noProof/>
              </w:rPr>
              <w:t>Art. 36</w:t>
            </w:r>
          </w:p>
        </w:tc>
        <w:tc>
          <w:tcPr>
            <w:tcW w:w="4095" w:type="dxa"/>
            <w:vAlign w:val="center"/>
          </w:tcPr>
          <w:p>
            <w:pPr>
              <w:spacing w:before="0" w:after="200" w:line="276" w:lineRule="auto"/>
              <w:jc w:val="left"/>
              <w:rPr>
                <w:rFonts w:eastAsiaTheme="minorHAnsi"/>
                <w:noProof/>
                <w:szCs w:val="22"/>
              </w:rPr>
            </w:pPr>
            <w:r>
              <w:rPr>
                <w:noProof/>
              </w:rPr>
              <w:t>Adoptarea modalităților practice necesare pentru a facilita verificarea digitală și automatizată a valabilității unui NIF furnizat de o entitate raportoare sau de un contribuabil</w:t>
            </w:r>
          </w:p>
        </w:tc>
        <w:tc>
          <w:tcPr>
            <w:tcW w:w="1985" w:type="dxa"/>
            <w:vAlign w:val="center"/>
          </w:tcPr>
          <w:p>
            <w:pPr>
              <w:spacing w:before="0" w:after="200" w:line="276" w:lineRule="auto"/>
              <w:jc w:val="left"/>
              <w:rPr>
                <w:rFonts w:eastAsiaTheme="minorHAnsi"/>
                <w:noProof/>
                <w:szCs w:val="22"/>
              </w:rPr>
            </w:pPr>
            <w:r>
              <w:rPr>
                <w:noProof/>
              </w:rPr>
              <w:t>Autoritățile competente ale statelor membre pentru schimbul de informații</w:t>
            </w:r>
          </w:p>
          <w:p>
            <w:pPr>
              <w:spacing w:before="0" w:after="200" w:line="276" w:lineRule="auto"/>
              <w:jc w:val="left"/>
              <w:rPr>
                <w:rFonts w:eastAsiaTheme="minorHAnsi"/>
                <w:noProof/>
                <w:szCs w:val="22"/>
                <w:lang w:eastAsia="en-US"/>
              </w:rPr>
            </w:pPr>
          </w:p>
        </w:tc>
        <w:tc>
          <w:tcPr>
            <w:tcW w:w="1841" w:type="dxa"/>
            <w:vAlign w:val="center"/>
          </w:tcPr>
          <w:p>
            <w:pPr>
              <w:spacing w:before="0" w:after="200" w:line="276" w:lineRule="auto"/>
              <w:jc w:val="left"/>
              <w:rPr>
                <w:rFonts w:eastAsiaTheme="minorHAnsi"/>
                <w:noProof/>
                <w:szCs w:val="22"/>
              </w:rPr>
            </w:pPr>
            <w:r>
              <w:rPr>
                <w:noProof/>
              </w:rPr>
              <w:t>Crearea unui serviciu public digital</w:t>
            </w:r>
          </w:p>
        </w:tc>
        <w:tc>
          <w:tcPr>
            <w:tcW w:w="2161" w:type="dxa"/>
            <w:vAlign w:val="center"/>
          </w:tcPr>
          <w:p>
            <w:pPr>
              <w:spacing w:before="0" w:after="200" w:line="276" w:lineRule="auto"/>
              <w:jc w:val="left"/>
              <w:rPr>
                <w:rFonts w:eastAsiaTheme="minorHAnsi"/>
                <w:noProof/>
                <w:szCs w:val="22"/>
              </w:rPr>
            </w:pPr>
            <w:r>
              <w:rPr>
                <w:noProof/>
              </w:rPr>
              <w:t>Date</w:t>
            </w:r>
          </w:p>
          <w:p>
            <w:pPr>
              <w:spacing w:before="0" w:after="200" w:line="276" w:lineRule="auto"/>
              <w:jc w:val="left"/>
              <w:rPr>
                <w:rFonts w:eastAsiaTheme="minorHAnsi"/>
                <w:noProof/>
                <w:szCs w:val="22"/>
              </w:rPr>
            </w:pPr>
            <w:r>
              <w:rPr>
                <w:noProof/>
              </w:rPr>
              <w:t>Soluții digitale</w:t>
            </w:r>
          </w:p>
          <w:p>
            <w:pPr>
              <w:spacing w:before="0" w:after="200" w:line="276" w:lineRule="auto"/>
              <w:jc w:val="left"/>
              <w:rPr>
                <w:rFonts w:eastAsiaTheme="minorHAnsi"/>
                <w:noProof/>
                <w:szCs w:val="22"/>
              </w:rPr>
            </w:pPr>
            <w:r>
              <w:rPr>
                <w:noProof/>
              </w:rPr>
              <w:t>Schimbul de informații</w:t>
            </w:r>
          </w:p>
        </w:tc>
      </w:tr>
    </w:tbl>
    <w:p>
      <w:pPr>
        <w:spacing w:before="0" w:after="200" w:line="276" w:lineRule="auto"/>
        <w:jc w:val="left"/>
        <w:rPr>
          <w:noProof/>
        </w:rPr>
      </w:pPr>
    </w:p>
    <w:p>
      <w:pPr>
        <w:tabs>
          <w:tab w:val="left" w:pos="850"/>
        </w:tabs>
        <w:spacing w:before="0" w:after="200" w:line="276" w:lineRule="auto"/>
        <w:ind w:left="850"/>
        <w:jc w:val="left"/>
        <w:rPr>
          <w:b/>
          <w:noProof/>
        </w:rPr>
      </w:pPr>
      <w:bookmarkStart w:id="237" w:name="_Toc167220303"/>
      <w:bookmarkStart w:id="238" w:name="_Toc177549038"/>
      <w:r>
        <w:rPr>
          <w:b/>
          <w:noProof/>
        </w:rPr>
        <w:t>4.2.</w:t>
      </w:r>
      <w:r>
        <w:rPr>
          <w:noProof/>
        </w:rPr>
        <w:tab/>
      </w:r>
      <w:r>
        <w:rPr>
          <w:b/>
          <w:noProof/>
        </w:rPr>
        <w:t>Date</w:t>
      </w:r>
      <w:bookmarkEnd w:id="237"/>
      <w:bookmarkEnd w:id="238"/>
    </w:p>
    <w:tbl>
      <w:tblPr>
        <w:tblStyle w:val="TableGrid"/>
        <w:tblW w:w="14250" w:type="dxa"/>
        <w:tblLook w:val="04A0" w:firstRow="1" w:lastRow="0" w:firstColumn="1" w:lastColumn="0" w:noHBand="0" w:noVBand="1"/>
      </w:tblPr>
      <w:tblGrid>
        <w:gridCol w:w="5240"/>
        <w:gridCol w:w="3686"/>
        <w:gridCol w:w="5324"/>
      </w:tblGrid>
      <w:tr>
        <w:tc>
          <w:tcPr>
            <w:tcW w:w="5240" w:type="dxa"/>
          </w:tcPr>
          <w:p>
            <w:pPr>
              <w:spacing w:before="0" w:after="200" w:line="276" w:lineRule="auto"/>
              <w:jc w:val="left"/>
              <w:rPr>
                <w:rFonts w:eastAsiaTheme="minorHAnsi"/>
                <w:b/>
                <w:bCs/>
                <w:noProof/>
                <w:szCs w:val="22"/>
              </w:rPr>
            </w:pPr>
            <w:r>
              <w:rPr>
                <w:b/>
                <w:noProof/>
              </w:rPr>
              <w:lastRenderedPageBreak/>
              <w:t>Tipul de date</w:t>
            </w:r>
          </w:p>
        </w:tc>
        <w:tc>
          <w:tcPr>
            <w:tcW w:w="3686" w:type="dxa"/>
          </w:tcPr>
          <w:p>
            <w:pPr>
              <w:spacing w:before="0" w:after="200" w:line="276" w:lineRule="auto"/>
              <w:jc w:val="left"/>
              <w:rPr>
                <w:rFonts w:eastAsiaTheme="minorHAnsi"/>
                <w:b/>
                <w:bCs/>
                <w:noProof/>
                <w:szCs w:val="22"/>
              </w:rPr>
            </w:pPr>
            <w:r>
              <w:rPr>
                <w:b/>
                <w:noProof/>
              </w:rPr>
              <w:t>Referința (referințele) cerinței</w:t>
            </w:r>
          </w:p>
        </w:tc>
        <w:tc>
          <w:tcPr>
            <w:tcW w:w="5324" w:type="dxa"/>
          </w:tcPr>
          <w:p>
            <w:pPr>
              <w:spacing w:before="0" w:after="200" w:line="276" w:lineRule="auto"/>
              <w:jc w:val="left"/>
              <w:rPr>
                <w:rFonts w:eastAsiaTheme="minorHAnsi"/>
                <w:b/>
                <w:bCs/>
                <w:noProof/>
                <w:szCs w:val="22"/>
              </w:rPr>
            </w:pPr>
            <w:r>
              <w:rPr>
                <w:b/>
                <w:noProof/>
              </w:rPr>
              <w:t>Standard și/sau specificație (dacă este cazul)</w:t>
            </w:r>
          </w:p>
        </w:tc>
      </w:tr>
      <w:tr>
        <w:tc>
          <w:tcPr>
            <w:tcW w:w="5240" w:type="dxa"/>
          </w:tcPr>
          <w:p>
            <w:pPr>
              <w:spacing w:before="0" w:after="200" w:line="276" w:lineRule="auto"/>
              <w:jc w:val="left"/>
              <w:rPr>
                <w:rFonts w:eastAsiaTheme="minorHAnsi"/>
                <w:noProof/>
                <w:szCs w:val="22"/>
              </w:rPr>
            </w:pPr>
            <w:r>
              <w:rPr>
                <w:noProof/>
              </w:rPr>
              <w:t>Informații fiscale privind veniturile din muncă, remunerațiile și alte beneficii plătite administratorilor și altor persoane asimilate acestora, pensiile, proprietatea asupra bunurilor imobile și veniturile din bunuri imobile, redevențele și dividendele vărsate prin intermediul unor conturi altele decât cele de custodie</w:t>
            </w:r>
          </w:p>
        </w:tc>
        <w:tc>
          <w:tcPr>
            <w:tcW w:w="3686" w:type="dxa"/>
          </w:tcPr>
          <w:p>
            <w:pPr>
              <w:spacing w:before="0" w:after="200" w:line="276" w:lineRule="auto"/>
              <w:jc w:val="left"/>
              <w:rPr>
                <w:rFonts w:eastAsiaTheme="minorHAnsi"/>
                <w:noProof/>
                <w:szCs w:val="22"/>
              </w:rPr>
            </w:pPr>
            <w:r>
              <w:rPr>
                <w:noProof/>
              </w:rPr>
              <w:t>Art. 4</w:t>
            </w:r>
          </w:p>
        </w:tc>
        <w:tc>
          <w:tcPr>
            <w:tcW w:w="5324" w:type="dxa"/>
          </w:tcPr>
          <w:p>
            <w:pPr>
              <w:spacing w:before="0" w:after="200" w:line="276" w:lineRule="auto"/>
              <w:jc w:val="left"/>
              <w:rPr>
                <w:rFonts w:eastAsiaTheme="minorHAnsi"/>
                <w:noProof/>
                <w:szCs w:val="22"/>
              </w:rPr>
            </w:pPr>
            <w:r>
              <w:rPr>
                <w:noProof/>
              </w:rPr>
              <w:t>Specificațiile datelor în conformitate cu articolul 4 alineatul (1) Formatul XML este utilizat ca standard comun pentru schimb.</w:t>
            </w:r>
          </w:p>
        </w:tc>
      </w:tr>
      <w:tr>
        <w:tc>
          <w:tcPr>
            <w:tcW w:w="5240" w:type="dxa"/>
          </w:tcPr>
          <w:p>
            <w:pPr>
              <w:spacing w:before="0" w:after="200" w:line="276" w:lineRule="auto"/>
              <w:jc w:val="left"/>
              <w:rPr>
                <w:rFonts w:eastAsiaTheme="minorHAnsi"/>
                <w:noProof/>
                <w:szCs w:val="22"/>
              </w:rPr>
            </w:pPr>
            <w:r>
              <w:rPr>
                <w:noProof/>
              </w:rPr>
              <w:t>Informații fiscale din datele financiare raportate de instituțiile financiare din fiecare stat membru.</w:t>
            </w:r>
          </w:p>
        </w:tc>
        <w:tc>
          <w:tcPr>
            <w:tcW w:w="3686" w:type="dxa"/>
          </w:tcPr>
          <w:p>
            <w:pPr>
              <w:spacing w:before="0" w:after="200" w:line="276" w:lineRule="auto"/>
              <w:jc w:val="left"/>
              <w:rPr>
                <w:rFonts w:eastAsiaTheme="minorHAnsi"/>
                <w:noProof/>
                <w:szCs w:val="22"/>
              </w:rPr>
            </w:pPr>
            <w:r>
              <w:rPr>
                <w:noProof/>
              </w:rPr>
              <w:t>Art. 5</w:t>
            </w:r>
          </w:p>
        </w:tc>
        <w:tc>
          <w:tcPr>
            <w:tcW w:w="5324" w:type="dxa"/>
          </w:tcPr>
          <w:p>
            <w:pPr>
              <w:spacing w:before="0" w:after="200" w:line="276" w:lineRule="auto"/>
              <w:jc w:val="left"/>
              <w:rPr>
                <w:rFonts w:eastAsiaTheme="minorHAnsi"/>
                <w:noProof/>
                <w:szCs w:val="22"/>
              </w:rPr>
            </w:pPr>
            <w:r>
              <w:rPr>
                <w:noProof/>
              </w:rPr>
              <w:t>Specificațiile datelor în conformitate cu articolul 5 alineatul (1) Formatul standardizat comun prevăzut în anexele I și II la directiva reformată. Formatul XML este utilizat ca standard comun pentru schimb.</w:t>
            </w:r>
          </w:p>
        </w:tc>
      </w:tr>
      <w:tr>
        <w:tc>
          <w:tcPr>
            <w:tcW w:w="5240" w:type="dxa"/>
          </w:tcPr>
          <w:p>
            <w:pPr>
              <w:spacing w:before="0" w:after="200" w:line="276" w:lineRule="auto"/>
              <w:jc w:val="left"/>
              <w:rPr>
                <w:rFonts w:eastAsiaTheme="minorHAnsi"/>
                <w:noProof/>
                <w:szCs w:val="22"/>
              </w:rPr>
            </w:pPr>
            <w:r>
              <w:rPr>
                <w:noProof/>
              </w:rPr>
              <w:t>Informații fiscale privind deciziile fiscale anticipate cu aplicare transfrontalieră și acordurile prealabile privind prețul de transfer</w:t>
            </w:r>
          </w:p>
        </w:tc>
        <w:tc>
          <w:tcPr>
            <w:tcW w:w="3686" w:type="dxa"/>
          </w:tcPr>
          <w:p>
            <w:pPr>
              <w:spacing w:before="0" w:after="200" w:line="276" w:lineRule="auto"/>
              <w:jc w:val="left"/>
              <w:rPr>
                <w:rFonts w:eastAsiaTheme="minorHAnsi"/>
                <w:noProof/>
                <w:szCs w:val="22"/>
              </w:rPr>
            </w:pPr>
            <w:r>
              <w:rPr>
                <w:noProof/>
              </w:rPr>
              <w:t>Art. 6</w:t>
            </w:r>
          </w:p>
        </w:tc>
        <w:tc>
          <w:tcPr>
            <w:tcW w:w="5324" w:type="dxa"/>
          </w:tcPr>
          <w:p>
            <w:pPr>
              <w:spacing w:before="0" w:after="200" w:line="276" w:lineRule="auto"/>
              <w:jc w:val="left"/>
              <w:rPr>
                <w:rFonts w:eastAsiaTheme="minorHAnsi"/>
                <w:noProof/>
                <w:szCs w:val="22"/>
              </w:rPr>
            </w:pPr>
            <w:r>
              <w:rPr>
                <w:noProof/>
              </w:rPr>
              <w:t>Specificațiile datelor în conformitate cu articolul 6 alineatul (5) Formatul XML este utilizat ca standard comun pentru schimb.</w:t>
            </w:r>
          </w:p>
        </w:tc>
      </w:tr>
      <w:tr>
        <w:tc>
          <w:tcPr>
            <w:tcW w:w="5240" w:type="dxa"/>
          </w:tcPr>
          <w:p>
            <w:pPr>
              <w:spacing w:before="0" w:after="200" w:line="276" w:lineRule="auto"/>
              <w:jc w:val="left"/>
              <w:rPr>
                <w:rFonts w:eastAsiaTheme="minorHAnsi"/>
                <w:noProof/>
                <w:szCs w:val="22"/>
              </w:rPr>
            </w:pPr>
            <w:r>
              <w:rPr>
                <w:noProof/>
              </w:rPr>
              <w:t>Informații fiscale privind rapoartele pentru fiecare țară în parte.</w:t>
            </w:r>
          </w:p>
        </w:tc>
        <w:tc>
          <w:tcPr>
            <w:tcW w:w="3686" w:type="dxa"/>
          </w:tcPr>
          <w:p>
            <w:pPr>
              <w:spacing w:before="0" w:after="200" w:line="276" w:lineRule="auto"/>
              <w:jc w:val="left"/>
              <w:rPr>
                <w:rFonts w:eastAsiaTheme="minorHAnsi"/>
                <w:noProof/>
                <w:szCs w:val="22"/>
              </w:rPr>
            </w:pPr>
            <w:r>
              <w:rPr>
                <w:noProof/>
              </w:rPr>
              <w:t>Art. 7</w:t>
            </w:r>
          </w:p>
        </w:tc>
        <w:tc>
          <w:tcPr>
            <w:tcW w:w="5324" w:type="dxa"/>
          </w:tcPr>
          <w:p>
            <w:pPr>
              <w:spacing w:before="0" w:after="200" w:line="276" w:lineRule="auto"/>
              <w:jc w:val="left"/>
              <w:rPr>
                <w:rFonts w:eastAsiaTheme="minorHAnsi"/>
                <w:noProof/>
                <w:szCs w:val="22"/>
              </w:rPr>
            </w:pPr>
            <w:r>
              <w:rPr>
                <w:noProof/>
              </w:rPr>
              <w:t>Specificațiile datelor în conformitate cu articolul 7 alineatul (3) și cu standardul definit la articolul 51 alineatul (2). Formatul XML este utilizat ca standard comun pentru schimb.</w:t>
            </w:r>
          </w:p>
        </w:tc>
      </w:tr>
      <w:tr>
        <w:tc>
          <w:tcPr>
            <w:tcW w:w="5240" w:type="dxa"/>
          </w:tcPr>
          <w:p>
            <w:pPr>
              <w:spacing w:before="0" w:after="200" w:line="276" w:lineRule="auto"/>
              <w:jc w:val="left"/>
              <w:rPr>
                <w:rFonts w:eastAsiaTheme="minorHAnsi"/>
                <w:noProof/>
                <w:szCs w:val="22"/>
              </w:rPr>
            </w:pPr>
            <w:r>
              <w:rPr>
                <w:noProof/>
              </w:rPr>
              <w:t>Informații fiscale privind modalitățile transfrontaliere care fac obiectul raportării</w:t>
            </w:r>
          </w:p>
        </w:tc>
        <w:tc>
          <w:tcPr>
            <w:tcW w:w="3686" w:type="dxa"/>
          </w:tcPr>
          <w:p>
            <w:pPr>
              <w:spacing w:before="0" w:after="200" w:line="276" w:lineRule="auto"/>
              <w:jc w:val="left"/>
              <w:rPr>
                <w:rFonts w:eastAsiaTheme="minorHAnsi"/>
                <w:noProof/>
                <w:szCs w:val="22"/>
              </w:rPr>
            </w:pPr>
            <w:r>
              <w:rPr>
                <w:noProof/>
              </w:rPr>
              <w:t>Art. 8</w:t>
            </w:r>
          </w:p>
        </w:tc>
        <w:tc>
          <w:tcPr>
            <w:tcW w:w="5324" w:type="dxa"/>
          </w:tcPr>
          <w:p>
            <w:pPr>
              <w:spacing w:before="0" w:after="200" w:line="276" w:lineRule="auto"/>
              <w:jc w:val="left"/>
              <w:rPr>
                <w:rFonts w:eastAsiaTheme="minorHAnsi"/>
                <w:noProof/>
                <w:szCs w:val="22"/>
              </w:rPr>
            </w:pPr>
            <w:r>
              <w:rPr>
                <w:noProof/>
              </w:rPr>
              <w:t xml:space="preserve">Specificațiile datelor corespund prevederilor articolului 8 alineatele (3), (7), (10) și (13), iar detaliile privind semnele distinctive care fac ca modalitatea transfrontalieră să fie raportabilă corespund prevederilor anexei IV. Formatul XML </w:t>
            </w:r>
            <w:r>
              <w:rPr>
                <w:noProof/>
              </w:rPr>
              <w:lastRenderedPageBreak/>
              <w:t>este utilizat ca standard comun pentru schimb.</w:t>
            </w:r>
          </w:p>
        </w:tc>
      </w:tr>
      <w:tr>
        <w:tc>
          <w:tcPr>
            <w:tcW w:w="5240" w:type="dxa"/>
          </w:tcPr>
          <w:p>
            <w:pPr>
              <w:spacing w:before="0" w:after="200" w:line="276" w:lineRule="auto"/>
              <w:jc w:val="left"/>
              <w:rPr>
                <w:rFonts w:eastAsiaTheme="minorHAnsi"/>
                <w:noProof/>
                <w:szCs w:val="22"/>
              </w:rPr>
            </w:pPr>
            <w:r>
              <w:rPr>
                <w:noProof/>
              </w:rPr>
              <w:lastRenderedPageBreak/>
              <w:t>Informații fiscale raportate de operatorii de platforme</w:t>
            </w:r>
          </w:p>
        </w:tc>
        <w:tc>
          <w:tcPr>
            <w:tcW w:w="3686" w:type="dxa"/>
          </w:tcPr>
          <w:p>
            <w:pPr>
              <w:spacing w:before="0" w:after="200" w:line="276" w:lineRule="auto"/>
              <w:jc w:val="left"/>
              <w:rPr>
                <w:rFonts w:eastAsiaTheme="minorHAnsi"/>
                <w:noProof/>
                <w:szCs w:val="22"/>
              </w:rPr>
            </w:pPr>
            <w:r>
              <w:rPr>
                <w:noProof/>
              </w:rPr>
              <w:t>Art. 9</w:t>
            </w:r>
          </w:p>
        </w:tc>
        <w:tc>
          <w:tcPr>
            <w:tcW w:w="5324" w:type="dxa"/>
          </w:tcPr>
          <w:p>
            <w:pPr>
              <w:spacing w:before="0" w:after="200" w:line="276" w:lineRule="auto"/>
              <w:jc w:val="left"/>
              <w:rPr>
                <w:rFonts w:eastAsiaTheme="minorHAnsi"/>
                <w:noProof/>
                <w:szCs w:val="22"/>
              </w:rPr>
            </w:pPr>
            <w:r>
              <w:rPr>
                <w:noProof/>
              </w:rPr>
              <w:t>Specificațiile datelor în conformitate cu articolul 9 alineatul (2) Formatul XML este utilizat ca standard comun pentru schimb.</w:t>
            </w:r>
          </w:p>
        </w:tc>
      </w:tr>
      <w:tr>
        <w:tc>
          <w:tcPr>
            <w:tcW w:w="5240" w:type="dxa"/>
          </w:tcPr>
          <w:p>
            <w:pPr>
              <w:spacing w:before="0" w:after="200" w:line="276" w:lineRule="auto"/>
              <w:jc w:val="left"/>
              <w:rPr>
                <w:rFonts w:eastAsiaTheme="minorHAnsi"/>
                <w:noProof/>
                <w:szCs w:val="22"/>
              </w:rPr>
            </w:pPr>
            <w:r>
              <w:rPr>
                <w:noProof/>
              </w:rPr>
              <w:t>Informații fiscale referitoare la înregistrarea Operatorilor de Platforme care au Obligația de Raportare</w:t>
            </w:r>
          </w:p>
        </w:tc>
        <w:tc>
          <w:tcPr>
            <w:tcW w:w="3686" w:type="dxa"/>
          </w:tcPr>
          <w:p>
            <w:pPr>
              <w:spacing w:before="0" w:after="200" w:line="276" w:lineRule="auto"/>
              <w:jc w:val="left"/>
              <w:rPr>
                <w:rFonts w:eastAsiaTheme="minorHAnsi"/>
                <w:noProof/>
                <w:szCs w:val="22"/>
              </w:rPr>
            </w:pPr>
            <w:r>
              <w:rPr>
                <w:noProof/>
              </w:rPr>
              <w:t>Art. 10</w:t>
            </w:r>
          </w:p>
        </w:tc>
        <w:tc>
          <w:tcPr>
            <w:tcW w:w="5324" w:type="dxa"/>
          </w:tcPr>
          <w:p>
            <w:pPr>
              <w:spacing w:before="0" w:after="200" w:line="276" w:lineRule="auto"/>
              <w:jc w:val="left"/>
              <w:rPr>
                <w:rFonts w:eastAsiaTheme="minorHAnsi"/>
                <w:noProof/>
                <w:szCs w:val="22"/>
              </w:rPr>
            </w:pPr>
            <w:r>
              <w:rPr>
                <w:noProof/>
              </w:rPr>
              <w:t>Specificațiile datelor în conformitate cu articolul 10 Formatul XML este utilizat ca standard comun pentru schimb.</w:t>
            </w:r>
          </w:p>
        </w:tc>
      </w:tr>
      <w:tr>
        <w:tc>
          <w:tcPr>
            <w:tcW w:w="5240" w:type="dxa"/>
          </w:tcPr>
          <w:p>
            <w:pPr>
              <w:spacing w:before="0" w:after="200" w:line="276" w:lineRule="auto"/>
              <w:jc w:val="left"/>
              <w:rPr>
                <w:rFonts w:eastAsiaTheme="minorHAnsi"/>
                <w:noProof/>
                <w:szCs w:val="22"/>
              </w:rPr>
            </w:pPr>
            <w:r>
              <w:rPr>
                <w:noProof/>
              </w:rPr>
              <w:t>Informații fiscale privind tranzacțiile cu criptoactive</w:t>
            </w:r>
          </w:p>
          <w:p>
            <w:pPr>
              <w:spacing w:before="0" w:after="200" w:line="276" w:lineRule="auto"/>
              <w:jc w:val="left"/>
              <w:rPr>
                <w:rFonts w:eastAsiaTheme="minorHAnsi"/>
                <w:noProof/>
                <w:szCs w:val="22"/>
                <w:lang w:eastAsia="en-US"/>
              </w:rPr>
            </w:pPr>
          </w:p>
        </w:tc>
        <w:tc>
          <w:tcPr>
            <w:tcW w:w="3686" w:type="dxa"/>
          </w:tcPr>
          <w:p>
            <w:pPr>
              <w:spacing w:before="0" w:after="200" w:line="276" w:lineRule="auto"/>
              <w:jc w:val="left"/>
              <w:rPr>
                <w:rFonts w:eastAsiaTheme="minorHAnsi"/>
                <w:noProof/>
                <w:szCs w:val="22"/>
              </w:rPr>
            </w:pPr>
            <w:r>
              <w:rPr>
                <w:noProof/>
              </w:rPr>
              <w:t>Articolul 12 alineatul (3) și anexa VI secțiunea I (Cerințe de raportare)</w:t>
            </w:r>
          </w:p>
        </w:tc>
        <w:tc>
          <w:tcPr>
            <w:tcW w:w="5324" w:type="dxa"/>
          </w:tcPr>
          <w:p>
            <w:pPr>
              <w:spacing w:before="0" w:after="200" w:line="276" w:lineRule="auto"/>
              <w:jc w:val="left"/>
              <w:rPr>
                <w:rFonts w:eastAsiaTheme="minorHAnsi"/>
                <w:noProof/>
                <w:szCs w:val="22"/>
              </w:rPr>
            </w:pPr>
            <w:r>
              <w:rPr>
                <w:noProof/>
              </w:rPr>
              <w:t>Formatul standardizat comun prevăzut în secțiunea II (CERINȚE DE RAPORTARE) din anexa VI la directiva reformată Formatul XML este utilizat ca standard comun pentru schimb.</w:t>
            </w:r>
          </w:p>
        </w:tc>
      </w:tr>
      <w:tr>
        <w:tc>
          <w:tcPr>
            <w:tcW w:w="5240" w:type="dxa"/>
          </w:tcPr>
          <w:p>
            <w:pPr>
              <w:spacing w:before="0" w:after="200" w:line="276" w:lineRule="auto"/>
              <w:jc w:val="left"/>
              <w:rPr>
                <w:rFonts w:eastAsiaTheme="minorHAnsi"/>
                <w:noProof/>
                <w:szCs w:val="22"/>
              </w:rPr>
            </w:pPr>
            <w:r>
              <w:rPr>
                <w:noProof/>
              </w:rPr>
              <w:t>Informații fiscale referitoare la declarațiile privind impozitul suplimentar în temeiul articolului 44 din Directiva (UE) 2022/2523</w:t>
            </w:r>
          </w:p>
        </w:tc>
        <w:tc>
          <w:tcPr>
            <w:tcW w:w="3686" w:type="dxa"/>
          </w:tcPr>
          <w:p>
            <w:pPr>
              <w:spacing w:before="0" w:after="200" w:line="276" w:lineRule="auto"/>
              <w:jc w:val="left"/>
              <w:rPr>
                <w:rFonts w:eastAsiaTheme="minorHAnsi"/>
                <w:noProof/>
                <w:szCs w:val="22"/>
              </w:rPr>
            </w:pPr>
            <w:r>
              <w:rPr>
                <w:noProof/>
              </w:rPr>
              <w:t>Art. 15</w:t>
            </w:r>
          </w:p>
        </w:tc>
        <w:tc>
          <w:tcPr>
            <w:tcW w:w="5324" w:type="dxa"/>
          </w:tcPr>
          <w:p>
            <w:pPr>
              <w:spacing w:before="0" w:after="200" w:line="276" w:lineRule="auto"/>
              <w:jc w:val="left"/>
              <w:rPr>
                <w:rFonts w:eastAsiaTheme="minorHAnsi"/>
                <w:noProof/>
                <w:szCs w:val="22"/>
              </w:rPr>
            </w:pPr>
            <w:r>
              <w:rPr>
                <w:noProof/>
              </w:rPr>
              <w:t>Specificațiile datelor în conformitate cu articolul 15 Formatul XML este utilizat ca standard comun pentru schimb.</w:t>
            </w:r>
          </w:p>
        </w:tc>
      </w:tr>
      <w:tr>
        <w:tc>
          <w:tcPr>
            <w:tcW w:w="5240" w:type="dxa"/>
          </w:tcPr>
          <w:p>
            <w:pPr>
              <w:spacing w:before="0" w:after="200" w:line="276" w:lineRule="auto"/>
              <w:jc w:val="left"/>
              <w:rPr>
                <w:rFonts w:eastAsiaTheme="minorHAnsi"/>
                <w:noProof/>
                <w:szCs w:val="22"/>
              </w:rPr>
            </w:pPr>
            <w:r>
              <w:rPr>
                <w:noProof/>
              </w:rPr>
              <w:t>Informații fiscale referitoare la notificările raportării pentru fiecare țară în parte, la depunerea la nivel central a declarației privind impozitul suplimentar și la schimbul de informații</w:t>
            </w:r>
          </w:p>
        </w:tc>
        <w:tc>
          <w:tcPr>
            <w:tcW w:w="3686" w:type="dxa"/>
          </w:tcPr>
          <w:p>
            <w:pPr>
              <w:spacing w:before="0" w:after="200" w:line="276" w:lineRule="auto"/>
              <w:jc w:val="left"/>
              <w:rPr>
                <w:rFonts w:eastAsiaTheme="minorHAnsi"/>
                <w:noProof/>
                <w:szCs w:val="22"/>
              </w:rPr>
            </w:pPr>
            <w:r>
              <w:rPr>
                <w:noProof/>
              </w:rPr>
              <w:t>Articolul 16 din directiva reformată.</w:t>
            </w:r>
          </w:p>
        </w:tc>
        <w:tc>
          <w:tcPr>
            <w:tcW w:w="5324" w:type="dxa"/>
          </w:tcPr>
          <w:p>
            <w:pPr>
              <w:spacing w:before="0" w:after="200" w:line="276" w:lineRule="auto"/>
              <w:jc w:val="left"/>
              <w:rPr>
                <w:rFonts w:eastAsiaTheme="minorHAnsi"/>
                <w:noProof/>
                <w:szCs w:val="22"/>
              </w:rPr>
            </w:pPr>
            <w:r>
              <w:rPr>
                <w:noProof/>
              </w:rPr>
              <w:t>Specificațiile datelor în conformitate cu standardul definit la articolul 51 alineatul (2). Formatul XML este utilizat ca standard comun pentru schimb.</w:t>
            </w:r>
          </w:p>
        </w:tc>
      </w:tr>
      <w:tr>
        <w:tc>
          <w:tcPr>
            <w:tcW w:w="5240" w:type="dxa"/>
          </w:tcPr>
          <w:p>
            <w:pPr>
              <w:spacing w:before="0" w:after="200" w:line="276" w:lineRule="auto"/>
              <w:jc w:val="left"/>
              <w:rPr>
                <w:rFonts w:eastAsiaTheme="minorHAnsi"/>
                <w:noProof/>
                <w:szCs w:val="22"/>
              </w:rPr>
            </w:pPr>
            <w:r>
              <w:rPr>
                <w:noProof/>
              </w:rPr>
              <w:t>Informații fiscale referitoare la verificarea valabilității unui NIF</w:t>
            </w:r>
          </w:p>
        </w:tc>
        <w:tc>
          <w:tcPr>
            <w:tcW w:w="3686" w:type="dxa"/>
          </w:tcPr>
          <w:p>
            <w:pPr>
              <w:spacing w:before="0" w:after="200" w:line="276" w:lineRule="auto"/>
              <w:jc w:val="left"/>
              <w:rPr>
                <w:rFonts w:eastAsiaTheme="minorHAnsi"/>
                <w:noProof/>
                <w:szCs w:val="22"/>
              </w:rPr>
            </w:pPr>
            <w:r>
              <w:rPr>
                <w:noProof/>
              </w:rPr>
              <w:t>Articolul 36 din directiva reformată.</w:t>
            </w:r>
          </w:p>
        </w:tc>
        <w:tc>
          <w:tcPr>
            <w:tcW w:w="5324" w:type="dxa"/>
          </w:tcPr>
          <w:p>
            <w:pPr>
              <w:spacing w:before="0" w:after="200" w:line="276" w:lineRule="auto"/>
              <w:jc w:val="left"/>
              <w:rPr>
                <w:rFonts w:eastAsiaTheme="minorHAnsi"/>
                <w:noProof/>
                <w:szCs w:val="22"/>
              </w:rPr>
            </w:pPr>
            <w:r>
              <w:rPr>
                <w:noProof/>
              </w:rPr>
              <w:t>Specificațiile datelor în conformitate cu standardul definit la articolul 51 alineatul (2). Formatul XML este utilizat ca standard comun pentru schimb.</w:t>
            </w:r>
          </w:p>
        </w:tc>
      </w:tr>
    </w:tbl>
    <w:p>
      <w:pPr>
        <w:keepNext/>
        <w:spacing w:before="0" w:after="200" w:line="276" w:lineRule="auto"/>
        <w:jc w:val="left"/>
        <w:rPr>
          <w:noProof/>
        </w:rPr>
      </w:pPr>
      <w:r>
        <w:rPr>
          <w:b/>
          <w:i/>
          <w:noProof/>
        </w:rPr>
        <w:lastRenderedPageBreak/>
        <w:t>Alinierea la Strategia europeană privind datele</w:t>
      </w: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bookmarkStart w:id="239" w:name="_Hlk229122133"/>
            <w:r>
              <w:rPr>
                <w:noProof/>
              </w:rPr>
              <w:t>Art. 4 - Schimbul automat obligatoriu de informații privind veniturile din muncă, remunerațiile și alte beneficii plătite administratorilor și altor persoane asimilate acestora, pensiile, proprietatea asupra bunurilor imobile și veniturile din bunuri imobile, redevențele și dividendele vărsate prin intermediul unor conturi altele decât cele de custodie</w:t>
            </w:r>
          </w:p>
          <w:p>
            <w:pPr>
              <w:spacing w:before="0" w:after="200" w:line="276" w:lineRule="auto"/>
              <w:jc w:val="left"/>
              <w:rPr>
                <w:rFonts w:eastAsiaTheme="minorHAnsi"/>
                <w:noProof/>
                <w:szCs w:val="22"/>
              </w:rPr>
            </w:pPr>
            <w:r>
              <w:rPr>
                <w:noProof/>
              </w:rPr>
              <w:t>AEOI (</w:t>
            </w:r>
            <w:r>
              <w:rPr>
                <w:i/>
                <w:noProof/>
              </w:rPr>
              <w:t>Automatic Exchange of Information</w:t>
            </w:r>
            <w:r>
              <w:rPr>
                <w:noProof/>
              </w:rPr>
              <w:t xml:space="preserve"> – schimbul automat de informații) este un sistem în care autoritățile fiscale din diferite jurisdicții ale UE fac schimb periodic și automat de informații financiare și referitoare la contribuabili pentru a îmbunătăți transparența și a combate evaziunea fiscală.</w:t>
            </w:r>
          </w:p>
          <w:p>
            <w:pPr>
              <w:spacing w:before="0" w:after="200" w:line="276" w:lineRule="auto"/>
              <w:jc w:val="left"/>
              <w:rPr>
                <w:rFonts w:eastAsiaTheme="minorHAnsi"/>
                <w:noProof/>
                <w:szCs w:val="22"/>
              </w:rPr>
            </w:pPr>
            <w:r>
              <w:rPr>
                <w:noProof/>
              </w:rPr>
              <w:t>Secțiunea I din directivă (cunoscută și sub denumirea de DAC1):</w:t>
            </w:r>
          </w:p>
          <w:p>
            <w:pPr>
              <w:numPr>
                <w:ilvl w:val="0"/>
                <w:numId w:val="18"/>
              </w:numPr>
              <w:spacing w:before="0" w:after="200" w:line="276" w:lineRule="auto"/>
              <w:jc w:val="left"/>
              <w:rPr>
                <w:rFonts w:eastAsiaTheme="minorHAnsi"/>
                <w:noProof/>
                <w:szCs w:val="22"/>
              </w:rPr>
            </w:pPr>
            <w:r>
              <w:rPr>
                <w:noProof/>
              </w:rPr>
              <w:t xml:space="preserve">Schimbul automat de informații fiscale </w:t>
            </w:r>
          </w:p>
          <w:p>
            <w:pPr>
              <w:numPr>
                <w:ilvl w:val="0"/>
                <w:numId w:val="18"/>
              </w:numPr>
              <w:spacing w:before="0" w:after="200" w:line="276" w:lineRule="auto"/>
              <w:jc w:val="left"/>
              <w:rPr>
                <w:rFonts w:eastAsiaTheme="minorHAnsi"/>
                <w:noProof/>
                <w:szCs w:val="22"/>
              </w:rPr>
            </w:pPr>
            <w:r>
              <w:rPr>
                <w:noProof/>
              </w:rPr>
              <w:t>Transparența fiscală transfrontalieră</w:t>
            </w:r>
          </w:p>
          <w:p>
            <w:pPr>
              <w:numPr>
                <w:ilvl w:val="0"/>
                <w:numId w:val="18"/>
              </w:numPr>
              <w:spacing w:before="0" w:after="200" w:line="276" w:lineRule="auto"/>
              <w:jc w:val="left"/>
              <w:rPr>
                <w:rFonts w:eastAsiaTheme="minorHAnsi"/>
                <w:noProof/>
                <w:szCs w:val="22"/>
              </w:rPr>
            </w:pPr>
            <w:r>
              <w:rPr>
                <w:noProof/>
              </w:rPr>
              <w:t>Raportarea periodică și structurată</w:t>
            </w:r>
          </w:p>
          <w:p>
            <w:pPr>
              <w:numPr>
                <w:ilvl w:val="0"/>
                <w:numId w:val="18"/>
              </w:numPr>
              <w:spacing w:before="0" w:after="200" w:line="276" w:lineRule="auto"/>
              <w:jc w:val="left"/>
              <w:rPr>
                <w:rFonts w:eastAsiaTheme="minorHAnsi"/>
                <w:noProof/>
                <w:szCs w:val="22"/>
              </w:rPr>
            </w:pPr>
            <w:r>
              <w:rPr>
                <w:noProof/>
              </w:rPr>
              <w:t>Îmbunătățirea respectării obligațiilor fiscale și a detectării fraudelor</w:t>
            </w:r>
          </w:p>
          <w:p>
            <w:pPr>
              <w:numPr>
                <w:ilvl w:val="0"/>
                <w:numId w:val="18"/>
              </w:numPr>
              <w:spacing w:before="0" w:after="200" w:line="276" w:lineRule="auto"/>
              <w:jc w:val="left"/>
              <w:rPr>
                <w:rFonts w:eastAsiaTheme="minorHAnsi"/>
                <w:noProof/>
                <w:szCs w:val="22"/>
              </w:rPr>
            </w:pPr>
            <w:r>
              <w:rPr>
                <w:noProof/>
              </w:rPr>
              <w:t xml:space="preserve">Cooperarea dintre autoritățile fiscale </w:t>
            </w:r>
          </w:p>
          <w:p>
            <w:pPr>
              <w:spacing w:before="0" w:after="200" w:line="276" w:lineRule="auto"/>
              <w:jc w:val="left"/>
              <w:rPr>
                <w:rFonts w:eastAsiaTheme="minorHAnsi"/>
                <w:noProof/>
                <w:szCs w:val="22"/>
              </w:rPr>
            </w:pPr>
            <w:r>
              <w:rPr>
                <w:noProof/>
              </w:rPr>
              <w:t>Sistemul de informații privind impozitarea DAC1 sprijină Strategia europeană privind datele prin:</w:t>
            </w:r>
          </w:p>
          <w:p>
            <w:pPr>
              <w:numPr>
                <w:ilvl w:val="0"/>
                <w:numId w:val="19"/>
              </w:numPr>
              <w:spacing w:before="0" w:after="200" w:line="276" w:lineRule="auto"/>
              <w:jc w:val="left"/>
              <w:rPr>
                <w:rFonts w:eastAsiaTheme="minorHAnsi"/>
                <w:noProof/>
                <w:szCs w:val="22"/>
              </w:rPr>
            </w:pPr>
            <w:r>
              <w:rPr>
                <w:noProof/>
              </w:rPr>
              <w:t xml:space="preserve">Facilitarea fluxurilor transfrontaliere de date (obiectiv principal) </w:t>
            </w:r>
          </w:p>
          <w:p>
            <w:pPr>
              <w:numPr>
                <w:ilvl w:val="0"/>
                <w:numId w:val="19"/>
              </w:numPr>
              <w:spacing w:before="0" w:after="200" w:line="276" w:lineRule="auto"/>
              <w:jc w:val="left"/>
              <w:rPr>
                <w:rFonts w:eastAsiaTheme="minorHAnsi"/>
                <w:noProof/>
                <w:szCs w:val="22"/>
              </w:rPr>
            </w:pPr>
            <w:r>
              <w:rPr>
                <w:noProof/>
              </w:rPr>
              <w:t>Promovarea disponibilității datelor în sectorul public</w:t>
            </w:r>
          </w:p>
          <w:p>
            <w:pPr>
              <w:numPr>
                <w:ilvl w:val="0"/>
                <w:numId w:val="19"/>
              </w:numPr>
              <w:spacing w:before="0" w:after="200" w:line="276" w:lineRule="auto"/>
              <w:jc w:val="left"/>
              <w:rPr>
                <w:rFonts w:eastAsiaTheme="minorHAnsi"/>
                <w:noProof/>
                <w:szCs w:val="22"/>
              </w:rPr>
            </w:pPr>
            <w:r>
              <w:rPr>
                <w:noProof/>
              </w:rPr>
              <w:t>Consolidarea schimbului de date între administrațiile publice (G2G)</w:t>
            </w:r>
          </w:p>
          <w:p>
            <w:pPr>
              <w:numPr>
                <w:ilvl w:val="0"/>
                <w:numId w:val="19"/>
              </w:numPr>
              <w:spacing w:before="0" w:after="200" w:line="276" w:lineRule="auto"/>
              <w:jc w:val="left"/>
              <w:rPr>
                <w:rFonts w:eastAsiaTheme="minorHAnsi"/>
                <w:noProof/>
                <w:szCs w:val="22"/>
              </w:rPr>
            </w:pPr>
            <w:r>
              <w:rPr>
                <w:noProof/>
              </w:rPr>
              <w:t>Sprijinirea unor economii echitabile și eficiente, bazate pe date</w:t>
            </w:r>
          </w:p>
          <w:p>
            <w:pPr>
              <w:numPr>
                <w:ilvl w:val="0"/>
                <w:numId w:val="19"/>
              </w:numPr>
              <w:spacing w:before="0" w:after="200" w:line="276" w:lineRule="auto"/>
              <w:jc w:val="left"/>
              <w:rPr>
                <w:rFonts w:eastAsiaTheme="minorHAnsi"/>
                <w:noProof/>
                <w:szCs w:val="22"/>
              </w:rPr>
            </w:pPr>
            <w:r>
              <w:rPr>
                <w:noProof/>
              </w:rPr>
              <w:lastRenderedPageBreak/>
              <w:t>Contribuția la interoperabilitatea datelor în UE</w:t>
            </w:r>
          </w:p>
          <w:p>
            <w:pPr>
              <w:numPr>
                <w:ilvl w:val="0"/>
                <w:numId w:val="19"/>
              </w:numPr>
              <w:spacing w:before="0" w:after="200" w:line="276" w:lineRule="auto"/>
              <w:jc w:val="left"/>
              <w:rPr>
                <w:rFonts w:eastAsiaTheme="minorHAnsi"/>
                <w:noProof/>
                <w:szCs w:val="22"/>
              </w:rPr>
            </w:pPr>
            <w:r>
              <w:rPr>
                <w:noProof/>
              </w:rPr>
              <w:t>Consolidarea încrederii în sistemele de schimb de date</w:t>
            </w:r>
          </w:p>
          <w:p>
            <w:pPr>
              <w:numPr>
                <w:ilvl w:val="0"/>
                <w:numId w:val="19"/>
              </w:numPr>
              <w:spacing w:before="0" w:after="200" w:line="276" w:lineRule="auto"/>
              <w:jc w:val="left"/>
              <w:rPr>
                <w:rFonts w:eastAsiaTheme="minorHAnsi"/>
                <w:noProof/>
                <w:szCs w:val="22"/>
              </w:rPr>
            </w:pPr>
            <w:r>
              <w:rPr>
                <w:noProof/>
              </w:rPr>
              <w:t>Sprijinirea fluxurilor de date reutilizabile și disponibile în timp util</w:t>
            </w:r>
          </w:p>
          <w:p>
            <w:pPr>
              <w:numPr>
                <w:ilvl w:val="0"/>
                <w:numId w:val="19"/>
              </w:numPr>
              <w:spacing w:before="0" w:after="200" w:line="276" w:lineRule="auto"/>
              <w:jc w:val="left"/>
              <w:rPr>
                <w:rFonts w:eastAsiaTheme="minorHAnsi"/>
                <w:noProof/>
                <w:szCs w:val="22"/>
              </w:rPr>
            </w:pPr>
            <w:r>
              <w:rPr>
                <w:noProof/>
              </w:rPr>
              <w:t>Promovarea suveranității europene a datelor</w:t>
            </w:r>
          </w:p>
        </w:tc>
      </w:tr>
      <w:bookmarkEnd w:id="239"/>
    </w:tbl>
    <w:p>
      <w:pPr>
        <w:spacing w:before="0" w:after="200" w:line="276" w:lineRule="auto"/>
        <w:jc w:val="left"/>
        <w:rPr>
          <w:i/>
          <w:iCs/>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 5 – Schimbul automat obligatoriu de informații financiare</w:t>
            </w:r>
          </w:p>
          <w:p>
            <w:pPr>
              <w:spacing w:before="0" w:after="200" w:line="276" w:lineRule="auto"/>
              <w:jc w:val="left"/>
              <w:rPr>
                <w:rFonts w:eastAsiaTheme="minorHAnsi"/>
                <w:noProof/>
                <w:szCs w:val="22"/>
              </w:rPr>
            </w:pPr>
            <w:r>
              <w:rPr>
                <w:noProof/>
              </w:rPr>
              <w:t>Schimbul automat de informații privind conturile financiare între autoritățile fiscale din UE, pe baza Standardului comun de raportare (SCR) al OCDE, un standard global elaborat pentru a combate evaziunea fiscală și a spori transparența în sistemul financiar internațional</w:t>
            </w:r>
          </w:p>
          <w:p>
            <w:pPr>
              <w:spacing w:before="0" w:after="200" w:line="276" w:lineRule="auto"/>
              <w:jc w:val="left"/>
              <w:rPr>
                <w:rFonts w:eastAsiaTheme="minorHAnsi"/>
                <w:noProof/>
                <w:szCs w:val="22"/>
              </w:rPr>
            </w:pPr>
            <w:r>
              <w:rPr>
                <w:noProof/>
              </w:rPr>
              <w:t>Secțiunea II din directivă (cunoscută și sub denumirea de DAC2):</w:t>
            </w:r>
          </w:p>
          <w:p>
            <w:pPr>
              <w:numPr>
                <w:ilvl w:val="0"/>
                <w:numId w:val="18"/>
              </w:numPr>
              <w:spacing w:before="0" w:after="200" w:line="276" w:lineRule="auto"/>
              <w:jc w:val="left"/>
              <w:rPr>
                <w:rFonts w:eastAsiaTheme="minorHAnsi"/>
                <w:noProof/>
                <w:szCs w:val="22"/>
              </w:rPr>
            </w:pPr>
            <w:r>
              <w:rPr>
                <w:noProof/>
              </w:rPr>
              <w:t>Impune instituțiilor financiare să raporteze autorității lor fiscale naționale informațiile privind conturile titularilor de conturi nerezidenți.</w:t>
            </w:r>
          </w:p>
          <w:p>
            <w:pPr>
              <w:numPr>
                <w:ilvl w:val="0"/>
                <w:numId w:val="18"/>
              </w:numPr>
              <w:spacing w:before="0" w:after="200" w:line="276" w:lineRule="auto"/>
              <w:jc w:val="left"/>
              <w:rPr>
                <w:rFonts w:eastAsiaTheme="minorHAnsi"/>
                <w:noProof/>
                <w:szCs w:val="22"/>
              </w:rPr>
            </w:pPr>
            <w:r>
              <w:rPr>
                <w:noProof/>
              </w:rPr>
              <w:t>Cuprinde date financiare esențiale, inclusiv soldurile conturilor, dobânzi, dividende și încasări din active financiare.</w:t>
            </w:r>
          </w:p>
          <w:p>
            <w:pPr>
              <w:numPr>
                <w:ilvl w:val="0"/>
                <w:numId w:val="18"/>
              </w:numPr>
              <w:spacing w:before="0" w:after="200" w:line="276" w:lineRule="auto"/>
              <w:jc w:val="left"/>
              <w:rPr>
                <w:rFonts w:eastAsiaTheme="minorHAnsi"/>
                <w:noProof/>
                <w:szCs w:val="22"/>
              </w:rPr>
            </w:pPr>
            <w:r>
              <w:rPr>
                <w:noProof/>
              </w:rPr>
              <w:t>Permite identificarea contribuabililor care dețin conturi financiare offshore, îmbunătățind transparența și conformitatea fiscală transfrontalieră.</w:t>
            </w:r>
          </w:p>
          <w:p>
            <w:pPr>
              <w:numPr>
                <w:ilvl w:val="0"/>
                <w:numId w:val="18"/>
              </w:numPr>
              <w:spacing w:before="0" w:after="200" w:line="276" w:lineRule="auto"/>
              <w:jc w:val="left"/>
              <w:rPr>
                <w:rFonts w:eastAsiaTheme="minorHAnsi"/>
                <w:noProof/>
                <w:szCs w:val="22"/>
              </w:rPr>
            </w:pPr>
            <w:r>
              <w:rPr>
                <w:noProof/>
              </w:rPr>
              <w:t xml:space="preserve">Standardizează normele de raportare și de diligență fiscală în întreaga UE, asigurând colectarea consecventă și schimbul consecvent de date financiare între statele membre. </w:t>
            </w:r>
          </w:p>
          <w:p>
            <w:pPr>
              <w:spacing w:before="0" w:after="200" w:line="276" w:lineRule="auto"/>
              <w:jc w:val="left"/>
              <w:rPr>
                <w:rFonts w:eastAsiaTheme="minorHAnsi"/>
                <w:noProof/>
                <w:szCs w:val="22"/>
              </w:rPr>
            </w:pPr>
            <w:r>
              <w:rPr>
                <w:noProof/>
              </w:rPr>
              <w:t>Sistemul de informații privind impozitarea DAC2 sprijină Strategia europeană privind datele prin:</w:t>
            </w:r>
          </w:p>
          <w:p>
            <w:pPr>
              <w:numPr>
                <w:ilvl w:val="0"/>
                <w:numId w:val="19"/>
              </w:numPr>
              <w:spacing w:before="0" w:after="200" w:line="276" w:lineRule="auto"/>
              <w:jc w:val="left"/>
              <w:rPr>
                <w:rFonts w:eastAsiaTheme="minorHAnsi"/>
                <w:noProof/>
                <w:szCs w:val="22"/>
              </w:rPr>
            </w:pPr>
            <w:r>
              <w:rPr>
                <w:noProof/>
              </w:rPr>
              <w:t>Facilitarea schimbului transfrontalier de date la scară largă în sectorul financiar</w:t>
            </w:r>
          </w:p>
          <w:p>
            <w:pPr>
              <w:numPr>
                <w:ilvl w:val="0"/>
                <w:numId w:val="19"/>
              </w:numPr>
              <w:spacing w:before="0" w:after="200" w:line="276" w:lineRule="auto"/>
              <w:jc w:val="left"/>
              <w:rPr>
                <w:rFonts w:eastAsiaTheme="minorHAnsi"/>
                <w:noProof/>
                <w:szCs w:val="22"/>
              </w:rPr>
            </w:pPr>
            <w:r>
              <w:rPr>
                <w:noProof/>
              </w:rPr>
              <w:lastRenderedPageBreak/>
              <w:t>Consolidarea pieței unice a datelor din UE (caz de utilizare de către sectorul public)</w:t>
            </w:r>
          </w:p>
          <w:p>
            <w:pPr>
              <w:numPr>
                <w:ilvl w:val="0"/>
                <w:numId w:val="19"/>
              </w:numPr>
              <w:spacing w:before="0" w:after="200" w:line="276" w:lineRule="auto"/>
              <w:jc w:val="left"/>
              <w:rPr>
                <w:rFonts w:eastAsiaTheme="minorHAnsi"/>
                <w:noProof/>
                <w:szCs w:val="22"/>
              </w:rPr>
            </w:pPr>
            <w:r>
              <w:rPr>
                <w:noProof/>
              </w:rPr>
              <w:t>Îmbunătățirea disponibilității și a calității datelor pentru autoritățile publice</w:t>
            </w:r>
          </w:p>
          <w:p>
            <w:pPr>
              <w:numPr>
                <w:ilvl w:val="0"/>
                <w:numId w:val="19"/>
              </w:numPr>
              <w:spacing w:before="0" w:after="200" w:line="276" w:lineRule="auto"/>
              <w:jc w:val="left"/>
              <w:rPr>
                <w:rFonts w:eastAsiaTheme="minorHAnsi"/>
                <w:noProof/>
                <w:szCs w:val="22"/>
              </w:rPr>
            </w:pPr>
            <w:r>
              <w:rPr>
                <w:noProof/>
              </w:rPr>
              <w:t>Consolidarea încrederii și a cadrelor de guvernanță pentru schimbul de date sensibile</w:t>
            </w:r>
          </w:p>
          <w:p>
            <w:pPr>
              <w:numPr>
                <w:ilvl w:val="0"/>
                <w:numId w:val="19"/>
              </w:numPr>
              <w:spacing w:before="0" w:after="200" w:line="276" w:lineRule="auto"/>
              <w:jc w:val="left"/>
              <w:rPr>
                <w:rFonts w:eastAsiaTheme="minorHAnsi"/>
                <w:noProof/>
                <w:szCs w:val="22"/>
              </w:rPr>
            </w:pPr>
            <w:r>
              <w:rPr>
                <w:noProof/>
              </w:rPr>
              <w:t>Promovarea interoperabilității și a standardizării în sistemele de date ale UE</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 6 - Schimbul automat obligatoriu de informații privind deciziile fiscale anticipate cu aplicare transfrontalieră și acordurile prealabile privind prețul de transfer</w:t>
            </w:r>
          </w:p>
          <w:p>
            <w:pPr>
              <w:spacing w:before="0" w:after="200" w:line="276" w:lineRule="auto"/>
              <w:jc w:val="left"/>
              <w:rPr>
                <w:rFonts w:eastAsiaTheme="minorHAnsi"/>
                <w:noProof/>
                <w:szCs w:val="22"/>
              </w:rPr>
            </w:pPr>
            <w:r>
              <w:rPr>
                <w:noProof/>
              </w:rPr>
              <w:t>Solicită statelor membre să facă schimb automat de informații cu privire la deciziile fiscale transfrontaliere și la acordurile prealabile privind prețul de transfer, astfel încât autoritățile fiscale să poată evalua potențialele riscuri fiscale și să asigure o impozitare echitabilă a societăților în întreaga UE.</w:t>
            </w:r>
          </w:p>
          <w:p>
            <w:pPr>
              <w:spacing w:before="0" w:after="200" w:line="276" w:lineRule="auto"/>
              <w:jc w:val="left"/>
              <w:rPr>
                <w:rFonts w:eastAsiaTheme="minorHAnsi"/>
                <w:noProof/>
                <w:szCs w:val="22"/>
              </w:rPr>
            </w:pPr>
            <w:r>
              <w:rPr>
                <w:noProof/>
              </w:rPr>
              <w:t>Secțiunea III din directivă (cunoscută și sub denumirea de DAC3):</w:t>
            </w:r>
          </w:p>
          <w:p>
            <w:pPr>
              <w:numPr>
                <w:ilvl w:val="0"/>
                <w:numId w:val="21"/>
              </w:numPr>
              <w:spacing w:before="0" w:after="200" w:line="276" w:lineRule="auto"/>
              <w:jc w:val="left"/>
              <w:rPr>
                <w:rFonts w:eastAsiaTheme="minorHAnsi"/>
                <w:noProof/>
                <w:szCs w:val="22"/>
              </w:rPr>
            </w:pPr>
            <w:r>
              <w:rPr>
                <w:noProof/>
              </w:rPr>
              <w:t>Introduce schimbul automat de informații privind deciziile fiscale transfrontaliere și acordurile prealabile privind prețul de transfer între statele membre ale UE.</w:t>
            </w:r>
          </w:p>
          <w:p>
            <w:pPr>
              <w:numPr>
                <w:ilvl w:val="0"/>
                <w:numId w:val="21"/>
              </w:numPr>
              <w:spacing w:before="0" w:after="200" w:line="276" w:lineRule="auto"/>
              <w:jc w:val="left"/>
              <w:rPr>
                <w:rFonts w:eastAsiaTheme="minorHAnsi"/>
                <w:noProof/>
                <w:szCs w:val="22"/>
              </w:rPr>
            </w:pPr>
            <w:r>
              <w:rPr>
                <w:noProof/>
              </w:rPr>
              <w:t>Solicită autorităților fiscale să partajeze rezumate ale deciziilor fiscale emise pentru întreprinderile multinaționale, în special pentru cele cu efecte transfrontaliere.</w:t>
            </w:r>
          </w:p>
          <w:p>
            <w:pPr>
              <w:numPr>
                <w:ilvl w:val="0"/>
                <w:numId w:val="21"/>
              </w:numPr>
              <w:spacing w:before="0" w:after="200" w:line="276" w:lineRule="auto"/>
              <w:jc w:val="left"/>
              <w:rPr>
                <w:rFonts w:eastAsiaTheme="minorHAnsi"/>
                <w:noProof/>
                <w:szCs w:val="22"/>
              </w:rPr>
            </w:pPr>
            <w:r>
              <w:rPr>
                <w:noProof/>
              </w:rPr>
              <w:t>Asigură faptul că alte state membre sunt informate atunci când o decizie fiscală le poate afecta baza de impozitare, îmbunătățind transparența în ceea ce privește impozitarea societăților.</w:t>
            </w:r>
          </w:p>
          <w:p>
            <w:pPr>
              <w:numPr>
                <w:ilvl w:val="0"/>
                <w:numId w:val="21"/>
              </w:numPr>
              <w:spacing w:before="0" w:after="200" w:line="276" w:lineRule="auto"/>
              <w:jc w:val="left"/>
              <w:rPr>
                <w:rFonts w:eastAsiaTheme="minorHAnsi"/>
                <w:noProof/>
                <w:szCs w:val="22"/>
              </w:rPr>
            </w:pPr>
            <w:r>
              <w:rPr>
                <w:noProof/>
              </w:rPr>
              <w:t>Creează un registru central al UE pentru informații privind deciziile fiscale, accesibil tuturor statelor membre pentru evaluarea riscurilor și verificarea conformității.</w:t>
            </w:r>
          </w:p>
          <w:p>
            <w:pPr>
              <w:numPr>
                <w:ilvl w:val="0"/>
                <w:numId w:val="21"/>
              </w:numPr>
              <w:spacing w:before="0" w:after="200" w:line="276" w:lineRule="auto"/>
              <w:jc w:val="left"/>
              <w:rPr>
                <w:rFonts w:eastAsiaTheme="minorHAnsi"/>
                <w:noProof/>
                <w:szCs w:val="22"/>
              </w:rPr>
            </w:pPr>
            <w:r>
              <w:rPr>
                <w:noProof/>
              </w:rPr>
              <w:t xml:space="preserve">Consolidează cooperarea și reduce practicile fiscale dăunătoare prin limitarea secretului în ceea ce privește deciziile fiscale </w:t>
            </w:r>
            <w:r>
              <w:rPr>
                <w:noProof/>
              </w:rPr>
              <w:lastRenderedPageBreak/>
              <w:t>preferențiale.</w:t>
            </w:r>
          </w:p>
          <w:p>
            <w:pPr>
              <w:spacing w:before="0" w:after="200" w:line="276" w:lineRule="auto"/>
              <w:jc w:val="left"/>
              <w:rPr>
                <w:rFonts w:eastAsiaTheme="minorHAnsi"/>
                <w:noProof/>
                <w:szCs w:val="22"/>
              </w:rPr>
            </w:pPr>
            <w:r>
              <w:rPr>
                <w:noProof/>
              </w:rPr>
              <w:t>Sistemul de informații privind impozitarea DAC3 sprijină Strategia europeană privind datele prin:</w:t>
            </w:r>
          </w:p>
          <w:p>
            <w:pPr>
              <w:numPr>
                <w:ilvl w:val="0"/>
                <w:numId w:val="19"/>
              </w:numPr>
              <w:spacing w:before="0" w:after="200" w:line="276" w:lineRule="auto"/>
              <w:jc w:val="left"/>
              <w:rPr>
                <w:rFonts w:eastAsiaTheme="minorHAnsi"/>
                <w:noProof/>
                <w:szCs w:val="22"/>
              </w:rPr>
            </w:pPr>
            <w:r>
              <w:rPr>
                <w:noProof/>
              </w:rPr>
              <w:t>Facilitarea schimbului transfrontalier structurat de date între autoritățile fiscale</w:t>
            </w:r>
          </w:p>
          <w:p>
            <w:pPr>
              <w:numPr>
                <w:ilvl w:val="0"/>
                <w:numId w:val="19"/>
              </w:numPr>
              <w:spacing w:before="0" w:after="200" w:line="276" w:lineRule="auto"/>
              <w:jc w:val="left"/>
              <w:rPr>
                <w:rFonts w:eastAsiaTheme="minorHAnsi"/>
                <w:noProof/>
                <w:szCs w:val="22"/>
              </w:rPr>
            </w:pPr>
            <w:r>
              <w:rPr>
                <w:noProof/>
              </w:rPr>
              <w:t>Îmbunătățirea disponibilității datelor cu valoare ridicată din sectorul public</w:t>
            </w:r>
          </w:p>
          <w:p>
            <w:pPr>
              <w:numPr>
                <w:ilvl w:val="0"/>
                <w:numId w:val="19"/>
              </w:numPr>
              <w:spacing w:before="0" w:after="200" w:line="276" w:lineRule="auto"/>
              <w:jc w:val="left"/>
              <w:rPr>
                <w:rFonts w:eastAsiaTheme="minorHAnsi"/>
                <w:noProof/>
                <w:szCs w:val="22"/>
              </w:rPr>
            </w:pPr>
            <w:r>
              <w:rPr>
                <w:noProof/>
              </w:rPr>
              <w:t>Consolidarea încrederii și a guvernanței în ceea ce privește schimbul de date sensibile</w:t>
            </w:r>
          </w:p>
          <w:p>
            <w:pPr>
              <w:numPr>
                <w:ilvl w:val="0"/>
                <w:numId w:val="19"/>
              </w:numPr>
              <w:spacing w:before="0" w:after="200" w:line="276" w:lineRule="auto"/>
              <w:jc w:val="left"/>
              <w:rPr>
                <w:rFonts w:eastAsiaTheme="minorHAnsi"/>
                <w:noProof/>
                <w:szCs w:val="22"/>
              </w:rPr>
            </w:pPr>
            <w:r>
              <w:rPr>
                <w:noProof/>
              </w:rPr>
              <w:t>Sprijinirea armonizării și a coerenței datelor la nivelul UE</w:t>
            </w:r>
          </w:p>
          <w:p>
            <w:pPr>
              <w:numPr>
                <w:ilvl w:val="0"/>
                <w:numId w:val="19"/>
              </w:numPr>
              <w:spacing w:before="0" w:after="200" w:line="276" w:lineRule="auto"/>
              <w:jc w:val="left"/>
              <w:rPr>
                <w:rFonts w:eastAsiaTheme="minorHAnsi"/>
                <w:noProof/>
                <w:szCs w:val="22"/>
              </w:rPr>
            </w:pPr>
            <w:r>
              <w:rPr>
                <w:noProof/>
              </w:rPr>
              <w:t>Consolidarea aplicării legislației și a elaborării politicilor pe bază de date</w:t>
            </w:r>
          </w:p>
          <w:p>
            <w:pPr>
              <w:numPr>
                <w:ilvl w:val="0"/>
                <w:numId w:val="19"/>
              </w:numPr>
              <w:spacing w:before="0" w:after="200" w:line="276" w:lineRule="auto"/>
              <w:jc w:val="left"/>
              <w:rPr>
                <w:rFonts w:eastAsiaTheme="minorHAnsi"/>
                <w:noProof/>
                <w:szCs w:val="22"/>
              </w:rPr>
            </w:pPr>
            <w:r>
              <w:rPr>
                <w:noProof/>
              </w:rPr>
              <w:t>Contribuția la logica emergentă a „spațiului de date” al UE în administrația publică</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Articolul 7 – Schimbul automat obligatoriu de rapoarte pentru fiecare țară în parte</w:t>
            </w:r>
          </w:p>
          <w:p>
            <w:pPr>
              <w:spacing w:before="0" w:after="200" w:line="276" w:lineRule="auto"/>
              <w:jc w:val="left"/>
              <w:rPr>
                <w:rFonts w:eastAsiaTheme="minorHAnsi"/>
                <w:noProof/>
                <w:szCs w:val="22"/>
              </w:rPr>
            </w:pPr>
            <w:r>
              <w:rPr>
                <w:noProof/>
              </w:rPr>
              <w:t>Impune întreprinderilor multinaționale să prezinte un raport pentru fiecare țară în parte cu privire la veniturile, profiturile, taxele și impozitele plătite și activitatea lor economică, care să fie partajat între autoritățile fiscale pentru a îmbunătăți transparența și a evalua riscurile de evitare a obligațiilor fiscale.</w:t>
            </w:r>
          </w:p>
          <w:p>
            <w:pPr>
              <w:spacing w:before="0" w:after="200" w:line="276" w:lineRule="auto"/>
              <w:jc w:val="left"/>
              <w:rPr>
                <w:rFonts w:eastAsiaTheme="minorHAnsi"/>
                <w:noProof/>
                <w:szCs w:val="22"/>
              </w:rPr>
            </w:pPr>
            <w:r>
              <w:rPr>
                <w:noProof/>
              </w:rPr>
              <w:t>Secțiunea IV din directivă (cunoscută și sub denumirea de DAC4):</w:t>
            </w:r>
          </w:p>
          <w:p>
            <w:pPr>
              <w:numPr>
                <w:ilvl w:val="0"/>
                <w:numId w:val="22"/>
              </w:numPr>
              <w:spacing w:before="0" w:after="200" w:line="276" w:lineRule="auto"/>
              <w:jc w:val="left"/>
              <w:rPr>
                <w:rFonts w:eastAsiaTheme="minorHAnsi"/>
                <w:noProof/>
                <w:szCs w:val="22"/>
              </w:rPr>
            </w:pPr>
            <w:r>
              <w:rPr>
                <w:noProof/>
              </w:rPr>
              <w:t>Introduce raportarea pentru fiecare țară în parte pentru întreprinderile multinaționale cu venituri consolidate la nivel de grup.</w:t>
            </w:r>
          </w:p>
          <w:p>
            <w:pPr>
              <w:numPr>
                <w:ilvl w:val="0"/>
                <w:numId w:val="22"/>
              </w:numPr>
              <w:spacing w:before="0" w:after="200" w:line="276" w:lineRule="auto"/>
              <w:jc w:val="left"/>
              <w:rPr>
                <w:rFonts w:eastAsiaTheme="minorHAnsi"/>
                <w:noProof/>
                <w:szCs w:val="22"/>
              </w:rPr>
            </w:pPr>
            <w:r>
              <w:rPr>
                <w:noProof/>
              </w:rPr>
              <w:t>Impune schimbul automat de rapoarte între autoritățile fiscale din UE, în funcție de jurisdicția în care este situată societatea-mamă finală sau în care își desfășoară activitatea filialele.</w:t>
            </w:r>
          </w:p>
          <w:p>
            <w:pPr>
              <w:numPr>
                <w:ilvl w:val="0"/>
                <w:numId w:val="22"/>
              </w:numPr>
              <w:spacing w:before="0" w:after="200" w:line="276" w:lineRule="auto"/>
              <w:jc w:val="left"/>
              <w:rPr>
                <w:rFonts w:eastAsiaTheme="minorHAnsi"/>
                <w:noProof/>
                <w:szCs w:val="22"/>
              </w:rPr>
            </w:pPr>
            <w:r>
              <w:rPr>
                <w:noProof/>
              </w:rPr>
              <w:t xml:space="preserve">Consolidează transparența fiscală și evaluarea riscurilor, permițând autorităților să identifice riscurile de transfer al profiturilor și de </w:t>
            </w:r>
            <w:r>
              <w:rPr>
                <w:noProof/>
              </w:rPr>
              <w:lastRenderedPageBreak/>
              <w:t>erodare a bazei impozabile.</w:t>
            </w:r>
          </w:p>
          <w:p>
            <w:pPr>
              <w:numPr>
                <w:ilvl w:val="0"/>
                <w:numId w:val="22"/>
              </w:numPr>
              <w:spacing w:before="0" w:after="200" w:line="276" w:lineRule="auto"/>
              <w:jc w:val="left"/>
              <w:rPr>
                <w:rFonts w:eastAsiaTheme="minorHAnsi"/>
                <w:noProof/>
                <w:szCs w:val="22"/>
              </w:rPr>
            </w:pPr>
            <w:r>
              <w:rPr>
                <w:noProof/>
              </w:rPr>
              <w:t>Sprijină acțiunea coordonată a UE împotriva evitării obligațiilor fiscale prin îmbunătățirea comparabilității, între statele membre, a structurilor și a activității economice a întreprinderilor multinaționale.</w:t>
            </w:r>
          </w:p>
          <w:p>
            <w:pPr>
              <w:spacing w:before="0" w:after="200" w:line="276" w:lineRule="auto"/>
              <w:jc w:val="left"/>
              <w:rPr>
                <w:rFonts w:eastAsiaTheme="minorHAnsi"/>
                <w:noProof/>
                <w:szCs w:val="22"/>
              </w:rPr>
            </w:pPr>
            <w:r>
              <w:rPr>
                <w:noProof/>
              </w:rPr>
              <w:t>Sistemul de informații privind impozitarea DAC4 sprijină Strategia europeană privind datele prin:</w:t>
            </w:r>
          </w:p>
          <w:p>
            <w:pPr>
              <w:numPr>
                <w:ilvl w:val="0"/>
                <w:numId w:val="19"/>
              </w:numPr>
              <w:spacing w:before="0" w:after="200" w:line="276" w:lineRule="auto"/>
              <w:jc w:val="left"/>
              <w:rPr>
                <w:rFonts w:eastAsiaTheme="minorHAnsi"/>
                <w:noProof/>
                <w:szCs w:val="22"/>
              </w:rPr>
            </w:pPr>
            <w:r>
              <w:rPr>
                <w:noProof/>
              </w:rPr>
              <w:t>Crearea de seturi de date transfrontaliere structurate și cu valoare ridicată pentru autoritățile publice</w:t>
            </w:r>
          </w:p>
          <w:p>
            <w:pPr>
              <w:numPr>
                <w:ilvl w:val="0"/>
                <w:numId w:val="19"/>
              </w:numPr>
              <w:spacing w:before="0" w:after="200" w:line="276" w:lineRule="auto"/>
              <w:jc w:val="left"/>
              <w:rPr>
                <w:rFonts w:eastAsiaTheme="minorHAnsi"/>
                <w:noProof/>
                <w:szCs w:val="22"/>
              </w:rPr>
            </w:pPr>
            <w:r>
              <w:rPr>
                <w:noProof/>
              </w:rPr>
              <w:t>Facilitarea schimbului de date fiabil între administrațiile publice</w:t>
            </w:r>
          </w:p>
          <w:p>
            <w:pPr>
              <w:numPr>
                <w:ilvl w:val="0"/>
                <w:numId w:val="19"/>
              </w:numPr>
              <w:spacing w:before="0" w:after="200" w:line="276" w:lineRule="auto"/>
              <w:jc w:val="left"/>
              <w:rPr>
                <w:rFonts w:eastAsiaTheme="minorHAnsi"/>
                <w:noProof/>
                <w:szCs w:val="22"/>
              </w:rPr>
            </w:pPr>
            <w:r>
              <w:rPr>
                <w:noProof/>
              </w:rPr>
              <w:t>Îmbunătățirea aplicării legislației și a elaborării politicilor pe bază de date</w:t>
            </w:r>
          </w:p>
          <w:p>
            <w:pPr>
              <w:numPr>
                <w:ilvl w:val="0"/>
                <w:numId w:val="19"/>
              </w:numPr>
              <w:spacing w:before="0" w:after="200" w:line="276" w:lineRule="auto"/>
              <w:jc w:val="left"/>
              <w:rPr>
                <w:rFonts w:eastAsiaTheme="minorHAnsi"/>
                <w:noProof/>
                <w:szCs w:val="22"/>
              </w:rPr>
            </w:pPr>
            <w:r>
              <w:rPr>
                <w:noProof/>
              </w:rPr>
              <w:t>Promovarea armonizării și a interoperabilității datelor de raportare financiară</w:t>
            </w:r>
          </w:p>
          <w:p>
            <w:pPr>
              <w:numPr>
                <w:ilvl w:val="0"/>
                <w:numId w:val="19"/>
              </w:numPr>
              <w:spacing w:before="0" w:after="200" w:line="276" w:lineRule="auto"/>
              <w:jc w:val="left"/>
              <w:rPr>
                <w:rFonts w:eastAsiaTheme="minorHAnsi"/>
                <w:noProof/>
                <w:szCs w:val="22"/>
              </w:rPr>
            </w:pPr>
            <w:r>
              <w:rPr>
                <w:noProof/>
              </w:rPr>
              <w:t>Sprijinirea obiectivului UE privind un ecosistem de date fiabil pentru guvernanța economică</w:t>
            </w:r>
          </w:p>
        </w:tc>
      </w:tr>
    </w:tbl>
    <w:p>
      <w:pPr>
        <w:spacing w:before="0" w:after="200" w:line="276" w:lineRule="auto"/>
        <w:jc w:val="left"/>
        <w:rPr>
          <w:noProof/>
        </w:rPr>
      </w:pPr>
      <w:bookmarkStart w:id="240" w:name="_Hlk229375996"/>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 8 - Schimbul automat obligatoriu de informații cu privire la modalitățile transfrontaliere care fac obiectul raportării</w:t>
            </w:r>
          </w:p>
          <w:p>
            <w:pPr>
              <w:spacing w:before="0" w:after="200" w:line="276" w:lineRule="auto"/>
              <w:jc w:val="left"/>
              <w:rPr>
                <w:rFonts w:eastAsiaTheme="minorHAnsi"/>
                <w:noProof/>
                <w:szCs w:val="22"/>
              </w:rPr>
            </w:pPr>
            <w:r>
              <w:rPr>
                <w:noProof/>
              </w:rPr>
              <w:t>Impune intermediarilor (sau contribuabililor, în anumite cazuri) să raporteze modalitățile fiscale transfrontaliere cu „semne distinctive” specifice ale unei posibile evitări a obligațiilor fiscale, care sunt apoi partajate automat între autoritățile fiscale din UE pentru a spori transparența și a descuraja planificarea fiscală agresivă.</w:t>
            </w:r>
          </w:p>
          <w:p>
            <w:pPr>
              <w:spacing w:before="0" w:after="200" w:line="276" w:lineRule="auto"/>
              <w:jc w:val="left"/>
              <w:rPr>
                <w:rFonts w:eastAsiaTheme="minorHAnsi"/>
                <w:noProof/>
                <w:szCs w:val="22"/>
              </w:rPr>
            </w:pPr>
            <w:r>
              <w:rPr>
                <w:noProof/>
              </w:rPr>
              <w:t>Secțiunea V din directivă (cunoscută și sub denumirea de DAC6):</w:t>
            </w:r>
          </w:p>
          <w:p>
            <w:pPr>
              <w:numPr>
                <w:ilvl w:val="0"/>
                <w:numId w:val="23"/>
              </w:numPr>
              <w:spacing w:before="0" w:after="200" w:line="276" w:lineRule="auto"/>
              <w:jc w:val="left"/>
              <w:rPr>
                <w:rFonts w:eastAsiaTheme="minorHAnsi"/>
                <w:noProof/>
                <w:szCs w:val="22"/>
              </w:rPr>
            </w:pPr>
            <w:r>
              <w:rPr>
                <w:noProof/>
              </w:rPr>
              <w:t>Introduce raportarea obligatorie a anumitor modalități fiscale transfrontaliere care prezintă „semne distinctive” definite, legate de evitarea obligațiilor fiscale sau de planificarea fiscală agresivă.</w:t>
            </w:r>
          </w:p>
          <w:p>
            <w:pPr>
              <w:numPr>
                <w:ilvl w:val="0"/>
                <w:numId w:val="23"/>
              </w:numPr>
              <w:spacing w:before="0" w:after="200" w:line="276" w:lineRule="auto"/>
              <w:jc w:val="left"/>
              <w:rPr>
                <w:rFonts w:eastAsiaTheme="minorHAnsi"/>
                <w:noProof/>
                <w:szCs w:val="22"/>
              </w:rPr>
            </w:pPr>
            <w:r>
              <w:rPr>
                <w:noProof/>
              </w:rPr>
              <w:t>Impune obligația de raportare primară intermediarilor și, în unele cazuri, contribuabililor înșiși.</w:t>
            </w:r>
          </w:p>
          <w:p>
            <w:pPr>
              <w:numPr>
                <w:ilvl w:val="0"/>
                <w:numId w:val="23"/>
              </w:numPr>
              <w:spacing w:before="0" w:after="200" w:line="276" w:lineRule="auto"/>
              <w:jc w:val="left"/>
              <w:rPr>
                <w:rFonts w:eastAsiaTheme="minorHAnsi"/>
                <w:noProof/>
                <w:szCs w:val="22"/>
              </w:rPr>
            </w:pPr>
            <w:r>
              <w:rPr>
                <w:noProof/>
              </w:rPr>
              <w:lastRenderedPageBreak/>
              <w:t>Solicită raportarea către autoritățile fiscale naționale în termene stricte.</w:t>
            </w:r>
          </w:p>
          <w:p>
            <w:pPr>
              <w:numPr>
                <w:ilvl w:val="0"/>
                <w:numId w:val="23"/>
              </w:numPr>
              <w:spacing w:before="0" w:after="200" w:line="276" w:lineRule="auto"/>
              <w:jc w:val="left"/>
              <w:rPr>
                <w:rFonts w:eastAsiaTheme="minorHAnsi"/>
                <w:noProof/>
                <w:szCs w:val="22"/>
              </w:rPr>
            </w:pPr>
            <w:r>
              <w:rPr>
                <w:noProof/>
              </w:rPr>
              <w:t>Impune schimbul automat de informații raportate între statele membre ale UE, permițând vizibilitatea transfrontalieră a schemelor fiscale potențial agresive.</w:t>
            </w:r>
          </w:p>
          <w:p>
            <w:pPr>
              <w:numPr>
                <w:ilvl w:val="0"/>
                <w:numId w:val="23"/>
              </w:numPr>
              <w:spacing w:before="0" w:after="200" w:line="276" w:lineRule="auto"/>
              <w:jc w:val="left"/>
              <w:rPr>
                <w:rFonts w:eastAsiaTheme="minorHAnsi"/>
                <w:noProof/>
                <w:szCs w:val="22"/>
              </w:rPr>
            </w:pPr>
            <w:r>
              <w:rPr>
                <w:noProof/>
              </w:rPr>
              <w:t>Urmărește să sporească transparența și să descurajeze practicile de evitare a obligațiilor fiscale, oferind autorităților fiscale informații timpurii cu privire la modalitățile fiscale potențial abuzive.</w:t>
            </w:r>
          </w:p>
          <w:p>
            <w:pPr>
              <w:spacing w:before="0" w:after="200" w:line="276" w:lineRule="auto"/>
              <w:jc w:val="left"/>
              <w:rPr>
                <w:rFonts w:eastAsiaTheme="minorHAnsi"/>
                <w:noProof/>
                <w:szCs w:val="22"/>
              </w:rPr>
            </w:pPr>
            <w:r>
              <w:rPr>
                <w:noProof/>
              </w:rPr>
              <w:t>Sistemul de informații privind impozitarea DAC6 sprijină Strategia europeană privind datele prin:</w:t>
            </w:r>
          </w:p>
          <w:p>
            <w:pPr>
              <w:numPr>
                <w:ilvl w:val="0"/>
                <w:numId w:val="19"/>
              </w:numPr>
              <w:spacing w:before="0" w:after="200" w:line="276" w:lineRule="auto"/>
              <w:jc w:val="left"/>
              <w:rPr>
                <w:rFonts w:eastAsiaTheme="minorHAnsi"/>
                <w:noProof/>
                <w:szCs w:val="22"/>
              </w:rPr>
            </w:pPr>
            <w:r>
              <w:rPr>
                <w:noProof/>
              </w:rPr>
              <w:t>Facilitarea schimbului transfrontalier structurat de date de reglementare cu valoare ridicată</w:t>
            </w:r>
          </w:p>
          <w:p>
            <w:pPr>
              <w:numPr>
                <w:ilvl w:val="0"/>
                <w:numId w:val="19"/>
              </w:numPr>
              <w:spacing w:before="0" w:after="200" w:line="276" w:lineRule="auto"/>
              <w:jc w:val="left"/>
              <w:rPr>
                <w:rFonts w:eastAsiaTheme="minorHAnsi"/>
                <w:noProof/>
                <w:szCs w:val="22"/>
              </w:rPr>
            </w:pPr>
            <w:r>
              <w:rPr>
                <w:noProof/>
              </w:rPr>
              <w:t>Consolidarea fluxurilor fiabile de date între autoritățile publice</w:t>
            </w:r>
          </w:p>
          <w:p>
            <w:pPr>
              <w:numPr>
                <w:ilvl w:val="0"/>
                <w:numId w:val="19"/>
              </w:numPr>
              <w:spacing w:before="0" w:after="200" w:line="276" w:lineRule="auto"/>
              <w:jc w:val="left"/>
              <w:rPr>
                <w:rFonts w:eastAsiaTheme="minorHAnsi"/>
                <w:noProof/>
                <w:szCs w:val="22"/>
              </w:rPr>
            </w:pPr>
            <w:r>
              <w:rPr>
                <w:noProof/>
              </w:rPr>
              <w:t>Îmbunătățirea disponibilității în timp util a datelor care pot fi utilizate în vederea asigurării respectării legislației</w:t>
            </w:r>
          </w:p>
          <w:p>
            <w:pPr>
              <w:numPr>
                <w:ilvl w:val="0"/>
                <w:numId w:val="19"/>
              </w:numPr>
              <w:spacing w:before="0" w:after="200" w:line="276" w:lineRule="auto"/>
              <w:jc w:val="left"/>
              <w:rPr>
                <w:rFonts w:eastAsiaTheme="minorHAnsi"/>
                <w:noProof/>
                <w:szCs w:val="22"/>
              </w:rPr>
            </w:pPr>
            <w:r>
              <w:rPr>
                <w:noProof/>
              </w:rPr>
              <w:t>Promovarea standardizării și a raportării structurate</w:t>
            </w:r>
          </w:p>
          <w:p>
            <w:pPr>
              <w:numPr>
                <w:ilvl w:val="0"/>
                <w:numId w:val="19"/>
              </w:numPr>
              <w:spacing w:before="0" w:after="200" w:line="276" w:lineRule="auto"/>
              <w:jc w:val="left"/>
              <w:rPr>
                <w:rFonts w:eastAsiaTheme="minorHAnsi"/>
                <w:noProof/>
                <w:szCs w:val="22"/>
              </w:rPr>
            </w:pPr>
            <w:r>
              <w:rPr>
                <w:noProof/>
              </w:rPr>
              <w:t>Sprijinirea guvernanței și a coordonării bazate pe date la nivelul UE</w:t>
            </w:r>
          </w:p>
          <w:p>
            <w:pPr>
              <w:numPr>
                <w:ilvl w:val="0"/>
                <w:numId w:val="19"/>
              </w:numPr>
              <w:spacing w:before="0" w:after="200" w:line="276" w:lineRule="auto"/>
              <w:jc w:val="left"/>
              <w:rPr>
                <w:rFonts w:eastAsiaTheme="minorHAnsi"/>
                <w:noProof/>
                <w:szCs w:val="22"/>
              </w:rPr>
            </w:pPr>
            <w:r>
              <w:rPr>
                <w:noProof/>
              </w:rPr>
              <w:t>Consolidarea modelului UE de schimb controlat de date în interes public</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bookmarkEnd w:id="240"/>
          <w:p>
            <w:pPr>
              <w:spacing w:before="0" w:after="200" w:line="276" w:lineRule="auto"/>
              <w:jc w:val="left"/>
              <w:rPr>
                <w:rFonts w:eastAsiaTheme="minorHAnsi"/>
                <w:noProof/>
                <w:szCs w:val="22"/>
              </w:rPr>
            </w:pPr>
            <w:r>
              <w:rPr>
                <w:noProof/>
              </w:rPr>
              <w:t>Articolele 9, 10 și 11 din Directivă - Schimbul automat obligatoriu de informații raportate de operatorii de platforme.</w:t>
            </w:r>
          </w:p>
          <w:p>
            <w:pPr>
              <w:spacing w:before="0" w:after="200" w:line="276" w:lineRule="auto"/>
              <w:jc w:val="left"/>
              <w:rPr>
                <w:rFonts w:eastAsiaTheme="minorHAnsi"/>
                <w:noProof/>
                <w:szCs w:val="22"/>
              </w:rPr>
            </w:pPr>
            <w:r>
              <w:rPr>
                <w:noProof/>
              </w:rPr>
              <w:t>Fiecare stat membru ia măsurile necesare pentru a impune Operatorilor de Platforme care au Obligația de Raportare să îndeplinească procedurile de diligență fiscală și să îndeplinească cerințele de raportare privind Vânzătorii raportabili.</w:t>
            </w:r>
          </w:p>
          <w:p>
            <w:pPr>
              <w:spacing w:before="0" w:after="200" w:line="276" w:lineRule="auto"/>
              <w:jc w:val="left"/>
              <w:rPr>
                <w:rFonts w:eastAsiaTheme="minorHAnsi"/>
                <w:noProof/>
                <w:szCs w:val="22"/>
              </w:rPr>
            </w:pPr>
            <w:r>
              <w:rPr>
                <w:noProof/>
              </w:rPr>
              <w:t>Secțiunea VI din directivă (cunoscută și sub denumirea de DAC7):</w:t>
            </w:r>
          </w:p>
          <w:p>
            <w:pPr>
              <w:numPr>
                <w:ilvl w:val="0"/>
                <w:numId w:val="23"/>
              </w:numPr>
              <w:spacing w:before="0" w:after="200" w:line="276" w:lineRule="auto"/>
              <w:jc w:val="left"/>
              <w:rPr>
                <w:rFonts w:eastAsiaTheme="minorHAnsi"/>
                <w:noProof/>
                <w:szCs w:val="22"/>
              </w:rPr>
            </w:pPr>
            <w:r>
              <w:rPr>
                <w:noProof/>
              </w:rPr>
              <w:t xml:space="preserve">Impune ca un set de informații privind Vânzătorul raportabil căruia i se plătește sau i se creditează Contraprestația, aflate la dispoziția </w:t>
            </w:r>
            <w:r>
              <w:rPr>
                <w:noProof/>
              </w:rPr>
              <w:lastRenderedPageBreak/>
              <w:t>Operatorului de Platformă care are Obligația de Raportare, să fie schimbate cu autoritatea competentă din statul membru în care Vânzătorul raportabil este rezident.</w:t>
            </w:r>
          </w:p>
          <w:p>
            <w:pPr>
              <w:numPr>
                <w:ilvl w:val="0"/>
                <w:numId w:val="23"/>
              </w:numPr>
              <w:spacing w:before="0" w:after="200" w:line="276" w:lineRule="auto"/>
              <w:jc w:val="left"/>
              <w:rPr>
                <w:rFonts w:eastAsiaTheme="minorHAnsi"/>
                <w:noProof/>
                <w:szCs w:val="22"/>
              </w:rPr>
            </w:pPr>
            <w:r>
              <w:rPr>
                <w:noProof/>
              </w:rPr>
              <w:t>Introduce raportarea în cazul în care Vânzătorul raportabil prestează servicii de închiriere de bunuri imobile, în orice caz către autoritatea competentă a statului membru în care este situat bunul imobil.</w:t>
            </w:r>
          </w:p>
          <w:p>
            <w:pPr>
              <w:numPr>
                <w:ilvl w:val="0"/>
                <w:numId w:val="23"/>
              </w:numPr>
              <w:spacing w:before="0" w:after="200" w:line="276" w:lineRule="auto"/>
              <w:jc w:val="left"/>
              <w:rPr>
                <w:rFonts w:eastAsiaTheme="minorHAnsi"/>
                <w:noProof/>
                <w:szCs w:val="22"/>
              </w:rPr>
            </w:pPr>
            <w:r>
              <w:rPr>
                <w:noProof/>
              </w:rPr>
              <w:t>Impune înregistrarea în UE a Operatorilor de Platforme care au Obligația de Raportare, cărora li se alocă un număr individual de identificare.</w:t>
            </w:r>
          </w:p>
          <w:p>
            <w:pPr>
              <w:numPr>
                <w:ilvl w:val="0"/>
                <w:numId w:val="23"/>
              </w:numPr>
              <w:spacing w:before="0" w:after="200" w:line="276" w:lineRule="auto"/>
              <w:jc w:val="left"/>
              <w:rPr>
                <w:rFonts w:eastAsiaTheme="minorHAnsi"/>
                <w:noProof/>
                <w:szCs w:val="22"/>
              </w:rPr>
            </w:pPr>
            <w:r>
              <w:rPr>
                <w:noProof/>
              </w:rPr>
              <w:t>Stabilește un cadru pentru situațiile în care un stat membru a încheiat cu o jurisdicție din afara Uniunii un acord privind stabilirea autorității competente care impune schimbul automat de informații privind vânzătorii care obțin venituri din activități facilitate prin intermediul Platformelor.</w:t>
            </w:r>
          </w:p>
          <w:p>
            <w:pPr>
              <w:numPr>
                <w:ilvl w:val="0"/>
                <w:numId w:val="23"/>
              </w:numPr>
              <w:spacing w:before="0" w:after="200" w:line="276" w:lineRule="auto"/>
              <w:jc w:val="left"/>
              <w:rPr>
                <w:rFonts w:eastAsiaTheme="minorHAnsi"/>
                <w:noProof/>
                <w:szCs w:val="22"/>
              </w:rPr>
            </w:pPr>
            <w:r>
              <w:rPr>
                <w:noProof/>
              </w:rPr>
              <w:t>Urmărește să sporească transparența și să descurajeze practicile de evitare a obligațiilor fiscale.</w:t>
            </w:r>
          </w:p>
          <w:p>
            <w:pPr>
              <w:spacing w:before="0" w:after="200" w:line="276" w:lineRule="auto"/>
              <w:jc w:val="left"/>
              <w:rPr>
                <w:rFonts w:eastAsiaTheme="minorHAnsi"/>
                <w:noProof/>
                <w:szCs w:val="22"/>
              </w:rPr>
            </w:pPr>
            <w:r>
              <w:rPr>
                <w:noProof/>
              </w:rPr>
              <w:t>Sistemul de informații privind impozitarea DAC7 sprijină Strategia europeană privind datele prin:</w:t>
            </w:r>
          </w:p>
          <w:p>
            <w:pPr>
              <w:numPr>
                <w:ilvl w:val="0"/>
                <w:numId w:val="19"/>
              </w:numPr>
              <w:spacing w:before="0" w:after="200" w:line="276" w:lineRule="auto"/>
              <w:jc w:val="left"/>
              <w:rPr>
                <w:rFonts w:eastAsiaTheme="minorHAnsi"/>
                <w:noProof/>
                <w:szCs w:val="22"/>
              </w:rPr>
            </w:pPr>
            <w:r>
              <w:rPr>
                <w:noProof/>
              </w:rPr>
              <w:t>Facilitarea schimbului transfrontalier structurat de date de reglementare cu valoare ridicată</w:t>
            </w:r>
          </w:p>
          <w:p>
            <w:pPr>
              <w:numPr>
                <w:ilvl w:val="0"/>
                <w:numId w:val="19"/>
              </w:numPr>
              <w:spacing w:before="0" w:after="200" w:line="276" w:lineRule="auto"/>
              <w:jc w:val="left"/>
              <w:rPr>
                <w:rFonts w:eastAsiaTheme="minorHAnsi"/>
                <w:noProof/>
                <w:szCs w:val="22"/>
              </w:rPr>
            </w:pPr>
            <w:r>
              <w:rPr>
                <w:noProof/>
              </w:rPr>
              <w:t>Consolidarea fluxurilor fiabile de date între autoritățile publice</w:t>
            </w:r>
          </w:p>
          <w:p>
            <w:pPr>
              <w:numPr>
                <w:ilvl w:val="0"/>
                <w:numId w:val="19"/>
              </w:numPr>
              <w:spacing w:before="0" w:after="200" w:line="276" w:lineRule="auto"/>
              <w:jc w:val="left"/>
              <w:rPr>
                <w:rFonts w:eastAsiaTheme="minorHAnsi"/>
                <w:noProof/>
                <w:szCs w:val="22"/>
              </w:rPr>
            </w:pPr>
            <w:r>
              <w:rPr>
                <w:noProof/>
              </w:rPr>
              <w:t>Îmbunătățirea disponibilității în timp util a datelor care pot fi utilizate în vederea asigurării respectării legislației</w:t>
            </w:r>
          </w:p>
          <w:p>
            <w:pPr>
              <w:numPr>
                <w:ilvl w:val="0"/>
                <w:numId w:val="19"/>
              </w:numPr>
              <w:spacing w:before="0" w:after="200" w:line="276" w:lineRule="auto"/>
              <w:jc w:val="left"/>
              <w:rPr>
                <w:rFonts w:eastAsiaTheme="minorHAnsi"/>
                <w:noProof/>
                <w:szCs w:val="22"/>
              </w:rPr>
            </w:pPr>
            <w:r>
              <w:rPr>
                <w:noProof/>
              </w:rPr>
              <w:t>Promovarea standardizării și a raportării structurate</w:t>
            </w:r>
          </w:p>
          <w:p>
            <w:pPr>
              <w:numPr>
                <w:ilvl w:val="0"/>
                <w:numId w:val="19"/>
              </w:numPr>
              <w:spacing w:before="0" w:after="200" w:line="276" w:lineRule="auto"/>
              <w:jc w:val="left"/>
              <w:rPr>
                <w:rFonts w:eastAsiaTheme="minorHAnsi"/>
                <w:noProof/>
                <w:szCs w:val="22"/>
              </w:rPr>
            </w:pPr>
            <w:r>
              <w:rPr>
                <w:noProof/>
              </w:rPr>
              <w:t>Sprijinirea guvernanței și a coordonării bazate pe date la nivelul UE</w:t>
            </w:r>
          </w:p>
          <w:p>
            <w:pPr>
              <w:numPr>
                <w:ilvl w:val="0"/>
                <w:numId w:val="19"/>
              </w:numPr>
              <w:spacing w:before="0" w:after="200" w:line="276" w:lineRule="auto"/>
              <w:jc w:val="left"/>
              <w:rPr>
                <w:rFonts w:eastAsiaTheme="minorHAnsi"/>
                <w:noProof/>
                <w:szCs w:val="22"/>
              </w:rPr>
            </w:pPr>
            <w:r>
              <w:rPr>
                <w:noProof/>
              </w:rPr>
              <w:t>Consolidarea modelului UE de schimb controlat de date în interes public</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bookmarkStart w:id="241" w:name="_Hlk228191922"/>
            <w:r>
              <w:rPr>
                <w:noProof/>
              </w:rPr>
              <w:lastRenderedPageBreak/>
              <w:t>Art. 12 din directivă - Schimbul automat obligatoriu de informații raportate de Furnizorii de Servicii de Criptoactive Raportori</w:t>
            </w:r>
          </w:p>
          <w:p>
            <w:pPr>
              <w:spacing w:before="0" w:after="200" w:line="276" w:lineRule="auto"/>
              <w:jc w:val="left"/>
              <w:rPr>
                <w:rFonts w:eastAsiaTheme="minorHAnsi"/>
                <w:noProof/>
                <w:szCs w:val="22"/>
              </w:rPr>
            </w:pPr>
            <w:r>
              <w:rPr>
                <w:noProof/>
              </w:rPr>
              <w:t>Schimbul automat de informații (AEOI), un standard mondial elaborat pentru a combate evaziunea fiscală și a spori transparența sistemului financiar internațional, este pus în aplicare în întreaga UE utilizând Cadrul de raportare privind criptoactivele (CARF), introdus de OCDE, pentru a raporta cu privire la tranzacțiile cu criptoactive în cadrul directivei reformate.</w:t>
            </w:r>
          </w:p>
          <w:p>
            <w:pPr>
              <w:spacing w:before="0" w:after="200" w:line="276" w:lineRule="auto"/>
              <w:jc w:val="left"/>
              <w:rPr>
                <w:rFonts w:eastAsiaTheme="minorHAnsi"/>
                <w:noProof/>
                <w:szCs w:val="22"/>
              </w:rPr>
            </w:pPr>
            <w:r>
              <w:rPr>
                <w:noProof/>
              </w:rPr>
              <w:t>Secțiunea VII din directivă (cunoscută și sub denumirea de DAC8):</w:t>
            </w:r>
          </w:p>
          <w:p>
            <w:pPr>
              <w:numPr>
                <w:ilvl w:val="0"/>
                <w:numId w:val="18"/>
              </w:numPr>
              <w:spacing w:before="0" w:after="200" w:line="276" w:lineRule="auto"/>
              <w:jc w:val="left"/>
              <w:rPr>
                <w:rFonts w:eastAsiaTheme="minorHAnsi"/>
                <w:noProof/>
                <w:szCs w:val="22"/>
              </w:rPr>
            </w:pPr>
            <w:r>
              <w:rPr>
                <w:noProof/>
              </w:rPr>
              <w:t>Integrează activele digitale, cum ar fi criptomonedele și moneda electronică, în cadrul pentru schimbul de informații fiscale.</w:t>
            </w:r>
          </w:p>
          <w:p>
            <w:pPr>
              <w:numPr>
                <w:ilvl w:val="0"/>
                <w:numId w:val="18"/>
              </w:numPr>
              <w:spacing w:before="0" w:after="200" w:line="276" w:lineRule="auto"/>
              <w:jc w:val="left"/>
              <w:rPr>
                <w:rFonts w:eastAsiaTheme="minorHAnsi"/>
                <w:noProof/>
                <w:szCs w:val="22"/>
              </w:rPr>
            </w:pPr>
            <w:r>
              <w:rPr>
                <w:noProof/>
              </w:rPr>
              <w:t>Impune raportarea standardizată a datelor digitale (XML/XSD)</w:t>
            </w:r>
          </w:p>
          <w:p>
            <w:pPr>
              <w:numPr>
                <w:ilvl w:val="0"/>
                <w:numId w:val="18"/>
              </w:numPr>
              <w:spacing w:before="0" w:after="200" w:line="276" w:lineRule="auto"/>
              <w:jc w:val="left"/>
              <w:rPr>
                <w:rFonts w:eastAsiaTheme="minorHAnsi"/>
                <w:noProof/>
                <w:szCs w:val="22"/>
              </w:rPr>
            </w:pPr>
            <w:r>
              <w:rPr>
                <w:noProof/>
              </w:rPr>
              <w:t xml:space="preserve">Impune noi obligații de raportare operatorilor de platforme digitale, platformelor de tranzacționare pentru criptoactive și furnizorilor de portofele în ceea ce privește tranzacțiile cu criptoactive. </w:t>
            </w:r>
          </w:p>
          <w:p>
            <w:pPr>
              <w:spacing w:before="0" w:after="200" w:line="276" w:lineRule="auto"/>
              <w:jc w:val="left"/>
              <w:rPr>
                <w:rFonts w:eastAsiaTheme="minorHAnsi"/>
                <w:noProof/>
                <w:szCs w:val="22"/>
              </w:rPr>
            </w:pPr>
            <w:r>
              <w:rPr>
                <w:noProof/>
              </w:rPr>
              <w:t>Sistemul de informații privind impozitarea DAC8 sprijină Strategia europeană privind datele prin:</w:t>
            </w:r>
          </w:p>
          <w:p>
            <w:pPr>
              <w:numPr>
                <w:ilvl w:val="0"/>
                <w:numId w:val="19"/>
              </w:numPr>
              <w:spacing w:before="0" w:after="200" w:line="276" w:lineRule="auto"/>
              <w:jc w:val="left"/>
              <w:rPr>
                <w:rFonts w:eastAsiaTheme="minorHAnsi"/>
                <w:noProof/>
                <w:szCs w:val="22"/>
              </w:rPr>
            </w:pPr>
            <w:r>
              <w:rPr>
                <w:noProof/>
              </w:rPr>
              <w:t>Îmbunătățirea calității și a granularității datelor pentru o mai mare transparență fiscală în ceea ce privește criptoactivele și raportarea acestora</w:t>
            </w:r>
          </w:p>
          <w:p>
            <w:pPr>
              <w:numPr>
                <w:ilvl w:val="0"/>
                <w:numId w:val="19"/>
              </w:numPr>
              <w:spacing w:before="0" w:after="200" w:line="276" w:lineRule="auto"/>
              <w:jc w:val="left"/>
              <w:rPr>
                <w:rFonts w:eastAsiaTheme="minorHAnsi"/>
                <w:noProof/>
                <w:szCs w:val="22"/>
              </w:rPr>
            </w:pPr>
            <w:r>
              <w:rPr>
                <w:noProof/>
              </w:rPr>
              <w:t>Punerea în aplicare în toate jurisdicțiile a unor formate standardizate și prelucrabile automat</w:t>
            </w:r>
          </w:p>
          <w:p>
            <w:pPr>
              <w:numPr>
                <w:ilvl w:val="0"/>
                <w:numId w:val="19"/>
              </w:numPr>
              <w:spacing w:before="0" w:after="200" w:line="276" w:lineRule="auto"/>
              <w:jc w:val="left"/>
              <w:rPr>
                <w:rFonts w:eastAsiaTheme="minorHAnsi"/>
                <w:noProof/>
                <w:szCs w:val="22"/>
              </w:rPr>
            </w:pPr>
            <w:r>
              <w:rPr>
                <w:noProof/>
              </w:rPr>
              <w:t>Facilitarea reutilizării datelor pentru elaborarea de politici, reglementări și previziuni economice (un principiu-cheie FAIR)</w:t>
            </w:r>
          </w:p>
          <w:p>
            <w:pPr>
              <w:numPr>
                <w:ilvl w:val="0"/>
                <w:numId w:val="19"/>
              </w:numPr>
              <w:spacing w:before="0" w:after="200" w:line="276" w:lineRule="auto"/>
              <w:jc w:val="left"/>
              <w:rPr>
                <w:rFonts w:eastAsiaTheme="minorHAnsi"/>
                <w:noProof/>
                <w:szCs w:val="22"/>
              </w:rPr>
            </w:pPr>
            <w:r>
              <w:rPr>
                <w:noProof/>
              </w:rPr>
              <w:t>Sprijinirea schimbului transfrontalier de date și a disponibilității datelor care permit accesul la date de înaltă calitate din sectorul public și privat în toate statele membre</w:t>
            </w:r>
          </w:p>
          <w:p>
            <w:pPr>
              <w:numPr>
                <w:ilvl w:val="0"/>
                <w:numId w:val="19"/>
              </w:numPr>
              <w:spacing w:before="0" w:after="200" w:line="276" w:lineRule="auto"/>
              <w:jc w:val="left"/>
              <w:rPr>
                <w:rFonts w:eastAsiaTheme="minorHAnsi"/>
                <w:noProof/>
                <w:szCs w:val="22"/>
              </w:rPr>
            </w:pPr>
            <w:r>
              <w:rPr>
                <w:noProof/>
              </w:rPr>
              <w:t>Asigurarea interoperabilității datelor, a posibilității de reutilizare a acestora și a utilizării standardelor comune</w:t>
            </w:r>
          </w:p>
          <w:p>
            <w:pPr>
              <w:numPr>
                <w:ilvl w:val="0"/>
                <w:numId w:val="19"/>
              </w:numPr>
              <w:spacing w:before="0" w:after="200" w:line="276" w:lineRule="auto"/>
              <w:jc w:val="left"/>
              <w:rPr>
                <w:rFonts w:eastAsiaTheme="minorHAnsi"/>
                <w:noProof/>
                <w:szCs w:val="22"/>
              </w:rPr>
            </w:pPr>
            <w:r>
              <w:rPr>
                <w:noProof/>
              </w:rPr>
              <w:t>Promovarea suveranității și a guvernanței în materie de date</w:t>
            </w:r>
          </w:p>
          <w:p>
            <w:pPr>
              <w:numPr>
                <w:ilvl w:val="0"/>
                <w:numId w:val="19"/>
              </w:numPr>
              <w:spacing w:before="0" w:after="200" w:line="276" w:lineRule="auto"/>
              <w:jc w:val="left"/>
              <w:rPr>
                <w:rFonts w:eastAsiaTheme="minorHAnsi"/>
                <w:noProof/>
                <w:szCs w:val="22"/>
              </w:rPr>
            </w:pPr>
            <w:r>
              <w:rPr>
                <w:noProof/>
              </w:rPr>
              <w:lastRenderedPageBreak/>
              <w:t>Asigurarea încrederii, a transparenței, a securității, a echității, a eticii și a conformității cu RGPD</w:t>
            </w:r>
          </w:p>
        </w:tc>
      </w:tr>
      <w:bookmarkEnd w:id="241"/>
    </w:tbl>
    <w:p>
      <w:pPr>
        <w:spacing w:before="0" w:after="200" w:line="276" w:lineRule="auto"/>
        <w:jc w:val="left"/>
        <w:rPr>
          <w:b/>
          <w:bCs/>
          <w:noProof/>
        </w:rPr>
      </w:pPr>
    </w:p>
    <w:tbl>
      <w:tblPr>
        <w:tblStyle w:val="TableGrid"/>
        <w:tblW w:w="0" w:type="auto"/>
        <w:tblInd w:w="-34" w:type="dxa"/>
        <w:tblLayout w:type="fixed"/>
        <w:tblLook w:val="06A0" w:firstRow="1" w:lastRow="0" w:firstColumn="1" w:lastColumn="0" w:noHBand="1" w:noVBand="1"/>
      </w:tblPr>
      <w:tblGrid>
        <w:gridCol w:w="34"/>
        <w:gridCol w:w="13995"/>
        <w:gridCol w:w="113"/>
      </w:tblGrid>
      <w:tr>
        <w:trPr>
          <w:gridBefore w:val="1"/>
          <w:gridAfter w:val="1"/>
          <w:wBefore w:w="34" w:type="dxa"/>
          <w:wAfter w:w="113" w:type="dxa"/>
          <w:trHeight w:val="300"/>
        </w:trPr>
        <w:tc>
          <w:tcPr>
            <w:tcW w:w="13995" w:type="dxa"/>
          </w:tcPr>
          <w:p>
            <w:pPr>
              <w:spacing w:before="0" w:after="200" w:line="276" w:lineRule="auto"/>
              <w:jc w:val="left"/>
              <w:rPr>
                <w:rFonts w:eastAsiaTheme="minorHAnsi"/>
                <w:noProof/>
                <w:szCs w:val="22"/>
              </w:rPr>
            </w:pPr>
            <w:r>
              <w:rPr>
                <w:noProof/>
              </w:rPr>
              <w:t>Art. 15 din directivă - Schimbul de informații cu privire la Declarațiile privind impozitul suplimentar în temeiul articolului 44 din Directiva (UE) 2022/2523</w:t>
            </w:r>
          </w:p>
          <w:p>
            <w:pPr>
              <w:spacing w:before="0" w:after="200" w:line="276" w:lineRule="auto"/>
              <w:jc w:val="left"/>
              <w:rPr>
                <w:rFonts w:eastAsiaTheme="minorHAnsi"/>
                <w:noProof/>
                <w:szCs w:val="22"/>
              </w:rPr>
            </w:pPr>
            <w:r>
              <w:rPr>
                <w:noProof/>
              </w:rPr>
              <w:t>Mandatează fiecare stat membru să ia măsurile necesare pentru a impune entității constitutive care depune declarația din cadrul unui grup de întreprinderi multinaționale să utilizeze un formular-tip pentru a îndeplini obligațiile de declarare prevăzute la articolul 44 din Directiva (UE) 2022/2523, cu scopul de a asigura o cotă minimă de impozitare pentru grupurile de întreprinderi multinaționale în întreaga UE.</w:t>
            </w:r>
          </w:p>
          <w:p>
            <w:pPr>
              <w:spacing w:before="0" w:after="200" w:line="276" w:lineRule="auto"/>
              <w:jc w:val="left"/>
              <w:rPr>
                <w:rFonts w:eastAsiaTheme="minorHAnsi"/>
                <w:noProof/>
                <w:szCs w:val="22"/>
              </w:rPr>
            </w:pPr>
            <w:r>
              <w:rPr>
                <w:noProof/>
              </w:rPr>
              <w:t>Secțiunea VIII din directiva reformată (cunoscută și sub denumirea de DAC9):</w:t>
            </w:r>
          </w:p>
          <w:p>
            <w:pPr>
              <w:numPr>
                <w:ilvl w:val="0"/>
                <w:numId w:val="23"/>
              </w:numPr>
              <w:spacing w:before="0" w:after="200" w:line="276" w:lineRule="auto"/>
              <w:jc w:val="left"/>
              <w:rPr>
                <w:rFonts w:eastAsiaTheme="minorHAnsi"/>
                <w:noProof/>
                <w:szCs w:val="22"/>
              </w:rPr>
            </w:pPr>
            <w:r>
              <w:rPr>
                <w:noProof/>
              </w:rPr>
              <w:t>Introduce raportarea obligatorie între statele membre a declarațiilor privind impozitul suplimentar.</w:t>
            </w:r>
          </w:p>
          <w:p>
            <w:pPr>
              <w:numPr>
                <w:ilvl w:val="0"/>
                <w:numId w:val="23"/>
              </w:numPr>
              <w:spacing w:before="0" w:after="200" w:line="276" w:lineRule="auto"/>
              <w:jc w:val="left"/>
              <w:rPr>
                <w:rFonts w:eastAsiaTheme="minorHAnsi"/>
                <w:noProof/>
                <w:szCs w:val="22"/>
              </w:rPr>
            </w:pPr>
            <w:r>
              <w:rPr>
                <w:noProof/>
              </w:rPr>
              <w:t>Stabilește obligații de raportare specifice pentru entitățile dintr-un grup de întreprinderi multinaționale și pentru autoritățile fiscale competente ale statelor membre.</w:t>
            </w:r>
          </w:p>
          <w:p>
            <w:pPr>
              <w:numPr>
                <w:ilvl w:val="0"/>
                <w:numId w:val="23"/>
              </w:numPr>
              <w:spacing w:before="0" w:after="200" w:line="276" w:lineRule="auto"/>
              <w:jc w:val="left"/>
              <w:rPr>
                <w:rFonts w:eastAsiaTheme="minorHAnsi"/>
                <w:noProof/>
                <w:szCs w:val="22"/>
              </w:rPr>
            </w:pPr>
            <w:r>
              <w:rPr>
                <w:noProof/>
              </w:rPr>
              <w:t>Solicită raportarea către autoritățile fiscale naționale în termene stricte.</w:t>
            </w:r>
          </w:p>
          <w:p>
            <w:pPr>
              <w:numPr>
                <w:ilvl w:val="0"/>
                <w:numId w:val="23"/>
              </w:numPr>
              <w:spacing w:before="0" w:after="200" w:line="276" w:lineRule="auto"/>
              <w:jc w:val="left"/>
              <w:rPr>
                <w:rFonts w:eastAsiaTheme="minorHAnsi"/>
                <w:noProof/>
                <w:szCs w:val="22"/>
              </w:rPr>
            </w:pPr>
            <w:r>
              <w:rPr>
                <w:noProof/>
              </w:rPr>
              <w:t>Impune schimbul automat de informații raportate între statele membre ale UE, permițând vizibilitatea transfrontalieră a declarațiilor privind impozitul suplimentar.</w:t>
            </w:r>
          </w:p>
          <w:p>
            <w:pPr>
              <w:numPr>
                <w:ilvl w:val="0"/>
                <w:numId w:val="23"/>
              </w:numPr>
              <w:spacing w:before="0" w:after="200" w:line="276" w:lineRule="auto"/>
              <w:jc w:val="left"/>
              <w:rPr>
                <w:rFonts w:eastAsiaTheme="minorHAnsi"/>
                <w:noProof/>
                <w:szCs w:val="22"/>
              </w:rPr>
            </w:pPr>
            <w:r>
              <w:rPr>
                <w:noProof/>
              </w:rPr>
              <w:t>Vizează asigurarea aplicării în întreaga UE a unei rate minime globale de impozitare pentru grupurile de întreprinderi multinaționale.</w:t>
            </w:r>
          </w:p>
          <w:p>
            <w:pPr>
              <w:spacing w:before="0" w:after="200" w:line="276" w:lineRule="auto"/>
              <w:jc w:val="left"/>
              <w:rPr>
                <w:rFonts w:eastAsiaTheme="minorHAnsi"/>
                <w:noProof/>
                <w:szCs w:val="22"/>
              </w:rPr>
            </w:pPr>
            <w:r>
              <w:rPr>
                <w:noProof/>
              </w:rPr>
              <w:t>Sistemul de informații privind impozitarea DAC9 sprijină Strategia europeană privind datele prin:</w:t>
            </w:r>
          </w:p>
          <w:p>
            <w:pPr>
              <w:numPr>
                <w:ilvl w:val="0"/>
                <w:numId w:val="19"/>
              </w:numPr>
              <w:spacing w:before="0" w:after="200" w:line="276" w:lineRule="auto"/>
              <w:jc w:val="left"/>
              <w:rPr>
                <w:rFonts w:eastAsiaTheme="minorHAnsi"/>
                <w:noProof/>
                <w:szCs w:val="22"/>
              </w:rPr>
            </w:pPr>
            <w:r>
              <w:rPr>
                <w:noProof/>
              </w:rPr>
              <w:t>Facilitarea schimbului transfrontalier structurat de date de reglementare cu valoare ridicată</w:t>
            </w:r>
          </w:p>
          <w:p>
            <w:pPr>
              <w:numPr>
                <w:ilvl w:val="0"/>
                <w:numId w:val="19"/>
              </w:numPr>
              <w:spacing w:before="0" w:after="200" w:line="276" w:lineRule="auto"/>
              <w:jc w:val="left"/>
              <w:rPr>
                <w:rFonts w:eastAsiaTheme="minorHAnsi"/>
                <w:noProof/>
                <w:szCs w:val="22"/>
              </w:rPr>
            </w:pPr>
            <w:r>
              <w:rPr>
                <w:noProof/>
              </w:rPr>
              <w:t>Consolidarea fluxurilor fiabile de date între autoritățile publice</w:t>
            </w:r>
          </w:p>
          <w:p>
            <w:pPr>
              <w:numPr>
                <w:ilvl w:val="0"/>
                <w:numId w:val="19"/>
              </w:numPr>
              <w:spacing w:before="0" w:after="200" w:line="276" w:lineRule="auto"/>
              <w:jc w:val="left"/>
              <w:rPr>
                <w:rFonts w:eastAsiaTheme="minorHAnsi"/>
                <w:noProof/>
                <w:szCs w:val="22"/>
              </w:rPr>
            </w:pPr>
            <w:r>
              <w:rPr>
                <w:noProof/>
              </w:rPr>
              <w:lastRenderedPageBreak/>
              <w:t>Îmbunătățirea disponibilității în timp util a datelor care pot fi utilizate în vederea asigurării respectării legislației</w:t>
            </w:r>
          </w:p>
          <w:p>
            <w:pPr>
              <w:numPr>
                <w:ilvl w:val="0"/>
                <w:numId w:val="19"/>
              </w:numPr>
              <w:spacing w:before="0" w:after="200" w:line="276" w:lineRule="auto"/>
              <w:jc w:val="left"/>
              <w:rPr>
                <w:rFonts w:eastAsiaTheme="minorHAnsi"/>
                <w:noProof/>
                <w:szCs w:val="22"/>
              </w:rPr>
            </w:pPr>
            <w:r>
              <w:rPr>
                <w:noProof/>
              </w:rPr>
              <w:t>Promovarea standardizării și a raportării structurate</w:t>
            </w:r>
          </w:p>
          <w:p>
            <w:pPr>
              <w:numPr>
                <w:ilvl w:val="0"/>
                <w:numId w:val="19"/>
              </w:numPr>
              <w:spacing w:before="0" w:after="200" w:line="276" w:lineRule="auto"/>
              <w:jc w:val="left"/>
              <w:rPr>
                <w:rFonts w:eastAsiaTheme="minorHAnsi"/>
                <w:noProof/>
                <w:szCs w:val="22"/>
              </w:rPr>
            </w:pPr>
            <w:r>
              <w:rPr>
                <w:noProof/>
              </w:rPr>
              <w:t>Sprijinirea guvernanței și a coordonării bazate pe date la nivelul UE</w:t>
            </w:r>
          </w:p>
          <w:p>
            <w:pPr>
              <w:numPr>
                <w:ilvl w:val="0"/>
                <w:numId w:val="19"/>
              </w:numPr>
              <w:spacing w:before="0" w:after="200" w:line="276" w:lineRule="auto"/>
              <w:jc w:val="left"/>
              <w:rPr>
                <w:rFonts w:eastAsiaTheme="minorHAnsi"/>
                <w:noProof/>
                <w:szCs w:val="22"/>
              </w:rPr>
            </w:pPr>
            <w:r>
              <w:rPr>
                <w:noProof/>
              </w:rPr>
              <w:t>Consolidarea modelului UE de schimb controlat de date în interes public</w:t>
            </w:r>
          </w:p>
        </w:tc>
      </w:tr>
      <w:tr>
        <w:trPr>
          <w:trHeight w:val="300"/>
        </w:trPr>
        <w:tc>
          <w:tcPr>
            <w:tcW w:w="14142" w:type="dxa"/>
            <w:gridSpan w:val="3"/>
          </w:tcPr>
          <w:p>
            <w:pPr>
              <w:spacing w:before="0" w:after="200" w:line="276" w:lineRule="auto"/>
              <w:jc w:val="left"/>
              <w:rPr>
                <w:rFonts w:eastAsiaTheme="minorHAnsi"/>
                <w:noProof/>
                <w:szCs w:val="22"/>
              </w:rPr>
            </w:pPr>
            <w:r>
              <w:rPr>
                <w:noProof/>
              </w:rPr>
              <w:lastRenderedPageBreak/>
              <w:t>Art. 16 - Notificări în scopul raportării pentru fiecare țară în parte, al depunerii la nivel central a declarației privind impozitul suplimentar și schimbul de informații</w:t>
            </w:r>
          </w:p>
          <w:p>
            <w:pPr>
              <w:spacing w:before="0" w:after="200" w:line="276" w:lineRule="auto"/>
              <w:jc w:val="left"/>
              <w:rPr>
                <w:rFonts w:eastAsiaTheme="minorHAnsi"/>
                <w:noProof/>
                <w:szCs w:val="22"/>
              </w:rPr>
            </w:pPr>
            <w:r>
              <w:rPr>
                <w:noProof/>
              </w:rPr>
              <w:t xml:space="preserve">Mandatează fiecare stat membru să ia măsurile necesare pentru a permite entității raportoare în temeiul articolului 7 sau entității constitutive din cadrul unui grup de întreprinderi multinaționale care prezintă rapoarte în temeiul articolului 15 să depună o singură notificare. </w:t>
            </w:r>
          </w:p>
          <w:p>
            <w:pPr>
              <w:spacing w:before="0" w:after="200" w:line="276" w:lineRule="auto"/>
              <w:jc w:val="left"/>
              <w:rPr>
                <w:rFonts w:eastAsiaTheme="minorHAnsi"/>
                <w:noProof/>
                <w:szCs w:val="22"/>
              </w:rPr>
            </w:pPr>
            <w:r>
              <w:rPr>
                <w:noProof/>
              </w:rPr>
              <w:t>Secțiunea VIII (cunoscută și sub denumirea de DAC9):</w:t>
            </w:r>
          </w:p>
          <w:p>
            <w:pPr>
              <w:numPr>
                <w:ilvl w:val="0"/>
                <w:numId w:val="23"/>
              </w:numPr>
              <w:spacing w:before="0" w:after="200" w:line="276" w:lineRule="auto"/>
              <w:jc w:val="left"/>
              <w:rPr>
                <w:rFonts w:eastAsiaTheme="minorHAnsi"/>
                <w:noProof/>
                <w:szCs w:val="22"/>
              </w:rPr>
            </w:pPr>
            <w:r>
              <w:rPr>
                <w:noProof/>
              </w:rPr>
              <w:t>Introduce raportarea obligatorie între statele membre a declarațiilor privind impozitul suplimentar.</w:t>
            </w:r>
          </w:p>
          <w:p>
            <w:pPr>
              <w:numPr>
                <w:ilvl w:val="0"/>
                <w:numId w:val="23"/>
              </w:numPr>
              <w:spacing w:before="0" w:after="200" w:line="276" w:lineRule="auto"/>
              <w:jc w:val="left"/>
              <w:rPr>
                <w:rFonts w:eastAsiaTheme="minorHAnsi"/>
                <w:noProof/>
                <w:szCs w:val="22"/>
              </w:rPr>
            </w:pPr>
            <w:r>
              <w:rPr>
                <w:noProof/>
              </w:rPr>
              <w:t>Stabilește obligații de raportare specifice pentru entitățile dintr-un grup de întreprinderi multinaționale și pentru autoritățile fiscale competente ale statelor membre.</w:t>
            </w:r>
          </w:p>
          <w:p>
            <w:pPr>
              <w:numPr>
                <w:ilvl w:val="0"/>
                <w:numId w:val="23"/>
              </w:numPr>
              <w:spacing w:before="0" w:after="200" w:line="276" w:lineRule="auto"/>
              <w:jc w:val="left"/>
              <w:rPr>
                <w:rFonts w:eastAsiaTheme="minorHAnsi"/>
                <w:noProof/>
                <w:szCs w:val="22"/>
              </w:rPr>
            </w:pPr>
            <w:r>
              <w:rPr>
                <w:noProof/>
              </w:rPr>
              <w:t>Solicită raportarea către autoritățile fiscale naționale în termene stricte.</w:t>
            </w:r>
          </w:p>
          <w:p>
            <w:pPr>
              <w:numPr>
                <w:ilvl w:val="0"/>
                <w:numId w:val="23"/>
              </w:numPr>
              <w:spacing w:before="0" w:after="200" w:line="276" w:lineRule="auto"/>
              <w:jc w:val="left"/>
              <w:rPr>
                <w:rFonts w:eastAsiaTheme="minorHAnsi"/>
                <w:noProof/>
                <w:szCs w:val="22"/>
              </w:rPr>
            </w:pPr>
            <w:r>
              <w:rPr>
                <w:noProof/>
              </w:rPr>
              <w:t>Impune schimbul automat de informații raportate între statele membre ale UE, permițând vizibilitatea transfrontalieră a declarațiilor privind impozitul suplimentar.</w:t>
            </w:r>
          </w:p>
          <w:p>
            <w:pPr>
              <w:numPr>
                <w:ilvl w:val="0"/>
                <w:numId w:val="23"/>
              </w:numPr>
              <w:spacing w:before="0" w:after="200" w:line="276" w:lineRule="auto"/>
              <w:jc w:val="left"/>
              <w:rPr>
                <w:rFonts w:eastAsiaTheme="minorHAnsi"/>
                <w:noProof/>
                <w:szCs w:val="22"/>
              </w:rPr>
            </w:pPr>
            <w:r>
              <w:rPr>
                <w:noProof/>
              </w:rPr>
              <w:t>Vizează asigurarea aplicării în întreaga UE a unei rate minime globale de impozitare pentru grupurile de întreprinderi multinaționale.</w:t>
            </w:r>
          </w:p>
          <w:p>
            <w:pPr>
              <w:spacing w:before="0" w:after="200" w:line="276" w:lineRule="auto"/>
              <w:jc w:val="left"/>
              <w:rPr>
                <w:rFonts w:eastAsiaTheme="minorHAnsi"/>
                <w:noProof/>
                <w:szCs w:val="22"/>
              </w:rPr>
            </w:pPr>
            <w:r>
              <w:rPr>
                <w:noProof/>
              </w:rPr>
              <w:t>Această abordare digitală privind comunicarea dintre diferitele sisteme de informații privind impozitarea sprijină Strategia europeană privind datele prin:</w:t>
            </w:r>
          </w:p>
          <w:p>
            <w:pPr>
              <w:numPr>
                <w:ilvl w:val="0"/>
                <w:numId w:val="19"/>
              </w:numPr>
              <w:spacing w:before="0" w:after="200" w:line="276" w:lineRule="auto"/>
              <w:jc w:val="left"/>
              <w:rPr>
                <w:rFonts w:eastAsiaTheme="minorHAnsi"/>
                <w:noProof/>
                <w:szCs w:val="22"/>
              </w:rPr>
            </w:pPr>
            <w:r>
              <w:rPr>
                <w:noProof/>
              </w:rPr>
              <w:lastRenderedPageBreak/>
              <w:t>Facilitarea schimbului transfrontalier structurat de date de reglementare cu valoare ridicată</w:t>
            </w:r>
          </w:p>
          <w:p>
            <w:pPr>
              <w:numPr>
                <w:ilvl w:val="0"/>
                <w:numId w:val="19"/>
              </w:numPr>
              <w:spacing w:before="0" w:after="200" w:line="276" w:lineRule="auto"/>
              <w:jc w:val="left"/>
              <w:rPr>
                <w:rFonts w:eastAsiaTheme="minorHAnsi"/>
                <w:noProof/>
                <w:szCs w:val="22"/>
              </w:rPr>
            </w:pPr>
            <w:r>
              <w:rPr>
                <w:noProof/>
              </w:rPr>
              <w:t>Consolidarea fluxurilor fiabile de date între autoritățile publice</w:t>
            </w:r>
          </w:p>
          <w:p>
            <w:pPr>
              <w:numPr>
                <w:ilvl w:val="0"/>
                <w:numId w:val="19"/>
              </w:numPr>
              <w:spacing w:before="0" w:after="200" w:line="276" w:lineRule="auto"/>
              <w:jc w:val="left"/>
              <w:rPr>
                <w:rFonts w:eastAsiaTheme="minorHAnsi"/>
                <w:noProof/>
                <w:szCs w:val="22"/>
              </w:rPr>
            </w:pPr>
            <w:r>
              <w:rPr>
                <w:noProof/>
              </w:rPr>
              <w:t>Îmbunătățirea disponibilității în timp util a datelor care pot fi utilizate în vederea asigurării respectării legislației</w:t>
            </w:r>
          </w:p>
          <w:p>
            <w:pPr>
              <w:numPr>
                <w:ilvl w:val="0"/>
                <w:numId w:val="19"/>
              </w:numPr>
              <w:spacing w:before="0" w:after="200" w:line="276" w:lineRule="auto"/>
              <w:jc w:val="left"/>
              <w:rPr>
                <w:rFonts w:eastAsiaTheme="minorHAnsi"/>
                <w:noProof/>
                <w:szCs w:val="22"/>
              </w:rPr>
            </w:pPr>
            <w:r>
              <w:rPr>
                <w:noProof/>
              </w:rPr>
              <w:t>Promovarea standardizării și a raportării structurate</w:t>
            </w:r>
          </w:p>
          <w:p>
            <w:pPr>
              <w:numPr>
                <w:ilvl w:val="0"/>
                <w:numId w:val="19"/>
              </w:numPr>
              <w:spacing w:before="0" w:after="200" w:line="276" w:lineRule="auto"/>
              <w:jc w:val="left"/>
              <w:rPr>
                <w:rFonts w:eastAsiaTheme="minorHAnsi"/>
                <w:noProof/>
                <w:szCs w:val="22"/>
              </w:rPr>
            </w:pPr>
            <w:r>
              <w:rPr>
                <w:noProof/>
              </w:rPr>
              <w:t>Sprijinirea guvernanței și a coordonării bazate pe date la nivelul UE</w:t>
            </w:r>
          </w:p>
          <w:p>
            <w:pPr>
              <w:numPr>
                <w:ilvl w:val="0"/>
                <w:numId w:val="19"/>
              </w:numPr>
              <w:spacing w:before="0" w:after="200" w:line="276" w:lineRule="auto"/>
              <w:jc w:val="left"/>
              <w:rPr>
                <w:rFonts w:eastAsiaTheme="minorHAnsi"/>
                <w:noProof/>
                <w:szCs w:val="22"/>
              </w:rPr>
            </w:pPr>
            <w:r>
              <w:rPr>
                <w:noProof/>
              </w:rPr>
              <w:t>Consolidarea modelului UE de schimb controlat de date în interes public</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 36 – Instrumentul de verificare a NIF</w:t>
            </w:r>
          </w:p>
          <w:p>
            <w:pPr>
              <w:spacing w:before="0" w:after="200" w:line="276" w:lineRule="auto"/>
              <w:jc w:val="left"/>
              <w:rPr>
                <w:rFonts w:eastAsiaTheme="minorHAnsi"/>
                <w:noProof/>
                <w:szCs w:val="22"/>
              </w:rPr>
            </w:pPr>
            <w:r>
              <w:rPr>
                <w:noProof/>
              </w:rPr>
              <w:t xml:space="preserve">Pune la dispoziția statelor membre un instrument, dezvoltat de Comisia Europeană, care permite verificarea digitală și automată a valabilității unui NIF furnizat de o entitate raportoare sau de un contribuabil. </w:t>
            </w:r>
          </w:p>
          <w:p>
            <w:pPr>
              <w:spacing w:before="0" w:after="200" w:line="276" w:lineRule="auto"/>
              <w:jc w:val="left"/>
              <w:rPr>
                <w:rFonts w:eastAsiaTheme="minorHAnsi"/>
                <w:noProof/>
                <w:szCs w:val="22"/>
              </w:rPr>
            </w:pPr>
            <w:r>
              <w:rPr>
                <w:noProof/>
              </w:rPr>
              <w:t>ToW (</w:t>
            </w:r>
            <w:r>
              <w:rPr>
                <w:i/>
                <w:noProof/>
              </w:rPr>
              <w:t>TIN-on-the-Web</w:t>
            </w:r>
            <w:r>
              <w:rPr>
                <w:noProof/>
              </w:rPr>
              <w:t>):</w:t>
            </w:r>
          </w:p>
          <w:p>
            <w:pPr>
              <w:numPr>
                <w:ilvl w:val="0"/>
                <w:numId w:val="23"/>
              </w:numPr>
              <w:spacing w:before="0" w:after="200" w:line="276" w:lineRule="auto"/>
              <w:jc w:val="left"/>
              <w:rPr>
                <w:rFonts w:eastAsiaTheme="minorHAnsi"/>
                <w:noProof/>
                <w:szCs w:val="22"/>
              </w:rPr>
            </w:pPr>
            <w:r>
              <w:rPr>
                <w:noProof/>
              </w:rPr>
              <w:t>Permite să se verifice dacă un număr de identificare fiscală (NIF) corespunde formatului național oficial al unui stat membru.</w:t>
            </w:r>
          </w:p>
          <w:p>
            <w:pPr>
              <w:numPr>
                <w:ilvl w:val="0"/>
                <w:numId w:val="23"/>
              </w:numPr>
              <w:spacing w:before="0" w:after="200" w:line="276" w:lineRule="auto"/>
              <w:jc w:val="left"/>
              <w:rPr>
                <w:rFonts w:eastAsiaTheme="minorHAnsi"/>
                <w:noProof/>
                <w:szCs w:val="22"/>
              </w:rPr>
            </w:pPr>
            <w:r>
              <w:rPr>
                <w:noProof/>
              </w:rPr>
              <w:t>Validează structura și sintaxa NIF, ajutând la stabilirea corectitudinii formale a numărului.</w:t>
            </w:r>
          </w:p>
          <w:p>
            <w:pPr>
              <w:numPr>
                <w:ilvl w:val="0"/>
                <w:numId w:val="23"/>
              </w:numPr>
              <w:spacing w:before="0" w:after="200" w:line="276" w:lineRule="auto"/>
              <w:jc w:val="left"/>
              <w:rPr>
                <w:rFonts w:eastAsiaTheme="minorHAnsi"/>
                <w:noProof/>
                <w:szCs w:val="22"/>
              </w:rPr>
            </w:pPr>
            <w:r>
              <w:rPr>
                <w:noProof/>
              </w:rPr>
              <w:t>Sprijină administrațiile fiscale și entitățile raportoare în reducerea erorilor în raportarea fiscală transfrontalieră și în procedurile de schimb automat de informații în temeiul cadrelor DAC.</w:t>
            </w:r>
          </w:p>
          <w:p>
            <w:pPr>
              <w:numPr>
                <w:ilvl w:val="0"/>
                <w:numId w:val="23"/>
              </w:numPr>
              <w:spacing w:before="0" w:after="200" w:line="276" w:lineRule="auto"/>
              <w:jc w:val="left"/>
              <w:rPr>
                <w:rFonts w:eastAsiaTheme="minorHAnsi"/>
                <w:noProof/>
                <w:szCs w:val="22"/>
              </w:rPr>
            </w:pPr>
            <w:r>
              <w:rPr>
                <w:noProof/>
              </w:rPr>
              <w:t>Îmbunătățește interoperabilitatea și calitatea datelor prin aplicarea unor reguli armonizate de validare pentru formatele NIF în toate statele membre ale UE.</w:t>
            </w:r>
          </w:p>
          <w:p>
            <w:pPr>
              <w:numPr>
                <w:ilvl w:val="0"/>
                <w:numId w:val="23"/>
              </w:numPr>
              <w:spacing w:before="0" w:after="200" w:line="276" w:lineRule="auto"/>
              <w:jc w:val="left"/>
              <w:rPr>
                <w:rFonts w:eastAsiaTheme="minorHAnsi"/>
                <w:noProof/>
                <w:szCs w:val="22"/>
              </w:rPr>
            </w:pPr>
            <w:r>
              <w:rPr>
                <w:noProof/>
              </w:rPr>
              <w:t xml:space="preserve">În mod normal, nu confirmă identitatea contribuabilului sau dacă NIF aparține unei anumite persoane; validează, în principal, </w:t>
            </w:r>
            <w:r>
              <w:rPr>
                <w:noProof/>
              </w:rPr>
              <w:lastRenderedPageBreak/>
              <w:t>corectitudinea formatului și a structurii NIF.</w:t>
            </w:r>
          </w:p>
          <w:p>
            <w:pPr>
              <w:spacing w:before="0" w:after="200" w:line="276" w:lineRule="auto"/>
              <w:jc w:val="left"/>
              <w:rPr>
                <w:rFonts w:eastAsiaTheme="minorHAnsi"/>
                <w:noProof/>
                <w:szCs w:val="22"/>
              </w:rPr>
            </w:pPr>
            <w:r>
              <w:rPr>
                <w:noProof/>
              </w:rPr>
              <w:t>Acest sistem ToW sprijină Strategia europeană privind datele prin:</w:t>
            </w:r>
          </w:p>
          <w:p>
            <w:pPr>
              <w:numPr>
                <w:ilvl w:val="0"/>
                <w:numId w:val="19"/>
              </w:numPr>
              <w:spacing w:before="0" w:after="200" w:line="276" w:lineRule="auto"/>
              <w:jc w:val="left"/>
              <w:rPr>
                <w:rFonts w:eastAsiaTheme="minorHAnsi"/>
                <w:noProof/>
                <w:szCs w:val="22"/>
              </w:rPr>
            </w:pPr>
            <w:r>
              <w:rPr>
                <w:noProof/>
              </w:rPr>
              <w:t>Sprijinirea interoperabilității datelor fiscale între statele membre prin validarea standardizată a numărului de identificare fiscală (NIF).</w:t>
            </w:r>
          </w:p>
          <w:p>
            <w:pPr>
              <w:numPr>
                <w:ilvl w:val="0"/>
                <w:numId w:val="19"/>
              </w:numPr>
              <w:spacing w:before="0" w:after="200" w:line="276" w:lineRule="auto"/>
              <w:jc w:val="left"/>
              <w:rPr>
                <w:rFonts w:eastAsiaTheme="minorHAnsi"/>
                <w:noProof/>
                <w:szCs w:val="22"/>
              </w:rPr>
            </w:pPr>
            <w:r>
              <w:rPr>
                <w:noProof/>
              </w:rPr>
              <w:t>Îmbunătățirea calității și fiabilității datelor prin reducerea erorilor în identificarea contribuabililor în timpul schimburilor transfrontaliere.</w:t>
            </w:r>
          </w:p>
          <w:p>
            <w:pPr>
              <w:numPr>
                <w:ilvl w:val="0"/>
                <w:numId w:val="19"/>
              </w:numPr>
              <w:spacing w:before="0" w:after="200" w:line="276" w:lineRule="auto"/>
              <w:jc w:val="left"/>
              <w:rPr>
                <w:rFonts w:eastAsiaTheme="minorHAnsi"/>
                <w:noProof/>
                <w:szCs w:val="22"/>
              </w:rPr>
            </w:pPr>
            <w:r>
              <w:rPr>
                <w:noProof/>
              </w:rPr>
              <w:t>Facilitarea reutilizării datelor existente de identificare a contribuabililor în conformitate cu principiul „doar o singură dată”.</w:t>
            </w:r>
          </w:p>
          <w:p>
            <w:pPr>
              <w:numPr>
                <w:ilvl w:val="0"/>
                <w:numId w:val="19"/>
              </w:numPr>
              <w:spacing w:before="0" w:after="200" w:line="276" w:lineRule="auto"/>
              <w:jc w:val="left"/>
              <w:rPr>
                <w:rFonts w:eastAsiaTheme="minorHAnsi"/>
                <w:noProof/>
                <w:szCs w:val="22"/>
              </w:rPr>
            </w:pPr>
            <w:r>
              <w:rPr>
                <w:noProof/>
              </w:rPr>
              <w:t>Facilitarea verificării automatizate și prelucrabile automat a identificatorilor contribuabililor în cadrul sistemelor de informații fiscale ale UE.</w:t>
            </w:r>
          </w:p>
          <w:p>
            <w:pPr>
              <w:numPr>
                <w:ilvl w:val="0"/>
                <w:numId w:val="19"/>
              </w:numPr>
              <w:spacing w:before="0" w:after="200" w:line="276" w:lineRule="auto"/>
              <w:jc w:val="left"/>
              <w:rPr>
                <w:rFonts w:eastAsiaTheme="minorHAnsi"/>
                <w:noProof/>
                <w:szCs w:val="22"/>
              </w:rPr>
            </w:pPr>
            <w:r>
              <w:rPr>
                <w:noProof/>
              </w:rPr>
              <w:t>Consolidarea schimbului fiabil de date din sectorul public prin îmbunătățirea coerenței și a trasabilității evidențelor fiscale schimbate.</w:t>
            </w:r>
          </w:p>
          <w:p>
            <w:pPr>
              <w:numPr>
                <w:ilvl w:val="0"/>
                <w:numId w:val="19"/>
              </w:numPr>
              <w:spacing w:before="0" w:after="200" w:line="276" w:lineRule="auto"/>
              <w:jc w:val="left"/>
              <w:rPr>
                <w:rFonts w:eastAsiaTheme="minorHAnsi"/>
                <w:noProof/>
                <w:szCs w:val="22"/>
              </w:rPr>
            </w:pPr>
            <w:r>
              <w:rPr>
                <w:noProof/>
              </w:rPr>
              <w:t>Contribuția la servicii digitale armonizate de impozitare și la seturile de date reutilizabile de înaltă calitate în cadrul ecosistemului de date al UE.</w:t>
            </w:r>
          </w:p>
        </w:tc>
      </w:tr>
    </w:tbl>
    <w:p>
      <w:pPr>
        <w:spacing w:before="0" w:after="200" w:line="276" w:lineRule="auto"/>
        <w:jc w:val="left"/>
        <w:rPr>
          <w:noProof/>
        </w:rPr>
      </w:pPr>
    </w:p>
    <w:p>
      <w:pPr>
        <w:spacing w:before="0" w:after="200" w:line="276" w:lineRule="auto"/>
        <w:jc w:val="left"/>
        <w:rPr>
          <w:noProof/>
        </w:rPr>
      </w:pPr>
      <w:r>
        <w:rPr>
          <w:b/>
          <w:noProof/>
        </w:rPr>
        <w:t>Alinierea la principiul „doar o singură dată”</w:t>
      </w: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În contextul directivei, informațiile sunt colectate la nivel național în conformitate cu principiul „doar o singură dată” și sunt reutilizate prin schimburi de date între statele membre ale UE.</w:t>
            </w:r>
          </w:p>
        </w:tc>
      </w:tr>
    </w:tbl>
    <w:p>
      <w:pPr>
        <w:spacing w:before="0" w:after="200" w:line="276" w:lineRule="auto"/>
        <w:jc w:val="left"/>
        <w:rPr>
          <w:i/>
          <w:iCs/>
          <w:noProof/>
        </w:rPr>
      </w:pPr>
      <w:r>
        <w:rPr>
          <w:i/>
          <w:noProof/>
        </w:rPr>
        <w:t>Explicați modul în care datele nou create sunt ușor de găsit, accesibile, interoperabile și reutilizabile și respectă standarde de înaltă calitate</w:t>
      </w: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 xml:space="preserve">Art. 4 - SCHIMBUL AUTOMAT OBLIGATORIU DE INFORMAȚII PRIVIND VENITURILE DIN MUNCĂ, REMUNERAȚIILE ȘI ALTE BENEFICII PLĂTITE ADMINISTRATORILOR ȘI ALTOR PERSOANE ASIMILATE ACESTORA, PENSIILE, PROPRIETATEA ASUPRA BUNURILOR IMOBILE ȘI VENITURILE DIN BUNURI IMOBILE, REDEVENȚELE ȘI DIVIDENDELE VĂRSATE PRIN </w:t>
            </w:r>
            <w:r>
              <w:rPr>
                <w:noProof/>
              </w:rPr>
              <w:lastRenderedPageBreak/>
              <w:t>INTERMEDIUL UNOR CONTURI ALTELE DECÂT CELE DE CUSTODIE</w:t>
            </w:r>
          </w:p>
          <w:p>
            <w:pPr>
              <w:spacing w:before="0" w:after="200" w:line="276" w:lineRule="auto"/>
              <w:jc w:val="left"/>
              <w:rPr>
                <w:rFonts w:eastAsiaTheme="minorHAnsi"/>
                <w:noProof/>
                <w:szCs w:val="22"/>
              </w:rPr>
            </w:pPr>
            <w:r>
              <w:rPr>
                <w:noProof/>
              </w:rPr>
              <w:t xml:space="preserve">DAC1 este un sistem de informații privind impozitarea care funcționează ca un sistem transeuropean cu un schimb de date sistem-la-sistem între bazele de date fiscale ale statelor membre. Nu există o bază de date centrală a UE, dar abordarea sistemului este o transmitere automată a datelor de tip „push”, în care sistemele sursă exportă periodic seturi de date predefinite ale contribuabililor. </w:t>
            </w:r>
          </w:p>
          <w:p>
            <w:pPr>
              <w:spacing w:before="0" w:after="200" w:line="276" w:lineRule="auto"/>
              <w:jc w:val="left"/>
              <w:rPr>
                <w:rFonts w:eastAsiaTheme="minorHAnsi"/>
                <w:noProof/>
                <w:szCs w:val="22"/>
              </w:rPr>
            </w:pPr>
            <w:r>
              <w:rPr>
                <w:noProof/>
              </w:rPr>
              <w:t>În DAC1, modelul de date este bazat pe categorii, acoperind domenii structurate (cum ar fi veniturile din muncă, remunerațiile și alte beneficii plătite administratorilor și altor persoane asimilate acestora, pensiile, veniturile din bunuri imobile, redevențele și dividendele vărsate prin intermediul unor conturi altele decât cele de custodie). Fiecare sistem național de informații privind impozitarea acționează atât ca furnizor de date, cât și ca nod consumator de date într-o arhitectură de rețea distribuită.</w:t>
            </w:r>
          </w:p>
          <w:p>
            <w:pPr>
              <w:spacing w:before="0" w:after="200" w:line="276" w:lineRule="auto"/>
              <w:jc w:val="left"/>
              <w:rPr>
                <w:rFonts w:eastAsiaTheme="minorHAnsi"/>
                <w:noProof/>
                <w:szCs w:val="22"/>
              </w:rPr>
            </w:pPr>
            <w:r>
              <w:rPr>
                <w:noProof/>
              </w:rPr>
              <w:t>DAC1 respectă principiile ușurinței găsirii, accesibilității, interoperabilității și reutilizării (FAIR), menținând în același timp standarde de înaltă calitate.</w:t>
            </w:r>
          </w:p>
          <w:p>
            <w:pPr>
              <w:spacing w:before="0" w:after="200" w:line="276" w:lineRule="auto"/>
              <w:jc w:val="left"/>
              <w:rPr>
                <w:rFonts w:eastAsiaTheme="minorHAnsi"/>
                <w:noProof/>
                <w:szCs w:val="22"/>
              </w:rPr>
            </w:pPr>
            <w:r>
              <w:rPr>
                <w:noProof/>
              </w:rPr>
              <w:t>Ușor de găsit</w:t>
            </w:r>
          </w:p>
          <w:p>
            <w:pPr>
              <w:numPr>
                <w:ilvl w:val="0"/>
                <w:numId w:val="24"/>
              </w:numPr>
              <w:spacing w:before="0" w:after="200" w:line="276" w:lineRule="auto"/>
              <w:jc w:val="left"/>
              <w:rPr>
                <w:rFonts w:eastAsiaTheme="minorHAnsi"/>
                <w:noProof/>
                <w:szCs w:val="22"/>
              </w:rPr>
            </w:pPr>
            <w:r>
              <w:rPr>
                <w:noProof/>
              </w:rPr>
              <w:t>Datele DAC1 sunt structurate în categorii predefinite (de exemplu, venituri din muncă, pensii, venituri din proprietate), ceea ce le face indexabile în mod sistematic de către autoritățile fiscale.</w:t>
            </w:r>
          </w:p>
          <w:p>
            <w:pPr>
              <w:numPr>
                <w:ilvl w:val="0"/>
                <w:numId w:val="24"/>
              </w:numPr>
              <w:spacing w:before="0" w:after="200" w:line="276" w:lineRule="auto"/>
              <w:jc w:val="left"/>
              <w:rPr>
                <w:rFonts w:eastAsiaTheme="minorHAnsi"/>
                <w:noProof/>
                <w:szCs w:val="22"/>
              </w:rPr>
            </w:pPr>
            <w:r>
              <w:rPr>
                <w:noProof/>
              </w:rPr>
              <w:t>Utilizarea identificatorilor contribuabililor (cum ar fi NIF, dacă este disponibil) permite o corelare fiabilă a evidențelor între statele membre.</w:t>
            </w:r>
          </w:p>
          <w:p>
            <w:pPr>
              <w:numPr>
                <w:ilvl w:val="0"/>
                <w:numId w:val="24"/>
              </w:numPr>
              <w:spacing w:before="0" w:after="200" w:line="276" w:lineRule="auto"/>
              <w:jc w:val="left"/>
              <w:rPr>
                <w:rFonts w:eastAsiaTheme="minorHAnsi"/>
                <w:noProof/>
                <w:szCs w:val="22"/>
              </w:rPr>
            </w:pPr>
            <w:r>
              <w:rPr>
                <w:noProof/>
              </w:rPr>
              <w:t>Datele sunt transmise prin canale de cooperare administrativă stabilite, asigurându-se faptul că pot fi localizate în cadrul sistemelor fiscale naționale și de la nivelul UE.</w:t>
            </w:r>
          </w:p>
          <w:p>
            <w:pPr>
              <w:spacing w:before="0" w:after="200" w:line="276" w:lineRule="auto"/>
              <w:jc w:val="left"/>
              <w:rPr>
                <w:rFonts w:eastAsiaTheme="minorHAnsi"/>
                <w:noProof/>
                <w:szCs w:val="22"/>
              </w:rPr>
            </w:pPr>
            <w:r>
              <w:rPr>
                <w:noProof/>
              </w:rPr>
              <w:t>Accesibile</w:t>
            </w:r>
          </w:p>
          <w:p>
            <w:pPr>
              <w:numPr>
                <w:ilvl w:val="0"/>
                <w:numId w:val="25"/>
              </w:numPr>
              <w:spacing w:before="0" w:after="200" w:line="276" w:lineRule="auto"/>
              <w:jc w:val="left"/>
              <w:rPr>
                <w:rFonts w:eastAsiaTheme="minorHAnsi"/>
                <w:noProof/>
                <w:szCs w:val="22"/>
              </w:rPr>
            </w:pPr>
            <w:r>
              <w:rPr>
                <w:noProof/>
              </w:rPr>
              <w:t>Informațiile sunt schimbate direct între autoritățile fiscale competente prin intermediul unor sisteme de comunicare securizate și reglementate.</w:t>
            </w:r>
          </w:p>
          <w:p>
            <w:pPr>
              <w:numPr>
                <w:ilvl w:val="0"/>
                <w:numId w:val="25"/>
              </w:numPr>
              <w:spacing w:before="0" w:after="200" w:line="276" w:lineRule="auto"/>
              <w:jc w:val="left"/>
              <w:rPr>
                <w:rFonts w:eastAsiaTheme="minorHAnsi"/>
                <w:noProof/>
                <w:szCs w:val="22"/>
              </w:rPr>
            </w:pPr>
            <w:r>
              <w:rPr>
                <w:noProof/>
              </w:rPr>
              <w:lastRenderedPageBreak/>
              <w:t>Accesul este limitat la organismele publice autorizate, asigurând extragerea controlată, dar fiabilă a datelor.</w:t>
            </w:r>
          </w:p>
          <w:p>
            <w:pPr>
              <w:numPr>
                <w:ilvl w:val="0"/>
                <w:numId w:val="25"/>
              </w:numPr>
              <w:spacing w:before="0" w:after="200" w:line="276" w:lineRule="auto"/>
              <w:jc w:val="left"/>
              <w:rPr>
                <w:rFonts w:eastAsiaTheme="minorHAnsi"/>
                <w:noProof/>
                <w:szCs w:val="22"/>
              </w:rPr>
            </w:pPr>
            <w:r>
              <w:rPr>
                <w:noProof/>
              </w:rPr>
              <w:t>Cadrul juridic garantează disponibilitatea continuă a datelor odată ce acestea au fost raportate de statul membru de origine.</w:t>
            </w:r>
          </w:p>
          <w:p>
            <w:pPr>
              <w:spacing w:before="0" w:after="200" w:line="276" w:lineRule="auto"/>
              <w:jc w:val="left"/>
              <w:rPr>
                <w:rFonts w:eastAsiaTheme="minorHAnsi"/>
                <w:noProof/>
                <w:szCs w:val="22"/>
              </w:rPr>
            </w:pPr>
            <w:r>
              <w:rPr>
                <w:noProof/>
              </w:rPr>
              <w:t>Interoperabile</w:t>
            </w:r>
          </w:p>
          <w:p>
            <w:pPr>
              <w:numPr>
                <w:ilvl w:val="0"/>
                <w:numId w:val="26"/>
              </w:numPr>
              <w:spacing w:before="0" w:after="200" w:line="276" w:lineRule="auto"/>
              <w:jc w:val="left"/>
              <w:rPr>
                <w:rFonts w:eastAsiaTheme="minorHAnsi"/>
                <w:noProof/>
                <w:szCs w:val="22"/>
              </w:rPr>
            </w:pPr>
            <w:r>
              <w:rPr>
                <w:noProof/>
              </w:rPr>
              <w:t>DAC1 definește categorii comune de venituri și obligații de raportare standardizate în toate statele membre.</w:t>
            </w:r>
          </w:p>
          <w:p>
            <w:pPr>
              <w:numPr>
                <w:ilvl w:val="0"/>
                <w:numId w:val="26"/>
              </w:numPr>
              <w:spacing w:before="0" w:after="200" w:line="276" w:lineRule="auto"/>
              <w:jc w:val="left"/>
              <w:rPr>
                <w:rFonts w:eastAsiaTheme="minorHAnsi"/>
                <w:noProof/>
                <w:szCs w:val="22"/>
              </w:rPr>
            </w:pPr>
            <w:r>
              <w:rPr>
                <w:noProof/>
              </w:rPr>
              <w:t>Deși armonizarea tehnică deplină este limitată, definițiile juridice comune asigură interoperabilitatea semantică a datelor fiscale.</w:t>
            </w:r>
          </w:p>
          <w:p>
            <w:pPr>
              <w:numPr>
                <w:ilvl w:val="0"/>
                <w:numId w:val="26"/>
              </w:numPr>
              <w:spacing w:before="0" w:after="200" w:line="276" w:lineRule="auto"/>
              <w:jc w:val="left"/>
              <w:rPr>
                <w:rFonts w:eastAsiaTheme="minorHAnsi"/>
                <w:noProof/>
                <w:szCs w:val="22"/>
              </w:rPr>
            </w:pPr>
            <w:r>
              <w:rPr>
                <w:noProof/>
              </w:rPr>
              <w:t>Utilizarea unor identificatori comuni (de exemplu, NIF, dacă este cazul) sprijină corelarea transfrontalieră a evidențelor contribuabililor.</w:t>
            </w:r>
          </w:p>
          <w:p>
            <w:pPr>
              <w:spacing w:before="0" w:after="200" w:line="276" w:lineRule="auto"/>
              <w:jc w:val="left"/>
              <w:rPr>
                <w:rFonts w:eastAsiaTheme="minorHAnsi"/>
                <w:noProof/>
                <w:szCs w:val="22"/>
              </w:rPr>
            </w:pPr>
            <w:r>
              <w:rPr>
                <w:noProof/>
              </w:rPr>
              <w:t>Reutilizabile</w:t>
            </w:r>
          </w:p>
          <w:p>
            <w:pPr>
              <w:numPr>
                <w:ilvl w:val="0"/>
                <w:numId w:val="27"/>
              </w:numPr>
              <w:spacing w:before="0" w:after="200" w:line="276" w:lineRule="auto"/>
              <w:jc w:val="left"/>
              <w:rPr>
                <w:rFonts w:eastAsiaTheme="minorHAnsi"/>
                <w:noProof/>
                <w:szCs w:val="22"/>
              </w:rPr>
            </w:pPr>
            <w:r>
              <w:rPr>
                <w:noProof/>
              </w:rPr>
              <w:t>Schimbul de date are loc în mai multe scopuri fiscale legale, inclusiv verificări ale conformității, audituri și analize de risc.</w:t>
            </w:r>
          </w:p>
          <w:p>
            <w:pPr>
              <w:numPr>
                <w:ilvl w:val="0"/>
                <w:numId w:val="27"/>
              </w:numPr>
              <w:spacing w:before="0" w:after="200" w:line="276" w:lineRule="auto"/>
              <w:jc w:val="left"/>
              <w:rPr>
                <w:rFonts w:eastAsiaTheme="minorHAnsi"/>
                <w:noProof/>
                <w:szCs w:val="22"/>
              </w:rPr>
            </w:pPr>
            <w:r>
              <w:rPr>
                <w:noProof/>
              </w:rPr>
              <w:t>Odată colectate, datele pot fi reutilizate de autoritățile fiscale destinatare fără a fi colectate încă o dată de la contribuabil (conform principiului „doar o singură dată”).</w:t>
            </w:r>
          </w:p>
          <w:p>
            <w:pPr>
              <w:numPr>
                <w:ilvl w:val="0"/>
                <w:numId w:val="27"/>
              </w:numPr>
              <w:spacing w:before="0" w:after="200" w:line="276" w:lineRule="auto"/>
              <w:jc w:val="left"/>
              <w:rPr>
                <w:rFonts w:eastAsiaTheme="minorHAnsi"/>
                <w:noProof/>
                <w:szCs w:val="22"/>
              </w:rPr>
            </w:pPr>
            <w:r>
              <w:rPr>
                <w:noProof/>
              </w:rPr>
              <w:t>Categoriile armonizate permit utilizări analitice secundare, cum ar fi analiza decalajului fiscal și evaluarea politicilor.</w:t>
            </w:r>
          </w:p>
          <w:p>
            <w:pPr>
              <w:spacing w:before="0" w:after="200" w:line="276" w:lineRule="auto"/>
              <w:jc w:val="left"/>
              <w:rPr>
                <w:rFonts w:eastAsiaTheme="minorHAnsi"/>
                <w:noProof/>
                <w:szCs w:val="22"/>
              </w:rPr>
            </w:pPr>
            <w:r>
              <w:rPr>
                <w:noProof/>
              </w:rPr>
              <w:t>Standarde de înaltă calitate</w:t>
            </w:r>
          </w:p>
          <w:p>
            <w:pPr>
              <w:numPr>
                <w:ilvl w:val="0"/>
                <w:numId w:val="28"/>
              </w:numPr>
              <w:spacing w:before="0" w:after="200" w:line="276" w:lineRule="auto"/>
              <w:jc w:val="left"/>
              <w:rPr>
                <w:rFonts w:eastAsiaTheme="minorHAnsi"/>
                <w:noProof/>
                <w:szCs w:val="22"/>
              </w:rPr>
            </w:pPr>
            <w:r>
              <w:rPr>
                <w:noProof/>
              </w:rPr>
              <w:t>DAC1 impune obligații privind exhaustivitatea, regularitatea (cel puțin schimbul anual) și promptitudinea transmiterii datelor.</w:t>
            </w:r>
          </w:p>
          <w:p>
            <w:pPr>
              <w:numPr>
                <w:ilvl w:val="0"/>
                <w:numId w:val="28"/>
              </w:numPr>
              <w:spacing w:before="0" w:after="200" w:line="276" w:lineRule="auto"/>
              <w:jc w:val="left"/>
              <w:rPr>
                <w:rFonts w:eastAsiaTheme="minorHAnsi"/>
                <w:noProof/>
                <w:szCs w:val="22"/>
              </w:rPr>
            </w:pPr>
            <w:r>
              <w:rPr>
                <w:noProof/>
              </w:rPr>
              <w:t>Informațiile provin din evidențe administrative verificate, ceea ce le sporește fiabilitatea.</w:t>
            </w:r>
          </w:p>
          <w:p>
            <w:pPr>
              <w:numPr>
                <w:ilvl w:val="0"/>
                <w:numId w:val="28"/>
              </w:numPr>
              <w:spacing w:before="0" w:after="200" w:line="276" w:lineRule="auto"/>
              <w:jc w:val="left"/>
              <w:rPr>
                <w:rFonts w:eastAsiaTheme="minorHAnsi"/>
                <w:noProof/>
                <w:szCs w:val="22"/>
              </w:rPr>
            </w:pPr>
            <w:r>
              <w:rPr>
                <w:noProof/>
              </w:rPr>
              <w:t>Răspunderea juridică a autorităților competente asigură acuratețea și coerența datelor raportate în toate statele membre.</w:t>
            </w:r>
          </w:p>
        </w:tc>
      </w:tr>
    </w:tbl>
    <w:p>
      <w:pPr>
        <w:spacing w:before="0" w:after="200" w:line="276" w:lineRule="auto"/>
        <w:jc w:val="left"/>
        <w:rPr>
          <w:i/>
          <w:iCs/>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lastRenderedPageBreak/>
              <w:t>Art. 5 – Schimbul automat obligatoriu de informații financiare</w:t>
            </w:r>
          </w:p>
          <w:p>
            <w:pPr>
              <w:spacing w:before="0" w:after="200" w:line="276" w:lineRule="auto"/>
              <w:jc w:val="left"/>
              <w:rPr>
                <w:rFonts w:eastAsiaTheme="minorHAnsi"/>
                <w:noProof/>
                <w:szCs w:val="22"/>
              </w:rPr>
            </w:pPr>
            <w:r>
              <w:rPr>
                <w:noProof/>
              </w:rPr>
              <w:t xml:space="preserve">DAC2 poate fi descrisă ca un modul standardizat de ingestie și de schimb al unui volum mare de date financiare, integrat în sistemele administrațiilor fiscale naționale în vederea raportării transfrontaliere automate în cadrul SCR al OCDE. </w:t>
            </w:r>
          </w:p>
          <w:p>
            <w:pPr>
              <w:spacing w:before="0" w:after="200" w:line="276" w:lineRule="auto"/>
              <w:jc w:val="left"/>
              <w:rPr>
                <w:rFonts w:eastAsiaTheme="minorHAnsi"/>
                <w:noProof/>
                <w:szCs w:val="22"/>
              </w:rPr>
            </w:pPr>
            <w:r>
              <w:rPr>
                <w:noProof/>
              </w:rPr>
              <w:t>DAC2 funcționează ca un circuit de date între instituțiile financiare, autoritățile fiscale naționale și administrațiile fiscale străine. Impune instituțiilor financiare să extragă date din sistemele bancare de bază (conturi, solduri, fluxuri de venituri) și să transmită rapoarte structurate autorităților fiscale naționale. Sistemele fiscale naționale acționează ca centre de agregare și validare, efectuând verificări ale calității datelor înainte de transmitere. Schimbul de date se realizează utilizând scheme standardizate și aliniate la Standardul comun de raportare (SCR) pentru a asigura interoperabilitatea semantică și structurală.</w:t>
            </w:r>
          </w:p>
          <w:p>
            <w:pPr>
              <w:spacing w:before="0" w:after="200" w:line="276" w:lineRule="auto"/>
              <w:jc w:val="left"/>
              <w:rPr>
                <w:rFonts w:eastAsiaTheme="minorHAnsi"/>
                <w:noProof/>
                <w:szCs w:val="22"/>
              </w:rPr>
            </w:pPr>
            <w:r>
              <w:rPr>
                <w:noProof/>
              </w:rPr>
              <w:t>DAC2 respectă principiile ușurinței găsirii, accesibilității, interoperabilității și reutilizării (FAIR), menținând în același timp standarde de înaltă calitate.</w:t>
            </w:r>
          </w:p>
          <w:p>
            <w:pPr>
              <w:spacing w:before="0" w:after="200" w:line="276" w:lineRule="auto"/>
              <w:jc w:val="left"/>
              <w:rPr>
                <w:rFonts w:eastAsiaTheme="minorHAnsi"/>
                <w:noProof/>
                <w:szCs w:val="22"/>
              </w:rPr>
            </w:pPr>
            <w:r>
              <w:rPr>
                <w:noProof/>
              </w:rPr>
              <w:t>Ușor de găsit</w:t>
            </w:r>
          </w:p>
          <w:p>
            <w:pPr>
              <w:numPr>
                <w:ilvl w:val="0"/>
                <w:numId w:val="29"/>
              </w:numPr>
              <w:spacing w:before="0" w:after="200" w:line="276" w:lineRule="auto"/>
              <w:jc w:val="left"/>
              <w:rPr>
                <w:rFonts w:eastAsiaTheme="minorHAnsi"/>
                <w:noProof/>
                <w:szCs w:val="22"/>
              </w:rPr>
            </w:pPr>
            <w:r>
              <w:rPr>
                <w:noProof/>
              </w:rPr>
              <w:t>Datele DAC2 sunt structurate utilizând scheme SCR standardizate ale OCDE, care permit indexarea consecventă a informațiilor privind conturile financiare în toate jurisdicțiile.</w:t>
            </w:r>
          </w:p>
          <w:p>
            <w:pPr>
              <w:numPr>
                <w:ilvl w:val="0"/>
                <w:numId w:val="29"/>
              </w:numPr>
              <w:spacing w:before="0" w:after="200" w:line="276" w:lineRule="auto"/>
              <w:jc w:val="left"/>
              <w:rPr>
                <w:rFonts w:eastAsiaTheme="minorHAnsi"/>
                <w:noProof/>
                <w:szCs w:val="22"/>
              </w:rPr>
            </w:pPr>
            <w:r>
              <w:rPr>
                <w:noProof/>
              </w:rPr>
              <w:t>Datele de identificare a contribuabililor (de exemplu, NIF, numele, data nașterii) permit corelarea precisă între sistemele statelor membre și extragerea din aceste sisteme.</w:t>
            </w:r>
          </w:p>
          <w:p>
            <w:pPr>
              <w:numPr>
                <w:ilvl w:val="0"/>
                <w:numId w:val="29"/>
              </w:numPr>
              <w:spacing w:before="0" w:after="200" w:line="276" w:lineRule="auto"/>
              <w:jc w:val="left"/>
              <w:rPr>
                <w:rFonts w:eastAsiaTheme="minorHAnsi"/>
                <w:noProof/>
                <w:szCs w:val="22"/>
              </w:rPr>
            </w:pPr>
            <w:r>
              <w:rPr>
                <w:noProof/>
              </w:rPr>
              <w:t>Datele sunt transmise prin intermediul canalelor desemnate ale autorităților fiscale, asigurându-se faptul că acestea sunt înregistrate și că li se asigură trasabilitatea în mod sistematic în cadrul sistemelor naționale de informații fiscale.</w:t>
            </w:r>
          </w:p>
          <w:p>
            <w:pPr>
              <w:spacing w:before="0" w:after="200" w:line="276" w:lineRule="auto"/>
              <w:jc w:val="left"/>
              <w:rPr>
                <w:rFonts w:eastAsiaTheme="minorHAnsi"/>
                <w:noProof/>
                <w:szCs w:val="22"/>
              </w:rPr>
            </w:pPr>
            <w:r>
              <w:rPr>
                <w:noProof/>
              </w:rPr>
              <w:t>Accesibile</w:t>
            </w:r>
          </w:p>
          <w:p>
            <w:pPr>
              <w:numPr>
                <w:ilvl w:val="0"/>
                <w:numId w:val="30"/>
              </w:numPr>
              <w:spacing w:before="0" w:after="200" w:line="276" w:lineRule="auto"/>
              <w:jc w:val="left"/>
              <w:rPr>
                <w:rFonts w:eastAsiaTheme="minorHAnsi"/>
                <w:noProof/>
                <w:szCs w:val="22"/>
              </w:rPr>
            </w:pPr>
            <w:r>
              <w:rPr>
                <w:noProof/>
              </w:rPr>
              <w:t>Schimbul de date se face în condiții de siguranță între autoritățile fiscale competente prin intermediul rețelelor de cooperare administrativă instituite.</w:t>
            </w:r>
          </w:p>
          <w:p>
            <w:pPr>
              <w:numPr>
                <w:ilvl w:val="0"/>
                <w:numId w:val="30"/>
              </w:numPr>
              <w:spacing w:before="0" w:after="200" w:line="276" w:lineRule="auto"/>
              <w:jc w:val="left"/>
              <w:rPr>
                <w:rFonts w:eastAsiaTheme="minorHAnsi"/>
                <w:noProof/>
                <w:szCs w:val="22"/>
              </w:rPr>
            </w:pPr>
            <w:r>
              <w:rPr>
                <w:noProof/>
              </w:rPr>
              <w:t xml:space="preserve">Accesul este strict limitat la organismele publice autorizate în cadrul căilor legale de acces, asigurând o disponibilitate controlată, dar </w:t>
            </w:r>
            <w:r>
              <w:rPr>
                <w:noProof/>
              </w:rPr>
              <w:lastRenderedPageBreak/>
              <w:t>fiabilă.</w:t>
            </w:r>
          </w:p>
          <w:p>
            <w:pPr>
              <w:numPr>
                <w:ilvl w:val="0"/>
                <w:numId w:val="30"/>
              </w:numPr>
              <w:spacing w:before="0" w:after="200" w:line="276" w:lineRule="auto"/>
              <w:jc w:val="left"/>
              <w:rPr>
                <w:rFonts w:eastAsiaTheme="minorHAnsi"/>
                <w:noProof/>
                <w:szCs w:val="22"/>
              </w:rPr>
            </w:pPr>
            <w:r>
              <w:rPr>
                <w:noProof/>
              </w:rPr>
              <w:t>Odată transmise de instituțiile financiare și validate de autoritățile fiscale, datele devin accesibile pentru mai multe funcții ale administrației fiscale fără a fi colectate încă o dată.</w:t>
            </w:r>
          </w:p>
          <w:p>
            <w:pPr>
              <w:spacing w:before="0" w:after="200" w:line="276" w:lineRule="auto"/>
              <w:jc w:val="left"/>
              <w:rPr>
                <w:rFonts w:eastAsiaTheme="minorHAnsi"/>
                <w:noProof/>
                <w:szCs w:val="22"/>
              </w:rPr>
            </w:pPr>
            <w:r>
              <w:rPr>
                <w:noProof/>
              </w:rPr>
              <w:t>Interoperabile</w:t>
            </w:r>
          </w:p>
          <w:p>
            <w:pPr>
              <w:numPr>
                <w:ilvl w:val="0"/>
                <w:numId w:val="31"/>
              </w:numPr>
              <w:spacing w:before="0" w:after="200" w:line="276" w:lineRule="auto"/>
              <w:jc w:val="left"/>
              <w:rPr>
                <w:rFonts w:eastAsiaTheme="minorHAnsi"/>
                <w:noProof/>
                <w:szCs w:val="22"/>
              </w:rPr>
            </w:pPr>
            <w:r>
              <w:rPr>
                <w:noProof/>
              </w:rPr>
              <w:t>DAC2 se bazează pe Standardul comun de raportare (SCR) al OCDE, care oferă un model de date și o sintaxă armonizate la nivel mondial.</w:t>
            </w:r>
          </w:p>
          <w:p>
            <w:pPr>
              <w:numPr>
                <w:ilvl w:val="0"/>
                <w:numId w:val="31"/>
              </w:numPr>
              <w:spacing w:before="0" w:after="200" w:line="276" w:lineRule="auto"/>
              <w:jc w:val="left"/>
              <w:rPr>
                <w:rFonts w:eastAsiaTheme="minorHAnsi"/>
                <w:noProof/>
                <w:szCs w:val="22"/>
              </w:rPr>
            </w:pPr>
            <w:r>
              <w:rPr>
                <w:noProof/>
              </w:rPr>
              <w:t>Câmpurile standardizate (solduri ale conturilor, dobânzi, dividende, titulari de conturi) asigură interoperabilitatea semantică și structurală între sisteme.</w:t>
            </w:r>
          </w:p>
          <w:p>
            <w:pPr>
              <w:numPr>
                <w:ilvl w:val="0"/>
                <w:numId w:val="31"/>
              </w:numPr>
              <w:spacing w:before="0" w:after="200" w:line="276" w:lineRule="auto"/>
              <w:jc w:val="left"/>
              <w:rPr>
                <w:rFonts w:eastAsiaTheme="minorHAnsi"/>
                <w:noProof/>
                <w:szCs w:val="22"/>
              </w:rPr>
            </w:pPr>
            <w:r>
              <w:rPr>
                <w:noProof/>
              </w:rPr>
              <w:t>Utilizarea identificatorilor comuni și a regulilor de validare comune permite corelarea între sisteme și integrarea în platformele fiscale naționale.</w:t>
            </w:r>
          </w:p>
          <w:p>
            <w:pPr>
              <w:spacing w:before="0" w:after="200" w:line="276" w:lineRule="auto"/>
              <w:jc w:val="left"/>
              <w:rPr>
                <w:rFonts w:eastAsiaTheme="minorHAnsi"/>
                <w:noProof/>
                <w:szCs w:val="22"/>
              </w:rPr>
            </w:pPr>
            <w:r>
              <w:rPr>
                <w:noProof/>
              </w:rPr>
              <w:t>Reutilizabile</w:t>
            </w:r>
          </w:p>
          <w:p>
            <w:pPr>
              <w:numPr>
                <w:ilvl w:val="0"/>
                <w:numId w:val="32"/>
              </w:numPr>
              <w:spacing w:before="0" w:after="200" w:line="276" w:lineRule="auto"/>
              <w:jc w:val="left"/>
              <w:rPr>
                <w:rFonts w:eastAsiaTheme="minorHAnsi"/>
                <w:noProof/>
                <w:szCs w:val="22"/>
              </w:rPr>
            </w:pPr>
            <w:r>
              <w:rPr>
                <w:noProof/>
              </w:rPr>
              <w:t>Datele sunt reutilizate de autoritățile fiscale pentru activități de monitorizare a conformității, de analiză a riscurilor, de selecție a auditurilor și de asigurare a respectării legislației.</w:t>
            </w:r>
          </w:p>
          <w:p>
            <w:pPr>
              <w:numPr>
                <w:ilvl w:val="0"/>
                <w:numId w:val="32"/>
              </w:numPr>
              <w:spacing w:before="0" w:after="200" w:line="276" w:lineRule="auto"/>
              <w:jc w:val="left"/>
              <w:rPr>
                <w:rFonts w:eastAsiaTheme="minorHAnsi"/>
                <w:noProof/>
                <w:szCs w:val="22"/>
              </w:rPr>
            </w:pPr>
            <w:r>
              <w:rPr>
                <w:noProof/>
              </w:rPr>
              <w:t>Odată colectate, datele permit utilizări secundare multiple fără a se solicita raportarea suplimentară de către contribuabili, aliniindu-se la principiul „doar o singură dată”.</w:t>
            </w:r>
          </w:p>
          <w:p>
            <w:pPr>
              <w:numPr>
                <w:ilvl w:val="0"/>
                <w:numId w:val="32"/>
              </w:numPr>
              <w:spacing w:before="0" w:after="200" w:line="276" w:lineRule="auto"/>
              <w:jc w:val="left"/>
              <w:rPr>
                <w:rFonts w:eastAsiaTheme="minorHAnsi"/>
                <w:noProof/>
                <w:szCs w:val="22"/>
              </w:rPr>
            </w:pPr>
            <w:r>
              <w:rPr>
                <w:noProof/>
              </w:rPr>
              <w:t>O structură armonizată permite integrarea în modele analitice și în sisteme transfrontaliere de analiză fiscală și suport decizional.</w:t>
            </w:r>
          </w:p>
          <w:p>
            <w:pPr>
              <w:spacing w:before="0" w:after="200" w:line="276" w:lineRule="auto"/>
              <w:jc w:val="left"/>
              <w:rPr>
                <w:rFonts w:eastAsiaTheme="minorHAnsi"/>
                <w:noProof/>
                <w:szCs w:val="22"/>
              </w:rPr>
            </w:pPr>
            <w:r>
              <w:rPr>
                <w:noProof/>
              </w:rPr>
              <w:t>Standarde de înaltă calitate</w:t>
            </w:r>
          </w:p>
          <w:p>
            <w:pPr>
              <w:numPr>
                <w:ilvl w:val="0"/>
                <w:numId w:val="33"/>
              </w:numPr>
              <w:spacing w:before="0" w:after="200" w:line="276" w:lineRule="auto"/>
              <w:jc w:val="left"/>
              <w:rPr>
                <w:rFonts w:eastAsiaTheme="minorHAnsi"/>
                <w:noProof/>
                <w:szCs w:val="22"/>
              </w:rPr>
            </w:pPr>
            <w:r>
              <w:rPr>
                <w:noProof/>
              </w:rPr>
              <w:t>Datele fac obiectul unei validări pe mai multe niveluri: la nivelul instituțiilor financiare, la nivelul autorităților fiscale naționale și la nivelul autorității destinatare.</w:t>
            </w:r>
          </w:p>
          <w:p>
            <w:pPr>
              <w:numPr>
                <w:ilvl w:val="0"/>
                <w:numId w:val="33"/>
              </w:numPr>
              <w:spacing w:before="0" w:after="200" w:line="276" w:lineRule="auto"/>
              <w:jc w:val="left"/>
              <w:rPr>
                <w:rFonts w:eastAsiaTheme="minorHAnsi"/>
                <w:noProof/>
                <w:szCs w:val="22"/>
              </w:rPr>
            </w:pPr>
            <w:r>
              <w:rPr>
                <w:noProof/>
              </w:rPr>
              <w:lastRenderedPageBreak/>
              <w:t>DAC2 impune obligații stricte de raportare, asigurând exhaustivitatea, actualitatea și coerența datelor financiare.</w:t>
            </w:r>
          </w:p>
          <w:p>
            <w:pPr>
              <w:numPr>
                <w:ilvl w:val="0"/>
                <w:numId w:val="33"/>
              </w:numPr>
              <w:spacing w:before="0" w:after="200" w:line="276" w:lineRule="auto"/>
              <w:jc w:val="left"/>
              <w:rPr>
                <w:rFonts w:eastAsiaTheme="minorHAnsi"/>
                <w:noProof/>
                <w:szCs w:val="22"/>
              </w:rPr>
            </w:pPr>
            <w:r>
              <w:rPr>
                <w:noProof/>
              </w:rPr>
              <w:t>Formatele standardizate ale SCR reduc erorile și îmbunătățesc comparabilitatea și fiabilitatea seturilor de date între jurisdicții.</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 6 - SCHIMBUL AUTOMAT OBLIGATORIU DE INFORMAȚII PRIVIND DECIZIILE FISCALE ANTICIPATE CU APLICARE TRANSFRONTALIERĂ ȘI ACORDURILE PREALABILE PRIVIND PREȚUL DE TRANSFER</w:t>
            </w:r>
          </w:p>
          <w:p>
            <w:pPr>
              <w:spacing w:before="0" w:after="200" w:line="276" w:lineRule="auto"/>
              <w:jc w:val="left"/>
              <w:rPr>
                <w:rFonts w:eastAsiaTheme="minorHAnsi"/>
                <w:noProof/>
                <w:szCs w:val="22"/>
              </w:rPr>
            </w:pPr>
            <w:r>
              <w:rPr>
                <w:noProof/>
              </w:rPr>
              <w:t>DAC3 este o interfață juridico-tehnică structurată pentru schimbul de metadate privind deciziile fiscale între sistemele administrațiilor fiscale naționale și un registru în vederea coordonării la nivelul UE. Funcționează ca un modul de schimb de date de reglementare integrat în sistemele administrațiilor fiscale naționale, axat pe deciziile fiscale și pe acordurile prealabile privind prețul de transfer. DAC3 impune autorităților fiscale să extragă metadate structurate din sistemele interne de decizii fiscale (nu documente complete în toate cazurile) pentru deciziile fiscale relevante la nivel transfrontalier. Sistemul național de informații privind impozitarea din fiecare stat membru acționează ca un nod editor de date, transmițând rezumate ale deciziilor către sistemele fiscale ale altor state membre prin canale securizate.</w:t>
            </w:r>
          </w:p>
          <w:p>
            <w:pPr>
              <w:spacing w:before="0" w:after="200" w:line="276" w:lineRule="auto"/>
              <w:jc w:val="left"/>
              <w:rPr>
                <w:rFonts w:eastAsiaTheme="minorHAnsi"/>
                <w:noProof/>
                <w:szCs w:val="22"/>
              </w:rPr>
            </w:pPr>
            <w:r>
              <w:rPr>
                <w:noProof/>
              </w:rPr>
              <w:t>DAC3 respectă principiile ușurinței găsirii, accesibilității, interoperabilității și reutilizării (FAIR), menținând în același timp standarde de înaltă calitate.</w:t>
            </w:r>
          </w:p>
          <w:p>
            <w:pPr>
              <w:spacing w:before="0" w:after="200" w:line="276" w:lineRule="auto"/>
              <w:jc w:val="left"/>
              <w:rPr>
                <w:rFonts w:eastAsiaTheme="minorHAnsi"/>
                <w:noProof/>
                <w:szCs w:val="22"/>
              </w:rPr>
            </w:pPr>
            <w:r>
              <w:rPr>
                <w:noProof/>
              </w:rPr>
              <w:t>Ușor de găsit</w:t>
            </w:r>
          </w:p>
          <w:p>
            <w:pPr>
              <w:numPr>
                <w:ilvl w:val="0"/>
                <w:numId w:val="34"/>
              </w:numPr>
              <w:spacing w:before="0" w:after="200" w:line="276" w:lineRule="auto"/>
              <w:jc w:val="left"/>
              <w:rPr>
                <w:rFonts w:eastAsiaTheme="minorHAnsi"/>
                <w:noProof/>
                <w:szCs w:val="22"/>
              </w:rPr>
            </w:pPr>
            <w:r>
              <w:rPr>
                <w:noProof/>
              </w:rPr>
              <w:t>DAC3 utilizează o schemă standardizată de metadate pentru deciziile fiscale și acordurile prealabile privind prețul de transfer, permițând indexarea consecventă în toate statele membre.</w:t>
            </w:r>
          </w:p>
          <w:p>
            <w:pPr>
              <w:numPr>
                <w:ilvl w:val="0"/>
                <w:numId w:val="34"/>
              </w:numPr>
              <w:spacing w:before="0" w:after="200" w:line="276" w:lineRule="auto"/>
              <w:jc w:val="left"/>
              <w:rPr>
                <w:rFonts w:eastAsiaTheme="minorHAnsi"/>
                <w:noProof/>
                <w:szCs w:val="22"/>
              </w:rPr>
            </w:pPr>
            <w:r>
              <w:rPr>
                <w:noProof/>
              </w:rPr>
              <w:t>Fiecare decizie este legată de entități identificabile (contribuabil, jurisdicție, tip de decizie), ceea ce face posibilă efectuarea de căutări în sistemele naționale și în registrul de la nivelul UE.</w:t>
            </w:r>
          </w:p>
          <w:p>
            <w:pPr>
              <w:numPr>
                <w:ilvl w:val="0"/>
                <w:numId w:val="34"/>
              </w:numPr>
              <w:spacing w:before="0" w:after="200" w:line="276" w:lineRule="auto"/>
              <w:jc w:val="left"/>
              <w:rPr>
                <w:rFonts w:eastAsiaTheme="minorHAnsi"/>
                <w:noProof/>
                <w:szCs w:val="22"/>
              </w:rPr>
            </w:pPr>
            <w:r>
              <w:rPr>
                <w:noProof/>
              </w:rPr>
              <w:t>Registrul central al UE acționează ca un nivel de indexare, permițând statelor membre să localizeze în mod eficient deciziile transfrontaliere relevante.</w:t>
            </w:r>
          </w:p>
          <w:p>
            <w:pPr>
              <w:spacing w:before="0" w:after="200" w:line="276" w:lineRule="auto"/>
              <w:jc w:val="left"/>
              <w:rPr>
                <w:rFonts w:eastAsiaTheme="minorHAnsi"/>
                <w:noProof/>
                <w:szCs w:val="22"/>
              </w:rPr>
            </w:pPr>
            <w:r>
              <w:rPr>
                <w:noProof/>
              </w:rPr>
              <w:lastRenderedPageBreak/>
              <w:t>Accesibile</w:t>
            </w:r>
          </w:p>
          <w:p>
            <w:pPr>
              <w:numPr>
                <w:ilvl w:val="0"/>
                <w:numId w:val="35"/>
              </w:numPr>
              <w:spacing w:before="0" w:after="200" w:line="276" w:lineRule="auto"/>
              <w:jc w:val="left"/>
              <w:rPr>
                <w:rFonts w:eastAsiaTheme="minorHAnsi"/>
                <w:noProof/>
                <w:szCs w:val="22"/>
              </w:rPr>
            </w:pPr>
            <w:r>
              <w:rPr>
                <w:noProof/>
              </w:rPr>
              <w:t>Autoritățile fiscale competente fac schimb de informații privind deciziile fiscale prin canale securizate de cooperare administrativă.</w:t>
            </w:r>
          </w:p>
          <w:p>
            <w:pPr>
              <w:numPr>
                <w:ilvl w:val="0"/>
                <w:numId w:val="35"/>
              </w:numPr>
              <w:spacing w:before="0" w:after="200" w:line="276" w:lineRule="auto"/>
              <w:jc w:val="left"/>
              <w:rPr>
                <w:rFonts w:eastAsiaTheme="minorHAnsi"/>
                <w:noProof/>
                <w:szCs w:val="22"/>
              </w:rPr>
            </w:pPr>
            <w:r>
              <w:rPr>
                <w:noProof/>
              </w:rPr>
              <w:t>Accesul este limitat la autoritățile publice autorizate, asigurând extragerea controlată, dar fiabilă a informațiilor fiscale sensibile.</w:t>
            </w:r>
          </w:p>
          <w:p>
            <w:pPr>
              <w:numPr>
                <w:ilvl w:val="0"/>
                <w:numId w:val="35"/>
              </w:numPr>
              <w:spacing w:before="0" w:after="200" w:line="276" w:lineRule="auto"/>
              <w:jc w:val="left"/>
              <w:rPr>
                <w:rFonts w:eastAsiaTheme="minorHAnsi"/>
                <w:noProof/>
                <w:szCs w:val="22"/>
              </w:rPr>
            </w:pPr>
            <w:r>
              <w:rPr>
                <w:noProof/>
              </w:rPr>
              <w:t>Odată raportate, deciziile devin accesibile altor state membre fără a fi nevoie de cereri suplimentare către contribuabili sau autorități emitente</w:t>
            </w:r>
          </w:p>
          <w:p>
            <w:pPr>
              <w:spacing w:before="0" w:after="200" w:line="276" w:lineRule="auto"/>
              <w:jc w:val="left"/>
              <w:rPr>
                <w:rFonts w:eastAsiaTheme="minorHAnsi"/>
                <w:noProof/>
                <w:szCs w:val="22"/>
              </w:rPr>
            </w:pPr>
            <w:r>
              <w:rPr>
                <w:noProof/>
              </w:rPr>
              <w:t>Interoperabile</w:t>
            </w:r>
          </w:p>
          <w:p>
            <w:pPr>
              <w:numPr>
                <w:ilvl w:val="0"/>
                <w:numId w:val="36"/>
              </w:numPr>
              <w:spacing w:before="0" w:after="200" w:line="276" w:lineRule="auto"/>
              <w:jc w:val="left"/>
              <w:rPr>
                <w:rFonts w:eastAsiaTheme="minorHAnsi"/>
                <w:noProof/>
                <w:szCs w:val="22"/>
              </w:rPr>
            </w:pPr>
            <w:r>
              <w:rPr>
                <w:noProof/>
              </w:rPr>
              <w:t>DAC3 aplică un format de raportare armonizat pentru deciziile fiscale și acordurile prealabile privind prețul de transfer, asigurând coerența semantică între jurisdicții.</w:t>
            </w:r>
          </w:p>
          <w:p>
            <w:pPr>
              <w:numPr>
                <w:ilvl w:val="0"/>
                <w:numId w:val="36"/>
              </w:numPr>
              <w:spacing w:before="0" w:after="200" w:line="276" w:lineRule="auto"/>
              <w:jc w:val="left"/>
              <w:rPr>
                <w:rFonts w:eastAsiaTheme="minorHAnsi"/>
                <w:noProof/>
                <w:szCs w:val="22"/>
              </w:rPr>
            </w:pPr>
            <w:r>
              <w:rPr>
                <w:noProof/>
              </w:rPr>
              <w:t>Câmpurile de metadate standardizate permit integrarea între diferite sisteme ale administrațiilor fiscale naționale.</w:t>
            </w:r>
          </w:p>
          <w:p>
            <w:pPr>
              <w:numPr>
                <w:ilvl w:val="0"/>
                <w:numId w:val="36"/>
              </w:numPr>
              <w:spacing w:before="0" w:after="200" w:line="276" w:lineRule="auto"/>
              <w:jc w:val="left"/>
              <w:rPr>
                <w:rFonts w:eastAsiaTheme="minorHAnsi"/>
                <w:noProof/>
                <w:szCs w:val="22"/>
              </w:rPr>
            </w:pPr>
            <w:r>
              <w:rPr>
                <w:noProof/>
              </w:rPr>
              <w:t>Sistemul sprijină corelarea transfrontalieră a deciziilor fiscale cu entitățile multinaționale, îmbunătățind compatibilitatea sistem-la-sistem.</w:t>
            </w:r>
          </w:p>
          <w:p>
            <w:pPr>
              <w:spacing w:before="0" w:after="200" w:line="276" w:lineRule="auto"/>
              <w:jc w:val="left"/>
              <w:rPr>
                <w:rFonts w:eastAsiaTheme="minorHAnsi"/>
                <w:noProof/>
                <w:szCs w:val="22"/>
              </w:rPr>
            </w:pPr>
            <w:r>
              <w:rPr>
                <w:noProof/>
              </w:rPr>
              <w:t>Reutilizabile</w:t>
            </w:r>
          </w:p>
          <w:p>
            <w:pPr>
              <w:numPr>
                <w:ilvl w:val="0"/>
                <w:numId w:val="37"/>
              </w:numPr>
              <w:spacing w:before="0" w:after="200" w:line="276" w:lineRule="auto"/>
              <w:jc w:val="left"/>
              <w:rPr>
                <w:rFonts w:eastAsiaTheme="minorHAnsi"/>
                <w:noProof/>
                <w:szCs w:val="22"/>
              </w:rPr>
            </w:pPr>
            <w:r>
              <w:rPr>
                <w:noProof/>
              </w:rPr>
              <w:t>Datele sunt reutilizate de autoritățile fiscale pentru evaluarea riscurilor, analiza prețurilor de transfer și selecția auditurilor.</w:t>
            </w:r>
          </w:p>
          <w:p>
            <w:pPr>
              <w:numPr>
                <w:ilvl w:val="0"/>
                <w:numId w:val="37"/>
              </w:numPr>
              <w:spacing w:before="0" w:after="200" w:line="276" w:lineRule="auto"/>
              <w:jc w:val="left"/>
              <w:rPr>
                <w:rFonts w:eastAsiaTheme="minorHAnsi"/>
                <w:noProof/>
                <w:szCs w:val="22"/>
              </w:rPr>
            </w:pPr>
            <w:r>
              <w:rPr>
                <w:noProof/>
              </w:rPr>
              <w:t>Odată colectate, informațiile privind deciziile fiscale permit mai multe utilizări în aval, fără a fi colectate încă o dată de la contribuabili (conform principiului „doar o singură dată”).</w:t>
            </w:r>
          </w:p>
          <w:p>
            <w:pPr>
              <w:numPr>
                <w:ilvl w:val="0"/>
                <w:numId w:val="37"/>
              </w:numPr>
              <w:spacing w:before="0" w:after="200" w:line="276" w:lineRule="auto"/>
              <w:jc w:val="left"/>
              <w:rPr>
                <w:rFonts w:eastAsiaTheme="minorHAnsi"/>
                <w:noProof/>
                <w:szCs w:val="22"/>
              </w:rPr>
            </w:pPr>
            <w:r>
              <w:rPr>
                <w:noProof/>
              </w:rPr>
              <w:t>O structură armonizată permite integrarea în sisteme mai ample de analiză fiscală și suport decizional și de analiză a conformității.</w:t>
            </w:r>
          </w:p>
          <w:p>
            <w:pPr>
              <w:spacing w:before="0" w:after="200" w:line="276" w:lineRule="auto"/>
              <w:jc w:val="left"/>
              <w:rPr>
                <w:rFonts w:eastAsiaTheme="minorHAnsi"/>
                <w:noProof/>
                <w:szCs w:val="22"/>
              </w:rPr>
            </w:pPr>
            <w:r>
              <w:rPr>
                <w:noProof/>
              </w:rPr>
              <w:t>Standarde de înaltă calitate</w:t>
            </w:r>
          </w:p>
          <w:p>
            <w:pPr>
              <w:numPr>
                <w:ilvl w:val="0"/>
                <w:numId w:val="38"/>
              </w:numPr>
              <w:spacing w:before="0" w:after="200" w:line="276" w:lineRule="auto"/>
              <w:jc w:val="left"/>
              <w:rPr>
                <w:rFonts w:eastAsiaTheme="minorHAnsi"/>
                <w:noProof/>
                <w:szCs w:val="22"/>
              </w:rPr>
            </w:pPr>
            <w:r>
              <w:rPr>
                <w:noProof/>
              </w:rPr>
              <w:t>DAC3 impune raportarea structurată și în timp util a deciziilor, asigurând exhaustivitatea și coerența datelor transmise.</w:t>
            </w:r>
          </w:p>
          <w:p>
            <w:pPr>
              <w:numPr>
                <w:ilvl w:val="0"/>
                <w:numId w:val="38"/>
              </w:numPr>
              <w:spacing w:before="0" w:after="200" w:line="276" w:lineRule="auto"/>
              <w:jc w:val="left"/>
              <w:rPr>
                <w:rFonts w:eastAsiaTheme="minorHAnsi"/>
                <w:noProof/>
                <w:szCs w:val="22"/>
              </w:rPr>
            </w:pPr>
            <w:r>
              <w:rPr>
                <w:noProof/>
              </w:rPr>
              <w:lastRenderedPageBreak/>
              <w:t>Standardizarea metadatelor reduce ambiguitatea și îmbunătățește comparabilitatea între statele membre.</w:t>
            </w:r>
          </w:p>
          <w:p>
            <w:pPr>
              <w:numPr>
                <w:ilvl w:val="0"/>
                <w:numId w:val="38"/>
              </w:numPr>
              <w:spacing w:before="0" w:after="200" w:line="276" w:lineRule="auto"/>
              <w:jc w:val="left"/>
              <w:rPr>
                <w:rFonts w:eastAsiaTheme="minorHAnsi"/>
                <w:noProof/>
                <w:szCs w:val="22"/>
              </w:rPr>
            </w:pPr>
            <w:r>
              <w:rPr>
                <w:noProof/>
              </w:rPr>
              <w:t>Agregarea centralizată și verificarea încrucișată sporesc fiabilitatea datelor și contribuie la detectarea inconsecvențelor sau a lacunelor în materie de raportare.</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 7 – SCHIMBUL AUTOMAT OBLIGATORIU DE RAPOARTE PENTRU FIECARE ȚARĂ ÎN PARTE</w:t>
            </w:r>
          </w:p>
          <w:p>
            <w:pPr>
              <w:spacing w:before="0" w:after="200" w:line="276" w:lineRule="auto"/>
              <w:jc w:val="left"/>
              <w:rPr>
                <w:rFonts w:eastAsiaTheme="minorHAnsi"/>
                <w:noProof/>
                <w:szCs w:val="22"/>
              </w:rPr>
            </w:pPr>
            <w:r>
              <w:rPr>
                <w:noProof/>
              </w:rPr>
              <w:t>DAC4 este un modul distribuit standardizat de raportare și schimb de date privind impozitul pe profit pentru fiecare țară în parte, integrat în sistemele administrațiilor fiscale naționale și coordonat printr-un nivel de interconectare la nivelul UE. Funcționează ca o interfață de colectare a datelor în cadrul mediilor sistemelor naționale de informații privind impozitarea, impunând întreprinderilor multinaționale să transmită rapoarte structurate pentru fiecare țară în parte. Datele sunt generate de sistemele de consolidare și de contabilitate ale întreprinderilor, apoi sunt transformate într-un format standard de raportare. Administrațiile fiscale naționale acționează ca noduri de ingestie, validare și transmitere a datelor în cadrul unei rețele de schimb distribuite.</w:t>
            </w:r>
          </w:p>
          <w:p>
            <w:pPr>
              <w:spacing w:before="0" w:after="200" w:line="276" w:lineRule="auto"/>
              <w:jc w:val="left"/>
              <w:rPr>
                <w:rFonts w:eastAsiaTheme="minorHAnsi"/>
                <w:noProof/>
                <w:szCs w:val="22"/>
              </w:rPr>
            </w:pPr>
            <w:r>
              <w:rPr>
                <w:noProof/>
              </w:rPr>
              <w:t>DAC4 respectă principiile ușurinței găsirii, accesibilității, interoperabilității și reutilizării (FAIR), menținând în același timp standarde de înaltă calitate.</w:t>
            </w:r>
          </w:p>
          <w:p>
            <w:pPr>
              <w:spacing w:before="0" w:after="200" w:line="276" w:lineRule="auto"/>
              <w:jc w:val="left"/>
              <w:rPr>
                <w:rFonts w:eastAsiaTheme="minorHAnsi"/>
                <w:noProof/>
                <w:szCs w:val="22"/>
              </w:rPr>
            </w:pPr>
            <w:r>
              <w:rPr>
                <w:noProof/>
              </w:rPr>
              <w:t>Ușor de găsit</w:t>
            </w:r>
          </w:p>
          <w:p>
            <w:pPr>
              <w:numPr>
                <w:ilvl w:val="0"/>
                <w:numId w:val="39"/>
              </w:numPr>
              <w:spacing w:before="0" w:after="200" w:line="276" w:lineRule="auto"/>
              <w:jc w:val="left"/>
              <w:rPr>
                <w:rFonts w:eastAsiaTheme="minorHAnsi"/>
                <w:noProof/>
                <w:szCs w:val="22"/>
              </w:rPr>
            </w:pPr>
            <w:r>
              <w:rPr>
                <w:noProof/>
              </w:rPr>
              <w:t>Datele DAC4 sunt structurate utilizând un model standardizat de raportare pentru fiecare țară în parte, care permite indexarea consecventă în toate statele membre.</w:t>
            </w:r>
          </w:p>
          <w:p>
            <w:pPr>
              <w:numPr>
                <w:ilvl w:val="0"/>
                <w:numId w:val="39"/>
              </w:numPr>
              <w:spacing w:before="0" w:after="200" w:line="276" w:lineRule="auto"/>
              <w:jc w:val="left"/>
              <w:rPr>
                <w:rFonts w:eastAsiaTheme="minorHAnsi"/>
                <w:noProof/>
                <w:szCs w:val="22"/>
              </w:rPr>
            </w:pPr>
            <w:r>
              <w:rPr>
                <w:noProof/>
              </w:rPr>
              <w:t>Fiecare raport este legat de grupuri multinaționale de întreprinderi și de jurisdicții fiscale identificabile, permițând extragerea cu precizie din sistemele administrațiilor fiscale.</w:t>
            </w:r>
          </w:p>
          <w:p>
            <w:pPr>
              <w:numPr>
                <w:ilvl w:val="0"/>
                <w:numId w:val="39"/>
              </w:numPr>
              <w:spacing w:before="0" w:after="200" w:line="276" w:lineRule="auto"/>
              <w:jc w:val="left"/>
              <w:rPr>
                <w:rFonts w:eastAsiaTheme="minorHAnsi"/>
                <w:noProof/>
                <w:szCs w:val="22"/>
              </w:rPr>
            </w:pPr>
            <w:r>
              <w:rPr>
                <w:noProof/>
              </w:rPr>
              <w:t>Sistemele naționale și cadrul de schimb al UE permit catalogarea sistematică a seturilor de date de raportare pentru fiecare țară în parte în vederea identificării transfrontaliere.</w:t>
            </w:r>
          </w:p>
          <w:p>
            <w:pPr>
              <w:spacing w:before="0" w:after="200" w:line="276" w:lineRule="auto"/>
              <w:jc w:val="left"/>
              <w:rPr>
                <w:rFonts w:eastAsiaTheme="minorHAnsi"/>
                <w:noProof/>
                <w:szCs w:val="22"/>
              </w:rPr>
            </w:pPr>
            <w:r>
              <w:rPr>
                <w:noProof/>
              </w:rPr>
              <w:lastRenderedPageBreak/>
              <w:t>Accesibile</w:t>
            </w:r>
          </w:p>
          <w:p>
            <w:pPr>
              <w:numPr>
                <w:ilvl w:val="0"/>
                <w:numId w:val="40"/>
              </w:numPr>
              <w:spacing w:before="0" w:after="200" w:line="276" w:lineRule="auto"/>
              <w:jc w:val="left"/>
              <w:rPr>
                <w:rFonts w:eastAsiaTheme="minorHAnsi"/>
                <w:noProof/>
                <w:szCs w:val="22"/>
              </w:rPr>
            </w:pPr>
            <w:r>
              <w:rPr>
                <w:noProof/>
              </w:rPr>
              <w:t>Autoritățile fiscale competente fac schimb de date prin canale securizate și reglementate de cooperare administrativă.</w:t>
            </w:r>
          </w:p>
          <w:p>
            <w:pPr>
              <w:numPr>
                <w:ilvl w:val="0"/>
                <w:numId w:val="40"/>
              </w:numPr>
              <w:spacing w:before="0" w:after="200" w:line="276" w:lineRule="auto"/>
              <w:jc w:val="left"/>
              <w:rPr>
                <w:rFonts w:eastAsiaTheme="minorHAnsi"/>
                <w:noProof/>
                <w:szCs w:val="22"/>
              </w:rPr>
            </w:pPr>
            <w:r>
              <w:rPr>
                <w:noProof/>
              </w:rPr>
              <w:t>Accesul este limitat la organismele publice autorizate, asigurând disponibilitatea controlată a informațiilor sensibile privind întreprinderile.</w:t>
            </w:r>
          </w:p>
          <w:p>
            <w:pPr>
              <w:numPr>
                <w:ilvl w:val="0"/>
                <w:numId w:val="40"/>
              </w:numPr>
              <w:spacing w:before="0" w:after="200" w:line="276" w:lineRule="auto"/>
              <w:jc w:val="left"/>
              <w:rPr>
                <w:rFonts w:eastAsiaTheme="minorHAnsi"/>
                <w:noProof/>
                <w:szCs w:val="22"/>
              </w:rPr>
            </w:pPr>
            <w:r>
              <w:rPr>
                <w:noProof/>
              </w:rPr>
              <w:t>Odată transmise și validate, datele devin accesibile mai multor state membre, fără a fi necesară o raportare suplimentară din partea contribuabilului.</w:t>
            </w:r>
          </w:p>
          <w:p>
            <w:pPr>
              <w:spacing w:before="0" w:after="200" w:line="276" w:lineRule="auto"/>
              <w:jc w:val="left"/>
              <w:rPr>
                <w:rFonts w:eastAsiaTheme="minorHAnsi"/>
                <w:noProof/>
                <w:szCs w:val="22"/>
              </w:rPr>
            </w:pPr>
            <w:r>
              <w:rPr>
                <w:noProof/>
              </w:rPr>
              <w:t>Interoperabile</w:t>
            </w:r>
          </w:p>
          <w:p>
            <w:pPr>
              <w:numPr>
                <w:ilvl w:val="0"/>
                <w:numId w:val="41"/>
              </w:numPr>
              <w:spacing w:before="0" w:after="200" w:line="276" w:lineRule="auto"/>
              <w:jc w:val="left"/>
              <w:rPr>
                <w:rFonts w:eastAsiaTheme="minorHAnsi"/>
                <w:noProof/>
                <w:szCs w:val="22"/>
              </w:rPr>
            </w:pPr>
            <w:r>
              <w:rPr>
                <w:noProof/>
              </w:rPr>
              <w:t>DAC4 utilizează o schemă de raportare armonizată aliniată la standardele OCDE de raportare pentru fiecare țară în parte, asigurând coerența structurală și semantică.</w:t>
            </w:r>
          </w:p>
          <w:p>
            <w:pPr>
              <w:numPr>
                <w:ilvl w:val="0"/>
                <w:numId w:val="41"/>
              </w:numPr>
              <w:spacing w:before="0" w:after="200" w:line="276" w:lineRule="auto"/>
              <w:jc w:val="left"/>
              <w:rPr>
                <w:rFonts w:eastAsiaTheme="minorHAnsi"/>
                <w:noProof/>
                <w:szCs w:val="22"/>
              </w:rPr>
            </w:pPr>
            <w:r>
              <w:rPr>
                <w:noProof/>
              </w:rPr>
              <w:t>Câmpurile standardizate (venituri, profituri, taxe și impozite, angajați, active) permit integrarea în diferite sisteme fiscale naționale.</w:t>
            </w:r>
          </w:p>
          <w:p>
            <w:pPr>
              <w:numPr>
                <w:ilvl w:val="0"/>
                <w:numId w:val="41"/>
              </w:numPr>
              <w:spacing w:before="0" w:after="200" w:line="276" w:lineRule="auto"/>
              <w:jc w:val="left"/>
              <w:rPr>
                <w:rFonts w:eastAsiaTheme="minorHAnsi"/>
                <w:noProof/>
                <w:szCs w:val="22"/>
              </w:rPr>
            </w:pPr>
            <w:r>
              <w:rPr>
                <w:noProof/>
              </w:rPr>
              <w:t>Formatul comun permite comparabilitatea transfrontalieră și integrarea în sistemele de analiză fiscală și suport decizional de la nivelul UE.</w:t>
            </w:r>
          </w:p>
          <w:p>
            <w:pPr>
              <w:spacing w:before="0" w:after="200" w:line="276" w:lineRule="auto"/>
              <w:jc w:val="left"/>
              <w:rPr>
                <w:rFonts w:eastAsiaTheme="minorHAnsi"/>
                <w:noProof/>
                <w:szCs w:val="22"/>
              </w:rPr>
            </w:pPr>
            <w:r>
              <w:rPr>
                <w:noProof/>
              </w:rPr>
              <w:t>Reutilizabile</w:t>
            </w:r>
          </w:p>
          <w:p>
            <w:pPr>
              <w:numPr>
                <w:ilvl w:val="0"/>
                <w:numId w:val="42"/>
              </w:numPr>
              <w:spacing w:before="0" w:after="200" w:line="276" w:lineRule="auto"/>
              <w:jc w:val="left"/>
              <w:rPr>
                <w:rFonts w:eastAsiaTheme="minorHAnsi"/>
                <w:noProof/>
                <w:szCs w:val="22"/>
              </w:rPr>
            </w:pPr>
            <w:r>
              <w:rPr>
                <w:noProof/>
              </w:rPr>
              <w:t>Datele sunt reutilizate pentru evaluarea riscurilor fiscale, analiza prețurilor de transfer, monitorizarea erodării bazei impozabile și monitorizarea transferului profiturilor.</w:t>
            </w:r>
          </w:p>
          <w:p>
            <w:pPr>
              <w:numPr>
                <w:ilvl w:val="0"/>
                <w:numId w:val="42"/>
              </w:numPr>
              <w:spacing w:before="0" w:after="200" w:line="276" w:lineRule="auto"/>
              <w:jc w:val="left"/>
              <w:rPr>
                <w:rFonts w:eastAsiaTheme="minorHAnsi"/>
                <w:noProof/>
                <w:szCs w:val="22"/>
              </w:rPr>
            </w:pPr>
            <w:r>
              <w:rPr>
                <w:noProof/>
              </w:rPr>
              <w:t>Odată colectate, datele pot fi utilizate în multiple scopuri analitice și de conformitate fără a fi colectate încă o dată, aliniindu-se la principiul „doar o singură dată”.</w:t>
            </w:r>
          </w:p>
          <w:p>
            <w:pPr>
              <w:numPr>
                <w:ilvl w:val="0"/>
                <w:numId w:val="42"/>
              </w:numPr>
              <w:spacing w:before="0" w:after="200" w:line="276" w:lineRule="auto"/>
              <w:jc w:val="left"/>
              <w:rPr>
                <w:rFonts w:eastAsiaTheme="minorHAnsi"/>
                <w:noProof/>
                <w:szCs w:val="22"/>
              </w:rPr>
            </w:pPr>
            <w:r>
              <w:rPr>
                <w:noProof/>
              </w:rPr>
              <w:t>O structură armonizată permite integrarea în sisteme mai ample statistice, de asigurare a respectării legislației și de evaluare a politicilor.</w:t>
            </w:r>
          </w:p>
          <w:p>
            <w:pPr>
              <w:spacing w:before="0" w:after="200" w:line="276" w:lineRule="auto"/>
              <w:jc w:val="left"/>
              <w:rPr>
                <w:rFonts w:eastAsiaTheme="minorHAnsi"/>
                <w:noProof/>
                <w:szCs w:val="22"/>
              </w:rPr>
            </w:pPr>
            <w:r>
              <w:rPr>
                <w:noProof/>
              </w:rPr>
              <w:lastRenderedPageBreak/>
              <w:t>Standarde de înaltă calitate</w:t>
            </w:r>
          </w:p>
          <w:p>
            <w:pPr>
              <w:numPr>
                <w:ilvl w:val="0"/>
                <w:numId w:val="43"/>
              </w:numPr>
              <w:spacing w:before="0" w:after="200" w:line="276" w:lineRule="auto"/>
              <w:jc w:val="left"/>
              <w:rPr>
                <w:rFonts w:eastAsiaTheme="minorHAnsi"/>
                <w:noProof/>
                <w:szCs w:val="22"/>
              </w:rPr>
            </w:pPr>
            <w:r>
              <w:rPr>
                <w:noProof/>
              </w:rPr>
              <w:t>DAC4 impune obligații de raportare standardizate și obligatorii pentru marile grupuri multinaționale, asigurând exhaustivitatea și comparabilitatea.</w:t>
            </w:r>
          </w:p>
          <w:p>
            <w:pPr>
              <w:numPr>
                <w:ilvl w:val="0"/>
                <w:numId w:val="43"/>
              </w:numPr>
              <w:spacing w:before="0" w:after="200" w:line="276" w:lineRule="auto"/>
              <w:jc w:val="left"/>
              <w:rPr>
                <w:rFonts w:eastAsiaTheme="minorHAnsi"/>
                <w:noProof/>
                <w:szCs w:val="22"/>
              </w:rPr>
            </w:pPr>
            <w:r>
              <w:rPr>
                <w:noProof/>
              </w:rPr>
              <w:t>Datele fac obiectul validării de către autoritățile fiscale naționale înainte de a face obiectul schimburilor, ceea ce îmbunătățește acuratețea și fiabilitatea.</w:t>
            </w:r>
          </w:p>
          <w:p>
            <w:pPr>
              <w:numPr>
                <w:ilvl w:val="0"/>
                <w:numId w:val="43"/>
              </w:numPr>
              <w:spacing w:before="0" w:after="200" w:line="276" w:lineRule="auto"/>
              <w:jc w:val="left"/>
              <w:rPr>
                <w:rFonts w:eastAsiaTheme="minorHAnsi"/>
                <w:noProof/>
                <w:szCs w:val="22"/>
              </w:rPr>
            </w:pPr>
            <w:r>
              <w:rPr>
                <w:noProof/>
              </w:rPr>
              <w:t>Formatul structurat aliniat la OCDE reduce inconsecvențele și asigură un nivel ridicat de integritate a datelor în toate jurisdicțiile.</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 8 - SCHIMBUL AUTOMAT OBLIGATORIU DE INFORMAȚII CU PRIVIRE LA MODALITĂȚILE TRANSFRONTALIERE CARE FAC OBIECTUL RAPORTĂRII</w:t>
            </w:r>
          </w:p>
          <w:p>
            <w:pPr>
              <w:spacing w:before="0" w:after="200" w:line="276" w:lineRule="auto"/>
              <w:jc w:val="left"/>
              <w:rPr>
                <w:rFonts w:eastAsiaTheme="minorHAnsi"/>
                <w:noProof/>
                <w:szCs w:val="22"/>
              </w:rPr>
            </w:pPr>
            <w:r>
              <w:rPr>
                <w:noProof/>
              </w:rPr>
              <w:t>DAC6 este un modul de raportare privind conformitatea, bazat pe evenimente, integrat în sistemele administrațiilor fiscale naționale, care permite captarea, structurarea și schimbul transfrontalier de metadate privind modalitățile fiscale identificate prin intermediul obligațiilor de informare ale intermediarilor. Funcționează ca un nivel de captare a datelor de reglementare și de „avertizare timpurie” în cadrul arhitecturilor sistemelor naționale de informații privind impozitarea, axat pe modalitățile transfrontaliere care fac obiectul raportării. Datele sunt generate extern de intermediari (de exemplu, consilieri fiscali, avocați, instituții financiare) sau de contribuabili, apoi sunt transmise sistemelor administrațiilor fiscale. Autoritățile fiscale naționale acționează ca noduri de validare și rutare, asigurând exhaustivitatea și conformitatea înainte de transmiterea ulterioară.</w:t>
            </w:r>
          </w:p>
          <w:p>
            <w:pPr>
              <w:spacing w:before="0" w:after="200" w:line="276" w:lineRule="auto"/>
              <w:jc w:val="left"/>
              <w:rPr>
                <w:rFonts w:eastAsiaTheme="minorHAnsi"/>
                <w:noProof/>
                <w:szCs w:val="22"/>
              </w:rPr>
            </w:pPr>
            <w:r>
              <w:rPr>
                <w:noProof/>
              </w:rPr>
              <w:t>DAC6 respectă principiile ușurinței găsirii, accesibilității, interoperabilității și reutilizării (FAIR), menținând în același timp standarde de înaltă calitate.</w:t>
            </w:r>
          </w:p>
          <w:p>
            <w:pPr>
              <w:spacing w:before="0" w:after="200" w:line="276" w:lineRule="auto"/>
              <w:jc w:val="left"/>
              <w:rPr>
                <w:rFonts w:eastAsiaTheme="minorHAnsi"/>
                <w:noProof/>
                <w:szCs w:val="22"/>
              </w:rPr>
            </w:pPr>
            <w:r>
              <w:rPr>
                <w:noProof/>
              </w:rPr>
              <w:t>Ușor de găsit</w:t>
            </w:r>
          </w:p>
          <w:p>
            <w:pPr>
              <w:numPr>
                <w:ilvl w:val="0"/>
                <w:numId w:val="44"/>
              </w:numPr>
              <w:spacing w:before="0" w:after="200" w:line="276" w:lineRule="auto"/>
              <w:jc w:val="left"/>
              <w:rPr>
                <w:rFonts w:eastAsiaTheme="minorHAnsi"/>
                <w:noProof/>
                <w:szCs w:val="22"/>
              </w:rPr>
            </w:pPr>
            <w:r>
              <w:rPr>
                <w:noProof/>
              </w:rPr>
              <w:t>DAC6 utilizează un model standardizat de raportare bazat pe „semne distinctive” predefinite, care permite clasificarea și indexarea consecvente ale modalităților care fac obiectul raportării.</w:t>
            </w:r>
          </w:p>
          <w:p>
            <w:pPr>
              <w:numPr>
                <w:ilvl w:val="0"/>
                <w:numId w:val="44"/>
              </w:numPr>
              <w:spacing w:before="0" w:after="200" w:line="276" w:lineRule="auto"/>
              <w:jc w:val="left"/>
              <w:rPr>
                <w:rFonts w:eastAsiaTheme="minorHAnsi"/>
                <w:noProof/>
                <w:szCs w:val="22"/>
              </w:rPr>
            </w:pPr>
            <w:r>
              <w:rPr>
                <w:noProof/>
              </w:rPr>
              <w:lastRenderedPageBreak/>
              <w:t>Fiecare informare este legată de entități identificabile (intermediari, contribuabili, jurisdicții), permițând extragerea structurată în cadrul sistemelor fiscale naționale.</w:t>
            </w:r>
          </w:p>
          <w:p>
            <w:pPr>
              <w:numPr>
                <w:ilvl w:val="0"/>
                <w:numId w:val="44"/>
              </w:numPr>
              <w:spacing w:before="0" w:after="200" w:line="276" w:lineRule="auto"/>
              <w:jc w:val="left"/>
              <w:rPr>
                <w:rFonts w:eastAsiaTheme="minorHAnsi"/>
                <w:noProof/>
                <w:szCs w:val="22"/>
              </w:rPr>
            </w:pPr>
            <w:r>
              <w:rPr>
                <w:noProof/>
              </w:rPr>
              <w:t>Cadrul de raportare le permite autorităților fiscale să realizeze cataloage de modalități în baze de date cu funcție de căutare și schimburi la nivelul UE.</w:t>
            </w:r>
          </w:p>
          <w:p>
            <w:pPr>
              <w:spacing w:before="0" w:after="200" w:line="276" w:lineRule="auto"/>
              <w:jc w:val="left"/>
              <w:rPr>
                <w:rFonts w:eastAsiaTheme="minorHAnsi"/>
                <w:noProof/>
                <w:szCs w:val="22"/>
              </w:rPr>
            </w:pPr>
            <w:r>
              <w:rPr>
                <w:noProof/>
              </w:rPr>
              <w:t>Accesibile</w:t>
            </w:r>
          </w:p>
          <w:p>
            <w:pPr>
              <w:numPr>
                <w:ilvl w:val="0"/>
                <w:numId w:val="45"/>
              </w:numPr>
              <w:spacing w:before="0" w:after="200" w:line="276" w:lineRule="auto"/>
              <w:jc w:val="left"/>
              <w:rPr>
                <w:rFonts w:eastAsiaTheme="minorHAnsi"/>
                <w:noProof/>
                <w:szCs w:val="22"/>
              </w:rPr>
            </w:pPr>
            <w:r>
              <w:rPr>
                <w:noProof/>
              </w:rPr>
              <w:t>Datele sunt transmise autorităților fiscale competente și fac obiectul unui schimb între acestea prin canale de cooperare administrativă securizate și reglementate din punct de vedere juridic.</w:t>
            </w:r>
          </w:p>
          <w:p>
            <w:pPr>
              <w:numPr>
                <w:ilvl w:val="0"/>
                <w:numId w:val="45"/>
              </w:numPr>
              <w:spacing w:before="0" w:after="200" w:line="276" w:lineRule="auto"/>
              <w:jc w:val="left"/>
              <w:rPr>
                <w:rFonts w:eastAsiaTheme="minorHAnsi"/>
                <w:noProof/>
                <w:szCs w:val="22"/>
              </w:rPr>
            </w:pPr>
            <w:r>
              <w:rPr>
                <w:noProof/>
              </w:rPr>
              <w:t>Accesul este limitat la autoritățile publice autorizate, asigurând disponibilitatea controlată a informațiilor sensibile privind conformitatea.</w:t>
            </w:r>
          </w:p>
          <w:p>
            <w:pPr>
              <w:numPr>
                <w:ilvl w:val="0"/>
                <w:numId w:val="45"/>
              </w:numPr>
              <w:spacing w:before="0" w:after="200" w:line="276" w:lineRule="auto"/>
              <w:jc w:val="left"/>
              <w:rPr>
                <w:rFonts w:eastAsiaTheme="minorHAnsi"/>
                <w:noProof/>
                <w:szCs w:val="22"/>
              </w:rPr>
            </w:pPr>
            <w:r>
              <w:rPr>
                <w:noProof/>
              </w:rPr>
              <w:t>Odată raportate, informațiile devin accesibile în toate statele membre fără a fi nevoie de informări suplimentare din partea contribuabililor sau a intermediarilor.</w:t>
            </w:r>
          </w:p>
          <w:p>
            <w:pPr>
              <w:spacing w:before="0" w:after="200" w:line="276" w:lineRule="auto"/>
              <w:jc w:val="left"/>
              <w:rPr>
                <w:rFonts w:eastAsiaTheme="minorHAnsi"/>
                <w:noProof/>
                <w:szCs w:val="22"/>
              </w:rPr>
            </w:pPr>
            <w:r>
              <w:rPr>
                <w:noProof/>
              </w:rPr>
              <w:t>Interoperabile</w:t>
            </w:r>
          </w:p>
          <w:p>
            <w:pPr>
              <w:numPr>
                <w:ilvl w:val="0"/>
                <w:numId w:val="46"/>
              </w:numPr>
              <w:spacing w:before="0" w:after="200" w:line="276" w:lineRule="auto"/>
              <w:jc w:val="left"/>
              <w:rPr>
                <w:rFonts w:eastAsiaTheme="minorHAnsi"/>
                <w:noProof/>
                <w:szCs w:val="22"/>
              </w:rPr>
            </w:pPr>
            <w:r>
              <w:rPr>
                <w:noProof/>
              </w:rPr>
              <w:t>DAC6 aplică o schemă de raportare armonizată și o taxonomie comună a „semnelor distinctive”, asigurând coerența semantică între statele membre.</w:t>
            </w:r>
          </w:p>
          <w:p>
            <w:pPr>
              <w:numPr>
                <w:ilvl w:val="0"/>
                <w:numId w:val="46"/>
              </w:numPr>
              <w:spacing w:before="0" w:after="200" w:line="276" w:lineRule="auto"/>
              <w:jc w:val="left"/>
              <w:rPr>
                <w:rFonts w:eastAsiaTheme="minorHAnsi"/>
                <w:noProof/>
                <w:szCs w:val="22"/>
              </w:rPr>
            </w:pPr>
            <w:r>
              <w:rPr>
                <w:noProof/>
              </w:rPr>
              <w:t>Câmpurile de date standardizate permit integrarea în diferite sisteme ale administrațiilor fiscale naționale.</w:t>
            </w:r>
          </w:p>
          <w:p>
            <w:pPr>
              <w:numPr>
                <w:ilvl w:val="0"/>
                <w:numId w:val="46"/>
              </w:numPr>
              <w:spacing w:before="0" w:after="200" w:line="276" w:lineRule="auto"/>
              <w:jc w:val="left"/>
              <w:rPr>
                <w:rFonts w:eastAsiaTheme="minorHAnsi"/>
                <w:noProof/>
                <w:szCs w:val="22"/>
              </w:rPr>
            </w:pPr>
            <w:r>
              <w:rPr>
                <w:noProof/>
              </w:rPr>
              <w:t>Structura uniformă sprijină comparabilitatea transfrontalieră și permite legătura cu alte seturi de date DAC (de exemplu, deciziile în temeiul DAC3, rapoartele pentru fiecare țară în parte în temeiul DAC4).</w:t>
            </w:r>
          </w:p>
          <w:p>
            <w:pPr>
              <w:spacing w:before="0" w:after="200" w:line="276" w:lineRule="auto"/>
              <w:jc w:val="left"/>
              <w:rPr>
                <w:rFonts w:eastAsiaTheme="minorHAnsi"/>
                <w:noProof/>
                <w:szCs w:val="22"/>
              </w:rPr>
            </w:pPr>
            <w:r>
              <w:rPr>
                <w:noProof/>
              </w:rPr>
              <w:t>Reutilizabile</w:t>
            </w:r>
          </w:p>
          <w:p>
            <w:pPr>
              <w:numPr>
                <w:ilvl w:val="0"/>
                <w:numId w:val="47"/>
              </w:numPr>
              <w:spacing w:before="0" w:after="200" w:line="276" w:lineRule="auto"/>
              <w:jc w:val="left"/>
              <w:rPr>
                <w:rFonts w:eastAsiaTheme="minorHAnsi"/>
                <w:noProof/>
                <w:szCs w:val="22"/>
              </w:rPr>
            </w:pPr>
            <w:r>
              <w:rPr>
                <w:noProof/>
              </w:rPr>
              <w:t>Datele sunt reutilizate pentru evaluarea riscurilor, selecția auditurilor și detectarea schemelor de planificare fiscală agresivă.</w:t>
            </w:r>
          </w:p>
          <w:p>
            <w:pPr>
              <w:numPr>
                <w:ilvl w:val="0"/>
                <w:numId w:val="47"/>
              </w:numPr>
              <w:spacing w:before="0" w:after="200" w:line="276" w:lineRule="auto"/>
              <w:jc w:val="left"/>
              <w:rPr>
                <w:rFonts w:eastAsiaTheme="minorHAnsi"/>
                <w:noProof/>
                <w:szCs w:val="22"/>
              </w:rPr>
            </w:pPr>
            <w:r>
              <w:rPr>
                <w:noProof/>
              </w:rPr>
              <w:lastRenderedPageBreak/>
              <w:t>Odată colectate, datele pot fi utilizate în multiple scopuri analitice și de asigurare a respectării legislației, fără a fi colectate încă o dată de la contribuabili (în conformitate cu principiul „doar o singură dată”).</w:t>
            </w:r>
          </w:p>
          <w:p>
            <w:pPr>
              <w:numPr>
                <w:ilvl w:val="0"/>
                <w:numId w:val="47"/>
              </w:numPr>
              <w:spacing w:before="0" w:after="200" w:line="276" w:lineRule="auto"/>
              <w:jc w:val="left"/>
              <w:rPr>
                <w:rFonts w:eastAsiaTheme="minorHAnsi"/>
                <w:noProof/>
                <w:szCs w:val="22"/>
              </w:rPr>
            </w:pPr>
            <w:r>
              <w:rPr>
                <w:noProof/>
              </w:rPr>
              <w:t>Raportarea structurată permite integrarea în sisteme mai ample de analiză fiscală și suport decizional și de analiză a conformității.</w:t>
            </w:r>
          </w:p>
          <w:p>
            <w:pPr>
              <w:spacing w:before="0" w:after="200" w:line="276" w:lineRule="auto"/>
              <w:jc w:val="left"/>
              <w:rPr>
                <w:rFonts w:eastAsiaTheme="minorHAnsi"/>
                <w:noProof/>
                <w:szCs w:val="22"/>
              </w:rPr>
            </w:pPr>
            <w:r>
              <w:rPr>
                <w:noProof/>
              </w:rPr>
              <w:t>Standarde de înaltă calitate</w:t>
            </w:r>
          </w:p>
          <w:p>
            <w:pPr>
              <w:numPr>
                <w:ilvl w:val="0"/>
                <w:numId w:val="48"/>
              </w:numPr>
              <w:spacing w:before="0" w:after="200" w:line="276" w:lineRule="auto"/>
              <w:jc w:val="left"/>
              <w:rPr>
                <w:rFonts w:eastAsiaTheme="minorHAnsi"/>
                <w:noProof/>
                <w:szCs w:val="22"/>
              </w:rPr>
            </w:pPr>
            <w:r>
              <w:rPr>
                <w:noProof/>
              </w:rPr>
              <w:t>DAC6 impune termene stricte de raportare (de regulă, 30 de zile) și obligații de informare, asigurând promptitudinea.</w:t>
            </w:r>
          </w:p>
          <w:p>
            <w:pPr>
              <w:numPr>
                <w:ilvl w:val="0"/>
                <w:numId w:val="48"/>
              </w:numPr>
              <w:spacing w:before="0" w:after="200" w:line="276" w:lineRule="auto"/>
              <w:jc w:val="left"/>
              <w:rPr>
                <w:rFonts w:eastAsiaTheme="minorHAnsi"/>
                <w:noProof/>
                <w:szCs w:val="22"/>
              </w:rPr>
            </w:pPr>
            <w:r>
              <w:rPr>
                <w:noProof/>
              </w:rPr>
              <w:t>Utilizarea unor semne distinctive predefinite îmbunătățește coerența și reduce ambiguitatea raportării.</w:t>
            </w:r>
          </w:p>
          <w:p>
            <w:pPr>
              <w:numPr>
                <w:ilvl w:val="0"/>
                <w:numId w:val="48"/>
              </w:numPr>
              <w:spacing w:before="0" w:after="200" w:line="276" w:lineRule="auto"/>
              <w:jc w:val="left"/>
              <w:rPr>
                <w:rFonts w:eastAsiaTheme="minorHAnsi"/>
                <w:noProof/>
                <w:szCs w:val="22"/>
              </w:rPr>
            </w:pPr>
            <w:r>
              <w:rPr>
                <w:noProof/>
              </w:rPr>
              <w:t>Validarea pe mai multe niveluri de către autoritățile fiscale sporește exhaustivitatea, acuratețea și fiabilitatea datelor transmise.</w:t>
            </w:r>
          </w:p>
        </w:tc>
      </w:tr>
    </w:tbl>
    <w:p>
      <w:pPr>
        <w:spacing w:before="0" w:after="200" w:line="276" w:lineRule="auto"/>
        <w:jc w:val="left"/>
        <w:rPr>
          <w:i/>
          <w:iCs/>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 9 - SCHIMBUL AUTOMAT OBLIGATORIU DE INFORMAȚII RAPORTATE DE OPERATORII DE PLATFORME</w:t>
            </w:r>
          </w:p>
          <w:p>
            <w:pPr>
              <w:spacing w:before="0" w:after="200" w:line="276" w:lineRule="auto"/>
              <w:jc w:val="left"/>
              <w:rPr>
                <w:rFonts w:eastAsiaTheme="minorHAnsi"/>
                <w:noProof/>
                <w:szCs w:val="22"/>
              </w:rPr>
            </w:pPr>
            <w:r>
              <w:rPr>
                <w:noProof/>
              </w:rPr>
              <w:t>DAC7 este un sistem hibrid care constă în principal într-un modul standardizat distribuit de raportare și de schimb de date fiscale ale vânzătorilor raportabili, raportate în sistemele administrațiilor fiscale naționale de către operatorii de platforme și coordonate prin intermediul unui nivel de interconectare la scara UE. Funcționează, de asemenea, ca un registru pentru operatorii de platforme și vânzătorii raportabili pentru a asigura interfața de colectare a datelor în cadrul mediilor sistemelor naționale de informații privind impozitarea. Datele sunt generate de sistemele de consolidare și de contabilitate ale întreprinderilor, apoi sunt transformate într-un format standard de raportare. Administrațiile fiscale naționale acționează ca noduri de ingestie, validare și transmitere a datelor în cadrul unei rețele de schimb distribuite. Datele sunt generate extern de intermediari (de exemplu, consilieri fiscali, avocați, instituții financiare) sau de contribuabili, apoi sunt transmise sistemelor administrațiilor fiscale. Autoritățile fiscale naționale acționează ca noduri de validare și rutare, asigurând exhaustivitatea și conformitatea înainte de transmiterea ulterioară.</w:t>
            </w:r>
          </w:p>
          <w:p>
            <w:pPr>
              <w:spacing w:before="0" w:after="200" w:line="276" w:lineRule="auto"/>
              <w:jc w:val="left"/>
              <w:rPr>
                <w:rFonts w:eastAsiaTheme="minorHAnsi"/>
                <w:noProof/>
                <w:szCs w:val="22"/>
              </w:rPr>
            </w:pPr>
            <w:r>
              <w:rPr>
                <w:noProof/>
              </w:rPr>
              <w:t>DAC7 respectă principiile ușurinței găsirii, accesibilității, interoperabilității și reutilizării (FAIR), menținând în același timp standarde de înaltă calitate.</w:t>
            </w:r>
          </w:p>
          <w:p>
            <w:pPr>
              <w:spacing w:before="0" w:after="200" w:line="276" w:lineRule="auto"/>
              <w:jc w:val="left"/>
              <w:rPr>
                <w:rFonts w:eastAsiaTheme="minorHAnsi"/>
                <w:noProof/>
                <w:szCs w:val="22"/>
              </w:rPr>
            </w:pPr>
            <w:r>
              <w:rPr>
                <w:noProof/>
              </w:rPr>
              <w:lastRenderedPageBreak/>
              <w:t>Ușor de găsit</w:t>
            </w:r>
          </w:p>
          <w:p>
            <w:pPr>
              <w:numPr>
                <w:ilvl w:val="0"/>
                <w:numId w:val="44"/>
              </w:numPr>
              <w:spacing w:before="0" w:after="200" w:line="276" w:lineRule="auto"/>
              <w:jc w:val="left"/>
              <w:rPr>
                <w:rFonts w:eastAsiaTheme="minorHAnsi"/>
                <w:noProof/>
                <w:szCs w:val="22"/>
              </w:rPr>
            </w:pPr>
            <w:r>
              <w:rPr>
                <w:noProof/>
              </w:rPr>
              <w:t>DAC7 utilizează un model standardizat de raportare bazat pe reguli predefinite, care permite schimbul consecvent de date fiscale referitoare la vânzătorii raportabili.</w:t>
            </w:r>
          </w:p>
          <w:p>
            <w:pPr>
              <w:numPr>
                <w:ilvl w:val="0"/>
                <w:numId w:val="44"/>
              </w:numPr>
              <w:spacing w:before="0" w:after="200" w:line="276" w:lineRule="auto"/>
              <w:jc w:val="left"/>
              <w:rPr>
                <w:rFonts w:eastAsiaTheme="minorHAnsi"/>
                <w:noProof/>
                <w:szCs w:val="22"/>
              </w:rPr>
            </w:pPr>
            <w:r>
              <w:rPr>
                <w:noProof/>
              </w:rPr>
              <w:t>Înregistrarea operatorilor de platforme și a vânzătorilor este standardizată, permițând autorităților fiscale să catalogheze platformele și vânzătorii în baze de date cu funcție de căutare și să realizeze schimburi la nivelul UE.</w:t>
            </w:r>
          </w:p>
          <w:p>
            <w:pPr>
              <w:numPr>
                <w:ilvl w:val="0"/>
                <w:numId w:val="44"/>
              </w:numPr>
              <w:spacing w:before="0" w:after="200" w:line="276" w:lineRule="auto"/>
              <w:jc w:val="left"/>
              <w:rPr>
                <w:rFonts w:eastAsiaTheme="minorHAnsi"/>
                <w:noProof/>
                <w:szCs w:val="22"/>
              </w:rPr>
            </w:pPr>
            <w:r>
              <w:rPr>
                <w:noProof/>
              </w:rPr>
              <w:t>Principiul existenței statului membru de înregistrare unică garantează că activitatea unui vânzător raportabil este raportată în mod constant autorității fiscale competente de la locul de rezidență.</w:t>
            </w:r>
          </w:p>
          <w:p>
            <w:pPr>
              <w:spacing w:before="0" w:after="200" w:line="276" w:lineRule="auto"/>
              <w:jc w:val="left"/>
              <w:rPr>
                <w:rFonts w:eastAsiaTheme="minorHAnsi"/>
                <w:noProof/>
                <w:szCs w:val="22"/>
              </w:rPr>
            </w:pPr>
            <w:r>
              <w:rPr>
                <w:noProof/>
              </w:rPr>
              <w:t>Accesibile</w:t>
            </w:r>
          </w:p>
          <w:p>
            <w:pPr>
              <w:numPr>
                <w:ilvl w:val="0"/>
                <w:numId w:val="45"/>
              </w:numPr>
              <w:spacing w:before="0" w:after="200" w:line="276" w:lineRule="auto"/>
              <w:jc w:val="left"/>
              <w:rPr>
                <w:rFonts w:eastAsiaTheme="minorHAnsi"/>
                <w:noProof/>
                <w:szCs w:val="22"/>
              </w:rPr>
            </w:pPr>
            <w:r>
              <w:rPr>
                <w:noProof/>
              </w:rPr>
              <w:t>Datele sunt transmise autorităților fiscale competente și fac obiectul unui schimb între acestea prin canale de cooperare administrativă securizate și reglementate din punct de vedere juridic.</w:t>
            </w:r>
          </w:p>
          <w:p>
            <w:pPr>
              <w:numPr>
                <w:ilvl w:val="0"/>
                <w:numId w:val="45"/>
              </w:numPr>
              <w:spacing w:before="0" w:after="200" w:line="276" w:lineRule="auto"/>
              <w:jc w:val="left"/>
              <w:rPr>
                <w:rFonts w:eastAsiaTheme="minorHAnsi"/>
                <w:noProof/>
                <w:szCs w:val="22"/>
              </w:rPr>
            </w:pPr>
            <w:r>
              <w:rPr>
                <w:noProof/>
              </w:rPr>
              <w:t>Accesul este limitat la autoritățile publice autorizate și la utilizatori, asigurând disponibilitatea controlată a informațiilor sensibile privind conformitatea.</w:t>
            </w:r>
          </w:p>
          <w:p>
            <w:pPr>
              <w:numPr>
                <w:ilvl w:val="0"/>
                <w:numId w:val="45"/>
              </w:numPr>
              <w:spacing w:before="0" w:after="200" w:line="276" w:lineRule="auto"/>
              <w:jc w:val="left"/>
              <w:rPr>
                <w:rFonts w:eastAsiaTheme="minorHAnsi"/>
                <w:noProof/>
                <w:szCs w:val="22"/>
              </w:rPr>
            </w:pPr>
            <w:r>
              <w:rPr>
                <w:noProof/>
              </w:rPr>
              <w:t>Odată raportate, informațiile devin accesibile în toate statele membre fără a fi nevoie de informări suplimentare din partea operatorilor de platforme.</w:t>
            </w:r>
          </w:p>
          <w:p>
            <w:pPr>
              <w:spacing w:before="0" w:after="200" w:line="276" w:lineRule="auto"/>
              <w:jc w:val="left"/>
              <w:rPr>
                <w:rFonts w:eastAsiaTheme="minorHAnsi"/>
                <w:noProof/>
                <w:szCs w:val="22"/>
              </w:rPr>
            </w:pPr>
            <w:r>
              <w:rPr>
                <w:noProof/>
              </w:rPr>
              <w:t>Interoperabile</w:t>
            </w:r>
          </w:p>
          <w:p>
            <w:pPr>
              <w:numPr>
                <w:ilvl w:val="0"/>
                <w:numId w:val="46"/>
              </w:numPr>
              <w:spacing w:before="0" w:after="200" w:line="276" w:lineRule="auto"/>
              <w:jc w:val="left"/>
              <w:rPr>
                <w:rFonts w:eastAsiaTheme="minorHAnsi"/>
                <w:noProof/>
                <w:szCs w:val="22"/>
              </w:rPr>
            </w:pPr>
            <w:r>
              <w:rPr>
                <w:noProof/>
              </w:rPr>
              <w:t>DAC7 aplică o schemă de raportare armonizată și o taxonomie comună a regulilor, asigurând coerența semantică între statele membre.</w:t>
            </w:r>
          </w:p>
          <w:p>
            <w:pPr>
              <w:numPr>
                <w:ilvl w:val="0"/>
                <w:numId w:val="46"/>
              </w:numPr>
              <w:spacing w:before="0" w:after="200" w:line="276" w:lineRule="auto"/>
              <w:jc w:val="left"/>
              <w:rPr>
                <w:rFonts w:eastAsiaTheme="minorHAnsi"/>
                <w:noProof/>
                <w:szCs w:val="22"/>
              </w:rPr>
            </w:pPr>
            <w:r>
              <w:rPr>
                <w:noProof/>
              </w:rPr>
              <w:t>Câmpurile de date standardizate permit integrarea în diferite sisteme ale administrațiilor fiscale naționale.</w:t>
            </w:r>
          </w:p>
          <w:p>
            <w:pPr>
              <w:numPr>
                <w:ilvl w:val="0"/>
                <w:numId w:val="46"/>
              </w:numPr>
              <w:spacing w:before="0" w:after="200" w:line="276" w:lineRule="auto"/>
              <w:jc w:val="left"/>
              <w:rPr>
                <w:rFonts w:eastAsiaTheme="minorHAnsi"/>
                <w:noProof/>
                <w:szCs w:val="22"/>
              </w:rPr>
            </w:pPr>
            <w:r>
              <w:rPr>
                <w:noProof/>
              </w:rPr>
              <w:t>Structura uniformă sprijină comparabilitatea transfrontalieră și permite legătura cu alte seturi de date DAC.</w:t>
            </w:r>
          </w:p>
          <w:p>
            <w:pPr>
              <w:spacing w:before="0" w:after="200" w:line="276" w:lineRule="auto"/>
              <w:jc w:val="left"/>
              <w:rPr>
                <w:rFonts w:eastAsiaTheme="minorHAnsi"/>
                <w:noProof/>
                <w:szCs w:val="22"/>
              </w:rPr>
            </w:pPr>
            <w:r>
              <w:rPr>
                <w:noProof/>
              </w:rPr>
              <w:t>Reutilizabile</w:t>
            </w:r>
          </w:p>
          <w:p>
            <w:pPr>
              <w:numPr>
                <w:ilvl w:val="0"/>
                <w:numId w:val="47"/>
              </w:numPr>
              <w:spacing w:before="0" w:after="200" w:line="276" w:lineRule="auto"/>
              <w:jc w:val="left"/>
              <w:rPr>
                <w:rFonts w:eastAsiaTheme="minorHAnsi"/>
                <w:noProof/>
                <w:szCs w:val="22"/>
              </w:rPr>
            </w:pPr>
            <w:r>
              <w:rPr>
                <w:noProof/>
              </w:rPr>
              <w:lastRenderedPageBreak/>
              <w:t>Datele sunt reutilizate pentru evaluarea riscurilor, selecția auditurilor și detectarea fraudei și a evitării obligațiilor fiscale.</w:t>
            </w:r>
          </w:p>
          <w:p>
            <w:pPr>
              <w:numPr>
                <w:ilvl w:val="0"/>
                <w:numId w:val="47"/>
              </w:numPr>
              <w:spacing w:before="0" w:after="200" w:line="276" w:lineRule="auto"/>
              <w:jc w:val="left"/>
              <w:rPr>
                <w:rFonts w:eastAsiaTheme="minorHAnsi"/>
                <w:noProof/>
                <w:szCs w:val="22"/>
              </w:rPr>
            </w:pPr>
            <w:r>
              <w:rPr>
                <w:noProof/>
              </w:rPr>
              <w:t>Odată colectate, datele pot fi utilizate în multiple scopuri analitice și de asigurare a respectării legislației, fără a fi colectate încă o dată de la contribuabili (în conformitate cu principiul „doar o singură dată”).</w:t>
            </w:r>
          </w:p>
          <w:p>
            <w:pPr>
              <w:numPr>
                <w:ilvl w:val="0"/>
                <w:numId w:val="47"/>
              </w:numPr>
              <w:spacing w:before="0" w:after="200" w:line="276" w:lineRule="auto"/>
              <w:jc w:val="left"/>
              <w:rPr>
                <w:rFonts w:eastAsiaTheme="minorHAnsi"/>
                <w:noProof/>
                <w:szCs w:val="22"/>
              </w:rPr>
            </w:pPr>
            <w:r>
              <w:rPr>
                <w:noProof/>
              </w:rPr>
              <w:t>Raportarea structurată permite integrarea în sisteme mai ample de analiză fiscală și suport decizional și de analiză a conformității.</w:t>
            </w:r>
          </w:p>
          <w:p>
            <w:pPr>
              <w:spacing w:before="0" w:after="200" w:line="276" w:lineRule="auto"/>
              <w:jc w:val="left"/>
              <w:rPr>
                <w:rFonts w:eastAsiaTheme="minorHAnsi"/>
                <w:noProof/>
                <w:szCs w:val="22"/>
              </w:rPr>
            </w:pPr>
            <w:r>
              <w:rPr>
                <w:noProof/>
              </w:rPr>
              <w:t>Standarde de înaltă calitate</w:t>
            </w:r>
          </w:p>
          <w:p>
            <w:pPr>
              <w:numPr>
                <w:ilvl w:val="0"/>
                <w:numId w:val="48"/>
              </w:numPr>
              <w:spacing w:before="0" w:after="200" w:line="276" w:lineRule="auto"/>
              <w:jc w:val="left"/>
              <w:rPr>
                <w:rFonts w:eastAsiaTheme="minorHAnsi"/>
                <w:noProof/>
                <w:szCs w:val="22"/>
              </w:rPr>
            </w:pPr>
            <w:r>
              <w:rPr>
                <w:noProof/>
              </w:rPr>
              <w:t>DAC7 impune termene stricte de raportare și obligații de informare, asigurând promptitudinea.</w:t>
            </w:r>
          </w:p>
          <w:p>
            <w:pPr>
              <w:numPr>
                <w:ilvl w:val="0"/>
                <w:numId w:val="48"/>
              </w:numPr>
              <w:spacing w:before="0" w:after="200" w:line="276" w:lineRule="auto"/>
              <w:jc w:val="left"/>
              <w:rPr>
                <w:rFonts w:eastAsiaTheme="minorHAnsi"/>
                <w:noProof/>
                <w:szCs w:val="22"/>
              </w:rPr>
            </w:pPr>
            <w:r>
              <w:rPr>
                <w:noProof/>
              </w:rPr>
              <w:t>Aplicarea unor reguli tehnice și referitoare la activitate îmbunătățește coerența și reduce ambiguitatea în raportare.</w:t>
            </w:r>
          </w:p>
          <w:p>
            <w:pPr>
              <w:numPr>
                <w:ilvl w:val="0"/>
                <w:numId w:val="48"/>
              </w:numPr>
              <w:spacing w:before="0" w:after="200" w:line="276" w:lineRule="auto"/>
              <w:jc w:val="left"/>
              <w:rPr>
                <w:rFonts w:eastAsiaTheme="minorHAnsi"/>
                <w:noProof/>
                <w:szCs w:val="22"/>
              </w:rPr>
            </w:pPr>
            <w:r>
              <w:rPr>
                <w:noProof/>
              </w:rPr>
              <w:t>Validarea pe mai multe niveluri de către autoritățile fiscale sporește exhaustivitatea, acuratețea și fiabilitatea datelor transmise.</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 12 - SCHIMBUL AUTOMAT OBLIGATORIU DE INFORMAȚII RAPORTATE DE FURNIZORII DE SERVICII DE CRIPTOACTIVE RAPORTORI - DAC8</w:t>
            </w:r>
          </w:p>
          <w:p>
            <w:pPr>
              <w:spacing w:before="0" w:after="200" w:line="276" w:lineRule="auto"/>
              <w:jc w:val="left"/>
              <w:rPr>
                <w:rFonts w:eastAsiaTheme="minorHAnsi"/>
                <w:noProof/>
                <w:szCs w:val="22"/>
              </w:rPr>
            </w:pPr>
            <w:r>
              <w:rPr>
                <w:noProof/>
              </w:rPr>
              <w:t>Sistemul de informații privind impozitarea DAC8 este un sistem hibrid format din sistemul transeuropean care comunică cu sistemele naționale DAC8 pentru schimbul automat de informații în temeiul DAC8 și din sistemul central DAC8, structurat ca o aplicație bazată pe componente, cu două componente care servesc unor scopuri distincte:</w:t>
            </w:r>
          </w:p>
          <w:p>
            <w:pPr>
              <w:numPr>
                <w:ilvl w:val="0"/>
                <w:numId w:val="20"/>
              </w:numPr>
              <w:spacing w:before="0" w:after="200" w:line="276" w:lineRule="auto"/>
              <w:jc w:val="left"/>
              <w:rPr>
                <w:rFonts w:eastAsiaTheme="minorHAnsi"/>
                <w:noProof/>
                <w:szCs w:val="22"/>
              </w:rPr>
            </w:pPr>
            <w:r>
              <w:rPr>
                <w:noProof/>
              </w:rPr>
              <w:t>Registrul central DAC8 pus de Comisie la dispoziția statelor membre pentru înregistrarea și consultarea informațiilor privind Operatorii de Criptoactive.</w:t>
            </w:r>
          </w:p>
          <w:p>
            <w:pPr>
              <w:numPr>
                <w:ilvl w:val="0"/>
                <w:numId w:val="20"/>
              </w:numPr>
              <w:spacing w:before="0" w:after="200" w:line="276" w:lineRule="auto"/>
              <w:jc w:val="left"/>
              <w:rPr>
                <w:rFonts w:eastAsiaTheme="minorHAnsi"/>
                <w:noProof/>
                <w:szCs w:val="22"/>
              </w:rPr>
            </w:pPr>
            <w:r>
              <w:rPr>
                <w:noProof/>
              </w:rPr>
              <w:t>Repertoriul central DAC8 care sprijină comunicarea de informații între autoritățile competente ale statelor membre pentru raportarea tranzacțiilor de schimb efectuate de Furnizorii de Servicii de Criptoactive Raportori în numele Utilizatorilor de Criptoactive cu reședința în UE.</w:t>
            </w:r>
          </w:p>
          <w:p>
            <w:pPr>
              <w:spacing w:before="0" w:after="200" w:line="276" w:lineRule="auto"/>
              <w:jc w:val="left"/>
              <w:rPr>
                <w:rFonts w:eastAsiaTheme="minorHAnsi"/>
                <w:noProof/>
                <w:szCs w:val="22"/>
              </w:rPr>
            </w:pPr>
            <w:r>
              <w:rPr>
                <w:noProof/>
              </w:rPr>
              <w:lastRenderedPageBreak/>
              <w:t>Modulul de validare DAC8 este o aplicație dezvoltată și testată la nivel central și furnizată statelor membre pentru validarea implementărilor lor locale DAC8.</w:t>
            </w:r>
          </w:p>
          <w:p>
            <w:pPr>
              <w:spacing w:before="0" w:after="200" w:line="276" w:lineRule="auto"/>
              <w:jc w:val="left"/>
              <w:rPr>
                <w:rFonts w:eastAsiaTheme="minorHAnsi"/>
                <w:noProof/>
                <w:szCs w:val="22"/>
              </w:rPr>
            </w:pPr>
            <w:r>
              <w:rPr>
                <w:noProof/>
              </w:rPr>
              <w:t>DAC8 respectă principiile ușurinței găsirii, accesibilității, interoperabilității și reutilizării (FAIR), menținând în același timp standarde de înaltă calitate.</w:t>
            </w:r>
          </w:p>
          <w:p>
            <w:pPr>
              <w:spacing w:before="0" w:after="200" w:line="276" w:lineRule="auto"/>
              <w:jc w:val="left"/>
              <w:rPr>
                <w:rFonts w:eastAsiaTheme="minorHAnsi"/>
                <w:noProof/>
                <w:szCs w:val="22"/>
              </w:rPr>
            </w:pPr>
            <w:r>
              <w:rPr>
                <w:noProof/>
              </w:rPr>
              <w:t xml:space="preserve">Ușor de găsit, întrucât metadatele centralizate sunt păstrate într-un registru central și într-un repertoriu central în care tranzacțiile sunt legate de Furnizorii de Servicii de Criptoactive Raportori identificați cu un număr unic generat de sistem. </w:t>
            </w:r>
          </w:p>
          <w:p>
            <w:pPr>
              <w:spacing w:before="0" w:after="200" w:line="276" w:lineRule="auto"/>
              <w:jc w:val="left"/>
              <w:rPr>
                <w:rFonts w:eastAsiaTheme="minorHAnsi"/>
                <w:noProof/>
                <w:szCs w:val="22"/>
              </w:rPr>
            </w:pPr>
            <w:r>
              <w:rPr>
                <w:noProof/>
              </w:rPr>
              <w:t>Accesibile, întrucât transferul de informații din sistemele naționale prin intermediul rețelei CCN permite accesul securizat, controlat și legal.</w:t>
            </w:r>
          </w:p>
          <w:p>
            <w:pPr>
              <w:spacing w:before="0" w:after="200" w:line="276" w:lineRule="auto"/>
              <w:jc w:val="left"/>
              <w:rPr>
                <w:rFonts w:eastAsiaTheme="minorHAnsi"/>
                <w:noProof/>
                <w:szCs w:val="22"/>
              </w:rPr>
            </w:pPr>
            <w:r>
              <w:rPr>
                <w:noProof/>
              </w:rPr>
              <w:t>Interoperabile, deoarece datele sunt schimbate în format XML comun (pentru structură și validare).</w:t>
            </w:r>
          </w:p>
          <w:p>
            <w:pPr>
              <w:spacing w:before="0" w:after="200" w:line="276" w:lineRule="auto"/>
              <w:jc w:val="left"/>
              <w:rPr>
                <w:rFonts w:eastAsiaTheme="minorHAnsi"/>
                <w:noProof/>
                <w:szCs w:val="22"/>
              </w:rPr>
            </w:pPr>
            <w:r>
              <w:rPr>
                <w:noProof/>
              </w:rPr>
              <w:t>Reutilizabile, deoarece tranzacțiile de date sunt curatoriate, documentate și includ amprente criptografice ale originii, transformărilor și utilizării - esențiale pentru pistele de audit.</w:t>
            </w:r>
          </w:p>
          <w:p>
            <w:pPr>
              <w:spacing w:before="0" w:after="200" w:line="276" w:lineRule="auto"/>
              <w:jc w:val="left"/>
              <w:rPr>
                <w:rFonts w:eastAsiaTheme="minorHAnsi"/>
                <w:noProof/>
                <w:szCs w:val="22"/>
              </w:rPr>
            </w:pPr>
            <w:r>
              <w:rPr>
                <w:noProof/>
              </w:rPr>
              <w:t>Calitatea ridicată a datelor este asigurată de modulul de validare care va fi pus la dispoziție pentru a fi utilizat de sistemele naționale.</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 15 - SCHIMBUL DE INFORMAȚII CU PRIVIRE LA DECLARAȚIILE PRIVIND IMPOZITUL SUPLIMENTAR ÎN TEMEIUL ARTICOLULUI 44 DIN DIRECTIVA (UE) 2022/2523</w:t>
            </w:r>
          </w:p>
          <w:p>
            <w:pPr>
              <w:spacing w:before="0" w:after="200" w:line="276" w:lineRule="auto"/>
              <w:jc w:val="left"/>
              <w:rPr>
                <w:rFonts w:eastAsiaTheme="minorHAnsi"/>
                <w:noProof/>
                <w:szCs w:val="22"/>
              </w:rPr>
            </w:pPr>
            <w:r>
              <w:rPr>
                <w:noProof/>
              </w:rPr>
              <w:t xml:space="preserve">DAC9 este un sistem de informații privind impozitarea care funcționează ca un sistem transeuropean cu un schimb de date utilizator-la-sistem și sistem-la-sistem între bazele de date fiscale ale statelor membre. Nu există o bază de date centrală a UE, dar abordarea sistemului este o transmitere automată a datelor de tip „push”, în care sistemele sursă exportă periodic seturi de date predefinite ale contribuabililor. </w:t>
            </w:r>
          </w:p>
          <w:p>
            <w:pPr>
              <w:spacing w:before="0" w:after="200" w:line="276" w:lineRule="auto"/>
              <w:jc w:val="left"/>
              <w:rPr>
                <w:rFonts w:eastAsiaTheme="minorHAnsi"/>
                <w:noProof/>
                <w:szCs w:val="22"/>
              </w:rPr>
            </w:pPr>
            <w:r>
              <w:rPr>
                <w:noProof/>
              </w:rPr>
              <w:t>În DAC9, modelul de date se axează pe gestionarea declarațiilor privind impozitul suplimentar. Fiecare sistem național de informații privind impozitarea acționează atât ca furnizor de date, cât și ca nod consumator de date într-o arhitectură de rețea distribuită.</w:t>
            </w:r>
          </w:p>
          <w:p>
            <w:pPr>
              <w:spacing w:before="0" w:after="200" w:line="276" w:lineRule="auto"/>
              <w:jc w:val="left"/>
              <w:rPr>
                <w:rFonts w:eastAsiaTheme="minorHAnsi"/>
                <w:noProof/>
                <w:szCs w:val="22"/>
              </w:rPr>
            </w:pPr>
            <w:r>
              <w:rPr>
                <w:noProof/>
              </w:rPr>
              <w:t xml:space="preserve">DAC9 respectă principiile ușurinței găsirii, accesibilității, interoperabilității și reutilizării (FAIR), menținând în același timp standarde de înaltă </w:t>
            </w:r>
            <w:r>
              <w:rPr>
                <w:noProof/>
              </w:rPr>
              <w:lastRenderedPageBreak/>
              <w:t>calitate.</w:t>
            </w:r>
          </w:p>
          <w:p>
            <w:pPr>
              <w:spacing w:before="0" w:after="200" w:line="276" w:lineRule="auto"/>
              <w:jc w:val="left"/>
              <w:rPr>
                <w:rFonts w:eastAsiaTheme="minorHAnsi"/>
                <w:noProof/>
                <w:szCs w:val="22"/>
              </w:rPr>
            </w:pPr>
            <w:r>
              <w:rPr>
                <w:noProof/>
              </w:rPr>
              <w:t>Ușor de găsit</w:t>
            </w:r>
          </w:p>
          <w:p>
            <w:pPr>
              <w:numPr>
                <w:ilvl w:val="0"/>
                <w:numId w:val="24"/>
              </w:numPr>
              <w:spacing w:before="0" w:after="200" w:line="276" w:lineRule="auto"/>
              <w:jc w:val="left"/>
              <w:rPr>
                <w:rFonts w:eastAsiaTheme="minorHAnsi"/>
                <w:noProof/>
                <w:szCs w:val="22"/>
              </w:rPr>
            </w:pPr>
            <w:r>
              <w:rPr>
                <w:noProof/>
              </w:rPr>
              <w:t>Formularul de date DAC9 este standardizat pentru grupurile de întreprinderi multinaționale, ceea ce îl face indexabil în mod sistematic de către autoritățile fiscale.</w:t>
            </w:r>
          </w:p>
          <w:p>
            <w:pPr>
              <w:numPr>
                <w:ilvl w:val="0"/>
                <w:numId w:val="24"/>
              </w:numPr>
              <w:spacing w:before="0" w:after="200" w:line="276" w:lineRule="auto"/>
              <w:jc w:val="left"/>
              <w:rPr>
                <w:rFonts w:eastAsiaTheme="minorHAnsi"/>
                <w:noProof/>
                <w:szCs w:val="22"/>
              </w:rPr>
            </w:pPr>
            <w:r>
              <w:rPr>
                <w:noProof/>
              </w:rPr>
              <w:t>Utilizarea identificatorilor contribuabililor (cum ar fi NIF, dacă este disponibil) permite o corelare fiabilă a evidențelor între statele membre.</w:t>
            </w:r>
          </w:p>
          <w:p>
            <w:pPr>
              <w:numPr>
                <w:ilvl w:val="0"/>
                <w:numId w:val="24"/>
              </w:numPr>
              <w:spacing w:before="0" w:after="200" w:line="276" w:lineRule="auto"/>
              <w:jc w:val="left"/>
              <w:rPr>
                <w:rFonts w:eastAsiaTheme="minorHAnsi"/>
                <w:noProof/>
                <w:szCs w:val="22"/>
              </w:rPr>
            </w:pPr>
            <w:r>
              <w:rPr>
                <w:noProof/>
              </w:rPr>
              <w:t>Datele sunt transmise prin canale de cooperare administrativă stabilite, asigurându-se faptul că pot fi localizate în cadrul sistemelor fiscale naționale și de la nivelul UE.</w:t>
            </w:r>
          </w:p>
          <w:p>
            <w:pPr>
              <w:spacing w:before="0" w:after="200" w:line="276" w:lineRule="auto"/>
              <w:jc w:val="left"/>
              <w:rPr>
                <w:rFonts w:eastAsiaTheme="minorHAnsi"/>
                <w:noProof/>
                <w:szCs w:val="22"/>
              </w:rPr>
            </w:pPr>
            <w:r>
              <w:rPr>
                <w:noProof/>
              </w:rPr>
              <w:t>Accesibile</w:t>
            </w:r>
          </w:p>
          <w:p>
            <w:pPr>
              <w:numPr>
                <w:ilvl w:val="0"/>
                <w:numId w:val="25"/>
              </w:numPr>
              <w:spacing w:before="0" w:after="200" w:line="276" w:lineRule="auto"/>
              <w:jc w:val="left"/>
              <w:rPr>
                <w:rFonts w:eastAsiaTheme="minorHAnsi"/>
                <w:noProof/>
                <w:szCs w:val="22"/>
              </w:rPr>
            </w:pPr>
            <w:r>
              <w:rPr>
                <w:noProof/>
              </w:rPr>
              <w:t>Informațiile sunt schimbate direct între autoritățile fiscale competente prin intermediul unor sisteme de comunicare securizate și reglementate.</w:t>
            </w:r>
          </w:p>
          <w:p>
            <w:pPr>
              <w:numPr>
                <w:ilvl w:val="0"/>
                <w:numId w:val="25"/>
              </w:numPr>
              <w:spacing w:before="0" w:after="200" w:line="276" w:lineRule="auto"/>
              <w:jc w:val="left"/>
              <w:rPr>
                <w:rFonts w:eastAsiaTheme="minorHAnsi"/>
                <w:noProof/>
                <w:szCs w:val="22"/>
              </w:rPr>
            </w:pPr>
            <w:r>
              <w:rPr>
                <w:noProof/>
              </w:rPr>
              <w:t>Accesul este limitat la organismele publice autorizate, asigurând extragerea controlată, dar fiabilă a datelor.</w:t>
            </w:r>
          </w:p>
          <w:p>
            <w:pPr>
              <w:numPr>
                <w:ilvl w:val="0"/>
                <w:numId w:val="25"/>
              </w:numPr>
              <w:spacing w:before="0" w:after="200" w:line="276" w:lineRule="auto"/>
              <w:jc w:val="left"/>
              <w:rPr>
                <w:rFonts w:eastAsiaTheme="minorHAnsi"/>
                <w:noProof/>
                <w:szCs w:val="22"/>
              </w:rPr>
            </w:pPr>
            <w:r>
              <w:rPr>
                <w:noProof/>
              </w:rPr>
              <w:t>Cadrul juridic garantează disponibilitatea continuă a datelor odată ce acestea au fost raportate de statul membru de origine.</w:t>
            </w:r>
          </w:p>
          <w:p>
            <w:pPr>
              <w:spacing w:before="0" w:after="200" w:line="276" w:lineRule="auto"/>
              <w:jc w:val="left"/>
              <w:rPr>
                <w:rFonts w:eastAsiaTheme="minorHAnsi"/>
                <w:noProof/>
                <w:szCs w:val="22"/>
              </w:rPr>
            </w:pPr>
            <w:r>
              <w:rPr>
                <w:noProof/>
              </w:rPr>
              <w:t>Interoperabile</w:t>
            </w:r>
          </w:p>
          <w:p>
            <w:pPr>
              <w:numPr>
                <w:ilvl w:val="0"/>
                <w:numId w:val="26"/>
              </w:numPr>
              <w:spacing w:before="0" w:after="200" w:line="276" w:lineRule="auto"/>
              <w:jc w:val="left"/>
              <w:rPr>
                <w:rFonts w:eastAsiaTheme="minorHAnsi"/>
                <w:noProof/>
                <w:szCs w:val="22"/>
              </w:rPr>
            </w:pPr>
            <w:r>
              <w:rPr>
                <w:noProof/>
              </w:rPr>
              <w:t>DAC9 definește baza comună pentru calcularea veniturilor și obligațiile de raportare standardizate în toate statele membre.</w:t>
            </w:r>
          </w:p>
          <w:p>
            <w:pPr>
              <w:numPr>
                <w:ilvl w:val="0"/>
                <w:numId w:val="26"/>
              </w:numPr>
              <w:spacing w:before="0" w:after="200" w:line="276" w:lineRule="auto"/>
              <w:jc w:val="left"/>
              <w:rPr>
                <w:rFonts w:eastAsiaTheme="minorHAnsi"/>
                <w:noProof/>
                <w:szCs w:val="22"/>
              </w:rPr>
            </w:pPr>
            <w:r>
              <w:rPr>
                <w:noProof/>
              </w:rPr>
              <w:t>Deși armonizarea tehnică deplină este limitată, definițiile juridice comune asigură interoperabilitatea semantică a datelor fiscale.</w:t>
            </w:r>
          </w:p>
          <w:p>
            <w:pPr>
              <w:numPr>
                <w:ilvl w:val="0"/>
                <w:numId w:val="26"/>
              </w:numPr>
              <w:spacing w:before="0" w:after="200" w:line="276" w:lineRule="auto"/>
              <w:jc w:val="left"/>
              <w:rPr>
                <w:rFonts w:eastAsiaTheme="minorHAnsi"/>
                <w:noProof/>
                <w:szCs w:val="22"/>
              </w:rPr>
            </w:pPr>
            <w:r>
              <w:rPr>
                <w:noProof/>
              </w:rPr>
              <w:t>Utilizarea unor identificatori comuni (de exemplu, NIF, dacă este cazul) sprijină corelarea transfrontalieră a evidențelor contribuabililor.</w:t>
            </w:r>
          </w:p>
          <w:p>
            <w:pPr>
              <w:spacing w:before="0" w:after="200" w:line="276" w:lineRule="auto"/>
              <w:jc w:val="left"/>
              <w:rPr>
                <w:rFonts w:eastAsiaTheme="minorHAnsi"/>
                <w:noProof/>
                <w:szCs w:val="22"/>
              </w:rPr>
            </w:pPr>
            <w:r>
              <w:rPr>
                <w:noProof/>
              </w:rPr>
              <w:lastRenderedPageBreak/>
              <w:t>Reutilizabile</w:t>
            </w:r>
          </w:p>
          <w:p>
            <w:pPr>
              <w:numPr>
                <w:ilvl w:val="0"/>
                <w:numId w:val="27"/>
              </w:numPr>
              <w:spacing w:before="0" w:after="200" w:line="276" w:lineRule="auto"/>
              <w:jc w:val="left"/>
              <w:rPr>
                <w:rFonts w:eastAsiaTheme="minorHAnsi"/>
                <w:noProof/>
                <w:szCs w:val="22"/>
              </w:rPr>
            </w:pPr>
            <w:r>
              <w:rPr>
                <w:noProof/>
              </w:rPr>
              <w:t>Schimbul de date are loc în mai multe scopuri fiscale legale, inclusiv verificări ale conformității, audituri și analize de risc.</w:t>
            </w:r>
          </w:p>
          <w:p>
            <w:pPr>
              <w:numPr>
                <w:ilvl w:val="0"/>
                <w:numId w:val="27"/>
              </w:numPr>
              <w:spacing w:before="0" w:after="200" w:line="276" w:lineRule="auto"/>
              <w:jc w:val="left"/>
              <w:rPr>
                <w:rFonts w:eastAsiaTheme="minorHAnsi"/>
                <w:noProof/>
                <w:szCs w:val="22"/>
              </w:rPr>
            </w:pPr>
            <w:r>
              <w:rPr>
                <w:noProof/>
              </w:rPr>
              <w:t>Odată colectate, datele pot fi reutilizate de autoritățile fiscale destinatare fără a fi colectate încă o dată de la grupurile de întreprinderi multinaționale (conform principiului „doar o singură dată”).</w:t>
            </w:r>
          </w:p>
          <w:p>
            <w:pPr>
              <w:numPr>
                <w:ilvl w:val="0"/>
                <w:numId w:val="27"/>
              </w:numPr>
              <w:spacing w:before="0" w:after="200" w:line="276" w:lineRule="auto"/>
              <w:jc w:val="left"/>
              <w:rPr>
                <w:rFonts w:eastAsiaTheme="minorHAnsi"/>
                <w:noProof/>
                <w:szCs w:val="22"/>
              </w:rPr>
            </w:pPr>
            <w:r>
              <w:rPr>
                <w:noProof/>
              </w:rPr>
              <w:t>Categoriile armonizate permit utilizări analitice secundare, cum ar fi analiza decalajului fiscal și evaluarea politicilor.</w:t>
            </w:r>
          </w:p>
          <w:p>
            <w:pPr>
              <w:spacing w:before="0" w:after="200" w:line="276" w:lineRule="auto"/>
              <w:jc w:val="left"/>
              <w:rPr>
                <w:rFonts w:eastAsiaTheme="minorHAnsi"/>
                <w:noProof/>
                <w:szCs w:val="22"/>
              </w:rPr>
            </w:pPr>
            <w:r>
              <w:rPr>
                <w:noProof/>
              </w:rPr>
              <w:t>Standarde de înaltă calitate</w:t>
            </w:r>
          </w:p>
          <w:p>
            <w:pPr>
              <w:numPr>
                <w:ilvl w:val="0"/>
                <w:numId w:val="28"/>
              </w:numPr>
              <w:spacing w:before="0" w:after="200" w:line="276" w:lineRule="auto"/>
              <w:jc w:val="left"/>
              <w:rPr>
                <w:rFonts w:eastAsiaTheme="minorHAnsi"/>
                <w:noProof/>
                <w:szCs w:val="22"/>
              </w:rPr>
            </w:pPr>
            <w:r>
              <w:rPr>
                <w:noProof/>
              </w:rPr>
              <w:t>DAC9 impune obligații privind exhaustivitatea, regularitatea (cel puțin schimbul anual) și promptitudinea transmiterii datelor.</w:t>
            </w:r>
          </w:p>
          <w:p>
            <w:pPr>
              <w:numPr>
                <w:ilvl w:val="0"/>
                <w:numId w:val="28"/>
              </w:numPr>
              <w:spacing w:before="0" w:after="200" w:line="276" w:lineRule="auto"/>
              <w:jc w:val="left"/>
              <w:rPr>
                <w:rFonts w:eastAsiaTheme="minorHAnsi"/>
                <w:noProof/>
                <w:szCs w:val="22"/>
              </w:rPr>
            </w:pPr>
            <w:r>
              <w:rPr>
                <w:noProof/>
              </w:rPr>
              <w:t>Informațiile provin din evidențe administrative verificate, ceea ce le sporește fiabilitatea.</w:t>
            </w:r>
          </w:p>
          <w:p>
            <w:pPr>
              <w:numPr>
                <w:ilvl w:val="0"/>
                <w:numId w:val="48"/>
              </w:numPr>
              <w:spacing w:before="0" w:after="200" w:line="276" w:lineRule="auto"/>
              <w:jc w:val="left"/>
              <w:rPr>
                <w:rFonts w:eastAsiaTheme="minorHAnsi"/>
                <w:noProof/>
                <w:szCs w:val="22"/>
              </w:rPr>
            </w:pPr>
            <w:r>
              <w:rPr>
                <w:noProof/>
              </w:rPr>
              <w:t>Răspunderea juridică a autorităților competente asigură acuratețea și coerența datelor raportate în toate statele membre.</w:t>
            </w:r>
          </w:p>
        </w:tc>
      </w:tr>
    </w:tbl>
    <w:p>
      <w:pPr>
        <w:spacing w:before="0" w:after="200" w:line="276" w:lineRule="auto"/>
        <w:jc w:val="left"/>
        <w:rPr>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noProof/>
                <w:szCs w:val="22"/>
              </w:rPr>
            </w:pPr>
            <w:r>
              <w:rPr>
                <w:noProof/>
              </w:rPr>
              <w:t>Art. 16 - Notificări în scopul raportării pentru fiecare țară în parte, al depunerii la nivel central a declarației privind impozitul suplimentar și schimbul de informații</w:t>
            </w:r>
          </w:p>
          <w:p>
            <w:pPr>
              <w:spacing w:before="0" w:after="200" w:line="276" w:lineRule="auto"/>
              <w:jc w:val="left"/>
              <w:rPr>
                <w:rFonts w:eastAsiaTheme="minorHAnsi"/>
                <w:noProof/>
                <w:szCs w:val="22"/>
              </w:rPr>
            </w:pPr>
            <w:r>
              <w:rPr>
                <w:noProof/>
              </w:rPr>
              <w:t xml:space="preserve">Sistem de informații privind impozitarea care funcționează ca un sistem transeuropean cu un schimb de date utilizator-la-sistem și sistem-la-sistem între bazele de date fiscale ale statelor membre. Nu există o bază de date centrală a UE, dar abordarea sistemului este o transmitere automată a datelor de tip „push”, în care sistemele sursă exportă periodic seturi de date predefinite ale contribuabililor. </w:t>
            </w:r>
          </w:p>
          <w:p>
            <w:pPr>
              <w:spacing w:before="0" w:after="200" w:line="276" w:lineRule="auto"/>
              <w:jc w:val="left"/>
              <w:rPr>
                <w:rFonts w:eastAsiaTheme="minorHAnsi"/>
                <w:noProof/>
                <w:szCs w:val="22"/>
              </w:rPr>
            </w:pPr>
            <w:r>
              <w:rPr>
                <w:noProof/>
              </w:rPr>
              <w:t>Respectă principiile ușurinței găsirii, accesibilității, interoperabilității și reutilizării (FAIR), menținând în același timp standarde de înaltă calitate.</w:t>
            </w:r>
          </w:p>
          <w:p>
            <w:pPr>
              <w:spacing w:before="0" w:after="200" w:line="276" w:lineRule="auto"/>
              <w:jc w:val="left"/>
              <w:rPr>
                <w:rFonts w:eastAsiaTheme="minorHAnsi"/>
                <w:noProof/>
                <w:szCs w:val="22"/>
              </w:rPr>
            </w:pPr>
            <w:r>
              <w:rPr>
                <w:noProof/>
              </w:rPr>
              <w:t>Ușor de găsit</w:t>
            </w:r>
          </w:p>
          <w:p>
            <w:pPr>
              <w:numPr>
                <w:ilvl w:val="0"/>
                <w:numId w:val="24"/>
              </w:numPr>
              <w:spacing w:before="0" w:after="200" w:line="276" w:lineRule="auto"/>
              <w:jc w:val="left"/>
              <w:rPr>
                <w:rFonts w:eastAsiaTheme="minorHAnsi"/>
                <w:noProof/>
                <w:szCs w:val="22"/>
              </w:rPr>
            </w:pPr>
            <w:r>
              <w:rPr>
                <w:noProof/>
              </w:rPr>
              <w:t xml:space="preserve">Formularul de date este standardizat pentru grupurile de întreprinderi multinaționale, ceea ce îl face indexabil în mod sistematic de </w:t>
            </w:r>
            <w:r>
              <w:rPr>
                <w:noProof/>
              </w:rPr>
              <w:lastRenderedPageBreak/>
              <w:t>către autoritățile fiscale.</w:t>
            </w:r>
          </w:p>
          <w:p>
            <w:pPr>
              <w:numPr>
                <w:ilvl w:val="0"/>
                <w:numId w:val="24"/>
              </w:numPr>
              <w:spacing w:before="0" w:after="200" w:line="276" w:lineRule="auto"/>
              <w:jc w:val="left"/>
              <w:rPr>
                <w:rFonts w:eastAsiaTheme="minorHAnsi"/>
                <w:noProof/>
                <w:szCs w:val="22"/>
              </w:rPr>
            </w:pPr>
            <w:r>
              <w:rPr>
                <w:noProof/>
              </w:rPr>
              <w:t>Utilizarea identificatorilor contribuabililor (cum ar fi NIF, dacă este disponibil) permite o corelare fiabilă a evidențelor între statele membre.</w:t>
            </w:r>
          </w:p>
          <w:p>
            <w:pPr>
              <w:numPr>
                <w:ilvl w:val="0"/>
                <w:numId w:val="24"/>
              </w:numPr>
              <w:spacing w:before="0" w:after="200" w:line="276" w:lineRule="auto"/>
              <w:jc w:val="left"/>
              <w:rPr>
                <w:rFonts w:eastAsiaTheme="minorHAnsi"/>
                <w:noProof/>
                <w:szCs w:val="22"/>
              </w:rPr>
            </w:pPr>
            <w:r>
              <w:rPr>
                <w:noProof/>
              </w:rPr>
              <w:t>Datele sunt transmise prin canale de cooperare administrativă stabilite, asigurându-se faptul că pot fi localizate în cadrul sistemelor fiscale naționale și de la nivelul UE.</w:t>
            </w:r>
          </w:p>
          <w:p>
            <w:pPr>
              <w:spacing w:before="0" w:after="200" w:line="276" w:lineRule="auto"/>
              <w:jc w:val="left"/>
              <w:rPr>
                <w:rFonts w:eastAsiaTheme="minorHAnsi"/>
                <w:noProof/>
                <w:szCs w:val="22"/>
              </w:rPr>
            </w:pPr>
            <w:r>
              <w:rPr>
                <w:noProof/>
              </w:rPr>
              <w:t>Accesibile</w:t>
            </w:r>
          </w:p>
          <w:p>
            <w:pPr>
              <w:numPr>
                <w:ilvl w:val="0"/>
                <w:numId w:val="25"/>
              </w:numPr>
              <w:spacing w:before="0" w:after="200" w:line="276" w:lineRule="auto"/>
              <w:jc w:val="left"/>
              <w:rPr>
                <w:rFonts w:eastAsiaTheme="minorHAnsi"/>
                <w:noProof/>
                <w:szCs w:val="22"/>
              </w:rPr>
            </w:pPr>
            <w:r>
              <w:rPr>
                <w:noProof/>
              </w:rPr>
              <w:t>Informațiile sunt schimbate direct între autoritățile fiscale competente prin intermediul unor sisteme de comunicare securizate și reglementate.</w:t>
            </w:r>
          </w:p>
          <w:p>
            <w:pPr>
              <w:numPr>
                <w:ilvl w:val="0"/>
                <w:numId w:val="25"/>
              </w:numPr>
              <w:spacing w:before="0" w:after="200" w:line="276" w:lineRule="auto"/>
              <w:jc w:val="left"/>
              <w:rPr>
                <w:rFonts w:eastAsiaTheme="minorHAnsi"/>
                <w:noProof/>
                <w:szCs w:val="22"/>
              </w:rPr>
            </w:pPr>
            <w:r>
              <w:rPr>
                <w:noProof/>
              </w:rPr>
              <w:t>Accesul este limitat la organismele publice autorizate, asigurând extragerea controlată, dar fiabilă a datelor.</w:t>
            </w:r>
          </w:p>
          <w:p>
            <w:pPr>
              <w:numPr>
                <w:ilvl w:val="0"/>
                <w:numId w:val="25"/>
              </w:numPr>
              <w:spacing w:before="0" w:after="200" w:line="276" w:lineRule="auto"/>
              <w:jc w:val="left"/>
              <w:rPr>
                <w:rFonts w:eastAsiaTheme="minorHAnsi"/>
                <w:noProof/>
                <w:szCs w:val="22"/>
              </w:rPr>
            </w:pPr>
            <w:r>
              <w:rPr>
                <w:noProof/>
              </w:rPr>
              <w:t>Cadrul juridic garantează disponibilitatea continuă a datelor odată ce acestea au fost raportate de statul membru de origine.</w:t>
            </w:r>
          </w:p>
          <w:p>
            <w:pPr>
              <w:spacing w:before="0" w:after="200" w:line="276" w:lineRule="auto"/>
              <w:jc w:val="left"/>
              <w:rPr>
                <w:rFonts w:eastAsiaTheme="minorHAnsi"/>
                <w:noProof/>
                <w:szCs w:val="22"/>
              </w:rPr>
            </w:pPr>
            <w:r>
              <w:rPr>
                <w:noProof/>
              </w:rPr>
              <w:t>Interoperabile</w:t>
            </w:r>
          </w:p>
          <w:p>
            <w:pPr>
              <w:numPr>
                <w:ilvl w:val="0"/>
                <w:numId w:val="26"/>
              </w:numPr>
              <w:spacing w:before="0" w:after="200" w:line="276" w:lineRule="auto"/>
              <w:jc w:val="left"/>
              <w:rPr>
                <w:rFonts w:eastAsiaTheme="minorHAnsi"/>
                <w:noProof/>
                <w:szCs w:val="22"/>
              </w:rPr>
            </w:pPr>
            <w:r>
              <w:rPr>
                <w:noProof/>
              </w:rPr>
              <w:t>Deși armonizarea tehnică deplină este limitată, definițiile juridice comune asigură interoperabilitatea semantică a datelor fiscale.</w:t>
            </w:r>
          </w:p>
          <w:p>
            <w:pPr>
              <w:numPr>
                <w:ilvl w:val="0"/>
                <w:numId w:val="26"/>
              </w:numPr>
              <w:spacing w:before="0" w:after="200" w:line="276" w:lineRule="auto"/>
              <w:jc w:val="left"/>
              <w:rPr>
                <w:rFonts w:eastAsiaTheme="minorHAnsi"/>
                <w:noProof/>
                <w:szCs w:val="22"/>
              </w:rPr>
            </w:pPr>
            <w:r>
              <w:rPr>
                <w:noProof/>
              </w:rPr>
              <w:t>Utilizarea unor identificatori comuni (de exemplu, NIF, dacă este cazul) sprijină corelarea transfrontalieră a evidențelor contribuabililor.</w:t>
            </w:r>
          </w:p>
          <w:p>
            <w:pPr>
              <w:spacing w:before="0" w:after="200" w:line="276" w:lineRule="auto"/>
              <w:jc w:val="left"/>
              <w:rPr>
                <w:rFonts w:eastAsiaTheme="minorHAnsi"/>
                <w:noProof/>
                <w:szCs w:val="22"/>
              </w:rPr>
            </w:pPr>
            <w:r>
              <w:rPr>
                <w:noProof/>
              </w:rPr>
              <w:t>Reutilizabile</w:t>
            </w:r>
          </w:p>
          <w:p>
            <w:pPr>
              <w:numPr>
                <w:ilvl w:val="0"/>
                <w:numId w:val="27"/>
              </w:numPr>
              <w:spacing w:before="0" w:after="200" w:line="276" w:lineRule="auto"/>
              <w:jc w:val="left"/>
              <w:rPr>
                <w:rFonts w:eastAsiaTheme="minorHAnsi"/>
                <w:noProof/>
                <w:szCs w:val="22"/>
              </w:rPr>
            </w:pPr>
            <w:r>
              <w:rPr>
                <w:noProof/>
              </w:rPr>
              <w:t>Schimbul de date are loc în mai multe scopuri fiscale legale, inclusiv verificări ale conformității, audituri și analize de risc.</w:t>
            </w:r>
          </w:p>
          <w:p>
            <w:pPr>
              <w:numPr>
                <w:ilvl w:val="0"/>
                <w:numId w:val="27"/>
              </w:numPr>
              <w:spacing w:before="0" w:after="200" w:line="276" w:lineRule="auto"/>
              <w:jc w:val="left"/>
              <w:rPr>
                <w:rFonts w:eastAsiaTheme="minorHAnsi"/>
                <w:noProof/>
                <w:szCs w:val="22"/>
              </w:rPr>
            </w:pPr>
            <w:r>
              <w:rPr>
                <w:noProof/>
              </w:rPr>
              <w:t>Odată colectate, datele pot fi reutilizate de autoritățile fiscale destinatare fără a fi colectate încă o dată de la grupurile de întreprinderi multinaționale (conform principiului „doar o singură dată”).</w:t>
            </w:r>
          </w:p>
          <w:p>
            <w:pPr>
              <w:numPr>
                <w:ilvl w:val="0"/>
                <w:numId w:val="27"/>
              </w:numPr>
              <w:spacing w:before="0" w:after="200" w:line="276" w:lineRule="auto"/>
              <w:jc w:val="left"/>
              <w:rPr>
                <w:rFonts w:eastAsiaTheme="minorHAnsi"/>
                <w:noProof/>
                <w:szCs w:val="22"/>
              </w:rPr>
            </w:pPr>
            <w:r>
              <w:rPr>
                <w:noProof/>
              </w:rPr>
              <w:lastRenderedPageBreak/>
              <w:t>Categoriile armonizate permit utilizări analitice secundare, cum ar fi analiza decalajului fiscal și evaluarea politicilor.</w:t>
            </w:r>
          </w:p>
          <w:p>
            <w:pPr>
              <w:spacing w:before="0" w:after="200" w:line="276" w:lineRule="auto"/>
              <w:jc w:val="left"/>
              <w:rPr>
                <w:rFonts w:eastAsiaTheme="minorHAnsi"/>
                <w:noProof/>
                <w:szCs w:val="22"/>
              </w:rPr>
            </w:pPr>
            <w:r>
              <w:rPr>
                <w:noProof/>
              </w:rPr>
              <w:t>Standarde de înaltă calitate</w:t>
            </w:r>
          </w:p>
          <w:p>
            <w:pPr>
              <w:numPr>
                <w:ilvl w:val="0"/>
                <w:numId w:val="28"/>
              </w:numPr>
              <w:spacing w:before="0" w:after="200" w:line="276" w:lineRule="auto"/>
              <w:jc w:val="left"/>
              <w:rPr>
                <w:rFonts w:eastAsiaTheme="minorHAnsi"/>
                <w:noProof/>
                <w:szCs w:val="22"/>
              </w:rPr>
            </w:pPr>
            <w:r>
              <w:rPr>
                <w:noProof/>
              </w:rPr>
              <w:t>Obligații privind exhaustivitatea, regularitatea (cel puțin schimbul anual) și promptitudinea transmiterii datelor.</w:t>
            </w:r>
          </w:p>
          <w:p>
            <w:pPr>
              <w:numPr>
                <w:ilvl w:val="0"/>
                <w:numId w:val="28"/>
              </w:numPr>
              <w:spacing w:before="0" w:after="200" w:line="276" w:lineRule="auto"/>
              <w:jc w:val="left"/>
              <w:rPr>
                <w:rFonts w:eastAsiaTheme="minorHAnsi"/>
                <w:noProof/>
                <w:szCs w:val="22"/>
              </w:rPr>
            </w:pPr>
            <w:r>
              <w:rPr>
                <w:noProof/>
              </w:rPr>
              <w:t>Informațiile provin din evidențe administrative verificate, ceea ce le sporește fiabilitatea.</w:t>
            </w:r>
          </w:p>
          <w:p>
            <w:pPr>
              <w:numPr>
                <w:ilvl w:val="0"/>
                <w:numId w:val="48"/>
              </w:numPr>
              <w:spacing w:before="0" w:after="200" w:line="276" w:lineRule="auto"/>
              <w:jc w:val="left"/>
              <w:rPr>
                <w:rFonts w:eastAsiaTheme="minorHAnsi"/>
                <w:noProof/>
                <w:szCs w:val="22"/>
              </w:rPr>
            </w:pPr>
            <w:r>
              <w:rPr>
                <w:noProof/>
              </w:rPr>
              <w:t>Răspunderea juridică a autorităților competente asigură acuratețea și coerența datelor raportate în toate statele membre.</w:t>
            </w:r>
          </w:p>
        </w:tc>
      </w:tr>
    </w:tbl>
    <w:p>
      <w:pPr>
        <w:spacing w:before="0" w:after="200" w:line="276" w:lineRule="auto"/>
        <w:jc w:val="left"/>
        <w:rPr>
          <w:i/>
          <w:iCs/>
          <w:noProof/>
        </w:rPr>
      </w:pPr>
    </w:p>
    <w:tbl>
      <w:tblPr>
        <w:tblStyle w:val="TableGrid"/>
        <w:tblW w:w="0" w:type="auto"/>
        <w:tblLayout w:type="fixed"/>
        <w:tblLook w:val="06A0" w:firstRow="1" w:lastRow="0" w:firstColumn="1" w:lastColumn="0" w:noHBand="1" w:noVBand="1"/>
      </w:tblPr>
      <w:tblGrid>
        <w:gridCol w:w="13995"/>
      </w:tblGrid>
      <w:tr>
        <w:trPr>
          <w:trHeight w:val="300"/>
        </w:trPr>
        <w:tc>
          <w:tcPr>
            <w:tcW w:w="13995" w:type="dxa"/>
          </w:tcPr>
          <w:p>
            <w:pPr>
              <w:spacing w:before="0" w:after="200" w:line="276" w:lineRule="auto"/>
              <w:jc w:val="left"/>
              <w:rPr>
                <w:rFonts w:eastAsiaTheme="minorHAnsi"/>
                <w:b/>
                <w:noProof/>
                <w:szCs w:val="22"/>
              </w:rPr>
            </w:pPr>
            <w:r>
              <w:rPr>
                <w:noProof/>
              </w:rPr>
              <w:t>Art. 36 – Instrumentul de verificare a NIF</w:t>
            </w:r>
          </w:p>
          <w:p>
            <w:pPr>
              <w:spacing w:before="0" w:after="200" w:line="276" w:lineRule="auto"/>
              <w:jc w:val="left"/>
              <w:rPr>
                <w:rFonts w:eastAsiaTheme="minorHAnsi"/>
                <w:noProof/>
                <w:szCs w:val="22"/>
              </w:rPr>
            </w:pPr>
            <w:r>
              <w:rPr>
                <w:noProof/>
              </w:rPr>
              <w:t>ToW (</w:t>
            </w:r>
            <w:r>
              <w:rPr>
                <w:i/>
                <w:noProof/>
              </w:rPr>
              <w:t>TIN-on-the-web</w:t>
            </w:r>
            <w:r>
              <w:rPr>
                <w:noProof/>
              </w:rPr>
              <w:t xml:space="preserve">) este un instrument care permite verificarea digitală și automată a valabilității unui NIF furnizat de o entitate raportoare sau de un contribuabil în scopul schimbului automat de informații. </w:t>
            </w:r>
          </w:p>
          <w:p>
            <w:pPr>
              <w:spacing w:before="0" w:after="200" w:line="276" w:lineRule="auto"/>
              <w:jc w:val="left"/>
              <w:rPr>
                <w:rFonts w:eastAsiaTheme="minorHAnsi"/>
                <w:noProof/>
                <w:szCs w:val="22"/>
              </w:rPr>
            </w:pPr>
            <w:r>
              <w:rPr>
                <w:noProof/>
              </w:rPr>
              <w:t>ToW respectă principiile ușurinței găsirii, accesibilității, interoperabilității și reutilizării (FAIR), menținând în același timp standarde de înaltă calitate.</w:t>
            </w:r>
          </w:p>
          <w:p>
            <w:pPr>
              <w:spacing w:before="0" w:after="200" w:line="276" w:lineRule="auto"/>
              <w:jc w:val="left"/>
              <w:rPr>
                <w:rFonts w:eastAsiaTheme="minorHAnsi"/>
                <w:noProof/>
                <w:szCs w:val="22"/>
              </w:rPr>
            </w:pPr>
            <w:r>
              <w:rPr>
                <w:noProof/>
              </w:rPr>
              <w:t>Ușor de găsit</w:t>
            </w:r>
          </w:p>
          <w:p>
            <w:pPr>
              <w:numPr>
                <w:ilvl w:val="0"/>
                <w:numId w:val="48"/>
              </w:numPr>
              <w:spacing w:before="0" w:after="200" w:line="276" w:lineRule="auto"/>
              <w:jc w:val="left"/>
              <w:rPr>
                <w:rFonts w:eastAsiaTheme="minorHAnsi"/>
                <w:noProof/>
                <w:szCs w:val="22"/>
              </w:rPr>
            </w:pPr>
            <w:r>
              <w:rPr>
                <w:noProof/>
              </w:rPr>
              <w:t>Datele ToW sunt structurate în jurul formatelor standardizate ale numerelor de identificare fiscală și al regulilor de validare specifice fiecărei țări, permițând identificarea și corelarea eficientă a evidențelor contribuabililor în toate statele membre.</w:t>
            </w:r>
          </w:p>
          <w:p>
            <w:pPr>
              <w:spacing w:before="0" w:after="200" w:line="276" w:lineRule="auto"/>
              <w:jc w:val="left"/>
              <w:rPr>
                <w:rFonts w:eastAsiaTheme="minorHAnsi"/>
                <w:noProof/>
                <w:szCs w:val="22"/>
              </w:rPr>
            </w:pPr>
            <w:r>
              <w:rPr>
                <w:noProof/>
              </w:rPr>
              <w:t>Accesibile</w:t>
            </w:r>
          </w:p>
          <w:p>
            <w:pPr>
              <w:numPr>
                <w:ilvl w:val="0"/>
                <w:numId w:val="48"/>
              </w:numPr>
              <w:spacing w:before="0" w:after="200" w:line="276" w:lineRule="auto"/>
              <w:jc w:val="left"/>
              <w:rPr>
                <w:rFonts w:eastAsiaTheme="minorHAnsi"/>
                <w:noProof/>
                <w:szCs w:val="22"/>
              </w:rPr>
            </w:pPr>
            <w:r>
              <w:rPr>
                <w:noProof/>
              </w:rPr>
              <w:t>Informațiile privind validarea NIF sunt accesibile utilizatorilor autorizați și administrațiilor fiscale prin intermediul unui serviciu online al UE disponibil la nivel central, care asigură extragerea fiabilă a datelor de referință privind identificarea contribuabililor.</w:t>
            </w:r>
          </w:p>
          <w:p>
            <w:pPr>
              <w:spacing w:before="0" w:after="200" w:line="276" w:lineRule="auto"/>
              <w:jc w:val="left"/>
              <w:rPr>
                <w:rFonts w:eastAsiaTheme="minorHAnsi"/>
                <w:noProof/>
                <w:szCs w:val="22"/>
              </w:rPr>
            </w:pPr>
            <w:r>
              <w:rPr>
                <w:noProof/>
              </w:rPr>
              <w:t>Interoperabile</w:t>
            </w:r>
          </w:p>
          <w:p>
            <w:pPr>
              <w:numPr>
                <w:ilvl w:val="0"/>
                <w:numId w:val="48"/>
              </w:numPr>
              <w:spacing w:before="0" w:after="200" w:line="276" w:lineRule="auto"/>
              <w:jc w:val="left"/>
              <w:rPr>
                <w:rFonts w:eastAsiaTheme="minorHAnsi"/>
                <w:noProof/>
                <w:szCs w:val="22"/>
              </w:rPr>
            </w:pPr>
            <w:r>
              <w:rPr>
                <w:noProof/>
              </w:rPr>
              <w:lastRenderedPageBreak/>
              <w:t>Sistemul sprijină interoperabilitatea prin armonizarea mecanismelor de validare a NIF și prin furnizarea unor structuri de referință comune utilizabile în cadrul diferitelor sisteme naționale de informații fiscale.</w:t>
            </w:r>
          </w:p>
          <w:p>
            <w:pPr>
              <w:spacing w:before="0" w:after="200" w:line="276" w:lineRule="auto"/>
              <w:jc w:val="left"/>
              <w:rPr>
                <w:rFonts w:eastAsiaTheme="minorHAnsi"/>
                <w:noProof/>
                <w:szCs w:val="22"/>
              </w:rPr>
            </w:pPr>
            <w:r>
              <w:rPr>
                <w:noProof/>
              </w:rPr>
              <w:t>Reutilizabile</w:t>
            </w:r>
          </w:p>
          <w:p>
            <w:pPr>
              <w:numPr>
                <w:ilvl w:val="0"/>
                <w:numId w:val="48"/>
              </w:numPr>
              <w:spacing w:before="0" w:after="200" w:line="276" w:lineRule="auto"/>
              <w:jc w:val="left"/>
              <w:rPr>
                <w:rFonts w:eastAsiaTheme="minorHAnsi"/>
                <w:noProof/>
                <w:szCs w:val="22"/>
              </w:rPr>
            </w:pPr>
            <w:r>
              <w:rPr>
                <w:noProof/>
              </w:rPr>
              <w:t>Odată validate, datele de referință privind NIF pot fi reutilizate în cadrul mai multor procese de administrare fiscală și schimburi transfrontaliere fără o verificare manuală repetată, în conformitate cu principiul „doar o singură dată”.</w:t>
            </w:r>
          </w:p>
          <w:p>
            <w:pPr>
              <w:spacing w:before="0" w:after="200" w:line="276" w:lineRule="auto"/>
              <w:jc w:val="left"/>
              <w:rPr>
                <w:rFonts w:eastAsiaTheme="minorHAnsi"/>
                <w:noProof/>
                <w:szCs w:val="22"/>
              </w:rPr>
            </w:pPr>
            <w:r>
              <w:rPr>
                <w:noProof/>
              </w:rPr>
              <w:t>Standarde de înaltă calitate</w:t>
            </w:r>
          </w:p>
          <w:p>
            <w:pPr>
              <w:numPr>
                <w:ilvl w:val="0"/>
                <w:numId w:val="48"/>
              </w:numPr>
              <w:spacing w:before="0" w:after="200" w:line="276" w:lineRule="auto"/>
              <w:jc w:val="left"/>
              <w:rPr>
                <w:rFonts w:eastAsiaTheme="minorHAnsi"/>
                <w:noProof/>
                <w:szCs w:val="22"/>
              </w:rPr>
            </w:pPr>
            <w:r>
              <w:rPr>
                <w:noProof/>
              </w:rPr>
              <w:t>Sistemul îmbunătățește calitatea datelor prin validarea structurii și a corectitudinii identificatorilor contribuabililor, reducând inconsecvențele, duplicarea și erorile de identificare din datele fiscale care au făcut obiectul schimburilor.</w:t>
            </w:r>
          </w:p>
        </w:tc>
      </w:tr>
    </w:tbl>
    <w:p>
      <w:pPr>
        <w:spacing w:before="0" w:after="200" w:line="276" w:lineRule="auto"/>
        <w:jc w:val="left"/>
        <w:rPr>
          <w:noProof/>
        </w:rPr>
      </w:pPr>
      <w:r>
        <w:rPr>
          <w:b/>
          <w:noProof/>
        </w:rPr>
        <w:lastRenderedPageBreak/>
        <w:t>Fluxuri de date</w:t>
      </w:r>
    </w:p>
    <w:tbl>
      <w:tblPr>
        <w:tblStyle w:val="TableGrid"/>
        <w:tblW w:w="14078" w:type="dxa"/>
        <w:tblLook w:val="04A0" w:firstRow="1" w:lastRow="0" w:firstColumn="1" w:lastColumn="0" w:noHBand="0" w:noVBand="1"/>
      </w:tblPr>
      <w:tblGrid>
        <w:gridCol w:w="4449"/>
        <w:gridCol w:w="1468"/>
        <w:gridCol w:w="1891"/>
        <w:gridCol w:w="1908"/>
        <w:gridCol w:w="2194"/>
        <w:gridCol w:w="2168"/>
      </w:tblGrid>
      <w:tr>
        <w:trPr>
          <w:trHeight w:val="300"/>
        </w:trPr>
        <w:tc>
          <w:tcPr>
            <w:tcW w:w="4449" w:type="dxa"/>
          </w:tcPr>
          <w:p>
            <w:pPr>
              <w:spacing w:before="0" w:after="200" w:line="276" w:lineRule="auto"/>
              <w:jc w:val="left"/>
              <w:rPr>
                <w:rFonts w:eastAsiaTheme="minorHAnsi"/>
                <w:noProof/>
                <w:szCs w:val="22"/>
              </w:rPr>
            </w:pPr>
            <w:r>
              <w:rPr>
                <w:b/>
                <w:noProof/>
              </w:rPr>
              <w:t>Tipul de date</w:t>
            </w:r>
          </w:p>
        </w:tc>
        <w:tc>
          <w:tcPr>
            <w:tcW w:w="1468" w:type="dxa"/>
          </w:tcPr>
          <w:p>
            <w:pPr>
              <w:spacing w:before="0" w:after="200" w:line="276" w:lineRule="auto"/>
              <w:jc w:val="left"/>
              <w:rPr>
                <w:rFonts w:eastAsiaTheme="minorHAnsi"/>
                <w:noProof/>
                <w:szCs w:val="22"/>
              </w:rPr>
            </w:pPr>
            <w:r>
              <w:rPr>
                <w:b/>
                <w:noProof/>
              </w:rPr>
              <w:t>Referința cerinței (referințele cerințelor)</w:t>
            </w:r>
          </w:p>
        </w:tc>
        <w:tc>
          <w:tcPr>
            <w:tcW w:w="1891" w:type="dxa"/>
          </w:tcPr>
          <w:p>
            <w:pPr>
              <w:spacing w:before="0" w:after="200" w:line="276" w:lineRule="auto"/>
              <w:jc w:val="left"/>
              <w:rPr>
                <w:rFonts w:eastAsiaTheme="minorHAnsi"/>
                <w:noProof/>
                <w:szCs w:val="22"/>
              </w:rPr>
            </w:pPr>
            <w:r>
              <w:rPr>
                <w:b/>
                <w:noProof/>
              </w:rPr>
              <w:t>Actorul care furnizează datele</w:t>
            </w:r>
          </w:p>
        </w:tc>
        <w:tc>
          <w:tcPr>
            <w:tcW w:w="1908" w:type="dxa"/>
          </w:tcPr>
          <w:p>
            <w:pPr>
              <w:spacing w:before="0" w:after="200" w:line="276" w:lineRule="auto"/>
              <w:jc w:val="left"/>
              <w:rPr>
                <w:rFonts w:eastAsiaTheme="minorHAnsi"/>
                <w:noProof/>
                <w:szCs w:val="22"/>
              </w:rPr>
            </w:pPr>
            <w:r>
              <w:rPr>
                <w:b/>
                <w:noProof/>
              </w:rPr>
              <w:t>Actorul care primește datele</w:t>
            </w:r>
          </w:p>
        </w:tc>
        <w:tc>
          <w:tcPr>
            <w:tcW w:w="2194" w:type="dxa"/>
          </w:tcPr>
          <w:p>
            <w:pPr>
              <w:spacing w:before="0" w:after="200" w:line="276" w:lineRule="auto"/>
              <w:jc w:val="left"/>
              <w:rPr>
                <w:rFonts w:eastAsiaTheme="minorHAnsi"/>
                <w:noProof/>
                <w:szCs w:val="22"/>
              </w:rPr>
            </w:pPr>
            <w:r>
              <w:rPr>
                <w:b/>
                <w:noProof/>
              </w:rPr>
              <w:t>Factorul declanșator pentru schimbul de date</w:t>
            </w:r>
          </w:p>
        </w:tc>
        <w:tc>
          <w:tcPr>
            <w:tcW w:w="2168" w:type="dxa"/>
          </w:tcPr>
          <w:p>
            <w:pPr>
              <w:spacing w:before="0" w:after="200" w:line="276" w:lineRule="auto"/>
              <w:jc w:val="left"/>
              <w:rPr>
                <w:rFonts w:eastAsiaTheme="minorHAnsi"/>
                <w:noProof/>
                <w:szCs w:val="22"/>
              </w:rPr>
            </w:pPr>
            <w:r>
              <w:rPr>
                <w:b/>
                <w:noProof/>
              </w:rPr>
              <w:t>Frecvența (dacă este cazul)</w:t>
            </w:r>
          </w:p>
        </w:tc>
      </w:tr>
      <w:tr>
        <w:trPr>
          <w:trHeight w:val="300"/>
        </w:trPr>
        <w:tc>
          <w:tcPr>
            <w:tcW w:w="4449" w:type="dxa"/>
          </w:tcPr>
          <w:p>
            <w:pPr>
              <w:spacing w:before="0" w:after="200" w:line="276" w:lineRule="auto"/>
              <w:jc w:val="left"/>
              <w:rPr>
                <w:rFonts w:eastAsiaTheme="minorHAnsi"/>
                <w:noProof/>
                <w:szCs w:val="22"/>
              </w:rPr>
            </w:pPr>
            <w:r>
              <w:rPr>
                <w:noProof/>
              </w:rPr>
              <w:t>Art. 4. Informații fiscale privind veniturile din muncă, remunerațiile și alte beneficii plătite administratorilor și altor persoane asimilate acestora, pensiile, proprietatea asupra bunurilor imobile și veniturile din bunuri imobile, redevențele și dividendele vărsate prin intermediul unor conturi altele decât cele de custodie</w:t>
            </w:r>
          </w:p>
        </w:tc>
        <w:tc>
          <w:tcPr>
            <w:tcW w:w="1468" w:type="dxa"/>
          </w:tcPr>
          <w:p>
            <w:pPr>
              <w:spacing w:before="0" w:after="200" w:line="276" w:lineRule="auto"/>
              <w:jc w:val="left"/>
              <w:rPr>
                <w:rFonts w:eastAsiaTheme="minorHAnsi"/>
                <w:noProof/>
                <w:szCs w:val="22"/>
              </w:rPr>
            </w:pPr>
            <w:r>
              <w:rPr>
                <w:noProof/>
              </w:rPr>
              <w:t>Art. 4</w:t>
            </w:r>
          </w:p>
        </w:tc>
        <w:tc>
          <w:tcPr>
            <w:tcW w:w="1891" w:type="dxa"/>
          </w:tcPr>
          <w:p>
            <w:pPr>
              <w:spacing w:before="0" w:after="200" w:line="276" w:lineRule="auto"/>
              <w:jc w:val="left"/>
              <w:rPr>
                <w:rFonts w:eastAsiaTheme="minorHAnsi"/>
                <w:noProof/>
                <w:szCs w:val="22"/>
              </w:rPr>
            </w:pPr>
            <w:r>
              <w:rPr>
                <w:noProof/>
              </w:rPr>
              <w:t>Autoritățile publice</w:t>
            </w:r>
          </w:p>
        </w:tc>
        <w:tc>
          <w:tcPr>
            <w:tcW w:w="1908" w:type="dxa"/>
          </w:tcPr>
          <w:p>
            <w:pPr>
              <w:spacing w:before="0" w:after="200" w:line="276" w:lineRule="auto"/>
              <w:jc w:val="left"/>
              <w:rPr>
                <w:rFonts w:eastAsiaTheme="minorHAnsi"/>
                <w:noProof/>
                <w:szCs w:val="22"/>
              </w:rPr>
            </w:pPr>
            <w:r>
              <w:rPr>
                <w:noProof/>
              </w:rPr>
              <w:t>Autoritatea fiscală a statului membru</w:t>
            </w:r>
          </w:p>
        </w:tc>
        <w:tc>
          <w:tcPr>
            <w:tcW w:w="2194" w:type="dxa"/>
          </w:tcPr>
          <w:p>
            <w:pPr>
              <w:spacing w:before="0" w:after="200" w:line="276" w:lineRule="auto"/>
              <w:jc w:val="left"/>
              <w:rPr>
                <w:rFonts w:eastAsiaTheme="minorHAnsi"/>
                <w:noProof/>
                <w:szCs w:val="22"/>
              </w:rPr>
            </w:pPr>
            <w:r>
              <w:rPr>
                <w:noProof/>
              </w:rPr>
              <w:t>Schimburile se efectuează în perioadele specificate la articolul 4.</w:t>
            </w:r>
          </w:p>
        </w:tc>
        <w:tc>
          <w:tcPr>
            <w:tcW w:w="2168" w:type="dxa"/>
          </w:tcPr>
          <w:p>
            <w:pPr>
              <w:spacing w:before="0" w:after="200" w:line="276" w:lineRule="auto"/>
              <w:jc w:val="left"/>
              <w:rPr>
                <w:rFonts w:eastAsiaTheme="minorHAnsi"/>
                <w:noProof/>
                <w:szCs w:val="22"/>
              </w:rPr>
            </w:pPr>
            <w:r>
              <w:rPr>
                <w:noProof/>
              </w:rPr>
              <w:t>Schimbul se efectuează anual, în termen de cel mult șase luni de la sfârșitul anului calendaristic.</w:t>
            </w:r>
          </w:p>
        </w:tc>
      </w:tr>
      <w:tr>
        <w:trPr>
          <w:trHeight w:val="300"/>
        </w:trPr>
        <w:tc>
          <w:tcPr>
            <w:tcW w:w="4449" w:type="dxa"/>
          </w:tcPr>
          <w:p>
            <w:pPr>
              <w:spacing w:before="0" w:after="200" w:line="276" w:lineRule="auto"/>
              <w:jc w:val="left"/>
              <w:rPr>
                <w:rFonts w:eastAsiaTheme="minorHAnsi"/>
                <w:noProof/>
                <w:szCs w:val="22"/>
              </w:rPr>
            </w:pPr>
            <w:r>
              <w:rPr>
                <w:noProof/>
              </w:rPr>
              <w:lastRenderedPageBreak/>
              <w:t>Art. 5. Informații fiscale din datele financiare furnizate de instituțiile financiare din fiecare stat membru.</w:t>
            </w:r>
          </w:p>
        </w:tc>
        <w:tc>
          <w:tcPr>
            <w:tcW w:w="1468" w:type="dxa"/>
          </w:tcPr>
          <w:p>
            <w:pPr>
              <w:spacing w:before="0" w:after="200" w:line="276" w:lineRule="auto"/>
              <w:jc w:val="left"/>
              <w:rPr>
                <w:rFonts w:eastAsiaTheme="minorHAnsi"/>
                <w:noProof/>
                <w:szCs w:val="22"/>
              </w:rPr>
            </w:pPr>
            <w:r>
              <w:rPr>
                <w:noProof/>
              </w:rPr>
              <w:t>Art. 5</w:t>
            </w:r>
          </w:p>
        </w:tc>
        <w:tc>
          <w:tcPr>
            <w:tcW w:w="1891" w:type="dxa"/>
          </w:tcPr>
          <w:p>
            <w:pPr>
              <w:spacing w:before="0" w:after="200" w:line="276" w:lineRule="auto"/>
              <w:jc w:val="left"/>
              <w:rPr>
                <w:rFonts w:eastAsiaTheme="minorHAnsi"/>
                <w:noProof/>
                <w:szCs w:val="22"/>
              </w:rPr>
            </w:pPr>
            <w:r>
              <w:rPr>
                <w:noProof/>
              </w:rPr>
              <w:t>Instituțiile financiare</w:t>
            </w:r>
          </w:p>
        </w:tc>
        <w:tc>
          <w:tcPr>
            <w:tcW w:w="1908" w:type="dxa"/>
          </w:tcPr>
          <w:p>
            <w:pPr>
              <w:spacing w:before="0" w:after="200" w:line="276" w:lineRule="auto"/>
              <w:jc w:val="left"/>
              <w:rPr>
                <w:rFonts w:eastAsiaTheme="minorHAnsi"/>
                <w:noProof/>
                <w:szCs w:val="22"/>
              </w:rPr>
            </w:pPr>
            <w:r>
              <w:rPr>
                <w:noProof/>
              </w:rPr>
              <w:t>Autoritatea fiscală a statului membru</w:t>
            </w:r>
          </w:p>
        </w:tc>
        <w:tc>
          <w:tcPr>
            <w:tcW w:w="2194" w:type="dxa"/>
          </w:tcPr>
          <w:p>
            <w:pPr>
              <w:spacing w:before="0" w:after="200" w:line="276" w:lineRule="auto"/>
              <w:jc w:val="left"/>
              <w:rPr>
                <w:rFonts w:eastAsiaTheme="minorHAnsi"/>
                <w:noProof/>
                <w:szCs w:val="22"/>
              </w:rPr>
            </w:pPr>
            <w:r>
              <w:rPr>
                <w:noProof/>
              </w:rPr>
              <w:t>Schimburile se efectuează în perioadele specificate la articolul 5.</w:t>
            </w:r>
          </w:p>
        </w:tc>
        <w:tc>
          <w:tcPr>
            <w:tcW w:w="2168" w:type="dxa"/>
          </w:tcPr>
          <w:p>
            <w:pPr>
              <w:spacing w:before="0" w:after="200" w:line="276" w:lineRule="auto"/>
              <w:jc w:val="left"/>
              <w:rPr>
                <w:rFonts w:eastAsiaTheme="minorHAnsi"/>
                <w:noProof/>
                <w:szCs w:val="22"/>
              </w:rPr>
            </w:pPr>
            <w:r>
              <w:rPr>
                <w:noProof/>
              </w:rPr>
              <w:t>Schimbul se efectuează anual, în termen de cel mult nouă luni de la sfârșitul anului calendaristic.</w:t>
            </w:r>
          </w:p>
        </w:tc>
      </w:tr>
      <w:tr>
        <w:trPr>
          <w:trHeight w:val="300"/>
        </w:trPr>
        <w:tc>
          <w:tcPr>
            <w:tcW w:w="4449" w:type="dxa"/>
          </w:tcPr>
          <w:p>
            <w:pPr>
              <w:spacing w:before="0" w:after="200" w:line="276" w:lineRule="auto"/>
              <w:jc w:val="left"/>
              <w:rPr>
                <w:rFonts w:eastAsiaTheme="minorHAnsi"/>
                <w:noProof/>
                <w:szCs w:val="22"/>
              </w:rPr>
            </w:pPr>
            <w:r>
              <w:rPr>
                <w:noProof/>
              </w:rPr>
              <w:t>Art. 6. Informații fiscale privind deciziile fiscale anticipate cu aplicare transfrontalieră și acordurile prealabile privind prețul de transfer</w:t>
            </w:r>
          </w:p>
        </w:tc>
        <w:tc>
          <w:tcPr>
            <w:tcW w:w="1468" w:type="dxa"/>
          </w:tcPr>
          <w:p>
            <w:pPr>
              <w:spacing w:before="0" w:after="200" w:line="276" w:lineRule="auto"/>
              <w:jc w:val="left"/>
              <w:rPr>
                <w:rFonts w:eastAsiaTheme="minorHAnsi"/>
                <w:noProof/>
                <w:szCs w:val="22"/>
              </w:rPr>
            </w:pPr>
            <w:r>
              <w:rPr>
                <w:noProof/>
              </w:rPr>
              <w:t>Art. 6</w:t>
            </w:r>
          </w:p>
        </w:tc>
        <w:tc>
          <w:tcPr>
            <w:tcW w:w="1891" w:type="dxa"/>
          </w:tcPr>
          <w:p>
            <w:pPr>
              <w:spacing w:before="0" w:after="200" w:line="276" w:lineRule="auto"/>
              <w:jc w:val="left"/>
              <w:rPr>
                <w:rFonts w:eastAsiaTheme="minorHAnsi"/>
                <w:noProof/>
                <w:szCs w:val="22"/>
              </w:rPr>
            </w:pPr>
            <w:r>
              <w:rPr>
                <w:noProof/>
              </w:rPr>
              <w:t>Autoritatea fiscală a statului membru</w:t>
            </w:r>
          </w:p>
        </w:tc>
        <w:tc>
          <w:tcPr>
            <w:tcW w:w="1908" w:type="dxa"/>
          </w:tcPr>
          <w:p>
            <w:pPr>
              <w:spacing w:before="0" w:after="200" w:line="276" w:lineRule="auto"/>
              <w:jc w:val="left"/>
              <w:rPr>
                <w:rFonts w:eastAsiaTheme="minorHAnsi"/>
                <w:noProof/>
                <w:szCs w:val="22"/>
              </w:rPr>
            </w:pPr>
            <w:r>
              <w:rPr>
                <w:noProof/>
              </w:rPr>
              <w:t>Autoritatea fiscală a statului membru</w:t>
            </w:r>
          </w:p>
        </w:tc>
        <w:tc>
          <w:tcPr>
            <w:tcW w:w="2194" w:type="dxa"/>
          </w:tcPr>
          <w:p>
            <w:pPr>
              <w:spacing w:before="0" w:after="200" w:line="276" w:lineRule="auto"/>
              <w:jc w:val="left"/>
              <w:rPr>
                <w:rFonts w:eastAsiaTheme="minorHAnsi"/>
                <w:noProof/>
                <w:szCs w:val="22"/>
              </w:rPr>
            </w:pPr>
            <w:r>
              <w:rPr>
                <w:noProof/>
              </w:rPr>
              <w:t>Emiterea, modificarea sau reînnoirea unei decizii fiscale transfrontaliere sau a unui acord prealabil privind prețul de transfer</w:t>
            </w:r>
          </w:p>
        </w:tc>
        <w:tc>
          <w:tcPr>
            <w:tcW w:w="2168" w:type="dxa"/>
          </w:tcPr>
          <w:p>
            <w:pPr>
              <w:spacing w:before="0" w:after="200" w:line="276" w:lineRule="auto"/>
              <w:jc w:val="left"/>
              <w:rPr>
                <w:rFonts w:eastAsiaTheme="minorHAnsi"/>
                <w:noProof/>
                <w:szCs w:val="22"/>
              </w:rPr>
            </w:pPr>
            <w:r>
              <w:rPr>
                <w:noProof/>
              </w:rPr>
              <w:t>În termen de cel mult trei luni de la încheierea semestrului.</w:t>
            </w:r>
          </w:p>
        </w:tc>
      </w:tr>
      <w:tr>
        <w:trPr>
          <w:trHeight w:val="300"/>
        </w:trPr>
        <w:tc>
          <w:tcPr>
            <w:tcW w:w="4449" w:type="dxa"/>
          </w:tcPr>
          <w:p>
            <w:pPr>
              <w:spacing w:before="0" w:after="200" w:line="276" w:lineRule="auto"/>
              <w:jc w:val="left"/>
              <w:rPr>
                <w:rFonts w:eastAsiaTheme="minorHAnsi"/>
                <w:noProof/>
                <w:szCs w:val="22"/>
              </w:rPr>
            </w:pPr>
            <w:r>
              <w:rPr>
                <w:noProof/>
              </w:rPr>
              <w:t>Art. 7. Informații fiscale privind rapoartele pentru fiecare țară în parte.</w:t>
            </w:r>
          </w:p>
        </w:tc>
        <w:tc>
          <w:tcPr>
            <w:tcW w:w="1468" w:type="dxa"/>
          </w:tcPr>
          <w:p>
            <w:pPr>
              <w:spacing w:before="0" w:after="200" w:line="276" w:lineRule="auto"/>
              <w:jc w:val="left"/>
              <w:rPr>
                <w:rFonts w:eastAsiaTheme="minorHAnsi"/>
                <w:noProof/>
                <w:szCs w:val="22"/>
              </w:rPr>
            </w:pPr>
            <w:r>
              <w:rPr>
                <w:noProof/>
              </w:rPr>
              <w:t>Art. 7</w:t>
            </w:r>
          </w:p>
        </w:tc>
        <w:tc>
          <w:tcPr>
            <w:tcW w:w="1891" w:type="dxa"/>
          </w:tcPr>
          <w:p>
            <w:pPr>
              <w:spacing w:before="0" w:after="200" w:line="276" w:lineRule="auto"/>
              <w:jc w:val="left"/>
              <w:rPr>
                <w:rFonts w:eastAsiaTheme="minorHAnsi"/>
                <w:noProof/>
                <w:szCs w:val="22"/>
              </w:rPr>
            </w:pPr>
            <w:r>
              <w:rPr>
                <w:noProof/>
              </w:rPr>
              <w:t>Întreprinderile multinaționale</w:t>
            </w:r>
          </w:p>
        </w:tc>
        <w:tc>
          <w:tcPr>
            <w:tcW w:w="1908" w:type="dxa"/>
          </w:tcPr>
          <w:p>
            <w:pPr>
              <w:spacing w:before="0" w:after="200" w:line="276" w:lineRule="auto"/>
              <w:jc w:val="left"/>
              <w:rPr>
                <w:rFonts w:eastAsiaTheme="minorHAnsi"/>
                <w:noProof/>
                <w:szCs w:val="22"/>
              </w:rPr>
            </w:pPr>
            <w:r>
              <w:rPr>
                <w:noProof/>
              </w:rPr>
              <w:t>Autoritatea fiscală a statului membru</w:t>
            </w:r>
          </w:p>
        </w:tc>
        <w:tc>
          <w:tcPr>
            <w:tcW w:w="2194" w:type="dxa"/>
          </w:tcPr>
          <w:p>
            <w:pPr>
              <w:spacing w:before="0" w:after="200" w:line="276" w:lineRule="auto"/>
              <w:jc w:val="left"/>
              <w:rPr>
                <w:rFonts w:eastAsiaTheme="minorHAnsi"/>
                <w:noProof/>
                <w:szCs w:val="22"/>
              </w:rPr>
            </w:pPr>
            <w:r>
              <w:rPr>
                <w:noProof/>
              </w:rPr>
              <w:t>Schimburile se efectuează în perioadele specificate la articolul 7.</w:t>
            </w:r>
          </w:p>
        </w:tc>
        <w:tc>
          <w:tcPr>
            <w:tcW w:w="2168" w:type="dxa"/>
          </w:tcPr>
          <w:p>
            <w:pPr>
              <w:spacing w:before="0" w:after="200" w:line="276" w:lineRule="auto"/>
              <w:jc w:val="left"/>
              <w:rPr>
                <w:rFonts w:eastAsiaTheme="minorHAnsi"/>
                <w:noProof/>
                <w:szCs w:val="22"/>
              </w:rPr>
            </w:pPr>
            <w:r>
              <w:rPr>
                <w:noProof/>
              </w:rPr>
              <w:t>Schimbul urmează ciclul anual de raportare.</w:t>
            </w:r>
          </w:p>
        </w:tc>
      </w:tr>
      <w:tr>
        <w:trPr>
          <w:trHeight w:val="300"/>
        </w:trPr>
        <w:tc>
          <w:tcPr>
            <w:tcW w:w="4449" w:type="dxa"/>
          </w:tcPr>
          <w:p>
            <w:pPr>
              <w:spacing w:before="0" w:after="200" w:line="276" w:lineRule="auto"/>
              <w:jc w:val="left"/>
              <w:rPr>
                <w:rFonts w:eastAsiaTheme="minorHAnsi"/>
                <w:noProof/>
                <w:szCs w:val="22"/>
              </w:rPr>
            </w:pPr>
            <w:r>
              <w:rPr>
                <w:noProof/>
              </w:rPr>
              <w:t>Art. 8. Informații fiscale privind modalitățile transfrontaliere care fac obiectul raportării</w:t>
            </w:r>
          </w:p>
        </w:tc>
        <w:tc>
          <w:tcPr>
            <w:tcW w:w="1468" w:type="dxa"/>
          </w:tcPr>
          <w:p>
            <w:pPr>
              <w:spacing w:before="0" w:after="200" w:line="276" w:lineRule="auto"/>
              <w:jc w:val="left"/>
              <w:rPr>
                <w:rFonts w:eastAsiaTheme="minorHAnsi"/>
                <w:noProof/>
                <w:szCs w:val="22"/>
              </w:rPr>
            </w:pPr>
            <w:r>
              <w:rPr>
                <w:noProof/>
              </w:rPr>
              <w:t>Art. 8</w:t>
            </w:r>
          </w:p>
        </w:tc>
        <w:tc>
          <w:tcPr>
            <w:tcW w:w="1891" w:type="dxa"/>
          </w:tcPr>
          <w:p>
            <w:pPr>
              <w:spacing w:before="0" w:after="200" w:line="276" w:lineRule="auto"/>
              <w:jc w:val="left"/>
              <w:rPr>
                <w:rFonts w:eastAsiaTheme="minorHAnsi"/>
                <w:noProof/>
                <w:szCs w:val="22"/>
              </w:rPr>
            </w:pPr>
            <w:r>
              <w:rPr>
                <w:noProof/>
              </w:rPr>
              <w:t>Intermediarii</w:t>
            </w:r>
          </w:p>
        </w:tc>
        <w:tc>
          <w:tcPr>
            <w:tcW w:w="1908" w:type="dxa"/>
          </w:tcPr>
          <w:p>
            <w:pPr>
              <w:spacing w:before="0" w:after="200" w:line="276" w:lineRule="auto"/>
              <w:jc w:val="left"/>
              <w:rPr>
                <w:rFonts w:eastAsiaTheme="minorHAnsi"/>
                <w:noProof/>
                <w:szCs w:val="22"/>
              </w:rPr>
            </w:pPr>
            <w:r>
              <w:rPr>
                <w:noProof/>
              </w:rPr>
              <w:t>Autoritatea fiscală a statului membru</w:t>
            </w:r>
          </w:p>
        </w:tc>
        <w:tc>
          <w:tcPr>
            <w:tcW w:w="2194" w:type="dxa"/>
          </w:tcPr>
          <w:p>
            <w:pPr>
              <w:spacing w:before="0" w:after="200" w:line="276" w:lineRule="auto"/>
              <w:jc w:val="left"/>
              <w:rPr>
                <w:rFonts w:eastAsiaTheme="minorHAnsi"/>
                <w:noProof/>
                <w:szCs w:val="22"/>
              </w:rPr>
            </w:pPr>
            <w:r>
              <w:rPr>
                <w:noProof/>
              </w:rPr>
              <w:t>Schimburile se efectuează în perioadele specificate la articolul 8.</w:t>
            </w:r>
          </w:p>
        </w:tc>
        <w:tc>
          <w:tcPr>
            <w:tcW w:w="2168" w:type="dxa"/>
          </w:tcPr>
          <w:p>
            <w:pPr>
              <w:spacing w:before="0" w:after="200" w:line="276" w:lineRule="auto"/>
              <w:jc w:val="left"/>
              <w:rPr>
                <w:rFonts w:eastAsiaTheme="minorHAnsi"/>
                <w:noProof/>
                <w:szCs w:val="22"/>
              </w:rPr>
            </w:pPr>
            <w:r>
              <w:rPr>
                <w:noProof/>
              </w:rPr>
              <w:t xml:space="preserve">Schimbul ar trebui să aibă loc de îndată ce informațiile devin disponibile și în niciun caz mai târziu de o lună </w:t>
            </w:r>
            <w:r>
              <w:rPr>
                <w:noProof/>
              </w:rPr>
              <w:lastRenderedPageBreak/>
              <w:t>după sfârșitul trimestrului în care au fost depuse informațiile.</w:t>
            </w:r>
          </w:p>
        </w:tc>
      </w:tr>
      <w:tr>
        <w:trPr>
          <w:trHeight w:val="300"/>
        </w:trPr>
        <w:tc>
          <w:tcPr>
            <w:tcW w:w="4449" w:type="dxa"/>
          </w:tcPr>
          <w:p>
            <w:pPr>
              <w:spacing w:before="0" w:after="200" w:line="276" w:lineRule="auto"/>
              <w:jc w:val="left"/>
              <w:rPr>
                <w:rFonts w:eastAsiaTheme="minorHAnsi"/>
                <w:noProof/>
                <w:szCs w:val="22"/>
              </w:rPr>
            </w:pPr>
            <w:r>
              <w:rPr>
                <w:noProof/>
              </w:rPr>
              <w:lastRenderedPageBreak/>
              <w:t>Art. 9, 10 și 11 - Schimbul automat obligatoriu de informații raportate de operatorii de platforme.</w:t>
            </w:r>
          </w:p>
        </w:tc>
        <w:tc>
          <w:tcPr>
            <w:tcW w:w="1468" w:type="dxa"/>
          </w:tcPr>
          <w:p>
            <w:pPr>
              <w:spacing w:before="0" w:after="200" w:line="276" w:lineRule="auto"/>
              <w:jc w:val="left"/>
              <w:rPr>
                <w:rFonts w:eastAsiaTheme="minorHAnsi"/>
                <w:noProof/>
                <w:szCs w:val="22"/>
              </w:rPr>
            </w:pPr>
            <w:r>
              <w:rPr>
                <w:noProof/>
              </w:rPr>
              <w:t>Articolul 9, secțiunea III din anexa V</w:t>
            </w:r>
          </w:p>
        </w:tc>
        <w:tc>
          <w:tcPr>
            <w:tcW w:w="1891" w:type="dxa"/>
          </w:tcPr>
          <w:p>
            <w:pPr>
              <w:spacing w:before="0" w:after="200" w:line="276" w:lineRule="auto"/>
              <w:jc w:val="left"/>
              <w:rPr>
                <w:rFonts w:eastAsiaTheme="minorHAnsi"/>
                <w:noProof/>
                <w:szCs w:val="22"/>
              </w:rPr>
            </w:pPr>
            <w:r>
              <w:rPr>
                <w:noProof/>
              </w:rPr>
              <w:t>Operatorii de platforme</w:t>
            </w:r>
          </w:p>
        </w:tc>
        <w:tc>
          <w:tcPr>
            <w:tcW w:w="1908" w:type="dxa"/>
          </w:tcPr>
          <w:p>
            <w:pPr>
              <w:spacing w:before="0" w:after="200" w:line="276" w:lineRule="auto"/>
              <w:jc w:val="left"/>
              <w:rPr>
                <w:rFonts w:eastAsiaTheme="minorHAnsi"/>
                <w:noProof/>
                <w:szCs w:val="22"/>
              </w:rPr>
            </w:pPr>
            <w:r>
              <w:rPr>
                <w:noProof/>
              </w:rPr>
              <w:t>Autoritatea fiscală a statului membru</w:t>
            </w:r>
          </w:p>
        </w:tc>
        <w:tc>
          <w:tcPr>
            <w:tcW w:w="2194" w:type="dxa"/>
          </w:tcPr>
          <w:p>
            <w:pPr>
              <w:spacing w:before="0" w:after="200" w:line="276" w:lineRule="auto"/>
              <w:jc w:val="left"/>
              <w:rPr>
                <w:rFonts w:eastAsiaTheme="minorHAnsi"/>
                <w:noProof/>
                <w:szCs w:val="22"/>
              </w:rPr>
            </w:pPr>
            <w:r>
              <w:rPr>
                <w:noProof/>
              </w:rPr>
              <w:t>Schimburile se efectuează în perioadele specificate la articolul 9.</w:t>
            </w:r>
          </w:p>
        </w:tc>
        <w:tc>
          <w:tcPr>
            <w:tcW w:w="2168" w:type="dxa"/>
          </w:tcPr>
          <w:p>
            <w:pPr>
              <w:spacing w:before="0" w:after="200" w:line="276" w:lineRule="auto"/>
              <w:jc w:val="left"/>
              <w:rPr>
                <w:rFonts w:eastAsiaTheme="minorHAnsi"/>
                <w:noProof/>
                <w:szCs w:val="22"/>
              </w:rPr>
            </w:pPr>
            <w:r>
              <w:rPr>
                <w:noProof/>
              </w:rPr>
              <w:t>Operatorul de Platformă care are Obligația de Raportare raportează informațiile în ceea ce privește Perioada de Raportare autorității competente din statul membru ales până la data de 31 ianuarie a anului următor anului calendaristic în care Vânzătorul este identificat ca Vânzător Raportabil.</w:t>
            </w:r>
          </w:p>
        </w:tc>
      </w:tr>
      <w:tr>
        <w:trPr>
          <w:trHeight w:val="300"/>
        </w:trPr>
        <w:tc>
          <w:tcPr>
            <w:tcW w:w="4449" w:type="dxa"/>
          </w:tcPr>
          <w:p>
            <w:pPr>
              <w:spacing w:before="0" w:after="200" w:line="276" w:lineRule="auto"/>
              <w:jc w:val="left"/>
              <w:rPr>
                <w:rFonts w:eastAsiaTheme="minorHAnsi"/>
                <w:noProof/>
                <w:szCs w:val="22"/>
              </w:rPr>
            </w:pPr>
            <w:r>
              <w:rPr>
                <w:noProof/>
              </w:rPr>
              <w:t>Art. 12 - Informații fiscale privind tranzacțiile cu criptoactive</w:t>
            </w:r>
          </w:p>
          <w:p>
            <w:pPr>
              <w:spacing w:before="0" w:after="200" w:line="276" w:lineRule="auto"/>
              <w:jc w:val="left"/>
              <w:rPr>
                <w:rFonts w:eastAsiaTheme="minorHAnsi"/>
                <w:noProof/>
                <w:szCs w:val="22"/>
                <w:lang w:eastAsia="en-US"/>
              </w:rPr>
            </w:pPr>
          </w:p>
        </w:tc>
        <w:tc>
          <w:tcPr>
            <w:tcW w:w="1468" w:type="dxa"/>
          </w:tcPr>
          <w:p>
            <w:pPr>
              <w:spacing w:before="0" w:after="200" w:line="276" w:lineRule="auto"/>
              <w:jc w:val="left"/>
              <w:rPr>
                <w:rFonts w:eastAsiaTheme="minorHAnsi"/>
                <w:noProof/>
                <w:szCs w:val="22"/>
              </w:rPr>
            </w:pPr>
            <w:r>
              <w:rPr>
                <w:noProof/>
              </w:rPr>
              <w:lastRenderedPageBreak/>
              <w:t xml:space="preserve">Art. 12 </w:t>
            </w:r>
          </w:p>
        </w:tc>
        <w:tc>
          <w:tcPr>
            <w:tcW w:w="1891" w:type="dxa"/>
          </w:tcPr>
          <w:p>
            <w:pPr>
              <w:spacing w:before="0" w:after="200" w:line="276" w:lineRule="auto"/>
              <w:jc w:val="left"/>
              <w:rPr>
                <w:rFonts w:eastAsiaTheme="minorHAnsi"/>
                <w:noProof/>
                <w:szCs w:val="22"/>
              </w:rPr>
            </w:pPr>
            <w:r>
              <w:rPr>
                <w:noProof/>
              </w:rPr>
              <w:t xml:space="preserve">Furnizorii de Servicii de Criptoactive </w:t>
            </w:r>
            <w:r>
              <w:rPr>
                <w:noProof/>
              </w:rPr>
              <w:lastRenderedPageBreak/>
              <w:t>Raportori</w:t>
            </w:r>
          </w:p>
        </w:tc>
        <w:tc>
          <w:tcPr>
            <w:tcW w:w="1908" w:type="dxa"/>
          </w:tcPr>
          <w:p>
            <w:pPr>
              <w:spacing w:before="0" w:after="200" w:line="276" w:lineRule="auto"/>
              <w:jc w:val="left"/>
              <w:rPr>
                <w:rFonts w:eastAsiaTheme="minorHAnsi"/>
                <w:noProof/>
                <w:szCs w:val="22"/>
              </w:rPr>
            </w:pPr>
            <w:r>
              <w:rPr>
                <w:noProof/>
              </w:rPr>
              <w:lastRenderedPageBreak/>
              <w:t xml:space="preserve">Autoritatea fiscală a statului </w:t>
            </w:r>
            <w:r>
              <w:rPr>
                <w:noProof/>
              </w:rPr>
              <w:lastRenderedPageBreak/>
              <w:t>membru</w:t>
            </w:r>
          </w:p>
        </w:tc>
        <w:tc>
          <w:tcPr>
            <w:tcW w:w="2194" w:type="dxa"/>
          </w:tcPr>
          <w:p>
            <w:pPr>
              <w:spacing w:before="0" w:after="200" w:line="276" w:lineRule="auto"/>
              <w:jc w:val="left"/>
              <w:rPr>
                <w:rFonts w:eastAsiaTheme="minorHAnsi"/>
                <w:noProof/>
                <w:szCs w:val="22"/>
              </w:rPr>
            </w:pPr>
            <w:r>
              <w:rPr>
                <w:noProof/>
              </w:rPr>
              <w:lastRenderedPageBreak/>
              <w:t xml:space="preserve">Schimburile se efectuează în perioadele </w:t>
            </w:r>
            <w:r>
              <w:rPr>
                <w:noProof/>
              </w:rPr>
              <w:lastRenderedPageBreak/>
              <w:t xml:space="preserve">specificate de Directiva DAC8. </w:t>
            </w:r>
          </w:p>
        </w:tc>
        <w:tc>
          <w:tcPr>
            <w:tcW w:w="2168" w:type="dxa"/>
          </w:tcPr>
          <w:p>
            <w:pPr>
              <w:spacing w:before="0" w:after="200" w:line="276" w:lineRule="auto"/>
              <w:jc w:val="left"/>
              <w:rPr>
                <w:rFonts w:eastAsiaTheme="minorHAnsi"/>
                <w:noProof/>
                <w:szCs w:val="22"/>
              </w:rPr>
            </w:pPr>
            <w:r>
              <w:rPr>
                <w:noProof/>
              </w:rPr>
              <w:lastRenderedPageBreak/>
              <w:t xml:space="preserve">Raportarea tranzacțiilor cu criptoactive este un </w:t>
            </w:r>
            <w:r>
              <w:rPr>
                <w:noProof/>
              </w:rPr>
              <w:lastRenderedPageBreak/>
              <w:t>exercițiu anual. Primul an de raportare va fi 2026, iar schimbul de informații va începe în septembrie 2027.</w:t>
            </w:r>
          </w:p>
        </w:tc>
      </w:tr>
      <w:tr>
        <w:trPr>
          <w:trHeight w:val="300"/>
        </w:trPr>
        <w:tc>
          <w:tcPr>
            <w:tcW w:w="4449" w:type="dxa"/>
          </w:tcPr>
          <w:p>
            <w:pPr>
              <w:spacing w:before="0" w:after="200" w:line="276" w:lineRule="auto"/>
              <w:jc w:val="left"/>
              <w:rPr>
                <w:rFonts w:eastAsiaTheme="minorHAnsi"/>
                <w:noProof/>
                <w:szCs w:val="22"/>
              </w:rPr>
            </w:pPr>
            <w:r>
              <w:rPr>
                <w:noProof/>
              </w:rPr>
              <w:lastRenderedPageBreak/>
              <w:t>Art. 15 - Schimbul de informații cu privire la Declarațiile privind impozitul suplimentar în temeiul articolului 44 din Directiva (UE) 2022/2523</w:t>
            </w:r>
          </w:p>
        </w:tc>
        <w:tc>
          <w:tcPr>
            <w:tcW w:w="1468" w:type="dxa"/>
          </w:tcPr>
          <w:p>
            <w:pPr>
              <w:spacing w:before="0" w:after="200" w:line="276" w:lineRule="auto"/>
              <w:jc w:val="left"/>
              <w:rPr>
                <w:rFonts w:eastAsiaTheme="minorHAnsi"/>
                <w:noProof/>
                <w:szCs w:val="22"/>
              </w:rPr>
            </w:pPr>
            <w:r>
              <w:rPr>
                <w:noProof/>
              </w:rPr>
              <w:t>Art. 15</w:t>
            </w:r>
          </w:p>
        </w:tc>
        <w:tc>
          <w:tcPr>
            <w:tcW w:w="1891" w:type="dxa"/>
          </w:tcPr>
          <w:p>
            <w:pPr>
              <w:spacing w:before="0" w:after="200" w:line="276" w:lineRule="auto"/>
              <w:jc w:val="left"/>
              <w:rPr>
                <w:rFonts w:eastAsiaTheme="minorHAnsi"/>
                <w:noProof/>
                <w:szCs w:val="22"/>
              </w:rPr>
            </w:pPr>
            <w:r>
              <w:rPr>
                <w:noProof/>
              </w:rPr>
              <w:t>Grupurile de întreprinderi multinaționale</w:t>
            </w:r>
          </w:p>
        </w:tc>
        <w:tc>
          <w:tcPr>
            <w:tcW w:w="1908" w:type="dxa"/>
          </w:tcPr>
          <w:p>
            <w:pPr>
              <w:spacing w:before="0" w:after="200" w:line="276" w:lineRule="auto"/>
              <w:jc w:val="left"/>
              <w:rPr>
                <w:rFonts w:eastAsiaTheme="minorHAnsi"/>
                <w:noProof/>
                <w:szCs w:val="22"/>
              </w:rPr>
            </w:pPr>
            <w:r>
              <w:rPr>
                <w:noProof/>
              </w:rPr>
              <w:t>Autoritatea fiscală a statului membru</w:t>
            </w:r>
          </w:p>
        </w:tc>
        <w:tc>
          <w:tcPr>
            <w:tcW w:w="2194" w:type="dxa"/>
          </w:tcPr>
          <w:p>
            <w:pPr>
              <w:spacing w:before="0" w:after="200" w:line="276" w:lineRule="auto"/>
              <w:jc w:val="left"/>
              <w:rPr>
                <w:rFonts w:eastAsiaTheme="minorHAnsi"/>
                <w:noProof/>
                <w:szCs w:val="22"/>
              </w:rPr>
            </w:pPr>
            <w:r>
              <w:rPr>
                <w:noProof/>
              </w:rPr>
              <w:t>Schimburile se efectuează în perioadele specificate la articolul 15.</w:t>
            </w:r>
          </w:p>
        </w:tc>
        <w:tc>
          <w:tcPr>
            <w:tcW w:w="2168" w:type="dxa"/>
          </w:tcPr>
          <w:p>
            <w:pPr>
              <w:spacing w:before="0" w:after="200" w:line="276" w:lineRule="auto"/>
              <w:jc w:val="left"/>
              <w:rPr>
                <w:rFonts w:eastAsiaTheme="minorHAnsi"/>
                <w:noProof/>
                <w:szCs w:val="22"/>
              </w:rPr>
            </w:pPr>
            <w:r>
              <w:rPr>
                <w:noProof/>
              </w:rPr>
              <w:t>Declarația privind impozitul suplimentar primită după termenul de depunere se comunică, în orice caz, în termen de cel mult 3 luni de la data primirii sale.</w:t>
            </w:r>
          </w:p>
        </w:tc>
      </w:tr>
      <w:tr>
        <w:trPr>
          <w:trHeight w:val="300"/>
        </w:trPr>
        <w:tc>
          <w:tcPr>
            <w:tcW w:w="4449" w:type="dxa"/>
          </w:tcPr>
          <w:p>
            <w:pPr>
              <w:spacing w:before="0" w:after="200" w:line="276" w:lineRule="auto"/>
              <w:jc w:val="left"/>
              <w:rPr>
                <w:rFonts w:eastAsiaTheme="minorHAnsi"/>
                <w:noProof/>
                <w:szCs w:val="22"/>
              </w:rPr>
            </w:pPr>
            <w:r>
              <w:rPr>
                <w:noProof/>
              </w:rPr>
              <w:t>Art. 16 - Informații privind notificările în scopul raportării pentru fiecare țară în parte, al depunerii la nivel central a declarației privind impozitul suplimentar și schimbul de informații</w:t>
            </w:r>
          </w:p>
        </w:tc>
        <w:tc>
          <w:tcPr>
            <w:tcW w:w="1468" w:type="dxa"/>
          </w:tcPr>
          <w:p>
            <w:pPr>
              <w:spacing w:before="0" w:after="200" w:line="276" w:lineRule="auto"/>
              <w:jc w:val="left"/>
              <w:rPr>
                <w:rFonts w:eastAsiaTheme="minorHAnsi"/>
                <w:noProof/>
                <w:szCs w:val="22"/>
              </w:rPr>
            </w:pPr>
            <w:r>
              <w:rPr>
                <w:noProof/>
              </w:rPr>
              <w:t xml:space="preserve">Art. 16 </w:t>
            </w:r>
          </w:p>
        </w:tc>
        <w:tc>
          <w:tcPr>
            <w:tcW w:w="1891" w:type="dxa"/>
          </w:tcPr>
          <w:p>
            <w:pPr>
              <w:spacing w:before="0" w:after="200" w:line="276" w:lineRule="auto"/>
              <w:jc w:val="left"/>
              <w:rPr>
                <w:rFonts w:eastAsiaTheme="minorHAnsi"/>
                <w:noProof/>
                <w:szCs w:val="22"/>
              </w:rPr>
            </w:pPr>
            <w:r>
              <w:rPr>
                <w:noProof/>
              </w:rPr>
              <w:t>Grupurile de întreprinderi multinaționale</w:t>
            </w:r>
          </w:p>
        </w:tc>
        <w:tc>
          <w:tcPr>
            <w:tcW w:w="1908" w:type="dxa"/>
          </w:tcPr>
          <w:p>
            <w:pPr>
              <w:spacing w:before="0" w:after="200" w:line="276" w:lineRule="auto"/>
              <w:jc w:val="left"/>
              <w:rPr>
                <w:rFonts w:eastAsiaTheme="minorHAnsi"/>
                <w:noProof/>
                <w:szCs w:val="22"/>
              </w:rPr>
            </w:pPr>
            <w:r>
              <w:rPr>
                <w:noProof/>
              </w:rPr>
              <w:t>Autoritatea fiscală a statului membru</w:t>
            </w:r>
          </w:p>
        </w:tc>
        <w:tc>
          <w:tcPr>
            <w:tcW w:w="2194" w:type="dxa"/>
          </w:tcPr>
          <w:p>
            <w:pPr>
              <w:spacing w:before="0" w:after="200" w:line="276" w:lineRule="auto"/>
              <w:jc w:val="left"/>
              <w:rPr>
                <w:rFonts w:eastAsiaTheme="minorHAnsi"/>
                <w:noProof/>
                <w:szCs w:val="22"/>
              </w:rPr>
            </w:pPr>
            <w:r>
              <w:rPr>
                <w:noProof/>
              </w:rPr>
              <w:t>Schimburile se efectuează în perioadele specificate la articolul 16.</w:t>
            </w:r>
          </w:p>
        </w:tc>
        <w:tc>
          <w:tcPr>
            <w:tcW w:w="2168" w:type="dxa"/>
          </w:tcPr>
          <w:p>
            <w:pPr>
              <w:spacing w:before="0" w:after="200" w:line="276" w:lineRule="auto"/>
              <w:jc w:val="left"/>
              <w:rPr>
                <w:rFonts w:eastAsiaTheme="minorHAnsi"/>
                <w:noProof/>
                <w:szCs w:val="22"/>
              </w:rPr>
            </w:pPr>
            <w:r>
              <w:rPr>
                <w:noProof/>
              </w:rPr>
              <w:t>Ar trebui efectuată notificarea tuturor statelor membre vizate și, în orice caz, în termen de cel mult 3 luni de la data primirii acesteia.</w:t>
            </w:r>
          </w:p>
        </w:tc>
      </w:tr>
      <w:tr>
        <w:trPr>
          <w:trHeight w:val="300"/>
        </w:trPr>
        <w:tc>
          <w:tcPr>
            <w:tcW w:w="4449" w:type="dxa"/>
          </w:tcPr>
          <w:p>
            <w:pPr>
              <w:spacing w:before="0" w:after="200" w:line="276" w:lineRule="auto"/>
              <w:jc w:val="left"/>
              <w:rPr>
                <w:rFonts w:eastAsiaTheme="minorHAnsi"/>
                <w:noProof/>
                <w:szCs w:val="22"/>
              </w:rPr>
            </w:pPr>
            <w:r>
              <w:rPr>
                <w:noProof/>
              </w:rPr>
              <w:t xml:space="preserve">Art. 36 - Informații privind verificarea </w:t>
            </w:r>
            <w:r>
              <w:rPr>
                <w:noProof/>
              </w:rPr>
              <w:lastRenderedPageBreak/>
              <w:t>automatizată a valabilității unui NIF furnizat de o entitate raportoare sau de un contribuabil</w:t>
            </w:r>
          </w:p>
        </w:tc>
        <w:tc>
          <w:tcPr>
            <w:tcW w:w="1468" w:type="dxa"/>
          </w:tcPr>
          <w:p>
            <w:pPr>
              <w:spacing w:before="0" w:after="200" w:line="276" w:lineRule="auto"/>
              <w:jc w:val="left"/>
              <w:rPr>
                <w:rFonts w:eastAsiaTheme="minorHAnsi"/>
                <w:noProof/>
                <w:szCs w:val="22"/>
              </w:rPr>
            </w:pPr>
            <w:r>
              <w:rPr>
                <w:noProof/>
              </w:rPr>
              <w:lastRenderedPageBreak/>
              <w:t xml:space="preserve">Art. 36 </w:t>
            </w:r>
          </w:p>
        </w:tc>
        <w:tc>
          <w:tcPr>
            <w:tcW w:w="1891" w:type="dxa"/>
          </w:tcPr>
          <w:p>
            <w:pPr>
              <w:spacing w:before="0" w:after="200" w:line="276" w:lineRule="auto"/>
              <w:jc w:val="left"/>
              <w:rPr>
                <w:rFonts w:eastAsiaTheme="minorHAnsi"/>
                <w:noProof/>
                <w:szCs w:val="22"/>
              </w:rPr>
            </w:pPr>
            <w:r>
              <w:rPr>
                <w:noProof/>
              </w:rPr>
              <w:t xml:space="preserve">Entitățile </w:t>
            </w:r>
            <w:r>
              <w:rPr>
                <w:noProof/>
              </w:rPr>
              <w:lastRenderedPageBreak/>
              <w:t>raportoare, contribuabilii, autoritățile publice, entitățile terțe care utilizează serviciul</w:t>
            </w:r>
          </w:p>
        </w:tc>
        <w:tc>
          <w:tcPr>
            <w:tcW w:w="1908" w:type="dxa"/>
          </w:tcPr>
          <w:p>
            <w:pPr>
              <w:spacing w:before="0" w:after="200" w:line="276" w:lineRule="auto"/>
              <w:jc w:val="left"/>
              <w:rPr>
                <w:rFonts w:eastAsiaTheme="minorHAnsi"/>
                <w:noProof/>
                <w:szCs w:val="22"/>
              </w:rPr>
            </w:pPr>
            <w:r>
              <w:rPr>
                <w:noProof/>
              </w:rPr>
              <w:lastRenderedPageBreak/>
              <w:t xml:space="preserve">Autoritatea </w:t>
            </w:r>
            <w:r>
              <w:rPr>
                <w:noProof/>
              </w:rPr>
              <w:lastRenderedPageBreak/>
              <w:t>fiscală a statului membru</w:t>
            </w:r>
          </w:p>
        </w:tc>
        <w:tc>
          <w:tcPr>
            <w:tcW w:w="2194" w:type="dxa"/>
          </w:tcPr>
          <w:p>
            <w:pPr>
              <w:spacing w:before="0" w:after="200" w:line="276" w:lineRule="auto"/>
              <w:jc w:val="left"/>
              <w:rPr>
                <w:rFonts w:eastAsiaTheme="minorHAnsi"/>
                <w:noProof/>
                <w:szCs w:val="22"/>
              </w:rPr>
            </w:pPr>
            <w:r>
              <w:rPr>
                <w:noProof/>
              </w:rPr>
              <w:lastRenderedPageBreak/>
              <w:t xml:space="preserve">Schimburile se </w:t>
            </w:r>
            <w:r>
              <w:rPr>
                <w:noProof/>
              </w:rPr>
              <w:lastRenderedPageBreak/>
              <w:t>efectuează în timpul proceselor de verificare.</w:t>
            </w:r>
          </w:p>
        </w:tc>
        <w:tc>
          <w:tcPr>
            <w:tcW w:w="2168" w:type="dxa"/>
          </w:tcPr>
          <w:p>
            <w:pPr>
              <w:spacing w:before="0" w:after="200" w:line="276" w:lineRule="auto"/>
              <w:jc w:val="left"/>
              <w:rPr>
                <w:rFonts w:eastAsiaTheme="minorHAnsi"/>
                <w:noProof/>
                <w:szCs w:val="22"/>
              </w:rPr>
            </w:pPr>
            <w:r>
              <w:rPr>
                <w:noProof/>
              </w:rPr>
              <w:lastRenderedPageBreak/>
              <w:t xml:space="preserve">Verificarea </w:t>
            </w:r>
            <w:r>
              <w:rPr>
                <w:noProof/>
              </w:rPr>
              <w:lastRenderedPageBreak/>
              <w:t>valabilității unui NIF furnizat de o entitate raportoare sau de un contribuabil ar trebui să fie imediată.</w:t>
            </w:r>
          </w:p>
        </w:tc>
      </w:tr>
    </w:tbl>
    <w:p>
      <w:pPr>
        <w:spacing w:before="0" w:after="200" w:line="276" w:lineRule="auto"/>
        <w:jc w:val="left"/>
        <w:rPr>
          <w:noProof/>
        </w:rPr>
      </w:pPr>
    </w:p>
    <w:p>
      <w:pPr>
        <w:spacing w:before="0" w:after="200" w:line="276" w:lineRule="auto"/>
        <w:jc w:val="left"/>
        <w:rPr>
          <w:b/>
          <w:noProof/>
        </w:rPr>
      </w:pPr>
      <w:bookmarkStart w:id="242" w:name="_Toc167220305"/>
      <w:bookmarkStart w:id="243" w:name="_Toc177549039"/>
      <w:r>
        <w:rPr>
          <w:b/>
          <w:noProof/>
        </w:rPr>
        <w:t>4.3.</w:t>
      </w:r>
      <w:r>
        <w:rPr>
          <w:noProof/>
        </w:rPr>
        <w:tab/>
      </w:r>
      <w:r>
        <w:rPr>
          <w:b/>
          <w:noProof/>
        </w:rPr>
        <w:t>Soluții digitale</w:t>
      </w:r>
      <w:bookmarkEnd w:id="242"/>
      <w:bookmarkEnd w:id="243"/>
    </w:p>
    <w:tbl>
      <w:tblPr>
        <w:tblStyle w:val="TableGrid"/>
        <w:tblW w:w="14571" w:type="dxa"/>
        <w:tblLook w:val="04A0" w:firstRow="1" w:lastRow="0" w:firstColumn="1" w:lastColumn="0" w:noHBand="0" w:noVBand="1"/>
      </w:tblPr>
      <w:tblGrid>
        <w:gridCol w:w="2008"/>
        <w:gridCol w:w="1690"/>
        <w:gridCol w:w="2917"/>
        <w:gridCol w:w="1443"/>
        <w:gridCol w:w="2509"/>
        <w:gridCol w:w="2437"/>
        <w:gridCol w:w="1567"/>
      </w:tblGrid>
      <w:tr>
        <w:trPr>
          <w:trHeight w:val="300"/>
        </w:trPr>
        <w:tc>
          <w:tcPr>
            <w:tcW w:w="2014" w:type="dxa"/>
          </w:tcPr>
          <w:p>
            <w:pPr>
              <w:spacing w:before="0" w:after="200" w:line="276" w:lineRule="auto"/>
              <w:jc w:val="left"/>
              <w:rPr>
                <w:rFonts w:eastAsiaTheme="minorHAnsi"/>
                <w:noProof/>
                <w:szCs w:val="22"/>
              </w:rPr>
            </w:pPr>
            <w:r>
              <w:rPr>
                <w:b/>
                <w:noProof/>
              </w:rPr>
              <w:t>Soluție digitală</w:t>
            </w:r>
          </w:p>
        </w:tc>
        <w:tc>
          <w:tcPr>
            <w:tcW w:w="1593" w:type="dxa"/>
          </w:tcPr>
          <w:p>
            <w:pPr>
              <w:spacing w:before="0" w:after="200" w:line="276" w:lineRule="auto"/>
              <w:jc w:val="left"/>
              <w:rPr>
                <w:rFonts w:eastAsiaTheme="minorHAnsi"/>
                <w:noProof/>
                <w:szCs w:val="22"/>
              </w:rPr>
            </w:pPr>
            <w:r>
              <w:rPr>
                <w:b/>
                <w:noProof/>
              </w:rPr>
              <w:t>Referința cerinței (referințele cerințelor)</w:t>
            </w:r>
          </w:p>
        </w:tc>
        <w:tc>
          <w:tcPr>
            <w:tcW w:w="2964" w:type="dxa"/>
          </w:tcPr>
          <w:p>
            <w:pPr>
              <w:spacing w:before="0" w:after="200" w:line="276" w:lineRule="auto"/>
              <w:jc w:val="left"/>
              <w:rPr>
                <w:rFonts w:eastAsiaTheme="minorHAnsi"/>
                <w:noProof/>
                <w:szCs w:val="22"/>
              </w:rPr>
            </w:pPr>
            <w:r>
              <w:rPr>
                <w:b/>
                <w:noProof/>
              </w:rPr>
              <w:t>Principalele funcționalități obligatorii</w:t>
            </w:r>
          </w:p>
        </w:tc>
        <w:tc>
          <w:tcPr>
            <w:tcW w:w="1430" w:type="dxa"/>
          </w:tcPr>
          <w:p>
            <w:pPr>
              <w:spacing w:before="0" w:after="200" w:line="276" w:lineRule="auto"/>
              <w:jc w:val="left"/>
              <w:rPr>
                <w:rFonts w:eastAsiaTheme="minorHAnsi"/>
                <w:noProof/>
                <w:szCs w:val="22"/>
              </w:rPr>
            </w:pPr>
            <w:r>
              <w:rPr>
                <w:b/>
                <w:noProof/>
              </w:rPr>
              <w:t>Organismul responsabil</w:t>
            </w:r>
          </w:p>
        </w:tc>
        <w:tc>
          <w:tcPr>
            <w:tcW w:w="2537" w:type="dxa"/>
          </w:tcPr>
          <w:p>
            <w:pPr>
              <w:spacing w:before="0" w:after="200" w:line="276" w:lineRule="auto"/>
              <w:jc w:val="left"/>
              <w:rPr>
                <w:rFonts w:eastAsiaTheme="minorHAnsi"/>
                <w:noProof/>
                <w:szCs w:val="22"/>
              </w:rPr>
            </w:pPr>
            <w:r>
              <w:rPr>
                <w:b/>
                <w:noProof/>
              </w:rPr>
              <w:t>Cum este asigurată accesibilitatea?</w:t>
            </w:r>
          </w:p>
        </w:tc>
        <w:tc>
          <w:tcPr>
            <w:tcW w:w="2464" w:type="dxa"/>
          </w:tcPr>
          <w:p>
            <w:pPr>
              <w:spacing w:before="0" w:after="200" w:line="276" w:lineRule="auto"/>
              <w:jc w:val="left"/>
              <w:rPr>
                <w:rFonts w:eastAsiaTheme="minorHAnsi"/>
                <w:noProof/>
                <w:szCs w:val="22"/>
              </w:rPr>
            </w:pPr>
            <w:r>
              <w:rPr>
                <w:b/>
                <w:noProof/>
              </w:rPr>
              <w:t>Cum se ia în considerare potențialul de reutilizare?</w:t>
            </w:r>
          </w:p>
        </w:tc>
        <w:tc>
          <w:tcPr>
            <w:tcW w:w="1569" w:type="dxa"/>
          </w:tcPr>
          <w:p>
            <w:pPr>
              <w:spacing w:before="0" w:after="200" w:line="276" w:lineRule="auto"/>
              <w:jc w:val="left"/>
              <w:rPr>
                <w:rFonts w:eastAsiaTheme="minorHAnsi"/>
                <w:noProof/>
                <w:szCs w:val="22"/>
              </w:rPr>
            </w:pPr>
            <w:r>
              <w:rPr>
                <w:b/>
                <w:noProof/>
              </w:rPr>
              <w:t>Utilizarea tehnologiilor IA (dacă este cazul)</w:t>
            </w:r>
          </w:p>
        </w:tc>
      </w:tr>
      <w:tr>
        <w:trPr>
          <w:trHeight w:val="300"/>
        </w:trPr>
        <w:tc>
          <w:tcPr>
            <w:tcW w:w="2014" w:type="dxa"/>
          </w:tcPr>
          <w:p>
            <w:pPr>
              <w:spacing w:before="0" w:after="200" w:line="276" w:lineRule="auto"/>
              <w:jc w:val="left"/>
              <w:rPr>
                <w:rFonts w:eastAsiaTheme="minorHAnsi"/>
                <w:noProof/>
                <w:szCs w:val="22"/>
              </w:rPr>
            </w:pPr>
            <w:r>
              <w:rPr>
                <w:noProof/>
              </w:rPr>
              <w:t xml:space="preserve">Formulare-tip electronice pentru schimbul automat de informații privind informațiile fiscale privind veniturile din muncă, remunerațiile și alte beneficii plătite </w:t>
            </w:r>
            <w:r>
              <w:rPr>
                <w:noProof/>
              </w:rPr>
              <w:lastRenderedPageBreak/>
              <w:t>administratorilor și altor persoane asimilate acestora, pensiile, proprietatea asupra bunurilor imobile și veniturile din bunuri imobile, redevențele și dividendele vărsate prin intermediul unor conturi altele decât cele de custodie</w:t>
            </w:r>
          </w:p>
        </w:tc>
        <w:tc>
          <w:tcPr>
            <w:tcW w:w="1593" w:type="dxa"/>
          </w:tcPr>
          <w:p>
            <w:pPr>
              <w:spacing w:before="0" w:after="200" w:line="276" w:lineRule="auto"/>
              <w:jc w:val="left"/>
              <w:rPr>
                <w:rFonts w:eastAsiaTheme="minorHAnsi"/>
                <w:noProof/>
                <w:szCs w:val="22"/>
              </w:rPr>
            </w:pPr>
            <w:r>
              <w:rPr>
                <w:noProof/>
              </w:rPr>
              <w:lastRenderedPageBreak/>
              <w:t>Art. 4.</w:t>
            </w:r>
          </w:p>
          <w:p>
            <w:pPr>
              <w:spacing w:before="0" w:after="200" w:line="276" w:lineRule="auto"/>
              <w:jc w:val="left"/>
              <w:rPr>
                <w:rFonts w:eastAsiaTheme="minorHAnsi"/>
                <w:noProof/>
                <w:szCs w:val="22"/>
                <w:lang w:eastAsia="en-US"/>
              </w:rPr>
            </w:pPr>
          </w:p>
        </w:tc>
        <w:tc>
          <w:tcPr>
            <w:tcW w:w="2964" w:type="dxa"/>
          </w:tcPr>
          <w:p>
            <w:pPr>
              <w:spacing w:before="0" w:after="200" w:line="276" w:lineRule="auto"/>
              <w:jc w:val="left"/>
              <w:rPr>
                <w:rFonts w:eastAsiaTheme="minorHAnsi"/>
                <w:noProof/>
                <w:szCs w:val="22"/>
              </w:rPr>
            </w:pPr>
            <w:r>
              <w:rPr>
                <w:noProof/>
              </w:rPr>
              <w:t>Informațiile care urmează să facă obiectul schimbului sunt prevăzute la articolul 4 alineatul (1).</w:t>
            </w:r>
          </w:p>
        </w:tc>
        <w:tc>
          <w:tcPr>
            <w:tcW w:w="1430" w:type="dxa"/>
          </w:tcPr>
          <w:p>
            <w:pPr>
              <w:spacing w:before="0" w:after="200" w:line="276" w:lineRule="auto"/>
              <w:jc w:val="left"/>
              <w:rPr>
                <w:rFonts w:eastAsiaTheme="minorHAnsi"/>
                <w:noProof/>
                <w:szCs w:val="22"/>
              </w:rPr>
            </w:pPr>
            <w:r>
              <w:rPr>
                <w:noProof/>
              </w:rPr>
              <w:t>Comisia</w:t>
            </w:r>
          </w:p>
        </w:tc>
        <w:tc>
          <w:tcPr>
            <w:tcW w:w="2537" w:type="dxa"/>
          </w:tcPr>
          <w:p>
            <w:pPr>
              <w:spacing w:before="0" w:after="200" w:line="276" w:lineRule="auto"/>
              <w:jc w:val="left"/>
              <w:rPr>
                <w:rFonts w:eastAsiaTheme="minorHAnsi"/>
                <w:noProof/>
                <w:szCs w:val="22"/>
              </w:rPr>
            </w:pPr>
            <w:r>
              <w:rPr>
                <w:noProof/>
              </w:rPr>
              <w:t xml:space="preserve">Datele schimbate sunt accesibile autorităților fiscale autorizate prin canale securizate și standardizate de cooperare administrativă, asigurându-se extragerea în timp util și fiabilă a informațiilor odată ce acestea au fost colectate, rămânând în </w:t>
            </w:r>
            <w:r>
              <w:rPr>
                <w:noProof/>
              </w:rPr>
              <w:lastRenderedPageBreak/>
              <w:t>același timp limitate la autoritățile competente în conformitate cu cerințele juridice și de protecție a datelor ale UE.</w:t>
            </w:r>
          </w:p>
        </w:tc>
        <w:tc>
          <w:tcPr>
            <w:tcW w:w="2464" w:type="dxa"/>
          </w:tcPr>
          <w:p>
            <w:pPr>
              <w:spacing w:before="0" w:after="200" w:line="276" w:lineRule="auto"/>
              <w:jc w:val="left"/>
              <w:rPr>
                <w:rFonts w:eastAsiaTheme="minorHAnsi"/>
                <w:noProof/>
                <w:szCs w:val="22"/>
              </w:rPr>
            </w:pPr>
            <w:r>
              <w:rPr>
                <w:noProof/>
              </w:rPr>
              <w:lastRenderedPageBreak/>
              <w:t xml:space="preserve">Datele schimbate sunt reutilizabile de către autoritățile fiscale competente în mai multe scopuri legale, inclusiv evaluarea fiscală, verificarea conformității, analiza riscurilor și activitățile de audit, fără a fi necesar să fie colectate încă o dată de la </w:t>
            </w:r>
            <w:r>
              <w:rPr>
                <w:noProof/>
              </w:rPr>
              <w:lastRenderedPageBreak/>
              <w:t>contribuabil, în conformitate cu principiul „doar o singură dată” și cu cadrele juridice aplicabile ale UE.</w:t>
            </w:r>
          </w:p>
        </w:tc>
        <w:tc>
          <w:tcPr>
            <w:tcW w:w="1569" w:type="dxa"/>
          </w:tcPr>
          <w:p>
            <w:pPr>
              <w:spacing w:before="0" w:after="200" w:line="276" w:lineRule="auto"/>
              <w:jc w:val="left"/>
              <w:rPr>
                <w:rFonts w:eastAsiaTheme="minorHAnsi"/>
                <w:noProof/>
                <w:szCs w:val="22"/>
              </w:rPr>
            </w:pPr>
            <w:r>
              <w:rPr>
                <w:noProof/>
              </w:rPr>
              <w:lastRenderedPageBreak/>
              <w:t>N/A</w:t>
            </w:r>
          </w:p>
        </w:tc>
      </w:tr>
      <w:tr>
        <w:trPr>
          <w:trHeight w:val="300"/>
        </w:trPr>
        <w:tc>
          <w:tcPr>
            <w:tcW w:w="2014" w:type="dxa"/>
          </w:tcPr>
          <w:p>
            <w:pPr>
              <w:spacing w:before="0" w:after="200" w:line="276" w:lineRule="auto"/>
              <w:jc w:val="left"/>
              <w:rPr>
                <w:rFonts w:eastAsiaTheme="minorHAnsi"/>
                <w:noProof/>
                <w:szCs w:val="22"/>
              </w:rPr>
            </w:pPr>
            <w:r>
              <w:rPr>
                <w:noProof/>
              </w:rPr>
              <w:t>Formulare-tip electronice pentru schimbul automat de informații privind datele financiare de la instituțiile financiare din fiecare stat membru</w:t>
            </w:r>
          </w:p>
        </w:tc>
        <w:tc>
          <w:tcPr>
            <w:tcW w:w="1593" w:type="dxa"/>
          </w:tcPr>
          <w:p>
            <w:pPr>
              <w:spacing w:before="0" w:after="200" w:line="276" w:lineRule="auto"/>
              <w:jc w:val="left"/>
              <w:rPr>
                <w:rFonts w:eastAsiaTheme="minorHAnsi"/>
                <w:noProof/>
                <w:szCs w:val="22"/>
              </w:rPr>
            </w:pPr>
            <w:r>
              <w:rPr>
                <w:noProof/>
              </w:rPr>
              <w:t>Art. 5</w:t>
            </w:r>
          </w:p>
        </w:tc>
        <w:tc>
          <w:tcPr>
            <w:tcW w:w="2964" w:type="dxa"/>
          </w:tcPr>
          <w:p>
            <w:pPr>
              <w:spacing w:before="0" w:after="200" w:line="276" w:lineRule="auto"/>
              <w:jc w:val="left"/>
              <w:rPr>
                <w:rFonts w:eastAsiaTheme="minorHAnsi"/>
                <w:noProof/>
                <w:szCs w:val="22"/>
              </w:rPr>
            </w:pPr>
            <w:r>
              <w:rPr>
                <w:noProof/>
              </w:rPr>
              <w:t>Informațiile care urmează să facă obiectul schimbului sunt prevăzute la articolul 5 alineatul (1). Formatul standardizat comun prevăzut în anexele I și II la directiva reformată.</w:t>
            </w:r>
          </w:p>
        </w:tc>
        <w:tc>
          <w:tcPr>
            <w:tcW w:w="1430" w:type="dxa"/>
          </w:tcPr>
          <w:p>
            <w:pPr>
              <w:spacing w:before="0" w:after="200" w:line="276" w:lineRule="auto"/>
              <w:jc w:val="left"/>
              <w:rPr>
                <w:rFonts w:eastAsiaTheme="minorHAnsi"/>
                <w:noProof/>
                <w:szCs w:val="22"/>
              </w:rPr>
            </w:pPr>
            <w:r>
              <w:rPr>
                <w:noProof/>
              </w:rPr>
              <w:t>Comisia</w:t>
            </w:r>
          </w:p>
        </w:tc>
        <w:tc>
          <w:tcPr>
            <w:tcW w:w="2537" w:type="dxa"/>
          </w:tcPr>
          <w:p>
            <w:pPr>
              <w:spacing w:before="0" w:after="200" w:line="276" w:lineRule="auto"/>
              <w:jc w:val="left"/>
              <w:rPr>
                <w:rFonts w:eastAsiaTheme="minorHAnsi"/>
                <w:noProof/>
                <w:szCs w:val="22"/>
              </w:rPr>
            </w:pPr>
            <w:r>
              <w:rPr>
                <w:noProof/>
              </w:rPr>
              <w:t xml:space="preserve">Datele schimbate sunt accesibile autorităților fiscale autorizate prin canale securizate și standardizate de cooperare administrativă, bazate pe SCR, asigurându-se extragerea în timp util, fiabilă și controlată a informațiilor validate </w:t>
            </w:r>
            <w:r>
              <w:rPr>
                <w:noProof/>
              </w:rPr>
              <w:lastRenderedPageBreak/>
              <w:t>privind conturile financiare, în conformitate cu cerințele juridice și de protecție a datelor ale UE.</w:t>
            </w:r>
          </w:p>
        </w:tc>
        <w:tc>
          <w:tcPr>
            <w:tcW w:w="2464" w:type="dxa"/>
          </w:tcPr>
          <w:p>
            <w:pPr>
              <w:spacing w:before="0" w:after="200" w:line="276" w:lineRule="auto"/>
              <w:jc w:val="left"/>
              <w:rPr>
                <w:rFonts w:eastAsiaTheme="minorHAnsi"/>
                <w:noProof/>
                <w:szCs w:val="22"/>
              </w:rPr>
            </w:pPr>
            <w:r>
              <w:rPr>
                <w:noProof/>
              </w:rPr>
              <w:lastRenderedPageBreak/>
              <w:t xml:space="preserve">Datele schimbate sunt reutilizabile de către autoritățile fiscale competente în mai multe scopuri legale, inclusiv verificarea conformității fiscale, evaluarea riscurilor, selecția auditurilor și detectarea activelor financiare offshore, </w:t>
            </w:r>
            <w:r>
              <w:rPr>
                <w:noProof/>
              </w:rPr>
              <w:lastRenderedPageBreak/>
              <w:t>fără a fi necesar să fie colectate încă o dată de la instituțiile financiare raportoare, în conformitate cu principiul „doar o singură dată” și cu cadrele de reglementare aplicabile ale UE.</w:t>
            </w:r>
          </w:p>
        </w:tc>
        <w:tc>
          <w:tcPr>
            <w:tcW w:w="1569" w:type="dxa"/>
          </w:tcPr>
          <w:p>
            <w:pPr>
              <w:spacing w:before="0" w:after="200" w:line="276" w:lineRule="auto"/>
              <w:jc w:val="left"/>
              <w:rPr>
                <w:rFonts w:eastAsiaTheme="minorHAnsi"/>
                <w:noProof/>
                <w:szCs w:val="22"/>
              </w:rPr>
            </w:pPr>
            <w:r>
              <w:rPr>
                <w:noProof/>
              </w:rPr>
              <w:lastRenderedPageBreak/>
              <w:t>N/A</w:t>
            </w:r>
          </w:p>
        </w:tc>
      </w:tr>
      <w:tr>
        <w:trPr>
          <w:trHeight w:val="300"/>
        </w:trPr>
        <w:tc>
          <w:tcPr>
            <w:tcW w:w="2014" w:type="dxa"/>
          </w:tcPr>
          <w:p>
            <w:pPr>
              <w:spacing w:before="0" w:after="200" w:line="276" w:lineRule="auto"/>
              <w:jc w:val="left"/>
              <w:rPr>
                <w:rFonts w:eastAsiaTheme="minorHAnsi"/>
                <w:noProof/>
                <w:szCs w:val="22"/>
              </w:rPr>
            </w:pPr>
            <w:r>
              <w:rPr>
                <w:noProof/>
              </w:rPr>
              <w:t>Formulare-tip electronice pentru schimbul automat de informații privind deciziile fiscale anticipate cu aplicare transfrontalieră și acordurile prealabile privind prețul de transfer</w:t>
            </w:r>
          </w:p>
        </w:tc>
        <w:tc>
          <w:tcPr>
            <w:tcW w:w="1593" w:type="dxa"/>
          </w:tcPr>
          <w:p>
            <w:pPr>
              <w:spacing w:before="0" w:after="200" w:line="276" w:lineRule="auto"/>
              <w:jc w:val="left"/>
              <w:rPr>
                <w:rFonts w:eastAsiaTheme="minorHAnsi"/>
                <w:noProof/>
                <w:szCs w:val="22"/>
              </w:rPr>
            </w:pPr>
            <w:r>
              <w:rPr>
                <w:noProof/>
              </w:rPr>
              <w:t>Art. 6</w:t>
            </w:r>
          </w:p>
        </w:tc>
        <w:tc>
          <w:tcPr>
            <w:tcW w:w="2964" w:type="dxa"/>
          </w:tcPr>
          <w:p>
            <w:pPr>
              <w:spacing w:before="0" w:after="200" w:line="276" w:lineRule="auto"/>
              <w:jc w:val="left"/>
              <w:rPr>
                <w:rFonts w:eastAsiaTheme="minorHAnsi"/>
                <w:noProof/>
                <w:szCs w:val="22"/>
              </w:rPr>
            </w:pPr>
            <w:r>
              <w:rPr>
                <w:noProof/>
              </w:rPr>
              <w:t>Informațiile care urmează să facă obiectul schimbului sunt prevăzute la articolul 6 alineatul (5).</w:t>
            </w:r>
          </w:p>
        </w:tc>
        <w:tc>
          <w:tcPr>
            <w:tcW w:w="1430" w:type="dxa"/>
          </w:tcPr>
          <w:p>
            <w:pPr>
              <w:spacing w:before="0" w:after="200" w:line="276" w:lineRule="auto"/>
              <w:jc w:val="left"/>
              <w:rPr>
                <w:rFonts w:eastAsiaTheme="minorHAnsi"/>
                <w:noProof/>
                <w:szCs w:val="22"/>
              </w:rPr>
            </w:pPr>
            <w:r>
              <w:rPr>
                <w:noProof/>
              </w:rPr>
              <w:t>Comisia</w:t>
            </w:r>
          </w:p>
        </w:tc>
        <w:tc>
          <w:tcPr>
            <w:tcW w:w="2537" w:type="dxa"/>
          </w:tcPr>
          <w:p>
            <w:pPr>
              <w:spacing w:before="0" w:after="200" w:line="276" w:lineRule="auto"/>
              <w:jc w:val="left"/>
              <w:rPr>
                <w:rFonts w:eastAsiaTheme="minorHAnsi"/>
                <w:noProof/>
                <w:szCs w:val="22"/>
              </w:rPr>
            </w:pPr>
            <w:r>
              <w:rPr>
                <w:noProof/>
              </w:rPr>
              <w:t xml:space="preserve">Datele schimbate sunt accesibile autorităților fiscale competente prin canale sigure și standardizate de cooperare administrativă și printr-un registru central al UE de metadate privind deciziile fiscale, asigurându-se extragerea controlată și în timp util a informațiilor privind deciziile fiscale transfrontaliere, în conformitate cu </w:t>
            </w:r>
            <w:r>
              <w:rPr>
                <w:noProof/>
              </w:rPr>
              <w:lastRenderedPageBreak/>
              <w:t>cerințele juridice și de confidențialitate aplicabile ale UE.</w:t>
            </w:r>
          </w:p>
        </w:tc>
        <w:tc>
          <w:tcPr>
            <w:tcW w:w="2464" w:type="dxa"/>
          </w:tcPr>
          <w:p>
            <w:pPr>
              <w:spacing w:before="0" w:after="200" w:line="276" w:lineRule="auto"/>
              <w:jc w:val="left"/>
              <w:rPr>
                <w:rFonts w:eastAsiaTheme="minorHAnsi"/>
                <w:noProof/>
                <w:szCs w:val="22"/>
              </w:rPr>
            </w:pPr>
            <w:r>
              <w:rPr>
                <w:noProof/>
              </w:rPr>
              <w:lastRenderedPageBreak/>
              <w:t xml:space="preserve">Datele schimbate sunt reutilizabile de către autoritățile fiscale competente pentru evaluarea riscurilor, analiza prețurilor de transfer și evaluarea practicilor în materie de decizii fiscale transfrontaliere, permițând multiple utilizări în aval în scopuri analitice și de conformitate, fără să fie colectate încă o dată de la contribuabili, în </w:t>
            </w:r>
            <w:r>
              <w:rPr>
                <w:noProof/>
              </w:rPr>
              <w:lastRenderedPageBreak/>
              <w:t>conformitate cu principiul „doar o singură dată” și cu cadrele juridice aplicabile ale UE.</w:t>
            </w:r>
          </w:p>
        </w:tc>
        <w:tc>
          <w:tcPr>
            <w:tcW w:w="1569" w:type="dxa"/>
          </w:tcPr>
          <w:p>
            <w:pPr>
              <w:spacing w:before="0" w:after="200" w:line="276" w:lineRule="auto"/>
              <w:jc w:val="left"/>
              <w:rPr>
                <w:rFonts w:eastAsiaTheme="minorHAnsi"/>
                <w:noProof/>
                <w:szCs w:val="22"/>
              </w:rPr>
            </w:pPr>
            <w:r>
              <w:rPr>
                <w:noProof/>
              </w:rPr>
              <w:lastRenderedPageBreak/>
              <w:t>N/A</w:t>
            </w:r>
          </w:p>
        </w:tc>
      </w:tr>
      <w:tr>
        <w:trPr>
          <w:trHeight w:val="300"/>
        </w:trPr>
        <w:tc>
          <w:tcPr>
            <w:tcW w:w="2014" w:type="dxa"/>
          </w:tcPr>
          <w:p>
            <w:pPr>
              <w:spacing w:before="0" w:after="200" w:line="276" w:lineRule="auto"/>
              <w:jc w:val="left"/>
              <w:rPr>
                <w:rFonts w:eastAsiaTheme="minorHAnsi"/>
                <w:noProof/>
                <w:szCs w:val="22"/>
              </w:rPr>
            </w:pPr>
            <w:r>
              <w:rPr>
                <w:noProof/>
              </w:rPr>
              <w:t>Formulare-tip electronice pentru schimbul automat de informații privind rapoartele pentru fiecare țară în parte</w:t>
            </w:r>
          </w:p>
        </w:tc>
        <w:tc>
          <w:tcPr>
            <w:tcW w:w="1593" w:type="dxa"/>
          </w:tcPr>
          <w:p>
            <w:pPr>
              <w:spacing w:before="0" w:after="200" w:line="276" w:lineRule="auto"/>
              <w:jc w:val="left"/>
              <w:rPr>
                <w:rFonts w:eastAsiaTheme="minorHAnsi"/>
                <w:noProof/>
                <w:szCs w:val="22"/>
              </w:rPr>
            </w:pPr>
            <w:r>
              <w:rPr>
                <w:noProof/>
              </w:rPr>
              <w:t>Art. 7</w:t>
            </w:r>
          </w:p>
        </w:tc>
        <w:tc>
          <w:tcPr>
            <w:tcW w:w="2964" w:type="dxa"/>
          </w:tcPr>
          <w:p>
            <w:pPr>
              <w:spacing w:before="0" w:after="200" w:line="276" w:lineRule="auto"/>
              <w:jc w:val="left"/>
              <w:rPr>
                <w:rFonts w:eastAsiaTheme="minorHAnsi"/>
                <w:noProof/>
                <w:szCs w:val="22"/>
              </w:rPr>
            </w:pPr>
            <w:r>
              <w:rPr>
                <w:noProof/>
              </w:rPr>
              <w:t>Informațiile care urmează să facă obiectul schimbului sunt prevăzute la articolul 7 alineatul (3) iar standardul este definit la articolul 51 alineatul (2).</w:t>
            </w:r>
          </w:p>
        </w:tc>
        <w:tc>
          <w:tcPr>
            <w:tcW w:w="1430" w:type="dxa"/>
          </w:tcPr>
          <w:p>
            <w:pPr>
              <w:spacing w:before="0" w:after="200" w:line="276" w:lineRule="auto"/>
              <w:jc w:val="left"/>
              <w:rPr>
                <w:rFonts w:eastAsiaTheme="minorHAnsi"/>
                <w:noProof/>
                <w:szCs w:val="22"/>
              </w:rPr>
            </w:pPr>
            <w:r>
              <w:rPr>
                <w:noProof/>
              </w:rPr>
              <w:t>Comisia</w:t>
            </w:r>
          </w:p>
        </w:tc>
        <w:tc>
          <w:tcPr>
            <w:tcW w:w="2537" w:type="dxa"/>
          </w:tcPr>
          <w:p>
            <w:pPr>
              <w:spacing w:before="0" w:after="200" w:line="276" w:lineRule="auto"/>
              <w:jc w:val="left"/>
              <w:rPr>
                <w:rFonts w:eastAsiaTheme="minorHAnsi"/>
                <w:noProof/>
                <w:szCs w:val="22"/>
              </w:rPr>
            </w:pPr>
            <w:r>
              <w:rPr>
                <w:noProof/>
              </w:rPr>
              <w:t>Datele schimbate sunt accesibile autorităților fiscale competente prin intermediul unor sisteme securizate și standardizate de cooperare administrativă pentru schimbul automat de rapoarte pentru fiecare țară în parte, asigurându-se accesul prompt și controlat la date validate privind întreprinderile multinaționale, în conformitate cu cerințele juridice și de confidențialitate ale UE.</w:t>
            </w:r>
          </w:p>
        </w:tc>
        <w:tc>
          <w:tcPr>
            <w:tcW w:w="2464" w:type="dxa"/>
          </w:tcPr>
          <w:p>
            <w:pPr>
              <w:spacing w:before="0" w:after="200" w:line="276" w:lineRule="auto"/>
              <w:jc w:val="left"/>
              <w:rPr>
                <w:rFonts w:eastAsiaTheme="minorHAnsi"/>
                <w:noProof/>
                <w:szCs w:val="22"/>
              </w:rPr>
            </w:pPr>
            <w:r>
              <w:rPr>
                <w:noProof/>
              </w:rPr>
              <w:t xml:space="preserve">Datele schimbate sunt reutilizabile de către autoritățile fiscale competente pentru analiza prețurilor de transfer, evaluarea riscurilor și evaluarea alocării profitului în cadrul grupurilor de întreprinderi multinaționale, permițând multiple utilizări în scopuri analitice și de conformitate fără să fie colectate încă o dată de la contribuabili, în conformitate cu principiul „doar o singură dată” și cu cadrele de </w:t>
            </w:r>
            <w:r>
              <w:rPr>
                <w:noProof/>
              </w:rPr>
              <w:lastRenderedPageBreak/>
              <w:t>reglementare aplicabile ale UE.</w:t>
            </w:r>
          </w:p>
        </w:tc>
        <w:tc>
          <w:tcPr>
            <w:tcW w:w="1569" w:type="dxa"/>
          </w:tcPr>
          <w:p>
            <w:pPr>
              <w:spacing w:before="0" w:after="200" w:line="276" w:lineRule="auto"/>
              <w:jc w:val="left"/>
              <w:rPr>
                <w:rFonts w:eastAsiaTheme="minorHAnsi"/>
                <w:noProof/>
                <w:szCs w:val="22"/>
              </w:rPr>
            </w:pPr>
            <w:r>
              <w:rPr>
                <w:noProof/>
              </w:rPr>
              <w:lastRenderedPageBreak/>
              <w:t>N/A</w:t>
            </w:r>
          </w:p>
        </w:tc>
      </w:tr>
      <w:tr>
        <w:trPr>
          <w:trHeight w:val="300"/>
        </w:trPr>
        <w:tc>
          <w:tcPr>
            <w:tcW w:w="2014" w:type="dxa"/>
          </w:tcPr>
          <w:p>
            <w:pPr>
              <w:spacing w:before="0" w:after="200" w:line="276" w:lineRule="auto"/>
              <w:jc w:val="left"/>
              <w:rPr>
                <w:rFonts w:eastAsiaTheme="minorHAnsi"/>
                <w:noProof/>
                <w:szCs w:val="22"/>
              </w:rPr>
            </w:pPr>
            <w:r>
              <w:rPr>
                <w:noProof/>
              </w:rPr>
              <w:t>Formulare-tip electronice pentru schimbul automat de informații privind modalitățile transfrontaliere care fac obiectul raportării.</w:t>
            </w:r>
          </w:p>
        </w:tc>
        <w:tc>
          <w:tcPr>
            <w:tcW w:w="1593" w:type="dxa"/>
          </w:tcPr>
          <w:p>
            <w:pPr>
              <w:spacing w:before="0" w:after="200" w:line="276" w:lineRule="auto"/>
              <w:jc w:val="left"/>
              <w:rPr>
                <w:rFonts w:eastAsiaTheme="minorHAnsi"/>
                <w:noProof/>
                <w:szCs w:val="22"/>
              </w:rPr>
            </w:pPr>
            <w:r>
              <w:rPr>
                <w:noProof/>
              </w:rPr>
              <w:t>Art. 8</w:t>
            </w:r>
          </w:p>
        </w:tc>
        <w:tc>
          <w:tcPr>
            <w:tcW w:w="2964" w:type="dxa"/>
          </w:tcPr>
          <w:p>
            <w:pPr>
              <w:spacing w:before="0" w:after="200" w:line="276" w:lineRule="auto"/>
              <w:jc w:val="left"/>
              <w:rPr>
                <w:rFonts w:eastAsiaTheme="minorHAnsi"/>
                <w:noProof/>
                <w:szCs w:val="22"/>
              </w:rPr>
            </w:pPr>
            <w:r>
              <w:rPr>
                <w:noProof/>
              </w:rPr>
              <w:t>Informațiile care urmează să facă obiectul schimbului sunt prevăzute la articolul 8 alineatele (3), (7), (10) și (13), iar detaliile privind semnele distinctive care fac ca modalitatea transfrontalieră să fie raportabilă sunt prevăzute în anexa IV.</w:t>
            </w:r>
          </w:p>
        </w:tc>
        <w:tc>
          <w:tcPr>
            <w:tcW w:w="1430" w:type="dxa"/>
          </w:tcPr>
          <w:p>
            <w:pPr>
              <w:spacing w:before="0" w:after="200" w:line="276" w:lineRule="auto"/>
              <w:jc w:val="left"/>
              <w:rPr>
                <w:rFonts w:eastAsiaTheme="minorHAnsi"/>
                <w:noProof/>
                <w:szCs w:val="22"/>
              </w:rPr>
            </w:pPr>
            <w:r>
              <w:rPr>
                <w:noProof/>
              </w:rPr>
              <w:t>Comisia</w:t>
            </w:r>
          </w:p>
        </w:tc>
        <w:tc>
          <w:tcPr>
            <w:tcW w:w="2537" w:type="dxa"/>
          </w:tcPr>
          <w:p>
            <w:pPr>
              <w:spacing w:before="0" w:after="200" w:line="276" w:lineRule="auto"/>
              <w:jc w:val="left"/>
              <w:rPr>
                <w:rFonts w:eastAsiaTheme="minorHAnsi"/>
                <w:noProof/>
                <w:szCs w:val="22"/>
              </w:rPr>
            </w:pPr>
            <w:r>
              <w:rPr>
                <w:noProof/>
              </w:rPr>
              <w:t>Datele schimbate sunt accesibile autorităților fiscale competente prin canale securizate și standardizate de cooperare administrativă în urma comunicării obligatorii a modalităților transfrontaliere care fac obiectul raportării, asigurând accesul prompt și controlat la informații validate privind conformitatea, în conformitate cu cerințele juridice și de confidențialitate ale UE.</w:t>
            </w:r>
          </w:p>
        </w:tc>
        <w:tc>
          <w:tcPr>
            <w:tcW w:w="2464" w:type="dxa"/>
          </w:tcPr>
          <w:p>
            <w:pPr>
              <w:spacing w:before="0" w:after="200" w:line="276" w:lineRule="auto"/>
              <w:jc w:val="left"/>
              <w:rPr>
                <w:rFonts w:eastAsiaTheme="minorHAnsi"/>
                <w:noProof/>
                <w:szCs w:val="22"/>
              </w:rPr>
            </w:pPr>
            <w:r>
              <w:rPr>
                <w:noProof/>
              </w:rPr>
              <w:t xml:space="preserve">Datele schimbate în temeiul DAC6 sunt reutilizabile de către autoritățile fiscale competente pentru evaluarea riscurilor, detectarea timpurie a schemelor de planificare fiscală agresivă și investigații specifice privind conformitatea, permițând multiple utilizări în scopuri analitice și de asigurare a respectării legislației fără a fi colectate încă o dată de la contribuabili sau intermediari, în conformitate cu principiul „doar o singură dată” și cu cadrele de reglementare </w:t>
            </w:r>
            <w:r>
              <w:rPr>
                <w:noProof/>
              </w:rPr>
              <w:lastRenderedPageBreak/>
              <w:t>aplicabile ale UE.</w:t>
            </w:r>
          </w:p>
        </w:tc>
        <w:tc>
          <w:tcPr>
            <w:tcW w:w="1569" w:type="dxa"/>
          </w:tcPr>
          <w:p>
            <w:pPr>
              <w:spacing w:before="0" w:after="200" w:line="276" w:lineRule="auto"/>
              <w:jc w:val="left"/>
              <w:rPr>
                <w:rFonts w:eastAsiaTheme="minorHAnsi"/>
                <w:noProof/>
                <w:szCs w:val="22"/>
              </w:rPr>
            </w:pPr>
            <w:r>
              <w:rPr>
                <w:noProof/>
              </w:rPr>
              <w:lastRenderedPageBreak/>
              <w:t>N/A</w:t>
            </w:r>
          </w:p>
        </w:tc>
      </w:tr>
      <w:tr>
        <w:trPr>
          <w:trHeight w:val="300"/>
        </w:trPr>
        <w:tc>
          <w:tcPr>
            <w:tcW w:w="2014" w:type="dxa"/>
          </w:tcPr>
          <w:p>
            <w:pPr>
              <w:spacing w:before="0" w:after="200" w:line="276" w:lineRule="auto"/>
              <w:jc w:val="left"/>
              <w:rPr>
                <w:rFonts w:eastAsiaTheme="minorHAnsi"/>
                <w:noProof/>
                <w:szCs w:val="22"/>
              </w:rPr>
            </w:pPr>
            <w:r>
              <w:rPr>
                <w:noProof/>
              </w:rPr>
              <w:t>Formulare-tip electronice pentru schimbul automat de informații privind vânzătorii raportabili în temeiul articolului 9.</w:t>
            </w:r>
          </w:p>
        </w:tc>
        <w:tc>
          <w:tcPr>
            <w:tcW w:w="1593" w:type="dxa"/>
          </w:tcPr>
          <w:p>
            <w:pPr>
              <w:spacing w:before="0" w:after="200" w:line="276" w:lineRule="auto"/>
              <w:jc w:val="left"/>
              <w:rPr>
                <w:rFonts w:eastAsiaTheme="minorHAnsi"/>
                <w:noProof/>
                <w:szCs w:val="22"/>
              </w:rPr>
            </w:pPr>
            <w:r>
              <w:rPr>
                <w:noProof/>
              </w:rPr>
              <w:t>Art. 9</w:t>
            </w:r>
          </w:p>
        </w:tc>
        <w:tc>
          <w:tcPr>
            <w:tcW w:w="2964" w:type="dxa"/>
          </w:tcPr>
          <w:p>
            <w:pPr>
              <w:spacing w:before="0" w:after="200" w:line="276" w:lineRule="auto"/>
              <w:jc w:val="left"/>
              <w:rPr>
                <w:rFonts w:eastAsiaTheme="minorHAnsi"/>
                <w:noProof/>
                <w:szCs w:val="22"/>
              </w:rPr>
            </w:pPr>
            <w:r>
              <w:rPr>
                <w:noProof/>
              </w:rPr>
              <w:t>Informațiile care urmează să facă obiectul schimbului sunt prevăzute la articolul 9 alineatul (2) și în secțiunea III din anexa 5.</w:t>
            </w:r>
          </w:p>
        </w:tc>
        <w:tc>
          <w:tcPr>
            <w:tcW w:w="1430" w:type="dxa"/>
          </w:tcPr>
          <w:p>
            <w:pPr>
              <w:spacing w:before="0" w:after="200" w:line="276" w:lineRule="auto"/>
              <w:jc w:val="left"/>
              <w:rPr>
                <w:rFonts w:eastAsiaTheme="minorHAnsi"/>
                <w:noProof/>
                <w:szCs w:val="22"/>
              </w:rPr>
            </w:pPr>
            <w:r>
              <w:rPr>
                <w:noProof/>
              </w:rPr>
              <w:t>Comisia</w:t>
            </w:r>
          </w:p>
        </w:tc>
        <w:tc>
          <w:tcPr>
            <w:tcW w:w="2537" w:type="dxa"/>
          </w:tcPr>
          <w:p>
            <w:pPr>
              <w:spacing w:before="0" w:after="200" w:line="276" w:lineRule="auto"/>
              <w:jc w:val="left"/>
              <w:rPr>
                <w:rFonts w:eastAsiaTheme="minorHAnsi"/>
                <w:noProof/>
                <w:szCs w:val="22"/>
              </w:rPr>
            </w:pPr>
            <w:r>
              <w:rPr>
                <w:noProof/>
              </w:rPr>
              <w:t>Datele sunt transmise autorităților fiscale competente și fac obiectul unui schimb între acestea prin canale de cooperare administrativă securizate și reglementate din punct de vedere juridic.</w:t>
            </w:r>
          </w:p>
          <w:p>
            <w:pPr>
              <w:spacing w:before="0" w:after="200" w:line="276" w:lineRule="auto"/>
              <w:jc w:val="left"/>
              <w:rPr>
                <w:rFonts w:eastAsiaTheme="minorHAnsi"/>
                <w:noProof/>
                <w:szCs w:val="22"/>
              </w:rPr>
            </w:pPr>
            <w:r>
              <w:rPr>
                <w:noProof/>
              </w:rPr>
              <w:t>Accesul este limitat la autoritățile publice autorizate și la utilizatori, asigurând disponibilitatea controlată a informațiilor sensibile privind conformitatea.</w:t>
            </w:r>
          </w:p>
          <w:p>
            <w:pPr>
              <w:spacing w:before="0" w:after="200" w:line="276" w:lineRule="auto"/>
              <w:jc w:val="left"/>
              <w:rPr>
                <w:rFonts w:eastAsiaTheme="minorHAnsi"/>
                <w:noProof/>
                <w:szCs w:val="22"/>
              </w:rPr>
            </w:pPr>
            <w:r>
              <w:rPr>
                <w:noProof/>
              </w:rPr>
              <w:t xml:space="preserve">Odată raportate, informațiile devin accesibile în toate statele membre fără a fi nevoie de informări suplimentare din partea </w:t>
            </w:r>
            <w:r>
              <w:rPr>
                <w:noProof/>
              </w:rPr>
              <w:lastRenderedPageBreak/>
              <w:t>operatorilor de platforme.</w:t>
            </w:r>
          </w:p>
        </w:tc>
        <w:tc>
          <w:tcPr>
            <w:tcW w:w="2464" w:type="dxa"/>
          </w:tcPr>
          <w:p>
            <w:pPr>
              <w:spacing w:before="0" w:after="200" w:line="276" w:lineRule="auto"/>
              <w:jc w:val="left"/>
              <w:rPr>
                <w:rFonts w:eastAsiaTheme="minorHAnsi"/>
                <w:noProof/>
                <w:szCs w:val="22"/>
              </w:rPr>
            </w:pPr>
            <w:r>
              <w:rPr>
                <w:noProof/>
              </w:rPr>
              <w:lastRenderedPageBreak/>
              <w:t>Datele sunt reutilizate pentru evaluarea riscurilor, selecția auditurilor și detectarea fraudei și a evitării obligațiilor fiscale.</w:t>
            </w:r>
          </w:p>
          <w:p>
            <w:pPr>
              <w:spacing w:before="0" w:after="200" w:line="276" w:lineRule="auto"/>
              <w:jc w:val="left"/>
              <w:rPr>
                <w:rFonts w:eastAsiaTheme="minorHAnsi"/>
                <w:noProof/>
                <w:szCs w:val="22"/>
              </w:rPr>
            </w:pPr>
            <w:r>
              <w:rPr>
                <w:noProof/>
              </w:rPr>
              <w:t>Odată colectate, datele pot fi utilizate în multiple scopuri analitice și de asigurare a respectării legislației, fără a fi colectate încă o dată de la contribuabili (în conformitate cu principiul „doar o singură dată”).</w:t>
            </w:r>
          </w:p>
          <w:p>
            <w:pPr>
              <w:spacing w:before="0" w:after="200" w:line="276" w:lineRule="auto"/>
              <w:jc w:val="left"/>
              <w:rPr>
                <w:rFonts w:eastAsiaTheme="minorHAnsi"/>
                <w:noProof/>
                <w:szCs w:val="22"/>
              </w:rPr>
            </w:pPr>
            <w:r>
              <w:rPr>
                <w:noProof/>
              </w:rPr>
              <w:t>Raportarea structurată permite integrarea în sisteme mai ample de analiză fiscală și suport decizional și de analiză a conformității.</w:t>
            </w:r>
          </w:p>
        </w:tc>
        <w:tc>
          <w:tcPr>
            <w:tcW w:w="1569" w:type="dxa"/>
          </w:tcPr>
          <w:p>
            <w:pPr>
              <w:spacing w:before="0" w:after="200" w:line="276" w:lineRule="auto"/>
              <w:jc w:val="left"/>
              <w:rPr>
                <w:rFonts w:eastAsiaTheme="minorHAnsi"/>
                <w:noProof/>
                <w:szCs w:val="22"/>
              </w:rPr>
            </w:pPr>
            <w:r>
              <w:rPr>
                <w:noProof/>
              </w:rPr>
              <w:t>N/A</w:t>
            </w:r>
          </w:p>
        </w:tc>
      </w:tr>
      <w:tr>
        <w:trPr>
          <w:trHeight w:val="300"/>
        </w:trPr>
        <w:tc>
          <w:tcPr>
            <w:tcW w:w="2014" w:type="dxa"/>
          </w:tcPr>
          <w:p>
            <w:pPr>
              <w:spacing w:before="0" w:after="200" w:line="276" w:lineRule="auto"/>
              <w:jc w:val="left"/>
              <w:rPr>
                <w:rFonts w:eastAsiaTheme="minorHAnsi"/>
                <w:noProof/>
                <w:szCs w:val="22"/>
              </w:rPr>
            </w:pPr>
            <w:r>
              <w:rPr>
                <w:noProof/>
              </w:rPr>
              <w:t>Formulare-tip electronice pentru schimbul automat de informații privind Criptoactivele care fac obiectul Raportării în temeiul articolului 12.</w:t>
            </w:r>
          </w:p>
        </w:tc>
        <w:tc>
          <w:tcPr>
            <w:tcW w:w="1593" w:type="dxa"/>
          </w:tcPr>
          <w:p>
            <w:pPr>
              <w:spacing w:before="0" w:after="200" w:line="276" w:lineRule="auto"/>
              <w:jc w:val="left"/>
              <w:rPr>
                <w:rFonts w:eastAsiaTheme="minorHAnsi"/>
                <w:noProof/>
                <w:szCs w:val="22"/>
              </w:rPr>
            </w:pPr>
            <w:r>
              <w:rPr>
                <w:noProof/>
              </w:rPr>
              <w:t>Art. 12 alineatul (3)</w:t>
            </w:r>
          </w:p>
          <w:p>
            <w:pPr>
              <w:spacing w:before="0" w:after="200" w:line="276" w:lineRule="auto"/>
              <w:jc w:val="left"/>
              <w:rPr>
                <w:rFonts w:eastAsiaTheme="minorHAnsi"/>
                <w:noProof/>
                <w:szCs w:val="22"/>
                <w:lang w:eastAsia="en-US"/>
              </w:rPr>
            </w:pPr>
          </w:p>
        </w:tc>
        <w:tc>
          <w:tcPr>
            <w:tcW w:w="2964" w:type="dxa"/>
          </w:tcPr>
          <w:p>
            <w:pPr>
              <w:spacing w:before="0" w:after="200" w:line="276" w:lineRule="auto"/>
              <w:jc w:val="left"/>
              <w:rPr>
                <w:rFonts w:eastAsiaTheme="minorHAnsi"/>
                <w:noProof/>
                <w:szCs w:val="22"/>
              </w:rPr>
            </w:pPr>
            <w:r>
              <w:rPr>
                <w:noProof/>
              </w:rPr>
              <w:t xml:space="preserve">Pentru soluția digitală, lista informațiilor care urmează să facă obiectul schimbului este prevăzută în secțiunea I referitoare la cerințele de raportare din anexa VI la directiva reformată; se utilizează formatul XML standardizat CARF al OCDE. </w:t>
            </w:r>
          </w:p>
        </w:tc>
        <w:tc>
          <w:tcPr>
            <w:tcW w:w="1430" w:type="dxa"/>
          </w:tcPr>
          <w:p>
            <w:pPr>
              <w:spacing w:before="0" w:after="200" w:line="276" w:lineRule="auto"/>
              <w:jc w:val="left"/>
              <w:rPr>
                <w:rFonts w:eastAsiaTheme="minorHAnsi"/>
                <w:noProof/>
                <w:szCs w:val="22"/>
              </w:rPr>
            </w:pPr>
            <w:r>
              <w:rPr>
                <w:noProof/>
              </w:rPr>
              <w:t>Comisia</w:t>
            </w:r>
          </w:p>
        </w:tc>
        <w:tc>
          <w:tcPr>
            <w:tcW w:w="2537" w:type="dxa"/>
          </w:tcPr>
          <w:p>
            <w:pPr>
              <w:spacing w:before="0" w:after="200" w:line="276" w:lineRule="auto"/>
              <w:jc w:val="left"/>
              <w:rPr>
                <w:rFonts w:eastAsiaTheme="minorHAnsi"/>
                <w:noProof/>
                <w:szCs w:val="22"/>
              </w:rPr>
            </w:pPr>
            <w:r>
              <w:rPr>
                <w:noProof/>
              </w:rPr>
              <w:t>Sunt utilizate standarde comune pentru a asigura omogenitatea datelor, eliminând orice obstacole din calea schimbului eficient între administrațiile naționale</w:t>
            </w:r>
          </w:p>
        </w:tc>
        <w:tc>
          <w:tcPr>
            <w:tcW w:w="2464" w:type="dxa"/>
          </w:tcPr>
          <w:p>
            <w:pPr>
              <w:spacing w:before="0" w:after="200" w:line="276" w:lineRule="auto"/>
              <w:jc w:val="left"/>
              <w:rPr>
                <w:rFonts w:eastAsiaTheme="minorHAnsi"/>
                <w:noProof/>
                <w:szCs w:val="22"/>
              </w:rPr>
            </w:pPr>
            <w:r>
              <w:rPr>
                <w:noProof/>
              </w:rPr>
              <w:t>Datele de înaltă calitate din sectorul public și privat din toate statele membre vor fi reutilizate în schimburile de date DAC8 pentru a răspunde scopurilor Directivei DAC8.</w:t>
            </w:r>
          </w:p>
        </w:tc>
        <w:tc>
          <w:tcPr>
            <w:tcW w:w="1569" w:type="dxa"/>
          </w:tcPr>
          <w:p>
            <w:pPr>
              <w:spacing w:before="0" w:after="200" w:line="276" w:lineRule="auto"/>
              <w:jc w:val="left"/>
              <w:rPr>
                <w:rFonts w:eastAsiaTheme="minorHAnsi"/>
                <w:noProof/>
                <w:szCs w:val="22"/>
              </w:rPr>
            </w:pPr>
            <w:r>
              <w:rPr>
                <w:noProof/>
              </w:rPr>
              <w:t>N/A</w:t>
            </w:r>
          </w:p>
        </w:tc>
      </w:tr>
      <w:tr>
        <w:trPr>
          <w:trHeight w:val="300"/>
        </w:trPr>
        <w:tc>
          <w:tcPr>
            <w:tcW w:w="2014" w:type="dxa"/>
          </w:tcPr>
          <w:p>
            <w:pPr>
              <w:spacing w:before="0" w:after="200" w:line="276" w:lineRule="auto"/>
              <w:jc w:val="left"/>
              <w:rPr>
                <w:rFonts w:eastAsiaTheme="minorHAnsi"/>
                <w:noProof/>
                <w:szCs w:val="22"/>
              </w:rPr>
            </w:pPr>
            <w:r>
              <w:rPr>
                <w:noProof/>
              </w:rPr>
              <w:t>Formulare-tip electronice pentru schimbul automat de informații referitoare la declarațiile privind impozitul suplimentar în temeiul articolului 15.</w:t>
            </w:r>
          </w:p>
        </w:tc>
        <w:tc>
          <w:tcPr>
            <w:tcW w:w="1593" w:type="dxa"/>
          </w:tcPr>
          <w:p>
            <w:pPr>
              <w:spacing w:before="0" w:after="200" w:line="276" w:lineRule="auto"/>
              <w:jc w:val="left"/>
              <w:rPr>
                <w:rFonts w:eastAsiaTheme="minorHAnsi"/>
                <w:noProof/>
                <w:szCs w:val="22"/>
              </w:rPr>
            </w:pPr>
            <w:r>
              <w:rPr>
                <w:noProof/>
              </w:rPr>
              <w:t>Art. 15</w:t>
            </w:r>
          </w:p>
        </w:tc>
        <w:tc>
          <w:tcPr>
            <w:tcW w:w="2964" w:type="dxa"/>
          </w:tcPr>
          <w:p>
            <w:pPr>
              <w:spacing w:before="0" w:after="200" w:line="276" w:lineRule="auto"/>
              <w:jc w:val="left"/>
              <w:rPr>
                <w:rFonts w:eastAsiaTheme="minorHAnsi"/>
                <w:noProof/>
                <w:szCs w:val="22"/>
              </w:rPr>
            </w:pPr>
            <w:r>
              <w:rPr>
                <w:noProof/>
              </w:rPr>
              <w:t>Informațiile care urmează să facă obiectul schimburilor sunt prevăzute la articolul 15.</w:t>
            </w:r>
          </w:p>
        </w:tc>
        <w:tc>
          <w:tcPr>
            <w:tcW w:w="1430" w:type="dxa"/>
          </w:tcPr>
          <w:p>
            <w:pPr>
              <w:spacing w:before="0" w:after="200" w:line="276" w:lineRule="auto"/>
              <w:jc w:val="left"/>
              <w:rPr>
                <w:rFonts w:eastAsiaTheme="minorHAnsi"/>
                <w:noProof/>
                <w:szCs w:val="22"/>
              </w:rPr>
            </w:pPr>
            <w:r>
              <w:rPr>
                <w:noProof/>
              </w:rPr>
              <w:t>Comisia</w:t>
            </w:r>
          </w:p>
        </w:tc>
        <w:tc>
          <w:tcPr>
            <w:tcW w:w="2537" w:type="dxa"/>
          </w:tcPr>
          <w:p>
            <w:pPr>
              <w:spacing w:before="0" w:after="200" w:line="276" w:lineRule="auto"/>
              <w:jc w:val="left"/>
              <w:rPr>
                <w:rFonts w:eastAsiaTheme="minorHAnsi"/>
                <w:noProof/>
                <w:szCs w:val="22"/>
              </w:rPr>
            </w:pPr>
            <w:r>
              <w:rPr>
                <w:noProof/>
              </w:rPr>
              <w:t>Informațiile sunt schimbate direct între autoritățile fiscale competente prin intermediul unor sisteme de comunicare securizate și reglementate.</w:t>
            </w:r>
          </w:p>
          <w:p>
            <w:pPr>
              <w:spacing w:before="0" w:after="200" w:line="276" w:lineRule="auto"/>
              <w:jc w:val="left"/>
              <w:rPr>
                <w:rFonts w:eastAsiaTheme="minorHAnsi"/>
                <w:noProof/>
                <w:szCs w:val="22"/>
              </w:rPr>
            </w:pPr>
            <w:r>
              <w:rPr>
                <w:noProof/>
              </w:rPr>
              <w:t>Accesul este limitat la organismele publice autorizate, asigurând extragerea controlată, dar fiabilă a datelor.</w:t>
            </w:r>
          </w:p>
          <w:p>
            <w:pPr>
              <w:spacing w:before="0" w:after="200" w:line="276" w:lineRule="auto"/>
              <w:jc w:val="left"/>
              <w:rPr>
                <w:rFonts w:eastAsiaTheme="minorHAnsi"/>
                <w:noProof/>
                <w:szCs w:val="22"/>
              </w:rPr>
            </w:pPr>
            <w:r>
              <w:rPr>
                <w:noProof/>
              </w:rPr>
              <w:lastRenderedPageBreak/>
              <w:t>Cadrul juridic garantează disponibilitatea continuă a datelor odată ce acestea au fost raportate de statul membru de origine.</w:t>
            </w:r>
          </w:p>
        </w:tc>
        <w:tc>
          <w:tcPr>
            <w:tcW w:w="2464" w:type="dxa"/>
          </w:tcPr>
          <w:p>
            <w:pPr>
              <w:spacing w:before="0" w:after="200" w:line="276" w:lineRule="auto"/>
              <w:jc w:val="left"/>
              <w:rPr>
                <w:rFonts w:eastAsiaTheme="minorHAnsi"/>
                <w:noProof/>
                <w:szCs w:val="22"/>
              </w:rPr>
            </w:pPr>
            <w:r>
              <w:rPr>
                <w:noProof/>
              </w:rPr>
              <w:lastRenderedPageBreak/>
              <w:t>Schimbul de date are loc în mai multe scopuri fiscale legale, inclusiv verificări ale conformității, audituri și analize de risc.</w:t>
            </w:r>
          </w:p>
          <w:p>
            <w:pPr>
              <w:spacing w:before="0" w:after="200" w:line="276" w:lineRule="auto"/>
              <w:jc w:val="left"/>
              <w:rPr>
                <w:rFonts w:eastAsiaTheme="minorHAnsi"/>
                <w:noProof/>
                <w:szCs w:val="22"/>
              </w:rPr>
            </w:pPr>
            <w:r>
              <w:rPr>
                <w:noProof/>
              </w:rPr>
              <w:t xml:space="preserve">Odată colectate, datele pot fi reutilizate de autoritățile fiscale destinatare fără a fi colectate încă o dată de la grupurile de întreprinderi </w:t>
            </w:r>
            <w:r>
              <w:rPr>
                <w:noProof/>
              </w:rPr>
              <w:lastRenderedPageBreak/>
              <w:t>multinaționale (conform principiului „doar o singură dată”).</w:t>
            </w:r>
          </w:p>
          <w:p>
            <w:pPr>
              <w:spacing w:before="0" w:after="200" w:line="276" w:lineRule="auto"/>
              <w:jc w:val="left"/>
              <w:rPr>
                <w:rFonts w:eastAsiaTheme="minorHAnsi"/>
                <w:noProof/>
                <w:szCs w:val="22"/>
              </w:rPr>
            </w:pPr>
            <w:r>
              <w:rPr>
                <w:noProof/>
              </w:rPr>
              <w:t>Categoriile armonizate permit utilizări analitice secundare, cum ar fi analiza decalajului fiscal și evaluarea politicilor.</w:t>
            </w:r>
          </w:p>
        </w:tc>
        <w:tc>
          <w:tcPr>
            <w:tcW w:w="1569" w:type="dxa"/>
          </w:tcPr>
          <w:p>
            <w:pPr>
              <w:spacing w:before="0" w:after="200" w:line="276" w:lineRule="auto"/>
              <w:jc w:val="left"/>
              <w:rPr>
                <w:rFonts w:eastAsiaTheme="minorHAnsi"/>
                <w:noProof/>
                <w:szCs w:val="22"/>
              </w:rPr>
            </w:pPr>
            <w:r>
              <w:rPr>
                <w:noProof/>
              </w:rPr>
              <w:lastRenderedPageBreak/>
              <w:t>N/A</w:t>
            </w:r>
          </w:p>
        </w:tc>
      </w:tr>
      <w:tr>
        <w:trPr>
          <w:trHeight w:val="300"/>
        </w:trPr>
        <w:tc>
          <w:tcPr>
            <w:tcW w:w="2014" w:type="dxa"/>
          </w:tcPr>
          <w:p>
            <w:pPr>
              <w:spacing w:before="0" w:after="200" w:line="276" w:lineRule="auto"/>
              <w:jc w:val="left"/>
              <w:rPr>
                <w:rFonts w:eastAsiaTheme="minorHAnsi"/>
                <w:noProof/>
                <w:szCs w:val="22"/>
              </w:rPr>
            </w:pPr>
            <w:r>
              <w:rPr>
                <w:noProof/>
              </w:rPr>
              <w:t>Formulare electronice standard pentru schimbul automat de notificări privind raportarea pentru fiecare țară în parte și depunerea la nivel central a declarației privind impozitul suplimentar în temeiul articolului 16.</w:t>
            </w:r>
          </w:p>
        </w:tc>
        <w:tc>
          <w:tcPr>
            <w:tcW w:w="1593" w:type="dxa"/>
          </w:tcPr>
          <w:p>
            <w:pPr>
              <w:spacing w:before="0" w:after="200" w:line="276" w:lineRule="auto"/>
              <w:jc w:val="left"/>
              <w:rPr>
                <w:rFonts w:eastAsiaTheme="minorHAnsi"/>
                <w:noProof/>
                <w:szCs w:val="22"/>
              </w:rPr>
            </w:pPr>
            <w:r>
              <w:rPr>
                <w:noProof/>
              </w:rPr>
              <w:t>Art. 16</w:t>
            </w:r>
          </w:p>
        </w:tc>
        <w:tc>
          <w:tcPr>
            <w:tcW w:w="2964" w:type="dxa"/>
          </w:tcPr>
          <w:p>
            <w:pPr>
              <w:spacing w:before="0" w:after="200" w:line="276" w:lineRule="auto"/>
              <w:jc w:val="left"/>
              <w:rPr>
                <w:rFonts w:eastAsiaTheme="minorHAnsi"/>
                <w:noProof/>
                <w:szCs w:val="22"/>
              </w:rPr>
            </w:pPr>
            <w:r>
              <w:rPr>
                <w:noProof/>
              </w:rPr>
              <w:t>Informațiile care urmează să facă obiectul schimburilor sunt prevăzute la articolul 16.</w:t>
            </w:r>
          </w:p>
        </w:tc>
        <w:tc>
          <w:tcPr>
            <w:tcW w:w="1430" w:type="dxa"/>
          </w:tcPr>
          <w:p>
            <w:pPr>
              <w:spacing w:before="0" w:after="200" w:line="276" w:lineRule="auto"/>
              <w:jc w:val="left"/>
              <w:rPr>
                <w:rFonts w:eastAsiaTheme="minorHAnsi"/>
                <w:noProof/>
                <w:szCs w:val="22"/>
              </w:rPr>
            </w:pPr>
            <w:r>
              <w:rPr>
                <w:noProof/>
              </w:rPr>
              <w:t>Comisia</w:t>
            </w:r>
          </w:p>
        </w:tc>
        <w:tc>
          <w:tcPr>
            <w:tcW w:w="2537" w:type="dxa"/>
          </w:tcPr>
          <w:p>
            <w:pPr>
              <w:spacing w:before="0" w:after="200" w:line="276" w:lineRule="auto"/>
              <w:jc w:val="left"/>
              <w:rPr>
                <w:rFonts w:eastAsiaTheme="minorHAnsi"/>
                <w:noProof/>
                <w:szCs w:val="22"/>
              </w:rPr>
            </w:pPr>
            <w:r>
              <w:rPr>
                <w:noProof/>
              </w:rPr>
              <w:t>Informațiile sunt schimbate direct între autoritățile fiscale competente prin intermediul unor sisteme de comunicare securizate și reglementate.</w:t>
            </w:r>
          </w:p>
          <w:p>
            <w:pPr>
              <w:spacing w:before="0" w:after="200" w:line="276" w:lineRule="auto"/>
              <w:jc w:val="left"/>
              <w:rPr>
                <w:rFonts w:eastAsiaTheme="minorHAnsi"/>
                <w:noProof/>
                <w:szCs w:val="22"/>
              </w:rPr>
            </w:pPr>
            <w:r>
              <w:rPr>
                <w:noProof/>
              </w:rPr>
              <w:t>Accesul este limitat la organismele publice autorizate, asigurând extragerea controlată, dar fiabilă a datelor.</w:t>
            </w:r>
          </w:p>
          <w:p>
            <w:pPr>
              <w:spacing w:before="0" w:after="200" w:line="276" w:lineRule="auto"/>
              <w:jc w:val="left"/>
              <w:rPr>
                <w:rFonts w:eastAsiaTheme="minorHAnsi"/>
                <w:noProof/>
                <w:szCs w:val="22"/>
              </w:rPr>
            </w:pPr>
            <w:r>
              <w:rPr>
                <w:noProof/>
              </w:rPr>
              <w:t xml:space="preserve">Cadrul juridic garantează disponibilitatea </w:t>
            </w:r>
            <w:r>
              <w:rPr>
                <w:noProof/>
              </w:rPr>
              <w:lastRenderedPageBreak/>
              <w:t>continuă a datelor odată ce acestea au fost raportate de statul membru de origine.</w:t>
            </w:r>
          </w:p>
        </w:tc>
        <w:tc>
          <w:tcPr>
            <w:tcW w:w="2464" w:type="dxa"/>
          </w:tcPr>
          <w:p>
            <w:pPr>
              <w:spacing w:before="0" w:after="200" w:line="276" w:lineRule="auto"/>
              <w:jc w:val="left"/>
              <w:rPr>
                <w:rFonts w:eastAsiaTheme="minorHAnsi"/>
                <w:noProof/>
                <w:szCs w:val="22"/>
              </w:rPr>
            </w:pPr>
            <w:r>
              <w:rPr>
                <w:noProof/>
              </w:rPr>
              <w:lastRenderedPageBreak/>
              <w:t>Schimbul de date are loc în mai multe scopuri fiscale legale, inclusiv verificări ale conformității, audituri și analize de risc.</w:t>
            </w:r>
          </w:p>
          <w:p>
            <w:pPr>
              <w:spacing w:before="0" w:after="200" w:line="276" w:lineRule="auto"/>
              <w:jc w:val="left"/>
              <w:rPr>
                <w:rFonts w:eastAsiaTheme="minorHAnsi"/>
                <w:noProof/>
                <w:szCs w:val="22"/>
              </w:rPr>
            </w:pPr>
            <w:r>
              <w:rPr>
                <w:noProof/>
              </w:rPr>
              <w:t>Odată colectate, datele pot fi reutilizate de autoritățile fiscale destinatare fără a fi colectate încă o dată de la grupurile de întreprinderi multinaționale (conform principiului „doar o singură dată”).</w:t>
            </w:r>
          </w:p>
          <w:p>
            <w:pPr>
              <w:spacing w:before="0" w:after="200" w:line="276" w:lineRule="auto"/>
              <w:jc w:val="left"/>
              <w:rPr>
                <w:rFonts w:eastAsiaTheme="minorHAnsi"/>
                <w:noProof/>
                <w:szCs w:val="22"/>
              </w:rPr>
            </w:pPr>
            <w:r>
              <w:rPr>
                <w:noProof/>
              </w:rPr>
              <w:lastRenderedPageBreak/>
              <w:t>Categoriile armonizate permit utilizări analitice secundare, cum ar fi analiza decalajului fiscal și evaluarea politicilor.</w:t>
            </w:r>
          </w:p>
        </w:tc>
        <w:tc>
          <w:tcPr>
            <w:tcW w:w="1569" w:type="dxa"/>
          </w:tcPr>
          <w:p>
            <w:pPr>
              <w:spacing w:before="0" w:after="200" w:line="276" w:lineRule="auto"/>
              <w:jc w:val="left"/>
              <w:rPr>
                <w:rFonts w:eastAsiaTheme="minorHAnsi"/>
                <w:noProof/>
                <w:szCs w:val="22"/>
              </w:rPr>
            </w:pPr>
            <w:r>
              <w:rPr>
                <w:noProof/>
              </w:rPr>
              <w:lastRenderedPageBreak/>
              <w:t>N/A</w:t>
            </w:r>
          </w:p>
        </w:tc>
      </w:tr>
      <w:tr>
        <w:trPr>
          <w:trHeight w:val="300"/>
        </w:trPr>
        <w:tc>
          <w:tcPr>
            <w:tcW w:w="2014" w:type="dxa"/>
          </w:tcPr>
          <w:p>
            <w:pPr>
              <w:spacing w:before="0" w:after="200" w:line="276" w:lineRule="auto"/>
              <w:jc w:val="left"/>
              <w:rPr>
                <w:rFonts w:eastAsiaTheme="minorHAnsi"/>
                <w:noProof/>
                <w:szCs w:val="22"/>
              </w:rPr>
            </w:pPr>
            <w:r>
              <w:rPr>
                <w:noProof/>
              </w:rPr>
              <w:t>Instrumentul de validare a NIF</w:t>
            </w:r>
          </w:p>
        </w:tc>
        <w:tc>
          <w:tcPr>
            <w:tcW w:w="1593" w:type="dxa"/>
          </w:tcPr>
          <w:p>
            <w:pPr>
              <w:spacing w:before="0" w:after="200" w:line="276" w:lineRule="auto"/>
              <w:jc w:val="left"/>
              <w:rPr>
                <w:rFonts w:eastAsiaTheme="minorHAnsi"/>
                <w:noProof/>
                <w:szCs w:val="22"/>
              </w:rPr>
            </w:pPr>
            <w:r>
              <w:rPr>
                <w:noProof/>
              </w:rPr>
              <w:t>Art. 36</w:t>
            </w:r>
          </w:p>
        </w:tc>
        <w:tc>
          <w:tcPr>
            <w:tcW w:w="2964" w:type="dxa"/>
          </w:tcPr>
          <w:p>
            <w:pPr>
              <w:spacing w:before="0" w:after="200" w:line="276" w:lineRule="auto"/>
              <w:jc w:val="left"/>
              <w:rPr>
                <w:rFonts w:eastAsiaTheme="minorHAnsi"/>
                <w:noProof/>
                <w:szCs w:val="22"/>
              </w:rPr>
            </w:pPr>
            <w:r>
              <w:rPr>
                <w:noProof/>
              </w:rPr>
              <w:t>Validarea automată și instantanee a NIF</w:t>
            </w:r>
          </w:p>
        </w:tc>
        <w:tc>
          <w:tcPr>
            <w:tcW w:w="1430" w:type="dxa"/>
          </w:tcPr>
          <w:p>
            <w:pPr>
              <w:spacing w:before="0" w:after="200" w:line="276" w:lineRule="auto"/>
              <w:jc w:val="left"/>
              <w:rPr>
                <w:rFonts w:eastAsiaTheme="minorHAnsi"/>
                <w:noProof/>
                <w:szCs w:val="22"/>
              </w:rPr>
            </w:pPr>
            <w:r>
              <w:rPr>
                <w:noProof/>
              </w:rPr>
              <w:t>Comisia</w:t>
            </w:r>
          </w:p>
        </w:tc>
        <w:tc>
          <w:tcPr>
            <w:tcW w:w="2537" w:type="dxa"/>
          </w:tcPr>
          <w:p>
            <w:pPr>
              <w:spacing w:before="0" w:after="200" w:line="276" w:lineRule="auto"/>
              <w:jc w:val="left"/>
              <w:rPr>
                <w:rFonts w:eastAsiaTheme="minorHAnsi"/>
                <w:noProof/>
                <w:szCs w:val="22"/>
              </w:rPr>
            </w:pPr>
            <w:r>
              <w:rPr>
                <w:noProof/>
              </w:rPr>
              <w:t>Informațiile sunt schimbate direct între autoritățile fiscale competente prin intermediul unor sisteme de comunicare securizate și reglementate.</w:t>
            </w:r>
          </w:p>
          <w:p>
            <w:pPr>
              <w:spacing w:before="0" w:after="200" w:line="276" w:lineRule="auto"/>
              <w:jc w:val="left"/>
              <w:rPr>
                <w:rFonts w:eastAsiaTheme="minorHAnsi"/>
                <w:noProof/>
                <w:szCs w:val="22"/>
              </w:rPr>
            </w:pPr>
            <w:r>
              <w:rPr>
                <w:noProof/>
              </w:rPr>
              <w:t>Accesul este limitat la organismele publice autorizate, asigurând extragerea controlată, dar fiabilă a datelor.</w:t>
            </w:r>
          </w:p>
          <w:p>
            <w:pPr>
              <w:spacing w:before="0" w:after="200" w:line="276" w:lineRule="auto"/>
              <w:jc w:val="left"/>
              <w:rPr>
                <w:rFonts w:eastAsiaTheme="minorHAnsi"/>
                <w:noProof/>
                <w:szCs w:val="22"/>
              </w:rPr>
            </w:pPr>
            <w:r>
              <w:rPr>
                <w:noProof/>
              </w:rPr>
              <w:t xml:space="preserve">Cadrul juridic garantează disponibilitatea continuă a datelor odată ce acestea au fost raportate de statul </w:t>
            </w:r>
            <w:r>
              <w:rPr>
                <w:noProof/>
              </w:rPr>
              <w:lastRenderedPageBreak/>
              <w:t>membru de origine.</w:t>
            </w:r>
          </w:p>
        </w:tc>
        <w:tc>
          <w:tcPr>
            <w:tcW w:w="2464" w:type="dxa"/>
          </w:tcPr>
          <w:p>
            <w:pPr>
              <w:spacing w:before="0" w:after="200" w:line="276" w:lineRule="auto"/>
              <w:jc w:val="left"/>
              <w:rPr>
                <w:rFonts w:eastAsiaTheme="minorHAnsi"/>
                <w:noProof/>
                <w:szCs w:val="22"/>
              </w:rPr>
            </w:pPr>
            <w:r>
              <w:rPr>
                <w:noProof/>
              </w:rPr>
              <w:lastRenderedPageBreak/>
              <w:t xml:space="preserve">Aplicația </w:t>
            </w:r>
            <w:r>
              <w:rPr>
                <w:i/>
                <w:noProof/>
              </w:rPr>
              <w:t>TIN-on-the-Web</w:t>
            </w:r>
            <w:r>
              <w:rPr>
                <w:noProof/>
              </w:rPr>
              <w:t xml:space="preserve"> va fi reutilizată pentru a valida NIF raportate de entitățile raportoare, de contribuabili, de autoritățile publice, de entitățile terțe care utilizează serviciul.</w:t>
            </w:r>
          </w:p>
        </w:tc>
        <w:tc>
          <w:tcPr>
            <w:tcW w:w="1569" w:type="dxa"/>
          </w:tcPr>
          <w:p>
            <w:pPr>
              <w:spacing w:before="0" w:after="200" w:line="276" w:lineRule="auto"/>
              <w:jc w:val="left"/>
              <w:rPr>
                <w:rFonts w:eastAsiaTheme="minorHAnsi"/>
                <w:noProof/>
                <w:szCs w:val="22"/>
              </w:rPr>
            </w:pPr>
            <w:r>
              <w:rPr>
                <w:noProof/>
              </w:rPr>
              <w:t>N/A</w:t>
            </w:r>
          </w:p>
        </w:tc>
      </w:tr>
      <w:tr>
        <w:trPr>
          <w:trHeight w:val="300"/>
        </w:trPr>
        <w:tc>
          <w:tcPr>
            <w:tcW w:w="2014" w:type="dxa"/>
          </w:tcPr>
          <w:p>
            <w:pPr>
              <w:spacing w:before="0" w:after="200" w:line="276" w:lineRule="auto"/>
              <w:jc w:val="left"/>
              <w:rPr>
                <w:rFonts w:eastAsiaTheme="minorHAnsi"/>
                <w:noProof/>
                <w:szCs w:val="22"/>
              </w:rPr>
            </w:pPr>
            <w:r>
              <w:rPr>
                <w:noProof/>
              </w:rPr>
              <w:t>Schimbul automat de informații – trunchiul comun</w:t>
            </w:r>
          </w:p>
        </w:tc>
        <w:tc>
          <w:tcPr>
            <w:tcW w:w="1593" w:type="dxa"/>
          </w:tcPr>
          <w:p>
            <w:pPr>
              <w:spacing w:before="0" w:after="200" w:line="276" w:lineRule="auto"/>
              <w:jc w:val="left"/>
              <w:rPr>
                <w:rFonts w:eastAsiaTheme="minorHAnsi"/>
                <w:noProof/>
                <w:szCs w:val="22"/>
              </w:rPr>
            </w:pPr>
            <w:r>
              <w:rPr>
                <w:noProof/>
              </w:rPr>
              <w:t>Considerentul 4</w:t>
            </w:r>
          </w:p>
        </w:tc>
        <w:tc>
          <w:tcPr>
            <w:tcW w:w="2964" w:type="dxa"/>
          </w:tcPr>
          <w:p>
            <w:pPr>
              <w:spacing w:before="0" w:after="200" w:line="276" w:lineRule="auto"/>
              <w:jc w:val="left"/>
              <w:rPr>
                <w:rFonts w:eastAsiaTheme="minorHAnsi"/>
                <w:noProof/>
                <w:szCs w:val="22"/>
              </w:rPr>
            </w:pPr>
            <w:r>
              <w:rPr>
                <w:noProof/>
              </w:rPr>
              <w:t>Modalități practice pentru facilitarea schimbului automat de informații</w:t>
            </w:r>
          </w:p>
          <w:p>
            <w:pPr>
              <w:spacing w:before="0" w:after="200" w:line="276" w:lineRule="auto"/>
              <w:jc w:val="left"/>
              <w:rPr>
                <w:rFonts w:eastAsiaTheme="minorHAnsi"/>
                <w:noProof/>
                <w:szCs w:val="22"/>
                <w:lang w:eastAsia="en-US"/>
              </w:rPr>
            </w:pPr>
          </w:p>
        </w:tc>
        <w:tc>
          <w:tcPr>
            <w:tcW w:w="1430" w:type="dxa"/>
          </w:tcPr>
          <w:p>
            <w:pPr>
              <w:spacing w:before="0" w:after="200" w:line="276" w:lineRule="auto"/>
              <w:jc w:val="left"/>
              <w:rPr>
                <w:rFonts w:eastAsiaTheme="minorHAnsi"/>
                <w:noProof/>
                <w:szCs w:val="22"/>
              </w:rPr>
            </w:pPr>
            <w:r>
              <w:rPr>
                <w:noProof/>
              </w:rPr>
              <w:t>Comisia</w:t>
            </w:r>
          </w:p>
        </w:tc>
        <w:tc>
          <w:tcPr>
            <w:tcW w:w="2537" w:type="dxa"/>
          </w:tcPr>
          <w:p>
            <w:pPr>
              <w:spacing w:before="0" w:after="200" w:line="276" w:lineRule="auto"/>
              <w:jc w:val="left"/>
              <w:rPr>
                <w:rFonts w:eastAsiaTheme="minorHAnsi"/>
                <w:noProof/>
                <w:szCs w:val="22"/>
              </w:rPr>
            </w:pPr>
            <w:r>
              <w:rPr>
                <w:noProof/>
              </w:rPr>
              <w:t>Comisia adoptă acte de punere în aplicare prin care stabilește specificații tehnice comune.</w:t>
            </w:r>
          </w:p>
        </w:tc>
        <w:tc>
          <w:tcPr>
            <w:tcW w:w="2464" w:type="dxa"/>
          </w:tcPr>
          <w:p>
            <w:pPr>
              <w:spacing w:before="0" w:after="200" w:line="276" w:lineRule="auto"/>
              <w:jc w:val="left"/>
              <w:rPr>
                <w:rFonts w:eastAsiaTheme="minorHAnsi"/>
                <w:noProof/>
                <w:szCs w:val="22"/>
              </w:rPr>
            </w:pPr>
            <w:r>
              <w:rPr>
                <w:noProof/>
              </w:rPr>
              <w:t>Infrastructura Rețelei comune de comunicații a Comisiei va fi reutilizată pentru a sprijini schimbul automat de informații</w:t>
            </w:r>
          </w:p>
        </w:tc>
        <w:tc>
          <w:tcPr>
            <w:tcW w:w="1569" w:type="dxa"/>
          </w:tcPr>
          <w:p>
            <w:pPr>
              <w:spacing w:before="0" w:after="200" w:line="276" w:lineRule="auto"/>
              <w:jc w:val="left"/>
              <w:rPr>
                <w:rFonts w:eastAsiaTheme="minorHAnsi"/>
                <w:noProof/>
                <w:szCs w:val="22"/>
              </w:rPr>
            </w:pPr>
            <w:r>
              <w:rPr>
                <w:noProof/>
              </w:rPr>
              <w:t>N/A</w:t>
            </w:r>
          </w:p>
        </w:tc>
      </w:tr>
      <w:tr>
        <w:trPr>
          <w:trHeight w:val="300"/>
        </w:trPr>
        <w:tc>
          <w:tcPr>
            <w:tcW w:w="2014" w:type="dxa"/>
          </w:tcPr>
          <w:p>
            <w:pPr>
              <w:spacing w:before="0" w:after="200" w:line="276" w:lineRule="auto"/>
              <w:jc w:val="left"/>
              <w:rPr>
                <w:rFonts w:eastAsiaTheme="minorHAnsi"/>
                <w:noProof/>
                <w:szCs w:val="22"/>
              </w:rPr>
            </w:pPr>
            <w:r>
              <w:rPr>
                <w:noProof/>
              </w:rPr>
              <w:t>Schimbul automat de informații – trunchiul comun</w:t>
            </w:r>
          </w:p>
        </w:tc>
        <w:tc>
          <w:tcPr>
            <w:tcW w:w="1593" w:type="dxa"/>
          </w:tcPr>
          <w:p>
            <w:pPr>
              <w:spacing w:before="0" w:after="200" w:line="276" w:lineRule="auto"/>
              <w:jc w:val="left"/>
              <w:rPr>
                <w:rFonts w:eastAsiaTheme="minorHAnsi"/>
                <w:noProof/>
                <w:szCs w:val="22"/>
              </w:rPr>
            </w:pPr>
            <w:r>
              <w:rPr>
                <w:noProof/>
              </w:rPr>
              <w:t>Directiva 2023/2226/UE, considerentul 39</w:t>
            </w:r>
          </w:p>
        </w:tc>
        <w:tc>
          <w:tcPr>
            <w:tcW w:w="2964" w:type="dxa"/>
          </w:tcPr>
          <w:p>
            <w:pPr>
              <w:spacing w:before="0" w:after="200" w:line="276" w:lineRule="auto"/>
              <w:jc w:val="left"/>
              <w:rPr>
                <w:rFonts w:eastAsiaTheme="minorHAnsi"/>
                <w:noProof/>
                <w:szCs w:val="22"/>
              </w:rPr>
            </w:pPr>
            <w:r>
              <w:rPr>
                <w:noProof/>
              </w:rPr>
              <w:t xml:space="preserve">În vederea asigurării unor condiții uniforme pentru punerea în aplicare a respectivei directive, ar trebui să fie conferite competențe de executare Comisiei pentru elaborarea unui instrument care să permită verificarea electronică și automată a corectitudinii NIF care a fost furnizat de contribuabil sau de entitatea raportoare sau persoana care efectuează raportarea. Respectivele competențe ar trebui exercitate în conformitate cu </w:t>
            </w:r>
            <w:r>
              <w:rPr>
                <w:noProof/>
              </w:rPr>
              <w:lastRenderedPageBreak/>
              <w:t>Regulamentul (UE) nr. 182/2011. Instrumentul informatic care va fi pus la dispoziția statelor membre este destinat să contribuie la creșterea ratelor de corelare pentru administrațiile fiscale și la îmbunătățirea calității informațiilor schimbate în general.</w:t>
            </w:r>
          </w:p>
        </w:tc>
        <w:tc>
          <w:tcPr>
            <w:tcW w:w="1430" w:type="dxa"/>
          </w:tcPr>
          <w:p>
            <w:pPr>
              <w:spacing w:before="0" w:after="200" w:line="276" w:lineRule="auto"/>
              <w:jc w:val="left"/>
              <w:rPr>
                <w:rFonts w:eastAsiaTheme="minorHAnsi"/>
                <w:noProof/>
                <w:szCs w:val="22"/>
              </w:rPr>
            </w:pPr>
            <w:r>
              <w:rPr>
                <w:noProof/>
              </w:rPr>
              <w:lastRenderedPageBreak/>
              <w:t>Comisia</w:t>
            </w:r>
          </w:p>
        </w:tc>
        <w:tc>
          <w:tcPr>
            <w:tcW w:w="2537" w:type="dxa"/>
          </w:tcPr>
          <w:p>
            <w:pPr>
              <w:spacing w:before="0" w:after="200" w:line="276" w:lineRule="auto"/>
              <w:jc w:val="left"/>
              <w:rPr>
                <w:rFonts w:eastAsiaTheme="minorHAnsi"/>
                <w:noProof/>
                <w:szCs w:val="22"/>
              </w:rPr>
            </w:pPr>
            <w:r>
              <w:rPr>
                <w:noProof/>
              </w:rPr>
              <w:t xml:space="preserve">Integrarea cu aplicația </w:t>
            </w:r>
            <w:r>
              <w:rPr>
                <w:i/>
                <w:noProof/>
              </w:rPr>
              <w:t>TIN-on-the-Web</w:t>
            </w:r>
            <w:r>
              <w:rPr>
                <w:noProof/>
              </w:rPr>
              <w:t xml:space="preserve"> pentru verificarea automată a NIF este dezvoltată ca funcționalitate a registrului central DAC8</w:t>
            </w:r>
          </w:p>
        </w:tc>
        <w:tc>
          <w:tcPr>
            <w:tcW w:w="2464" w:type="dxa"/>
          </w:tcPr>
          <w:p>
            <w:pPr>
              <w:spacing w:before="0" w:after="200" w:line="276" w:lineRule="auto"/>
              <w:jc w:val="left"/>
              <w:rPr>
                <w:rFonts w:eastAsiaTheme="minorHAnsi"/>
                <w:noProof/>
                <w:szCs w:val="22"/>
              </w:rPr>
            </w:pPr>
            <w:r>
              <w:rPr>
                <w:noProof/>
              </w:rPr>
              <w:t xml:space="preserve">Aplicația </w:t>
            </w:r>
            <w:r>
              <w:rPr>
                <w:i/>
                <w:noProof/>
              </w:rPr>
              <w:t>TIN-on-the-Web</w:t>
            </w:r>
            <w:r>
              <w:rPr>
                <w:noProof/>
              </w:rPr>
              <w:t xml:space="preserve"> va fi reutilizată pentru a valida NIF ale furnizorilor de servicii de criptoactive raportori și ale vânzătorilor raportați</w:t>
            </w:r>
          </w:p>
        </w:tc>
        <w:tc>
          <w:tcPr>
            <w:tcW w:w="1569" w:type="dxa"/>
          </w:tcPr>
          <w:p>
            <w:pPr>
              <w:spacing w:before="0" w:after="200" w:line="276" w:lineRule="auto"/>
              <w:jc w:val="left"/>
              <w:rPr>
                <w:rFonts w:eastAsiaTheme="minorHAnsi"/>
                <w:noProof/>
                <w:szCs w:val="22"/>
              </w:rPr>
            </w:pPr>
            <w:r>
              <w:rPr>
                <w:noProof/>
              </w:rPr>
              <w:t>N/A</w:t>
            </w:r>
          </w:p>
        </w:tc>
      </w:tr>
    </w:tbl>
    <w:p>
      <w:pPr>
        <w:spacing w:before="0" w:after="200" w:line="276" w:lineRule="auto"/>
        <w:jc w:val="left"/>
        <w:rPr>
          <w:noProof/>
        </w:rPr>
      </w:pPr>
    </w:p>
    <w:p>
      <w:pPr>
        <w:spacing w:before="0" w:after="200" w:line="276" w:lineRule="auto"/>
        <w:jc w:val="left"/>
        <w:rPr>
          <w:noProof/>
        </w:rPr>
      </w:pPr>
      <w:r>
        <w:rPr>
          <w:i/>
          <w:noProof/>
        </w:rPr>
        <w:t>Pentru fiecare soluție digitală, explicați modul în care soluția digitală respectă cerințele și obligațiile cadrului UE privind securitatea cibernetică, precum și alte politici digitale și acte legislative aplicabile (cum ar fi eIDAS, portalul digital unic etc.).</w:t>
      </w:r>
    </w:p>
    <w:p>
      <w:pPr>
        <w:spacing w:before="0" w:after="200" w:line="276" w:lineRule="auto"/>
        <w:jc w:val="left"/>
        <w:rPr>
          <w:b/>
          <w:bCs/>
          <w:noProof/>
        </w:rPr>
      </w:pPr>
    </w:p>
    <w:p>
      <w:pPr>
        <w:spacing w:before="0" w:after="200" w:line="276" w:lineRule="auto"/>
        <w:jc w:val="left"/>
        <w:rPr>
          <w:b/>
          <w:bCs/>
          <w:noProof/>
        </w:rPr>
      </w:pPr>
      <w:r>
        <w:rPr>
          <w:b/>
          <w:noProof/>
        </w:rPr>
        <w:t>Model standard în format xml</w:t>
      </w:r>
    </w:p>
    <w:tbl>
      <w:tblPr>
        <w:tblStyle w:val="TableGrid"/>
        <w:tblW w:w="14077" w:type="dxa"/>
        <w:tblLook w:val="04A0" w:firstRow="1" w:lastRow="0" w:firstColumn="1" w:lastColumn="0" w:noHBand="0" w:noVBand="1"/>
      </w:tblPr>
      <w:tblGrid>
        <w:gridCol w:w="5098"/>
        <w:gridCol w:w="8979"/>
      </w:tblGrid>
      <w:tr>
        <w:tc>
          <w:tcPr>
            <w:tcW w:w="5098" w:type="dxa"/>
          </w:tcPr>
          <w:p>
            <w:pPr>
              <w:spacing w:before="0" w:after="200" w:line="276" w:lineRule="auto"/>
              <w:jc w:val="left"/>
              <w:rPr>
                <w:rFonts w:eastAsiaTheme="minorHAnsi"/>
                <w:noProof/>
                <w:szCs w:val="22"/>
              </w:rPr>
            </w:pPr>
            <w:r>
              <w:rPr>
                <w:b/>
                <w:noProof/>
              </w:rPr>
              <w:t>Politica digitală și/sau sectorială (atunci când sunt aplicabile)</w:t>
            </w:r>
          </w:p>
        </w:tc>
        <w:tc>
          <w:tcPr>
            <w:tcW w:w="8979" w:type="dxa"/>
          </w:tcPr>
          <w:p>
            <w:pPr>
              <w:spacing w:before="0" w:after="200" w:line="276" w:lineRule="auto"/>
              <w:jc w:val="left"/>
              <w:rPr>
                <w:rFonts w:eastAsiaTheme="minorHAnsi"/>
                <w:noProof/>
                <w:szCs w:val="22"/>
              </w:rPr>
            </w:pPr>
            <w:r>
              <w:rPr>
                <w:b/>
                <w:noProof/>
              </w:rPr>
              <w:t>Explicarea modului în care se aliniază</w:t>
            </w:r>
          </w:p>
        </w:tc>
      </w:tr>
      <w:tr>
        <w:tc>
          <w:tcPr>
            <w:tcW w:w="5098" w:type="dxa"/>
          </w:tcPr>
          <w:p>
            <w:pPr>
              <w:spacing w:before="0" w:after="200" w:line="276" w:lineRule="auto"/>
              <w:jc w:val="left"/>
              <w:rPr>
                <w:rFonts w:eastAsiaTheme="minorHAnsi"/>
                <w:noProof/>
                <w:szCs w:val="22"/>
              </w:rPr>
            </w:pPr>
            <w:r>
              <w:rPr>
                <w:b/>
                <w:i/>
                <w:noProof/>
              </w:rPr>
              <w:t>Regulamentul privind IA</w:t>
            </w:r>
          </w:p>
        </w:tc>
        <w:tc>
          <w:tcPr>
            <w:tcW w:w="8979" w:type="dxa"/>
          </w:tcPr>
          <w:p>
            <w:pPr>
              <w:spacing w:before="0" w:after="200" w:line="276" w:lineRule="auto"/>
              <w:jc w:val="left"/>
              <w:rPr>
                <w:rFonts w:eastAsiaTheme="minorHAnsi"/>
                <w:noProof/>
                <w:szCs w:val="22"/>
              </w:rPr>
            </w:pPr>
            <w:r>
              <w:rPr>
                <w:noProof/>
              </w:rPr>
              <w:t>Nu se aplică</w:t>
            </w:r>
          </w:p>
        </w:tc>
      </w:tr>
      <w:tr>
        <w:tc>
          <w:tcPr>
            <w:tcW w:w="5098" w:type="dxa"/>
          </w:tcPr>
          <w:p>
            <w:pPr>
              <w:spacing w:before="0" w:after="200" w:line="276" w:lineRule="auto"/>
              <w:jc w:val="left"/>
              <w:rPr>
                <w:rFonts w:eastAsiaTheme="minorHAnsi"/>
                <w:noProof/>
                <w:szCs w:val="22"/>
              </w:rPr>
            </w:pPr>
            <w:r>
              <w:rPr>
                <w:b/>
                <w:i/>
                <w:noProof/>
              </w:rPr>
              <w:t>Cadrul UE privind securitatea cibernetică</w:t>
            </w:r>
          </w:p>
        </w:tc>
        <w:tc>
          <w:tcPr>
            <w:tcW w:w="8979" w:type="dxa"/>
          </w:tcPr>
          <w:p>
            <w:pPr>
              <w:spacing w:before="0" w:after="200" w:line="276" w:lineRule="auto"/>
              <w:jc w:val="left"/>
              <w:rPr>
                <w:rFonts w:eastAsiaTheme="minorHAnsi"/>
                <w:noProof/>
                <w:szCs w:val="22"/>
              </w:rPr>
            </w:pPr>
            <w:r>
              <w:rPr>
                <w:noProof/>
              </w:rPr>
              <w:t>Fără a aduce atingere directivei DAC reformate, statele membre asigură securitatea, integritatea, autenticitatea și confidențialitatea datelor colectate și stocate în scopul prezentei directive. </w:t>
            </w:r>
          </w:p>
          <w:p>
            <w:pPr>
              <w:spacing w:before="0" w:after="200" w:line="276" w:lineRule="auto"/>
              <w:jc w:val="left"/>
              <w:rPr>
                <w:rFonts w:eastAsiaTheme="minorHAnsi"/>
                <w:noProof/>
                <w:szCs w:val="22"/>
              </w:rPr>
            </w:pPr>
            <w:r>
              <w:rPr>
                <w:noProof/>
              </w:rPr>
              <w:lastRenderedPageBreak/>
              <w:t>Cadrul Directivei DAC reformate este aliniat la cadrul și arhitectura UE în materie de securitate cibernetică, deoarece aplică următoarele principii:</w:t>
            </w:r>
          </w:p>
          <w:p>
            <w:pPr>
              <w:spacing w:before="0" w:after="200" w:line="276" w:lineRule="auto"/>
              <w:jc w:val="left"/>
              <w:rPr>
                <w:rFonts w:eastAsiaTheme="minorHAnsi"/>
                <w:noProof/>
                <w:szCs w:val="22"/>
              </w:rPr>
            </w:pPr>
            <w:r>
              <w:rPr>
                <w:b/>
                <w:noProof/>
              </w:rPr>
              <w:t>1. Securitate începând cu momentul conceperii și în mod implicit (RGPD + NIS2)</w:t>
            </w:r>
            <w:r>
              <w:rPr>
                <w:noProof/>
              </w:rPr>
              <w:t xml:space="preserve"> cu</w:t>
            </w:r>
          </w:p>
          <w:p>
            <w:pPr>
              <w:spacing w:before="0" w:after="200" w:line="276" w:lineRule="auto"/>
              <w:jc w:val="left"/>
              <w:rPr>
                <w:rFonts w:eastAsiaTheme="minorHAnsi"/>
                <w:noProof/>
                <w:szCs w:val="22"/>
              </w:rPr>
            </w:pPr>
            <w:r>
              <w:rPr>
                <w:noProof/>
              </w:rPr>
              <w:t>Criptare de la un capăt la altul [de regulă, securitate pe nivelul de transport (TLS) sau echivalent]</w:t>
            </w:r>
          </w:p>
          <w:p>
            <w:pPr>
              <w:numPr>
                <w:ilvl w:val="0"/>
                <w:numId w:val="49"/>
              </w:numPr>
              <w:spacing w:before="0" w:after="200" w:line="276" w:lineRule="auto"/>
              <w:jc w:val="left"/>
              <w:rPr>
                <w:rFonts w:eastAsiaTheme="minorHAnsi"/>
                <w:noProof/>
                <w:szCs w:val="22"/>
              </w:rPr>
            </w:pPr>
            <w:r>
              <w:rPr>
                <w:noProof/>
              </w:rPr>
              <w:t>Soluții de mesagerie securizată, cum ar fi CCN &amp; CCN2 Mail sau CCN/CSI</w:t>
            </w:r>
          </w:p>
          <w:p>
            <w:pPr>
              <w:numPr>
                <w:ilvl w:val="0"/>
                <w:numId w:val="49"/>
              </w:numPr>
              <w:spacing w:before="0" w:after="200" w:line="276" w:lineRule="auto"/>
              <w:jc w:val="left"/>
              <w:rPr>
                <w:rFonts w:eastAsiaTheme="minorHAnsi"/>
                <w:noProof/>
                <w:szCs w:val="22"/>
              </w:rPr>
            </w:pPr>
            <w:r>
              <w:rPr>
                <w:noProof/>
              </w:rPr>
              <w:t>Controlul riguros al accesului și autentificarea puternică (acces bazat pe roluri, autentificare CCN/CCN2)</w:t>
            </w:r>
          </w:p>
          <w:p>
            <w:pPr>
              <w:spacing w:before="0" w:after="200" w:line="276" w:lineRule="auto"/>
              <w:jc w:val="left"/>
              <w:rPr>
                <w:rFonts w:eastAsiaTheme="minorHAnsi"/>
                <w:noProof/>
                <w:szCs w:val="22"/>
              </w:rPr>
            </w:pPr>
            <w:r>
              <w:rPr>
                <w:noProof/>
              </w:rPr>
              <w:t>Acest lucru se aliniază la:</w:t>
            </w:r>
          </w:p>
          <w:p>
            <w:pPr>
              <w:numPr>
                <w:ilvl w:val="0"/>
                <w:numId w:val="50"/>
              </w:numPr>
              <w:spacing w:before="0" w:after="200" w:line="276" w:lineRule="auto"/>
              <w:jc w:val="left"/>
              <w:rPr>
                <w:rFonts w:eastAsiaTheme="minorHAnsi"/>
                <w:noProof/>
                <w:szCs w:val="22"/>
              </w:rPr>
            </w:pPr>
            <w:r>
              <w:rPr>
                <w:noProof/>
              </w:rPr>
              <w:t>Articolul 25 din RGPD (protecția datelor începând cu momentul conceperii/în mod implicit)</w:t>
            </w:r>
          </w:p>
          <w:p>
            <w:pPr>
              <w:numPr>
                <w:ilvl w:val="0"/>
                <w:numId w:val="50"/>
              </w:numPr>
              <w:spacing w:before="0" w:after="200" w:line="276" w:lineRule="auto"/>
              <w:jc w:val="left"/>
              <w:rPr>
                <w:rFonts w:eastAsiaTheme="minorHAnsi"/>
                <w:noProof/>
                <w:szCs w:val="22"/>
              </w:rPr>
            </w:pPr>
            <w:r>
              <w:rPr>
                <w:noProof/>
              </w:rPr>
              <w:t>Directiva NIS2 (securitatea rețelelor și a sistemelor informatice pentru entitățile critice)</w:t>
            </w:r>
          </w:p>
          <w:p>
            <w:pPr>
              <w:spacing w:before="0" w:after="200" w:line="276" w:lineRule="auto"/>
              <w:jc w:val="left"/>
              <w:rPr>
                <w:rFonts w:eastAsiaTheme="minorHAnsi"/>
                <w:b/>
                <w:bCs/>
                <w:noProof/>
                <w:szCs w:val="22"/>
              </w:rPr>
            </w:pPr>
            <w:r>
              <w:rPr>
                <w:b/>
                <w:noProof/>
              </w:rPr>
              <w:t>2. Utilizarea Infrastructurii de încredere a UE</w:t>
            </w:r>
          </w:p>
          <w:p>
            <w:pPr>
              <w:spacing w:before="0" w:after="200" w:line="276" w:lineRule="auto"/>
              <w:jc w:val="left"/>
              <w:rPr>
                <w:rFonts w:eastAsiaTheme="minorHAnsi"/>
                <w:noProof/>
                <w:szCs w:val="22"/>
              </w:rPr>
            </w:pPr>
            <w:r>
              <w:rPr>
                <w:noProof/>
              </w:rPr>
              <w:t>CCN &amp; CCN2 sunt gestionate de domeniul comun al Comisiei Europene (DG TAXUD), în cadrul unei guvernanțe IT stricte.</w:t>
            </w:r>
          </w:p>
          <w:p>
            <w:pPr>
              <w:numPr>
                <w:ilvl w:val="0"/>
                <w:numId w:val="51"/>
              </w:numPr>
              <w:spacing w:before="0" w:after="200" w:line="276" w:lineRule="auto"/>
              <w:jc w:val="left"/>
              <w:rPr>
                <w:rFonts w:eastAsiaTheme="minorHAnsi"/>
                <w:noProof/>
                <w:szCs w:val="22"/>
              </w:rPr>
            </w:pPr>
            <w:r>
              <w:rPr>
                <w:noProof/>
              </w:rPr>
              <w:t>CCN &amp; CCN2 utilizează rețele exclusiv guvernamentale, în buclă închisă, izolate de internetul public.</w:t>
            </w:r>
          </w:p>
          <w:p>
            <w:pPr>
              <w:numPr>
                <w:ilvl w:val="0"/>
                <w:numId w:val="51"/>
              </w:numPr>
              <w:spacing w:before="0" w:after="200" w:line="276" w:lineRule="auto"/>
              <w:jc w:val="left"/>
              <w:rPr>
                <w:rFonts w:eastAsiaTheme="minorHAnsi"/>
                <w:noProof/>
                <w:szCs w:val="22"/>
              </w:rPr>
            </w:pPr>
            <w:r>
              <w:rPr>
                <w:noProof/>
              </w:rPr>
              <w:t>Numai sistemele naționale certificate se pot conecta prin intermediul CCN și CCN2.</w:t>
            </w:r>
          </w:p>
          <w:p>
            <w:pPr>
              <w:spacing w:before="0" w:after="200" w:line="276" w:lineRule="auto"/>
              <w:jc w:val="left"/>
              <w:rPr>
                <w:rFonts w:eastAsiaTheme="minorHAnsi"/>
                <w:noProof/>
                <w:szCs w:val="22"/>
              </w:rPr>
            </w:pPr>
            <w:r>
              <w:rPr>
                <w:noProof/>
              </w:rPr>
              <w:lastRenderedPageBreak/>
              <w:t>În acest fel se sprijină:</w:t>
            </w:r>
          </w:p>
          <w:p>
            <w:pPr>
              <w:numPr>
                <w:ilvl w:val="0"/>
                <w:numId w:val="52"/>
              </w:numPr>
              <w:spacing w:before="0" w:after="200" w:line="276" w:lineRule="auto"/>
              <w:jc w:val="left"/>
              <w:rPr>
                <w:rFonts w:eastAsiaTheme="minorHAnsi"/>
                <w:noProof/>
                <w:szCs w:val="22"/>
              </w:rPr>
            </w:pPr>
            <w:r>
              <w:rPr>
                <w:noProof/>
              </w:rPr>
              <w:t>Orientările ENISA privind infrastructurile de încredere</w:t>
            </w:r>
          </w:p>
          <w:p>
            <w:pPr>
              <w:numPr>
                <w:ilvl w:val="0"/>
                <w:numId w:val="52"/>
              </w:numPr>
              <w:spacing w:before="0" w:after="200" w:line="276" w:lineRule="auto"/>
              <w:jc w:val="left"/>
              <w:rPr>
                <w:rFonts w:eastAsiaTheme="minorHAnsi"/>
                <w:noProof/>
                <w:szCs w:val="22"/>
              </w:rPr>
            </w:pPr>
            <w:r>
              <w:rPr>
                <w:noProof/>
              </w:rPr>
              <w:t>Obiectivul programului „Europa digitală” privind cloud-ul suveran al UE și rețelele</w:t>
            </w:r>
          </w:p>
          <w:p>
            <w:pPr>
              <w:spacing w:before="0" w:after="200" w:line="276" w:lineRule="auto"/>
              <w:jc w:val="left"/>
              <w:rPr>
                <w:rFonts w:eastAsiaTheme="minorHAnsi"/>
                <w:b/>
                <w:bCs/>
                <w:noProof/>
                <w:szCs w:val="22"/>
              </w:rPr>
            </w:pPr>
            <w:r>
              <w:rPr>
                <w:b/>
                <w:noProof/>
              </w:rPr>
              <w:t>3. Monitorizare, jurnalizare &amp; răspuns la incidente</w:t>
            </w:r>
          </w:p>
          <w:p>
            <w:pPr>
              <w:spacing w:before="0" w:after="200" w:line="276" w:lineRule="auto"/>
              <w:jc w:val="left"/>
              <w:rPr>
                <w:rFonts w:eastAsiaTheme="minorHAnsi"/>
                <w:noProof/>
                <w:szCs w:val="22"/>
              </w:rPr>
            </w:pPr>
            <w:r>
              <w:rPr>
                <w:noProof/>
              </w:rPr>
              <w:t>Toate fluxurile de date DAC (de exemplu, în temeiul DAC7/DAC8/DAC9) transmise prin intermediul CCN &amp; CCN2 sunt:</w:t>
            </w:r>
          </w:p>
          <w:p>
            <w:pPr>
              <w:numPr>
                <w:ilvl w:val="0"/>
                <w:numId w:val="53"/>
              </w:numPr>
              <w:spacing w:before="0" w:after="200" w:line="276" w:lineRule="auto"/>
              <w:jc w:val="left"/>
              <w:rPr>
                <w:rFonts w:eastAsiaTheme="minorHAnsi"/>
                <w:noProof/>
                <w:szCs w:val="22"/>
              </w:rPr>
            </w:pPr>
            <w:r>
              <w:rPr>
                <w:noProof/>
              </w:rPr>
              <w:t>Monitorizate în timp real</w:t>
            </w:r>
          </w:p>
          <w:p>
            <w:pPr>
              <w:numPr>
                <w:ilvl w:val="0"/>
                <w:numId w:val="53"/>
              </w:numPr>
              <w:spacing w:before="0" w:after="200" w:line="276" w:lineRule="auto"/>
              <w:jc w:val="left"/>
              <w:rPr>
                <w:rFonts w:eastAsiaTheme="minorHAnsi"/>
                <w:noProof/>
                <w:szCs w:val="22"/>
              </w:rPr>
            </w:pPr>
            <w:r>
              <w:rPr>
                <w:noProof/>
              </w:rPr>
              <w:t>Jurnalizate în mod securizat în vederea auditului</w:t>
            </w:r>
          </w:p>
          <w:p>
            <w:pPr>
              <w:numPr>
                <w:ilvl w:val="0"/>
                <w:numId w:val="53"/>
              </w:numPr>
              <w:spacing w:before="0" w:after="200" w:line="276" w:lineRule="auto"/>
              <w:jc w:val="left"/>
              <w:rPr>
                <w:rFonts w:eastAsiaTheme="minorHAnsi"/>
                <w:noProof/>
                <w:szCs w:val="22"/>
              </w:rPr>
            </w:pPr>
            <w:r>
              <w:rPr>
                <w:noProof/>
              </w:rPr>
              <w:t>Susținute de protocoale de răspuns la incidente</w:t>
            </w:r>
          </w:p>
          <w:p>
            <w:pPr>
              <w:spacing w:before="0" w:after="200" w:line="276" w:lineRule="auto"/>
              <w:jc w:val="left"/>
              <w:rPr>
                <w:rFonts w:eastAsiaTheme="minorHAnsi"/>
                <w:noProof/>
                <w:szCs w:val="22"/>
              </w:rPr>
            </w:pPr>
            <w:r>
              <w:rPr>
                <w:noProof/>
              </w:rPr>
              <w:t>Statele membre trebuie să raporteze incidentele cibernetice sau evenimentele de securitate cibernetică prin canale coordonate în temeiul legislației aplicabile a Uniunii.</w:t>
            </w:r>
          </w:p>
          <w:p>
            <w:pPr>
              <w:spacing w:before="0" w:after="200" w:line="276" w:lineRule="auto"/>
              <w:jc w:val="left"/>
              <w:rPr>
                <w:rFonts w:eastAsiaTheme="minorHAnsi"/>
                <w:b/>
                <w:bCs/>
                <w:noProof/>
                <w:szCs w:val="22"/>
              </w:rPr>
            </w:pPr>
            <w:r>
              <w:rPr>
                <w:b/>
                <w:noProof/>
              </w:rPr>
              <w:t>4. Interoperabilitate &amp; Standardizare</w:t>
            </w:r>
          </w:p>
          <w:p>
            <w:pPr>
              <w:spacing w:before="0" w:after="200" w:line="276" w:lineRule="auto"/>
              <w:jc w:val="left"/>
              <w:rPr>
                <w:rFonts w:eastAsiaTheme="minorHAnsi"/>
                <w:noProof/>
                <w:szCs w:val="22"/>
              </w:rPr>
            </w:pPr>
            <w:r>
              <w:rPr>
                <w:noProof/>
              </w:rPr>
              <w:t>CCN &amp; CCN2 utilizează:</w:t>
            </w:r>
          </w:p>
          <w:p>
            <w:pPr>
              <w:numPr>
                <w:ilvl w:val="0"/>
                <w:numId w:val="54"/>
              </w:numPr>
              <w:spacing w:before="0" w:after="200" w:line="276" w:lineRule="auto"/>
              <w:jc w:val="left"/>
              <w:rPr>
                <w:rFonts w:eastAsiaTheme="minorHAnsi"/>
                <w:noProof/>
                <w:szCs w:val="22"/>
              </w:rPr>
            </w:pPr>
            <w:r>
              <w:rPr>
                <w:noProof/>
              </w:rPr>
              <w:t>Scheme XML standardizate</w:t>
            </w:r>
          </w:p>
          <w:p>
            <w:pPr>
              <w:numPr>
                <w:ilvl w:val="0"/>
                <w:numId w:val="54"/>
              </w:numPr>
              <w:spacing w:before="0" w:after="200" w:line="276" w:lineRule="auto"/>
              <w:jc w:val="left"/>
              <w:rPr>
                <w:rFonts w:eastAsiaTheme="minorHAnsi"/>
                <w:noProof/>
                <w:szCs w:val="22"/>
              </w:rPr>
            </w:pPr>
            <w:r>
              <w:rPr>
                <w:noProof/>
              </w:rPr>
              <w:t>Mecanisme de validare standardizate</w:t>
            </w:r>
          </w:p>
          <w:p>
            <w:pPr>
              <w:numPr>
                <w:ilvl w:val="0"/>
                <w:numId w:val="54"/>
              </w:numPr>
              <w:spacing w:before="0" w:after="200" w:line="276" w:lineRule="auto"/>
              <w:jc w:val="left"/>
              <w:rPr>
                <w:rFonts w:eastAsiaTheme="minorHAnsi"/>
                <w:noProof/>
                <w:szCs w:val="22"/>
              </w:rPr>
            </w:pPr>
            <w:r>
              <w:rPr>
                <w:noProof/>
              </w:rPr>
              <w:t>Certificate securizate standardizate pentru semnarea mesajelor</w:t>
            </w:r>
          </w:p>
          <w:p>
            <w:pPr>
              <w:spacing w:before="0" w:after="200" w:line="276" w:lineRule="auto"/>
              <w:jc w:val="left"/>
              <w:rPr>
                <w:rFonts w:eastAsiaTheme="minorHAnsi"/>
                <w:noProof/>
                <w:szCs w:val="22"/>
              </w:rPr>
            </w:pPr>
            <w:r>
              <w:rPr>
                <w:noProof/>
              </w:rPr>
              <w:t>CCN și CCN2 permit:</w:t>
            </w:r>
          </w:p>
          <w:p>
            <w:pPr>
              <w:numPr>
                <w:ilvl w:val="0"/>
                <w:numId w:val="55"/>
              </w:numPr>
              <w:spacing w:before="0" w:after="200" w:line="276" w:lineRule="auto"/>
              <w:jc w:val="left"/>
              <w:rPr>
                <w:rFonts w:eastAsiaTheme="minorHAnsi"/>
                <w:noProof/>
                <w:szCs w:val="22"/>
              </w:rPr>
            </w:pPr>
            <w:r>
              <w:rPr>
                <w:noProof/>
              </w:rPr>
              <w:lastRenderedPageBreak/>
              <w:t>Autentificarea securizată și serviciile de încredere</w:t>
            </w:r>
          </w:p>
          <w:p>
            <w:pPr>
              <w:numPr>
                <w:ilvl w:val="0"/>
                <w:numId w:val="55"/>
              </w:numPr>
              <w:spacing w:before="0" w:after="200" w:line="276" w:lineRule="auto"/>
              <w:jc w:val="left"/>
              <w:rPr>
                <w:rFonts w:eastAsiaTheme="minorHAnsi"/>
                <w:noProof/>
                <w:szCs w:val="22"/>
              </w:rPr>
            </w:pPr>
            <w:r>
              <w:rPr>
                <w:noProof/>
              </w:rPr>
              <w:t>Cadrele de interoperabilitate</w:t>
            </w:r>
          </w:p>
          <w:p>
            <w:pPr>
              <w:spacing w:before="0" w:after="200" w:line="276" w:lineRule="auto"/>
              <w:jc w:val="left"/>
              <w:rPr>
                <w:rFonts w:eastAsiaTheme="minorHAnsi"/>
                <w:b/>
                <w:bCs/>
                <w:noProof/>
                <w:szCs w:val="22"/>
              </w:rPr>
            </w:pPr>
            <w:r>
              <w:rPr>
                <w:b/>
                <w:noProof/>
              </w:rPr>
              <w:t>5. Continuitatea activității &amp; redundanță</w:t>
            </w:r>
          </w:p>
          <w:p>
            <w:pPr>
              <w:spacing w:before="0" w:after="200" w:line="276" w:lineRule="auto"/>
              <w:jc w:val="left"/>
              <w:rPr>
                <w:rFonts w:eastAsiaTheme="minorHAnsi"/>
                <w:noProof/>
                <w:szCs w:val="22"/>
              </w:rPr>
            </w:pPr>
            <w:r>
              <w:rPr>
                <w:noProof/>
              </w:rPr>
              <w:t>CCN și CCN2 asigură sisteme redundante și capacități de siguranță (</w:t>
            </w:r>
            <w:r>
              <w:rPr>
                <w:i/>
                <w:noProof/>
              </w:rPr>
              <w:t>failover</w:t>
            </w:r>
            <w:r>
              <w:rPr>
                <w:noProof/>
              </w:rPr>
              <w:t>) pentru serviciile critice, cum ar fi schimburile de date fiscale.</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Alinierea în materie de securitate cibernetică a sistemelor DAC poate fi evaluată în raport cu principiile de bază ale cadrului de securitate cibernetică al UE, inclusiv cu Directiva NIS2, cu orientările ENISA și cu principiile UE privind încrederea, reziliența și suveranitatea digitală.</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1. Principiul securității de la stadiul conceperii și al gestionării riscurilor</w:t>
            </w:r>
          </w:p>
          <w:p>
            <w:pPr>
              <w:spacing w:before="0" w:after="200" w:line="276" w:lineRule="auto"/>
              <w:jc w:val="left"/>
              <w:rPr>
                <w:rFonts w:eastAsiaTheme="minorHAnsi"/>
                <w:noProof/>
                <w:szCs w:val="22"/>
              </w:rPr>
            </w:pPr>
            <w:r>
              <w:rPr>
                <w:noProof/>
              </w:rPr>
              <w:t>Sistemele DAC sunt concepute ca sisteme de informații distribuite și securizate de la stadiul conceperii, în care controalele de securitate cibernetică sunt integrate în arhitectură și operațiuni.</w:t>
            </w:r>
          </w:p>
          <w:p>
            <w:pPr>
              <w:numPr>
                <w:ilvl w:val="0"/>
                <w:numId w:val="56"/>
              </w:numPr>
              <w:spacing w:before="0" w:after="200" w:line="276" w:lineRule="auto"/>
              <w:jc w:val="left"/>
              <w:rPr>
                <w:rFonts w:eastAsiaTheme="minorHAnsi"/>
                <w:noProof/>
                <w:szCs w:val="22"/>
              </w:rPr>
            </w:pPr>
            <w:r>
              <w:rPr>
                <w:noProof/>
              </w:rPr>
              <w:t>Cerințele de securitate sunt integrate în proiectarea sistemelor pentru toate sistemele DAC</w:t>
            </w:r>
          </w:p>
          <w:p>
            <w:pPr>
              <w:numPr>
                <w:ilvl w:val="0"/>
                <w:numId w:val="56"/>
              </w:numPr>
              <w:spacing w:before="0" w:after="200" w:line="276" w:lineRule="auto"/>
              <w:jc w:val="left"/>
              <w:rPr>
                <w:rFonts w:eastAsiaTheme="minorHAnsi"/>
                <w:noProof/>
                <w:szCs w:val="22"/>
              </w:rPr>
            </w:pPr>
            <w:r>
              <w:rPr>
                <w:noProof/>
              </w:rPr>
              <w:t>Abordările bazate pe riscuri reglementează sensibilitatea schimbului de date (de exemplu, date financiare vs. date administrative)</w:t>
            </w:r>
          </w:p>
          <w:p>
            <w:pPr>
              <w:numPr>
                <w:ilvl w:val="0"/>
                <w:numId w:val="56"/>
              </w:numPr>
              <w:spacing w:before="0" w:after="200" w:line="276" w:lineRule="auto"/>
              <w:jc w:val="left"/>
              <w:rPr>
                <w:rFonts w:eastAsiaTheme="minorHAnsi"/>
                <w:noProof/>
                <w:szCs w:val="22"/>
              </w:rPr>
            </w:pPr>
            <w:r>
              <w:rPr>
                <w:noProof/>
              </w:rPr>
              <w:t xml:space="preserve">Statele membre pun în aplicare controale naționale în concordanță cu cerințele de </w:t>
            </w:r>
            <w:r>
              <w:rPr>
                <w:noProof/>
              </w:rPr>
              <w:lastRenderedPageBreak/>
              <w:t>coordonare la nivelul UE</w:t>
            </w:r>
          </w:p>
          <w:p>
            <w:pPr>
              <w:numPr>
                <w:ilvl w:val="0"/>
                <w:numId w:val="56"/>
              </w:numPr>
              <w:spacing w:before="0" w:after="200" w:line="276" w:lineRule="auto"/>
              <w:jc w:val="left"/>
              <w:rPr>
                <w:rFonts w:eastAsiaTheme="minorHAnsi"/>
                <w:noProof/>
                <w:szCs w:val="22"/>
              </w:rPr>
            </w:pPr>
            <w:r>
              <w:rPr>
                <w:noProof/>
              </w:rPr>
              <w:t>Evaluarea continuă a riscurilor sprijină adaptarea la amenințările cibernetice în continuă evoluție</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2. Principiul confidențialității, integrității și disponibilității („triada CIA”)</w:t>
            </w:r>
          </w:p>
          <w:p>
            <w:pPr>
              <w:spacing w:before="0" w:after="200" w:line="276" w:lineRule="auto"/>
              <w:jc w:val="left"/>
              <w:rPr>
                <w:rFonts w:eastAsiaTheme="minorHAnsi"/>
                <w:noProof/>
                <w:szCs w:val="22"/>
              </w:rPr>
            </w:pPr>
            <w:r>
              <w:rPr>
                <w:noProof/>
              </w:rPr>
              <w:t>Sistemele DAC asigură protecția datelor fiscale prin intermediul principiilor fundamentale de securitate cibernetică:</w:t>
            </w:r>
          </w:p>
          <w:p>
            <w:pPr>
              <w:numPr>
                <w:ilvl w:val="0"/>
                <w:numId w:val="57"/>
              </w:numPr>
              <w:spacing w:before="0" w:after="200" w:line="276" w:lineRule="auto"/>
              <w:jc w:val="left"/>
              <w:rPr>
                <w:rFonts w:eastAsiaTheme="minorHAnsi"/>
                <w:noProof/>
                <w:szCs w:val="22"/>
              </w:rPr>
            </w:pPr>
            <w:r>
              <w:rPr>
                <w:noProof/>
              </w:rPr>
              <w:t>Confidențialitate: Accesul este strict limitat la autoritățile fiscale autorizate în temeiul mandatelor legale</w:t>
            </w:r>
          </w:p>
          <w:p>
            <w:pPr>
              <w:numPr>
                <w:ilvl w:val="0"/>
                <w:numId w:val="57"/>
              </w:numPr>
              <w:spacing w:before="0" w:after="200" w:line="276" w:lineRule="auto"/>
              <w:jc w:val="left"/>
              <w:rPr>
                <w:rFonts w:eastAsiaTheme="minorHAnsi"/>
                <w:noProof/>
                <w:szCs w:val="22"/>
              </w:rPr>
            </w:pPr>
            <w:r>
              <w:rPr>
                <w:noProof/>
              </w:rPr>
              <w:t>Integritate: Formatele standardizate și procesele de validare asigură acuratețea datelor și previn manipularea frauduloasă a acestora</w:t>
            </w:r>
          </w:p>
          <w:p>
            <w:pPr>
              <w:numPr>
                <w:ilvl w:val="0"/>
                <w:numId w:val="57"/>
              </w:numPr>
              <w:spacing w:before="0" w:after="200" w:line="276" w:lineRule="auto"/>
              <w:jc w:val="left"/>
              <w:rPr>
                <w:rFonts w:eastAsiaTheme="minorHAnsi"/>
                <w:noProof/>
                <w:szCs w:val="22"/>
              </w:rPr>
            </w:pPr>
            <w:r>
              <w:rPr>
                <w:noProof/>
              </w:rPr>
              <w:t>Disponibilitate: Infrastructurile de comunicații securizate asigură schimbul transfrontalier continuu de date</w:t>
            </w:r>
          </w:p>
          <w:p>
            <w:pPr>
              <w:spacing w:before="0" w:after="200" w:line="276" w:lineRule="auto"/>
              <w:jc w:val="left"/>
              <w:rPr>
                <w:rFonts w:eastAsiaTheme="minorHAnsi"/>
                <w:noProof/>
                <w:szCs w:val="22"/>
              </w:rPr>
            </w:pPr>
            <w:r>
              <w:rPr>
                <w:noProof/>
              </w:rPr>
              <w:t>Aceste principii sunt aplicate în mod consecvent în toate sistemele DAC, indiferent de tipul sau frecvența datelor.</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3. Principiul încrederii și al schimbului controlat de date</w:t>
            </w:r>
          </w:p>
          <w:p>
            <w:pPr>
              <w:spacing w:before="0" w:after="200" w:line="276" w:lineRule="auto"/>
              <w:jc w:val="left"/>
              <w:rPr>
                <w:rFonts w:eastAsiaTheme="minorHAnsi"/>
                <w:noProof/>
                <w:szCs w:val="22"/>
              </w:rPr>
            </w:pPr>
            <w:r>
              <w:rPr>
                <w:noProof/>
              </w:rPr>
              <w:t>Sistemele DAC operaționalizează cooperarea digitală și bazată pe încredere între statele membre.</w:t>
            </w:r>
          </w:p>
          <w:p>
            <w:pPr>
              <w:numPr>
                <w:ilvl w:val="0"/>
                <w:numId w:val="58"/>
              </w:numPr>
              <w:spacing w:before="0" w:after="200" w:line="276" w:lineRule="auto"/>
              <w:jc w:val="left"/>
              <w:rPr>
                <w:rFonts w:eastAsiaTheme="minorHAnsi"/>
                <w:noProof/>
                <w:szCs w:val="22"/>
              </w:rPr>
            </w:pPr>
            <w:r>
              <w:rPr>
                <w:noProof/>
              </w:rPr>
              <w:lastRenderedPageBreak/>
              <w:t>Schimbul de date are loc numai între autoritățile competente verificate</w:t>
            </w:r>
          </w:p>
          <w:p>
            <w:pPr>
              <w:numPr>
                <w:ilvl w:val="0"/>
                <w:numId w:val="58"/>
              </w:numPr>
              <w:spacing w:before="0" w:after="200" w:line="276" w:lineRule="auto"/>
              <w:jc w:val="left"/>
              <w:rPr>
                <w:rFonts w:eastAsiaTheme="minorHAnsi"/>
                <w:noProof/>
                <w:szCs w:val="22"/>
              </w:rPr>
            </w:pPr>
            <w:r>
              <w:rPr>
                <w:noProof/>
              </w:rPr>
              <w:t>Cadrele juridice definesc limitarea scopului și drepturile de acces</w:t>
            </w:r>
          </w:p>
          <w:p>
            <w:pPr>
              <w:numPr>
                <w:ilvl w:val="0"/>
                <w:numId w:val="58"/>
              </w:numPr>
              <w:spacing w:before="0" w:after="200" w:line="276" w:lineRule="auto"/>
              <w:jc w:val="left"/>
              <w:rPr>
                <w:rFonts w:eastAsiaTheme="minorHAnsi"/>
                <w:noProof/>
                <w:szCs w:val="22"/>
              </w:rPr>
            </w:pPr>
            <w:r>
              <w:rPr>
                <w:noProof/>
              </w:rPr>
              <w:t>Interoperabilitatea controlată asigură faptul că datele fiscale sensibile sunt partajate numai în cadrul unui ecosistem de încredere al sectorului public</w:t>
            </w:r>
          </w:p>
          <w:p>
            <w:pPr>
              <w:numPr>
                <w:ilvl w:val="0"/>
                <w:numId w:val="58"/>
              </w:numPr>
              <w:spacing w:before="0" w:after="200" w:line="276" w:lineRule="auto"/>
              <w:jc w:val="left"/>
              <w:rPr>
                <w:rFonts w:eastAsiaTheme="minorHAnsi"/>
                <w:noProof/>
                <w:szCs w:val="22"/>
              </w:rPr>
            </w:pPr>
            <w:r>
              <w:rPr>
                <w:noProof/>
              </w:rPr>
              <w:t>DAC5 extinde principiile încrederii prin permiterea accesului reglementat la datele operative obținute în temeiul legislației privind combaterea spălării banilor</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4. Principiul rezilienței și continuității serviciilor</w:t>
            </w:r>
          </w:p>
          <w:p>
            <w:pPr>
              <w:spacing w:before="0" w:after="200" w:line="276" w:lineRule="auto"/>
              <w:jc w:val="left"/>
              <w:rPr>
                <w:rFonts w:eastAsiaTheme="minorHAnsi"/>
                <w:noProof/>
                <w:szCs w:val="22"/>
              </w:rPr>
            </w:pPr>
            <w:r>
              <w:rPr>
                <w:noProof/>
              </w:rPr>
              <w:t>Infrastructurile DAC sunt concepute pentru a asigura reziliența cibernetică a operațiunilor din sectorul public.</w:t>
            </w:r>
          </w:p>
          <w:p>
            <w:pPr>
              <w:numPr>
                <w:ilvl w:val="0"/>
                <w:numId w:val="59"/>
              </w:numPr>
              <w:spacing w:before="0" w:after="200" w:line="276" w:lineRule="auto"/>
              <w:jc w:val="left"/>
              <w:rPr>
                <w:rFonts w:eastAsiaTheme="minorHAnsi"/>
                <w:noProof/>
                <w:szCs w:val="22"/>
              </w:rPr>
            </w:pPr>
            <w:r>
              <w:rPr>
                <w:noProof/>
              </w:rPr>
              <w:t>Canalele de comunicare redundante și securizate sprijină fluxurile neîntrerupte de date</w:t>
            </w:r>
          </w:p>
          <w:p>
            <w:pPr>
              <w:numPr>
                <w:ilvl w:val="0"/>
                <w:numId w:val="59"/>
              </w:numPr>
              <w:spacing w:before="0" w:after="200" w:line="276" w:lineRule="auto"/>
              <w:jc w:val="left"/>
              <w:rPr>
                <w:rFonts w:eastAsiaTheme="minorHAnsi"/>
                <w:noProof/>
                <w:szCs w:val="22"/>
              </w:rPr>
            </w:pPr>
            <w:r>
              <w:rPr>
                <w:noProof/>
              </w:rPr>
              <w:t>Mecanismele de rezervă și de recuperare asigură continuitatea în caz de perturbare</w:t>
            </w:r>
          </w:p>
          <w:p>
            <w:pPr>
              <w:numPr>
                <w:ilvl w:val="0"/>
                <w:numId w:val="59"/>
              </w:numPr>
              <w:spacing w:before="0" w:after="200" w:line="276" w:lineRule="auto"/>
              <w:jc w:val="left"/>
              <w:rPr>
                <w:rFonts w:eastAsiaTheme="minorHAnsi"/>
                <w:noProof/>
                <w:szCs w:val="22"/>
              </w:rPr>
            </w:pPr>
            <w:r>
              <w:rPr>
                <w:noProof/>
              </w:rPr>
              <w:t>Sistemele sunt concepute pentru a menține funcționalitatea în cazul unor incidente cibernetice sau al unei sarcini operaționale ridicate</w:t>
            </w:r>
          </w:p>
          <w:p>
            <w:pPr>
              <w:numPr>
                <w:ilvl w:val="0"/>
                <w:numId w:val="59"/>
              </w:numPr>
              <w:spacing w:before="0" w:after="200" w:line="276" w:lineRule="auto"/>
              <w:jc w:val="left"/>
              <w:rPr>
                <w:rFonts w:eastAsiaTheme="minorHAnsi"/>
                <w:noProof/>
                <w:szCs w:val="22"/>
              </w:rPr>
            </w:pPr>
            <w:r>
              <w:rPr>
                <w:noProof/>
              </w:rPr>
              <w:t>Sprijină cerința NIS2 privind reziliența serviciilor digitale esențiale</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5. Principiul interoperabilității securizate</w:t>
            </w:r>
          </w:p>
          <w:p>
            <w:pPr>
              <w:spacing w:before="0" w:after="200" w:line="276" w:lineRule="auto"/>
              <w:jc w:val="left"/>
              <w:rPr>
                <w:rFonts w:eastAsiaTheme="minorHAnsi"/>
                <w:noProof/>
                <w:szCs w:val="22"/>
              </w:rPr>
            </w:pPr>
            <w:r>
              <w:rPr>
                <w:noProof/>
              </w:rPr>
              <w:lastRenderedPageBreak/>
              <w:t>Sistemele DAC permit interoperabilitatea transfrontalieră fără a compromite securitatea.</w:t>
            </w:r>
          </w:p>
          <w:p>
            <w:pPr>
              <w:numPr>
                <w:ilvl w:val="0"/>
                <w:numId w:val="60"/>
              </w:numPr>
              <w:spacing w:before="0" w:after="200" w:line="276" w:lineRule="auto"/>
              <w:jc w:val="left"/>
              <w:rPr>
                <w:rFonts w:eastAsiaTheme="minorHAnsi"/>
                <w:noProof/>
                <w:szCs w:val="22"/>
              </w:rPr>
            </w:pPr>
            <w:r>
              <w:rPr>
                <w:noProof/>
              </w:rPr>
              <w:t>Modelele de date standardizate (SCR, ETR, CbCR, MDR, DPI, CARF, GIR, schemele de raportare DAC) reduc riscurile asociate integrării</w:t>
            </w:r>
          </w:p>
          <w:p>
            <w:pPr>
              <w:numPr>
                <w:ilvl w:val="0"/>
                <w:numId w:val="60"/>
              </w:numPr>
              <w:spacing w:before="0" w:after="200" w:line="276" w:lineRule="auto"/>
              <w:jc w:val="left"/>
              <w:rPr>
                <w:rFonts w:eastAsiaTheme="minorHAnsi"/>
                <w:noProof/>
                <w:szCs w:val="22"/>
              </w:rPr>
            </w:pPr>
            <w:r>
              <w:rPr>
                <w:noProof/>
              </w:rPr>
              <w:t>Semantica armonizată îmbunătățește compatibilitatea sistemelor între statele membre</w:t>
            </w:r>
          </w:p>
          <w:p>
            <w:pPr>
              <w:numPr>
                <w:ilvl w:val="0"/>
                <w:numId w:val="60"/>
              </w:numPr>
              <w:spacing w:before="0" w:after="200" w:line="276" w:lineRule="auto"/>
              <w:jc w:val="left"/>
              <w:rPr>
                <w:rFonts w:eastAsiaTheme="minorHAnsi"/>
                <w:noProof/>
                <w:szCs w:val="22"/>
              </w:rPr>
            </w:pPr>
            <w:r>
              <w:rPr>
                <w:noProof/>
              </w:rPr>
              <w:t>Interfețele securizate de programare a aplicațiilor și protocoalele securizate de comunicare permit integrarea sistem-la-sistem</w:t>
            </w:r>
          </w:p>
          <w:p>
            <w:pPr>
              <w:numPr>
                <w:ilvl w:val="0"/>
                <w:numId w:val="60"/>
              </w:numPr>
              <w:spacing w:before="0" w:after="200" w:line="276" w:lineRule="auto"/>
              <w:jc w:val="left"/>
              <w:rPr>
                <w:rFonts w:eastAsiaTheme="minorHAnsi"/>
                <w:noProof/>
                <w:szCs w:val="22"/>
              </w:rPr>
            </w:pPr>
            <w:r>
              <w:rPr>
                <w:noProof/>
              </w:rPr>
              <w:t>Interoperabilitatea este pusă în aplicare cu controale de securitate integrate, mai degrabă decât adăugate extern</w:t>
            </w:r>
          </w:p>
          <w:p>
            <w:pPr>
              <w:spacing w:before="0" w:after="200" w:line="276" w:lineRule="auto"/>
              <w:jc w:val="left"/>
              <w:rPr>
                <w:rFonts w:eastAsiaTheme="minorHAnsi"/>
                <w:noProof/>
                <w:szCs w:val="22"/>
              </w:rPr>
            </w:pPr>
            <w:r>
              <w:rPr>
                <w:noProof/>
              </w:rPr>
              <w:t>6. Principiul răspunderii și al guvernanței</w:t>
            </w:r>
          </w:p>
          <w:p>
            <w:pPr>
              <w:spacing w:before="0" w:after="200" w:line="276" w:lineRule="auto"/>
              <w:jc w:val="left"/>
              <w:rPr>
                <w:rFonts w:eastAsiaTheme="minorHAnsi"/>
                <w:noProof/>
                <w:szCs w:val="22"/>
              </w:rPr>
            </w:pPr>
            <w:r>
              <w:rPr>
                <w:noProof/>
              </w:rPr>
              <w:t>Sistemele DAC funcționează pe baza unui model de guvernanță comun la nivelul UE și la nivel național.</w:t>
            </w:r>
          </w:p>
          <w:p>
            <w:pPr>
              <w:numPr>
                <w:ilvl w:val="0"/>
                <w:numId w:val="61"/>
              </w:numPr>
              <w:spacing w:before="0" w:after="200" w:line="276" w:lineRule="auto"/>
              <w:jc w:val="left"/>
              <w:rPr>
                <w:rFonts w:eastAsiaTheme="minorHAnsi"/>
                <w:noProof/>
                <w:szCs w:val="22"/>
              </w:rPr>
            </w:pPr>
            <w:r>
              <w:rPr>
                <w:noProof/>
              </w:rPr>
              <w:t>Statele membre sunt responsabile de securizarea sistemelor naționale de informații fiscale</w:t>
            </w:r>
          </w:p>
          <w:p>
            <w:pPr>
              <w:numPr>
                <w:ilvl w:val="0"/>
                <w:numId w:val="61"/>
              </w:numPr>
              <w:spacing w:before="0" w:after="200" w:line="276" w:lineRule="auto"/>
              <w:jc w:val="left"/>
              <w:rPr>
                <w:rFonts w:eastAsiaTheme="minorHAnsi"/>
                <w:noProof/>
                <w:szCs w:val="22"/>
              </w:rPr>
            </w:pPr>
            <w:r>
              <w:rPr>
                <w:noProof/>
              </w:rPr>
              <w:t>Coordonarea la nivelul UE asigură standarde armonizate de punere în aplicare</w:t>
            </w:r>
          </w:p>
          <w:p>
            <w:pPr>
              <w:numPr>
                <w:ilvl w:val="0"/>
                <w:numId w:val="61"/>
              </w:numPr>
              <w:spacing w:before="0" w:after="200" w:line="276" w:lineRule="auto"/>
              <w:jc w:val="left"/>
              <w:rPr>
                <w:rFonts w:eastAsiaTheme="minorHAnsi"/>
                <w:noProof/>
                <w:szCs w:val="22"/>
              </w:rPr>
            </w:pPr>
            <w:r>
              <w:rPr>
                <w:noProof/>
              </w:rPr>
              <w:t>Posibilitatea auditării și mecanismele de trasabilitate sprijină răspunderea în ceea ce privește schimburile de date</w:t>
            </w:r>
          </w:p>
          <w:p>
            <w:pPr>
              <w:numPr>
                <w:ilvl w:val="0"/>
                <w:numId w:val="61"/>
              </w:numPr>
              <w:spacing w:before="0" w:after="200" w:line="276" w:lineRule="auto"/>
              <w:jc w:val="left"/>
              <w:rPr>
                <w:rFonts w:eastAsiaTheme="minorHAnsi"/>
                <w:noProof/>
                <w:szCs w:val="22"/>
              </w:rPr>
            </w:pPr>
            <w:r>
              <w:rPr>
                <w:noProof/>
              </w:rPr>
              <w:t>Obligațiile de raportare a incidentelor se aliniază la cerințele UE de gestionare a incidentelor cibernetice</w:t>
            </w:r>
          </w:p>
          <w:p>
            <w:pPr>
              <w:spacing w:before="0" w:after="200" w:line="276" w:lineRule="auto"/>
              <w:jc w:val="left"/>
              <w:rPr>
                <w:rFonts w:eastAsiaTheme="minorHAnsi"/>
                <w:noProof/>
                <w:szCs w:val="22"/>
              </w:rPr>
            </w:pPr>
            <w:r>
              <w:rPr>
                <w:noProof/>
              </w:rPr>
              <w:lastRenderedPageBreak/>
              <w:t>7. Principiul protecției datelor și al limitării scopului</w:t>
            </w:r>
          </w:p>
          <w:p>
            <w:pPr>
              <w:spacing w:before="0" w:after="200" w:line="276" w:lineRule="auto"/>
              <w:jc w:val="left"/>
              <w:rPr>
                <w:rFonts w:eastAsiaTheme="minorHAnsi"/>
                <w:noProof/>
                <w:szCs w:val="22"/>
              </w:rPr>
            </w:pPr>
            <w:r>
              <w:rPr>
                <w:noProof/>
              </w:rPr>
              <w:t>Securitatea cibernetică în sistemele DAC este strâns legată de garanțiile juridice pentru datele sensibile.</w:t>
            </w:r>
          </w:p>
          <w:p>
            <w:pPr>
              <w:numPr>
                <w:ilvl w:val="0"/>
                <w:numId w:val="62"/>
              </w:numPr>
              <w:spacing w:before="0" w:after="200" w:line="276" w:lineRule="auto"/>
              <w:jc w:val="left"/>
              <w:rPr>
                <w:rFonts w:eastAsiaTheme="minorHAnsi"/>
                <w:noProof/>
                <w:szCs w:val="22"/>
              </w:rPr>
            </w:pPr>
            <w:r>
              <w:rPr>
                <w:noProof/>
              </w:rPr>
              <w:t>Accesul este limitat la scopuri fiscale și de aplicare a legislației definite</w:t>
            </w:r>
          </w:p>
          <w:p>
            <w:pPr>
              <w:numPr>
                <w:ilvl w:val="0"/>
                <w:numId w:val="62"/>
              </w:numPr>
              <w:spacing w:before="0" w:after="200" w:line="276" w:lineRule="auto"/>
              <w:jc w:val="left"/>
              <w:rPr>
                <w:rFonts w:eastAsiaTheme="minorHAnsi"/>
                <w:noProof/>
                <w:szCs w:val="22"/>
              </w:rPr>
            </w:pPr>
            <w:r>
              <w:rPr>
                <w:noProof/>
              </w:rPr>
              <w:t>Utilizarea datelor este limitată de cadrele juridice ale UE (inclusiv de RGPD, după caz)</w:t>
            </w:r>
          </w:p>
          <w:p>
            <w:pPr>
              <w:numPr>
                <w:ilvl w:val="0"/>
                <w:numId w:val="62"/>
              </w:numPr>
              <w:spacing w:before="0" w:after="200" w:line="276" w:lineRule="auto"/>
              <w:jc w:val="left"/>
              <w:rPr>
                <w:rFonts w:eastAsiaTheme="minorHAnsi"/>
                <w:noProof/>
                <w:szCs w:val="22"/>
              </w:rPr>
            </w:pPr>
            <w:r>
              <w:rPr>
                <w:noProof/>
              </w:rPr>
              <w:t>Controlul accesului bazat pe roluri asigură principiul celor mai mici privilegii</w:t>
            </w:r>
          </w:p>
          <w:p>
            <w:pPr>
              <w:numPr>
                <w:ilvl w:val="0"/>
                <w:numId w:val="62"/>
              </w:numPr>
              <w:spacing w:before="0" w:after="200" w:line="276" w:lineRule="auto"/>
              <w:jc w:val="left"/>
              <w:rPr>
                <w:rFonts w:eastAsiaTheme="minorHAnsi"/>
                <w:noProof/>
                <w:szCs w:val="22"/>
              </w:rPr>
            </w:pPr>
            <w:r>
              <w:rPr>
                <w:noProof/>
              </w:rPr>
              <w:t>Jurnalizarea și monitorizarea sprijină conformitatea și detectarea utilizării necorespunzătoare</w:t>
            </w:r>
          </w:p>
        </w:tc>
      </w:tr>
      <w:tr>
        <w:tc>
          <w:tcPr>
            <w:tcW w:w="5098" w:type="dxa"/>
          </w:tcPr>
          <w:p>
            <w:pPr>
              <w:spacing w:before="0" w:after="200" w:line="276" w:lineRule="auto"/>
              <w:jc w:val="left"/>
              <w:rPr>
                <w:rFonts w:eastAsiaTheme="minorHAnsi"/>
                <w:noProof/>
                <w:szCs w:val="22"/>
              </w:rPr>
            </w:pPr>
            <w:r>
              <w:rPr>
                <w:b/>
                <w:i/>
                <w:noProof/>
              </w:rPr>
              <w:lastRenderedPageBreak/>
              <w:t>eIDAS</w:t>
            </w:r>
          </w:p>
        </w:tc>
        <w:tc>
          <w:tcPr>
            <w:tcW w:w="8979" w:type="dxa"/>
          </w:tcPr>
          <w:p>
            <w:pPr>
              <w:spacing w:before="0" w:after="200" w:line="276" w:lineRule="auto"/>
              <w:jc w:val="left"/>
              <w:rPr>
                <w:rFonts w:eastAsiaTheme="minorHAnsi"/>
                <w:noProof/>
                <w:szCs w:val="22"/>
              </w:rPr>
            </w:pPr>
            <w:r>
              <w:rPr>
                <w:noProof/>
              </w:rPr>
              <w:t>DAC RECAST nu este aliniată la actuala arhitectură eIDAS. Schimburile de mesaje XML în contextul schimbului automat de informații DAC între administrațiile naționale sunt sprijinite de CCN și CCN2. Se aplică securitatea pozitivă (</w:t>
            </w:r>
            <w:r>
              <w:rPr>
                <w:i/>
                <w:noProof/>
              </w:rPr>
              <w:t>white-list</w:t>
            </w:r>
            <w:r>
              <w:rPr>
                <w:noProof/>
              </w:rPr>
              <w:t>).</w:t>
            </w:r>
          </w:p>
        </w:tc>
      </w:tr>
      <w:tr>
        <w:tc>
          <w:tcPr>
            <w:tcW w:w="5098" w:type="dxa"/>
          </w:tcPr>
          <w:p>
            <w:pPr>
              <w:spacing w:before="0" w:after="200" w:line="276" w:lineRule="auto"/>
              <w:jc w:val="left"/>
              <w:rPr>
                <w:rFonts w:eastAsiaTheme="minorHAnsi"/>
                <w:noProof/>
                <w:szCs w:val="22"/>
              </w:rPr>
            </w:pPr>
            <w:r>
              <w:rPr>
                <w:b/>
                <w:i/>
                <w:noProof/>
              </w:rPr>
              <w:t>Portalul digital unic și IMI</w:t>
            </w:r>
          </w:p>
        </w:tc>
        <w:tc>
          <w:tcPr>
            <w:tcW w:w="8979" w:type="dxa"/>
          </w:tcPr>
          <w:p>
            <w:pPr>
              <w:spacing w:before="0" w:after="200" w:line="276" w:lineRule="auto"/>
              <w:jc w:val="left"/>
              <w:rPr>
                <w:rFonts w:eastAsiaTheme="minorHAnsi"/>
                <w:noProof/>
                <w:szCs w:val="22"/>
              </w:rPr>
            </w:pPr>
            <w:r>
              <w:rPr>
                <w:noProof/>
              </w:rPr>
              <w:t>Nu se aplică, în schimb se utilizează o infrastructură a Comisiei pentru schimbul de fișiere XML.</w:t>
            </w:r>
          </w:p>
        </w:tc>
      </w:tr>
      <w:tr>
        <w:tc>
          <w:tcPr>
            <w:tcW w:w="5098" w:type="dxa"/>
          </w:tcPr>
          <w:p>
            <w:pPr>
              <w:spacing w:before="0" w:after="200" w:line="276" w:lineRule="auto"/>
              <w:jc w:val="left"/>
              <w:rPr>
                <w:rFonts w:eastAsiaTheme="minorHAnsi"/>
                <w:noProof/>
                <w:szCs w:val="22"/>
              </w:rPr>
            </w:pPr>
            <w:r>
              <w:rPr>
                <w:b/>
                <w:i/>
                <w:noProof/>
              </w:rPr>
              <w:t>Altele</w:t>
            </w:r>
          </w:p>
        </w:tc>
        <w:tc>
          <w:tcPr>
            <w:tcW w:w="8979" w:type="dxa"/>
          </w:tcPr>
          <w:p>
            <w:pPr>
              <w:spacing w:before="0" w:after="200" w:line="276" w:lineRule="auto"/>
              <w:jc w:val="left"/>
              <w:rPr>
                <w:rFonts w:eastAsiaTheme="minorHAnsi"/>
                <w:noProof/>
                <w:szCs w:val="22"/>
              </w:rPr>
            </w:pPr>
            <w:r>
              <w:rPr>
                <w:noProof/>
              </w:rPr>
              <w:t>Nu se aplică</w:t>
            </w:r>
          </w:p>
        </w:tc>
      </w:tr>
    </w:tbl>
    <w:p>
      <w:pPr>
        <w:spacing w:before="0" w:after="200" w:line="276" w:lineRule="auto"/>
        <w:jc w:val="left"/>
        <w:rPr>
          <w:b/>
          <w:bCs/>
          <w:noProof/>
        </w:rPr>
      </w:pPr>
      <w:r>
        <w:rPr>
          <w:b/>
          <w:noProof/>
        </w:rPr>
        <w:t>Schimbul automat de informații</w:t>
      </w:r>
    </w:p>
    <w:tbl>
      <w:tblPr>
        <w:tblStyle w:val="TableGrid"/>
        <w:tblW w:w="14077" w:type="dxa"/>
        <w:tblLook w:val="04A0" w:firstRow="1" w:lastRow="0" w:firstColumn="1" w:lastColumn="0" w:noHBand="0" w:noVBand="1"/>
      </w:tblPr>
      <w:tblGrid>
        <w:gridCol w:w="5098"/>
        <w:gridCol w:w="8979"/>
      </w:tblGrid>
      <w:tr>
        <w:tc>
          <w:tcPr>
            <w:tcW w:w="5098" w:type="dxa"/>
          </w:tcPr>
          <w:p>
            <w:pPr>
              <w:spacing w:before="0" w:after="200" w:line="276" w:lineRule="auto"/>
              <w:jc w:val="left"/>
              <w:rPr>
                <w:rFonts w:eastAsiaTheme="minorHAnsi"/>
                <w:noProof/>
                <w:szCs w:val="22"/>
              </w:rPr>
            </w:pPr>
            <w:r>
              <w:rPr>
                <w:b/>
                <w:noProof/>
              </w:rPr>
              <w:t>Politica digitală și/sau sectorială (atunci când sunt aplicabile)</w:t>
            </w:r>
          </w:p>
        </w:tc>
        <w:tc>
          <w:tcPr>
            <w:tcW w:w="8979" w:type="dxa"/>
          </w:tcPr>
          <w:p>
            <w:pPr>
              <w:spacing w:before="0" w:after="200" w:line="276" w:lineRule="auto"/>
              <w:jc w:val="left"/>
              <w:rPr>
                <w:rFonts w:eastAsiaTheme="minorHAnsi"/>
                <w:b/>
                <w:bCs/>
                <w:noProof/>
                <w:szCs w:val="22"/>
              </w:rPr>
            </w:pPr>
            <w:r>
              <w:rPr>
                <w:b/>
                <w:noProof/>
              </w:rPr>
              <w:t>Explicarea modului în care se aliniază</w:t>
            </w:r>
          </w:p>
        </w:tc>
      </w:tr>
      <w:tr>
        <w:tc>
          <w:tcPr>
            <w:tcW w:w="5098" w:type="dxa"/>
          </w:tcPr>
          <w:p>
            <w:pPr>
              <w:spacing w:before="0" w:after="200" w:line="276" w:lineRule="auto"/>
              <w:jc w:val="left"/>
              <w:rPr>
                <w:rFonts w:eastAsiaTheme="minorHAnsi"/>
                <w:noProof/>
                <w:szCs w:val="22"/>
              </w:rPr>
            </w:pPr>
            <w:r>
              <w:rPr>
                <w:b/>
                <w:i/>
                <w:noProof/>
              </w:rPr>
              <w:t>Regulamentul privind IA</w:t>
            </w:r>
          </w:p>
        </w:tc>
        <w:tc>
          <w:tcPr>
            <w:tcW w:w="8979" w:type="dxa"/>
          </w:tcPr>
          <w:p>
            <w:pPr>
              <w:spacing w:before="0" w:after="200" w:line="276" w:lineRule="auto"/>
              <w:jc w:val="left"/>
              <w:rPr>
                <w:rFonts w:eastAsiaTheme="minorHAnsi"/>
                <w:noProof/>
                <w:szCs w:val="22"/>
              </w:rPr>
            </w:pPr>
            <w:r>
              <w:rPr>
                <w:noProof/>
              </w:rPr>
              <w:t>Nu se aplică</w:t>
            </w:r>
          </w:p>
        </w:tc>
      </w:tr>
      <w:tr>
        <w:tc>
          <w:tcPr>
            <w:tcW w:w="5098" w:type="dxa"/>
          </w:tcPr>
          <w:p>
            <w:pPr>
              <w:spacing w:before="0" w:after="200" w:line="276" w:lineRule="auto"/>
              <w:jc w:val="left"/>
              <w:rPr>
                <w:rFonts w:eastAsiaTheme="minorHAnsi"/>
                <w:noProof/>
                <w:szCs w:val="22"/>
              </w:rPr>
            </w:pPr>
            <w:r>
              <w:rPr>
                <w:b/>
                <w:i/>
                <w:noProof/>
              </w:rPr>
              <w:lastRenderedPageBreak/>
              <w:t>Cadrul UE privind securitatea cibernetică</w:t>
            </w:r>
          </w:p>
        </w:tc>
        <w:tc>
          <w:tcPr>
            <w:tcW w:w="8979" w:type="dxa"/>
          </w:tcPr>
          <w:p>
            <w:pPr>
              <w:spacing w:before="0" w:after="200" w:line="276" w:lineRule="auto"/>
              <w:jc w:val="left"/>
              <w:rPr>
                <w:rFonts w:eastAsiaTheme="minorHAnsi"/>
                <w:noProof/>
                <w:szCs w:val="22"/>
              </w:rPr>
            </w:pPr>
            <w:r>
              <w:rPr>
                <w:noProof/>
              </w:rPr>
              <w:t>Fără a aduce atingere directivei DAC reformate, statele membre asigură securitatea, integritatea, autenticitatea și confidențialitatea datelor colectate și stocate în scopul prezentei directive. </w:t>
            </w:r>
          </w:p>
          <w:p>
            <w:pPr>
              <w:spacing w:before="0" w:after="200" w:line="276" w:lineRule="auto"/>
              <w:jc w:val="left"/>
              <w:rPr>
                <w:rFonts w:eastAsiaTheme="minorHAnsi"/>
                <w:noProof/>
                <w:szCs w:val="22"/>
              </w:rPr>
            </w:pPr>
            <w:r>
              <w:rPr>
                <w:noProof/>
              </w:rPr>
              <w:t>Cadrul Directivei DAC reformate este aliniat la cadrul și arhitectura UE în materie de securitate cibernetică, deoarece aplică următoarele principii:</w:t>
            </w:r>
          </w:p>
          <w:p>
            <w:pPr>
              <w:spacing w:before="0" w:after="200" w:line="276" w:lineRule="auto"/>
              <w:jc w:val="left"/>
              <w:rPr>
                <w:rFonts w:eastAsiaTheme="minorHAnsi"/>
                <w:noProof/>
                <w:szCs w:val="22"/>
              </w:rPr>
            </w:pPr>
            <w:r>
              <w:rPr>
                <w:b/>
                <w:noProof/>
              </w:rPr>
              <w:t>1. Securitate începând cu momentul conceperii și în mod implicit (RGPD + NIS2)</w:t>
            </w:r>
            <w:r>
              <w:rPr>
                <w:noProof/>
              </w:rPr>
              <w:t xml:space="preserve"> cu</w:t>
            </w:r>
          </w:p>
          <w:p>
            <w:pPr>
              <w:spacing w:before="0" w:after="200" w:line="276" w:lineRule="auto"/>
              <w:jc w:val="left"/>
              <w:rPr>
                <w:rFonts w:eastAsiaTheme="minorHAnsi"/>
                <w:noProof/>
                <w:szCs w:val="22"/>
              </w:rPr>
            </w:pPr>
            <w:r>
              <w:rPr>
                <w:noProof/>
              </w:rPr>
              <w:t>Criptare de la un capăt la altul [de regulă, securitate pe nivelul de transport (TLS) sau echivalent]</w:t>
            </w:r>
          </w:p>
          <w:p>
            <w:pPr>
              <w:numPr>
                <w:ilvl w:val="0"/>
                <w:numId w:val="49"/>
              </w:numPr>
              <w:spacing w:before="0" w:after="200" w:line="276" w:lineRule="auto"/>
              <w:jc w:val="left"/>
              <w:rPr>
                <w:rFonts w:eastAsiaTheme="minorHAnsi"/>
                <w:noProof/>
                <w:szCs w:val="22"/>
              </w:rPr>
            </w:pPr>
            <w:r>
              <w:rPr>
                <w:noProof/>
              </w:rPr>
              <w:t>Protocoale de mesagerie securizată, cum ar fi CCN &amp; CCN2 Mail sau CCN/CSI</w:t>
            </w:r>
          </w:p>
          <w:p>
            <w:pPr>
              <w:numPr>
                <w:ilvl w:val="0"/>
                <w:numId w:val="49"/>
              </w:numPr>
              <w:spacing w:before="0" w:after="200" w:line="276" w:lineRule="auto"/>
              <w:jc w:val="left"/>
              <w:rPr>
                <w:rFonts w:eastAsiaTheme="minorHAnsi"/>
                <w:noProof/>
                <w:szCs w:val="22"/>
              </w:rPr>
            </w:pPr>
            <w:r>
              <w:rPr>
                <w:noProof/>
              </w:rPr>
              <w:t>Controlul riguros al accesului și autentificarea puternică (acces bazat pe roluri, autentificare CCN/CCN2)</w:t>
            </w:r>
          </w:p>
          <w:p>
            <w:pPr>
              <w:spacing w:before="0" w:after="200" w:line="276" w:lineRule="auto"/>
              <w:jc w:val="left"/>
              <w:rPr>
                <w:rFonts w:eastAsiaTheme="minorHAnsi"/>
                <w:noProof/>
                <w:szCs w:val="22"/>
              </w:rPr>
            </w:pPr>
            <w:r>
              <w:rPr>
                <w:noProof/>
              </w:rPr>
              <w:t>Acest lucru se aliniază la:</w:t>
            </w:r>
          </w:p>
          <w:p>
            <w:pPr>
              <w:numPr>
                <w:ilvl w:val="0"/>
                <w:numId w:val="50"/>
              </w:numPr>
              <w:spacing w:before="0" w:after="200" w:line="276" w:lineRule="auto"/>
              <w:jc w:val="left"/>
              <w:rPr>
                <w:rFonts w:eastAsiaTheme="minorHAnsi"/>
                <w:noProof/>
                <w:szCs w:val="22"/>
              </w:rPr>
            </w:pPr>
            <w:r>
              <w:rPr>
                <w:noProof/>
              </w:rPr>
              <w:t>Articolul 25 din RGPD (protecția datelor începând cu momentul conceperii/în mod implicit)</w:t>
            </w:r>
          </w:p>
          <w:p>
            <w:pPr>
              <w:numPr>
                <w:ilvl w:val="0"/>
                <w:numId w:val="50"/>
              </w:numPr>
              <w:spacing w:before="0" w:after="200" w:line="276" w:lineRule="auto"/>
              <w:jc w:val="left"/>
              <w:rPr>
                <w:rFonts w:eastAsiaTheme="minorHAnsi"/>
                <w:noProof/>
                <w:szCs w:val="22"/>
              </w:rPr>
            </w:pPr>
            <w:r>
              <w:rPr>
                <w:noProof/>
              </w:rPr>
              <w:t>Directiva NIS2 (securitatea rețelelor și a sistemelor informatice pentru entitățile critice)</w:t>
            </w:r>
          </w:p>
          <w:p>
            <w:pPr>
              <w:spacing w:before="0" w:after="200" w:line="276" w:lineRule="auto"/>
              <w:jc w:val="left"/>
              <w:rPr>
                <w:rFonts w:eastAsiaTheme="minorHAnsi"/>
                <w:b/>
                <w:bCs/>
                <w:noProof/>
                <w:szCs w:val="22"/>
              </w:rPr>
            </w:pPr>
            <w:r>
              <w:rPr>
                <w:b/>
                <w:noProof/>
              </w:rPr>
              <w:t>2. Utilizarea Infrastructurii de încredere a UE</w:t>
            </w:r>
          </w:p>
          <w:p>
            <w:pPr>
              <w:spacing w:before="0" w:after="200" w:line="276" w:lineRule="auto"/>
              <w:jc w:val="left"/>
              <w:rPr>
                <w:rFonts w:eastAsiaTheme="minorHAnsi"/>
                <w:noProof/>
                <w:szCs w:val="22"/>
              </w:rPr>
            </w:pPr>
            <w:r>
              <w:rPr>
                <w:noProof/>
              </w:rPr>
              <w:t>CCN &amp; CCN2 sunt gestionate de domeniul comun al Comisiei Europene (DG TAXUD), în cadrul unei guvernanțe IT stricte.</w:t>
            </w:r>
          </w:p>
          <w:p>
            <w:pPr>
              <w:numPr>
                <w:ilvl w:val="0"/>
                <w:numId w:val="51"/>
              </w:numPr>
              <w:spacing w:before="0" w:after="200" w:line="276" w:lineRule="auto"/>
              <w:jc w:val="left"/>
              <w:rPr>
                <w:rFonts w:eastAsiaTheme="minorHAnsi"/>
                <w:noProof/>
                <w:szCs w:val="22"/>
              </w:rPr>
            </w:pPr>
            <w:r>
              <w:rPr>
                <w:noProof/>
              </w:rPr>
              <w:t xml:space="preserve">CCN &amp; CCN2 utilizează rețele exclusiv guvernamentale, în buclă închisă, izolate </w:t>
            </w:r>
            <w:r>
              <w:rPr>
                <w:noProof/>
              </w:rPr>
              <w:lastRenderedPageBreak/>
              <w:t>de internetul public.</w:t>
            </w:r>
          </w:p>
          <w:p>
            <w:pPr>
              <w:numPr>
                <w:ilvl w:val="0"/>
                <w:numId w:val="51"/>
              </w:numPr>
              <w:spacing w:before="0" w:after="200" w:line="276" w:lineRule="auto"/>
              <w:jc w:val="left"/>
              <w:rPr>
                <w:rFonts w:eastAsiaTheme="minorHAnsi"/>
                <w:noProof/>
                <w:szCs w:val="22"/>
              </w:rPr>
            </w:pPr>
            <w:r>
              <w:rPr>
                <w:noProof/>
              </w:rPr>
              <w:t>Numai sistemele naționale certificate se pot conecta prin intermediul CCN și CCN2.</w:t>
            </w:r>
          </w:p>
          <w:p>
            <w:pPr>
              <w:spacing w:before="0" w:after="200" w:line="276" w:lineRule="auto"/>
              <w:jc w:val="left"/>
              <w:rPr>
                <w:rFonts w:eastAsiaTheme="minorHAnsi"/>
                <w:noProof/>
                <w:szCs w:val="22"/>
              </w:rPr>
            </w:pPr>
            <w:r>
              <w:rPr>
                <w:noProof/>
              </w:rPr>
              <w:t>În acest fel se sprijină:</w:t>
            </w:r>
          </w:p>
          <w:p>
            <w:pPr>
              <w:numPr>
                <w:ilvl w:val="0"/>
                <w:numId w:val="52"/>
              </w:numPr>
              <w:spacing w:before="0" w:after="200" w:line="276" w:lineRule="auto"/>
              <w:jc w:val="left"/>
              <w:rPr>
                <w:rFonts w:eastAsiaTheme="minorHAnsi"/>
                <w:noProof/>
                <w:szCs w:val="22"/>
              </w:rPr>
            </w:pPr>
            <w:r>
              <w:rPr>
                <w:noProof/>
              </w:rPr>
              <w:t>Orientările ENISA privind infrastructurile de încredere</w:t>
            </w:r>
          </w:p>
          <w:p>
            <w:pPr>
              <w:numPr>
                <w:ilvl w:val="0"/>
                <w:numId w:val="52"/>
              </w:numPr>
              <w:spacing w:before="0" w:after="200" w:line="276" w:lineRule="auto"/>
              <w:jc w:val="left"/>
              <w:rPr>
                <w:rFonts w:eastAsiaTheme="minorHAnsi"/>
                <w:noProof/>
                <w:szCs w:val="22"/>
              </w:rPr>
            </w:pPr>
            <w:r>
              <w:rPr>
                <w:noProof/>
              </w:rPr>
              <w:t>Obiectivul programului „Europa digitală” privind cloud-ul suveran al UE și rețelele</w:t>
            </w:r>
          </w:p>
          <w:p>
            <w:pPr>
              <w:spacing w:before="0" w:after="200" w:line="276" w:lineRule="auto"/>
              <w:jc w:val="left"/>
              <w:rPr>
                <w:rFonts w:eastAsiaTheme="minorHAnsi"/>
                <w:b/>
                <w:bCs/>
                <w:noProof/>
                <w:szCs w:val="22"/>
              </w:rPr>
            </w:pPr>
            <w:r>
              <w:rPr>
                <w:b/>
                <w:noProof/>
              </w:rPr>
              <w:t>3. Monitorizare, jurnalizare &amp; răspuns la incidente</w:t>
            </w:r>
          </w:p>
          <w:p>
            <w:pPr>
              <w:spacing w:before="0" w:after="200" w:line="276" w:lineRule="auto"/>
              <w:jc w:val="left"/>
              <w:rPr>
                <w:rFonts w:eastAsiaTheme="minorHAnsi"/>
                <w:noProof/>
                <w:szCs w:val="22"/>
              </w:rPr>
            </w:pPr>
            <w:r>
              <w:rPr>
                <w:noProof/>
              </w:rPr>
              <w:t>Toate fluxurile de date DAC (de exemplu, în temeiul DAC7/DAC8/DAC9) transmise prin intermediul CCN &amp; CCN2 sunt:</w:t>
            </w:r>
          </w:p>
          <w:p>
            <w:pPr>
              <w:numPr>
                <w:ilvl w:val="0"/>
                <w:numId w:val="53"/>
              </w:numPr>
              <w:spacing w:before="0" w:after="200" w:line="276" w:lineRule="auto"/>
              <w:jc w:val="left"/>
              <w:rPr>
                <w:rFonts w:eastAsiaTheme="minorHAnsi"/>
                <w:noProof/>
                <w:szCs w:val="22"/>
              </w:rPr>
            </w:pPr>
            <w:r>
              <w:rPr>
                <w:noProof/>
              </w:rPr>
              <w:t>Monitorizate în timp real</w:t>
            </w:r>
          </w:p>
          <w:p>
            <w:pPr>
              <w:numPr>
                <w:ilvl w:val="0"/>
                <w:numId w:val="53"/>
              </w:numPr>
              <w:spacing w:before="0" w:after="200" w:line="276" w:lineRule="auto"/>
              <w:jc w:val="left"/>
              <w:rPr>
                <w:rFonts w:eastAsiaTheme="minorHAnsi"/>
                <w:noProof/>
                <w:szCs w:val="22"/>
              </w:rPr>
            </w:pPr>
            <w:r>
              <w:rPr>
                <w:noProof/>
              </w:rPr>
              <w:t>Jurnalizate în mod securizat în vederea auditului</w:t>
            </w:r>
          </w:p>
          <w:p>
            <w:pPr>
              <w:numPr>
                <w:ilvl w:val="0"/>
                <w:numId w:val="53"/>
              </w:numPr>
              <w:spacing w:before="0" w:after="200" w:line="276" w:lineRule="auto"/>
              <w:jc w:val="left"/>
              <w:rPr>
                <w:rFonts w:eastAsiaTheme="minorHAnsi"/>
                <w:noProof/>
                <w:szCs w:val="22"/>
              </w:rPr>
            </w:pPr>
            <w:r>
              <w:rPr>
                <w:noProof/>
              </w:rPr>
              <w:t>Susținute de protocoale de răspuns la incidente</w:t>
            </w:r>
          </w:p>
          <w:p>
            <w:pPr>
              <w:spacing w:before="0" w:after="200" w:line="276" w:lineRule="auto"/>
              <w:jc w:val="left"/>
              <w:rPr>
                <w:rFonts w:eastAsiaTheme="minorHAnsi"/>
                <w:noProof/>
                <w:szCs w:val="22"/>
              </w:rPr>
            </w:pPr>
            <w:r>
              <w:rPr>
                <w:noProof/>
              </w:rPr>
              <w:t>Statele membre trebuie să raporteze incidentele cibernetice sau evenimentele de securitate cibernetică prin canale coordonate în temeiul legislației aplicabile a Uniunii.</w:t>
            </w:r>
          </w:p>
          <w:p>
            <w:pPr>
              <w:spacing w:before="0" w:after="200" w:line="276" w:lineRule="auto"/>
              <w:jc w:val="left"/>
              <w:rPr>
                <w:rFonts w:eastAsiaTheme="minorHAnsi"/>
                <w:b/>
                <w:bCs/>
                <w:noProof/>
                <w:szCs w:val="22"/>
              </w:rPr>
            </w:pPr>
            <w:r>
              <w:rPr>
                <w:b/>
                <w:noProof/>
              </w:rPr>
              <w:t>4. Interoperabilitate &amp; Standardizare</w:t>
            </w:r>
          </w:p>
          <w:p>
            <w:pPr>
              <w:spacing w:before="0" w:after="200" w:line="276" w:lineRule="auto"/>
              <w:jc w:val="left"/>
              <w:rPr>
                <w:rFonts w:eastAsiaTheme="minorHAnsi"/>
                <w:noProof/>
                <w:szCs w:val="22"/>
              </w:rPr>
            </w:pPr>
            <w:r>
              <w:rPr>
                <w:noProof/>
              </w:rPr>
              <w:t>CCN &amp; CCN2 utilizează:</w:t>
            </w:r>
          </w:p>
          <w:p>
            <w:pPr>
              <w:numPr>
                <w:ilvl w:val="0"/>
                <w:numId w:val="54"/>
              </w:numPr>
              <w:spacing w:before="0" w:after="200" w:line="276" w:lineRule="auto"/>
              <w:jc w:val="left"/>
              <w:rPr>
                <w:rFonts w:eastAsiaTheme="minorHAnsi"/>
                <w:noProof/>
                <w:szCs w:val="22"/>
              </w:rPr>
            </w:pPr>
            <w:r>
              <w:rPr>
                <w:noProof/>
              </w:rPr>
              <w:t>Scheme XML standardizate</w:t>
            </w:r>
          </w:p>
          <w:p>
            <w:pPr>
              <w:numPr>
                <w:ilvl w:val="0"/>
                <w:numId w:val="54"/>
              </w:numPr>
              <w:spacing w:before="0" w:after="200" w:line="276" w:lineRule="auto"/>
              <w:jc w:val="left"/>
              <w:rPr>
                <w:rFonts w:eastAsiaTheme="minorHAnsi"/>
                <w:noProof/>
                <w:szCs w:val="22"/>
              </w:rPr>
            </w:pPr>
            <w:r>
              <w:rPr>
                <w:noProof/>
              </w:rPr>
              <w:t>Mecanisme de validare standardizate</w:t>
            </w:r>
          </w:p>
          <w:p>
            <w:pPr>
              <w:numPr>
                <w:ilvl w:val="0"/>
                <w:numId w:val="54"/>
              </w:numPr>
              <w:spacing w:before="0" w:after="200" w:line="276" w:lineRule="auto"/>
              <w:jc w:val="left"/>
              <w:rPr>
                <w:rFonts w:eastAsiaTheme="minorHAnsi"/>
                <w:noProof/>
                <w:szCs w:val="22"/>
              </w:rPr>
            </w:pPr>
            <w:r>
              <w:rPr>
                <w:noProof/>
              </w:rPr>
              <w:lastRenderedPageBreak/>
              <w:t>Certificate securizate standardizate pentru semnarea mesajelor</w:t>
            </w:r>
          </w:p>
          <w:p>
            <w:pPr>
              <w:spacing w:before="0" w:after="200" w:line="276" w:lineRule="auto"/>
              <w:jc w:val="left"/>
              <w:rPr>
                <w:rFonts w:eastAsiaTheme="minorHAnsi"/>
                <w:noProof/>
                <w:szCs w:val="22"/>
              </w:rPr>
            </w:pPr>
            <w:r>
              <w:rPr>
                <w:noProof/>
              </w:rPr>
              <w:t>CCN și CCN2 permit:</w:t>
            </w:r>
          </w:p>
          <w:p>
            <w:pPr>
              <w:numPr>
                <w:ilvl w:val="0"/>
                <w:numId w:val="55"/>
              </w:numPr>
              <w:spacing w:before="0" w:after="200" w:line="276" w:lineRule="auto"/>
              <w:jc w:val="left"/>
              <w:rPr>
                <w:rFonts w:eastAsiaTheme="minorHAnsi"/>
                <w:noProof/>
                <w:szCs w:val="22"/>
              </w:rPr>
            </w:pPr>
            <w:r>
              <w:rPr>
                <w:noProof/>
              </w:rPr>
              <w:t>Autentificarea securizată și serviciile de încredere</w:t>
            </w:r>
          </w:p>
          <w:p>
            <w:pPr>
              <w:numPr>
                <w:ilvl w:val="0"/>
                <w:numId w:val="55"/>
              </w:numPr>
              <w:spacing w:before="0" w:after="200" w:line="276" w:lineRule="auto"/>
              <w:jc w:val="left"/>
              <w:rPr>
                <w:rFonts w:eastAsiaTheme="minorHAnsi"/>
                <w:noProof/>
                <w:szCs w:val="22"/>
              </w:rPr>
            </w:pPr>
            <w:r>
              <w:rPr>
                <w:noProof/>
              </w:rPr>
              <w:t>Cadrele de interoperabilitate</w:t>
            </w:r>
          </w:p>
          <w:p>
            <w:pPr>
              <w:spacing w:before="0" w:after="200" w:line="276" w:lineRule="auto"/>
              <w:jc w:val="left"/>
              <w:rPr>
                <w:rFonts w:eastAsiaTheme="minorHAnsi"/>
                <w:b/>
                <w:bCs/>
                <w:noProof/>
                <w:szCs w:val="22"/>
              </w:rPr>
            </w:pPr>
            <w:r>
              <w:rPr>
                <w:b/>
                <w:noProof/>
              </w:rPr>
              <w:t>5. Continuitatea activității &amp; redundanță</w:t>
            </w:r>
          </w:p>
          <w:p>
            <w:pPr>
              <w:spacing w:before="0" w:after="200" w:line="276" w:lineRule="auto"/>
              <w:jc w:val="left"/>
              <w:rPr>
                <w:rFonts w:eastAsiaTheme="minorHAnsi"/>
                <w:noProof/>
                <w:szCs w:val="22"/>
              </w:rPr>
            </w:pPr>
            <w:r>
              <w:rPr>
                <w:noProof/>
              </w:rPr>
              <w:t>CCN și CCN2 asigură sisteme redundante și capacități de siguranță (</w:t>
            </w:r>
            <w:r>
              <w:rPr>
                <w:i/>
                <w:noProof/>
              </w:rPr>
              <w:t>failover</w:t>
            </w:r>
            <w:r>
              <w:rPr>
                <w:noProof/>
              </w:rPr>
              <w:t>) pentru serviciile critice, cum ar fi schimburile de date fiscale.</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Alinierea în materie de securitate cibernetică a sistemelor DAC poate fi evaluată în raport cu principiile de bază ale cadrului de securitate cibernetică al UE, inclusiv cu Directiva NIS2, cu orientările ENISA și cu principiile UE privind încrederea, reziliența și suveranitatea digitală.</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1. Principiul securității de la stadiul conceperii și al gestionării riscurilor</w:t>
            </w:r>
          </w:p>
          <w:p>
            <w:pPr>
              <w:spacing w:before="0" w:after="200" w:line="276" w:lineRule="auto"/>
              <w:jc w:val="left"/>
              <w:rPr>
                <w:rFonts w:eastAsiaTheme="minorHAnsi"/>
                <w:noProof/>
                <w:szCs w:val="22"/>
              </w:rPr>
            </w:pPr>
            <w:r>
              <w:rPr>
                <w:noProof/>
              </w:rPr>
              <w:t>Sistemele DAC sunt concepute ca sisteme de informații distribuite și securizate de la stadiul conceperii, în care controalele de securitate cibernetică sunt integrate în arhitectură și operațiuni.</w:t>
            </w:r>
          </w:p>
          <w:p>
            <w:pPr>
              <w:numPr>
                <w:ilvl w:val="0"/>
                <w:numId w:val="56"/>
              </w:numPr>
              <w:spacing w:before="0" w:after="200" w:line="276" w:lineRule="auto"/>
              <w:jc w:val="left"/>
              <w:rPr>
                <w:rFonts w:eastAsiaTheme="minorHAnsi"/>
                <w:noProof/>
                <w:szCs w:val="22"/>
              </w:rPr>
            </w:pPr>
            <w:r>
              <w:rPr>
                <w:noProof/>
              </w:rPr>
              <w:t>Cerințele de securitate sunt integrate în proiectarea sistemelor pentru toate sistemele DAC</w:t>
            </w:r>
          </w:p>
          <w:p>
            <w:pPr>
              <w:numPr>
                <w:ilvl w:val="0"/>
                <w:numId w:val="56"/>
              </w:numPr>
              <w:spacing w:before="0" w:after="200" w:line="276" w:lineRule="auto"/>
              <w:jc w:val="left"/>
              <w:rPr>
                <w:rFonts w:eastAsiaTheme="minorHAnsi"/>
                <w:noProof/>
                <w:szCs w:val="22"/>
              </w:rPr>
            </w:pPr>
            <w:r>
              <w:rPr>
                <w:noProof/>
              </w:rPr>
              <w:t xml:space="preserve">Abordările bazate pe riscuri reglementează sensibilitatea schimbului de date (de </w:t>
            </w:r>
            <w:r>
              <w:rPr>
                <w:noProof/>
              </w:rPr>
              <w:lastRenderedPageBreak/>
              <w:t>exemplu, date financiare vs. date administrative)</w:t>
            </w:r>
          </w:p>
          <w:p>
            <w:pPr>
              <w:numPr>
                <w:ilvl w:val="0"/>
                <w:numId w:val="56"/>
              </w:numPr>
              <w:spacing w:before="0" w:after="200" w:line="276" w:lineRule="auto"/>
              <w:jc w:val="left"/>
              <w:rPr>
                <w:rFonts w:eastAsiaTheme="minorHAnsi"/>
                <w:noProof/>
                <w:szCs w:val="22"/>
              </w:rPr>
            </w:pPr>
            <w:r>
              <w:rPr>
                <w:noProof/>
              </w:rPr>
              <w:t>Statele membre pun în aplicare controale naționale în concordanță cu cerințele de coordonare la nivelul UE</w:t>
            </w:r>
          </w:p>
          <w:p>
            <w:pPr>
              <w:numPr>
                <w:ilvl w:val="0"/>
                <w:numId w:val="56"/>
              </w:numPr>
              <w:spacing w:before="0" w:after="200" w:line="276" w:lineRule="auto"/>
              <w:jc w:val="left"/>
              <w:rPr>
                <w:rFonts w:eastAsiaTheme="minorHAnsi"/>
                <w:noProof/>
                <w:szCs w:val="22"/>
              </w:rPr>
            </w:pPr>
            <w:r>
              <w:rPr>
                <w:noProof/>
              </w:rPr>
              <w:t>Evaluarea continuă a riscurilor sprijină adaptarea la amenințările cibernetice în continuă evoluție</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2. Principiul confidențialității, integrității și disponibilității („triada CIA”)</w:t>
            </w:r>
          </w:p>
          <w:p>
            <w:pPr>
              <w:spacing w:before="0" w:after="200" w:line="276" w:lineRule="auto"/>
              <w:jc w:val="left"/>
              <w:rPr>
                <w:rFonts w:eastAsiaTheme="minorHAnsi"/>
                <w:noProof/>
                <w:szCs w:val="22"/>
              </w:rPr>
            </w:pPr>
            <w:r>
              <w:rPr>
                <w:noProof/>
              </w:rPr>
              <w:t>Sistemele DAC asigură protecția datelor fiscale prin intermediul principiilor fundamentale de securitate cibernetică:</w:t>
            </w:r>
          </w:p>
          <w:p>
            <w:pPr>
              <w:numPr>
                <w:ilvl w:val="0"/>
                <w:numId w:val="57"/>
              </w:numPr>
              <w:spacing w:before="0" w:after="200" w:line="276" w:lineRule="auto"/>
              <w:jc w:val="left"/>
              <w:rPr>
                <w:rFonts w:eastAsiaTheme="minorHAnsi"/>
                <w:noProof/>
                <w:szCs w:val="22"/>
              </w:rPr>
            </w:pPr>
            <w:r>
              <w:rPr>
                <w:noProof/>
              </w:rPr>
              <w:t>Confidențialitate: Accesul este strict limitat la autoritățile fiscale autorizate în temeiul mandatelor legale</w:t>
            </w:r>
          </w:p>
          <w:p>
            <w:pPr>
              <w:numPr>
                <w:ilvl w:val="0"/>
                <w:numId w:val="57"/>
              </w:numPr>
              <w:spacing w:before="0" w:after="200" w:line="276" w:lineRule="auto"/>
              <w:jc w:val="left"/>
              <w:rPr>
                <w:rFonts w:eastAsiaTheme="minorHAnsi"/>
                <w:noProof/>
                <w:szCs w:val="22"/>
              </w:rPr>
            </w:pPr>
            <w:r>
              <w:rPr>
                <w:noProof/>
              </w:rPr>
              <w:t>Integritate: Formatele standardizate și procesele de validare asigură acuratețea datelor și previn manipularea frauduloasă a acestora</w:t>
            </w:r>
          </w:p>
          <w:p>
            <w:pPr>
              <w:numPr>
                <w:ilvl w:val="0"/>
                <w:numId w:val="57"/>
              </w:numPr>
              <w:spacing w:before="0" w:after="200" w:line="276" w:lineRule="auto"/>
              <w:jc w:val="left"/>
              <w:rPr>
                <w:rFonts w:eastAsiaTheme="minorHAnsi"/>
                <w:noProof/>
                <w:szCs w:val="22"/>
              </w:rPr>
            </w:pPr>
            <w:r>
              <w:rPr>
                <w:noProof/>
              </w:rPr>
              <w:t>Disponibilitate: Infrastructurile de comunicații securizate asigură schimbul transfrontalier continuu de date</w:t>
            </w:r>
          </w:p>
          <w:p>
            <w:pPr>
              <w:spacing w:before="0" w:after="200" w:line="276" w:lineRule="auto"/>
              <w:jc w:val="left"/>
              <w:rPr>
                <w:rFonts w:eastAsiaTheme="minorHAnsi"/>
                <w:noProof/>
                <w:szCs w:val="22"/>
              </w:rPr>
            </w:pPr>
            <w:r>
              <w:rPr>
                <w:noProof/>
              </w:rPr>
              <w:t>Aceste principii sunt aplicate în mod consecvent în toate sistemele DAC, indiferent de tipul sau frecvența datelor.</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3. Principiul încrederii și al schimbului controlat de date</w:t>
            </w:r>
          </w:p>
          <w:p>
            <w:pPr>
              <w:spacing w:before="0" w:after="200" w:line="276" w:lineRule="auto"/>
              <w:jc w:val="left"/>
              <w:rPr>
                <w:rFonts w:eastAsiaTheme="minorHAnsi"/>
                <w:noProof/>
                <w:szCs w:val="22"/>
              </w:rPr>
            </w:pPr>
            <w:r>
              <w:rPr>
                <w:noProof/>
              </w:rPr>
              <w:t xml:space="preserve">Sistemele DAC operaționalizează cooperarea digitală și bazată pe încredere între statele </w:t>
            </w:r>
            <w:r>
              <w:rPr>
                <w:noProof/>
              </w:rPr>
              <w:lastRenderedPageBreak/>
              <w:t>membre.</w:t>
            </w:r>
          </w:p>
          <w:p>
            <w:pPr>
              <w:numPr>
                <w:ilvl w:val="0"/>
                <w:numId w:val="58"/>
              </w:numPr>
              <w:spacing w:before="0" w:after="200" w:line="276" w:lineRule="auto"/>
              <w:jc w:val="left"/>
              <w:rPr>
                <w:rFonts w:eastAsiaTheme="minorHAnsi"/>
                <w:noProof/>
                <w:szCs w:val="22"/>
              </w:rPr>
            </w:pPr>
            <w:r>
              <w:rPr>
                <w:noProof/>
              </w:rPr>
              <w:t>Schimbul de date are loc numai între autoritățile competente verificate</w:t>
            </w:r>
          </w:p>
          <w:p>
            <w:pPr>
              <w:numPr>
                <w:ilvl w:val="0"/>
                <w:numId w:val="58"/>
              </w:numPr>
              <w:spacing w:before="0" w:after="200" w:line="276" w:lineRule="auto"/>
              <w:jc w:val="left"/>
              <w:rPr>
                <w:rFonts w:eastAsiaTheme="minorHAnsi"/>
                <w:noProof/>
                <w:szCs w:val="22"/>
              </w:rPr>
            </w:pPr>
            <w:r>
              <w:rPr>
                <w:noProof/>
              </w:rPr>
              <w:t>Cadrele juridice definesc limitarea scopului și drepturile de acces</w:t>
            </w:r>
          </w:p>
          <w:p>
            <w:pPr>
              <w:numPr>
                <w:ilvl w:val="0"/>
                <w:numId w:val="58"/>
              </w:numPr>
              <w:spacing w:before="0" w:after="200" w:line="276" w:lineRule="auto"/>
              <w:jc w:val="left"/>
              <w:rPr>
                <w:rFonts w:eastAsiaTheme="minorHAnsi"/>
                <w:noProof/>
                <w:szCs w:val="22"/>
              </w:rPr>
            </w:pPr>
            <w:r>
              <w:rPr>
                <w:noProof/>
              </w:rPr>
              <w:t>Interoperabilitatea controlată asigură faptul că datele fiscale sensibile sunt partajate numai în cadrul unui ecosistem de încredere al sectorului public</w:t>
            </w:r>
          </w:p>
          <w:p>
            <w:pPr>
              <w:numPr>
                <w:ilvl w:val="0"/>
                <w:numId w:val="58"/>
              </w:numPr>
              <w:spacing w:before="0" w:after="200" w:line="276" w:lineRule="auto"/>
              <w:jc w:val="left"/>
              <w:rPr>
                <w:rFonts w:eastAsiaTheme="minorHAnsi"/>
                <w:noProof/>
                <w:szCs w:val="22"/>
              </w:rPr>
            </w:pPr>
            <w:r>
              <w:rPr>
                <w:noProof/>
              </w:rPr>
              <w:t>DAC5 extinde principiile încrederii prin permiterea accesului reglementat la datele operative obținute în temeiul legislației privind combaterea spălării banilor</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t>4. Principiul rezilienței și continuității serviciilor</w:t>
            </w:r>
          </w:p>
          <w:p>
            <w:pPr>
              <w:spacing w:before="0" w:after="200" w:line="276" w:lineRule="auto"/>
              <w:jc w:val="left"/>
              <w:rPr>
                <w:rFonts w:eastAsiaTheme="minorHAnsi"/>
                <w:noProof/>
                <w:szCs w:val="22"/>
              </w:rPr>
            </w:pPr>
            <w:r>
              <w:rPr>
                <w:noProof/>
              </w:rPr>
              <w:t>Infrastructurile DAC sunt concepute pentru a asigura reziliența cibernetică a operațiunilor din sectorul public.</w:t>
            </w:r>
          </w:p>
          <w:p>
            <w:pPr>
              <w:numPr>
                <w:ilvl w:val="0"/>
                <w:numId w:val="59"/>
              </w:numPr>
              <w:spacing w:before="0" w:after="200" w:line="276" w:lineRule="auto"/>
              <w:jc w:val="left"/>
              <w:rPr>
                <w:rFonts w:eastAsiaTheme="minorHAnsi"/>
                <w:noProof/>
                <w:szCs w:val="22"/>
              </w:rPr>
            </w:pPr>
            <w:r>
              <w:rPr>
                <w:noProof/>
              </w:rPr>
              <w:t>Canalele de comunicare redundante și securizate sprijină fluxurile neîntrerupte de date</w:t>
            </w:r>
          </w:p>
          <w:p>
            <w:pPr>
              <w:numPr>
                <w:ilvl w:val="0"/>
                <w:numId w:val="59"/>
              </w:numPr>
              <w:spacing w:before="0" w:after="200" w:line="276" w:lineRule="auto"/>
              <w:jc w:val="left"/>
              <w:rPr>
                <w:rFonts w:eastAsiaTheme="minorHAnsi"/>
                <w:noProof/>
                <w:szCs w:val="22"/>
              </w:rPr>
            </w:pPr>
            <w:r>
              <w:rPr>
                <w:noProof/>
              </w:rPr>
              <w:t>Mecanismele de rezervă și de recuperare asigură continuitatea în caz de perturbare</w:t>
            </w:r>
          </w:p>
          <w:p>
            <w:pPr>
              <w:numPr>
                <w:ilvl w:val="0"/>
                <w:numId w:val="59"/>
              </w:numPr>
              <w:spacing w:before="0" w:after="200" w:line="276" w:lineRule="auto"/>
              <w:jc w:val="left"/>
              <w:rPr>
                <w:rFonts w:eastAsiaTheme="minorHAnsi"/>
                <w:noProof/>
                <w:szCs w:val="22"/>
              </w:rPr>
            </w:pPr>
            <w:r>
              <w:rPr>
                <w:noProof/>
              </w:rPr>
              <w:t>Sistemele sunt concepute pentru a menține funcționalitatea în cazul unor incidente cibernetice sau al unei sarcini operaționale ridicate</w:t>
            </w:r>
          </w:p>
          <w:p>
            <w:pPr>
              <w:numPr>
                <w:ilvl w:val="0"/>
                <w:numId w:val="59"/>
              </w:numPr>
              <w:spacing w:before="0" w:after="200" w:line="276" w:lineRule="auto"/>
              <w:jc w:val="left"/>
              <w:rPr>
                <w:rFonts w:eastAsiaTheme="minorHAnsi"/>
                <w:noProof/>
                <w:szCs w:val="22"/>
              </w:rPr>
            </w:pPr>
            <w:r>
              <w:rPr>
                <w:noProof/>
              </w:rPr>
              <w:t>Sprijină cerința NIS2 privind reziliența serviciilor digitale esențiale</w:t>
            </w:r>
          </w:p>
          <w:p>
            <w:pPr>
              <w:spacing w:before="0" w:after="200" w:line="276" w:lineRule="auto"/>
              <w:jc w:val="left"/>
              <w:rPr>
                <w:rFonts w:eastAsiaTheme="minorHAnsi"/>
                <w:noProof/>
                <w:szCs w:val="22"/>
                <w:lang w:eastAsia="en-US"/>
              </w:rPr>
            </w:pPr>
          </w:p>
          <w:p>
            <w:pPr>
              <w:spacing w:before="0" w:after="200" w:line="276" w:lineRule="auto"/>
              <w:jc w:val="left"/>
              <w:rPr>
                <w:rFonts w:eastAsiaTheme="minorHAnsi"/>
                <w:noProof/>
                <w:szCs w:val="22"/>
              </w:rPr>
            </w:pPr>
            <w:r>
              <w:rPr>
                <w:noProof/>
              </w:rPr>
              <w:lastRenderedPageBreak/>
              <w:t>5. Principiul interoperabilității securizate</w:t>
            </w:r>
          </w:p>
          <w:p>
            <w:pPr>
              <w:spacing w:before="0" w:after="200" w:line="276" w:lineRule="auto"/>
              <w:jc w:val="left"/>
              <w:rPr>
                <w:rFonts w:eastAsiaTheme="minorHAnsi"/>
                <w:noProof/>
                <w:szCs w:val="22"/>
              </w:rPr>
            </w:pPr>
            <w:r>
              <w:rPr>
                <w:noProof/>
              </w:rPr>
              <w:t>Sistemele DAC permit interoperabilitatea transfrontalieră fără a compromite securitatea.</w:t>
            </w:r>
          </w:p>
          <w:p>
            <w:pPr>
              <w:numPr>
                <w:ilvl w:val="0"/>
                <w:numId w:val="60"/>
              </w:numPr>
              <w:spacing w:before="0" w:after="200" w:line="276" w:lineRule="auto"/>
              <w:jc w:val="left"/>
              <w:rPr>
                <w:rFonts w:eastAsiaTheme="minorHAnsi"/>
                <w:noProof/>
                <w:szCs w:val="22"/>
              </w:rPr>
            </w:pPr>
            <w:r>
              <w:rPr>
                <w:noProof/>
              </w:rPr>
              <w:t>Modelele de date standardizate (SCR, ETR, CbCR, MDR, DPI, CARF, GIR, schemele de raportare DAC) reduc riscurile asociate integrării</w:t>
            </w:r>
          </w:p>
          <w:p>
            <w:pPr>
              <w:numPr>
                <w:ilvl w:val="0"/>
                <w:numId w:val="60"/>
              </w:numPr>
              <w:spacing w:before="0" w:after="200" w:line="276" w:lineRule="auto"/>
              <w:jc w:val="left"/>
              <w:rPr>
                <w:rFonts w:eastAsiaTheme="minorHAnsi"/>
                <w:noProof/>
                <w:szCs w:val="22"/>
              </w:rPr>
            </w:pPr>
            <w:r>
              <w:rPr>
                <w:noProof/>
              </w:rPr>
              <w:t>Semantica armonizată îmbunătățește compatibilitatea sistemelor între statele membre</w:t>
            </w:r>
          </w:p>
          <w:p>
            <w:pPr>
              <w:numPr>
                <w:ilvl w:val="0"/>
                <w:numId w:val="60"/>
              </w:numPr>
              <w:spacing w:before="0" w:after="200" w:line="276" w:lineRule="auto"/>
              <w:jc w:val="left"/>
              <w:rPr>
                <w:rFonts w:eastAsiaTheme="minorHAnsi"/>
                <w:noProof/>
                <w:szCs w:val="22"/>
              </w:rPr>
            </w:pPr>
            <w:r>
              <w:rPr>
                <w:noProof/>
              </w:rPr>
              <w:t>Interfețele securizate de programare a aplicațiilor și protocoalele securizate de comunicare permit integrarea sistem-la-sistem</w:t>
            </w:r>
          </w:p>
          <w:p>
            <w:pPr>
              <w:numPr>
                <w:ilvl w:val="0"/>
                <w:numId w:val="60"/>
              </w:numPr>
              <w:spacing w:before="0" w:after="200" w:line="276" w:lineRule="auto"/>
              <w:jc w:val="left"/>
              <w:rPr>
                <w:rFonts w:eastAsiaTheme="minorHAnsi"/>
                <w:noProof/>
                <w:szCs w:val="22"/>
              </w:rPr>
            </w:pPr>
            <w:r>
              <w:rPr>
                <w:noProof/>
              </w:rPr>
              <w:t>Interoperabilitatea este pusă în aplicare cu controale de securitate integrate, mai degrabă decât adăugate extern</w:t>
            </w:r>
          </w:p>
          <w:p>
            <w:pPr>
              <w:spacing w:before="0" w:after="200" w:line="276" w:lineRule="auto"/>
              <w:jc w:val="left"/>
              <w:rPr>
                <w:rFonts w:eastAsiaTheme="minorHAnsi"/>
                <w:noProof/>
                <w:szCs w:val="22"/>
              </w:rPr>
            </w:pPr>
            <w:r>
              <w:rPr>
                <w:noProof/>
              </w:rPr>
              <w:t>6. Principiul răspunderii și al guvernanței</w:t>
            </w:r>
          </w:p>
          <w:p>
            <w:pPr>
              <w:spacing w:before="0" w:after="200" w:line="276" w:lineRule="auto"/>
              <w:jc w:val="left"/>
              <w:rPr>
                <w:rFonts w:eastAsiaTheme="minorHAnsi"/>
                <w:noProof/>
                <w:szCs w:val="22"/>
              </w:rPr>
            </w:pPr>
            <w:r>
              <w:rPr>
                <w:noProof/>
              </w:rPr>
              <w:t>Sistemele DAC funcționează pe baza unui model de guvernanță comun la nivelul UE și la nivel național.</w:t>
            </w:r>
          </w:p>
          <w:p>
            <w:pPr>
              <w:numPr>
                <w:ilvl w:val="0"/>
                <w:numId w:val="61"/>
              </w:numPr>
              <w:spacing w:before="0" w:after="200" w:line="276" w:lineRule="auto"/>
              <w:jc w:val="left"/>
              <w:rPr>
                <w:rFonts w:eastAsiaTheme="minorHAnsi"/>
                <w:noProof/>
                <w:szCs w:val="22"/>
              </w:rPr>
            </w:pPr>
            <w:r>
              <w:rPr>
                <w:noProof/>
              </w:rPr>
              <w:t>Statele membre sunt responsabile de securizarea sistemelor naționale de informații fiscale</w:t>
            </w:r>
          </w:p>
          <w:p>
            <w:pPr>
              <w:numPr>
                <w:ilvl w:val="0"/>
                <w:numId w:val="61"/>
              </w:numPr>
              <w:spacing w:before="0" w:after="200" w:line="276" w:lineRule="auto"/>
              <w:jc w:val="left"/>
              <w:rPr>
                <w:rFonts w:eastAsiaTheme="minorHAnsi"/>
                <w:noProof/>
                <w:szCs w:val="22"/>
              </w:rPr>
            </w:pPr>
            <w:r>
              <w:rPr>
                <w:noProof/>
              </w:rPr>
              <w:t>Coordonarea la nivelul UE asigură standarde armonizate de punere în aplicare</w:t>
            </w:r>
          </w:p>
          <w:p>
            <w:pPr>
              <w:numPr>
                <w:ilvl w:val="0"/>
                <w:numId w:val="61"/>
              </w:numPr>
              <w:spacing w:before="0" w:after="200" w:line="276" w:lineRule="auto"/>
              <w:jc w:val="left"/>
              <w:rPr>
                <w:rFonts w:eastAsiaTheme="minorHAnsi"/>
                <w:noProof/>
                <w:szCs w:val="22"/>
              </w:rPr>
            </w:pPr>
            <w:r>
              <w:rPr>
                <w:noProof/>
              </w:rPr>
              <w:t>Posibilitatea auditării și mecanismele de trasabilitate sprijină răspunderea în ceea ce privește schimburile de date</w:t>
            </w:r>
          </w:p>
          <w:p>
            <w:pPr>
              <w:numPr>
                <w:ilvl w:val="0"/>
                <w:numId w:val="61"/>
              </w:numPr>
              <w:spacing w:before="0" w:after="200" w:line="276" w:lineRule="auto"/>
              <w:jc w:val="left"/>
              <w:rPr>
                <w:rFonts w:eastAsiaTheme="minorHAnsi"/>
                <w:noProof/>
                <w:szCs w:val="22"/>
              </w:rPr>
            </w:pPr>
            <w:r>
              <w:rPr>
                <w:noProof/>
              </w:rPr>
              <w:t xml:space="preserve">Obligațiile de raportare a incidentelor se aliniază la cerințele UE de gestionare a </w:t>
            </w:r>
            <w:r>
              <w:rPr>
                <w:noProof/>
              </w:rPr>
              <w:lastRenderedPageBreak/>
              <w:t>incidentelor cibernetice</w:t>
            </w:r>
          </w:p>
          <w:p>
            <w:pPr>
              <w:spacing w:before="0" w:after="200" w:line="276" w:lineRule="auto"/>
              <w:jc w:val="left"/>
              <w:rPr>
                <w:rFonts w:eastAsiaTheme="minorHAnsi"/>
                <w:noProof/>
                <w:szCs w:val="22"/>
              </w:rPr>
            </w:pPr>
            <w:r>
              <w:rPr>
                <w:noProof/>
              </w:rPr>
              <w:t>7. Principiul protecției datelor și al limitării scopului</w:t>
            </w:r>
          </w:p>
          <w:p>
            <w:pPr>
              <w:spacing w:before="0" w:after="200" w:line="276" w:lineRule="auto"/>
              <w:jc w:val="left"/>
              <w:rPr>
                <w:rFonts w:eastAsiaTheme="minorHAnsi"/>
                <w:noProof/>
                <w:szCs w:val="22"/>
              </w:rPr>
            </w:pPr>
            <w:r>
              <w:rPr>
                <w:noProof/>
              </w:rPr>
              <w:t>Securitatea cibernetică în sistemele DAC este strâns legată de garanțiile juridice pentru datele sensibile.</w:t>
            </w:r>
          </w:p>
          <w:p>
            <w:pPr>
              <w:numPr>
                <w:ilvl w:val="0"/>
                <w:numId w:val="62"/>
              </w:numPr>
              <w:spacing w:before="0" w:after="200" w:line="276" w:lineRule="auto"/>
              <w:jc w:val="left"/>
              <w:rPr>
                <w:rFonts w:eastAsiaTheme="minorHAnsi"/>
                <w:noProof/>
                <w:szCs w:val="22"/>
              </w:rPr>
            </w:pPr>
            <w:r>
              <w:rPr>
                <w:noProof/>
              </w:rPr>
              <w:t>Accesul este limitat la scopuri fiscale și de aplicare a legislației definite</w:t>
            </w:r>
          </w:p>
          <w:p>
            <w:pPr>
              <w:numPr>
                <w:ilvl w:val="0"/>
                <w:numId w:val="62"/>
              </w:numPr>
              <w:spacing w:before="0" w:after="200" w:line="276" w:lineRule="auto"/>
              <w:jc w:val="left"/>
              <w:rPr>
                <w:rFonts w:eastAsiaTheme="minorHAnsi"/>
                <w:noProof/>
                <w:szCs w:val="22"/>
              </w:rPr>
            </w:pPr>
            <w:r>
              <w:rPr>
                <w:noProof/>
              </w:rPr>
              <w:t>Utilizarea datelor este limitată de cadrele juridice ale UE (inclusiv de RGPD, după caz)</w:t>
            </w:r>
          </w:p>
          <w:p>
            <w:pPr>
              <w:numPr>
                <w:ilvl w:val="0"/>
                <w:numId w:val="62"/>
              </w:numPr>
              <w:spacing w:before="0" w:after="200" w:line="276" w:lineRule="auto"/>
              <w:jc w:val="left"/>
              <w:rPr>
                <w:rFonts w:eastAsiaTheme="minorHAnsi"/>
                <w:noProof/>
                <w:szCs w:val="22"/>
              </w:rPr>
            </w:pPr>
            <w:r>
              <w:rPr>
                <w:noProof/>
              </w:rPr>
              <w:t>Controlul accesului bazat pe roluri asigură principiul celor mai mici privilegii</w:t>
            </w:r>
          </w:p>
          <w:p>
            <w:pPr>
              <w:numPr>
                <w:ilvl w:val="0"/>
                <w:numId w:val="62"/>
              </w:numPr>
              <w:spacing w:before="0" w:after="200" w:line="276" w:lineRule="auto"/>
              <w:jc w:val="left"/>
              <w:rPr>
                <w:rFonts w:eastAsiaTheme="minorHAnsi"/>
                <w:noProof/>
                <w:szCs w:val="22"/>
              </w:rPr>
            </w:pPr>
            <w:r>
              <w:rPr>
                <w:noProof/>
              </w:rPr>
              <w:t>Jurnalizarea și monitorizarea sprijină conformitatea și detectarea utilizării necorespunzătoare</w:t>
            </w:r>
          </w:p>
        </w:tc>
      </w:tr>
      <w:tr>
        <w:tc>
          <w:tcPr>
            <w:tcW w:w="5098" w:type="dxa"/>
          </w:tcPr>
          <w:p>
            <w:pPr>
              <w:spacing w:before="0" w:after="200" w:line="276" w:lineRule="auto"/>
              <w:jc w:val="left"/>
              <w:rPr>
                <w:rFonts w:eastAsiaTheme="minorHAnsi"/>
                <w:noProof/>
                <w:szCs w:val="22"/>
              </w:rPr>
            </w:pPr>
            <w:r>
              <w:rPr>
                <w:b/>
                <w:i/>
                <w:noProof/>
              </w:rPr>
              <w:lastRenderedPageBreak/>
              <w:t>eIDAS</w:t>
            </w:r>
          </w:p>
        </w:tc>
        <w:tc>
          <w:tcPr>
            <w:tcW w:w="8979" w:type="dxa"/>
          </w:tcPr>
          <w:p>
            <w:pPr>
              <w:spacing w:before="0" w:after="200" w:line="276" w:lineRule="auto"/>
              <w:jc w:val="left"/>
              <w:rPr>
                <w:rFonts w:eastAsiaTheme="minorHAnsi"/>
                <w:noProof/>
                <w:szCs w:val="22"/>
              </w:rPr>
            </w:pPr>
            <w:r>
              <w:rPr>
                <w:noProof/>
              </w:rPr>
              <w:t>Nealiniat la eIDAS. Schimbul automat de informații în contextul DAC8 se bazează pe schimbul de mesaje XML între utilizatorii autentificați ai administrațiilor naționale prin intermediul CCN. Se aplică securitatea pozitivă (</w:t>
            </w:r>
            <w:r>
              <w:rPr>
                <w:i/>
                <w:noProof/>
              </w:rPr>
              <w:t>white-list</w:t>
            </w:r>
            <w:r>
              <w:rPr>
                <w:noProof/>
              </w:rPr>
              <w:t>).</w:t>
            </w:r>
          </w:p>
        </w:tc>
      </w:tr>
      <w:tr>
        <w:tc>
          <w:tcPr>
            <w:tcW w:w="5098" w:type="dxa"/>
          </w:tcPr>
          <w:p>
            <w:pPr>
              <w:spacing w:before="0" w:after="200" w:line="276" w:lineRule="auto"/>
              <w:jc w:val="left"/>
              <w:rPr>
                <w:rFonts w:eastAsiaTheme="minorHAnsi"/>
                <w:noProof/>
                <w:szCs w:val="22"/>
              </w:rPr>
            </w:pPr>
            <w:r>
              <w:rPr>
                <w:b/>
                <w:i/>
                <w:noProof/>
              </w:rPr>
              <w:t>Portalul digital unic și IMI</w:t>
            </w:r>
          </w:p>
        </w:tc>
        <w:tc>
          <w:tcPr>
            <w:tcW w:w="8979" w:type="dxa"/>
          </w:tcPr>
          <w:p>
            <w:pPr>
              <w:spacing w:before="0" w:after="200" w:line="276" w:lineRule="auto"/>
              <w:jc w:val="left"/>
              <w:rPr>
                <w:rFonts w:eastAsiaTheme="minorHAnsi"/>
                <w:noProof/>
                <w:szCs w:val="22"/>
              </w:rPr>
            </w:pPr>
            <w:r>
              <w:rPr>
                <w:noProof/>
              </w:rPr>
              <w:t>Nu se aplică, se utilizează în schimb o infrastructură a Comisiei.</w:t>
            </w:r>
          </w:p>
        </w:tc>
      </w:tr>
      <w:tr>
        <w:tc>
          <w:tcPr>
            <w:tcW w:w="5098" w:type="dxa"/>
          </w:tcPr>
          <w:p>
            <w:pPr>
              <w:spacing w:before="0" w:after="200" w:line="276" w:lineRule="auto"/>
              <w:jc w:val="left"/>
              <w:rPr>
                <w:rFonts w:eastAsiaTheme="minorHAnsi"/>
                <w:noProof/>
                <w:szCs w:val="22"/>
              </w:rPr>
            </w:pPr>
            <w:r>
              <w:rPr>
                <w:b/>
                <w:i/>
                <w:noProof/>
              </w:rPr>
              <w:t>Altele</w:t>
            </w:r>
          </w:p>
        </w:tc>
        <w:tc>
          <w:tcPr>
            <w:tcW w:w="8979" w:type="dxa"/>
          </w:tcPr>
          <w:p>
            <w:pPr>
              <w:spacing w:before="0" w:after="200" w:line="276" w:lineRule="auto"/>
              <w:jc w:val="left"/>
              <w:rPr>
                <w:rFonts w:eastAsiaTheme="minorHAnsi"/>
                <w:noProof/>
                <w:szCs w:val="22"/>
              </w:rPr>
            </w:pPr>
            <w:r>
              <w:rPr>
                <w:noProof/>
              </w:rPr>
              <w:t>Nu se aplică</w:t>
            </w:r>
          </w:p>
        </w:tc>
      </w:tr>
    </w:tbl>
    <w:p>
      <w:pPr>
        <w:spacing w:before="0" w:after="200" w:line="276" w:lineRule="auto"/>
        <w:jc w:val="left"/>
        <w:rPr>
          <w:noProof/>
        </w:rPr>
      </w:pPr>
    </w:p>
    <w:p>
      <w:pPr>
        <w:keepNext/>
        <w:spacing w:before="0" w:after="200" w:line="276" w:lineRule="auto"/>
        <w:jc w:val="left"/>
        <w:rPr>
          <w:b/>
          <w:bCs/>
          <w:noProof/>
        </w:rPr>
      </w:pPr>
      <w:bookmarkStart w:id="244" w:name="_Toc167220304"/>
      <w:bookmarkStart w:id="245" w:name="_Toc177549040"/>
      <w:r>
        <w:rPr>
          <w:b/>
          <w:noProof/>
        </w:rPr>
        <w:lastRenderedPageBreak/>
        <w:t>4.4.</w:t>
      </w:r>
      <w:r>
        <w:rPr>
          <w:noProof/>
        </w:rPr>
        <w:tab/>
      </w:r>
      <w:r>
        <w:rPr>
          <w:b/>
          <w:noProof/>
        </w:rPr>
        <w:t>Evaluarea interoperabilității</w:t>
      </w:r>
      <w:bookmarkEnd w:id="244"/>
      <w:bookmarkEnd w:id="245"/>
    </w:p>
    <w:tbl>
      <w:tblPr>
        <w:tblStyle w:val="TableGrid"/>
        <w:tblW w:w="14454" w:type="dxa"/>
        <w:tblLook w:val="04A0" w:firstRow="1" w:lastRow="0" w:firstColumn="1" w:lastColumn="0" w:noHBand="0" w:noVBand="1"/>
      </w:tblPr>
      <w:tblGrid>
        <w:gridCol w:w="2258"/>
        <w:gridCol w:w="3956"/>
        <w:gridCol w:w="1878"/>
        <w:gridCol w:w="2404"/>
        <w:gridCol w:w="3958"/>
      </w:tblGrid>
      <w:tr>
        <w:trPr>
          <w:trHeight w:val="300"/>
        </w:trPr>
        <w:tc>
          <w:tcPr>
            <w:tcW w:w="2258" w:type="dxa"/>
          </w:tcPr>
          <w:p>
            <w:pPr>
              <w:keepNext/>
              <w:spacing w:before="0" w:after="200" w:line="276" w:lineRule="auto"/>
              <w:jc w:val="left"/>
              <w:rPr>
                <w:rFonts w:eastAsiaTheme="minorHAnsi"/>
                <w:b/>
                <w:bCs/>
                <w:noProof/>
                <w:szCs w:val="22"/>
              </w:rPr>
            </w:pPr>
            <w:r>
              <w:rPr>
                <w:b/>
                <w:noProof/>
              </w:rPr>
              <w:t>Serviciul public digital sau categoria de servicii publice digitale</w:t>
            </w:r>
          </w:p>
        </w:tc>
        <w:tc>
          <w:tcPr>
            <w:tcW w:w="3956" w:type="dxa"/>
          </w:tcPr>
          <w:p>
            <w:pPr>
              <w:keepNext/>
              <w:spacing w:before="0" w:after="200" w:line="276" w:lineRule="auto"/>
              <w:jc w:val="left"/>
              <w:rPr>
                <w:rFonts w:eastAsiaTheme="minorHAnsi"/>
                <w:b/>
                <w:bCs/>
                <w:noProof/>
                <w:szCs w:val="22"/>
              </w:rPr>
            </w:pPr>
            <w:r>
              <w:rPr>
                <w:b/>
                <w:noProof/>
              </w:rPr>
              <w:t>Descriere</w:t>
            </w:r>
          </w:p>
        </w:tc>
        <w:tc>
          <w:tcPr>
            <w:tcW w:w="1878" w:type="dxa"/>
          </w:tcPr>
          <w:p>
            <w:pPr>
              <w:keepNext/>
              <w:spacing w:before="0" w:after="200" w:line="276" w:lineRule="auto"/>
              <w:jc w:val="left"/>
              <w:rPr>
                <w:rFonts w:eastAsiaTheme="minorHAnsi"/>
                <w:b/>
                <w:bCs/>
                <w:noProof/>
                <w:szCs w:val="22"/>
              </w:rPr>
            </w:pPr>
            <w:r>
              <w:rPr>
                <w:b/>
                <w:noProof/>
              </w:rPr>
              <w:t>Referința cerinței (referințele cerințelor)</w:t>
            </w:r>
          </w:p>
        </w:tc>
        <w:tc>
          <w:tcPr>
            <w:tcW w:w="2404" w:type="dxa"/>
          </w:tcPr>
          <w:p>
            <w:pPr>
              <w:keepNext/>
              <w:spacing w:before="0" w:after="200" w:line="276" w:lineRule="auto"/>
              <w:jc w:val="left"/>
              <w:rPr>
                <w:rFonts w:eastAsiaTheme="minorHAnsi"/>
                <w:b/>
                <w:bCs/>
                <w:noProof/>
                <w:szCs w:val="22"/>
              </w:rPr>
            </w:pPr>
            <w:r>
              <w:rPr>
                <w:b/>
                <w:noProof/>
              </w:rPr>
              <w:t xml:space="preserve">Soluție (soluții) pentru Europa interoperabilă </w:t>
            </w:r>
          </w:p>
        </w:tc>
        <w:tc>
          <w:tcPr>
            <w:tcW w:w="3958" w:type="dxa"/>
          </w:tcPr>
          <w:p>
            <w:pPr>
              <w:keepNext/>
              <w:spacing w:before="0" w:after="200" w:line="276" w:lineRule="auto"/>
              <w:jc w:val="left"/>
              <w:rPr>
                <w:rFonts w:eastAsiaTheme="minorHAnsi"/>
                <w:b/>
                <w:bCs/>
                <w:noProof/>
                <w:szCs w:val="22"/>
              </w:rPr>
            </w:pPr>
            <w:r>
              <w:rPr>
                <w:b/>
                <w:noProof/>
              </w:rPr>
              <w:t>Alte soluții de interoperabilitate</w:t>
            </w:r>
          </w:p>
        </w:tc>
      </w:tr>
      <w:tr>
        <w:trPr>
          <w:trHeight w:val="300"/>
        </w:trPr>
        <w:tc>
          <w:tcPr>
            <w:tcW w:w="2258" w:type="dxa"/>
          </w:tcPr>
          <w:p>
            <w:pPr>
              <w:spacing w:before="0" w:after="200" w:line="276" w:lineRule="auto"/>
              <w:jc w:val="left"/>
              <w:rPr>
                <w:rFonts w:eastAsiaTheme="minorHAnsi"/>
                <w:noProof/>
                <w:szCs w:val="22"/>
              </w:rPr>
            </w:pPr>
            <w:r>
              <w:rPr>
                <w:noProof/>
              </w:rPr>
              <w:t>Schimbul automat de informații privind venitul</w:t>
            </w:r>
          </w:p>
        </w:tc>
        <w:tc>
          <w:tcPr>
            <w:tcW w:w="3956" w:type="dxa"/>
          </w:tcPr>
          <w:p>
            <w:pPr>
              <w:spacing w:before="0" w:after="200" w:line="276" w:lineRule="auto"/>
              <w:jc w:val="left"/>
              <w:rPr>
                <w:rFonts w:eastAsiaTheme="minorHAnsi"/>
                <w:noProof/>
                <w:szCs w:val="22"/>
              </w:rPr>
            </w:pPr>
            <w:r>
              <w:rPr>
                <w:noProof/>
              </w:rPr>
              <w:t>Schimbul transfrontalier structurat de categorii de venituri predefinite (venituri din muncă, pensii, venituri din proprietate etc.) între autoritățile fiscale, în mod periodic.</w:t>
            </w:r>
          </w:p>
        </w:tc>
        <w:tc>
          <w:tcPr>
            <w:tcW w:w="1878" w:type="dxa"/>
          </w:tcPr>
          <w:p>
            <w:pPr>
              <w:spacing w:before="0" w:after="200" w:line="276" w:lineRule="auto"/>
              <w:jc w:val="left"/>
              <w:rPr>
                <w:rFonts w:eastAsiaTheme="minorHAnsi"/>
                <w:noProof/>
                <w:szCs w:val="22"/>
              </w:rPr>
            </w:pPr>
            <w:r>
              <w:rPr>
                <w:noProof/>
              </w:rPr>
              <w:t>Art. 4.</w:t>
            </w:r>
          </w:p>
          <w:p>
            <w:pPr>
              <w:spacing w:before="0" w:after="200" w:line="276" w:lineRule="auto"/>
              <w:jc w:val="left"/>
              <w:rPr>
                <w:rFonts w:eastAsiaTheme="minorHAnsi"/>
                <w:noProof/>
                <w:szCs w:val="22"/>
                <w:lang w:eastAsia="en-US"/>
              </w:rPr>
            </w:pPr>
          </w:p>
        </w:tc>
        <w:tc>
          <w:tcPr>
            <w:tcW w:w="2404" w:type="dxa"/>
          </w:tcPr>
          <w:p>
            <w:pPr>
              <w:spacing w:before="0" w:after="200" w:line="276" w:lineRule="auto"/>
              <w:jc w:val="left"/>
              <w:rPr>
                <w:rFonts w:eastAsiaTheme="minorHAnsi"/>
                <w:noProof/>
                <w:szCs w:val="22"/>
              </w:rPr>
            </w:pPr>
            <w:r>
              <w:rPr>
                <w:noProof/>
              </w:rPr>
              <w:t>Scheme comune structurate de date fiscale; rețeaua de schimb securizată CCN/CSI; standardizarea semantică a categoriilor fiscale</w:t>
            </w:r>
          </w:p>
        </w:tc>
        <w:tc>
          <w:tcPr>
            <w:tcW w:w="3958" w:type="dxa"/>
          </w:tcPr>
          <w:p>
            <w:pPr>
              <w:spacing w:before="0" w:after="200" w:line="276" w:lineRule="auto"/>
              <w:jc w:val="left"/>
              <w:rPr>
                <w:rFonts w:eastAsiaTheme="minorHAnsi"/>
                <w:noProof/>
                <w:szCs w:val="22"/>
              </w:rPr>
            </w:pPr>
            <w:r>
              <w:rPr>
                <w:noProof/>
              </w:rPr>
              <w:t>Sistemele administrațiilor fiscale naționale; canale securizate de comunicare între autorități; sisteme de identificare a contribuabililor (corelare pe bază de NIF)</w:t>
            </w:r>
          </w:p>
        </w:tc>
      </w:tr>
      <w:tr>
        <w:trPr>
          <w:trHeight w:val="300"/>
        </w:trPr>
        <w:tc>
          <w:tcPr>
            <w:tcW w:w="2258" w:type="dxa"/>
          </w:tcPr>
          <w:p>
            <w:pPr>
              <w:spacing w:before="0" w:after="200" w:line="276" w:lineRule="auto"/>
              <w:jc w:val="left"/>
              <w:rPr>
                <w:rFonts w:eastAsiaTheme="minorHAnsi"/>
                <w:noProof/>
                <w:szCs w:val="22"/>
              </w:rPr>
            </w:pPr>
            <w:r>
              <w:rPr>
                <w:noProof/>
              </w:rPr>
              <w:t>Schimbul de informații privind conturile financiare (SCR)</w:t>
            </w:r>
          </w:p>
        </w:tc>
        <w:tc>
          <w:tcPr>
            <w:tcW w:w="3956" w:type="dxa"/>
          </w:tcPr>
          <w:p>
            <w:pPr>
              <w:spacing w:before="0" w:after="200" w:line="276" w:lineRule="auto"/>
              <w:jc w:val="left"/>
              <w:rPr>
                <w:rFonts w:eastAsiaTheme="minorHAnsi"/>
                <w:noProof/>
                <w:szCs w:val="22"/>
              </w:rPr>
            </w:pPr>
            <w:r>
              <w:rPr>
                <w:noProof/>
              </w:rPr>
              <w:t>Schimbul automat de date privind conturile financiare (solduri, dobânzi, dividende) raportate de instituțiile financiare autorităților fiscale</w:t>
            </w:r>
          </w:p>
        </w:tc>
        <w:tc>
          <w:tcPr>
            <w:tcW w:w="1878" w:type="dxa"/>
          </w:tcPr>
          <w:p>
            <w:pPr>
              <w:spacing w:before="0" w:after="200" w:line="276" w:lineRule="auto"/>
              <w:jc w:val="left"/>
              <w:rPr>
                <w:rFonts w:eastAsiaTheme="minorHAnsi"/>
                <w:noProof/>
                <w:szCs w:val="22"/>
              </w:rPr>
            </w:pPr>
            <w:r>
              <w:rPr>
                <w:noProof/>
              </w:rPr>
              <w:t>Art. 5</w:t>
            </w:r>
          </w:p>
        </w:tc>
        <w:tc>
          <w:tcPr>
            <w:tcW w:w="2404" w:type="dxa"/>
          </w:tcPr>
          <w:p>
            <w:pPr>
              <w:spacing w:before="0" w:after="200" w:line="276" w:lineRule="auto"/>
              <w:jc w:val="left"/>
              <w:rPr>
                <w:rFonts w:eastAsiaTheme="minorHAnsi"/>
                <w:noProof/>
                <w:szCs w:val="22"/>
              </w:rPr>
            </w:pPr>
            <w:r>
              <w:rPr>
                <w:noProof/>
              </w:rPr>
              <w:t>Schema Standardului comun de raportare (SCR) al OCDE; sistemele securizate de schimb de loturi; taxonomia standardizată de raportare financiară</w:t>
            </w:r>
          </w:p>
        </w:tc>
        <w:tc>
          <w:tcPr>
            <w:tcW w:w="3958" w:type="dxa"/>
          </w:tcPr>
          <w:p>
            <w:pPr>
              <w:spacing w:before="0" w:after="200" w:line="276" w:lineRule="auto"/>
              <w:jc w:val="left"/>
              <w:rPr>
                <w:rFonts w:eastAsiaTheme="minorHAnsi"/>
                <w:noProof/>
                <w:szCs w:val="22"/>
              </w:rPr>
            </w:pPr>
            <w:r>
              <w:rPr>
                <w:noProof/>
              </w:rPr>
              <w:t>Sistemele de raportare bancară; depozitele de date fiscale naționale; motoare de validare și de reconciliere</w:t>
            </w:r>
          </w:p>
        </w:tc>
      </w:tr>
      <w:tr>
        <w:trPr>
          <w:trHeight w:val="300"/>
        </w:trPr>
        <w:tc>
          <w:tcPr>
            <w:tcW w:w="2258" w:type="dxa"/>
          </w:tcPr>
          <w:p>
            <w:pPr>
              <w:spacing w:before="0" w:after="200" w:line="276" w:lineRule="auto"/>
              <w:jc w:val="left"/>
              <w:rPr>
                <w:rFonts w:eastAsiaTheme="minorHAnsi"/>
                <w:noProof/>
                <w:szCs w:val="22"/>
              </w:rPr>
            </w:pPr>
            <w:r>
              <w:rPr>
                <w:noProof/>
              </w:rPr>
              <w:t xml:space="preserve">Schimbul de decizii fiscale și de acorduri prealabile privind </w:t>
            </w:r>
            <w:r>
              <w:rPr>
                <w:noProof/>
              </w:rPr>
              <w:lastRenderedPageBreak/>
              <w:t>prețul de transfer</w:t>
            </w:r>
          </w:p>
        </w:tc>
        <w:tc>
          <w:tcPr>
            <w:tcW w:w="3956" w:type="dxa"/>
          </w:tcPr>
          <w:p>
            <w:pPr>
              <w:spacing w:before="0" w:after="200" w:line="276" w:lineRule="auto"/>
              <w:jc w:val="left"/>
              <w:rPr>
                <w:rFonts w:eastAsiaTheme="minorHAnsi"/>
                <w:noProof/>
                <w:szCs w:val="22"/>
              </w:rPr>
            </w:pPr>
            <w:r>
              <w:rPr>
                <w:noProof/>
              </w:rPr>
              <w:lastRenderedPageBreak/>
              <w:t xml:space="preserve">Schimbul de metadate privind deciziile fiscale transfrontaliere și acordurile prealabile privind prețul de transfer prin intermediul unui index </w:t>
            </w:r>
            <w:r>
              <w:rPr>
                <w:noProof/>
              </w:rPr>
              <w:lastRenderedPageBreak/>
              <w:t>centralizat la nivelul UE.</w:t>
            </w:r>
          </w:p>
        </w:tc>
        <w:tc>
          <w:tcPr>
            <w:tcW w:w="1878" w:type="dxa"/>
          </w:tcPr>
          <w:p>
            <w:pPr>
              <w:spacing w:before="0" w:after="200" w:line="276" w:lineRule="auto"/>
              <w:jc w:val="left"/>
              <w:rPr>
                <w:rFonts w:eastAsiaTheme="minorHAnsi"/>
                <w:noProof/>
                <w:szCs w:val="22"/>
              </w:rPr>
            </w:pPr>
            <w:r>
              <w:rPr>
                <w:noProof/>
              </w:rPr>
              <w:lastRenderedPageBreak/>
              <w:t>Art. 6</w:t>
            </w:r>
          </w:p>
        </w:tc>
        <w:tc>
          <w:tcPr>
            <w:tcW w:w="2404" w:type="dxa"/>
          </w:tcPr>
          <w:p>
            <w:pPr>
              <w:spacing w:before="0" w:after="200" w:line="276" w:lineRule="auto"/>
              <w:jc w:val="left"/>
              <w:rPr>
                <w:rFonts w:eastAsiaTheme="minorHAnsi"/>
                <w:noProof/>
                <w:szCs w:val="22"/>
              </w:rPr>
            </w:pPr>
            <w:r>
              <w:rPr>
                <w:noProof/>
              </w:rPr>
              <w:t xml:space="preserve">Registrul central al UE de decizii fiscale (index care utilizează metadate); schema </w:t>
            </w:r>
            <w:r>
              <w:rPr>
                <w:noProof/>
              </w:rPr>
              <w:lastRenderedPageBreak/>
              <w:t>standardizată de clasificare a deciziilor</w:t>
            </w:r>
          </w:p>
        </w:tc>
        <w:tc>
          <w:tcPr>
            <w:tcW w:w="3958" w:type="dxa"/>
          </w:tcPr>
          <w:p>
            <w:pPr>
              <w:spacing w:before="0" w:after="200" w:line="276" w:lineRule="auto"/>
              <w:jc w:val="left"/>
              <w:rPr>
                <w:rFonts w:eastAsiaTheme="minorHAnsi"/>
                <w:noProof/>
                <w:szCs w:val="22"/>
              </w:rPr>
            </w:pPr>
            <w:r>
              <w:rPr>
                <w:noProof/>
              </w:rPr>
              <w:lastRenderedPageBreak/>
              <w:t xml:space="preserve">Bazele de date privind deciziile fiscale naționale; instrumente de analiză a riscurilor la nivel transfrontalier; sisteme structurate de extragere a </w:t>
            </w:r>
            <w:r>
              <w:rPr>
                <w:noProof/>
              </w:rPr>
              <w:lastRenderedPageBreak/>
              <w:t>metadatelor</w:t>
            </w:r>
          </w:p>
        </w:tc>
      </w:tr>
      <w:tr>
        <w:trPr>
          <w:trHeight w:val="300"/>
        </w:trPr>
        <w:tc>
          <w:tcPr>
            <w:tcW w:w="2258" w:type="dxa"/>
          </w:tcPr>
          <w:p>
            <w:pPr>
              <w:spacing w:before="0" w:after="200" w:line="276" w:lineRule="auto"/>
              <w:jc w:val="left"/>
              <w:rPr>
                <w:rFonts w:eastAsiaTheme="minorHAnsi"/>
                <w:noProof/>
                <w:szCs w:val="22"/>
              </w:rPr>
            </w:pPr>
            <w:r>
              <w:rPr>
                <w:noProof/>
              </w:rPr>
              <w:lastRenderedPageBreak/>
              <w:t>Raportarea pentru fiecare țară în parte</w:t>
            </w:r>
          </w:p>
        </w:tc>
        <w:tc>
          <w:tcPr>
            <w:tcW w:w="3956" w:type="dxa"/>
          </w:tcPr>
          <w:p>
            <w:pPr>
              <w:spacing w:before="0" w:after="200" w:line="276" w:lineRule="auto"/>
              <w:jc w:val="left"/>
              <w:rPr>
                <w:rFonts w:eastAsiaTheme="minorHAnsi"/>
                <w:noProof/>
                <w:szCs w:val="22"/>
              </w:rPr>
            </w:pPr>
            <w:r>
              <w:rPr>
                <w:noProof/>
              </w:rPr>
              <w:t>Schimbul de rapoarte privind întreprinderile multinaționale care conțin date financiare și fiscale agregate pentru fiecare jurisdicție</w:t>
            </w:r>
          </w:p>
        </w:tc>
        <w:tc>
          <w:tcPr>
            <w:tcW w:w="1878" w:type="dxa"/>
          </w:tcPr>
          <w:p>
            <w:pPr>
              <w:spacing w:before="0" w:after="200" w:line="276" w:lineRule="auto"/>
              <w:jc w:val="left"/>
              <w:rPr>
                <w:rFonts w:eastAsiaTheme="minorHAnsi"/>
                <w:noProof/>
                <w:szCs w:val="22"/>
              </w:rPr>
            </w:pPr>
            <w:r>
              <w:rPr>
                <w:noProof/>
              </w:rPr>
              <w:t>Art. 7</w:t>
            </w:r>
          </w:p>
        </w:tc>
        <w:tc>
          <w:tcPr>
            <w:tcW w:w="2404" w:type="dxa"/>
          </w:tcPr>
          <w:p>
            <w:pPr>
              <w:spacing w:before="0" w:after="200" w:line="276" w:lineRule="auto"/>
              <w:jc w:val="left"/>
              <w:rPr>
                <w:rFonts w:eastAsiaTheme="minorHAnsi"/>
                <w:noProof/>
                <w:szCs w:val="22"/>
              </w:rPr>
            </w:pPr>
            <w:r>
              <w:rPr>
                <w:noProof/>
              </w:rPr>
              <w:t>Schema XML pentru raportarea pentru fiecare țară în parte; modele standardizate pentru raportarea de către întreprinderi; canale securizate de schimb la nivelul UE</w:t>
            </w:r>
          </w:p>
        </w:tc>
        <w:tc>
          <w:tcPr>
            <w:tcW w:w="3958" w:type="dxa"/>
          </w:tcPr>
          <w:p>
            <w:pPr>
              <w:spacing w:before="0" w:after="200" w:line="276" w:lineRule="auto"/>
              <w:jc w:val="left"/>
              <w:rPr>
                <w:rFonts w:eastAsiaTheme="minorHAnsi"/>
                <w:noProof/>
                <w:szCs w:val="22"/>
              </w:rPr>
            </w:pPr>
            <w:r>
              <w:rPr>
                <w:noProof/>
              </w:rPr>
              <w:t>Sisteme ERP/contabile ale întreprinderilor; sisteme de consolidare fiscală; instrumente de analiză a prețurilor de transfer</w:t>
            </w:r>
          </w:p>
        </w:tc>
      </w:tr>
      <w:tr>
        <w:trPr>
          <w:trHeight w:val="300"/>
        </w:trPr>
        <w:tc>
          <w:tcPr>
            <w:tcW w:w="2258" w:type="dxa"/>
          </w:tcPr>
          <w:p>
            <w:pPr>
              <w:spacing w:before="0" w:after="200" w:line="276" w:lineRule="auto"/>
              <w:jc w:val="left"/>
              <w:rPr>
                <w:rFonts w:eastAsiaTheme="minorHAnsi"/>
                <w:noProof/>
                <w:szCs w:val="22"/>
              </w:rPr>
            </w:pPr>
            <w:r>
              <w:rPr>
                <w:noProof/>
              </w:rPr>
              <w:t>Comunicarea obligatorie a modalităților fiscale transfrontaliere</w:t>
            </w:r>
          </w:p>
        </w:tc>
        <w:tc>
          <w:tcPr>
            <w:tcW w:w="3956" w:type="dxa"/>
          </w:tcPr>
          <w:p>
            <w:pPr>
              <w:spacing w:before="0" w:after="200" w:line="276" w:lineRule="auto"/>
              <w:jc w:val="left"/>
              <w:rPr>
                <w:rFonts w:eastAsiaTheme="minorHAnsi"/>
                <w:noProof/>
                <w:szCs w:val="22"/>
              </w:rPr>
            </w:pPr>
            <w:r>
              <w:rPr>
                <w:noProof/>
              </w:rPr>
              <w:t>Raportarea bazată pe evenimente și schimbul privind modalitățile fiscale transfrontaliere raportabile identificate prin semne distinctive definite.</w:t>
            </w:r>
          </w:p>
        </w:tc>
        <w:tc>
          <w:tcPr>
            <w:tcW w:w="1878" w:type="dxa"/>
          </w:tcPr>
          <w:p>
            <w:pPr>
              <w:spacing w:before="0" w:after="200" w:line="276" w:lineRule="auto"/>
              <w:jc w:val="left"/>
              <w:rPr>
                <w:rFonts w:eastAsiaTheme="minorHAnsi"/>
                <w:noProof/>
                <w:szCs w:val="22"/>
              </w:rPr>
            </w:pPr>
            <w:r>
              <w:rPr>
                <w:noProof/>
              </w:rPr>
              <w:t>Art. 8</w:t>
            </w:r>
          </w:p>
        </w:tc>
        <w:tc>
          <w:tcPr>
            <w:tcW w:w="2404" w:type="dxa"/>
          </w:tcPr>
          <w:p>
            <w:pPr>
              <w:spacing w:before="0" w:after="200" w:line="276" w:lineRule="auto"/>
              <w:jc w:val="left"/>
              <w:rPr>
                <w:rFonts w:eastAsiaTheme="minorHAnsi"/>
                <w:noProof/>
                <w:szCs w:val="22"/>
              </w:rPr>
            </w:pPr>
            <w:r>
              <w:rPr>
                <w:noProof/>
              </w:rPr>
              <w:t>Schema standardizată de raportare în temeiul DAC6; taxonomia structurată a semnelor distinctive; mecanisme de schimb rapid și securizat</w:t>
            </w:r>
          </w:p>
        </w:tc>
        <w:tc>
          <w:tcPr>
            <w:tcW w:w="3958" w:type="dxa"/>
          </w:tcPr>
          <w:p>
            <w:pPr>
              <w:spacing w:before="0" w:after="200" w:line="276" w:lineRule="auto"/>
              <w:jc w:val="left"/>
              <w:rPr>
                <w:rFonts w:eastAsiaTheme="minorHAnsi"/>
                <w:noProof/>
                <w:szCs w:val="22"/>
              </w:rPr>
            </w:pPr>
            <w:r>
              <w:rPr>
                <w:noProof/>
              </w:rPr>
              <w:t>Platforme de raportare a conformității; sisteme de consiliere fiscală; instrumente automatizate de detectare a riscurilor și de analiză a tiparelor</w:t>
            </w:r>
          </w:p>
        </w:tc>
      </w:tr>
      <w:tr>
        <w:trPr>
          <w:trHeight w:val="300"/>
        </w:trPr>
        <w:tc>
          <w:tcPr>
            <w:tcW w:w="2258" w:type="dxa"/>
          </w:tcPr>
          <w:p>
            <w:pPr>
              <w:spacing w:before="0" w:after="200" w:line="276" w:lineRule="auto"/>
              <w:jc w:val="left"/>
              <w:rPr>
                <w:rFonts w:eastAsiaTheme="minorHAnsi"/>
                <w:noProof/>
                <w:szCs w:val="22"/>
              </w:rPr>
            </w:pPr>
            <w:r>
              <w:rPr>
                <w:noProof/>
              </w:rPr>
              <w:t>Raportarea de către Operatorii de Platforme cu privire la Vânzătorii Raportabili</w:t>
            </w:r>
          </w:p>
        </w:tc>
        <w:tc>
          <w:tcPr>
            <w:tcW w:w="3956" w:type="dxa"/>
          </w:tcPr>
          <w:p>
            <w:pPr>
              <w:spacing w:before="0" w:after="200" w:line="276" w:lineRule="auto"/>
              <w:jc w:val="left"/>
              <w:rPr>
                <w:rFonts w:eastAsiaTheme="minorHAnsi"/>
                <w:noProof/>
                <w:szCs w:val="22"/>
              </w:rPr>
            </w:pPr>
            <w:r>
              <w:rPr>
                <w:noProof/>
              </w:rPr>
              <w:t>Registrul Operatorilor de Platforme și al Vânzătorilor Raportabili</w:t>
            </w:r>
          </w:p>
          <w:p>
            <w:pPr>
              <w:spacing w:before="0" w:after="200" w:line="276" w:lineRule="auto"/>
              <w:jc w:val="left"/>
              <w:rPr>
                <w:rFonts w:eastAsiaTheme="minorHAnsi"/>
                <w:noProof/>
                <w:szCs w:val="22"/>
              </w:rPr>
            </w:pPr>
            <w:r>
              <w:rPr>
                <w:noProof/>
              </w:rPr>
              <w:t>Schimbul automat periodic între autoritățile fiscale de informații raportate cu privire la vânzătorii raportabili</w:t>
            </w:r>
          </w:p>
        </w:tc>
        <w:tc>
          <w:tcPr>
            <w:tcW w:w="1878" w:type="dxa"/>
          </w:tcPr>
          <w:p>
            <w:pPr>
              <w:spacing w:before="0" w:after="200" w:line="276" w:lineRule="auto"/>
              <w:jc w:val="left"/>
              <w:rPr>
                <w:rFonts w:eastAsiaTheme="minorHAnsi"/>
                <w:noProof/>
                <w:szCs w:val="22"/>
              </w:rPr>
            </w:pPr>
            <w:r>
              <w:rPr>
                <w:noProof/>
              </w:rPr>
              <w:t>Art. 9</w:t>
            </w:r>
          </w:p>
        </w:tc>
        <w:tc>
          <w:tcPr>
            <w:tcW w:w="2404" w:type="dxa"/>
          </w:tcPr>
          <w:p>
            <w:pPr>
              <w:spacing w:before="0" w:after="200" w:line="276" w:lineRule="auto"/>
              <w:jc w:val="left"/>
              <w:rPr>
                <w:rFonts w:eastAsiaTheme="minorHAnsi"/>
                <w:noProof/>
                <w:szCs w:val="22"/>
              </w:rPr>
            </w:pPr>
            <w:r>
              <w:rPr>
                <w:noProof/>
              </w:rPr>
              <w:t>NU SE APLICĂ</w:t>
            </w:r>
          </w:p>
        </w:tc>
        <w:tc>
          <w:tcPr>
            <w:tcW w:w="3958" w:type="dxa"/>
          </w:tcPr>
          <w:p>
            <w:pPr>
              <w:spacing w:before="0" w:after="200" w:line="276" w:lineRule="auto"/>
              <w:jc w:val="left"/>
              <w:rPr>
                <w:rFonts w:eastAsiaTheme="minorHAnsi"/>
                <w:noProof/>
                <w:szCs w:val="22"/>
              </w:rPr>
            </w:pPr>
            <w:r>
              <w:rPr>
                <w:noProof/>
              </w:rPr>
              <w:t>Sistemele administrațiilor fiscale naționale; canale securizate de comunicare între autorități; sisteme de identificare a contribuabililor (corelare pe bază de NIF)</w:t>
            </w:r>
          </w:p>
        </w:tc>
      </w:tr>
      <w:tr>
        <w:trPr>
          <w:trHeight w:val="300"/>
        </w:trPr>
        <w:tc>
          <w:tcPr>
            <w:tcW w:w="2258" w:type="dxa"/>
          </w:tcPr>
          <w:p>
            <w:pPr>
              <w:spacing w:before="0" w:after="200" w:line="276" w:lineRule="auto"/>
              <w:jc w:val="left"/>
              <w:rPr>
                <w:rFonts w:eastAsiaTheme="minorHAnsi"/>
                <w:noProof/>
                <w:szCs w:val="22"/>
              </w:rPr>
            </w:pPr>
            <w:r>
              <w:rPr>
                <w:noProof/>
              </w:rPr>
              <w:lastRenderedPageBreak/>
              <w:t>Schimbul automat obligatoriu de informații raportate de Furnizorii de Servicii de Criptoactive Raportori</w:t>
            </w:r>
          </w:p>
        </w:tc>
        <w:tc>
          <w:tcPr>
            <w:tcW w:w="3956" w:type="dxa"/>
          </w:tcPr>
          <w:p>
            <w:pPr>
              <w:spacing w:before="0" w:after="200" w:line="276" w:lineRule="auto"/>
              <w:jc w:val="left"/>
              <w:rPr>
                <w:rFonts w:eastAsiaTheme="minorHAnsi"/>
                <w:noProof/>
                <w:szCs w:val="22"/>
              </w:rPr>
            </w:pPr>
            <w:r>
              <w:rPr>
                <w:noProof/>
              </w:rPr>
              <w:t xml:space="preserve">Fiecare stat membru ia măsurile necesare pentru a impune Furnizorilor de Servicii de Criptoactive Raportori să îndeplinească cerințele de raportare și procedurile de diligență fiscală prevăzute în secțiunile II și, respectiv, III din anexa VI. De asemenea, fiecare stat membru asigură punerea în aplicare efectivă și respectarea acestor măsuri în conformitate cu secțiunea V din anexa VI la Directiva DAC8. </w:t>
            </w:r>
          </w:p>
        </w:tc>
        <w:tc>
          <w:tcPr>
            <w:tcW w:w="1878" w:type="dxa"/>
          </w:tcPr>
          <w:p>
            <w:pPr>
              <w:spacing w:before="0" w:after="200" w:line="276" w:lineRule="auto"/>
              <w:jc w:val="left"/>
              <w:rPr>
                <w:rFonts w:eastAsiaTheme="minorHAnsi"/>
                <w:noProof/>
                <w:szCs w:val="22"/>
              </w:rPr>
            </w:pPr>
            <w:r>
              <w:rPr>
                <w:noProof/>
              </w:rPr>
              <w:t>Art. 12</w:t>
            </w:r>
          </w:p>
        </w:tc>
        <w:tc>
          <w:tcPr>
            <w:tcW w:w="2404" w:type="dxa"/>
          </w:tcPr>
          <w:p>
            <w:pPr>
              <w:spacing w:before="0" w:after="200" w:line="276" w:lineRule="auto"/>
              <w:jc w:val="left"/>
              <w:rPr>
                <w:rFonts w:eastAsiaTheme="minorHAnsi"/>
                <w:noProof/>
                <w:szCs w:val="22"/>
              </w:rPr>
            </w:pPr>
            <w:r>
              <w:rPr>
                <w:noProof/>
              </w:rPr>
              <w:t>NU SE APLICĂ</w:t>
            </w:r>
          </w:p>
        </w:tc>
        <w:tc>
          <w:tcPr>
            <w:tcW w:w="3958" w:type="dxa"/>
          </w:tcPr>
          <w:p>
            <w:pPr>
              <w:spacing w:before="0" w:after="200" w:line="276" w:lineRule="auto"/>
              <w:jc w:val="left"/>
              <w:rPr>
                <w:rFonts w:eastAsiaTheme="minorHAnsi"/>
                <w:noProof/>
                <w:szCs w:val="22"/>
              </w:rPr>
            </w:pPr>
            <w:r>
              <w:rPr>
                <w:noProof/>
              </w:rPr>
              <w:t>Schimbul de mesaje XML prin intermediul Rețelei comune de comunicații</w:t>
            </w:r>
          </w:p>
        </w:tc>
      </w:tr>
      <w:tr>
        <w:trPr>
          <w:trHeight w:val="300"/>
        </w:trPr>
        <w:tc>
          <w:tcPr>
            <w:tcW w:w="2258" w:type="dxa"/>
          </w:tcPr>
          <w:p>
            <w:pPr>
              <w:spacing w:before="0" w:after="200" w:line="276" w:lineRule="auto"/>
              <w:jc w:val="left"/>
              <w:rPr>
                <w:rFonts w:eastAsiaTheme="minorHAnsi"/>
                <w:noProof/>
                <w:szCs w:val="22"/>
              </w:rPr>
            </w:pPr>
            <w:r>
              <w:rPr>
                <w:noProof/>
              </w:rPr>
              <w:t>Schimbul automat de informații privind Criptoactivele care fac obiectul Raportării</w:t>
            </w:r>
          </w:p>
        </w:tc>
        <w:tc>
          <w:tcPr>
            <w:tcW w:w="3956" w:type="dxa"/>
          </w:tcPr>
          <w:p>
            <w:pPr>
              <w:spacing w:before="0" w:after="200" w:line="276" w:lineRule="auto"/>
              <w:jc w:val="left"/>
              <w:rPr>
                <w:rFonts w:eastAsiaTheme="minorHAnsi"/>
                <w:noProof/>
                <w:szCs w:val="22"/>
              </w:rPr>
            </w:pPr>
            <w:r>
              <w:rPr>
                <w:noProof/>
              </w:rPr>
              <w:t>Punerea la dispoziție a modalităților practice necesare pentru a facilita comunicarea</w:t>
            </w:r>
          </w:p>
        </w:tc>
        <w:tc>
          <w:tcPr>
            <w:tcW w:w="1878" w:type="dxa"/>
          </w:tcPr>
          <w:p>
            <w:pPr>
              <w:spacing w:before="0" w:after="200" w:line="276" w:lineRule="auto"/>
              <w:jc w:val="left"/>
              <w:rPr>
                <w:rFonts w:eastAsiaTheme="minorHAnsi"/>
                <w:noProof/>
                <w:szCs w:val="22"/>
              </w:rPr>
            </w:pPr>
            <w:r>
              <w:rPr>
                <w:noProof/>
              </w:rPr>
              <w:t>Art. 12</w:t>
            </w:r>
          </w:p>
        </w:tc>
        <w:tc>
          <w:tcPr>
            <w:tcW w:w="2404" w:type="dxa"/>
          </w:tcPr>
          <w:p>
            <w:pPr>
              <w:spacing w:before="0" w:after="200" w:line="276" w:lineRule="auto"/>
              <w:jc w:val="left"/>
              <w:rPr>
                <w:rFonts w:eastAsiaTheme="minorHAnsi"/>
                <w:noProof/>
                <w:szCs w:val="22"/>
              </w:rPr>
            </w:pPr>
            <w:r>
              <w:rPr>
                <w:noProof/>
              </w:rPr>
              <w:t>NU SE APLICĂ</w:t>
            </w:r>
          </w:p>
        </w:tc>
        <w:tc>
          <w:tcPr>
            <w:tcW w:w="3958" w:type="dxa"/>
          </w:tcPr>
          <w:p>
            <w:pPr>
              <w:spacing w:before="0" w:after="200" w:line="276" w:lineRule="auto"/>
              <w:jc w:val="left"/>
              <w:rPr>
                <w:rFonts w:eastAsiaTheme="minorHAnsi"/>
                <w:noProof/>
                <w:szCs w:val="22"/>
              </w:rPr>
            </w:pPr>
            <w:r>
              <w:rPr>
                <w:noProof/>
              </w:rPr>
              <w:t>Schimbul de mesaje XML prin intermediul Rețelei comune de comunicații</w:t>
            </w:r>
          </w:p>
        </w:tc>
      </w:tr>
      <w:tr>
        <w:trPr>
          <w:trHeight w:val="300"/>
        </w:trPr>
        <w:tc>
          <w:tcPr>
            <w:tcW w:w="2258" w:type="dxa"/>
          </w:tcPr>
          <w:p>
            <w:pPr>
              <w:spacing w:before="0" w:after="200" w:line="276" w:lineRule="auto"/>
              <w:jc w:val="left"/>
              <w:rPr>
                <w:rFonts w:eastAsiaTheme="minorHAnsi"/>
                <w:noProof/>
                <w:szCs w:val="22"/>
              </w:rPr>
            </w:pPr>
            <w:r>
              <w:rPr>
                <w:noProof/>
              </w:rPr>
              <w:t>Declarațiile privind impozitul suplimentar ale grupurilor de întreprinderi multinaționale</w:t>
            </w:r>
          </w:p>
        </w:tc>
        <w:tc>
          <w:tcPr>
            <w:tcW w:w="3956" w:type="dxa"/>
          </w:tcPr>
          <w:p>
            <w:pPr>
              <w:spacing w:before="0" w:after="200" w:line="276" w:lineRule="auto"/>
              <w:jc w:val="left"/>
              <w:rPr>
                <w:rFonts w:eastAsiaTheme="minorHAnsi"/>
                <w:noProof/>
                <w:szCs w:val="22"/>
              </w:rPr>
            </w:pPr>
            <w:r>
              <w:rPr>
                <w:noProof/>
              </w:rPr>
              <w:t>Schimbul automat de informații raportate cu privire la declarațiile privind impozitul suplimentar raportate periodic autorităților fiscale de către grupurile de întreprinderi multinaționale</w:t>
            </w:r>
          </w:p>
        </w:tc>
        <w:tc>
          <w:tcPr>
            <w:tcW w:w="1878" w:type="dxa"/>
          </w:tcPr>
          <w:p>
            <w:pPr>
              <w:spacing w:before="0" w:after="200" w:line="276" w:lineRule="auto"/>
              <w:jc w:val="left"/>
              <w:rPr>
                <w:rFonts w:eastAsiaTheme="minorHAnsi"/>
                <w:noProof/>
                <w:szCs w:val="22"/>
              </w:rPr>
            </w:pPr>
            <w:r>
              <w:rPr>
                <w:noProof/>
              </w:rPr>
              <w:t>Art. 15</w:t>
            </w:r>
          </w:p>
        </w:tc>
        <w:tc>
          <w:tcPr>
            <w:tcW w:w="2404" w:type="dxa"/>
          </w:tcPr>
          <w:p>
            <w:pPr>
              <w:spacing w:before="0" w:after="200" w:line="276" w:lineRule="auto"/>
              <w:jc w:val="left"/>
              <w:rPr>
                <w:rFonts w:eastAsiaTheme="minorHAnsi"/>
                <w:noProof/>
                <w:szCs w:val="22"/>
              </w:rPr>
            </w:pPr>
            <w:r>
              <w:rPr>
                <w:noProof/>
              </w:rPr>
              <w:t>NU SE APLICĂ</w:t>
            </w:r>
          </w:p>
        </w:tc>
        <w:tc>
          <w:tcPr>
            <w:tcW w:w="3958" w:type="dxa"/>
          </w:tcPr>
          <w:p>
            <w:pPr>
              <w:spacing w:before="0" w:after="200" w:line="276" w:lineRule="auto"/>
              <w:jc w:val="left"/>
              <w:rPr>
                <w:rFonts w:eastAsiaTheme="minorHAnsi"/>
                <w:noProof/>
                <w:szCs w:val="22"/>
              </w:rPr>
            </w:pPr>
            <w:r>
              <w:rPr>
                <w:noProof/>
              </w:rPr>
              <w:t>Sistemele administrațiilor fiscale naționale; canale securizate de comunicare între autorități; sisteme de identificare a contribuabililor (corelare pe bază de NIF)</w:t>
            </w:r>
          </w:p>
        </w:tc>
      </w:tr>
      <w:tr>
        <w:trPr>
          <w:trHeight w:val="300"/>
        </w:trPr>
        <w:tc>
          <w:tcPr>
            <w:tcW w:w="2258" w:type="dxa"/>
          </w:tcPr>
          <w:p>
            <w:pPr>
              <w:spacing w:before="0" w:after="200" w:line="276" w:lineRule="auto"/>
              <w:jc w:val="left"/>
              <w:rPr>
                <w:rFonts w:eastAsiaTheme="minorHAnsi"/>
                <w:noProof/>
                <w:szCs w:val="22"/>
              </w:rPr>
            </w:pPr>
            <w:r>
              <w:rPr>
                <w:noProof/>
              </w:rPr>
              <w:t xml:space="preserve">Notificări în scopul raportării pentru fiecare țară în parte, </w:t>
            </w:r>
            <w:r>
              <w:rPr>
                <w:noProof/>
              </w:rPr>
              <w:lastRenderedPageBreak/>
              <w:t>al depunerii la nivel central a declarației privind impozitul suplimentar și schimbul de informații</w:t>
            </w:r>
          </w:p>
        </w:tc>
        <w:tc>
          <w:tcPr>
            <w:tcW w:w="3956" w:type="dxa"/>
          </w:tcPr>
          <w:p>
            <w:pPr>
              <w:spacing w:before="0" w:after="200" w:line="276" w:lineRule="auto"/>
              <w:jc w:val="left"/>
              <w:rPr>
                <w:rFonts w:eastAsiaTheme="minorHAnsi"/>
                <w:noProof/>
                <w:szCs w:val="22"/>
              </w:rPr>
            </w:pPr>
            <w:r>
              <w:rPr>
                <w:noProof/>
              </w:rPr>
              <w:lastRenderedPageBreak/>
              <w:t xml:space="preserve">Schimbul automat de informații raportate privind notificările în scopul raportării pentru fiecare țară în parte, </w:t>
            </w:r>
            <w:r>
              <w:rPr>
                <w:noProof/>
              </w:rPr>
              <w:lastRenderedPageBreak/>
              <w:t>al depunerii la nivel central a declarației privind impozitul suplimentar și schimbul de informații</w:t>
            </w:r>
          </w:p>
        </w:tc>
        <w:tc>
          <w:tcPr>
            <w:tcW w:w="1878" w:type="dxa"/>
          </w:tcPr>
          <w:p>
            <w:pPr>
              <w:spacing w:before="0" w:after="200" w:line="276" w:lineRule="auto"/>
              <w:jc w:val="left"/>
              <w:rPr>
                <w:rFonts w:eastAsiaTheme="minorHAnsi"/>
                <w:noProof/>
                <w:szCs w:val="22"/>
              </w:rPr>
            </w:pPr>
            <w:r>
              <w:rPr>
                <w:noProof/>
              </w:rPr>
              <w:lastRenderedPageBreak/>
              <w:t>Art. 16</w:t>
            </w:r>
          </w:p>
        </w:tc>
        <w:tc>
          <w:tcPr>
            <w:tcW w:w="2404" w:type="dxa"/>
          </w:tcPr>
          <w:p>
            <w:pPr>
              <w:spacing w:before="0" w:after="200" w:line="276" w:lineRule="auto"/>
              <w:jc w:val="left"/>
              <w:rPr>
                <w:rFonts w:eastAsiaTheme="minorHAnsi"/>
                <w:noProof/>
                <w:szCs w:val="22"/>
              </w:rPr>
            </w:pPr>
            <w:r>
              <w:rPr>
                <w:noProof/>
              </w:rPr>
              <w:t>NU SE APLICĂ</w:t>
            </w:r>
          </w:p>
        </w:tc>
        <w:tc>
          <w:tcPr>
            <w:tcW w:w="3958" w:type="dxa"/>
          </w:tcPr>
          <w:p>
            <w:pPr>
              <w:spacing w:before="0" w:after="200" w:line="276" w:lineRule="auto"/>
              <w:jc w:val="left"/>
              <w:rPr>
                <w:rFonts w:eastAsiaTheme="minorHAnsi"/>
                <w:noProof/>
                <w:szCs w:val="22"/>
              </w:rPr>
            </w:pPr>
            <w:r>
              <w:rPr>
                <w:noProof/>
              </w:rPr>
              <w:t xml:space="preserve">Sistemele administrațiilor fiscale naționale; canale securizate de comunicare între autorități; sisteme de </w:t>
            </w:r>
            <w:r>
              <w:rPr>
                <w:noProof/>
              </w:rPr>
              <w:lastRenderedPageBreak/>
              <w:t>identificare a contribuabililor (corelare pe bază de NIF)</w:t>
            </w:r>
          </w:p>
        </w:tc>
      </w:tr>
      <w:tr>
        <w:trPr>
          <w:trHeight w:val="300"/>
        </w:trPr>
        <w:tc>
          <w:tcPr>
            <w:tcW w:w="2258" w:type="dxa"/>
          </w:tcPr>
          <w:p>
            <w:pPr>
              <w:spacing w:before="0" w:after="200" w:line="276" w:lineRule="auto"/>
              <w:jc w:val="left"/>
              <w:rPr>
                <w:rFonts w:eastAsiaTheme="minorHAnsi"/>
                <w:noProof/>
                <w:szCs w:val="22"/>
              </w:rPr>
            </w:pPr>
            <w:r>
              <w:rPr>
                <w:noProof/>
              </w:rPr>
              <w:lastRenderedPageBreak/>
              <w:t>Verificarea numărului de identificare fiscală (NIF)</w:t>
            </w:r>
          </w:p>
        </w:tc>
        <w:tc>
          <w:tcPr>
            <w:tcW w:w="3956" w:type="dxa"/>
          </w:tcPr>
          <w:p>
            <w:pPr>
              <w:spacing w:before="0" w:after="200" w:line="276" w:lineRule="auto"/>
              <w:jc w:val="left"/>
              <w:rPr>
                <w:rFonts w:eastAsiaTheme="minorHAnsi"/>
                <w:noProof/>
                <w:szCs w:val="22"/>
              </w:rPr>
            </w:pPr>
            <w:r>
              <w:rPr>
                <w:noProof/>
              </w:rPr>
              <w:t>Verificarea digitală și automată a valabilității unui NIF furnizat de o entitate raportoare sau de un contribuabil în scopul schimbului automat de informații</w:t>
            </w:r>
          </w:p>
          <w:p>
            <w:pPr>
              <w:spacing w:before="0" w:after="200" w:line="276" w:lineRule="auto"/>
              <w:jc w:val="left"/>
              <w:rPr>
                <w:rFonts w:eastAsiaTheme="minorHAnsi"/>
                <w:noProof/>
                <w:szCs w:val="22"/>
                <w:lang w:eastAsia="en-US"/>
              </w:rPr>
            </w:pPr>
          </w:p>
        </w:tc>
        <w:tc>
          <w:tcPr>
            <w:tcW w:w="1878" w:type="dxa"/>
          </w:tcPr>
          <w:p>
            <w:pPr>
              <w:spacing w:before="0" w:after="200" w:line="276" w:lineRule="auto"/>
              <w:jc w:val="left"/>
              <w:rPr>
                <w:rFonts w:eastAsiaTheme="minorHAnsi"/>
                <w:noProof/>
                <w:szCs w:val="22"/>
              </w:rPr>
            </w:pPr>
            <w:r>
              <w:rPr>
                <w:noProof/>
              </w:rPr>
              <w:t>Art. 36</w:t>
            </w:r>
          </w:p>
        </w:tc>
        <w:tc>
          <w:tcPr>
            <w:tcW w:w="2404" w:type="dxa"/>
          </w:tcPr>
          <w:p>
            <w:pPr>
              <w:spacing w:before="0" w:after="200" w:line="276" w:lineRule="auto"/>
              <w:jc w:val="left"/>
              <w:rPr>
                <w:rFonts w:eastAsiaTheme="minorHAnsi"/>
                <w:noProof/>
                <w:szCs w:val="22"/>
              </w:rPr>
            </w:pPr>
            <w:r>
              <w:rPr>
                <w:noProof/>
              </w:rPr>
              <w:t>NU SE APLICĂ</w:t>
            </w:r>
          </w:p>
        </w:tc>
        <w:tc>
          <w:tcPr>
            <w:tcW w:w="3958" w:type="dxa"/>
          </w:tcPr>
          <w:p>
            <w:pPr>
              <w:spacing w:before="0" w:after="200" w:line="276" w:lineRule="auto"/>
              <w:jc w:val="left"/>
              <w:rPr>
                <w:rFonts w:eastAsiaTheme="minorHAnsi"/>
                <w:noProof/>
                <w:szCs w:val="22"/>
              </w:rPr>
            </w:pPr>
            <w:r>
              <w:rPr>
                <w:noProof/>
              </w:rPr>
              <w:t>Sistemele administrațiilor fiscale naționale; canale securizate de comunicare între autorități; sisteme de identificare a contribuabililor (corelare pe bază de NIF)</w:t>
            </w:r>
          </w:p>
        </w:tc>
      </w:tr>
    </w:tbl>
    <w:p>
      <w:pPr>
        <w:spacing w:before="0" w:after="200" w:line="276" w:lineRule="auto"/>
        <w:jc w:val="left"/>
        <w:rPr>
          <w:noProof/>
        </w:rPr>
      </w:pPr>
    </w:p>
    <w:p>
      <w:pPr>
        <w:spacing w:before="0" w:after="200" w:line="276" w:lineRule="auto"/>
        <w:jc w:val="left"/>
        <w:rPr>
          <w:b/>
          <w:noProof/>
        </w:rPr>
      </w:pPr>
      <w:bookmarkStart w:id="246" w:name="_Toc167220306"/>
      <w:bookmarkStart w:id="247" w:name="_Toc177549041"/>
      <w:r>
        <w:rPr>
          <w:b/>
          <w:noProof/>
        </w:rPr>
        <w:t>4.5.</w:t>
      </w:r>
      <w:r>
        <w:rPr>
          <w:noProof/>
        </w:rPr>
        <w:tab/>
      </w:r>
      <w:r>
        <w:rPr>
          <w:b/>
          <w:noProof/>
        </w:rPr>
        <w:t>Măsuri de sprijinire a punerii în aplicare digitale</w:t>
      </w:r>
      <w:bookmarkEnd w:id="246"/>
      <w:bookmarkEnd w:id="247"/>
    </w:p>
    <w:tbl>
      <w:tblPr>
        <w:tblStyle w:val="TableGrid"/>
        <w:tblpPr w:leftFromText="141" w:rightFromText="141" w:vertAnchor="text" w:horzAnchor="margin" w:tblpY="49"/>
        <w:tblW w:w="14425" w:type="dxa"/>
        <w:tblLook w:val="04A0" w:firstRow="1" w:lastRow="0" w:firstColumn="1" w:lastColumn="0" w:noHBand="0" w:noVBand="1"/>
      </w:tblPr>
      <w:tblGrid>
        <w:gridCol w:w="14425"/>
      </w:tblGrid>
      <w:tr>
        <w:tc>
          <w:tcPr>
            <w:tcW w:w="14425" w:type="dxa"/>
          </w:tcPr>
          <w:p>
            <w:pPr>
              <w:spacing w:before="0" w:after="200" w:line="276" w:lineRule="auto"/>
              <w:jc w:val="left"/>
              <w:rPr>
                <w:rFonts w:eastAsiaTheme="minorHAnsi"/>
                <w:noProof/>
                <w:szCs w:val="22"/>
              </w:rPr>
            </w:pPr>
            <w:r>
              <w:rPr>
                <w:noProof/>
              </w:rPr>
              <w:t>Pentru măsurile deja puse în aplicare, Comisia oferă sprijin continuu statelor membre pe parcursul întregului ciclu de viață al fiecărei măsuri.</w:t>
            </w:r>
          </w:p>
          <w:p>
            <w:pPr>
              <w:spacing w:before="0" w:after="200" w:line="276" w:lineRule="auto"/>
              <w:jc w:val="left"/>
              <w:rPr>
                <w:rFonts w:eastAsiaTheme="minorHAnsi"/>
                <w:noProof/>
                <w:szCs w:val="22"/>
              </w:rPr>
            </w:pPr>
            <w:r>
              <w:rPr>
                <w:noProof/>
              </w:rPr>
              <w:t>În ceea ce privește măsurile care nu au fost încă puse în aplicare, și anume schimbul prevăzut la articolul 16 și instrumentul de verificare a NIF prevăzut la articolul 36, Comisia va elabora specificații tehnice pentru schimb și pentru instrument împreună cu statele membre, care urmează să fie adoptate ca act de punere în aplicare.</w:t>
            </w:r>
          </w:p>
        </w:tc>
      </w:tr>
      <w:bookmarkEnd w:id="234"/>
    </w:tbl>
    <w:p>
      <w:pPr>
        <w:spacing w:before="0" w:after="200" w:line="276" w:lineRule="auto"/>
        <w:jc w:val="left"/>
        <w:rPr>
          <w:noProof/>
        </w:rPr>
      </w:pPr>
    </w:p>
    <w:p>
      <w:pPr>
        <w:spacing w:before="0" w:after="200" w:line="276" w:lineRule="auto"/>
        <w:jc w:val="left"/>
        <w:rPr>
          <w:noProof/>
        </w:rPr>
      </w:pPr>
    </w:p>
    <w:p>
      <w:pPr>
        <w:spacing w:before="0" w:after="200" w:line="276" w:lineRule="auto"/>
        <w:jc w:val="left"/>
        <w:rPr>
          <w:noProof/>
        </w:rPr>
        <w:sectPr>
          <w:pgSz w:w="16838" w:h="11906" w:orient="landscape"/>
          <w:pgMar w:top="1418" w:right="1134" w:bottom="1418" w:left="1134" w:header="709" w:footer="709" w:gutter="0"/>
          <w:pgNumType w:start="0"/>
          <w:cols w:space="709"/>
          <w:docGrid w:linePitch="326"/>
        </w:sectPr>
      </w:pPr>
    </w:p>
    <w:p>
      <w:pPr>
        <w:adjustRightInd w:val="0"/>
        <w:spacing w:before="0" w:after="0"/>
        <w:jc w:val="left"/>
        <w:rPr>
          <w:rStyle w:val="CRDeleted"/>
          <w:noProof/>
        </w:rPr>
      </w:pPr>
    </w:p>
    <w:p>
      <w:pPr>
        <w:adjustRightInd w:val="0"/>
        <w:spacing w:before="0" w:after="0"/>
        <w:jc w:val="left"/>
        <w:rPr>
          <w:rStyle w:val="CRDeleted"/>
          <w:noProof/>
        </w:rPr>
      </w:pPr>
    </w:p>
    <w:sectPr>
      <w:headerReference w:type="default" r:id="rId22"/>
      <w:footerReference w:type="default" r:id="rId23"/>
      <w:pgSz w:w="11906" w:h="16838"/>
      <w:pgMar w:top="1134" w:right="1418" w:bottom="1134" w:left="1418" w:header="709" w:footer="709" w:gutter="0"/>
      <w:pgNumType w:start="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 xml:space="preserve">Comisia Europeană, Orientările politice pentru următoarea Comisie Europeană 2024-2029: Europa – în fața unei alegeri, iulie 2024, </w:t>
      </w:r>
      <w:hyperlink r:id="rId1" w:history="1">
        <w:r>
          <w:rPr>
            <w:rStyle w:val="Hyperlink"/>
          </w:rPr>
          <w:t>https://commission.europa.eu/priorities-2024-2029_ro</w:t>
        </w:r>
      </w:hyperlink>
      <w:r>
        <w:t>.</w:t>
      </w:r>
    </w:p>
  </w:footnote>
  <w:footnote w:id="3">
    <w:p>
      <w:pPr>
        <w:pStyle w:val="FootnoteText"/>
      </w:pPr>
      <w:r>
        <w:rPr>
          <w:rStyle w:val="FootnoteReference"/>
        </w:rPr>
        <w:footnoteRef/>
      </w:r>
      <w:r>
        <w:tab/>
        <w:t xml:space="preserve">Comisia Europeană, Comunicare a Comisiei către Parlamentul European, Consiliul European, Consiliu, Comitetul Economic și Social European și Comitetul Regiunilor: O Busolă pentru competitivitatea UE, COM(2025) 30 final, 29 ianuarie 2025, </w:t>
      </w:r>
      <w:hyperlink r:id="rId2" w:tgtFrame="_new" w:history="1">
        <w:r>
          <w:rPr>
            <w:rStyle w:val="Hyperlink"/>
          </w:rPr>
          <w:t>https://commission.europa.eu/document/download/10017eb1-4722-4333-add2-e0ed18105a34_en</w:t>
        </w:r>
      </w:hyperlink>
      <w:r>
        <w:t>.</w:t>
      </w:r>
    </w:p>
  </w:footnote>
  <w:footnote w:id="4">
    <w:p>
      <w:pPr>
        <w:pStyle w:val="FootnoteText"/>
      </w:pPr>
      <w:r>
        <w:rPr>
          <w:rStyle w:val="FootnoteReference"/>
        </w:rPr>
        <w:footnoteRef/>
      </w:r>
      <w:r>
        <w:tab/>
        <w:t>Comisia Europeană, Busola pentru competitivitate, COM(2025) 30 final.</w:t>
      </w:r>
    </w:p>
  </w:footnote>
  <w:footnote w:id="5">
    <w:p>
      <w:pPr>
        <w:pStyle w:val="FootnoteText"/>
      </w:pPr>
      <w:r>
        <w:rPr>
          <w:rStyle w:val="FootnoteReference"/>
        </w:rPr>
        <w:footnoteRef/>
      </w:r>
      <w:r>
        <w:tab/>
        <w:t xml:space="preserve">Comisia Europeană, Comunicare a Comisiei: Programul de lucru al Comisiei pentru 2026 – Momentul independenței Europei, 21 octombrie 2025, </w:t>
      </w:r>
      <w:hyperlink r:id="rId3" w:tgtFrame="_new" w:history="1">
        <w:r>
          <w:rPr>
            <w:rStyle w:val="Hyperlink"/>
          </w:rPr>
          <w:t>https://commission.europa.eu/strategy-and-policy/strategy-documents/commission-work-programme/commission-work-programme-2026_en</w:t>
        </w:r>
      </w:hyperlink>
      <w:r>
        <w:t>.</w:t>
      </w:r>
    </w:p>
  </w:footnote>
  <w:footnote w:id="6">
    <w:p>
      <w:pPr>
        <w:pStyle w:val="FootnoteText"/>
      </w:pPr>
      <w:r>
        <w:rPr>
          <w:rStyle w:val="FootnoteReference"/>
        </w:rPr>
        <w:footnoteRef/>
      </w:r>
      <w:r>
        <w:tab/>
        <w:t>Directiva 2003/49/CE a Consiliului din 3 iunie 2003 privind sistemul comun de impozitare, aplicabil plăților de dobânzi și de redevențe efectuate între societăți asociate din state membre diferite, JO L 157; Directiva 2009/133/CE a Consiliului din 19 octombrie 2009 privind regimul fiscal comun care se aplică fuziunilor, divizărilor, divizărilor parțiale, cesionării de active și schimburilor de acțiuni între societățile din state membre diferite și transferului sediului social al unei SE sau SCE între statele membre, JO L 310; Directiva 2011/96/UE a Consiliului din 30 noiembrie 2011 privind regimul fiscal comun care se aplică societăților-mamă și filialelor acestora din diferite state membre (reformare), JO L 345; Directiva (UE) 2016/1164 a Consiliului din 12 iulie 2016 de stabilire a normelor împotriva practicilor de evitare a obligațiilor fiscale care au incidență directă asupra funcționării pieței interne, JO L 193; Directiva (UE) 2017/1852 a Consiliului din 10 octombrie 2017 privind mecanismele de soluționare a litigiilor fiscale în Uniunea Europeană, JO L 265; Directiva (UE) 2025/50 a Consiliului din 10 decembrie 2024 privind reducerea mai rapidă și mai sigură a surplusului de impozit reținut la sursă, JO L 50.</w:t>
      </w:r>
    </w:p>
  </w:footnote>
  <w:footnote w:id="7">
    <w:p>
      <w:pPr>
        <w:pStyle w:val="FootnoteText"/>
      </w:pPr>
      <w:r>
        <w:rPr>
          <w:rStyle w:val="FootnoteReference"/>
        </w:rPr>
        <w:footnoteRef/>
      </w:r>
      <w:r>
        <w:tab/>
        <w:t>Directiva 2011/16/UE a Consiliului din 15 februarie 2011 privind cooperarea administrativă în domeniul fiscal și de abrogare a Directivei 77/799/CEE, JO L 64.</w:t>
      </w:r>
    </w:p>
  </w:footnote>
  <w:footnote w:id="8">
    <w:p>
      <w:pPr>
        <w:pStyle w:val="FootnoteText"/>
      </w:pPr>
      <w:r>
        <w:rPr>
          <w:rStyle w:val="FootnoteReference"/>
        </w:rPr>
        <w:footnoteRef/>
      </w:r>
      <w:r>
        <w:tab/>
      </w:r>
      <w:hyperlink r:id="rId4">
        <w:r>
          <w:rPr>
            <w:rStyle w:val="Hyperlink"/>
          </w:rPr>
          <w:t>Enhancing tax compliance in the European Union - Taxation and Customs Union</w:t>
        </w:r>
      </w:hyperlink>
      <w:r>
        <w:t xml:space="preserve"> (Consolidarea conformării fiscale în Uniunea Europeană - Impozitare și Uniune Vamală).</w:t>
      </w:r>
    </w:p>
  </w:footnote>
  <w:footnote w:id="9">
    <w:p>
      <w:pPr>
        <w:pStyle w:val="FootnoteText"/>
      </w:pPr>
      <w:r>
        <w:rPr>
          <w:rStyle w:val="FootnoteReference"/>
        </w:rPr>
        <w:footnoteRef/>
      </w:r>
      <w:r>
        <w:tab/>
        <w:t xml:space="preserve">Concluzii ale Consiliului privind o agendă de simplificare și asanare fiscală care să contribuie la competitivitatea UE, 11 martie 2025, </w:t>
      </w:r>
      <w:hyperlink r:id="rId5" w:history="1">
        <w:r>
          <w:rPr>
            <w:rStyle w:val="Hyperlink"/>
          </w:rPr>
          <w:t>pdf</w:t>
        </w:r>
      </w:hyperlink>
      <w:r>
        <w:t>.</w:t>
      </w:r>
    </w:p>
  </w:footnote>
  <w:footnote w:id="10">
    <w:p>
      <w:pPr>
        <w:pStyle w:val="FootnoteText"/>
      </w:pPr>
      <w:r>
        <w:rPr>
          <w:rStyle w:val="FootnoteReference"/>
        </w:rPr>
        <w:footnoteRef/>
      </w:r>
      <w: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39-98).</w:t>
      </w:r>
    </w:p>
  </w:footnote>
  <w:footnote w:id="11">
    <w:p>
      <w:pPr>
        <w:pStyle w:val="FootnoteText"/>
      </w:pPr>
      <w:r>
        <w:rPr>
          <w:rStyle w:val="FootnoteReference"/>
        </w:rPr>
        <w:footnoteRef/>
      </w:r>
      <w:r>
        <w:tab/>
      </w:r>
      <w:hyperlink r:id="rId6" w:history="1">
        <w:r>
          <w:rPr>
            <w:rStyle w:val="Hyperlink"/>
          </w:rPr>
          <w:t>http://data.europa.eu/eli/dir/2016/2258/oj</w:t>
        </w:r>
      </w:hyperlink>
      <w:r>
        <w:t>.</w:t>
      </w:r>
    </w:p>
  </w:footnote>
  <w:footnote w:id="12">
    <w:p>
      <w:pPr>
        <w:pStyle w:val="FootnoteText"/>
      </w:pPr>
      <w:r>
        <w:rPr>
          <w:rStyle w:val="FootnoteReference"/>
        </w:rPr>
        <w:footnoteRef/>
      </w:r>
      <w:r>
        <w:tab/>
        <w:t xml:space="preserve">Directiva (UE) 2024/1640 a Parlamentului European și a Consiliului din 31 mai 2024 privind mecanismele care trebuie instituite de statele membre pentru prevenirea utilizării sistemului financiar în scopul spălării banilor sau finanțării terorismului, de modificare a Directivei (UE) 2019/1937 și de modificare și abrogare a Directivei (UE) 2015/849; JO L, 2024/1640, 19.6.2024, ELI: </w:t>
      </w:r>
      <w:hyperlink r:id="rId7" w:history="1">
        <w:r>
          <w:rPr>
            <w:rStyle w:val="Hyperlink"/>
          </w:rPr>
          <w:t>http://data.europa.eu/eli/dir/2024/1640/oj</w:t>
        </w:r>
      </w:hyperlink>
      <w:r>
        <w:t>.</w:t>
      </w:r>
    </w:p>
  </w:footnote>
  <w:footnote w:id="13">
    <w:p>
      <w:pPr>
        <w:pStyle w:val="FootnoteText"/>
      </w:pPr>
      <w:r>
        <w:rPr>
          <w:rStyle w:val="FootnoteReference"/>
        </w:rPr>
        <w:footnoteRef/>
      </w:r>
      <w:r>
        <w:tab/>
        <w:t xml:space="preserve">Regulamentul (UE) 2024/1624 al Parlamentului European și al Consiliului din 31 mai 2024 privind prevenirea utilizării sistemului financiar în scopul spălării banilor sau finanțării terorismului; </w:t>
      </w:r>
      <w:hyperlink r:id="rId8" w:tooltip="Oferă acces la acest document prin identificatorul său uniform de resurse ELI." w:history="1">
        <w:r>
          <w:rPr>
            <w:rStyle w:val="Hyperlink"/>
          </w:rPr>
          <w:t>http://data.europa.eu/eli/reg/2024/1624/oj</w:t>
        </w:r>
      </w:hyperlink>
      <w:r>
        <w:t>.</w:t>
      </w:r>
    </w:p>
  </w:footnote>
  <w:footnote w:id="14">
    <w:p>
      <w:pPr>
        <w:pStyle w:val="FootnoteText"/>
      </w:pPr>
      <w:r>
        <w:rPr>
          <w:rStyle w:val="FootnoteReference"/>
        </w:rPr>
        <w:footnoteRef/>
      </w:r>
      <w:r>
        <w:tab/>
        <w:t xml:space="preserve">Directiva (UE) 2017/1132 a Parlamentului European și a Consiliului din 14 iunie 2017 privind anumite aspecte ale dreptului societăților comerciale (codificare); </w:t>
      </w:r>
      <w:hyperlink r:id="rId9" w:tooltip="Oferă acces la acest document prin identificatorul său uniform de resurse ELI." w:history="1">
        <w:r>
          <w:rPr>
            <w:rStyle w:val="Hyperlink"/>
          </w:rPr>
          <w:t>http://data.europa.eu/eli/dir/2017/1132/oj</w:t>
        </w:r>
      </w:hyperlink>
      <w:r>
        <w:t xml:space="preserve">. </w:t>
      </w:r>
    </w:p>
  </w:footnote>
  <w:footnote w:id="15">
    <w:p>
      <w:pPr>
        <w:pStyle w:val="FootnoteText"/>
      </w:pPr>
      <w:r>
        <w:rPr>
          <w:rStyle w:val="FootnoteReference"/>
        </w:rPr>
        <w:footnoteRef/>
      </w:r>
      <w:r>
        <w:tab/>
        <w:t xml:space="preserve">Directiva (UE) 2021/2101 a Parlamentului European și a Consiliului din 24 noiembrie 2021 de modificare a Directivei 2013/34/UE în ceea ce privește prezentarea, de către anumite întreprinderi și sucursale, de informații privind impozitul pe profit; JO L 429, 1.12.2021, p. 1-14, ELI: </w:t>
      </w:r>
      <w:hyperlink r:id="rId10" w:history="1">
        <w:r>
          <w:rPr>
            <w:rStyle w:val="Hyperlink"/>
          </w:rPr>
          <w:t>http://data.europa.eu/eli/dir/2021/2101/oj</w:t>
        </w:r>
      </w:hyperlink>
      <w:r>
        <w:t>.</w:t>
      </w:r>
    </w:p>
  </w:footnote>
  <w:footnote w:id="16">
    <w:p>
      <w:pPr>
        <w:pStyle w:val="FootnoteText"/>
      </w:pPr>
      <w:r>
        <w:rPr>
          <w:rStyle w:val="FootnoteReference"/>
        </w:rPr>
        <w:footnoteRef/>
      </w:r>
      <w:r>
        <w:tab/>
        <w:t xml:space="preserve">Propunere de Regulament al Parlamentului European și al Consiliului privind cadrul juridic al celui de al 28-lea regim al societăților comerciale – „EU INC.”; </w:t>
      </w:r>
      <w:hyperlink r:id="rId11" w:history="1">
        <w:r>
          <w:rPr>
            <w:rStyle w:val="Hyperlink"/>
          </w:rPr>
          <w:t>EUR-Lex - 52026PC0321 - RO - EUR-Lex</w:t>
        </w:r>
      </w:hyperlink>
      <w:r>
        <w:t>.</w:t>
      </w:r>
    </w:p>
  </w:footnote>
  <w:footnote w:id="17">
    <w:p>
      <w:pPr>
        <w:pStyle w:val="FootnoteText"/>
      </w:pPr>
      <w:r>
        <w:rPr>
          <w:rStyle w:val="FootnoteReference"/>
        </w:rPr>
        <w:footnoteRef/>
      </w:r>
      <w:r>
        <w:tab/>
      </w:r>
      <w:hyperlink r:id="rId12" w:history="1">
        <w:r>
          <w:rPr>
            <w:rStyle w:val="Hyperlink"/>
          </w:rPr>
          <w:t>1_EN_ACT_part1_v3.docx</w:t>
        </w:r>
      </w:hyperlink>
      <w:r>
        <w:t>.</w:t>
      </w:r>
    </w:p>
  </w:footnote>
  <w:footnote w:id="18">
    <w:p>
      <w:pPr>
        <w:pStyle w:val="FootnoteText"/>
      </w:pPr>
      <w:r>
        <w:rPr>
          <w:rStyle w:val="FootnoteReference"/>
        </w:rPr>
        <w:footnoteRef/>
      </w:r>
      <w:r>
        <w:tab/>
      </w:r>
      <w:hyperlink r:id="rId13" w:history="1">
        <w:r>
          <w:rPr>
            <w:rStyle w:val="Hyperlink"/>
          </w:rPr>
          <w:t>https://commission.europa.eu/system/files/2020-04/rsb_op_dac_en.pdf</w:t>
        </w:r>
      </w:hyperlink>
      <w:r>
        <w:t xml:space="preserve">. </w:t>
      </w:r>
    </w:p>
  </w:footnote>
  <w:footnote w:id="19">
    <w:p>
      <w:pPr>
        <w:pStyle w:val="FootnoteText"/>
      </w:pPr>
      <w:r>
        <w:rPr>
          <w:rStyle w:val="FootnoteReference"/>
        </w:rPr>
        <w:footnoteRef/>
      </w:r>
      <w:r>
        <w:tab/>
      </w:r>
      <w:hyperlink r:id="rId14" w:history="1">
        <w:r>
          <w:rPr>
            <w:rStyle w:val="Hyperlink"/>
          </w:rPr>
          <w:t>Orde van Vlaamse Balies și alții</w:t>
        </w:r>
      </w:hyperlink>
      <w:r>
        <w:t>.</w:t>
      </w:r>
    </w:p>
  </w:footnote>
  <w:footnote w:id="20">
    <w:p>
      <w:pPr>
        <w:pStyle w:val="FootnoteText"/>
      </w:pPr>
      <w:r>
        <w:rPr>
          <w:rStyle w:val="FootnoteReference"/>
        </w:rPr>
        <w:footnoteRef/>
      </w:r>
      <w:r>
        <w:tab/>
      </w:r>
      <w:hyperlink r:id="rId15" w:history="1">
        <w:r>
          <w:rPr>
            <w:rStyle w:val="Hyperlink"/>
          </w:rPr>
          <w:t>Belgian Association of Tax Lawyers și alții</w:t>
        </w:r>
      </w:hyperlink>
      <w:r>
        <w:t>.</w:t>
      </w:r>
    </w:p>
  </w:footnote>
  <w:footnote w:id="21">
    <w:p>
      <w:pPr>
        <w:pStyle w:val="FootnoteText"/>
      </w:pPr>
      <w:r>
        <w:rPr>
          <w:rStyle w:val="FootnoteReference"/>
        </w:rPr>
        <w:footnoteRef/>
      </w:r>
      <w:r>
        <w:tab/>
      </w:r>
      <w:hyperlink r:id="rId16" w:history="1">
        <w:r>
          <w:rPr>
            <w:rStyle w:val="Hyperlink"/>
          </w:rPr>
          <w:t>Belgian Association of Tax Lawyers și alții</w:t>
        </w:r>
      </w:hyperlink>
      <w:r>
        <w:t>.</w:t>
      </w:r>
    </w:p>
  </w:footnote>
  <w:footnote w:id="22">
    <w:p>
      <w:pPr>
        <w:pStyle w:val="FootnoteText"/>
      </w:pPr>
      <w:r>
        <w:rPr>
          <w:rStyle w:val="FootnoteReference"/>
        </w:rPr>
        <w:footnoteRef/>
      </w:r>
      <w:r>
        <w:tab/>
        <w:t xml:space="preserve">Regulamentul de punere în aplicare (UE) 2018/99 al Comisiei din 22 ianuarie 2018 de modificare a Regulamentului de punere în aplicare (UE) 2015/2378 în ceea ce privește formularul și condițiile de comunicare pentru evaluarea anuală a eficacității schimbului automat de informații și a listei cu datele statistice care urmează să fie furnizate de statele membre în vederea evaluării Directivei 2011/16/UE a Consiliului; JO L 17, 23.1.2018, p. 29-33 ELI: </w:t>
      </w:r>
      <w:hyperlink r:id="rId17" w:history="1">
        <w:r>
          <w:rPr>
            <w:rStyle w:val="Hyperlink"/>
          </w:rPr>
          <w:t>http://data.europa.eu/eli/reg_impl/2018/99/oj</w:t>
        </w:r>
      </w:hyperlink>
      <w:r>
        <w:t xml:space="preserve"> și Regulamentul de punere în aplicare (UE) 2025/1325 al Comisiei din 7 iulie 2025 de modificare a Regulamentului de punere în aplicare (UE) 2015/2378 în ceea ce privește formularele-tip și formatele electronice care trebuie utilizate pentru schimbul automat obligatoriu de informații în temeiul Directivei 2011/16/UE a Consiliului, astfel cum a fost modificată prin Directiva (UE) 2025/872 a Consiliului; JO L, 2025/1325, 17.7.2025, ELI: http://data.europa.eu/eli/reg_impl/2025/1325/oj.</w:t>
      </w:r>
    </w:p>
  </w:footnote>
  <w:footnote w:id="23">
    <w:p>
      <w:pPr>
        <w:pStyle w:val="FootnoteText"/>
      </w:pPr>
      <w:r>
        <w:rPr>
          <w:rStyle w:val="FootnoteReference"/>
        </w:rPr>
        <w:footnoteRef/>
      </w:r>
      <w:r>
        <w:tab/>
        <w:t>JO C […], […], p. […].</w:t>
      </w:r>
    </w:p>
  </w:footnote>
  <w:footnote w:id="24">
    <w:p>
      <w:pPr>
        <w:pStyle w:val="FootnoteText"/>
      </w:pPr>
      <w:r>
        <w:rPr>
          <w:rStyle w:val="FootnoteReference"/>
        </w:rPr>
        <w:footnoteRef/>
      </w:r>
      <w:r>
        <w:tab/>
        <w:t>JO C […], […], p. […].</w:t>
      </w:r>
    </w:p>
  </w:footnote>
  <w:footnote w:id="25">
    <w:p>
      <w:pPr>
        <w:pStyle w:val="FootnoteText"/>
        <w:rPr>
          <w:highlight w:val="lightGray"/>
        </w:rPr>
      </w:pPr>
      <w:r>
        <w:rPr>
          <w:rStyle w:val="FootnoteReference"/>
          <w:highlight w:val="lightGray"/>
        </w:rPr>
        <w:footnoteRef/>
      </w:r>
      <w:r>
        <w:rPr>
          <w:highlight w:val="lightGray"/>
        </w:rPr>
        <w:tab/>
        <w:t xml:space="preserve">Directiva 2011/16/UE a Consiliului din 15 februarie 2011 privind cooperarea administrativă în domeniul fiscal și de abrogare a Directivei 77/799/CEE (JO L 64, 11.3.2011, p. 1, ELI: </w:t>
      </w:r>
      <w:hyperlink r:id="rId18" w:history="1">
        <w:r>
          <w:rPr>
            <w:rStyle w:val="Hyperlink"/>
            <w:highlight w:val="lightGray"/>
          </w:rPr>
          <w:t>http://data.europa.eu/eli/dir/2011/16/oj</w:t>
        </w:r>
      </w:hyperlink>
      <w:r>
        <w:rPr>
          <w:highlight w:val="lightGray"/>
        </w:rPr>
        <w:t>).</w:t>
      </w:r>
    </w:p>
  </w:footnote>
  <w:footnote w:id="26">
    <w:p>
      <w:pPr>
        <w:pStyle w:val="FootnoteText"/>
        <w:rPr>
          <w:highlight w:val="lightGray"/>
        </w:rPr>
      </w:pPr>
      <w:r>
        <w:rPr>
          <w:rStyle w:val="FootnoteReference"/>
          <w:highlight w:val="lightGray"/>
        </w:rPr>
        <w:footnoteRef/>
      </w:r>
      <w:r>
        <w:rPr>
          <w:highlight w:val="lightGray"/>
        </w:rPr>
        <w:tab/>
        <w:t xml:space="preserve">Organizația pentru Cooperare și Dezvoltare Economică, </w:t>
      </w:r>
      <w:r>
        <w:rPr>
          <w:i/>
          <w:highlight w:val="lightGray"/>
        </w:rPr>
        <w:t>Framework for the Automatic Exchange of Readily Available Information on Immovable Property for Tax Purposes: OECD Report to G20 Finance Ministers and Central Bank Governors</w:t>
      </w:r>
      <w:r>
        <w:rPr>
          <w:highlight w:val="lightGray"/>
        </w:rPr>
        <w:t xml:space="preserve"> (OECD Publishing October 2025) (Cadrul pentru schimbul automat de informații ușor accesibile privind bunurile imobile în scopuri fiscale: raportul OCDE către miniștrii de finanțe și guvernatorii băncilor centrale din cadrul G20 (OECD Publishing, octombrie 2025) </w:t>
      </w:r>
      <w:hyperlink r:id="rId19" w:history="1">
        <w:r>
          <w:rPr>
            <w:rStyle w:val="Hyperlink"/>
            <w:highlight w:val="lightGray"/>
          </w:rPr>
          <w:t>https://www.oecd.org/content/dam/oecd/en/topics/policy-issues/tax-transparency-and-international-co-operation/framework-for-the-automatic-exchange-of-readily-available-information-on-immovable-property-for-tax-purposes.pdf</w:t>
        </w:r>
      </w:hyperlink>
      <w:r>
        <w:rPr>
          <w:highlight w:val="lightGray"/>
        </w:rPr>
        <w:t xml:space="preserve">. </w:t>
      </w:r>
    </w:p>
  </w:footnote>
  <w:footnote w:id="27">
    <w:p>
      <w:pPr>
        <w:pStyle w:val="FootnoteText"/>
      </w:pPr>
      <w:r>
        <w:rPr>
          <w:rStyle w:val="FootnoteReference"/>
        </w:rPr>
        <w:footnoteRef/>
      </w:r>
      <w:r>
        <w:tab/>
      </w:r>
      <w:r>
        <w:rPr>
          <w:rStyle w:val="CRMinorChangeAdded"/>
        </w:rPr>
        <w:t>OECD (2025), Consolidated text of the Common Reporting Standard (2025): Standard for Automatic Exchange of Financial Account Information in Tax Matters [OCDE (2025), Textul consolidat al Standardului comun de raportare (2025): Standard pentru schimbul automat de informații privind conturile financiare în materie fiscală)], OECD Publishing, Paris, </w:t>
      </w:r>
      <w:hyperlink r:id="rId20" w:history="1">
        <w:r>
          <w:rPr>
            <w:rStyle w:val="CRMinorChangeAdded"/>
          </w:rPr>
          <w:t>https://doi.org/10.1787/055664b1-en</w:t>
        </w:r>
      </w:hyperlink>
      <w:r>
        <w:rPr>
          <w:rStyle w:val="CRMinorChangeAdded"/>
        </w:rPr>
        <w:t>.</w:t>
      </w:r>
    </w:p>
  </w:footnote>
  <w:footnote w:id="28">
    <w:p>
      <w:pPr>
        <w:pStyle w:val="FootnoteText"/>
        <w:rPr>
          <w:highlight w:val="lightGray"/>
        </w:rPr>
      </w:pPr>
      <w:r>
        <w:rPr>
          <w:rStyle w:val="FootnoteReference"/>
          <w:highlight w:val="lightGray"/>
        </w:rPr>
        <w:footnoteRef/>
      </w:r>
      <w:r>
        <w:tab/>
      </w:r>
      <w:r>
        <w:rPr>
          <w:highlight w:val="lightGray"/>
        </w:rPr>
        <w:t>OCDE (2015), </w:t>
      </w:r>
      <w:r>
        <w:rPr>
          <w:i/>
          <w:highlight w:val="lightGray"/>
        </w:rPr>
        <w:t>Transfer Pricing Documentation and Country-by-Country Reporting, Action 13 - 2015 Final Report</w:t>
      </w:r>
      <w:r>
        <w:rPr>
          <w:highlight w:val="lightGray"/>
        </w:rPr>
        <w:t xml:space="preserve"> (Documentarea prețurilor de transfer și raportarea pentru fiecare țară în parte), OECD/G20 Base Erosion and Profit Shifting Project (Proiect privind erodarea bazei impozabile și transferul profiturilor al OCDE/G20), OECD Publishing, Paris, </w:t>
      </w:r>
      <w:hyperlink r:id="rId21" w:history="1">
        <w:r>
          <w:rPr>
            <w:rStyle w:val="Hyperlink"/>
            <w:highlight w:val="lightGray"/>
          </w:rPr>
          <w:t>https://doi.org/10.1787/9789264241480-en</w:t>
        </w:r>
      </w:hyperlink>
      <w:r>
        <w:rPr>
          <w:highlight w:val="lightGray"/>
        </w:rPr>
        <w:t>.</w:t>
      </w:r>
    </w:p>
  </w:footnote>
  <w:footnote w:id="29">
    <w:p>
      <w:pPr>
        <w:pStyle w:val="FootnoteText"/>
        <w:rPr>
          <w:highlight w:val="lightGray"/>
        </w:rPr>
      </w:pPr>
      <w:r>
        <w:rPr>
          <w:rStyle w:val="FootnoteReference"/>
          <w:highlight w:val="lightGray"/>
        </w:rPr>
        <w:footnoteRef/>
      </w:r>
      <w:r>
        <w:tab/>
      </w:r>
      <w:r>
        <w:rPr>
          <w:highlight w:val="lightGray"/>
        </w:rPr>
        <w:t xml:space="preserve">Hotărârea Curții de Justiție din 8 decembrie 2022, </w:t>
      </w:r>
      <w:r>
        <w:rPr>
          <w:i/>
          <w:highlight w:val="lightGray"/>
        </w:rPr>
        <w:t>Orde van Vlaamse Balies și alții</w:t>
      </w:r>
      <w:r>
        <w:rPr>
          <w:highlight w:val="lightGray"/>
        </w:rPr>
        <w:t xml:space="preserve">, C-649/20, ECLI </w:t>
      </w:r>
      <w:hyperlink r:id="rId22" w:history="1">
        <w:r>
          <w:rPr>
            <w:rStyle w:val="Hyperlink"/>
            <w:i/>
            <w:highlight w:val="lightGray"/>
          </w:rPr>
          <w:t>Orde van Vlaamse Balies și alții</w:t>
        </w:r>
      </w:hyperlink>
      <w:r>
        <w:rPr>
          <w:highlight w:val="lightGray"/>
        </w:rPr>
        <w:t xml:space="preserve">. </w:t>
      </w:r>
    </w:p>
  </w:footnote>
  <w:footnote w:id="30">
    <w:p>
      <w:pPr>
        <w:pStyle w:val="FootnoteText"/>
        <w:rPr>
          <w:highlight w:val="lightGray"/>
        </w:rPr>
      </w:pPr>
      <w:r>
        <w:rPr>
          <w:rStyle w:val="FootnoteReference"/>
          <w:highlight w:val="lightGray"/>
        </w:rPr>
        <w:footnoteRef/>
      </w:r>
      <w:r>
        <w:tab/>
      </w:r>
      <w:r>
        <w:rPr>
          <w:highlight w:val="lightGray"/>
        </w:rPr>
        <w:t xml:space="preserve">Hotărârea Curții de Justiție din 29 iulie 2024, </w:t>
      </w:r>
      <w:bookmarkStart w:id="27" w:name="_Hlk231460761"/>
      <w:r>
        <w:rPr>
          <w:i/>
          <w:highlight w:val="lightGray"/>
        </w:rPr>
        <w:t>Belgian Association of Tax Lawyers și alții</w:t>
      </w:r>
      <w:bookmarkEnd w:id="27"/>
      <w:r>
        <w:rPr>
          <w:highlight w:val="lightGray"/>
        </w:rPr>
        <w:t xml:space="preserve">, C-623/22, ECLI </w:t>
      </w:r>
      <w:hyperlink r:id="rId23" w:history="1">
        <w:r>
          <w:rPr>
            <w:rStyle w:val="Hyperlink"/>
            <w:i/>
            <w:highlight w:val="lightGray"/>
          </w:rPr>
          <w:t>Belgian Association of Tax Lawyers și alții</w:t>
        </w:r>
      </w:hyperlink>
      <w:r>
        <w:rPr>
          <w:highlight w:val="lightGray"/>
        </w:rPr>
        <w:t>.</w:t>
      </w:r>
    </w:p>
  </w:footnote>
  <w:footnote w:id="31">
    <w:p>
      <w:pPr>
        <w:pStyle w:val="FootnoteText"/>
        <w:rPr>
          <w:highlight w:val="lightGray"/>
        </w:rPr>
      </w:pPr>
      <w:r>
        <w:rPr>
          <w:rStyle w:val="FootnoteReference"/>
          <w:highlight w:val="lightGray"/>
        </w:rPr>
        <w:footnoteRef/>
      </w:r>
      <w:r>
        <w:tab/>
      </w:r>
      <w:r>
        <w:rPr>
          <w:highlight w:val="lightGray"/>
        </w:rPr>
        <w:t xml:space="preserve">Directiva 98/5/CE a Parlamentului European și a Consiliului din 16 februarie 1998 de facilitare a exercitării cu caracter permanent a profesiei de avocat într-un stat membru, altul decât cel în care s-a obținut calificarea; JO L 77, 14.3.1998, p. 36, ELI: </w:t>
      </w:r>
      <w:hyperlink r:id="rId24" w:history="1">
        <w:r>
          <w:rPr>
            <w:rStyle w:val="Hyperlink"/>
            <w:highlight w:val="lightGray"/>
          </w:rPr>
          <w:t>http://data.europa.eu/eli/dir/1998/5/oj</w:t>
        </w:r>
      </w:hyperlink>
      <w:r>
        <w:rPr>
          <w:highlight w:val="lightGray"/>
        </w:rPr>
        <w:t>.</w:t>
      </w:r>
    </w:p>
  </w:footnote>
  <w:footnote w:id="32">
    <w:p>
      <w:pPr>
        <w:pStyle w:val="FootnoteText"/>
        <w:rPr>
          <w:highlight w:val="lightGray"/>
        </w:rPr>
      </w:pPr>
      <w:r>
        <w:rPr>
          <w:rStyle w:val="FootnoteReference"/>
          <w:highlight w:val="lightGray"/>
        </w:rPr>
        <w:footnoteRef/>
      </w:r>
      <w:r>
        <w:rPr>
          <w:highlight w:val="lightGray"/>
        </w:rPr>
        <w:tab/>
        <w:t>Directiva (UE) 2022/2523 a Consiliului din 14 decembrie 2022 privind asigurarea unui nivel minim global de impozitare a grupurilor de întreprinderi multinaționale și a grupurilor naționale de mari dimensiuni în Uniune; JO L 328, 22.12.2022, p. 1</w:t>
      </w:r>
      <w:r>
        <w:rPr>
          <w:i/>
          <w:highlight w:val="lightGray"/>
        </w:rPr>
        <w:t xml:space="preserve">, </w:t>
      </w:r>
      <w:r>
        <w:rPr>
          <w:highlight w:val="lightGray"/>
        </w:rPr>
        <w:t>ELI: </w:t>
      </w:r>
      <w:hyperlink r:id="rId25" w:tooltip="Oferă acces la acest document prin identificatorul său uniform de resurse ELI." w:history="1">
        <w:r>
          <w:rPr>
            <w:rStyle w:val="Hyperlink"/>
            <w:highlight w:val="lightGray"/>
          </w:rPr>
          <w:t>http://data.europa.eu/eli/dir/2022/2523/oj</w:t>
        </w:r>
      </w:hyperlink>
      <w:r>
        <w:rPr>
          <w:highlight w:val="lightGray"/>
        </w:rPr>
        <w:t>.</w:t>
      </w:r>
    </w:p>
  </w:footnote>
  <w:footnote w:id="33">
    <w:p>
      <w:pPr>
        <w:pStyle w:val="FootnoteText"/>
      </w:pPr>
      <w:r>
        <w:rPr>
          <w:rStyle w:val="FootnoteReference"/>
        </w:rPr>
        <w:footnoteRef/>
      </w:r>
      <w:r>
        <w:tab/>
        <w:t xml:space="preserve">OCDE (2020), </w:t>
      </w:r>
      <w:r>
        <w:rPr>
          <w:i/>
          <w:iCs/>
        </w:rPr>
        <w:t>Model Rules for Reporting by Platform Operators with respect to Sellers in the Sharing and Gig Economy</w:t>
      </w:r>
      <w:r>
        <w:t xml:space="preserve"> (Norme-tip pentru raportarea de către operatorii de platforme în ceea ce privește vânzătorii din economia colaborativă și din economia muncii la cerere), OCDE, Paris; www.oecd.org/tax/exchange-of-tax-information/model-rules-for-reporting-by-platform-operators-with-respect-tosellers-in-the-sharing-and-gig-economy.htm.</w:t>
      </w:r>
    </w:p>
  </w:footnote>
  <w:footnote w:id="34">
    <w:p>
      <w:pPr>
        <w:pStyle w:val="FootnoteText"/>
      </w:pPr>
      <w:r>
        <w:rPr>
          <w:rStyle w:val="FootnoteReference"/>
        </w:rPr>
        <w:footnoteRef/>
      </w:r>
      <w:r>
        <w:tab/>
      </w:r>
      <w:r>
        <w:rPr>
          <w:rStyle w:val="CRMinorChangeAdded"/>
        </w:rPr>
        <w:t>Regulamentul (UE) 2023/1114 al Parlamentului European și al Consiliului din 31 mai 2023 privind piețele criptoactivelor și de modificare a Regulamentelor (UE) nr. 1093/2010 și (UE) nr. 1095/2010 și a Directivelor 2013/36/UE și (UE) 2019/1937; JO L 150, 9.6.2023, p. 40; ELI: http://data.europa.eu/eli/reg/2023/1114/oj.</w:t>
      </w:r>
    </w:p>
  </w:footnote>
  <w:footnote w:id="35">
    <w:p>
      <w:pPr>
        <w:pStyle w:val="FootnoteText"/>
      </w:pPr>
      <w:r>
        <w:rPr>
          <w:rStyle w:val="FootnoteReference"/>
        </w:rPr>
        <w:footnoteRef/>
      </w:r>
      <w:r>
        <w:tab/>
      </w:r>
      <w:r>
        <w:rPr>
          <w:rStyle w:val="CRMinorChangeAdded"/>
        </w:rPr>
        <w:t>Regulamentul (UE) 2023/1113 al Parlamentului European și al Consiliului din 31 mai 2023 privind informațiile care însoțesc transferurile de fonduri și de anumite criptoactive și de modificare a Directivei (UE) 2015/849; JO L 150, 9.6.2023, p. 1; ELI: http://data.europa.eu/eli/reg/2023/1113/oj.</w:t>
      </w:r>
    </w:p>
  </w:footnote>
  <w:footnote w:id="36">
    <w:p>
      <w:pPr>
        <w:pStyle w:val="FootnoteText"/>
      </w:pPr>
      <w:r>
        <w:rPr>
          <w:rStyle w:val="FootnoteReference"/>
        </w:rPr>
        <w:footnoteRef/>
      </w:r>
      <w:r>
        <w:tab/>
      </w:r>
      <w:r>
        <w:rPr>
          <w:rStyle w:val="CRMinorChangeAdded"/>
        </w:rPr>
        <w:t xml:space="preserve">OCDE (2023), </w:t>
      </w:r>
      <w:r>
        <w:rPr>
          <w:rStyle w:val="CRMinorChangeAdded"/>
          <w:i/>
          <w:iCs/>
        </w:rPr>
        <w:t>International Standards for Automatic Exchange of Information in Tax Matters:</w:t>
      </w:r>
      <w:r>
        <w:rPr>
          <w:rStyle w:val="CRMinorChangeAdded"/>
        </w:rPr>
        <w:t xml:space="preserve"> </w:t>
      </w:r>
      <w:r>
        <w:rPr>
          <w:rStyle w:val="CRMinorChangeAdded"/>
          <w:i/>
          <w:iCs/>
        </w:rPr>
        <w:t>Crypto-Asset Reporting Framework and 2023 update to the Common Reporting Standard</w:t>
      </w:r>
      <w:r>
        <w:rPr>
          <w:rStyle w:val="CRMinorChangeAdded"/>
        </w:rPr>
        <w:t xml:space="preserve"> (Standardele internaționale pentru schimbul automat de informații în materie fiscală: Cadrul de raportare privind criptoactivele și Standardul comun de raportare actualizat în 2023), OCDE Publishing, Paris, https://doi.org/10.1787/896d79d1-en.</w:t>
      </w:r>
    </w:p>
  </w:footnote>
  <w:footnote w:id="37">
    <w:p>
      <w:pPr>
        <w:pStyle w:val="FootnoteText"/>
        <w:rPr>
          <w:highlight w:val="lightGray"/>
        </w:rPr>
      </w:pPr>
      <w:r>
        <w:rPr>
          <w:rStyle w:val="FootnoteReference"/>
          <w:highlight w:val="lightGray"/>
        </w:rPr>
        <w:footnoteRef/>
      </w:r>
      <w:r>
        <w:tab/>
      </w:r>
      <w:r>
        <w:rPr>
          <w:rStyle w:val="CRMinorChangeAdded"/>
          <w:highlight w:val="lightGray"/>
        </w:rPr>
        <w:t xml:space="preserve">OCDE (2025), </w:t>
      </w:r>
      <w:r>
        <w:rPr>
          <w:rStyle w:val="CRMinorChangeAdded"/>
          <w:i/>
          <w:iCs/>
          <w:highlight w:val="lightGray"/>
        </w:rPr>
        <w:t>Tax Challenges Arising from the Digitalisation of the Economy – GloBE Information Return (January 2025):</w:t>
      </w:r>
      <w:r>
        <w:rPr>
          <w:rStyle w:val="CRMinorChangeAdded"/>
          <w:highlight w:val="lightGray"/>
        </w:rPr>
        <w:t xml:space="preserve"> </w:t>
      </w:r>
      <w:r>
        <w:rPr>
          <w:rStyle w:val="CRMinorChangeAdded"/>
          <w:i/>
          <w:iCs/>
          <w:highlight w:val="lightGray"/>
        </w:rPr>
        <w:t>Inclusive Framework on BEPS</w:t>
      </w:r>
      <w:r>
        <w:rPr>
          <w:rStyle w:val="CRMinorChangeAdded"/>
          <w:highlight w:val="lightGray"/>
        </w:rPr>
        <w:t xml:space="preserve"> [Provocările fiscale generate de digitalizarea economiei – Declarația informativă GloBE (ianuarie 2025): Cadrul incluziv privind BEPS], Proiect privind erodarea bazei impozabile și transferul profiturilor al OCDE/G20, OECD Publishing, Paris, https://doi.org/10.1787/a05ec99a-en.</w:t>
      </w:r>
    </w:p>
  </w:footnote>
  <w:footnote w:id="38">
    <w:p>
      <w:pPr>
        <w:pStyle w:val="FootnoteText"/>
      </w:pPr>
      <w:r>
        <w:rPr>
          <w:rStyle w:val="FootnoteReference"/>
        </w:rPr>
        <w:footnoteRef/>
      </w:r>
      <w:r>
        <w:tab/>
      </w:r>
      <w:r>
        <w:rPr>
          <w:rStyle w:val="CRMinorChangeAdded"/>
        </w:rPr>
        <w:t xml:space="preserve">Regulamentul (UE) 2021/847 al Parlamentului European și al Consiliului din 20 mai 2021 de instituire a programului Fiscalis pentru cooperare în domeniul fiscal și de abrogare a Regulamentului (UE) nr. 1286/2013; JO L 188, 28.5.2021, p. 1; ELI: http://data.europa.eu/eli/reg/2021/847/oj. </w:t>
      </w:r>
    </w:p>
  </w:footnote>
  <w:footnote w:id="39">
    <w:p>
      <w:pPr>
        <w:pStyle w:val="FootnoteText"/>
      </w:pPr>
      <w:r>
        <w:rPr>
          <w:rStyle w:val="FootnoteReference"/>
        </w:rPr>
        <w:footnoteRef/>
      </w:r>
      <w:r>
        <w:tab/>
      </w:r>
      <w:r>
        <w:rPr>
          <w:rStyle w:val="CRMinorChangeAdded"/>
        </w:rPr>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http://data.europa.eu/eli/reg/2011/182/oj).</w:t>
      </w:r>
    </w:p>
  </w:footnote>
  <w:footnote w:id="40">
    <w:p>
      <w:pPr>
        <w:pStyle w:val="FootnoteText"/>
        <w:rPr>
          <w:highlight w:val="lightGray"/>
        </w:rPr>
      </w:pPr>
      <w:r>
        <w:rPr>
          <w:rStyle w:val="FootnoteReference"/>
          <w:highlight w:val="lightGray"/>
        </w:rPr>
        <w:footnoteRef/>
      </w:r>
      <w:r>
        <w:rPr>
          <w:highlight w:val="lightGray"/>
        </w:rPr>
        <w:tab/>
        <w:t xml:space="preserve">Text consolidat: Regulamentul (UE) nr. 910/2014 al Parlamentului European și al Consiliului din 23 iulie 2014 privind identificarea electronică și serviciile de încredere pentru tranzacțiile electronice pe piața internă și de abrogare a Directivei 1999/93/CE; ELI: </w:t>
      </w:r>
      <w:hyperlink r:id="rId26" w:history="1">
        <w:r>
          <w:rPr>
            <w:rStyle w:val="Hyperlink"/>
            <w:highlight w:val="lightGray"/>
          </w:rPr>
          <w:t>http://data.europa.eu/eli/reg/2014/910/2024-10-18</w:t>
        </w:r>
      </w:hyperlink>
      <w:r>
        <w:rPr>
          <w:highlight w:val="lightGray"/>
        </w:rPr>
        <w:t>.</w:t>
      </w:r>
    </w:p>
  </w:footnote>
  <w:footnote w:id="41">
    <w:p>
      <w:pPr>
        <w:pStyle w:val="FootnoteText"/>
        <w:rPr>
          <w:highlight w:val="lightGray"/>
        </w:rPr>
      </w:pPr>
      <w:r>
        <w:rPr>
          <w:rStyle w:val="FootnoteReference"/>
          <w:highlight w:val="lightGray"/>
        </w:rPr>
        <w:footnoteRef/>
      </w:r>
      <w:r>
        <w:tab/>
      </w:r>
      <w:r>
        <w:rPr>
          <w:highlight w:val="lightGray"/>
        </w:rPr>
        <w:t xml:space="preserve">Directiva (UE) 2024/1640 a Parlamentului European și a Consiliului din 31 mai 2024 privind mecanismele care trebuie instituite de statele membre pentru prevenirea utilizării sistemului financiar în scopul spălării banilor sau finanțării terorismului, de modificare a Directivei (UE) 2019/1937 și de modificare și abrogare a Directivei (UE) 2015/849; JO L, 2024/1640, 19.6.2024; ELI: </w:t>
      </w:r>
      <w:hyperlink r:id="rId27" w:history="1">
        <w:r>
          <w:rPr>
            <w:rStyle w:val="Hyperlink"/>
            <w:highlight w:val="lightGray"/>
          </w:rPr>
          <w:t>http://data.europa.eu/eli/dir/2024/1640/oj</w:t>
        </w:r>
      </w:hyperlink>
      <w:r>
        <w:rPr>
          <w:highlight w:val="lightGray"/>
        </w:rPr>
        <w:t xml:space="preserve">. </w:t>
      </w:r>
    </w:p>
  </w:footnote>
  <w:footnote w:id="42">
    <w:p>
      <w:pPr>
        <w:pStyle w:val="FootnoteText"/>
      </w:pPr>
      <w:r>
        <w:rPr>
          <w:rStyle w:val="FootnoteReference"/>
        </w:rPr>
        <w:footnoteRef/>
      </w:r>
      <w: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w:t>
      </w:r>
      <w:hyperlink r:id="rId28" w:tooltip="Oferă acces la acest document prin identificatorul său uniform de resurse ELI." w:history="1">
        <w:r>
          <w:rPr>
            <w:rStyle w:val="Hyperlink"/>
          </w:rPr>
          <w:t>http://data.europa.eu/eli/reg/2016/679/oj</w:t>
        </w:r>
      </w:hyperlink>
      <w:r>
        <w:t xml:space="preserve">. </w:t>
      </w:r>
    </w:p>
  </w:footnote>
  <w:footnote w:id="43">
    <w:p>
      <w:pPr>
        <w:pStyle w:val="FootnoteText"/>
        <w:rPr>
          <w:highlight w:val="lightGray"/>
        </w:rPr>
      </w:pPr>
      <w:r>
        <w:rPr>
          <w:rStyle w:val="FootnoteReference"/>
          <w:highlight w:val="lightGray"/>
        </w:rPr>
        <w:footnoteRef/>
      </w:r>
      <w:r>
        <w:tab/>
      </w:r>
      <w:r>
        <w:rPr>
          <w:highlight w:val="lightGray"/>
        </w:rPr>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39-98, ELI: </w:t>
      </w:r>
      <w:hyperlink r:id="rId29" w:tooltip="Oferă acces la acest document prin identificatorul său uniform de resurse ELI." w:history="1">
        <w:r>
          <w:rPr>
            <w:rStyle w:val="Hyperlink"/>
            <w:highlight w:val="lightGray"/>
          </w:rPr>
          <w:t>http://data.europa.eu/eli/reg/2018/1725/oj</w:t>
        </w:r>
      </w:hyperlink>
      <w:r>
        <w:rPr>
          <w:highlight w:val="lightGray"/>
        </w:rPr>
        <w:t>.</w:t>
      </w:r>
    </w:p>
  </w:footnote>
  <w:footnote w:id="44">
    <w:p>
      <w:pPr>
        <w:pStyle w:val="FootnoteText"/>
        <w:rPr>
          <w:highlight w:val="lightGray"/>
        </w:rPr>
      </w:pPr>
      <w:r>
        <w:rPr>
          <w:rStyle w:val="FootnoteReference"/>
          <w:highlight w:val="lightGray"/>
        </w:rPr>
        <w:footnoteRef/>
      </w:r>
      <w:r>
        <w:rPr>
          <w:highlight w:val="lightGray"/>
        </w:rPr>
        <w:tab/>
        <w:t xml:space="preserve">Regulamentul (CE) nr. 223/2009 al Parlamentului European și al Consiliului din 11 martie 2009 privind statisticile europene și de abrogare a Regulamentului (CE, Euratom) nr. 1101/2008 al Parlamentului European și al Consiliului privind transmiterea de date statistice confidențiale Biroului Statistic al Comunităților Europene, a Regulamentului (CE) nr. 322/97 al Consiliului privind statisticile comunitare și a Deciziei 89/382/CEE, Euratom a Consiliului de constituire a Comitetului pentru programele statistice ale Comunităților Europene (Text cu relevanță pentru SEE și Elveția); </w:t>
      </w:r>
      <w:hyperlink r:id="rId30" w:history="1">
        <w:r>
          <w:rPr>
            <w:rStyle w:val="Hyperlink"/>
            <w:highlight w:val="lightGray"/>
          </w:rPr>
          <w:t>http://data.europa.eu/eli/reg/2009/223/2024-12-26</w:t>
        </w:r>
      </w:hyperlink>
      <w:r>
        <w:rPr>
          <w:highlight w:val="lightGray"/>
        </w:rPr>
        <w:t>.</w:t>
      </w:r>
    </w:p>
  </w:footnote>
  <w:footnote w:id="45">
    <w:p>
      <w:pPr>
        <w:pStyle w:val="FootnoteText"/>
        <w:rPr>
          <w:highlight w:val="lightGray"/>
        </w:rPr>
      </w:pPr>
      <w:r>
        <w:rPr>
          <w:rStyle w:val="FootnoteReference"/>
          <w:highlight w:val="lightGray"/>
        </w:rPr>
        <w:footnoteRef/>
      </w:r>
      <w:r>
        <w:rPr>
          <w:highlight w:val="lightGray"/>
        </w:rPr>
        <w:tab/>
        <w:t xml:space="preserve">Regulamentul (UE) 2022/2065 al Parlamentului European și al Consiliului din 19 octombrie 2022 privind o piață unică pentru serviciile digitale și de modificare a Directivei 2000/31/CE (Regulamentul privind serviciile digitale), JO L 277, 27.10.2022, p. 1, ELI: </w:t>
      </w:r>
      <w:hyperlink r:id="rId31" w:history="1">
        <w:r>
          <w:rPr>
            <w:rStyle w:val="Hyperlink"/>
            <w:highlight w:val="lightGray"/>
          </w:rPr>
          <w:t>http://data.europa.eu/eli/reg/2022/2065/oj</w:t>
        </w:r>
      </w:hyperlink>
      <w:r>
        <w:rPr>
          <w:highlight w:val="lightGray"/>
        </w:rPr>
        <w:t>.</w:t>
      </w:r>
    </w:p>
  </w:footnote>
  <w:footnote w:id="46">
    <w:p>
      <w:pPr>
        <w:pStyle w:val="FootnoteText"/>
        <w:rPr>
          <w:highlight w:val="lightGray"/>
        </w:rPr>
      </w:pPr>
      <w:r>
        <w:rPr>
          <w:rStyle w:val="FootnoteReference"/>
          <w:highlight w:val="lightGray"/>
        </w:rPr>
        <w:footnoteRef/>
      </w:r>
      <w:r>
        <w:rPr>
          <w:highlight w:val="lightGray"/>
        </w:rPr>
        <w:tab/>
        <w:t xml:space="preserve">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39-98; ELI: </w:t>
      </w:r>
      <w:hyperlink r:id="rId32" w:history="1">
        <w:r>
          <w:rPr>
            <w:rStyle w:val="Hyperlink"/>
            <w:highlight w:val="lightGray"/>
          </w:rPr>
          <w:t>http://data.europa.eu/eli/reg/2018/1725/oj</w:t>
        </w:r>
      </w:hyperlink>
      <w:r>
        <w:rPr>
          <w:highlight w:val="lightGray"/>
        </w:rPr>
        <w:t>.</w:t>
      </w:r>
    </w:p>
  </w:footnote>
  <w:footnote w:id="47">
    <w:p>
      <w:pPr>
        <w:pStyle w:val="FootnoteText"/>
        <w:rPr>
          <w:highlight w:val="lightGray"/>
        </w:rPr>
      </w:pPr>
      <w:r>
        <w:rPr>
          <w:rStyle w:val="FootnoteReference"/>
          <w:highlight w:val="lightGray"/>
        </w:rPr>
        <w:footnoteRef/>
      </w:r>
      <w:r>
        <w:rPr>
          <w:highlight w:val="lightGray"/>
        </w:rPr>
        <w:tab/>
        <w:t>[….]</w:t>
      </w:r>
    </w:p>
  </w:footnote>
  <w:footnote w:id="48">
    <w:p>
      <w:pPr>
        <w:pStyle w:val="FootnoteText"/>
      </w:pPr>
      <w:r>
        <w:rPr>
          <w:rStyle w:val="FootnoteReference"/>
        </w:rPr>
        <w:footnoteRef/>
      </w:r>
      <w:r>
        <w:tab/>
        <w:t>Regulamentul (UE) 2023/1114 al Parlamentului European și al Consiliului din 31 mai 2023 privind piețele criptoactivelor și de modificare a Regulamentelor (UE) nr. 1093/2010 și (UE) nr. 1095/2010 și a Directivelor 2013/36/UE și (UE) 2019/1937 (JO L 150, 9.6.2023, p. 40).</w:t>
      </w:r>
    </w:p>
  </w:footnote>
  <w:footnote w:id="49">
    <w:p>
      <w:pPr>
        <w:pStyle w:val="FootnoteText"/>
      </w:pPr>
      <w:r>
        <w:rPr>
          <w:rStyle w:val="FootnoteReference"/>
        </w:rPr>
        <w:footnoteRef/>
      </w:r>
      <w:r>
        <w:tab/>
      </w:r>
      <w:r>
        <w:rPr>
          <w:rStyle w:val="CRMinorChangeDeleted"/>
        </w:rPr>
        <w:t>Directiva (UE) 2022/2523 a Consiliului din 15 decembrie 2022 privind asigurarea unui nivel minim global de impozitare a grupurilor de întreprinderi multinaționale și a grupurilor naționale de mari dimensiuni în Uniune (JO L 328, 22.12.2022, p. 1, ELI: http://data.europa.eu/eli/dir/2022/2523/oj).</w:t>
      </w:r>
    </w:p>
  </w:footnote>
  <w:footnote w:id="50">
    <w:p>
      <w:pPr>
        <w:pStyle w:val="FootnoteText"/>
        <w:rPr>
          <w:highlight w:val="lightGray"/>
        </w:rPr>
      </w:pPr>
      <w:r>
        <w:rPr>
          <w:rStyle w:val="FootnoteReference"/>
          <w:highlight w:val="lightGray"/>
        </w:rPr>
        <w:footnoteRef/>
      </w:r>
      <w:r>
        <w:tab/>
      </w:r>
      <w:r>
        <w:rPr>
          <w:highlight w:val="lightGray"/>
        </w:rPr>
        <w:t xml:space="preserve">Regulamentul (UE) 2024/1624 al Parlamentului European și al Consiliului din 31 mai 2024 privind prevenirea utilizării sistemului financiar în scopul spălării banilor sau finanțării terorismului (Text cu relevanță pentru SEE); JO L, 2024/1624, 19.6.2024, ELI: </w:t>
      </w:r>
      <w:hyperlink r:id="rId33" w:history="1">
        <w:r>
          <w:rPr>
            <w:rStyle w:val="Hyperlink"/>
            <w:highlight w:val="lightGray"/>
          </w:rPr>
          <w:t>http://data.europa.eu/eli/reg/2024/1624/oj</w:t>
        </w:r>
      </w:hyperlink>
      <w:r>
        <w:rPr>
          <w:highlight w:val="lightGray"/>
        </w:rPr>
        <w:t>.</w:t>
      </w:r>
    </w:p>
  </w:footnote>
  <w:footnote w:id="51">
    <w:p>
      <w:pPr>
        <w:pStyle w:val="FootnoteText"/>
      </w:pPr>
      <w:r>
        <w:rPr>
          <w:rStyle w:val="FootnoteReference"/>
        </w:rPr>
        <w:footnoteRef/>
      </w:r>
      <w:r>
        <w:tab/>
        <w:t xml:space="preserve">Directiva 2011/96/UE a Consiliului din 30 noiembrie 2011 privind regimul fiscal comun care se aplică societăților-mamă și filialelor acestora din diferite state membre (JO L 345, 29.12.2011, p. 8 </w:t>
      </w:r>
      <w:bookmarkStart w:id="35" w:name="_Hlk231475286"/>
      <w:r>
        <w:rPr>
          <w:rStyle w:val="CRMinorChangeAdded"/>
        </w:rPr>
        <w:t>ELI: http://data.europa.eu/eli/dir/2011/96/oj</w:t>
      </w:r>
      <w:bookmarkEnd w:id="35"/>
      <w:r>
        <w:t>).</w:t>
      </w:r>
    </w:p>
  </w:footnote>
  <w:footnote w:id="52">
    <w:p>
      <w:pPr>
        <w:pStyle w:val="FootnoteText"/>
      </w:pPr>
      <w:r>
        <w:rPr>
          <w:rStyle w:val="FootnoteReference"/>
        </w:rPr>
        <w:footnoteRef/>
      </w:r>
      <w:r>
        <w:tab/>
      </w:r>
      <w:r>
        <w:rPr>
          <w:rStyle w:val="CRDeleted"/>
        </w:rPr>
        <w:t>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ale Consiliului (JO L 182, 29.6.2013, p. 19).</w:t>
      </w:r>
    </w:p>
  </w:footnote>
  <w:footnote w:id="53">
    <w:p>
      <w:pPr>
        <w:pStyle w:val="FootnoteText"/>
      </w:pPr>
      <w:r>
        <w:rPr>
          <w:rStyle w:val="FootnoteReference"/>
        </w:rPr>
        <w:footnoteRef/>
      </w:r>
      <w:r>
        <w:tab/>
        <w:t>Directiva 2010/24/UE a Consiliului din 16 martie 2010 privind asistența reciprocă în materie de recuperare a creanțelor legate de taxe, impozite, drepturi și alte măsuri (JO L 84, 31.3.2010, p. 1, ELI: </w:t>
      </w:r>
      <w:hyperlink r:id="rId34" w:tooltip="Oferă acces la acest document prin identificatorul său uniform de resurse ELI." w:history="1">
        <w:r>
          <w:rPr>
            <w:rStyle w:val="Hyperlink"/>
          </w:rPr>
          <w:t>http://data.europa.eu/eli/dir/2010/24/oj</w:t>
        </w:r>
      </w:hyperlink>
      <w:r>
        <w:t>).</w:t>
      </w:r>
    </w:p>
  </w:footnote>
  <w:footnote w:id="54">
    <w:p>
      <w:pPr>
        <w:pStyle w:val="FootnoteText"/>
      </w:pPr>
      <w:r>
        <w:rPr>
          <w:rStyle w:val="FootnoteReference"/>
        </w:rPr>
        <w:footnoteRef/>
      </w:r>
      <w:r>
        <w:tab/>
      </w:r>
      <w:r>
        <w:rPr>
          <w:rStyle w:val="CRMinorChangeDeleted"/>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55">
    <w:p>
      <w:pPr>
        <w:pStyle w:val="FootnoteText"/>
      </w:pPr>
      <w:r>
        <w:rPr>
          <w:rStyle w:val="FootnoteReference"/>
        </w:rPr>
        <w:footnoteRef/>
      </w:r>
      <w:r>
        <w:tab/>
      </w:r>
      <w:r>
        <w:rPr>
          <w:rStyle w:val="CRMinorChangeDeleted"/>
        </w:rPr>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30; ELI: http://data.europa.eu/eli/reg/2018/1725/oj.</w:t>
      </w:r>
    </w:p>
  </w:footnote>
  <w:footnote w:id="56">
    <w:p>
      <w:pPr>
        <w:pStyle w:val="FootnoteText"/>
      </w:pPr>
      <w:r>
        <w:rPr>
          <w:rStyle w:val="FootnoteReference"/>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57">
    <w:p>
      <w:pPr>
        <w:pStyle w:val="FootnoteText"/>
      </w:pPr>
      <w:r>
        <w:rPr>
          <w:rStyle w:val="FootnoteReference"/>
        </w:rPr>
        <w:footnoteRef/>
      </w:r>
      <w:r>
        <w:tab/>
        <w:t>Astfel cum se menționează la articolul 58 alineatul (2) litera (a) sau (b) din Regulamentul financiar.</w:t>
      </w:r>
    </w:p>
  </w:footnote>
  <w:footnote w:id="58">
    <w:p>
      <w:pPr>
        <w:pStyle w:val="FootnoteText"/>
      </w:pPr>
      <w:r>
        <w:rPr>
          <w:rStyle w:val="FootnoteReference"/>
        </w:rPr>
        <w:footnoteRef/>
      </w:r>
      <w:r>
        <w:tab/>
        <w:t xml:space="preserve">Propunere de Regulament al Parlamentului European și al Consiliului de instituire a Programului privind piața unică și domeniul vamal pentru perioada 2028-2034 și de abrogare a Regulamentelor (UE) 2021/444, (UE) 2021/690, (UE) 2021/785, (UE) 2021/847 și (UE) 2021/1077 </w:t>
      </w:r>
      <w:hyperlink r:id="rId35" w:history="1">
        <w:r>
          <w:rPr>
            <w:rStyle w:val="Hyperlink"/>
          </w:rPr>
          <w:t>2b258769-ecbc-4b4a-b3d5-e99c28752c75_en</w:t>
        </w:r>
      </w:hyperlink>
      <w:r>
        <w:t>.</w:t>
      </w:r>
    </w:p>
  </w:footnote>
  <w:footnote w:id="59">
    <w:p>
      <w:pPr>
        <w:pStyle w:val="FootnoteText"/>
      </w:pPr>
      <w:r>
        <w:rPr>
          <w:rStyle w:val="FootnoteReference"/>
        </w:rPr>
        <w:footnoteRef/>
      </w:r>
      <w:r>
        <w:tab/>
        <w:t>Regulamentul (CE) nr. 1073/1999 al Parlamentului European și al Consiliului din 25 mai 1999 privind investigațiile efectuate de Oficiul European de Luptă Antifraudă (OLAF), JO L 136, 31.5.1999, p. 1.</w:t>
      </w:r>
    </w:p>
  </w:footnote>
  <w:footnote w:id="60">
    <w:p>
      <w:pPr>
        <w:pStyle w:val="FootnoteText"/>
      </w:pPr>
      <w:r>
        <w:rPr>
          <w:rStyle w:val="FootnoteReference"/>
        </w:rPr>
        <w:footnoteRef/>
      </w:r>
      <w:r>
        <w:tab/>
        <w:t>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footnote>
  <w:footnote w:id="61">
    <w:p>
      <w:pPr>
        <w:pStyle w:val="FootnoteText"/>
      </w:pPr>
      <w:r>
        <w:rPr>
          <w:rStyle w:val="FootnoteReference"/>
        </w:rPr>
        <w:footnoteRef/>
      </w:r>
      <w:r>
        <w:tab/>
        <w:t>Dif. = credite diferențiate / Nedif. = credite nediferențiate.</w:t>
      </w:r>
    </w:p>
  </w:footnote>
  <w:footnote w:id="62">
    <w:p>
      <w:pPr>
        <w:pStyle w:val="FootnoteText"/>
      </w:pPr>
      <w:r>
        <w:rPr>
          <w:rStyle w:val="FootnoteReference"/>
        </w:rPr>
        <w:footnoteRef/>
      </w:r>
      <w:r>
        <w:tab/>
        <w:t xml:space="preserve">AELS: Asociația Europeană a Liberului Schimb. </w:t>
      </w:r>
    </w:p>
  </w:footnote>
  <w:footnote w:id="63">
    <w:p>
      <w:pPr>
        <w:pStyle w:val="FootnoteText"/>
      </w:pPr>
      <w:r>
        <w:rPr>
          <w:rStyle w:val="FootnoteReference"/>
        </w:rPr>
        <w:footnoteRef/>
      </w:r>
      <w:r>
        <w:tab/>
        <w:t>Țările candidate și, după caz, candidații potențiali din Balcanii de Vest.</w:t>
      </w:r>
    </w:p>
  </w:footnote>
  <w:footnote w:id="64">
    <w:p>
      <w:pPr>
        <w:pStyle w:val="FootnoteText"/>
        <w:rPr>
          <w:sz w:val="18"/>
          <w:szCs w:val="18"/>
        </w:rPr>
      </w:pPr>
      <w:r>
        <w:rPr>
          <w:rStyle w:val="FootnoteReference"/>
        </w:rPr>
        <w:footnoteRef/>
      </w:r>
      <w:r>
        <w:tab/>
      </w:r>
      <w:r>
        <w:rPr>
          <w:color w:val="000000"/>
          <w:sz w:val="18"/>
          <w:szCs w:val="18"/>
        </w:rPr>
        <w:t>Asistență tehnică și/sau administrativă și cheltuieli de sprijin pentru punerea în aplicare a programelor și/sau a acțiunilor UE (fostele linii „BA”), cercetare indirectă și cercetare directă.</w:t>
      </w:r>
    </w:p>
  </w:footnote>
  <w:footnote w:id="65">
    <w:p>
      <w:pPr>
        <w:pStyle w:val="FootnoteText"/>
      </w:pPr>
      <w:r>
        <w:rPr>
          <w:rStyle w:val="FootnoteReference"/>
        </w:rPr>
        <w:footnoteRef/>
      </w:r>
      <w:r>
        <w:tab/>
        <w:t>Realizările se referă la produsele și serviciile care urmează a fi furnizate (de ex.: numărul de schimburi de studenți finanțate, numărul de km de drumuri construiți etc.).</w:t>
      </w:r>
    </w:p>
  </w:footnote>
  <w:footnote w:id="66">
    <w:p>
      <w:pPr>
        <w:pStyle w:val="FootnoteText"/>
      </w:pPr>
      <w:r>
        <w:rPr>
          <w:rStyle w:val="FootnoteReference"/>
        </w:rPr>
        <w:footnoteRef/>
      </w:r>
      <w:r>
        <w:tab/>
        <w:t>Conform descrierii din secțiunea 1.3.2. „Obiectiv(e) specific(e)”.</w:t>
      </w:r>
    </w:p>
  </w:footnote>
  <w:footnote w:id="67">
    <w:p>
      <w:pPr>
        <w:pStyle w:val="FootnoteText"/>
      </w:pPr>
      <w:r>
        <w:rPr>
          <w:rStyle w:val="FootnoteReference"/>
        </w:rPr>
        <w:footnoteRef/>
      </w:r>
      <w:r>
        <w:tab/>
        <w:t>Vă rugăm să precizați după tabel câte ENI din numărul indicat sunt deja alocate gestionării acțiunii și/sau pot fi redistribuite în cadrul DG-ului pe care îl reprezentați și care este valoarea nevoilor dumneavoastră nete.</w:t>
      </w:r>
    </w:p>
  </w:footnote>
  <w:footnote w:id="68">
    <w:p>
      <w:pPr>
        <w:pStyle w:val="FootnoteText"/>
      </w:pPr>
      <w:r>
        <w:rPr>
          <w:rStyle w:val="FootnoteReference"/>
        </w:rPr>
        <w:footnoteRef/>
      </w:r>
      <w:r>
        <w:tab/>
        <w:t>În ceea ce privește resursele proprii tradiționale (taxe vamale, cotizații pentru zahăr), sumele indicate trebuie să fie sume nete, și anume sumele brute după deducerea unei cote de 10 % pentru costurile de colectare, astfel cum se propune în COM(2025)574.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BF84A4F"/>
    <w:multiLevelType w:val="hybridMultilevel"/>
    <w:tmpl w:val="D82A3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C519D1"/>
    <w:multiLevelType w:val="hybridMultilevel"/>
    <w:tmpl w:val="347AAB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1478E7"/>
    <w:multiLevelType w:val="hybridMultilevel"/>
    <w:tmpl w:val="24AE6B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6403D4"/>
    <w:multiLevelType w:val="hybridMultilevel"/>
    <w:tmpl w:val="0CB871B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46755D1"/>
    <w:multiLevelType w:val="hybridMultilevel"/>
    <w:tmpl w:val="017C60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8425806"/>
    <w:multiLevelType w:val="hybridMultilevel"/>
    <w:tmpl w:val="2BCCBA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B66027"/>
    <w:multiLevelType w:val="hybridMultilevel"/>
    <w:tmpl w:val="E5B6286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DF2136C"/>
    <w:multiLevelType w:val="hybridMultilevel"/>
    <w:tmpl w:val="B37E72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E7F30DD"/>
    <w:multiLevelType w:val="hybridMultilevel"/>
    <w:tmpl w:val="95D488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FFF2928"/>
    <w:multiLevelType w:val="hybridMultilevel"/>
    <w:tmpl w:val="3EC6A5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3735CF"/>
    <w:multiLevelType w:val="hybridMultilevel"/>
    <w:tmpl w:val="21F4CF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9A02A64"/>
    <w:multiLevelType w:val="hybridMultilevel"/>
    <w:tmpl w:val="F244D5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A506F20"/>
    <w:multiLevelType w:val="hybridMultilevel"/>
    <w:tmpl w:val="BCB8631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AE55538"/>
    <w:multiLevelType w:val="hybridMultilevel"/>
    <w:tmpl w:val="345040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4"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2FDF3B87"/>
    <w:multiLevelType w:val="hybridMultilevel"/>
    <w:tmpl w:val="B15CB7E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7" w15:restartNumberingAfterBreak="0">
    <w:nsid w:val="326F7922"/>
    <w:multiLevelType w:val="hybridMultilevel"/>
    <w:tmpl w:val="C5D4F41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29827FB"/>
    <w:multiLevelType w:val="hybridMultilevel"/>
    <w:tmpl w:val="F7307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3F155C82"/>
    <w:multiLevelType w:val="hybridMultilevel"/>
    <w:tmpl w:val="573CE9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1325E4A"/>
    <w:multiLevelType w:val="hybridMultilevel"/>
    <w:tmpl w:val="F36C1E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35" w15:restartNumberingAfterBreak="0">
    <w:nsid w:val="42FF6B42"/>
    <w:multiLevelType w:val="hybridMultilevel"/>
    <w:tmpl w:val="EAEE605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32700C7"/>
    <w:multiLevelType w:val="hybridMultilevel"/>
    <w:tmpl w:val="1BB66B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445F2D8A"/>
    <w:multiLevelType w:val="hybridMultilevel"/>
    <w:tmpl w:val="6CCE76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9" w15:restartNumberingAfterBreak="0">
    <w:nsid w:val="46060C52"/>
    <w:multiLevelType w:val="hybridMultilevel"/>
    <w:tmpl w:val="C5DE7C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4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42" w15:restartNumberingAfterBreak="0">
    <w:nsid w:val="4FD8692B"/>
    <w:multiLevelType w:val="hybridMultilevel"/>
    <w:tmpl w:val="A9E4FD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4FF35C35"/>
    <w:multiLevelType w:val="hybridMultilevel"/>
    <w:tmpl w:val="4FEC7C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1D9422F"/>
    <w:multiLevelType w:val="hybridMultilevel"/>
    <w:tmpl w:val="79FAF6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534F545D"/>
    <w:multiLevelType w:val="hybridMultilevel"/>
    <w:tmpl w:val="51FCAB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8" w15:restartNumberingAfterBreak="0">
    <w:nsid w:val="55B43161"/>
    <w:multiLevelType w:val="hybridMultilevel"/>
    <w:tmpl w:val="0E10C7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58C96A10"/>
    <w:multiLevelType w:val="hybridMultilevel"/>
    <w:tmpl w:val="6E2C18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595F6037"/>
    <w:multiLevelType w:val="hybridMultilevel"/>
    <w:tmpl w:val="9C6A1514"/>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59DB7541"/>
    <w:multiLevelType w:val="hybridMultilevel"/>
    <w:tmpl w:val="17DA69B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5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57" w15:restartNumberingAfterBreak="0">
    <w:nsid w:val="5F43468F"/>
    <w:multiLevelType w:val="hybridMultilevel"/>
    <w:tmpl w:val="298E956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5F5D41A0"/>
    <w:multiLevelType w:val="hybridMultilevel"/>
    <w:tmpl w:val="A0A670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5F7F4B58"/>
    <w:multiLevelType w:val="hybridMultilevel"/>
    <w:tmpl w:val="4DA4EA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67572FF3"/>
    <w:multiLevelType w:val="hybridMultilevel"/>
    <w:tmpl w:val="8F2630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67A441C0"/>
    <w:multiLevelType w:val="hybridMultilevel"/>
    <w:tmpl w:val="553C3D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4" w15:restartNumberingAfterBreak="0">
    <w:nsid w:val="68E02B69"/>
    <w:multiLevelType w:val="hybridMultilevel"/>
    <w:tmpl w:val="0C9E5E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69454259"/>
    <w:multiLevelType w:val="hybridMultilevel"/>
    <w:tmpl w:val="450AF0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69FA6D76"/>
    <w:multiLevelType w:val="hybridMultilevel"/>
    <w:tmpl w:val="21B22D6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6E661E1D"/>
    <w:multiLevelType w:val="hybridMultilevel"/>
    <w:tmpl w:val="EC5C193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700E0FC4"/>
    <w:multiLevelType w:val="hybridMultilevel"/>
    <w:tmpl w:val="1C323360"/>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9" w15:restartNumberingAfterBreak="0">
    <w:nsid w:val="71B90EF6"/>
    <w:multiLevelType w:val="hybridMultilevel"/>
    <w:tmpl w:val="2716D2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7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73" w15:restartNumberingAfterBreak="0">
    <w:nsid w:val="785074A3"/>
    <w:multiLevelType w:val="hybridMultilevel"/>
    <w:tmpl w:val="DB02565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79B14E36"/>
    <w:multiLevelType w:val="hybridMultilevel"/>
    <w:tmpl w:val="535208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6" w15:restartNumberingAfterBreak="0">
    <w:nsid w:val="7E1127AE"/>
    <w:multiLevelType w:val="hybridMultilevel"/>
    <w:tmpl w:val="FDF2DF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52"/>
  </w:num>
  <w:num w:numId="3">
    <w:abstractNumId w:val="23"/>
  </w:num>
  <w:num w:numId="4">
    <w:abstractNumId w:val="41"/>
  </w:num>
  <w:num w:numId="5">
    <w:abstractNumId w:val="40"/>
  </w:num>
  <w:num w:numId="6">
    <w:abstractNumId w:val="70"/>
  </w:num>
  <w:num w:numId="7">
    <w:abstractNumId w:val="56"/>
  </w:num>
  <w:num w:numId="8">
    <w:abstractNumId w:val="71"/>
  </w:num>
  <w:num w:numId="9">
    <w:abstractNumId w:val="72"/>
  </w:num>
  <w:num w:numId="10">
    <w:abstractNumId w:val="6"/>
  </w:num>
  <w:num w:numId="11">
    <w:abstractNumId w:val="26"/>
  </w:num>
  <w:num w:numId="12">
    <w:abstractNumId w:val="7"/>
  </w:num>
  <w:num w:numId="13">
    <w:abstractNumId w:val="29"/>
  </w:num>
  <w:num w:numId="14">
    <w:abstractNumId w:val="24"/>
  </w:num>
  <w:num w:numId="15">
    <w:abstractNumId w:val="46"/>
  </w:num>
  <w:num w:numId="16">
    <w:abstractNumId w:val="22"/>
  </w:num>
  <w:num w:numId="17">
    <w:abstractNumId w:val="5"/>
  </w:num>
  <w:num w:numId="18">
    <w:abstractNumId w:val="27"/>
  </w:num>
  <w:num w:numId="19">
    <w:abstractNumId w:val="67"/>
  </w:num>
  <w:num w:numId="20">
    <w:abstractNumId w:val="68"/>
  </w:num>
  <w:num w:numId="21">
    <w:abstractNumId w:val="18"/>
  </w:num>
  <w:num w:numId="22">
    <w:abstractNumId w:val="50"/>
  </w:num>
  <w:num w:numId="23">
    <w:abstractNumId w:val="35"/>
  </w:num>
  <w:num w:numId="24">
    <w:abstractNumId w:val="48"/>
  </w:num>
  <w:num w:numId="25">
    <w:abstractNumId w:val="2"/>
  </w:num>
  <w:num w:numId="26">
    <w:abstractNumId w:val="1"/>
  </w:num>
  <w:num w:numId="27">
    <w:abstractNumId w:val="37"/>
  </w:num>
  <w:num w:numId="28">
    <w:abstractNumId w:val="49"/>
  </w:num>
  <w:num w:numId="29">
    <w:abstractNumId w:val="69"/>
  </w:num>
  <w:num w:numId="30">
    <w:abstractNumId w:val="65"/>
  </w:num>
  <w:num w:numId="31">
    <w:abstractNumId w:val="3"/>
  </w:num>
  <w:num w:numId="32">
    <w:abstractNumId w:val="59"/>
  </w:num>
  <w:num w:numId="33">
    <w:abstractNumId w:val="39"/>
  </w:num>
  <w:num w:numId="34">
    <w:abstractNumId w:val="12"/>
  </w:num>
  <w:num w:numId="35">
    <w:abstractNumId w:val="30"/>
  </w:num>
  <w:num w:numId="36">
    <w:abstractNumId w:val="17"/>
  </w:num>
  <w:num w:numId="37">
    <w:abstractNumId w:val="74"/>
  </w:num>
  <w:num w:numId="38">
    <w:abstractNumId w:val="64"/>
  </w:num>
  <w:num w:numId="39">
    <w:abstractNumId w:val="19"/>
  </w:num>
  <w:num w:numId="40">
    <w:abstractNumId w:val="8"/>
  </w:num>
  <w:num w:numId="41">
    <w:abstractNumId w:val="62"/>
  </w:num>
  <w:num w:numId="42">
    <w:abstractNumId w:val="43"/>
  </w:num>
  <w:num w:numId="43">
    <w:abstractNumId w:val="13"/>
  </w:num>
  <w:num w:numId="44">
    <w:abstractNumId w:val="9"/>
  </w:num>
  <w:num w:numId="45">
    <w:abstractNumId w:val="28"/>
  </w:num>
  <w:num w:numId="46">
    <w:abstractNumId w:val="14"/>
  </w:num>
  <w:num w:numId="47">
    <w:abstractNumId w:val="44"/>
  </w:num>
  <w:num w:numId="48">
    <w:abstractNumId w:val="76"/>
  </w:num>
  <w:num w:numId="49">
    <w:abstractNumId w:val="73"/>
  </w:num>
  <w:num w:numId="50">
    <w:abstractNumId w:val="10"/>
  </w:num>
  <w:num w:numId="51">
    <w:abstractNumId w:val="25"/>
  </w:num>
  <w:num w:numId="52">
    <w:abstractNumId w:val="51"/>
  </w:num>
  <w:num w:numId="53">
    <w:abstractNumId w:val="57"/>
  </w:num>
  <w:num w:numId="54">
    <w:abstractNumId w:val="66"/>
  </w:num>
  <w:num w:numId="55">
    <w:abstractNumId w:val="4"/>
  </w:num>
  <w:num w:numId="56">
    <w:abstractNumId w:val="45"/>
  </w:num>
  <w:num w:numId="57">
    <w:abstractNumId w:val="61"/>
  </w:num>
  <w:num w:numId="58">
    <w:abstractNumId w:val="31"/>
  </w:num>
  <w:num w:numId="59">
    <w:abstractNumId w:val="16"/>
  </w:num>
  <w:num w:numId="60">
    <w:abstractNumId w:val="58"/>
  </w:num>
  <w:num w:numId="61">
    <w:abstractNumId w:val="42"/>
  </w:num>
  <w:num w:numId="62">
    <w:abstractNumId w:val="36"/>
  </w:num>
  <w:num w:numId="63">
    <w:abstractNumId w:val="55"/>
    <w:lvlOverride w:ilvl="0">
      <w:startOverride w:val="1"/>
    </w:lvlOverride>
  </w:num>
  <w:num w:numId="64">
    <w:abstractNumId w:val="38"/>
    <w:lvlOverride w:ilvl="0">
      <w:startOverride w:val="1"/>
    </w:lvlOverride>
  </w:num>
  <w:num w:numId="65">
    <w:abstractNumId w:val="55"/>
  </w:num>
  <w:num w:numId="66">
    <w:abstractNumId w:val="32"/>
  </w:num>
  <w:num w:numId="67">
    <w:abstractNumId w:val="63"/>
  </w:num>
  <w:num w:numId="68">
    <w:abstractNumId w:val="21"/>
  </w:num>
  <w:num w:numId="69">
    <w:abstractNumId w:val="33"/>
  </w:num>
  <w:num w:numId="70">
    <w:abstractNumId w:val="34"/>
  </w:num>
  <w:num w:numId="71">
    <w:abstractNumId w:val="15"/>
  </w:num>
  <w:num w:numId="72">
    <w:abstractNumId w:val="60"/>
  </w:num>
  <w:num w:numId="73">
    <w:abstractNumId w:val="11"/>
  </w:num>
  <w:num w:numId="74">
    <w:abstractNumId w:val="38"/>
  </w:num>
  <w:num w:numId="75">
    <w:abstractNumId w:val="53"/>
  </w:num>
  <w:num w:numId="76">
    <w:abstractNumId w:val="54"/>
  </w:num>
  <w:num w:numId="77">
    <w:abstractNumId w:val="20"/>
  </w:num>
  <w:num w:numId="78">
    <w:abstractNumId w:val="47"/>
  </w:num>
  <w:num w:numId="79">
    <w:abstractNumId w:val="7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0" w:val="2011/16/EU"/>
    <w:docVar w:name="CR_Ref1" w:val="(EU) 2021/514 recital "/>
    <w:docVar w:name="CR_Ref2" w:val="(EU) 2023/2226 recital "/>
    <w:docVar w:name="CR_Ref3" w:val="(EU) 2025/872 recital "/>
    <w:docVar w:name="CR_Ref4" w:val="2014/107/EU"/>
    <w:docVar w:name="CR_RefCount" w:val="5"/>
    <w:docVar w:name="CR_RefLast" w:val="0"/>
    <w:docVar w:name="DQCDateTime" w:val="2026-09-08 18:25: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24FF2DF-7615-4E70-89AC-B85DDEA714EB"/>
    <w:docVar w:name="LW_COVERPAGE_TYPE" w:val="1"/>
    <w:docVar w:name="LW_CreatedUtc" w:val="2025-06-24T11:14:59.1199414Z"/>
    <w:docVar w:name="LW_CROSSREFERENCE" w:val="{SEC(2026) 186 final} - {SWD(2026) 164 final} - {SWD(2026) 165 final} - {SWD(2026) 166 final}"/>
    <w:docVar w:name="LW_DocType" w:val="COM"/>
    <w:docVar w:name="LW_EMISSION" w:val="24.6.2026"/>
    <w:docVar w:name="LW_EMISSION_ISODATE" w:val="2026-06-24"/>
    <w:docVar w:name="LW_EMISSION_LOCATION" w:val="BRX"/>
    <w:docVar w:name="LW_EMISSION_PREFIX" w:val="Bruxelles, "/>
    <w:docVar w:name="LW_EMISSION_SUFFIX" w:val=" "/>
    <w:docVar w:name="LW_ID_DOCMODEL" w:val="SJ-017"/>
    <w:docVar w:name="LW_ID_DOCSIGNATURE" w:val="SJ-017"/>
    <w:docVar w:name="LW_ID_DOCSTRUCTURE" w:val="COM/PL/ORG"/>
    <w:docVar w:name="LW_ID_DOCTYPE" w:val="SJ-017"/>
    <w:docVar w:name="LW_ID_STATUT" w:val="SJ-017"/>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NS"/>
    <w:docVar w:name="LW_REF.II.NEW.CP_NUMBER" w:val="0168"/>
    <w:docVar w:name="LW_REF.II.NEW.CP_YEAR" w:val="2026"/>
    <w:docVar w:name="LW_REF.INST.NEW" w:val="COM"/>
    <w:docVar w:name="LW_REF.INST.NEW_ADOPTED" w:val="final"/>
    <w:docVar w:name="LW_REF.INST.NEW_TEXT" w:val="(2026) 3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opunere de"/>
    <w:docVar w:name="LW_STATUT.CP" w:val="Propunere de"/>
    <w:docVar w:name="LW_SUPERTITRE" w:val="&lt;UNUSED&gt;"/>
    <w:docVar w:name="LW_TITRE.OBJ" w:val="privind cooperarea administrativ\u259? în domeniul fiscal (reformare)"/>
    <w:docVar w:name="LW_TITRE.OBJ.CP" w:val="privind cooperarea administrativ\u259? în domeniul fiscal (reformare)"/>
    <w:docVar w:name="LW_TYPE.DOC" w:val="DIRECTIV\u258? A CONSILIULUI"/>
    <w:docVar w:name="LW_TYPE.DOC.CP" w:val="DIRECTIV\u258?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0B790D9-E4D3-49D5-9EFE-54A81AA66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7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2"/>
      </w:numPr>
      <w:outlineLvl w:val="6"/>
    </w:pPr>
    <w:rPr>
      <w:rFonts w:eastAsiaTheme="majorEastAsia"/>
      <w:iCs/>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heme="minorEastAsia" w:hAnsi="Arial" w:cs="Arial"/>
      <w:i/>
      <w:iCs/>
      <w:sz w:val="20"/>
      <w:szCs w:val="20"/>
      <w14:ligatures w14:val="standardContextual"/>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heme="minorEastAsia" w:hAnsi="Arial" w:cs="Arial"/>
      <w:i/>
      <w:iCs/>
      <w:sz w:val="18"/>
      <w:szCs w:val="18"/>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num" w:pos="360"/>
      </w:tabs>
      <w:ind w:left="0" w:firstLine="0"/>
    </w:pPr>
    <w:rPr>
      <w:rFonts w:eastAsia="Times New Roman"/>
      <w:lang w:eastAsia="de-DE"/>
    </w:rPr>
  </w:style>
  <w:style w:type="paragraph" w:styleId="ListNumber">
    <w:name w:val="List Number"/>
    <w:basedOn w:val="Normal"/>
    <w:pPr>
      <w:numPr>
        <w:numId w:val="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pPr>
    <w:rPr>
      <w:rFonts w:eastAsia="Times New Roman"/>
      <w:lang w:eastAsia="de-DE"/>
    </w:rPr>
  </w:style>
  <w:style w:type="paragraph" w:customStyle="1" w:styleId="ListNumberLevel4">
    <w:name w:val="List Number (Level 4)"/>
    <w:basedOn w:val="Normal"/>
    <w:pPr>
      <w:numPr>
        <w:ilvl w:val="3"/>
        <w:numId w:val="6"/>
      </w:numPr>
    </w:pPr>
    <w:rPr>
      <w:rFonts w:eastAsia="Times New Roman"/>
      <w:lang w:eastAsia="de-DE"/>
    </w:rPr>
  </w:style>
  <w:style w:type="table" w:styleId="TableGrid">
    <w:name w:val="Table Grid"/>
    <w:basedOn w:val="TableNormal"/>
    <w:uiPriority w:val="39"/>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pPr>
    <w:rPr>
      <w:rFonts w:eastAsia="Times New Roman"/>
      <w:lang w:eastAsia="en-GB"/>
    </w:rPr>
  </w:style>
  <w:style w:type="paragraph" w:styleId="ListBullet2">
    <w:name w:val="List Bullet 2"/>
    <w:basedOn w:val="Normal"/>
    <w:pPr>
      <w:numPr>
        <w:numId w:val="8"/>
      </w:numPr>
    </w:pPr>
    <w:rPr>
      <w:rFonts w:eastAsia="Times New Roman"/>
      <w:lang w:eastAsia="en-GB"/>
    </w:rPr>
  </w:style>
  <w:style w:type="paragraph" w:styleId="ListBullet3">
    <w:name w:val="List Bullet 3"/>
    <w:basedOn w:val="Normal"/>
    <w:pPr>
      <w:numPr>
        <w:numId w:val="9"/>
      </w:numPr>
    </w:pPr>
    <w:rPr>
      <w:rFonts w:eastAsia="Times New Roman"/>
      <w:lang w:eastAsia="en-GB"/>
    </w:rPr>
  </w:style>
  <w:style w:type="paragraph" w:styleId="ListNumber2">
    <w:name w:val="List Number 2"/>
    <w:basedOn w:val="Normal"/>
    <w:pPr>
      <w:numPr>
        <w:numId w:val="13"/>
      </w:numPr>
    </w:pPr>
    <w:rPr>
      <w:rFonts w:eastAsia="Times New Roman"/>
      <w:lang w:eastAsia="en-GB"/>
    </w:rPr>
  </w:style>
  <w:style w:type="paragraph" w:styleId="ListNumber3">
    <w:name w:val="List Number 3"/>
    <w:basedOn w:val="Normal"/>
    <w:pPr>
      <w:numPr>
        <w:numId w:val="14"/>
      </w:numPr>
    </w:pPr>
    <w:rPr>
      <w:rFonts w:eastAsia="Times New Roman"/>
      <w:lang w:eastAsia="en-GB"/>
    </w:rPr>
  </w:style>
  <w:style w:type="paragraph" w:styleId="ListNumber4">
    <w:name w:val="List Number 4"/>
    <w:basedOn w:val="Normal"/>
    <w:pPr>
      <w:numPr>
        <w:numId w:val="15"/>
      </w:numPr>
    </w:pPr>
    <w:rPr>
      <w:rFonts w:eastAsia="Times New Roman"/>
      <w:lang w:eastAsia="en-GB"/>
    </w:rPr>
  </w:style>
  <w:style w:type="paragraph" w:customStyle="1" w:styleId="ListDash3">
    <w:name w:val="List Dash 3"/>
    <w:basedOn w:val="Normal"/>
    <w:pPr>
      <w:numPr>
        <w:numId w:val="10"/>
      </w:numPr>
    </w:pPr>
    <w:rPr>
      <w:rFonts w:eastAsia="Times New Roman"/>
      <w:lang w:eastAsia="en-GB"/>
    </w:rPr>
  </w:style>
  <w:style w:type="paragraph" w:customStyle="1" w:styleId="ListDash4">
    <w:name w:val="List Dash 4"/>
    <w:basedOn w:val="Normal"/>
    <w:pPr>
      <w:numPr>
        <w:numId w:val="11"/>
      </w:numPr>
    </w:pPr>
    <w:rPr>
      <w:rFonts w:eastAsia="Times New Roman"/>
      <w:lang w:eastAsia="en-GB"/>
    </w:rPr>
  </w:style>
  <w:style w:type="paragraph" w:customStyle="1" w:styleId="ListNumber1">
    <w:name w:val="List Number 1"/>
    <w:basedOn w:val="Text1"/>
    <w:pPr>
      <w:numPr>
        <w:numId w:val="12"/>
      </w:numPr>
    </w:pPr>
    <w:rPr>
      <w:rFonts w:eastAsia="Times New Roman"/>
      <w:lang w:eastAsia="en-GB"/>
    </w:rPr>
  </w:style>
  <w:style w:type="paragraph" w:customStyle="1" w:styleId="ListNumber1Level2">
    <w:name w:val="List Number 1 (Level 2)"/>
    <w:basedOn w:val="Text1"/>
    <w:pPr>
      <w:numPr>
        <w:ilvl w:val="1"/>
        <w:numId w:val="12"/>
      </w:numPr>
    </w:pPr>
    <w:rPr>
      <w:rFonts w:eastAsia="Times New Roman"/>
      <w:lang w:eastAsia="en-GB"/>
    </w:rPr>
  </w:style>
  <w:style w:type="paragraph" w:customStyle="1" w:styleId="ListNumber2Level2">
    <w:name w:val="List Number 2 (Level 2)"/>
    <w:basedOn w:val="Text2"/>
    <w:pPr>
      <w:numPr>
        <w:ilvl w:val="1"/>
        <w:numId w:val="13"/>
      </w:numPr>
    </w:pPr>
    <w:rPr>
      <w:rFonts w:eastAsia="Times New Roman"/>
      <w:lang w:eastAsia="en-GB"/>
    </w:rPr>
  </w:style>
  <w:style w:type="paragraph" w:customStyle="1" w:styleId="ListNumber3Level2">
    <w:name w:val="List Number 3 (Level 2)"/>
    <w:basedOn w:val="Text3"/>
    <w:pPr>
      <w:numPr>
        <w:ilvl w:val="1"/>
        <w:numId w:val="14"/>
      </w:numPr>
    </w:pPr>
    <w:rPr>
      <w:rFonts w:eastAsia="Times New Roman"/>
      <w:lang w:eastAsia="en-GB"/>
    </w:rPr>
  </w:style>
  <w:style w:type="paragraph" w:customStyle="1" w:styleId="ListNumber4Level2">
    <w:name w:val="List Number 4 (Level 2)"/>
    <w:basedOn w:val="Text4"/>
    <w:pPr>
      <w:numPr>
        <w:ilvl w:val="1"/>
        <w:numId w:val="15"/>
      </w:numPr>
    </w:pPr>
    <w:rPr>
      <w:rFonts w:eastAsia="Times New Roman"/>
      <w:lang w:eastAsia="en-GB"/>
    </w:rPr>
  </w:style>
  <w:style w:type="paragraph" w:customStyle="1" w:styleId="ListNumber1Level3">
    <w:name w:val="List Number 1 (Level 3)"/>
    <w:basedOn w:val="Text1"/>
    <w:pPr>
      <w:numPr>
        <w:ilvl w:val="2"/>
        <w:numId w:val="12"/>
      </w:numPr>
    </w:pPr>
    <w:rPr>
      <w:rFonts w:eastAsia="Times New Roman"/>
      <w:lang w:eastAsia="en-GB"/>
    </w:rPr>
  </w:style>
  <w:style w:type="paragraph" w:customStyle="1" w:styleId="ListNumber2Level3">
    <w:name w:val="List Number 2 (Level 3)"/>
    <w:basedOn w:val="Text2"/>
    <w:pPr>
      <w:numPr>
        <w:ilvl w:val="2"/>
        <w:numId w:val="13"/>
      </w:numPr>
    </w:pPr>
    <w:rPr>
      <w:rFonts w:eastAsia="Times New Roman"/>
      <w:lang w:eastAsia="en-GB"/>
    </w:rPr>
  </w:style>
  <w:style w:type="paragraph" w:customStyle="1" w:styleId="ListNumber3Level3">
    <w:name w:val="List Number 3 (Level 3)"/>
    <w:basedOn w:val="Text3"/>
    <w:pPr>
      <w:numPr>
        <w:ilvl w:val="2"/>
        <w:numId w:val="14"/>
      </w:numPr>
    </w:pPr>
    <w:rPr>
      <w:rFonts w:eastAsia="Times New Roman"/>
      <w:lang w:eastAsia="en-GB"/>
    </w:rPr>
  </w:style>
  <w:style w:type="paragraph" w:customStyle="1" w:styleId="ListNumber4Level3">
    <w:name w:val="List Number 4 (Level 3)"/>
    <w:basedOn w:val="Text4"/>
    <w:pPr>
      <w:numPr>
        <w:ilvl w:val="2"/>
        <w:numId w:val="15"/>
      </w:numPr>
    </w:pPr>
    <w:rPr>
      <w:rFonts w:eastAsia="Times New Roman"/>
      <w:lang w:eastAsia="en-GB"/>
    </w:rPr>
  </w:style>
  <w:style w:type="paragraph" w:customStyle="1" w:styleId="ListNumber1Level4">
    <w:name w:val="List Number 1 (Level 4)"/>
    <w:basedOn w:val="Text1"/>
    <w:pPr>
      <w:numPr>
        <w:ilvl w:val="3"/>
        <w:numId w:val="12"/>
      </w:numPr>
    </w:pPr>
    <w:rPr>
      <w:rFonts w:eastAsia="Times New Roman"/>
      <w:lang w:eastAsia="en-GB"/>
    </w:rPr>
  </w:style>
  <w:style w:type="paragraph" w:customStyle="1" w:styleId="ListNumber2Level4">
    <w:name w:val="List Number 2 (Level 4)"/>
    <w:basedOn w:val="Text2"/>
    <w:pPr>
      <w:numPr>
        <w:ilvl w:val="3"/>
        <w:numId w:val="13"/>
      </w:numPr>
    </w:pPr>
    <w:rPr>
      <w:rFonts w:eastAsia="Times New Roman"/>
      <w:lang w:eastAsia="en-GB"/>
    </w:rPr>
  </w:style>
  <w:style w:type="paragraph" w:customStyle="1" w:styleId="ListNumber3Level4">
    <w:name w:val="List Number 3 (Level 4)"/>
    <w:basedOn w:val="Text3"/>
    <w:pPr>
      <w:numPr>
        <w:ilvl w:val="3"/>
        <w:numId w:val="14"/>
      </w:numPr>
    </w:pPr>
    <w:rPr>
      <w:rFonts w:eastAsia="Times New Roman"/>
      <w:lang w:eastAsia="en-GB"/>
    </w:rPr>
  </w:style>
  <w:style w:type="paragraph" w:customStyle="1" w:styleId="ListNumber4Level4">
    <w:name w:val="List Number 4 (Level 4)"/>
    <w:basedOn w:val="Text4"/>
    <w:pPr>
      <w:numPr>
        <w:ilvl w:val="3"/>
        <w:numId w:val="15"/>
      </w:numPr>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pPr>
    <w:rPr>
      <w:rFonts w:eastAsia="Times New Roman"/>
      <w:lang w:eastAsia="en-GB"/>
    </w:rPr>
  </w:style>
  <w:style w:type="paragraph" w:customStyle="1" w:styleId="LegalNumPar2">
    <w:name w:val="LegalNumPar2"/>
    <w:basedOn w:val="Normal"/>
    <w:pPr>
      <w:numPr>
        <w:ilvl w:val="1"/>
        <w:numId w:val="16"/>
      </w:numPr>
      <w:spacing w:line="360" w:lineRule="auto"/>
    </w:pPr>
    <w:rPr>
      <w:rFonts w:eastAsia="Times New Roman"/>
      <w:lang w:eastAsia="en-GB"/>
    </w:rPr>
  </w:style>
  <w:style w:type="paragraph" w:customStyle="1" w:styleId="LegalNumPar3">
    <w:name w:val="LegalNumPar3"/>
    <w:basedOn w:val="Normal"/>
    <w:pPr>
      <w:numPr>
        <w:ilvl w:val="2"/>
        <w:numId w:val="16"/>
      </w:numPr>
      <w:spacing w:line="360" w:lineRule="auto"/>
    </w:pPr>
    <w:rPr>
      <w:rFonts w:eastAsia="Times New Roman"/>
      <w:lang w:eastAsia="en-GB"/>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ing8Char">
    <w:name w:val="Heading 8 Char"/>
    <w:basedOn w:val="DefaultParagraphFont"/>
    <w:link w:val="Heading8"/>
    <w:uiPriority w:val="99"/>
    <w:rPr>
      <w:rFonts w:ascii="Arial" w:eastAsiaTheme="minorEastAsia" w:hAnsi="Arial" w:cs="Arial"/>
      <w:i/>
      <w:iCs/>
      <w:sz w:val="20"/>
      <w:szCs w:val="20"/>
      <w:lang w:val="ro-RO"/>
      <w14:ligatures w14:val="standardContextual"/>
    </w:rPr>
  </w:style>
  <w:style w:type="character" w:customStyle="1" w:styleId="Heading9Char">
    <w:name w:val="Heading 9 Char"/>
    <w:basedOn w:val="DefaultParagraphFont"/>
    <w:link w:val="Heading9"/>
    <w:uiPriority w:val="99"/>
    <w:rPr>
      <w:rFonts w:ascii="Arial" w:eastAsiaTheme="minorEastAsia" w:hAnsi="Arial" w:cs="Arial"/>
      <w:i/>
      <w:iCs/>
      <w:sz w:val="18"/>
      <w:szCs w:val="18"/>
      <w:lang w:val="ro-RO"/>
      <w14:ligatures w14:val="standardContextual"/>
    </w:rPr>
  </w:style>
  <w:style w:type="paragraph" w:customStyle="1" w:styleId="FichedimpactPMEtitre">
    <w:name w:val="Fiche d'impact PME titre"/>
    <w:basedOn w:val="Normal"/>
    <w:next w:val="Normal"/>
    <w:uiPriority w:val="99"/>
    <w:pPr>
      <w:autoSpaceDE w:val="0"/>
      <w:autoSpaceDN w:val="0"/>
      <w:jc w:val="center"/>
    </w:pPr>
    <w:rPr>
      <w:rFonts w:eastAsiaTheme="minorEastAsia"/>
      <w:b/>
      <w:bCs/>
      <w:szCs w:val="24"/>
      <w14:ligatures w14:val="standardContextual"/>
    </w:rPr>
  </w:style>
  <w:style w:type="paragraph" w:customStyle="1" w:styleId="Fichefinanciretextetable">
    <w:name w:val="Fiche financière texte (table)"/>
    <w:basedOn w:val="Normal"/>
    <w:uiPriority w:val="99"/>
    <w:pPr>
      <w:autoSpaceDE w:val="0"/>
      <w:autoSpaceDN w:val="0"/>
      <w:spacing w:before="0" w:after="0"/>
      <w:jc w:val="left"/>
    </w:pPr>
    <w:rPr>
      <w:rFonts w:eastAsiaTheme="minorEastAsia"/>
      <w:sz w:val="20"/>
      <w:szCs w:val="20"/>
      <w14:ligatures w14:val="standardContextual"/>
    </w:rPr>
  </w:style>
  <w:style w:type="paragraph" w:customStyle="1" w:styleId="Fichefinanciretitreactetable">
    <w:name w:val="Fiche financière titre (acte table)"/>
    <w:basedOn w:val="Normal"/>
    <w:next w:val="Normal"/>
    <w:uiPriority w:val="99"/>
    <w:pPr>
      <w:autoSpaceDE w:val="0"/>
      <w:autoSpaceDN w:val="0"/>
      <w:jc w:val="center"/>
    </w:pPr>
    <w:rPr>
      <w:rFonts w:eastAsiaTheme="minorEastAsia"/>
      <w:b/>
      <w:bCs/>
      <w:sz w:val="40"/>
      <w:szCs w:val="40"/>
      <w14:ligatures w14:val="standardContextual"/>
    </w:rPr>
  </w:style>
  <w:style w:type="paragraph" w:customStyle="1" w:styleId="Fichefinanciretitreacte">
    <w:name w:val="Fiche financière titre (acte)"/>
    <w:basedOn w:val="Normal"/>
    <w:next w:val="Normal"/>
    <w:uiPriority w:val="99"/>
    <w:pPr>
      <w:autoSpaceDE w:val="0"/>
      <w:autoSpaceDN w:val="0"/>
      <w:jc w:val="center"/>
    </w:pPr>
    <w:rPr>
      <w:rFonts w:eastAsiaTheme="minorEastAsia"/>
      <w:b/>
      <w:bCs/>
      <w:szCs w:val="24"/>
      <w:u w:val="single"/>
      <w14:ligatures w14:val="standardContextual"/>
    </w:rPr>
  </w:style>
  <w:style w:type="paragraph" w:customStyle="1" w:styleId="Fichefinanciretitretable">
    <w:name w:val="Fiche financière titre (table)"/>
    <w:basedOn w:val="Normal"/>
    <w:uiPriority w:val="99"/>
    <w:pPr>
      <w:autoSpaceDE w:val="0"/>
      <w:autoSpaceDN w:val="0"/>
      <w:jc w:val="center"/>
    </w:pPr>
    <w:rPr>
      <w:rFonts w:eastAsiaTheme="minorEastAsia"/>
      <w:b/>
      <w:bCs/>
      <w:sz w:val="40"/>
      <w:szCs w:val="40"/>
      <w14:ligatures w14:val="standardContextual"/>
    </w:rPr>
  </w:style>
  <w:style w:type="paragraph" w:styleId="TOAHeading">
    <w:name w:val="toa heading"/>
    <w:basedOn w:val="Normal"/>
    <w:next w:val="Normal"/>
    <w:uiPriority w:val="99"/>
    <w:pPr>
      <w:autoSpaceDE w:val="0"/>
      <w:autoSpaceDN w:val="0"/>
    </w:pPr>
    <w:rPr>
      <w:rFonts w:ascii="Arial" w:eastAsiaTheme="minorEastAsia" w:hAnsi="Arial" w:cs="Arial"/>
      <w:b/>
      <w:bCs/>
      <w:szCs w:val="24"/>
      <w14:ligatures w14:val="standardContextual"/>
    </w:rPr>
  </w:style>
  <w:style w:type="character" w:customStyle="1" w:styleId="CRMarker">
    <w:name w:val="CR Marker"/>
    <w:basedOn w:val="DefaultParagraphFont"/>
    <w:uiPriority w:val="99"/>
    <w:rPr>
      <w:rFonts w:ascii="Wingdings" w:hAnsi="Wingdings" w:cs="Wingdings"/>
    </w:rPr>
  </w:style>
  <w:style w:type="paragraph" w:customStyle="1" w:styleId="CRSeparator">
    <w:name w:val="CR Separator"/>
    <w:basedOn w:val="Normal"/>
    <w:next w:val="CRReference"/>
    <w:link w:val="CRSeparatorChar"/>
    <w:uiPriority w:val="99"/>
    <w:pPr>
      <w:keepNext/>
      <w:pBdr>
        <w:top w:val="single" w:sz="4" w:space="1" w:color="auto"/>
      </w:pBdr>
      <w:autoSpaceDE w:val="0"/>
      <w:autoSpaceDN w:val="0"/>
      <w:spacing w:before="0" w:after="0"/>
    </w:pPr>
    <w:rPr>
      <w:rFonts w:eastAsiaTheme="minorEastAsia"/>
      <w:szCs w:val="24"/>
      <w14:ligatures w14:val="standardContextual"/>
    </w:rPr>
  </w:style>
  <w:style w:type="paragraph" w:customStyle="1" w:styleId="CRReference">
    <w:name w:val="CR Reference"/>
    <w:basedOn w:val="Normal"/>
    <w:link w:val="CRReferenceChar"/>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14:ligatures w14:val="standardContextual"/>
    </w:rPr>
  </w:style>
  <w:style w:type="character" w:customStyle="1" w:styleId="CRRefNum">
    <w:name w:val="CR RefNum"/>
    <w:basedOn w:val="DefaultParagraphFont"/>
    <w:uiPriority w:val="99"/>
    <w:rPr>
      <w:vertAlign w:val="subscript"/>
    </w:rPr>
  </w:style>
  <w:style w:type="paragraph" w:customStyle="1" w:styleId="CRParaDeleted">
    <w:name w:val="CR ParaDeleted"/>
    <w:basedOn w:val="Normal"/>
    <w:next w:val="Normal"/>
    <w:uiPriority w:val="99"/>
    <w:pPr>
      <w:autoSpaceDE w:val="0"/>
      <w:autoSpaceDN w:val="0"/>
    </w:pPr>
    <w:rPr>
      <w:rFonts w:eastAsiaTheme="minorEastAsia"/>
      <w:szCs w:val="24"/>
      <w14:ligatures w14:val="standardContextual"/>
    </w:rPr>
  </w:style>
  <w:style w:type="character" w:customStyle="1" w:styleId="CRTextDeleted">
    <w:name w:val="CR TextDeleted"/>
    <w:basedOn w:val="DefaultParagraphFont"/>
    <w:uiPriority w:val="99"/>
  </w:style>
  <w:style w:type="paragraph" w:customStyle="1" w:styleId="Titredumodificateur">
    <w:name w:val="Titre du modificateur"/>
    <w:basedOn w:val="Normal"/>
    <w:next w:val="Annexetitrefichefinacte"/>
    <w:uiPriority w:val="99"/>
    <w:pPr>
      <w:autoSpaceDE w:val="0"/>
      <w:autoSpaceDN w:val="0"/>
      <w:spacing w:before="240" w:after="60"/>
      <w:jc w:val="left"/>
    </w:pPr>
    <w:rPr>
      <w:rFonts w:eastAsiaTheme="minorEastAsia"/>
      <w:b/>
      <w:bCs/>
      <w:szCs w:val="24"/>
      <w14:ligatures w14:val="standardContextual"/>
    </w:rPr>
  </w:style>
  <w:style w:type="paragraph" w:customStyle="1" w:styleId="Referencedumodificateur">
    <w:name w:val="Reference du modificateur"/>
    <w:basedOn w:val="Normal"/>
    <w:next w:val="Annexetitrefichefinglobale"/>
    <w:uiPriority w:val="99"/>
    <w:pPr>
      <w:autoSpaceDE w:val="0"/>
      <w:autoSpaceDN w:val="0"/>
      <w:spacing w:before="0"/>
      <w:jc w:val="left"/>
    </w:pPr>
    <w:rPr>
      <w:rFonts w:eastAsiaTheme="minorEastAsia"/>
      <w:szCs w:val="24"/>
      <w14:ligatures w14:val="standardContextual"/>
    </w:rPr>
  </w:style>
  <w:style w:type="character" w:customStyle="1" w:styleId="CRMinorChangeDeleted">
    <w:name w:val="CR Minor Change Deleted"/>
    <w:basedOn w:val="DefaultParagraphFont"/>
    <w:rPr>
      <w:strike w:val="0"/>
      <w:dstrike/>
      <w:u w:val="double"/>
      <w:lang w:val="ro-RO"/>
    </w:rPr>
  </w:style>
  <w:style w:type="character" w:customStyle="1" w:styleId="CRMinorChangeAdded">
    <w:name w:val="CR Minor Change Added"/>
    <w:basedOn w:val="DefaultParagraphFont"/>
    <w:rPr>
      <w:u w:val="double"/>
      <w:lang w:val="ro-RO"/>
    </w:rPr>
  </w:style>
  <w:style w:type="character" w:customStyle="1" w:styleId="CRDeleted">
    <w:name w:val="CR Deleted"/>
    <w:basedOn w:val="DefaultParagraphFont"/>
    <w:rPr>
      <w:i w:val="0"/>
      <w:iCs w:val="0"/>
      <w:strike w:val="0"/>
      <w:dstrike/>
      <w:lang w:val="ro-RO"/>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TypedudocumentChar">
    <w:name w:val="Type du document Char"/>
    <w:uiPriority w:val="99"/>
    <w:locked/>
    <w:rPr>
      <w:rFonts w:ascii="Times New Roman" w:hAnsi="Times New Roman"/>
      <w:b/>
      <w:sz w:val="24"/>
      <w:szCs w:val="22"/>
      <w:lang w:eastAsia="en-US"/>
    </w:rPr>
  </w:style>
  <w:style w:type="character" w:customStyle="1" w:styleId="CRSeparatorChar">
    <w:name w:val="CR Separator Char"/>
    <w:link w:val="CRSeparator"/>
    <w:locked/>
    <w:rPr>
      <w:rFonts w:ascii="Times New Roman" w:eastAsiaTheme="minorEastAsia" w:hAnsi="Times New Roman" w:cs="Times New Roman"/>
      <w:sz w:val="24"/>
      <w:szCs w:val="24"/>
      <w:lang w:val="ro-RO"/>
      <w14:ligatures w14:val="standardContextual"/>
    </w:rPr>
  </w:style>
  <w:style w:type="character" w:customStyle="1" w:styleId="CRReferenceChar">
    <w:name w:val="CR Reference Char"/>
    <w:link w:val="CRReference"/>
    <w:locked/>
    <w:rPr>
      <w:rFonts w:ascii="Times New Roman" w:eastAsiaTheme="minorEastAsia" w:hAnsi="Times New Roman" w:cs="Times New Roman"/>
      <w:sz w:val="24"/>
      <w:szCs w:val="24"/>
      <w:lang w:val="ro-RO"/>
      <w14:ligatures w14:val="standardContextual"/>
    </w:rPr>
  </w:style>
  <w:style w:type="paragraph" w:customStyle="1" w:styleId="Cgha">
    <w:name w:val="Cgha"/>
    <w:basedOn w:val="SectionTitle000000"/>
    <w:rPr>
      <w:i/>
      <w:iCs/>
      <w:noProof/>
    </w:rPr>
  </w:style>
  <w:style w:type="character" w:customStyle="1" w:styleId="italic1">
    <w:name w:val="italic1"/>
    <w:rPr>
      <w:i/>
      <w:iCs/>
    </w:rPr>
  </w:style>
  <w:style w:type="character" w:customStyle="1" w:styleId="CRRefonteDeleted">
    <w:name w:val="CR Refonte Deleted"/>
    <w:basedOn w:val="DefaultParagraphFont"/>
    <w:rPr>
      <w:strike w:val="0"/>
      <w:dstrike/>
      <w:szCs w:val="22"/>
      <w:shd w:val="clear" w:color="auto" w:fill="auto"/>
    </w:rPr>
  </w:style>
  <w:style w:type="paragraph" w:customStyle="1" w:styleId="Clear">
    <w:name w:val="Clear"/>
    <w:basedOn w:val="Titrearticle"/>
  </w:style>
  <w:style w:type="paragraph" w:customStyle="1" w:styleId="clearChangeAdded">
    <w:name w:val="clear Change Added"/>
    <w:basedOn w:val="SectionTitle000000"/>
  </w:style>
  <w:style w:type="paragraph" w:styleId="NormalWeb">
    <w:name w:val="Normal (Web)"/>
    <w:basedOn w:val="Normal"/>
    <w:uiPriority w:val="99"/>
    <w:semiHidden/>
    <w:unhideWhenUsed/>
    <w:rPr>
      <w:szCs w:val="24"/>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eastAsia="Times New Roman" w:hAnsi="Times New Roman" w:cs="Times New Roman"/>
      <w:sz w:val="24"/>
      <w:lang w:val="ro-RO" w:eastAsia="en-GB"/>
    </w:rPr>
  </w:style>
  <w:style w:type="paragraph" w:customStyle="1" w:styleId="SectionTitle0">
    <w:name w:val="SectionTitle0"/>
    <w:basedOn w:val="Normal"/>
    <w:next w:val="Heading1"/>
    <w:pPr>
      <w:keepNext/>
      <w:spacing w:after="360"/>
      <w:jc w:val="center"/>
    </w:pPr>
    <w:rPr>
      <w:b/>
      <w:smallCaps/>
      <w:sz w:val="28"/>
    </w:rPr>
  </w:style>
  <w:style w:type="paragraph" w:customStyle="1" w:styleId="SectionTitle00">
    <w:name w:val="SectionTitle00"/>
    <w:basedOn w:val="Normal"/>
    <w:next w:val="Heading1"/>
    <w:pPr>
      <w:keepNext/>
      <w:spacing w:after="360"/>
      <w:jc w:val="center"/>
    </w:pPr>
    <w:rPr>
      <w:b/>
      <w:smallCaps/>
      <w:sz w:val="28"/>
    </w:rPr>
  </w:style>
  <w:style w:type="paragraph" w:customStyle="1" w:styleId="SectionTitle000">
    <w:name w:val="SectionTitle000"/>
    <w:basedOn w:val="Normal"/>
    <w:next w:val="Heading1"/>
    <w:pPr>
      <w:keepNext/>
      <w:spacing w:after="360"/>
      <w:jc w:val="center"/>
    </w:pPr>
    <w:rPr>
      <w:b/>
      <w:smallCaps/>
      <w:sz w:val="28"/>
    </w:rPr>
  </w:style>
  <w:style w:type="paragraph" w:customStyle="1" w:styleId="SectionTitle0000">
    <w:name w:val="SectionTitle0000"/>
    <w:basedOn w:val="Normal"/>
    <w:next w:val="Heading1"/>
    <w:pPr>
      <w:keepNext/>
      <w:spacing w:after="360"/>
      <w:jc w:val="center"/>
    </w:pPr>
    <w:rPr>
      <w:b/>
      <w:smallCaps/>
      <w:sz w:val="28"/>
    </w:rPr>
  </w:style>
  <w:style w:type="paragraph" w:customStyle="1" w:styleId="SectionTitle00000">
    <w:name w:val="SectionTitle00000"/>
    <w:basedOn w:val="Normal"/>
    <w:next w:val="Heading1"/>
    <w:pPr>
      <w:keepNext/>
      <w:spacing w:after="360"/>
      <w:jc w:val="center"/>
    </w:pPr>
    <w:rPr>
      <w:b/>
      <w:smallCaps/>
      <w:sz w:val="28"/>
    </w:rPr>
  </w:style>
  <w:style w:type="paragraph" w:customStyle="1" w:styleId="SectionTitle000000">
    <w:name w:val="SectionTitle000000"/>
    <w:basedOn w:val="Normal"/>
    <w:next w:val="Heading1"/>
    <w:pPr>
      <w:keepNext/>
      <w:spacing w:after="360"/>
      <w:jc w:val="center"/>
    </w:pPr>
    <w:rPr>
      <w:b/>
      <w:smallCaps/>
      <w:sz w:val="28"/>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5"/>
      </w:numPr>
    </w:pPr>
  </w:style>
  <w:style w:type="paragraph" w:customStyle="1" w:styleId="Tiret1">
    <w:name w:val="Tiret 1"/>
    <w:basedOn w:val="Point1"/>
    <w:pPr>
      <w:numPr>
        <w:numId w:val="66"/>
      </w:numPr>
    </w:pPr>
  </w:style>
  <w:style w:type="paragraph" w:customStyle="1" w:styleId="Tiret2">
    <w:name w:val="Tiret 2"/>
    <w:basedOn w:val="Point2"/>
    <w:pPr>
      <w:numPr>
        <w:numId w:val="67"/>
      </w:numPr>
    </w:pPr>
  </w:style>
  <w:style w:type="paragraph" w:customStyle="1" w:styleId="Tiret3">
    <w:name w:val="Tiret 3"/>
    <w:basedOn w:val="Point3"/>
    <w:pPr>
      <w:numPr>
        <w:numId w:val="68"/>
      </w:numPr>
    </w:pPr>
  </w:style>
  <w:style w:type="paragraph" w:customStyle="1" w:styleId="Tiret4">
    <w:name w:val="Tiret 4"/>
    <w:basedOn w:val="Point4"/>
    <w:pPr>
      <w:numPr>
        <w:numId w:val="69"/>
      </w:numPr>
    </w:pPr>
  </w:style>
  <w:style w:type="paragraph" w:customStyle="1" w:styleId="Tiret5">
    <w:name w:val="Tiret 5"/>
    <w:basedOn w:val="Point5"/>
    <w:pPr>
      <w:numPr>
        <w:numId w:val="7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1"/>
      </w:numPr>
    </w:pPr>
  </w:style>
  <w:style w:type="paragraph" w:customStyle="1" w:styleId="NumPar2">
    <w:name w:val="NumPar 2"/>
    <w:basedOn w:val="Normal"/>
    <w:next w:val="Text1"/>
    <w:pPr>
      <w:numPr>
        <w:ilvl w:val="1"/>
        <w:numId w:val="71"/>
      </w:numPr>
    </w:pPr>
  </w:style>
  <w:style w:type="paragraph" w:customStyle="1" w:styleId="NumPar3">
    <w:name w:val="NumPar 3"/>
    <w:basedOn w:val="Normal"/>
    <w:next w:val="Text1"/>
    <w:pPr>
      <w:numPr>
        <w:ilvl w:val="2"/>
        <w:numId w:val="71"/>
      </w:numPr>
    </w:pPr>
  </w:style>
  <w:style w:type="paragraph" w:customStyle="1" w:styleId="NumPar4">
    <w:name w:val="NumPar 4"/>
    <w:basedOn w:val="Normal"/>
    <w:next w:val="Text1"/>
    <w:pPr>
      <w:numPr>
        <w:ilvl w:val="3"/>
        <w:numId w:val="71"/>
      </w:numPr>
    </w:pPr>
  </w:style>
  <w:style w:type="paragraph" w:customStyle="1" w:styleId="NumPar5">
    <w:name w:val="NumPar 5"/>
    <w:basedOn w:val="Normal"/>
    <w:next w:val="Text2"/>
    <w:pPr>
      <w:numPr>
        <w:ilvl w:val="4"/>
        <w:numId w:val="71"/>
      </w:numPr>
    </w:pPr>
  </w:style>
  <w:style w:type="paragraph" w:customStyle="1" w:styleId="NumPar6">
    <w:name w:val="NumPar 6"/>
    <w:basedOn w:val="Normal"/>
    <w:next w:val="Text2"/>
    <w:pPr>
      <w:numPr>
        <w:ilvl w:val="5"/>
        <w:numId w:val="71"/>
      </w:numPr>
    </w:pPr>
  </w:style>
  <w:style w:type="paragraph" w:customStyle="1" w:styleId="NumPar7">
    <w:name w:val="NumPar 7"/>
    <w:basedOn w:val="Normal"/>
    <w:next w:val="Text2"/>
    <w:pPr>
      <w:numPr>
        <w:ilvl w:val="6"/>
        <w:numId w:val="7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3"/>
      </w:numPr>
    </w:pPr>
  </w:style>
  <w:style w:type="paragraph" w:customStyle="1" w:styleId="Point1number">
    <w:name w:val="Point 1 (number)"/>
    <w:basedOn w:val="Normal"/>
    <w:pPr>
      <w:numPr>
        <w:ilvl w:val="2"/>
        <w:numId w:val="73"/>
      </w:numPr>
    </w:pPr>
  </w:style>
  <w:style w:type="paragraph" w:customStyle="1" w:styleId="Point2number">
    <w:name w:val="Point 2 (number)"/>
    <w:basedOn w:val="Normal"/>
    <w:pPr>
      <w:numPr>
        <w:ilvl w:val="4"/>
        <w:numId w:val="73"/>
      </w:numPr>
    </w:pPr>
  </w:style>
  <w:style w:type="paragraph" w:customStyle="1" w:styleId="Point3number">
    <w:name w:val="Point 3 (number)"/>
    <w:basedOn w:val="Normal"/>
    <w:pPr>
      <w:numPr>
        <w:ilvl w:val="6"/>
        <w:numId w:val="73"/>
      </w:numPr>
    </w:pPr>
  </w:style>
  <w:style w:type="paragraph" w:customStyle="1" w:styleId="Point0letter">
    <w:name w:val="Point 0 (letter)"/>
    <w:basedOn w:val="Normal"/>
    <w:pPr>
      <w:numPr>
        <w:ilvl w:val="1"/>
        <w:numId w:val="73"/>
      </w:numPr>
    </w:pPr>
  </w:style>
  <w:style w:type="paragraph" w:customStyle="1" w:styleId="Point1letter">
    <w:name w:val="Point 1 (letter)"/>
    <w:basedOn w:val="Normal"/>
    <w:pPr>
      <w:numPr>
        <w:ilvl w:val="3"/>
        <w:numId w:val="73"/>
      </w:numPr>
    </w:pPr>
  </w:style>
  <w:style w:type="paragraph" w:customStyle="1" w:styleId="Point2letter">
    <w:name w:val="Point 2 (letter)"/>
    <w:basedOn w:val="Normal"/>
    <w:pPr>
      <w:numPr>
        <w:ilvl w:val="5"/>
        <w:numId w:val="73"/>
      </w:numPr>
    </w:pPr>
  </w:style>
  <w:style w:type="paragraph" w:customStyle="1" w:styleId="Point3letter">
    <w:name w:val="Point 3 (letter)"/>
    <w:basedOn w:val="Normal"/>
    <w:pPr>
      <w:numPr>
        <w:ilvl w:val="7"/>
        <w:numId w:val="73"/>
      </w:numPr>
    </w:pPr>
  </w:style>
  <w:style w:type="paragraph" w:customStyle="1" w:styleId="Point4letter">
    <w:name w:val="Point 4 (letter)"/>
    <w:basedOn w:val="Normal"/>
    <w:pPr>
      <w:numPr>
        <w:ilvl w:val="8"/>
        <w:numId w:val="73"/>
      </w:numPr>
    </w:pPr>
  </w:style>
  <w:style w:type="paragraph" w:customStyle="1" w:styleId="Bullet0">
    <w:name w:val="Bullet 0"/>
    <w:basedOn w:val="Normal"/>
    <w:pPr>
      <w:numPr>
        <w:numId w:val="74"/>
      </w:numPr>
    </w:pPr>
  </w:style>
  <w:style w:type="paragraph" w:customStyle="1" w:styleId="Bullet1">
    <w:name w:val="Bullet 1"/>
    <w:basedOn w:val="Normal"/>
    <w:pPr>
      <w:numPr>
        <w:numId w:val="75"/>
      </w:numPr>
    </w:pPr>
  </w:style>
  <w:style w:type="paragraph" w:customStyle="1" w:styleId="Bullet2">
    <w:name w:val="Bullet 2"/>
    <w:basedOn w:val="Normal"/>
    <w:pPr>
      <w:numPr>
        <w:numId w:val="76"/>
      </w:numPr>
    </w:pPr>
  </w:style>
  <w:style w:type="paragraph" w:customStyle="1" w:styleId="Bullet3">
    <w:name w:val="Bullet 3"/>
    <w:basedOn w:val="Normal"/>
    <w:pPr>
      <w:numPr>
        <w:numId w:val="77"/>
      </w:numPr>
    </w:pPr>
  </w:style>
  <w:style w:type="paragraph" w:customStyle="1" w:styleId="Bullet4">
    <w:name w:val="Bullet 4"/>
    <w:basedOn w:val="Normal"/>
    <w:pPr>
      <w:numPr>
        <w:numId w:val="7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26085">
      <w:bodyDiv w:val="1"/>
      <w:marLeft w:val="0"/>
      <w:marRight w:val="0"/>
      <w:marTop w:val="0"/>
      <w:marBottom w:val="0"/>
      <w:divBdr>
        <w:top w:val="none" w:sz="0" w:space="0" w:color="auto"/>
        <w:left w:val="none" w:sz="0" w:space="0" w:color="auto"/>
        <w:bottom w:val="none" w:sz="0" w:space="0" w:color="auto"/>
        <w:right w:val="none" w:sz="0" w:space="0" w:color="auto"/>
      </w:divBdr>
    </w:div>
    <w:div w:id="34501151">
      <w:bodyDiv w:val="1"/>
      <w:marLeft w:val="0"/>
      <w:marRight w:val="0"/>
      <w:marTop w:val="0"/>
      <w:marBottom w:val="0"/>
      <w:divBdr>
        <w:top w:val="none" w:sz="0" w:space="0" w:color="auto"/>
        <w:left w:val="none" w:sz="0" w:space="0" w:color="auto"/>
        <w:bottom w:val="none" w:sz="0" w:space="0" w:color="auto"/>
        <w:right w:val="none" w:sz="0" w:space="0" w:color="auto"/>
      </w:divBdr>
      <w:divsChild>
        <w:div w:id="1250037587">
          <w:marLeft w:val="0"/>
          <w:marRight w:val="0"/>
          <w:marTop w:val="0"/>
          <w:marBottom w:val="0"/>
          <w:divBdr>
            <w:top w:val="none" w:sz="0" w:space="0" w:color="auto"/>
            <w:left w:val="none" w:sz="0" w:space="0" w:color="auto"/>
            <w:bottom w:val="none" w:sz="0" w:space="0" w:color="auto"/>
            <w:right w:val="none" w:sz="0" w:space="0" w:color="auto"/>
          </w:divBdr>
        </w:div>
        <w:div w:id="1423138184">
          <w:marLeft w:val="0"/>
          <w:marRight w:val="0"/>
          <w:marTop w:val="0"/>
          <w:marBottom w:val="0"/>
          <w:divBdr>
            <w:top w:val="none" w:sz="0" w:space="0" w:color="auto"/>
            <w:left w:val="none" w:sz="0" w:space="0" w:color="auto"/>
            <w:bottom w:val="none" w:sz="0" w:space="0" w:color="auto"/>
            <w:right w:val="none" w:sz="0" w:space="0" w:color="auto"/>
          </w:divBdr>
        </w:div>
        <w:div w:id="1868906984">
          <w:marLeft w:val="0"/>
          <w:marRight w:val="0"/>
          <w:marTop w:val="0"/>
          <w:marBottom w:val="0"/>
          <w:divBdr>
            <w:top w:val="none" w:sz="0" w:space="0" w:color="auto"/>
            <w:left w:val="none" w:sz="0" w:space="0" w:color="auto"/>
            <w:bottom w:val="none" w:sz="0" w:space="0" w:color="auto"/>
            <w:right w:val="none" w:sz="0" w:space="0" w:color="auto"/>
          </w:divBdr>
        </w:div>
        <w:div w:id="2074354936">
          <w:marLeft w:val="0"/>
          <w:marRight w:val="0"/>
          <w:marTop w:val="0"/>
          <w:marBottom w:val="0"/>
          <w:divBdr>
            <w:top w:val="none" w:sz="0" w:space="0" w:color="auto"/>
            <w:left w:val="none" w:sz="0" w:space="0" w:color="auto"/>
            <w:bottom w:val="none" w:sz="0" w:space="0" w:color="auto"/>
            <w:right w:val="none" w:sz="0" w:space="0" w:color="auto"/>
          </w:divBdr>
        </w:div>
      </w:divsChild>
    </w:div>
    <w:div w:id="51584147">
      <w:bodyDiv w:val="1"/>
      <w:marLeft w:val="0"/>
      <w:marRight w:val="0"/>
      <w:marTop w:val="0"/>
      <w:marBottom w:val="0"/>
      <w:divBdr>
        <w:top w:val="none" w:sz="0" w:space="0" w:color="auto"/>
        <w:left w:val="none" w:sz="0" w:space="0" w:color="auto"/>
        <w:bottom w:val="none" w:sz="0" w:space="0" w:color="auto"/>
        <w:right w:val="none" w:sz="0" w:space="0" w:color="auto"/>
      </w:divBdr>
      <w:divsChild>
        <w:div w:id="1721124699">
          <w:marLeft w:val="0"/>
          <w:marRight w:val="0"/>
          <w:marTop w:val="0"/>
          <w:marBottom w:val="0"/>
          <w:divBdr>
            <w:top w:val="none" w:sz="0" w:space="0" w:color="auto"/>
            <w:left w:val="none" w:sz="0" w:space="0" w:color="auto"/>
            <w:bottom w:val="none" w:sz="0" w:space="0" w:color="auto"/>
            <w:right w:val="none" w:sz="0" w:space="0" w:color="auto"/>
          </w:divBdr>
          <w:divsChild>
            <w:div w:id="38780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9486">
      <w:bodyDiv w:val="1"/>
      <w:marLeft w:val="0"/>
      <w:marRight w:val="0"/>
      <w:marTop w:val="0"/>
      <w:marBottom w:val="0"/>
      <w:divBdr>
        <w:top w:val="none" w:sz="0" w:space="0" w:color="auto"/>
        <w:left w:val="none" w:sz="0" w:space="0" w:color="auto"/>
        <w:bottom w:val="none" w:sz="0" w:space="0" w:color="auto"/>
        <w:right w:val="none" w:sz="0" w:space="0" w:color="auto"/>
      </w:divBdr>
    </w:div>
    <w:div w:id="149031132">
      <w:bodyDiv w:val="1"/>
      <w:marLeft w:val="0"/>
      <w:marRight w:val="0"/>
      <w:marTop w:val="0"/>
      <w:marBottom w:val="0"/>
      <w:divBdr>
        <w:top w:val="none" w:sz="0" w:space="0" w:color="auto"/>
        <w:left w:val="none" w:sz="0" w:space="0" w:color="auto"/>
        <w:bottom w:val="none" w:sz="0" w:space="0" w:color="auto"/>
        <w:right w:val="none" w:sz="0" w:space="0" w:color="auto"/>
      </w:divBdr>
    </w:div>
    <w:div w:id="159658504">
      <w:bodyDiv w:val="1"/>
      <w:marLeft w:val="0"/>
      <w:marRight w:val="0"/>
      <w:marTop w:val="0"/>
      <w:marBottom w:val="0"/>
      <w:divBdr>
        <w:top w:val="none" w:sz="0" w:space="0" w:color="auto"/>
        <w:left w:val="none" w:sz="0" w:space="0" w:color="auto"/>
        <w:bottom w:val="none" w:sz="0" w:space="0" w:color="auto"/>
        <w:right w:val="none" w:sz="0" w:space="0" w:color="auto"/>
      </w:divBdr>
    </w:div>
    <w:div w:id="167185602">
      <w:bodyDiv w:val="1"/>
      <w:marLeft w:val="0"/>
      <w:marRight w:val="0"/>
      <w:marTop w:val="0"/>
      <w:marBottom w:val="0"/>
      <w:divBdr>
        <w:top w:val="none" w:sz="0" w:space="0" w:color="auto"/>
        <w:left w:val="none" w:sz="0" w:space="0" w:color="auto"/>
        <w:bottom w:val="none" w:sz="0" w:space="0" w:color="auto"/>
        <w:right w:val="none" w:sz="0" w:space="0" w:color="auto"/>
      </w:divBdr>
    </w:div>
    <w:div w:id="176620998">
      <w:bodyDiv w:val="1"/>
      <w:marLeft w:val="0"/>
      <w:marRight w:val="0"/>
      <w:marTop w:val="0"/>
      <w:marBottom w:val="0"/>
      <w:divBdr>
        <w:top w:val="none" w:sz="0" w:space="0" w:color="auto"/>
        <w:left w:val="none" w:sz="0" w:space="0" w:color="auto"/>
        <w:bottom w:val="none" w:sz="0" w:space="0" w:color="auto"/>
        <w:right w:val="none" w:sz="0" w:space="0" w:color="auto"/>
      </w:divBdr>
    </w:div>
    <w:div w:id="193999570">
      <w:bodyDiv w:val="1"/>
      <w:marLeft w:val="0"/>
      <w:marRight w:val="0"/>
      <w:marTop w:val="0"/>
      <w:marBottom w:val="0"/>
      <w:divBdr>
        <w:top w:val="none" w:sz="0" w:space="0" w:color="auto"/>
        <w:left w:val="none" w:sz="0" w:space="0" w:color="auto"/>
        <w:bottom w:val="none" w:sz="0" w:space="0" w:color="auto"/>
        <w:right w:val="none" w:sz="0" w:space="0" w:color="auto"/>
      </w:divBdr>
    </w:div>
    <w:div w:id="202208710">
      <w:bodyDiv w:val="1"/>
      <w:marLeft w:val="0"/>
      <w:marRight w:val="0"/>
      <w:marTop w:val="0"/>
      <w:marBottom w:val="0"/>
      <w:divBdr>
        <w:top w:val="none" w:sz="0" w:space="0" w:color="auto"/>
        <w:left w:val="none" w:sz="0" w:space="0" w:color="auto"/>
        <w:bottom w:val="none" w:sz="0" w:space="0" w:color="auto"/>
        <w:right w:val="none" w:sz="0" w:space="0" w:color="auto"/>
      </w:divBdr>
    </w:div>
    <w:div w:id="203837755">
      <w:bodyDiv w:val="1"/>
      <w:marLeft w:val="0"/>
      <w:marRight w:val="0"/>
      <w:marTop w:val="0"/>
      <w:marBottom w:val="0"/>
      <w:divBdr>
        <w:top w:val="none" w:sz="0" w:space="0" w:color="auto"/>
        <w:left w:val="none" w:sz="0" w:space="0" w:color="auto"/>
        <w:bottom w:val="none" w:sz="0" w:space="0" w:color="auto"/>
        <w:right w:val="none" w:sz="0" w:space="0" w:color="auto"/>
      </w:divBdr>
    </w:div>
    <w:div w:id="274681393">
      <w:bodyDiv w:val="1"/>
      <w:marLeft w:val="0"/>
      <w:marRight w:val="0"/>
      <w:marTop w:val="0"/>
      <w:marBottom w:val="0"/>
      <w:divBdr>
        <w:top w:val="none" w:sz="0" w:space="0" w:color="auto"/>
        <w:left w:val="none" w:sz="0" w:space="0" w:color="auto"/>
        <w:bottom w:val="none" w:sz="0" w:space="0" w:color="auto"/>
        <w:right w:val="none" w:sz="0" w:space="0" w:color="auto"/>
      </w:divBdr>
    </w:div>
    <w:div w:id="348878078">
      <w:bodyDiv w:val="1"/>
      <w:marLeft w:val="0"/>
      <w:marRight w:val="0"/>
      <w:marTop w:val="0"/>
      <w:marBottom w:val="0"/>
      <w:divBdr>
        <w:top w:val="none" w:sz="0" w:space="0" w:color="auto"/>
        <w:left w:val="none" w:sz="0" w:space="0" w:color="auto"/>
        <w:bottom w:val="none" w:sz="0" w:space="0" w:color="auto"/>
        <w:right w:val="none" w:sz="0" w:space="0" w:color="auto"/>
      </w:divBdr>
      <w:divsChild>
        <w:div w:id="1611279237">
          <w:marLeft w:val="0"/>
          <w:marRight w:val="0"/>
          <w:marTop w:val="0"/>
          <w:marBottom w:val="0"/>
          <w:divBdr>
            <w:top w:val="none" w:sz="0" w:space="0" w:color="auto"/>
            <w:left w:val="none" w:sz="0" w:space="0" w:color="auto"/>
            <w:bottom w:val="none" w:sz="0" w:space="0" w:color="auto"/>
            <w:right w:val="none" w:sz="0" w:space="0" w:color="auto"/>
          </w:divBdr>
          <w:divsChild>
            <w:div w:id="15251673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355039666">
      <w:bodyDiv w:val="1"/>
      <w:marLeft w:val="0"/>
      <w:marRight w:val="0"/>
      <w:marTop w:val="0"/>
      <w:marBottom w:val="0"/>
      <w:divBdr>
        <w:top w:val="none" w:sz="0" w:space="0" w:color="auto"/>
        <w:left w:val="none" w:sz="0" w:space="0" w:color="auto"/>
        <w:bottom w:val="none" w:sz="0" w:space="0" w:color="auto"/>
        <w:right w:val="none" w:sz="0" w:space="0" w:color="auto"/>
      </w:divBdr>
    </w:div>
    <w:div w:id="406660047">
      <w:bodyDiv w:val="1"/>
      <w:marLeft w:val="0"/>
      <w:marRight w:val="0"/>
      <w:marTop w:val="0"/>
      <w:marBottom w:val="0"/>
      <w:divBdr>
        <w:top w:val="none" w:sz="0" w:space="0" w:color="auto"/>
        <w:left w:val="none" w:sz="0" w:space="0" w:color="auto"/>
        <w:bottom w:val="none" w:sz="0" w:space="0" w:color="auto"/>
        <w:right w:val="none" w:sz="0" w:space="0" w:color="auto"/>
      </w:divBdr>
      <w:divsChild>
        <w:div w:id="387458492">
          <w:marLeft w:val="0"/>
          <w:marRight w:val="0"/>
          <w:marTop w:val="0"/>
          <w:marBottom w:val="0"/>
          <w:divBdr>
            <w:top w:val="none" w:sz="0" w:space="0" w:color="auto"/>
            <w:left w:val="none" w:sz="0" w:space="0" w:color="auto"/>
            <w:bottom w:val="none" w:sz="0" w:space="0" w:color="auto"/>
            <w:right w:val="none" w:sz="0" w:space="0" w:color="auto"/>
          </w:divBdr>
        </w:div>
        <w:div w:id="1012223099">
          <w:marLeft w:val="0"/>
          <w:marRight w:val="0"/>
          <w:marTop w:val="0"/>
          <w:marBottom w:val="0"/>
          <w:divBdr>
            <w:top w:val="none" w:sz="0" w:space="0" w:color="auto"/>
            <w:left w:val="none" w:sz="0" w:space="0" w:color="auto"/>
            <w:bottom w:val="none" w:sz="0" w:space="0" w:color="auto"/>
            <w:right w:val="none" w:sz="0" w:space="0" w:color="auto"/>
          </w:divBdr>
        </w:div>
        <w:div w:id="1312252690">
          <w:marLeft w:val="0"/>
          <w:marRight w:val="0"/>
          <w:marTop w:val="0"/>
          <w:marBottom w:val="0"/>
          <w:divBdr>
            <w:top w:val="none" w:sz="0" w:space="0" w:color="auto"/>
            <w:left w:val="none" w:sz="0" w:space="0" w:color="auto"/>
            <w:bottom w:val="none" w:sz="0" w:space="0" w:color="auto"/>
            <w:right w:val="none" w:sz="0" w:space="0" w:color="auto"/>
          </w:divBdr>
        </w:div>
        <w:div w:id="1428503940">
          <w:marLeft w:val="0"/>
          <w:marRight w:val="0"/>
          <w:marTop w:val="0"/>
          <w:marBottom w:val="0"/>
          <w:divBdr>
            <w:top w:val="none" w:sz="0" w:space="0" w:color="auto"/>
            <w:left w:val="none" w:sz="0" w:space="0" w:color="auto"/>
            <w:bottom w:val="none" w:sz="0" w:space="0" w:color="auto"/>
            <w:right w:val="none" w:sz="0" w:space="0" w:color="auto"/>
          </w:divBdr>
        </w:div>
      </w:divsChild>
    </w:div>
    <w:div w:id="480777670">
      <w:bodyDiv w:val="1"/>
      <w:marLeft w:val="0"/>
      <w:marRight w:val="0"/>
      <w:marTop w:val="0"/>
      <w:marBottom w:val="0"/>
      <w:divBdr>
        <w:top w:val="none" w:sz="0" w:space="0" w:color="auto"/>
        <w:left w:val="none" w:sz="0" w:space="0" w:color="auto"/>
        <w:bottom w:val="none" w:sz="0" w:space="0" w:color="auto"/>
        <w:right w:val="none" w:sz="0" w:space="0" w:color="auto"/>
      </w:divBdr>
      <w:divsChild>
        <w:div w:id="2134059862">
          <w:marLeft w:val="0"/>
          <w:marRight w:val="0"/>
          <w:marTop w:val="0"/>
          <w:marBottom w:val="0"/>
          <w:divBdr>
            <w:top w:val="none" w:sz="0" w:space="0" w:color="auto"/>
            <w:left w:val="none" w:sz="0" w:space="0" w:color="auto"/>
            <w:bottom w:val="none" w:sz="0" w:space="0" w:color="auto"/>
            <w:right w:val="none" w:sz="0" w:space="0" w:color="auto"/>
          </w:divBdr>
        </w:div>
      </w:divsChild>
    </w:div>
    <w:div w:id="597560616">
      <w:bodyDiv w:val="1"/>
      <w:marLeft w:val="0"/>
      <w:marRight w:val="0"/>
      <w:marTop w:val="0"/>
      <w:marBottom w:val="0"/>
      <w:divBdr>
        <w:top w:val="none" w:sz="0" w:space="0" w:color="auto"/>
        <w:left w:val="none" w:sz="0" w:space="0" w:color="auto"/>
        <w:bottom w:val="none" w:sz="0" w:space="0" w:color="auto"/>
        <w:right w:val="none" w:sz="0" w:space="0" w:color="auto"/>
      </w:divBdr>
      <w:divsChild>
        <w:div w:id="190534549">
          <w:marLeft w:val="0"/>
          <w:marRight w:val="0"/>
          <w:marTop w:val="0"/>
          <w:marBottom w:val="0"/>
          <w:divBdr>
            <w:top w:val="none" w:sz="0" w:space="0" w:color="auto"/>
            <w:left w:val="none" w:sz="0" w:space="0" w:color="auto"/>
            <w:bottom w:val="none" w:sz="0" w:space="0" w:color="auto"/>
            <w:right w:val="none" w:sz="0" w:space="0" w:color="auto"/>
          </w:divBdr>
        </w:div>
      </w:divsChild>
    </w:div>
    <w:div w:id="604535608">
      <w:bodyDiv w:val="1"/>
      <w:marLeft w:val="0"/>
      <w:marRight w:val="0"/>
      <w:marTop w:val="0"/>
      <w:marBottom w:val="0"/>
      <w:divBdr>
        <w:top w:val="none" w:sz="0" w:space="0" w:color="auto"/>
        <w:left w:val="none" w:sz="0" w:space="0" w:color="auto"/>
        <w:bottom w:val="none" w:sz="0" w:space="0" w:color="auto"/>
        <w:right w:val="none" w:sz="0" w:space="0" w:color="auto"/>
      </w:divBdr>
    </w:div>
    <w:div w:id="636105200">
      <w:bodyDiv w:val="1"/>
      <w:marLeft w:val="0"/>
      <w:marRight w:val="0"/>
      <w:marTop w:val="0"/>
      <w:marBottom w:val="0"/>
      <w:divBdr>
        <w:top w:val="none" w:sz="0" w:space="0" w:color="auto"/>
        <w:left w:val="none" w:sz="0" w:space="0" w:color="auto"/>
        <w:bottom w:val="none" w:sz="0" w:space="0" w:color="auto"/>
        <w:right w:val="none" w:sz="0" w:space="0" w:color="auto"/>
      </w:divBdr>
    </w:div>
    <w:div w:id="647711327">
      <w:bodyDiv w:val="1"/>
      <w:marLeft w:val="0"/>
      <w:marRight w:val="0"/>
      <w:marTop w:val="0"/>
      <w:marBottom w:val="0"/>
      <w:divBdr>
        <w:top w:val="none" w:sz="0" w:space="0" w:color="auto"/>
        <w:left w:val="none" w:sz="0" w:space="0" w:color="auto"/>
        <w:bottom w:val="none" w:sz="0" w:space="0" w:color="auto"/>
        <w:right w:val="none" w:sz="0" w:space="0" w:color="auto"/>
      </w:divBdr>
      <w:divsChild>
        <w:div w:id="23137265">
          <w:marLeft w:val="0"/>
          <w:marRight w:val="0"/>
          <w:marTop w:val="0"/>
          <w:marBottom w:val="0"/>
          <w:divBdr>
            <w:top w:val="none" w:sz="0" w:space="0" w:color="auto"/>
            <w:left w:val="none" w:sz="0" w:space="0" w:color="auto"/>
            <w:bottom w:val="none" w:sz="0" w:space="0" w:color="auto"/>
            <w:right w:val="none" w:sz="0" w:space="0" w:color="auto"/>
          </w:divBdr>
        </w:div>
        <w:div w:id="1136946698">
          <w:marLeft w:val="0"/>
          <w:marRight w:val="0"/>
          <w:marTop w:val="0"/>
          <w:marBottom w:val="0"/>
          <w:divBdr>
            <w:top w:val="none" w:sz="0" w:space="0" w:color="auto"/>
            <w:left w:val="none" w:sz="0" w:space="0" w:color="auto"/>
            <w:bottom w:val="none" w:sz="0" w:space="0" w:color="auto"/>
            <w:right w:val="none" w:sz="0" w:space="0" w:color="auto"/>
          </w:divBdr>
        </w:div>
      </w:divsChild>
    </w:div>
    <w:div w:id="664088005">
      <w:bodyDiv w:val="1"/>
      <w:marLeft w:val="0"/>
      <w:marRight w:val="0"/>
      <w:marTop w:val="0"/>
      <w:marBottom w:val="0"/>
      <w:divBdr>
        <w:top w:val="none" w:sz="0" w:space="0" w:color="auto"/>
        <w:left w:val="none" w:sz="0" w:space="0" w:color="auto"/>
        <w:bottom w:val="none" w:sz="0" w:space="0" w:color="auto"/>
        <w:right w:val="none" w:sz="0" w:space="0" w:color="auto"/>
      </w:divBdr>
      <w:divsChild>
        <w:div w:id="102193443">
          <w:marLeft w:val="0"/>
          <w:marRight w:val="0"/>
          <w:marTop w:val="0"/>
          <w:marBottom w:val="0"/>
          <w:divBdr>
            <w:top w:val="none" w:sz="0" w:space="0" w:color="auto"/>
            <w:left w:val="none" w:sz="0" w:space="0" w:color="auto"/>
            <w:bottom w:val="none" w:sz="0" w:space="0" w:color="auto"/>
            <w:right w:val="none" w:sz="0" w:space="0" w:color="auto"/>
          </w:divBdr>
          <w:divsChild>
            <w:div w:id="83694527">
              <w:marLeft w:val="0"/>
              <w:marRight w:val="0"/>
              <w:marTop w:val="0"/>
              <w:marBottom w:val="0"/>
              <w:divBdr>
                <w:top w:val="none" w:sz="0" w:space="0" w:color="auto"/>
                <w:left w:val="none" w:sz="0" w:space="0" w:color="auto"/>
                <w:bottom w:val="none" w:sz="0" w:space="0" w:color="auto"/>
                <w:right w:val="none" w:sz="0" w:space="0" w:color="auto"/>
              </w:divBdr>
            </w:div>
            <w:div w:id="103884902">
              <w:marLeft w:val="0"/>
              <w:marRight w:val="0"/>
              <w:marTop w:val="0"/>
              <w:marBottom w:val="0"/>
              <w:divBdr>
                <w:top w:val="none" w:sz="0" w:space="0" w:color="auto"/>
                <w:left w:val="none" w:sz="0" w:space="0" w:color="auto"/>
                <w:bottom w:val="none" w:sz="0" w:space="0" w:color="auto"/>
                <w:right w:val="none" w:sz="0" w:space="0" w:color="auto"/>
              </w:divBdr>
            </w:div>
            <w:div w:id="369307128">
              <w:marLeft w:val="0"/>
              <w:marRight w:val="0"/>
              <w:marTop w:val="0"/>
              <w:marBottom w:val="0"/>
              <w:divBdr>
                <w:top w:val="none" w:sz="0" w:space="0" w:color="auto"/>
                <w:left w:val="none" w:sz="0" w:space="0" w:color="auto"/>
                <w:bottom w:val="none" w:sz="0" w:space="0" w:color="auto"/>
                <w:right w:val="none" w:sz="0" w:space="0" w:color="auto"/>
              </w:divBdr>
            </w:div>
            <w:div w:id="642731647">
              <w:marLeft w:val="0"/>
              <w:marRight w:val="0"/>
              <w:marTop w:val="0"/>
              <w:marBottom w:val="0"/>
              <w:divBdr>
                <w:top w:val="none" w:sz="0" w:space="0" w:color="auto"/>
                <w:left w:val="none" w:sz="0" w:space="0" w:color="auto"/>
                <w:bottom w:val="none" w:sz="0" w:space="0" w:color="auto"/>
                <w:right w:val="none" w:sz="0" w:space="0" w:color="auto"/>
              </w:divBdr>
            </w:div>
            <w:div w:id="1457412046">
              <w:marLeft w:val="0"/>
              <w:marRight w:val="0"/>
              <w:marTop w:val="0"/>
              <w:marBottom w:val="0"/>
              <w:divBdr>
                <w:top w:val="none" w:sz="0" w:space="0" w:color="auto"/>
                <w:left w:val="none" w:sz="0" w:space="0" w:color="auto"/>
                <w:bottom w:val="none" w:sz="0" w:space="0" w:color="auto"/>
                <w:right w:val="none" w:sz="0" w:space="0" w:color="auto"/>
              </w:divBdr>
            </w:div>
            <w:div w:id="1743330792">
              <w:marLeft w:val="0"/>
              <w:marRight w:val="0"/>
              <w:marTop w:val="0"/>
              <w:marBottom w:val="0"/>
              <w:divBdr>
                <w:top w:val="none" w:sz="0" w:space="0" w:color="auto"/>
                <w:left w:val="none" w:sz="0" w:space="0" w:color="auto"/>
                <w:bottom w:val="none" w:sz="0" w:space="0" w:color="auto"/>
                <w:right w:val="none" w:sz="0" w:space="0" w:color="auto"/>
              </w:divBdr>
            </w:div>
            <w:div w:id="1977642392">
              <w:marLeft w:val="0"/>
              <w:marRight w:val="0"/>
              <w:marTop w:val="0"/>
              <w:marBottom w:val="0"/>
              <w:divBdr>
                <w:top w:val="none" w:sz="0" w:space="0" w:color="auto"/>
                <w:left w:val="none" w:sz="0" w:space="0" w:color="auto"/>
                <w:bottom w:val="none" w:sz="0" w:space="0" w:color="auto"/>
                <w:right w:val="none" w:sz="0" w:space="0" w:color="auto"/>
              </w:divBdr>
            </w:div>
          </w:divsChild>
        </w:div>
        <w:div w:id="198012344">
          <w:marLeft w:val="0"/>
          <w:marRight w:val="0"/>
          <w:marTop w:val="0"/>
          <w:marBottom w:val="0"/>
          <w:divBdr>
            <w:top w:val="none" w:sz="0" w:space="0" w:color="auto"/>
            <w:left w:val="none" w:sz="0" w:space="0" w:color="auto"/>
            <w:bottom w:val="none" w:sz="0" w:space="0" w:color="auto"/>
            <w:right w:val="none" w:sz="0" w:space="0" w:color="auto"/>
          </w:divBdr>
        </w:div>
      </w:divsChild>
    </w:div>
    <w:div w:id="710810600">
      <w:bodyDiv w:val="1"/>
      <w:marLeft w:val="0"/>
      <w:marRight w:val="0"/>
      <w:marTop w:val="0"/>
      <w:marBottom w:val="0"/>
      <w:divBdr>
        <w:top w:val="none" w:sz="0" w:space="0" w:color="auto"/>
        <w:left w:val="none" w:sz="0" w:space="0" w:color="auto"/>
        <w:bottom w:val="none" w:sz="0" w:space="0" w:color="auto"/>
        <w:right w:val="none" w:sz="0" w:space="0" w:color="auto"/>
      </w:divBdr>
      <w:divsChild>
        <w:div w:id="358245401">
          <w:marLeft w:val="0"/>
          <w:marRight w:val="0"/>
          <w:marTop w:val="0"/>
          <w:marBottom w:val="0"/>
          <w:divBdr>
            <w:top w:val="none" w:sz="0" w:space="0" w:color="auto"/>
            <w:left w:val="none" w:sz="0" w:space="0" w:color="auto"/>
            <w:bottom w:val="none" w:sz="0" w:space="0" w:color="auto"/>
            <w:right w:val="none" w:sz="0" w:space="0" w:color="auto"/>
          </w:divBdr>
          <w:divsChild>
            <w:div w:id="6891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038930">
      <w:bodyDiv w:val="1"/>
      <w:marLeft w:val="0"/>
      <w:marRight w:val="0"/>
      <w:marTop w:val="0"/>
      <w:marBottom w:val="0"/>
      <w:divBdr>
        <w:top w:val="none" w:sz="0" w:space="0" w:color="auto"/>
        <w:left w:val="none" w:sz="0" w:space="0" w:color="auto"/>
        <w:bottom w:val="none" w:sz="0" w:space="0" w:color="auto"/>
        <w:right w:val="none" w:sz="0" w:space="0" w:color="auto"/>
      </w:divBdr>
    </w:div>
    <w:div w:id="751128179">
      <w:bodyDiv w:val="1"/>
      <w:marLeft w:val="0"/>
      <w:marRight w:val="0"/>
      <w:marTop w:val="0"/>
      <w:marBottom w:val="0"/>
      <w:divBdr>
        <w:top w:val="none" w:sz="0" w:space="0" w:color="auto"/>
        <w:left w:val="none" w:sz="0" w:space="0" w:color="auto"/>
        <w:bottom w:val="none" w:sz="0" w:space="0" w:color="auto"/>
        <w:right w:val="none" w:sz="0" w:space="0" w:color="auto"/>
      </w:divBdr>
    </w:div>
    <w:div w:id="821312392">
      <w:bodyDiv w:val="1"/>
      <w:marLeft w:val="0"/>
      <w:marRight w:val="0"/>
      <w:marTop w:val="0"/>
      <w:marBottom w:val="0"/>
      <w:divBdr>
        <w:top w:val="none" w:sz="0" w:space="0" w:color="auto"/>
        <w:left w:val="none" w:sz="0" w:space="0" w:color="auto"/>
        <w:bottom w:val="none" w:sz="0" w:space="0" w:color="auto"/>
        <w:right w:val="none" w:sz="0" w:space="0" w:color="auto"/>
      </w:divBdr>
    </w:div>
    <w:div w:id="842746953">
      <w:bodyDiv w:val="1"/>
      <w:marLeft w:val="0"/>
      <w:marRight w:val="0"/>
      <w:marTop w:val="0"/>
      <w:marBottom w:val="0"/>
      <w:divBdr>
        <w:top w:val="none" w:sz="0" w:space="0" w:color="auto"/>
        <w:left w:val="none" w:sz="0" w:space="0" w:color="auto"/>
        <w:bottom w:val="none" w:sz="0" w:space="0" w:color="auto"/>
        <w:right w:val="none" w:sz="0" w:space="0" w:color="auto"/>
      </w:divBdr>
      <w:divsChild>
        <w:div w:id="108284886">
          <w:marLeft w:val="0"/>
          <w:marRight w:val="0"/>
          <w:marTop w:val="0"/>
          <w:marBottom w:val="0"/>
          <w:divBdr>
            <w:top w:val="none" w:sz="0" w:space="0" w:color="auto"/>
            <w:left w:val="none" w:sz="0" w:space="0" w:color="auto"/>
            <w:bottom w:val="none" w:sz="0" w:space="0" w:color="auto"/>
            <w:right w:val="none" w:sz="0" w:space="0" w:color="auto"/>
          </w:divBdr>
        </w:div>
        <w:div w:id="186868348">
          <w:marLeft w:val="0"/>
          <w:marRight w:val="0"/>
          <w:marTop w:val="0"/>
          <w:marBottom w:val="0"/>
          <w:divBdr>
            <w:top w:val="none" w:sz="0" w:space="0" w:color="auto"/>
            <w:left w:val="none" w:sz="0" w:space="0" w:color="auto"/>
            <w:bottom w:val="none" w:sz="0" w:space="0" w:color="auto"/>
            <w:right w:val="none" w:sz="0" w:space="0" w:color="auto"/>
          </w:divBdr>
        </w:div>
        <w:div w:id="800073924">
          <w:marLeft w:val="0"/>
          <w:marRight w:val="0"/>
          <w:marTop w:val="0"/>
          <w:marBottom w:val="0"/>
          <w:divBdr>
            <w:top w:val="none" w:sz="0" w:space="0" w:color="auto"/>
            <w:left w:val="none" w:sz="0" w:space="0" w:color="auto"/>
            <w:bottom w:val="none" w:sz="0" w:space="0" w:color="auto"/>
            <w:right w:val="none" w:sz="0" w:space="0" w:color="auto"/>
          </w:divBdr>
        </w:div>
        <w:div w:id="1130055072">
          <w:marLeft w:val="0"/>
          <w:marRight w:val="0"/>
          <w:marTop w:val="0"/>
          <w:marBottom w:val="0"/>
          <w:divBdr>
            <w:top w:val="none" w:sz="0" w:space="0" w:color="auto"/>
            <w:left w:val="none" w:sz="0" w:space="0" w:color="auto"/>
            <w:bottom w:val="none" w:sz="0" w:space="0" w:color="auto"/>
            <w:right w:val="none" w:sz="0" w:space="0" w:color="auto"/>
          </w:divBdr>
        </w:div>
        <w:div w:id="1775709982">
          <w:marLeft w:val="0"/>
          <w:marRight w:val="0"/>
          <w:marTop w:val="0"/>
          <w:marBottom w:val="0"/>
          <w:divBdr>
            <w:top w:val="none" w:sz="0" w:space="0" w:color="auto"/>
            <w:left w:val="none" w:sz="0" w:space="0" w:color="auto"/>
            <w:bottom w:val="none" w:sz="0" w:space="0" w:color="auto"/>
            <w:right w:val="none" w:sz="0" w:space="0" w:color="auto"/>
          </w:divBdr>
        </w:div>
      </w:divsChild>
    </w:div>
    <w:div w:id="855968087">
      <w:bodyDiv w:val="1"/>
      <w:marLeft w:val="0"/>
      <w:marRight w:val="0"/>
      <w:marTop w:val="0"/>
      <w:marBottom w:val="0"/>
      <w:divBdr>
        <w:top w:val="none" w:sz="0" w:space="0" w:color="auto"/>
        <w:left w:val="none" w:sz="0" w:space="0" w:color="auto"/>
        <w:bottom w:val="none" w:sz="0" w:space="0" w:color="auto"/>
        <w:right w:val="none" w:sz="0" w:space="0" w:color="auto"/>
      </w:divBdr>
    </w:div>
    <w:div w:id="873495404">
      <w:bodyDiv w:val="1"/>
      <w:marLeft w:val="0"/>
      <w:marRight w:val="0"/>
      <w:marTop w:val="0"/>
      <w:marBottom w:val="0"/>
      <w:divBdr>
        <w:top w:val="none" w:sz="0" w:space="0" w:color="auto"/>
        <w:left w:val="none" w:sz="0" w:space="0" w:color="auto"/>
        <w:bottom w:val="none" w:sz="0" w:space="0" w:color="auto"/>
        <w:right w:val="none" w:sz="0" w:space="0" w:color="auto"/>
      </w:divBdr>
    </w:div>
    <w:div w:id="924462288">
      <w:bodyDiv w:val="1"/>
      <w:marLeft w:val="0"/>
      <w:marRight w:val="0"/>
      <w:marTop w:val="0"/>
      <w:marBottom w:val="0"/>
      <w:divBdr>
        <w:top w:val="none" w:sz="0" w:space="0" w:color="auto"/>
        <w:left w:val="none" w:sz="0" w:space="0" w:color="auto"/>
        <w:bottom w:val="none" w:sz="0" w:space="0" w:color="auto"/>
        <w:right w:val="none" w:sz="0" w:space="0" w:color="auto"/>
      </w:divBdr>
    </w:div>
    <w:div w:id="942959249">
      <w:bodyDiv w:val="1"/>
      <w:marLeft w:val="0"/>
      <w:marRight w:val="0"/>
      <w:marTop w:val="0"/>
      <w:marBottom w:val="0"/>
      <w:divBdr>
        <w:top w:val="none" w:sz="0" w:space="0" w:color="auto"/>
        <w:left w:val="none" w:sz="0" w:space="0" w:color="auto"/>
        <w:bottom w:val="none" w:sz="0" w:space="0" w:color="auto"/>
        <w:right w:val="none" w:sz="0" w:space="0" w:color="auto"/>
      </w:divBdr>
    </w:div>
    <w:div w:id="997803380">
      <w:bodyDiv w:val="1"/>
      <w:marLeft w:val="0"/>
      <w:marRight w:val="0"/>
      <w:marTop w:val="0"/>
      <w:marBottom w:val="0"/>
      <w:divBdr>
        <w:top w:val="none" w:sz="0" w:space="0" w:color="auto"/>
        <w:left w:val="none" w:sz="0" w:space="0" w:color="auto"/>
        <w:bottom w:val="none" w:sz="0" w:space="0" w:color="auto"/>
        <w:right w:val="none" w:sz="0" w:space="0" w:color="auto"/>
      </w:divBdr>
      <w:divsChild>
        <w:div w:id="158161314">
          <w:marLeft w:val="0"/>
          <w:marRight w:val="0"/>
          <w:marTop w:val="0"/>
          <w:marBottom w:val="0"/>
          <w:divBdr>
            <w:top w:val="none" w:sz="0" w:space="0" w:color="auto"/>
            <w:left w:val="none" w:sz="0" w:space="0" w:color="auto"/>
            <w:bottom w:val="none" w:sz="0" w:space="0" w:color="auto"/>
            <w:right w:val="none" w:sz="0" w:space="0" w:color="auto"/>
          </w:divBdr>
          <w:divsChild>
            <w:div w:id="118987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477669">
      <w:bodyDiv w:val="1"/>
      <w:marLeft w:val="0"/>
      <w:marRight w:val="0"/>
      <w:marTop w:val="0"/>
      <w:marBottom w:val="0"/>
      <w:divBdr>
        <w:top w:val="none" w:sz="0" w:space="0" w:color="auto"/>
        <w:left w:val="none" w:sz="0" w:space="0" w:color="auto"/>
        <w:bottom w:val="none" w:sz="0" w:space="0" w:color="auto"/>
        <w:right w:val="none" w:sz="0" w:space="0" w:color="auto"/>
      </w:divBdr>
    </w:div>
    <w:div w:id="1013994072">
      <w:bodyDiv w:val="1"/>
      <w:marLeft w:val="0"/>
      <w:marRight w:val="0"/>
      <w:marTop w:val="0"/>
      <w:marBottom w:val="0"/>
      <w:divBdr>
        <w:top w:val="none" w:sz="0" w:space="0" w:color="auto"/>
        <w:left w:val="none" w:sz="0" w:space="0" w:color="auto"/>
        <w:bottom w:val="none" w:sz="0" w:space="0" w:color="auto"/>
        <w:right w:val="none" w:sz="0" w:space="0" w:color="auto"/>
      </w:divBdr>
    </w:div>
    <w:div w:id="1016543166">
      <w:bodyDiv w:val="1"/>
      <w:marLeft w:val="0"/>
      <w:marRight w:val="0"/>
      <w:marTop w:val="0"/>
      <w:marBottom w:val="0"/>
      <w:divBdr>
        <w:top w:val="none" w:sz="0" w:space="0" w:color="auto"/>
        <w:left w:val="none" w:sz="0" w:space="0" w:color="auto"/>
        <w:bottom w:val="none" w:sz="0" w:space="0" w:color="auto"/>
        <w:right w:val="none" w:sz="0" w:space="0" w:color="auto"/>
      </w:divBdr>
      <w:divsChild>
        <w:div w:id="1501117562">
          <w:marLeft w:val="0"/>
          <w:marRight w:val="0"/>
          <w:marTop w:val="0"/>
          <w:marBottom w:val="0"/>
          <w:divBdr>
            <w:top w:val="none" w:sz="0" w:space="0" w:color="auto"/>
            <w:left w:val="none" w:sz="0" w:space="0" w:color="auto"/>
            <w:bottom w:val="none" w:sz="0" w:space="0" w:color="auto"/>
            <w:right w:val="none" w:sz="0" w:space="0" w:color="auto"/>
          </w:divBdr>
          <w:divsChild>
            <w:div w:id="167314393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028064754">
      <w:bodyDiv w:val="1"/>
      <w:marLeft w:val="0"/>
      <w:marRight w:val="0"/>
      <w:marTop w:val="0"/>
      <w:marBottom w:val="0"/>
      <w:divBdr>
        <w:top w:val="none" w:sz="0" w:space="0" w:color="auto"/>
        <w:left w:val="none" w:sz="0" w:space="0" w:color="auto"/>
        <w:bottom w:val="none" w:sz="0" w:space="0" w:color="auto"/>
        <w:right w:val="none" w:sz="0" w:space="0" w:color="auto"/>
      </w:divBdr>
    </w:div>
    <w:div w:id="1039551867">
      <w:bodyDiv w:val="1"/>
      <w:marLeft w:val="0"/>
      <w:marRight w:val="0"/>
      <w:marTop w:val="0"/>
      <w:marBottom w:val="0"/>
      <w:divBdr>
        <w:top w:val="none" w:sz="0" w:space="0" w:color="auto"/>
        <w:left w:val="none" w:sz="0" w:space="0" w:color="auto"/>
        <w:bottom w:val="none" w:sz="0" w:space="0" w:color="auto"/>
        <w:right w:val="none" w:sz="0" w:space="0" w:color="auto"/>
      </w:divBdr>
    </w:div>
    <w:div w:id="1074474256">
      <w:bodyDiv w:val="1"/>
      <w:marLeft w:val="0"/>
      <w:marRight w:val="0"/>
      <w:marTop w:val="0"/>
      <w:marBottom w:val="0"/>
      <w:divBdr>
        <w:top w:val="none" w:sz="0" w:space="0" w:color="auto"/>
        <w:left w:val="none" w:sz="0" w:space="0" w:color="auto"/>
        <w:bottom w:val="none" w:sz="0" w:space="0" w:color="auto"/>
        <w:right w:val="none" w:sz="0" w:space="0" w:color="auto"/>
      </w:divBdr>
    </w:div>
    <w:div w:id="1077704365">
      <w:bodyDiv w:val="1"/>
      <w:marLeft w:val="0"/>
      <w:marRight w:val="0"/>
      <w:marTop w:val="0"/>
      <w:marBottom w:val="0"/>
      <w:divBdr>
        <w:top w:val="none" w:sz="0" w:space="0" w:color="auto"/>
        <w:left w:val="none" w:sz="0" w:space="0" w:color="auto"/>
        <w:bottom w:val="none" w:sz="0" w:space="0" w:color="auto"/>
        <w:right w:val="none" w:sz="0" w:space="0" w:color="auto"/>
      </w:divBdr>
    </w:div>
    <w:div w:id="1081633940">
      <w:bodyDiv w:val="1"/>
      <w:marLeft w:val="0"/>
      <w:marRight w:val="0"/>
      <w:marTop w:val="0"/>
      <w:marBottom w:val="0"/>
      <w:divBdr>
        <w:top w:val="none" w:sz="0" w:space="0" w:color="auto"/>
        <w:left w:val="none" w:sz="0" w:space="0" w:color="auto"/>
        <w:bottom w:val="none" w:sz="0" w:space="0" w:color="auto"/>
        <w:right w:val="none" w:sz="0" w:space="0" w:color="auto"/>
      </w:divBdr>
    </w:div>
    <w:div w:id="1148521726">
      <w:bodyDiv w:val="1"/>
      <w:marLeft w:val="0"/>
      <w:marRight w:val="0"/>
      <w:marTop w:val="0"/>
      <w:marBottom w:val="0"/>
      <w:divBdr>
        <w:top w:val="none" w:sz="0" w:space="0" w:color="auto"/>
        <w:left w:val="none" w:sz="0" w:space="0" w:color="auto"/>
        <w:bottom w:val="none" w:sz="0" w:space="0" w:color="auto"/>
        <w:right w:val="none" w:sz="0" w:space="0" w:color="auto"/>
      </w:divBdr>
      <w:divsChild>
        <w:div w:id="1468207641">
          <w:marLeft w:val="0"/>
          <w:marRight w:val="0"/>
          <w:marTop w:val="0"/>
          <w:marBottom w:val="0"/>
          <w:divBdr>
            <w:top w:val="none" w:sz="0" w:space="0" w:color="auto"/>
            <w:left w:val="none" w:sz="0" w:space="0" w:color="auto"/>
            <w:bottom w:val="none" w:sz="0" w:space="0" w:color="auto"/>
            <w:right w:val="none" w:sz="0" w:space="0" w:color="auto"/>
          </w:divBdr>
          <w:divsChild>
            <w:div w:id="13572632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182015530">
      <w:bodyDiv w:val="1"/>
      <w:marLeft w:val="0"/>
      <w:marRight w:val="0"/>
      <w:marTop w:val="0"/>
      <w:marBottom w:val="0"/>
      <w:divBdr>
        <w:top w:val="none" w:sz="0" w:space="0" w:color="auto"/>
        <w:left w:val="none" w:sz="0" w:space="0" w:color="auto"/>
        <w:bottom w:val="none" w:sz="0" w:space="0" w:color="auto"/>
        <w:right w:val="none" w:sz="0" w:space="0" w:color="auto"/>
      </w:divBdr>
      <w:divsChild>
        <w:div w:id="2071462413">
          <w:marLeft w:val="0"/>
          <w:marRight w:val="0"/>
          <w:marTop w:val="0"/>
          <w:marBottom w:val="0"/>
          <w:divBdr>
            <w:top w:val="none" w:sz="0" w:space="0" w:color="auto"/>
            <w:left w:val="none" w:sz="0" w:space="0" w:color="auto"/>
            <w:bottom w:val="none" w:sz="0" w:space="0" w:color="auto"/>
            <w:right w:val="none" w:sz="0" w:space="0" w:color="auto"/>
          </w:divBdr>
          <w:divsChild>
            <w:div w:id="34710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085446">
      <w:bodyDiv w:val="1"/>
      <w:marLeft w:val="0"/>
      <w:marRight w:val="0"/>
      <w:marTop w:val="0"/>
      <w:marBottom w:val="0"/>
      <w:divBdr>
        <w:top w:val="none" w:sz="0" w:space="0" w:color="auto"/>
        <w:left w:val="none" w:sz="0" w:space="0" w:color="auto"/>
        <w:bottom w:val="none" w:sz="0" w:space="0" w:color="auto"/>
        <w:right w:val="none" w:sz="0" w:space="0" w:color="auto"/>
      </w:divBdr>
    </w:div>
    <w:div w:id="1208639864">
      <w:bodyDiv w:val="1"/>
      <w:marLeft w:val="0"/>
      <w:marRight w:val="0"/>
      <w:marTop w:val="0"/>
      <w:marBottom w:val="0"/>
      <w:divBdr>
        <w:top w:val="none" w:sz="0" w:space="0" w:color="auto"/>
        <w:left w:val="none" w:sz="0" w:space="0" w:color="auto"/>
        <w:bottom w:val="none" w:sz="0" w:space="0" w:color="auto"/>
        <w:right w:val="none" w:sz="0" w:space="0" w:color="auto"/>
      </w:divBdr>
    </w:div>
    <w:div w:id="1217667267">
      <w:bodyDiv w:val="1"/>
      <w:marLeft w:val="0"/>
      <w:marRight w:val="0"/>
      <w:marTop w:val="0"/>
      <w:marBottom w:val="0"/>
      <w:divBdr>
        <w:top w:val="none" w:sz="0" w:space="0" w:color="auto"/>
        <w:left w:val="none" w:sz="0" w:space="0" w:color="auto"/>
        <w:bottom w:val="none" w:sz="0" w:space="0" w:color="auto"/>
        <w:right w:val="none" w:sz="0" w:space="0" w:color="auto"/>
      </w:divBdr>
    </w:div>
    <w:div w:id="1229612755">
      <w:bodyDiv w:val="1"/>
      <w:marLeft w:val="0"/>
      <w:marRight w:val="0"/>
      <w:marTop w:val="0"/>
      <w:marBottom w:val="0"/>
      <w:divBdr>
        <w:top w:val="none" w:sz="0" w:space="0" w:color="auto"/>
        <w:left w:val="none" w:sz="0" w:space="0" w:color="auto"/>
        <w:bottom w:val="none" w:sz="0" w:space="0" w:color="auto"/>
        <w:right w:val="none" w:sz="0" w:space="0" w:color="auto"/>
      </w:divBdr>
    </w:div>
    <w:div w:id="1232159179">
      <w:bodyDiv w:val="1"/>
      <w:marLeft w:val="0"/>
      <w:marRight w:val="0"/>
      <w:marTop w:val="0"/>
      <w:marBottom w:val="0"/>
      <w:divBdr>
        <w:top w:val="none" w:sz="0" w:space="0" w:color="auto"/>
        <w:left w:val="none" w:sz="0" w:space="0" w:color="auto"/>
        <w:bottom w:val="none" w:sz="0" w:space="0" w:color="auto"/>
        <w:right w:val="none" w:sz="0" w:space="0" w:color="auto"/>
      </w:divBdr>
      <w:divsChild>
        <w:div w:id="142159157">
          <w:marLeft w:val="0"/>
          <w:marRight w:val="0"/>
          <w:marTop w:val="0"/>
          <w:marBottom w:val="0"/>
          <w:divBdr>
            <w:top w:val="none" w:sz="0" w:space="0" w:color="auto"/>
            <w:left w:val="none" w:sz="0" w:space="0" w:color="auto"/>
            <w:bottom w:val="none" w:sz="0" w:space="0" w:color="auto"/>
            <w:right w:val="none" w:sz="0" w:space="0" w:color="auto"/>
          </w:divBdr>
        </w:div>
        <w:div w:id="727650784">
          <w:marLeft w:val="0"/>
          <w:marRight w:val="0"/>
          <w:marTop w:val="0"/>
          <w:marBottom w:val="0"/>
          <w:divBdr>
            <w:top w:val="none" w:sz="0" w:space="0" w:color="auto"/>
            <w:left w:val="none" w:sz="0" w:space="0" w:color="auto"/>
            <w:bottom w:val="none" w:sz="0" w:space="0" w:color="auto"/>
            <w:right w:val="none" w:sz="0" w:space="0" w:color="auto"/>
          </w:divBdr>
        </w:div>
        <w:div w:id="956371854">
          <w:marLeft w:val="0"/>
          <w:marRight w:val="0"/>
          <w:marTop w:val="0"/>
          <w:marBottom w:val="0"/>
          <w:divBdr>
            <w:top w:val="none" w:sz="0" w:space="0" w:color="auto"/>
            <w:left w:val="none" w:sz="0" w:space="0" w:color="auto"/>
            <w:bottom w:val="none" w:sz="0" w:space="0" w:color="auto"/>
            <w:right w:val="none" w:sz="0" w:space="0" w:color="auto"/>
          </w:divBdr>
        </w:div>
        <w:div w:id="1353337376">
          <w:marLeft w:val="0"/>
          <w:marRight w:val="0"/>
          <w:marTop w:val="0"/>
          <w:marBottom w:val="0"/>
          <w:divBdr>
            <w:top w:val="none" w:sz="0" w:space="0" w:color="auto"/>
            <w:left w:val="none" w:sz="0" w:space="0" w:color="auto"/>
            <w:bottom w:val="none" w:sz="0" w:space="0" w:color="auto"/>
            <w:right w:val="none" w:sz="0" w:space="0" w:color="auto"/>
          </w:divBdr>
        </w:div>
        <w:div w:id="1887256531">
          <w:marLeft w:val="0"/>
          <w:marRight w:val="0"/>
          <w:marTop w:val="0"/>
          <w:marBottom w:val="0"/>
          <w:divBdr>
            <w:top w:val="none" w:sz="0" w:space="0" w:color="auto"/>
            <w:left w:val="none" w:sz="0" w:space="0" w:color="auto"/>
            <w:bottom w:val="none" w:sz="0" w:space="0" w:color="auto"/>
            <w:right w:val="none" w:sz="0" w:space="0" w:color="auto"/>
          </w:divBdr>
        </w:div>
      </w:divsChild>
    </w:div>
    <w:div w:id="1238204183">
      <w:bodyDiv w:val="1"/>
      <w:marLeft w:val="0"/>
      <w:marRight w:val="0"/>
      <w:marTop w:val="0"/>
      <w:marBottom w:val="0"/>
      <w:divBdr>
        <w:top w:val="none" w:sz="0" w:space="0" w:color="auto"/>
        <w:left w:val="none" w:sz="0" w:space="0" w:color="auto"/>
        <w:bottom w:val="none" w:sz="0" w:space="0" w:color="auto"/>
        <w:right w:val="none" w:sz="0" w:space="0" w:color="auto"/>
      </w:divBdr>
    </w:div>
    <w:div w:id="1268078708">
      <w:bodyDiv w:val="1"/>
      <w:marLeft w:val="0"/>
      <w:marRight w:val="0"/>
      <w:marTop w:val="0"/>
      <w:marBottom w:val="0"/>
      <w:divBdr>
        <w:top w:val="none" w:sz="0" w:space="0" w:color="auto"/>
        <w:left w:val="none" w:sz="0" w:space="0" w:color="auto"/>
        <w:bottom w:val="none" w:sz="0" w:space="0" w:color="auto"/>
        <w:right w:val="none" w:sz="0" w:space="0" w:color="auto"/>
      </w:divBdr>
    </w:div>
    <w:div w:id="1296913455">
      <w:bodyDiv w:val="1"/>
      <w:marLeft w:val="0"/>
      <w:marRight w:val="0"/>
      <w:marTop w:val="0"/>
      <w:marBottom w:val="0"/>
      <w:divBdr>
        <w:top w:val="none" w:sz="0" w:space="0" w:color="auto"/>
        <w:left w:val="none" w:sz="0" w:space="0" w:color="auto"/>
        <w:bottom w:val="none" w:sz="0" w:space="0" w:color="auto"/>
        <w:right w:val="none" w:sz="0" w:space="0" w:color="auto"/>
      </w:divBdr>
    </w:div>
    <w:div w:id="1316103186">
      <w:bodyDiv w:val="1"/>
      <w:marLeft w:val="0"/>
      <w:marRight w:val="0"/>
      <w:marTop w:val="0"/>
      <w:marBottom w:val="0"/>
      <w:divBdr>
        <w:top w:val="none" w:sz="0" w:space="0" w:color="auto"/>
        <w:left w:val="none" w:sz="0" w:space="0" w:color="auto"/>
        <w:bottom w:val="none" w:sz="0" w:space="0" w:color="auto"/>
        <w:right w:val="none" w:sz="0" w:space="0" w:color="auto"/>
      </w:divBdr>
      <w:divsChild>
        <w:div w:id="602034350">
          <w:marLeft w:val="0"/>
          <w:marRight w:val="0"/>
          <w:marTop w:val="0"/>
          <w:marBottom w:val="0"/>
          <w:divBdr>
            <w:top w:val="none" w:sz="0" w:space="0" w:color="auto"/>
            <w:left w:val="none" w:sz="0" w:space="0" w:color="auto"/>
            <w:bottom w:val="none" w:sz="0" w:space="0" w:color="auto"/>
            <w:right w:val="none" w:sz="0" w:space="0" w:color="auto"/>
          </w:divBdr>
          <w:divsChild>
            <w:div w:id="163043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75676">
      <w:bodyDiv w:val="1"/>
      <w:marLeft w:val="0"/>
      <w:marRight w:val="0"/>
      <w:marTop w:val="0"/>
      <w:marBottom w:val="0"/>
      <w:divBdr>
        <w:top w:val="none" w:sz="0" w:space="0" w:color="auto"/>
        <w:left w:val="none" w:sz="0" w:space="0" w:color="auto"/>
        <w:bottom w:val="none" w:sz="0" w:space="0" w:color="auto"/>
        <w:right w:val="none" w:sz="0" w:space="0" w:color="auto"/>
      </w:divBdr>
    </w:div>
    <w:div w:id="1369137804">
      <w:bodyDiv w:val="1"/>
      <w:marLeft w:val="0"/>
      <w:marRight w:val="0"/>
      <w:marTop w:val="0"/>
      <w:marBottom w:val="0"/>
      <w:divBdr>
        <w:top w:val="none" w:sz="0" w:space="0" w:color="auto"/>
        <w:left w:val="none" w:sz="0" w:space="0" w:color="auto"/>
        <w:bottom w:val="none" w:sz="0" w:space="0" w:color="auto"/>
        <w:right w:val="none" w:sz="0" w:space="0" w:color="auto"/>
      </w:divBdr>
    </w:div>
    <w:div w:id="1431124457">
      <w:bodyDiv w:val="1"/>
      <w:marLeft w:val="0"/>
      <w:marRight w:val="0"/>
      <w:marTop w:val="0"/>
      <w:marBottom w:val="0"/>
      <w:divBdr>
        <w:top w:val="none" w:sz="0" w:space="0" w:color="auto"/>
        <w:left w:val="none" w:sz="0" w:space="0" w:color="auto"/>
        <w:bottom w:val="none" w:sz="0" w:space="0" w:color="auto"/>
        <w:right w:val="none" w:sz="0" w:space="0" w:color="auto"/>
      </w:divBdr>
    </w:div>
    <w:div w:id="1433936190">
      <w:bodyDiv w:val="1"/>
      <w:marLeft w:val="0"/>
      <w:marRight w:val="0"/>
      <w:marTop w:val="0"/>
      <w:marBottom w:val="0"/>
      <w:divBdr>
        <w:top w:val="none" w:sz="0" w:space="0" w:color="auto"/>
        <w:left w:val="none" w:sz="0" w:space="0" w:color="auto"/>
        <w:bottom w:val="none" w:sz="0" w:space="0" w:color="auto"/>
        <w:right w:val="none" w:sz="0" w:space="0" w:color="auto"/>
      </w:divBdr>
    </w:div>
    <w:div w:id="1459760205">
      <w:bodyDiv w:val="1"/>
      <w:marLeft w:val="0"/>
      <w:marRight w:val="0"/>
      <w:marTop w:val="0"/>
      <w:marBottom w:val="0"/>
      <w:divBdr>
        <w:top w:val="none" w:sz="0" w:space="0" w:color="auto"/>
        <w:left w:val="none" w:sz="0" w:space="0" w:color="auto"/>
        <w:bottom w:val="none" w:sz="0" w:space="0" w:color="auto"/>
        <w:right w:val="none" w:sz="0" w:space="0" w:color="auto"/>
      </w:divBdr>
    </w:div>
    <w:div w:id="1489590736">
      <w:bodyDiv w:val="1"/>
      <w:marLeft w:val="0"/>
      <w:marRight w:val="0"/>
      <w:marTop w:val="0"/>
      <w:marBottom w:val="0"/>
      <w:divBdr>
        <w:top w:val="none" w:sz="0" w:space="0" w:color="auto"/>
        <w:left w:val="none" w:sz="0" w:space="0" w:color="auto"/>
        <w:bottom w:val="none" w:sz="0" w:space="0" w:color="auto"/>
        <w:right w:val="none" w:sz="0" w:space="0" w:color="auto"/>
      </w:divBdr>
    </w:div>
    <w:div w:id="1592205005">
      <w:bodyDiv w:val="1"/>
      <w:marLeft w:val="0"/>
      <w:marRight w:val="0"/>
      <w:marTop w:val="0"/>
      <w:marBottom w:val="0"/>
      <w:divBdr>
        <w:top w:val="none" w:sz="0" w:space="0" w:color="auto"/>
        <w:left w:val="none" w:sz="0" w:space="0" w:color="auto"/>
        <w:bottom w:val="none" w:sz="0" w:space="0" w:color="auto"/>
        <w:right w:val="none" w:sz="0" w:space="0" w:color="auto"/>
      </w:divBdr>
    </w:div>
    <w:div w:id="1667130915">
      <w:bodyDiv w:val="1"/>
      <w:marLeft w:val="0"/>
      <w:marRight w:val="0"/>
      <w:marTop w:val="0"/>
      <w:marBottom w:val="0"/>
      <w:divBdr>
        <w:top w:val="none" w:sz="0" w:space="0" w:color="auto"/>
        <w:left w:val="none" w:sz="0" w:space="0" w:color="auto"/>
        <w:bottom w:val="none" w:sz="0" w:space="0" w:color="auto"/>
        <w:right w:val="none" w:sz="0" w:space="0" w:color="auto"/>
      </w:divBdr>
      <w:divsChild>
        <w:div w:id="896164243">
          <w:marLeft w:val="0"/>
          <w:marRight w:val="0"/>
          <w:marTop w:val="0"/>
          <w:marBottom w:val="0"/>
          <w:divBdr>
            <w:top w:val="none" w:sz="0" w:space="0" w:color="auto"/>
            <w:left w:val="none" w:sz="0" w:space="0" w:color="auto"/>
            <w:bottom w:val="none" w:sz="0" w:space="0" w:color="auto"/>
            <w:right w:val="none" w:sz="0" w:space="0" w:color="auto"/>
          </w:divBdr>
          <w:divsChild>
            <w:div w:id="81561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78856">
      <w:bodyDiv w:val="1"/>
      <w:marLeft w:val="0"/>
      <w:marRight w:val="0"/>
      <w:marTop w:val="0"/>
      <w:marBottom w:val="0"/>
      <w:divBdr>
        <w:top w:val="none" w:sz="0" w:space="0" w:color="auto"/>
        <w:left w:val="none" w:sz="0" w:space="0" w:color="auto"/>
        <w:bottom w:val="none" w:sz="0" w:space="0" w:color="auto"/>
        <w:right w:val="none" w:sz="0" w:space="0" w:color="auto"/>
      </w:divBdr>
      <w:divsChild>
        <w:div w:id="1055857428">
          <w:marLeft w:val="0"/>
          <w:marRight w:val="0"/>
          <w:marTop w:val="0"/>
          <w:marBottom w:val="0"/>
          <w:divBdr>
            <w:top w:val="none" w:sz="0" w:space="0" w:color="auto"/>
            <w:left w:val="none" w:sz="0" w:space="0" w:color="auto"/>
            <w:bottom w:val="none" w:sz="0" w:space="0" w:color="auto"/>
            <w:right w:val="none" w:sz="0" w:space="0" w:color="auto"/>
          </w:divBdr>
          <w:divsChild>
            <w:div w:id="48138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11712">
      <w:bodyDiv w:val="1"/>
      <w:marLeft w:val="0"/>
      <w:marRight w:val="0"/>
      <w:marTop w:val="0"/>
      <w:marBottom w:val="0"/>
      <w:divBdr>
        <w:top w:val="none" w:sz="0" w:space="0" w:color="auto"/>
        <w:left w:val="none" w:sz="0" w:space="0" w:color="auto"/>
        <w:bottom w:val="none" w:sz="0" w:space="0" w:color="auto"/>
        <w:right w:val="none" w:sz="0" w:space="0" w:color="auto"/>
      </w:divBdr>
    </w:div>
    <w:div w:id="1838374839">
      <w:bodyDiv w:val="1"/>
      <w:marLeft w:val="0"/>
      <w:marRight w:val="0"/>
      <w:marTop w:val="0"/>
      <w:marBottom w:val="0"/>
      <w:divBdr>
        <w:top w:val="none" w:sz="0" w:space="0" w:color="auto"/>
        <w:left w:val="none" w:sz="0" w:space="0" w:color="auto"/>
        <w:bottom w:val="none" w:sz="0" w:space="0" w:color="auto"/>
        <w:right w:val="none" w:sz="0" w:space="0" w:color="auto"/>
      </w:divBdr>
    </w:div>
    <w:div w:id="1859461789">
      <w:bodyDiv w:val="1"/>
      <w:marLeft w:val="0"/>
      <w:marRight w:val="0"/>
      <w:marTop w:val="0"/>
      <w:marBottom w:val="0"/>
      <w:divBdr>
        <w:top w:val="none" w:sz="0" w:space="0" w:color="auto"/>
        <w:left w:val="none" w:sz="0" w:space="0" w:color="auto"/>
        <w:bottom w:val="none" w:sz="0" w:space="0" w:color="auto"/>
        <w:right w:val="none" w:sz="0" w:space="0" w:color="auto"/>
      </w:divBdr>
    </w:div>
    <w:div w:id="1870289194">
      <w:bodyDiv w:val="1"/>
      <w:marLeft w:val="0"/>
      <w:marRight w:val="0"/>
      <w:marTop w:val="0"/>
      <w:marBottom w:val="0"/>
      <w:divBdr>
        <w:top w:val="none" w:sz="0" w:space="0" w:color="auto"/>
        <w:left w:val="none" w:sz="0" w:space="0" w:color="auto"/>
        <w:bottom w:val="none" w:sz="0" w:space="0" w:color="auto"/>
        <w:right w:val="none" w:sz="0" w:space="0" w:color="auto"/>
      </w:divBdr>
    </w:div>
    <w:div w:id="1888880468">
      <w:bodyDiv w:val="1"/>
      <w:marLeft w:val="0"/>
      <w:marRight w:val="0"/>
      <w:marTop w:val="0"/>
      <w:marBottom w:val="0"/>
      <w:divBdr>
        <w:top w:val="none" w:sz="0" w:space="0" w:color="auto"/>
        <w:left w:val="none" w:sz="0" w:space="0" w:color="auto"/>
        <w:bottom w:val="none" w:sz="0" w:space="0" w:color="auto"/>
        <w:right w:val="none" w:sz="0" w:space="0" w:color="auto"/>
      </w:divBdr>
      <w:divsChild>
        <w:div w:id="546837672">
          <w:marLeft w:val="0"/>
          <w:marRight w:val="0"/>
          <w:marTop w:val="0"/>
          <w:marBottom w:val="0"/>
          <w:divBdr>
            <w:top w:val="none" w:sz="0" w:space="0" w:color="auto"/>
            <w:left w:val="none" w:sz="0" w:space="0" w:color="auto"/>
            <w:bottom w:val="none" w:sz="0" w:space="0" w:color="auto"/>
            <w:right w:val="none" w:sz="0" w:space="0" w:color="auto"/>
          </w:divBdr>
          <w:divsChild>
            <w:div w:id="203425922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893732888">
      <w:bodyDiv w:val="1"/>
      <w:marLeft w:val="0"/>
      <w:marRight w:val="0"/>
      <w:marTop w:val="0"/>
      <w:marBottom w:val="0"/>
      <w:divBdr>
        <w:top w:val="none" w:sz="0" w:space="0" w:color="auto"/>
        <w:left w:val="none" w:sz="0" w:space="0" w:color="auto"/>
        <w:bottom w:val="none" w:sz="0" w:space="0" w:color="auto"/>
        <w:right w:val="none" w:sz="0" w:space="0" w:color="auto"/>
      </w:divBdr>
    </w:div>
    <w:div w:id="1950777135">
      <w:bodyDiv w:val="1"/>
      <w:marLeft w:val="0"/>
      <w:marRight w:val="0"/>
      <w:marTop w:val="0"/>
      <w:marBottom w:val="0"/>
      <w:divBdr>
        <w:top w:val="none" w:sz="0" w:space="0" w:color="auto"/>
        <w:left w:val="none" w:sz="0" w:space="0" w:color="auto"/>
        <w:bottom w:val="none" w:sz="0" w:space="0" w:color="auto"/>
        <w:right w:val="none" w:sz="0" w:space="0" w:color="auto"/>
      </w:divBdr>
    </w:div>
    <w:div w:id="1962615214">
      <w:bodyDiv w:val="1"/>
      <w:marLeft w:val="0"/>
      <w:marRight w:val="0"/>
      <w:marTop w:val="0"/>
      <w:marBottom w:val="0"/>
      <w:divBdr>
        <w:top w:val="none" w:sz="0" w:space="0" w:color="auto"/>
        <w:left w:val="none" w:sz="0" w:space="0" w:color="auto"/>
        <w:bottom w:val="none" w:sz="0" w:space="0" w:color="auto"/>
        <w:right w:val="none" w:sz="0" w:space="0" w:color="auto"/>
      </w:divBdr>
    </w:div>
    <w:div w:id="1973436394">
      <w:bodyDiv w:val="1"/>
      <w:marLeft w:val="0"/>
      <w:marRight w:val="0"/>
      <w:marTop w:val="0"/>
      <w:marBottom w:val="0"/>
      <w:divBdr>
        <w:top w:val="none" w:sz="0" w:space="0" w:color="auto"/>
        <w:left w:val="none" w:sz="0" w:space="0" w:color="auto"/>
        <w:bottom w:val="none" w:sz="0" w:space="0" w:color="auto"/>
        <w:right w:val="none" w:sz="0" w:space="0" w:color="auto"/>
      </w:divBdr>
    </w:div>
    <w:div w:id="2000646334">
      <w:bodyDiv w:val="1"/>
      <w:marLeft w:val="0"/>
      <w:marRight w:val="0"/>
      <w:marTop w:val="0"/>
      <w:marBottom w:val="0"/>
      <w:divBdr>
        <w:top w:val="none" w:sz="0" w:space="0" w:color="auto"/>
        <w:left w:val="none" w:sz="0" w:space="0" w:color="auto"/>
        <w:bottom w:val="none" w:sz="0" w:space="0" w:color="auto"/>
        <w:right w:val="none" w:sz="0" w:space="0" w:color="auto"/>
      </w:divBdr>
    </w:div>
    <w:div w:id="2041666680">
      <w:bodyDiv w:val="1"/>
      <w:marLeft w:val="0"/>
      <w:marRight w:val="0"/>
      <w:marTop w:val="0"/>
      <w:marBottom w:val="0"/>
      <w:divBdr>
        <w:top w:val="none" w:sz="0" w:space="0" w:color="auto"/>
        <w:left w:val="none" w:sz="0" w:space="0" w:color="auto"/>
        <w:bottom w:val="none" w:sz="0" w:space="0" w:color="auto"/>
        <w:right w:val="none" w:sz="0" w:space="0" w:color="auto"/>
      </w:divBdr>
    </w:div>
    <w:div w:id="2077894909">
      <w:bodyDiv w:val="1"/>
      <w:marLeft w:val="0"/>
      <w:marRight w:val="0"/>
      <w:marTop w:val="0"/>
      <w:marBottom w:val="0"/>
      <w:divBdr>
        <w:top w:val="none" w:sz="0" w:space="0" w:color="auto"/>
        <w:left w:val="none" w:sz="0" w:space="0" w:color="auto"/>
        <w:bottom w:val="none" w:sz="0" w:space="0" w:color="auto"/>
        <w:right w:val="none" w:sz="0" w:space="0" w:color="auto"/>
      </w:divBdr>
    </w:div>
    <w:div w:id="2085182542">
      <w:bodyDiv w:val="1"/>
      <w:marLeft w:val="0"/>
      <w:marRight w:val="0"/>
      <w:marTop w:val="0"/>
      <w:marBottom w:val="0"/>
      <w:divBdr>
        <w:top w:val="none" w:sz="0" w:space="0" w:color="auto"/>
        <w:left w:val="none" w:sz="0" w:space="0" w:color="auto"/>
        <w:bottom w:val="none" w:sz="0" w:space="0" w:color="auto"/>
        <w:right w:val="none" w:sz="0" w:space="0" w:color="auto"/>
      </w:divBdr>
    </w:div>
    <w:div w:id="2121296306">
      <w:bodyDiv w:val="1"/>
      <w:marLeft w:val="0"/>
      <w:marRight w:val="0"/>
      <w:marTop w:val="0"/>
      <w:marBottom w:val="0"/>
      <w:divBdr>
        <w:top w:val="none" w:sz="0" w:space="0" w:color="auto"/>
        <w:left w:val="none" w:sz="0" w:space="0" w:color="auto"/>
        <w:bottom w:val="none" w:sz="0" w:space="0" w:color="auto"/>
        <w:right w:val="none" w:sz="0" w:space="0" w:color="auto"/>
      </w:divBdr>
    </w:div>
    <w:div w:id="2136024207">
      <w:bodyDiv w:val="1"/>
      <w:marLeft w:val="0"/>
      <w:marRight w:val="0"/>
      <w:marTop w:val="0"/>
      <w:marBottom w:val="0"/>
      <w:divBdr>
        <w:top w:val="none" w:sz="0" w:space="0" w:color="auto"/>
        <w:left w:val="none" w:sz="0" w:space="0" w:color="auto"/>
        <w:bottom w:val="none" w:sz="0" w:space="0" w:color="auto"/>
        <w:right w:val="none" w:sz="0" w:space="0" w:color="auto"/>
      </w:divBdr>
      <w:divsChild>
        <w:div w:id="2125346893">
          <w:marLeft w:val="0"/>
          <w:marRight w:val="0"/>
          <w:marTop w:val="0"/>
          <w:marBottom w:val="0"/>
          <w:divBdr>
            <w:top w:val="none" w:sz="0" w:space="0" w:color="auto"/>
            <w:left w:val="none" w:sz="0" w:space="0" w:color="auto"/>
            <w:bottom w:val="none" w:sz="0" w:space="0" w:color="auto"/>
            <w:right w:val="none" w:sz="0" w:space="0" w:color="auto"/>
          </w:divBdr>
          <w:divsChild>
            <w:div w:id="116740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71046">
      <w:bodyDiv w:val="1"/>
      <w:marLeft w:val="0"/>
      <w:marRight w:val="0"/>
      <w:marTop w:val="0"/>
      <w:marBottom w:val="0"/>
      <w:divBdr>
        <w:top w:val="none" w:sz="0" w:space="0" w:color="auto"/>
        <w:left w:val="none" w:sz="0" w:space="0" w:color="auto"/>
        <w:bottom w:val="none" w:sz="0" w:space="0" w:color="auto"/>
        <w:right w:val="none" w:sz="0" w:space="0" w:color="auto"/>
      </w:divBdr>
      <w:divsChild>
        <w:div w:id="819730043">
          <w:marLeft w:val="0"/>
          <w:marRight w:val="0"/>
          <w:marTop w:val="0"/>
          <w:marBottom w:val="0"/>
          <w:divBdr>
            <w:top w:val="none" w:sz="0" w:space="0" w:color="auto"/>
            <w:left w:val="none" w:sz="0" w:space="0" w:color="auto"/>
            <w:bottom w:val="none" w:sz="0" w:space="0" w:color="auto"/>
            <w:right w:val="none" w:sz="0" w:space="0" w:color="auto"/>
          </w:divBdr>
          <w:divsChild>
            <w:div w:id="250239138">
              <w:marLeft w:val="0"/>
              <w:marRight w:val="0"/>
              <w:marTop w:val="0"/>
              <w:marBottom w:val="0"/>
              <w:divBdr>
                <w:top w:val="none" w:sz="0" w:space="0" w:color="auto"/>
                <w:left w:val="none" w:sz="0" w:space="0" w:color="auto"/>
                <w:bottom w:val="none" w:sz="0" w:space="0" w:color="auto"/>
                <w:right w:val="none" w:sz="0" w:space="0" w:color="auto"/>
              </w:divBdr>
            </w:div>
            <w:div w:id="365259311">
              <w:marLeft w:val="0"/>
              <w:marRight w:val="0"/>
              <w:marTop w:val="0"/>
              <w:marBottom w:val="0"/>
              <w:divBdr>
                <w:top w:val="none" w:sz="0" w:space="0" w:color="auto"/>
                <w:left w:val="none" w:sz="0" w:space="0" w:color="auto"/>
                <w:bottom w:val="none" w:sz="0" w:space="0" w:color="auto"/>
                <w:right w:val="none" w:sz="0" w:space="0" w:color="auto"/>
              </w:divBdr>
            </w:div>
            <w:div w:id="798258478">
              <w:marLeft w:val="0"/>
              <w:marRight w:val="0"/>
              <w:marTop w:val="0"/>
              <w:marBottom w:val="0"/>
              <w:divBdr>
                <w:top w:val="none" w:sz="0" w:space="0" w:color="auto"/>
                <w:left w:val="none" w:sz="0" w:space="0" w:color="auto"/>
                <w:bottom w:val="none" w:sz="0" w:space="0" w:color="auto"/>
                <w:right w:val="none" w:sz="0" w:space="0" w:color="auto"/>
              </w:divBdr>
            </w:div>
            <w:div w:id="828836672">
              <w:marLeft w:val="0"/>
              <w:marRight w:val="0"/>
              <w:marTop w:val="0"/>
              <w:marBottom w:val="0"/>
              <w:divBdr>
                <w:top w:val="none" w:sz="0" w:space="0" w:color="auto"/>
                <w:left w:val="none" w:sz="0" w:space="0" w:color="auto"/>
                <w:bottom w:val="none" w:sz="0" w:space="0" w:color="auto"/>
                <w:right w:val="none" w:sz="0" w:space="0" w:color="auto"/>
              </w:divBdr>
            </w:div>
            <w:div w:id="878786490">
              <w:marLeft w:val="0"/>
              <w:marRight w:val="0"/>
              <w:marTop w:val="0"/>
              <w:marBottom w:val="0"/>
              <w:divBdr>
                <w:top w:val="none" w:sz="0" w:space="0" w:color="auto"/>
                <w:left w:val="none" w:sz="0" w:space="0" w:color="auto"/>
                <w:bottom w:val="none" w:sz="0" w:space="0" w:color="auto"/>
                <w:right w:val="none" w:sz="0" w:space="0" w:color="auto"/>
              </w:divBdr>
            </w:div>
            <w:div w:id="1792552523">
              <w:marLeft w:val="0"/>
              <w:marRight w:val="0"/>
              <w:marTop w:val="0"/>
              <w:marBottom w:val="0"/>
              <w:divBdr>
                <w:top w:val="none" w:sz="0" w:space="0" w:color="auto"/>
                <w:left w:val="none" w:sz="0" w:space="0" w:color="auto"/>
                <w:bottom w:val="none" w:sz="0" w:space="0" w:color="auto"/>
                <w:right w:val="none" w:sz="0" w:space="0" w:color="auto"/>
              </w:divBdr>
            </w:div>
            <w:div w:id="1884365520">
              <w:marLeft w:val="0"/>
              <w:marRight w:val="0"/>
              <w:marTop w:val="0"/>
              <w:marBottom w:val="0"/>
              <w:divBdr>
                <w:top w:val="none" w:sz="0" w:space="0" w:color="auto"/>
                <w:left w:val="none" w:sz="0" w:space="0" w:color="auto"/>
                <w:bottom w:val="none" w:sz="0" w:space="0" w:color="auto"/>
                <w:right w:val="none" w:sz="0" w:space="0" w:color="auto"/>
              </w:divBdr>
            </w:div>
          </w:divsChild>
        </w:div>
        <w:div w:id="1438793967">
          <w:marLeft w:val="0"/>
          <w:marRight w:val="0"/>
          <w:marTop w:val="0"/>
          <w:marBottom w:val="0"/>
          <w:divBdr>
            <w:top w:val="none" w:sz="0" w:space="0" w:color="auto"/>
            <w:left w:val="none" w:sz="0" w:space="0" w:color="auto"/>
            <w:bottom w:val="none" w:sz="0" w:space="0" w:color="auto"/>
            <w:right w:val="none" w:sz="0" w:space="0" w:color="auto"/>
          </w:divBdr>
        </w:div>
      </w:divsChild>
    </w:div>
    <w:div w:id="214199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13" Type="http://schemas.openxmlformats.org/officeDocument/2006/relationships/hyperlink" Target="https://commission.europa.eu/system/files/2020-04/rsb_op_dac_en.pdf" TargetMode="External"/><Relationship Id="rId18" Type="http://schemas.openxmlformats.org/officeDocument/2006/relationships/hyperlink" Target="http://data.europa.eu/eli/dir/2011/16/oj" TargetMode="External"/><Relationship Id="rId26" Type="http://schemas.openxmlformats.org/officeDocument/2006/relationships/hyperlink" Target="http://data.europa.eu/eli/reg/2014/910/2024-10-18" TargetMode="External"/><Relationship Id="rId3" Type="http://schemas.openxmlformats.org/officeDocument/2006/relationships/hyperlink" Target="https://commission.europa.eu/strategy-and-policy/strategy-documents/commission-work-programme/commission-work-programme-2026_en?utm_source=chatgpt.com" TargetMode="External"/><Relationship Id="rId21" Type="http://schemas.openxmlformats.org/officeDocument/2006/relationships/hyperlink" Target="https://doi.org/10.1787/9789264241480-en" TargetMode="External"/><Relationship Id="rId34" Type="http://schemas.openxmlformats.org/officeDocument/2006/relationships/hyperlink" Target="http://data.europa.eu/eli/dir/2010/24/oj" TargetMode="External"/><Relationship Id="rId7" Type="http://schemas.openxmlformats.org/officeDocument/2006/relationships/hyperlink" Target="http://data.europa.eu/eli/dir/2024/1640/oj" TargetMode="External"/><Relationship Id="rId12" Type="http://schemas.openxmlformats.org/officeDocument/2006/relationships/hyperlink" Target="https://eur-lex.europa.eu/legal-content/RO/TXT/HTML/?uri=CELEX:52025DC0695&amp;qid=1778140669233" TargetMode="External"/><Relationship Id="rId17" Type="http://schemas.openxmlformats.org/officeDocument/2006/relationships/hyperlink" Target="http://data.europa.eu/eli/reg_impl/2018/99/oj" TargetMode="External"/><Relationship Id="rId25" Type="http://schemas.openxmlformats.org/officeDocument/2006/relationships/hyperlink" Target="http://data.europa.eu/eli/dir/2022/2523/oj" TargetMode="External"/><Relationship Id="rId33" Type="http://schemas.openxmlformats.org/officeDocument/2006/relationships/hyperlink" Target="http://data.europa.eu/eli/reg/2024/1624/oj" TargetMode="External"/><Relationship Id="rId2" Type="http://schemas.openxmlformats.org/officeDocument/2006/relationships/hyperlink" Target="https://commission.europa.eu/document/download/10017eb1-4722-4333-add2-e0ed18105a34_en?utm_source=chatgpt.com" TargetMode="External"/><Relationship Id="rId16" Type="http://schemas.openxmlformats.org/officeDocument/2006/relationships/hyperlink" Target="https://eur-lex.europa.eu/legal-content/RO/TXT/PDF/?uri=CELEX:62022CJ0623" TargetMode="External"/><Relationship Id="rId20" Type="http://schemas.openxmlformats.org/officeDocument/2006/relationships/hyperlink" Target="https://doi.org/10.1787/055664b1-en" TargetMode="External"/><Relationship Id="rId29" Type="http://schemas.openxmlformats.org/officeDocument/2006/relationships/hyperlink" Target="http://data.europa.eu/eli/reg/2018/1725/oj" TargetMode="External"/><Relationship Id="rId1" Type="http://schemas.openxmlformats.org/officeDocument/2006/relationships/hyperlink" Target="https://commission.europa.eu/priorities-2024-2029_ro" TargetMode="External"/><Relationship Id="rId6" Type="http://schemas.openxmlformats.org/officeDocument/2006/relationships/hyperlink" Target="http://data.europa.eu/eli/dir/2016/2258/oj" TargetMode="External"/><Relationship Id="rId11" Type="http://schemas.openxmlformats.org/officeDocument/2006/relationships/hyperlink" Target="https://eur-lex.europa.eu/legal-content/RO/TXT/?uri=COM%3A2026%3A0321%3AFIN" TargetMode="External"/><Relationship Id="rId24" Type="http://schemas.openxmlformats.org/officeDocument/2006/relationships/hyperlink" Target="http://data.europa.eu/eli/dir/1998/5/oj" TargetMode="External"/><Relationship Id="rId32" Type="http://schemas.openxmlformats.org/officeDocument/2006/relationships/hyperlink" Target="http://data.europa.eu/eli/reg/2018/1725/oj" TargetMode="External"/><Relationship Id="rId5" Type="http://schemas.openxmlformats.org/officeDocument/2006/relationships/hyperlink" Target="https://data.consilium.europa.eu/doc/document/ST-6748-2025-INIT/ro/pdf" TargetMode="External"/><Relationship Id="rId15" Type="http://schemas.openxmlformats.org/officeDocument/2006/relationships/hyperlink" Target="https://eur-lex.europa.eu/legal-content/RO/TXT/PDF/?uri=CELEX:62022CJ0623" TargetMode="External"/><Relationship Id="rId23" Type="http://schemas.openxmlformats.org/officeDocument/2006/relationships/hyperlink" Target="https://eur-lex.europa.eu/legal-content/RO/TXT/PDF/?uri=CELEX:62022CJ0623" TargetMode="External"/><Relationship Id="rId28" Type="http://schemas.openxmlformats.org/officeDocument/2006/relationships/hyperlink" Target="http://data.europa.eu/eli/reg/2016/679/oj" TargetMode="External"/><Relationship Id="rId10" Type="http://schemas.openxmlformats.org/officeDocument/2006/relationships/hyperlink" Target="http://data.europa.eu/eli/dir/2021/2101/oj" TargetMode="External"/><Relationship Id="rId19" Type="http://schemas.openxmlformats.org/officeDocument/2006/relationships/hyperlink" Target="https://www.oecd.org/content/dam/oecd/en/topics/policy-issues/tax-transparency-and-international-co-operation/framework-for-the-automatic-exchange-of-readily-available-information-on-immovable-property-for-tax-purposes.pdf" TargetMode="External"/><Relationship Id="rId31" Type="http://schemas.openxmlformats.org/officeDocument/2006/relationships/hyperlink" Target="http://data.europa.eu/eli/reg/2022/2065/oj" TargetMode="External"/><Relationship Id="rId4" Type="http://schemas.openxmlformats.org/officeDocument/2006/relationships/hyperlink" Target="https://taxation-customs.ec.europa.eu/news/enhancing-tax-compliance-european-union-2025-11-19_en" TargetMode="External"/><Relationship Id="rId9" Type="http://schemas.openxmlformats.org/officeDocument/2006/relationships/hyperlink" Target="http://data.europa.eu/eli/dir/2017/1132/oj" TargetMode="External"/><Relationship Id="rId14" Type="http://schemas.openxmlformats.org/officeDocument/2006/relationships/hyperlink" Target="https://eur-lex.europa.eu/legal-content/RO/TXT/PDF/?uri=CELEX:62020CJ0694_RES&amp;qid=1778230669161" TargetMode="External"/><Relationship Id="rId22" Type="http://schemas.openxmlformats.org/officeDocument/2006/relationships/hyperlink" Target="https://eur-lex.europa.eu/legal-content/RO/TXT/PDF/?uri=CELEX:62020CJ0694_RES&amp;qid=1778230669161" TargetMode="External"/><Relationship Id="rId27" Type="http://schemas.openxmlformats.org/officeDocument/2006/relationships/hyperlink" Target="http://data.europa.eu/eli/dir/2024/1640/oj" TargetMode="External"/><Relationship Id="rId30" Type="http://schemas.openxmlformats.org/officeDocument/2006/relationships/hyperlink" Target="http://data.europa.eu/eli/reg/2009/223/2024-12-26" TargetMode="External"/><Relationship Id="rId35" Type="http://schemas.openxmlformats.org/officeDocument/2006/relationships/hyperlink" Target="https://commission.europa.eu/document/download/2b258769-ecbc-4b4a-b3d5-e99c28752c75_en?filename=COM_2025_590_1_EN_ACT_part1_v7.pdf" TargetMode="External"/><Relationship Id="rId8" Type="http://schemas.openxmlformats.org/officeDocument/2006/relationships/hyperlink" Target="http://data.europa.eu/eli/reg/2024/162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E68F44832CFE409BA7AADB8BC63B56" ma:contentTypeVersion="3" ma:contentTypeDescription="Create a new document." ma:contentTypeScope="" ma:versionID="3db5635c05f9c29f998962cf80cac145">
  <xsd:schema xmlns:xsd="http://www.w3.org/2001/XMLSchema" xmlns:xs="http://www.w3.org/2001/XMLSchema" xmlns:p="http://schemas.microsoft.com/office/2006/metadata/properties" xmlns:ns2="271af91c-9653-48a7-aa58-e84eab2cf43e" targetNamespace="http://schemas.microsoft.com/office/2006/metadata/properties" ma:root="true" ma:fieldsID="ccfd7162b14d0d8e1ae40dc000f5b6b3" ns2:_="">
    <xsd:import namespace="271af91c-9653-48a7-aa58-e84eab2cf43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af91c-9653-48a7-aa58-e84eab2cf4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03D00B-E5D0-437C-AEC4-AB201A4BDF26}">
  <ds:schemaRefs>
    <ds:schemaRef ds:uri="http://schemas.openxmlformats.org/officeDocument/2006/bibliography"/>
  </ds:schemaRefs>
</ds:datastoreItem>
</file>

<file path=customXml/itemProps2.xml><?xml version="1.0" encoding="utf-8"?>
<ds:datastoreItem xmlns:ds="http://schemas.openxmlformats.org/officeDocument/2006/customXml" ds:itemID="{5285DBCB-FE7E-413C-8BCF-96E7F3105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1af91c-9653-48a7-aa58-e84eab2cf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99F6B8-80DA-4E94-A710-24B8CAB51B7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72D04B-E122-4FB3-B698-CC564077ABE8}">
  <ds:schemaRefs>
    <ds:schemaRef ds:uri="http://schemas.microsoft.com/sharepoint/v3/contenttype/forms"/>
  </ds:schemaRefs>
</ds:datastoreItem>
</file>

<file path=customXml/itemProps5.xml><?xml version="1.0" encoding="utf-8"?>
<ds:datastoreItem xmlns:ds="http://schemas.openxmlformats.org/officeDocument/2006/customXml" ds:itemID="{D412FA2F-D0D3-4069-9E42-821B5D3C85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315</TotalTime>
  <Pages>29</Pages>
  <Words>69250</Words>
  <Characters>394730</Characters>
  <Application>Microsoft Office Word</Application>
  <DocSecurity>0</DocSecurity>
  <Lines>3289</Lines>
  <Paragraphs>926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41</cp:revision>
  <cp:lastPrinted>2026-05-06T02:05:00Z</cp:lastPrinted>
  <dcterms:created xsi:type="dcterms:W3CDTF">2026-09-02T15:48:00Z</dcterms:created>
  <dcterms:modified xsi:type="dcterms:W3CDTF">2026-09-08T16:25:00Z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SJ-017</vt:lpwstr>
  </property>
  <property fmtid="{D5CDD505-2E9C-101B-9397-08002B2CF9AE}" pid="10" name="MSIP_Label_6bd9ddd1-4d20-43f6-abfa-fc3c07406f94_Enabled">
    <vt:lpwstr>true</vt:lpwstr>
  </property>
  <property fmtid="{D5CDD505-2E9C-101B-9397-08002B2CF9AE}" pid="11" name="MSIP_Label_6bd9ddd1-4d20-43f6-abfa-fc3c07406f94_SetDate">
    <vt:lpwstr>2025-06-24T11:20:01Z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ec34f6ed-4f42-4c32-a934-82d07cb6eeed</vt:lpwstr>
  </property>
  <property fmtid="{D5CDD505-2E9C-101B-9397-08002B2CF9AE}" pid="16" name="MSIP_Label_6bd9ddd1-4d20-43f6-abfa-fc3c07406f94_ContentBits">
    <vt:lpwstr>0</vt:lpwstr>
  </property>
  <property fmtid="{D5CDD505-2E9C-101B-9397-08002B2CF9AE}" pid="17" name="ContentTypeId">
    <vt:lpwstr>0x01010055E68F44832CFE409BA7AADB8BC63B56</vt:lpwstr>
  </property>
  <property fmtid="{D5CDD505-2E9C-101B-9397-08002B2CF9AE}" pid="18" name="Order">
    <vt:r8>2300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LWCR IsRefonte">
    <vt:lpwstr>True</vt:lpwstr>
  </property>
  <property fmtid="{D5CDD505-2E9C-101B-9397-08002B2CF9AE}" pid="26" name="MSIP_Label_6bd9ddd1-4d20-43f6-abfa-fc3c07406f94_Tag">
    <vt:lpwstr>10, 3, 0, 1</vt:lpwstr>
  </property>
  <property fmtid="{D5CDD505-2E9C-101B-9397-08002B2CF9AE}" pid="27" name="MediaServiceImageTags">
    <vt:lpwstr/>
  </property>
  <property fmtid="{D5CDD505-2E9C-101B-9397-08002B2CF9AE}" pid="28" name="DQCStatus">
    <vt:lpwstr>Green (DQC version 03)</vt:lpwstr>
  </property>
</Properties>
</file>