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29C1CE-5975-4B1B-AD03-0A8676AE80E3" style="width:455.25pt;height:381.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Annexetitre"/>
        <w:rPr>
          <w:noProof/>
        </w:rPr>
      </w:pPr>
      <w:r>
        <w:rPr>
          <w:noProof/>
        </w:rPr>
        <w:t>ANEXA I</w:t>
      </w:r>
    </w:p>
    <w:p>
      <w:pPr>
        <w:pStyle w:val="NormalCentered"/>
        <w:rPr>
          <w:b/>
          <w:noProof/>
        </w:rPr>
      </w:pPr>
      <w:r>
        <w:rPr>
          <w:b/>
          <w:noProof/>
        </w:rPr>
        <w:t>NORME DE RAPORTARE ȘI DE DILIGENȚĂ FISCALĂ PENTRU SCHIMBUL DE INFORMAȚII REFERITOARE LA CONTURILE FINANCIARE</w:t>
      </w:r>
    </w:p>
    <w:p>
      <w:pPr>
        <w:rPr>
          <w:noProof/>
        </w:rPr>
      </w:pPr>
      <w:r>
        <w:rPr>
          <w:noProof/>
        </w:rPr>
        <w:t xml:space="preserve">Prezenta anexă stabilește normele de raportare și de diligență fiscală care trebuie să fie aplicate de către Instituțiile Financiare Raportoare pentru a permite statelor membre să comunice, prin schimb automat, informațiile menționate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alineatul (3a)</w:t>
      </w:r>
      <w:r>
        <w:rPr>
          <w:noProof/>
        </w:rPr>
        <w:t xml:space="preserve"> din prezenta directivă. Prezenta anexă prevede, de asemenea, normele și procedurile administrative care trebuie să fie în vigoare în statele membre pentru ca acestea să asigure punerea în aplicare eficace și respectarea procedurilor de raportare și de diligență fiscală, prezentate în continuare.</w:t>
      </w:r>
    </w:p>
    <w:p>
      <w:pPr>
        <w:pStyle w:val="ManualHeading1"/>
        <w:ind w:left="851" w:hanging="851"/>
        <w:rPr>
          <w:noProof/>
        </w:rPr>
      </w:pPr>
      <w:bookmarkStart w:id="0" w:name="_Toc229742185"/>
      <w:r>
        <w:rPr>
          <w:noProof/>
        </w:rPr>
        <w:t>SECȚIUNEA I</w:t>
      </w:r>
      <w:bookmarkEnd w:id="0"/>
    </w:p>
    <w:p>
      <w:pPr>
        <w:pStyle w:val="ManualHeading2"/>
        <w:ind w:left="851" w:hanging="851"/>
        <w:rPr>
          <w:noProof/>
        </w:rPr>
      </w:pPr>
      <w:bookmarkStart w:id="1" w:name="_Toc229742186"/>
      <w:r>
        <w:rPr>
          <w:i/>
          <w:noProof/>
        </w:rPr>
        <w:t>CERINȚE GENERALE DE RAPORTARE</w:t>
      </w:r>
      <w:bookmarkEnd w:id="1"/>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1 litera (a)</w:t>
      </w:r>
    </w:p>
    <w:p>
      <w:pPr>
        <w:pStyle w:val="Point0"/>
        <w:rPr>
          <w:noProof/>
        </w:rPr>
      </w:pPr>
      <w:r>
        <w:rPr>
          <w:noProof/>
        </w:rPr>
        <w:tab/>
        <w:t>A.</w:t>
      </w:r>
      <w:r>
        <w:rPr>
          <w:noProof/>
        </w:rPr>
        <w:tab/>
        <w:t>Sub rezerva dispozițiilor de la punctele C-F, fiecare Instituție Financiară Raportoare raportează autorității competente din statul său membru cu privire la fiecare Cont care face Obiectul Raportării al respectivelor Instituții Financiare Raportoare:</w:t>
      </w:r>
    </w:p>
    <w:p>
      <w:pPr>
        <w:pStyle w:val="Point1"/>
        <w:rPr>
          <w:noProof/>
        </w:rPr>
      </w:pPr>
      <w:r>
        <w:rPr>
          <w:noProof/>
        </w:rPr>
        <w:tab/>
        <w:t>1.</w:t>
      </w:r>
      <w:r>
        <w:rPr>
          <w:noProof/>
        </w:rPr>
        <w:tab/>
        <w:t>următoarele informații:</w:t>
      </w:r>
    </w:p>
    <w:p>
      <w:pPr>
        <w:pStyle w:val="Point2"/>
        <w:rPr>
          <w:noProof/>
        </w:rPr>
      </w:pPr>
      <w:r>
        <w:rPr>
          <w:noProof/>
        </w:rPr>
        <w:tab/>
        <w:t>(a)</w:t>
      </w:r>
      <w:r>
        <w:rPr>
          <w:noProof/>
        </w:rPr>
        <w:tab/>
        <w:t>numele, adresa, statul membru (statele membre) de rezidență, numărul (numerele) de identificare fiscală (NIF) și data și locul nașterii (în cazul unei persoane fizice) ale fiecărei Persoane care face Obiectul Raportării, care este Titular de Cont al respectivului cont și informația dacă Titularul de Cont a furnizat o declarație pe propria răspundere valabilă;</w:t>
      </w:r>
    </w:p>
    <w:p>
      <w:pPr>
        <w:pStyle w:val="Point2"/>
        <w:rPr>
          <w:noProof/>
        </w:rPr>
      </w:pPr>
      <w:r>
        <w:rPr>
          <w:noProof/>
        </w:rPr>
        <w:tab/>
        <w:t>(b)</w:t>
      </w:r>
      <w:r>
        <w:rPr>
          <w:noProof/>
        </w:rPr>
        <w:tab/>
        <w:t>în cazul unei Entități care este Titular de Cont și care, după aplicarea procedurilor de diligență fiscală în conformitate cu secțiunile V, VI și VII, este identificată ca având una sau mai multe Persoane care Exercită Controlul care sunt Persoane care fac Obiectul Raportării, numele, adresa, statul membru (statele membre) de rezidență și (dacă este cazul) altă jurisdicție (alte jurisdicții) de rezidență și numărul (numerele) de identificare fiscală (NIF) ale Entității, precum și numele, adresa, statul membru (statele membre) de rezidență, numărul (numerele) de identificare fiscală (NIF), data și locul nașterii fiecărei Persoane care face Obiectul Raportării, precum și rolul (rolurile) în temeiul căruia (cărora) fiecare Persoană care face obiectul Raportării este o Persoană care Exercită Controlul asupra Entității și informația dacă a fost furnizată o declarație pe propria răspundere valabilă pentru fiecare Persoană care face Obiectul Raportării;</w:t>
      </w:r>
    </w:p>
    <w:p>
      <w:pPr>
        <w:pStyle w:val="Point2"/>
        <w:rPr>
          <w:noProof/>
        </w:rPr>
      </w:pPr>
      <w:r>
        <w:rPr>
          <w:noProof/>
        </w:rPr>
        <w:tab/>
        <w:t>(c)</w:t>
      </w:r>
      <w:r>
        <w:rPr>
          <w:noProof/>
        </w:rPr>
        <w:tab/>
        <w:t>informația dacă contul este un cont comun, precizându-se numărul de Titulari de Cont comuni;</w:t>
      </w:r>
    </w:p>
    <w:p>
      <w:pPr>
        <w:pStyle w:val="Point1"/>
        <w:rPr>
          <w:noProof/>
        </w:rPr>
      </w:pPr>
      <w:r>
        <w:rPr>
          <w:noProof/>
        </w:rPr>
        <w:lastRenderedPageBreak/>
        <w:tab/>
        <w:t>2.</w:t>
      </w:r>
      <w:r>
        <w:rPr>
          <w:noProof/>
        </w:rPr>
        <w:tab/>
        <w:t>numărul de cont (sau echivalentul său funcțional în absența unui număr de cont), tipul de cont și informația dacă contul este un Cont Preexistent sau un Cont Nou;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pStyle w:val="Point1"/>
        <w:rPr>
          <w:noProof/>
        </w:rPr>
      </w:pPr>
      <w:r>
        <w:rPr>
          <w:noProof/>
        </w:rPr>
        <w:tab/>
        <w:t>3.</w:t>
      </w:r>
      <w:r>
        <w:rPr>
          <w:noProof/>
        </w:rPr>
        <w:tab/>
        <w:t>numele și numărul de identificare (dacă este cazul) al Instituției Financiare Raportoare;</w:t>
      </w:r>
    </w:p>
    <w:p>
      <w:pPr>
        <w:pStyle w:val="Point1"/>
        <w:rPr>
          <w:noProof/>
        </w:rPr>
      </w:pPr>
      <w:r>
        <w:rPr>
          <w:noProof/>
        </w:rPr>
        <w:tab/>
        <w:t>4.</w:t>
      </w:r>
      <w:r>
        <w:rPr>
          <w:noProof/>
        </w:rPr>
        <w:tab/>
        <w:t>soldul sau valoarea contului (inclusiv, în cazul unui Contract de asigurare cu valoare de răscumpărare sau al unui Contract cu rentă viageră, Valoarea de răscumpărare) valabilă la sfârșitul anului calendaristic relevant sau la sfârșitul altei perioade de raportare adecvate sau, în cazul în care contul a fost închis în cursul anului sau al perioadei în cauză, închiderea contului;</w:t>
      </w:r>
    </w:p>
    <w:p>
      <w:pPr>
        <w:pStyle w:val="Point1"/>
        <w:rPr>
          <w:noProof/>
        </w:rPr>
      </w:pPr>
      <w:r>
        <w:rPr>
          <w:noProof/>
        </w:rPr>
        <w:tab/>
        <w:t>5.</w:t>
      </w:r>
      <w:r>
        <w:rPr>
          <w:noProof/>
        </w:rPr>
        <w:tab/>
        <w:t>în cazul oricărui Cont de custodie:</w:t>
      </w:r>
    </w:p>
    <w:p>
      <w:pPr>
        <w:pStyle w:val="Point2"/>
        <w:rPr>
          <w:noProof/>
        </w:rPr>
      </w:pPr>
      <w:r>
        <w:rPr>
          <w:noProof/>
        </w:rPr>
        <w:tab/>
        <w:t>(a)</w:t>
      </w:r>
      <w:r>
        <w:rPr>
          <w:noProof/>
        </w:rPr>
        <w:tab/>
        <w:t>cuantumul brut total al dobânzilor, cuantumul brut total al dividendelor și cuantumul brut total al altor venituri generate în legătură cu activele deținute în cont, în fiecare caz plătite sau creditate în contul respectiv (sau în legătură cu respectivul cont) în cursul anului calendaristic sau al altei perioade de raportare adecvate; și</w:t>
      </w:r>
    </w:p>
    <w:p>
      <w:pPr>
        <w:pStyle w:val="Point2"/>
        <w:rPr>
          <w:noProof/>
        </w:rPr>
      </w:pPr>
      <w:r>
        <w:rPr>
          <w:noProof/>
        </w:rPr>
        <w:tab/>
        <w:t>(b)</w:t>
      </w:r>
      <w:r>
        <w:rPr>
          <w:noProof/>
        </w:rPr>
        <w:tab/>
        <w:t>încasările brute totale din vânzarea sau răscumpărarea Activelor Financiare plătite sau creditate în cont în cursul anului calendaristic sau al altei perioade de raportare adecvate în legătură cu care Instituția Financiară Raportoare a acționat drept custode, broker, reprezentant sau orice alt fel de mandatar al Titularului de cont;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1 litera (a)</w:t>
      </w:r>
    </w:p>
    <w:p>
      <w:pPr>
        <w:pStyle w:val="Point1"/>
        <w:rPr>
          <w:noProof/>
        </w:rPr>
      </w:pPr>
      <w:r>
        <w:rPr>
          <w:noProof/>
        </w:rPr>
        <w:tab/>
        <w:t>6.</w:t>
      </w:r>
      <w:r>
        <w:rPr>
          <w:noProof/>
        </w:rPr>
        <w:tab/>
        <w:t>în cazul oricărui Cont de depozit, cuantumul brut total al dobânzilor plătite sau creditate în cont în cursul anului calendaristic sau al altei perioade de raportare adecvate;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1 litera (a)</w:t>
      </w:r>
    </w:p>
    <w:p>
      <w:pPr>
        <w:pStyle w:val="Point1"/>
        <w:rPr>
          <w:noProof/>
        </w:rPr>
      </w:pPr>
      <w:r>
        <w:rPr>
          <w:noProof/>
        </w:rPr>
        <w:tab/>
      </w:r>
      <w:r>
        <w:rPr>
          <w:rStyle w:val="CRMinorChangeAdded"/>
          <w:noProof/>
        </w:rPr>
        <w:t>7</w:t>
      </w:r>
      <w:r>
        <w:rPr>
          <w:rStyle w:val="CRMinorChangeDeleted"/>
          <w:noProof/>
        </w:rPr>
        <w:t>6a</w:t>
      </w:r>
      <w:r>
        <w:rPr>
          <w:noProof/>
        </w:rPr>
        <w:t>.</w:t>
      </w:r>
      <w:r>
        <w:rPr>
          <w:noProof/>
        </w:rPr>
        <w:tab/>
        <w:t>în cazul oricărei Participații în Capitalurile Proprii deținute într-o Entitate de Investiții care este o construcție juridică, rolul (rolurile) în temeiul căruia (cărora) Persoana care face Obiectul Raportării este un deținător de Participații în Capitalurile Proprii; și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pStyle w:val="Point1"/>
        <w:rPr>
          <w:noProof/>
        </w:rPr>
      </w:pPr>
      <w:r>
        <w:rPr>
          <w:noProof/>
        </w:rPr>
        <w:tab/>
      </w:r>
      <w:r>
        <w:rPr>
          <w:rStyle w:val="CRMinorChangeAdded"/>
          <w:noProof/>
        </w:rPr>
        <w:t>8</w:t>
      </w:r>
      <w:r>
        <w:rPr>
          <w:rStyle w:val="CRMinorChangeDeleted"/>
          <w:noProof/>
        </w:rPr>
        <w:t>7</w:t>
      </w:r>
      <w:r>
        <w:rPr>
          <w:noProof/>
        </w:rPr>
        <w:t>.</w:t>
      </w:r>
      <w:r>
        <w:rPr>
          <w:noProof/>
        </w:rPr>
        <w:tab/>
        <w:t xml:space="preserve">în cazul oricărui cont care nu este descris la punctul 5 sau 6 din subsecțiunea A, cuantumul brut total plătit sau creditat Titularului de cont în legătură cu respectivul cont în cursul anului calendaristic sau al altei perioade de raportare adecvate în legătură cu care Instituția Financiară Raportoare este debitoare, inclusiv cuantumul agregat al oricăror rambursări plătite Titularului </w:t>
      </w:r>
      <w:r>
        <w:rPr>
          <w:noProof/>
        </w:rPr>
        <w:lastRenderedPageBreak/>
        <w:t>de cont în cursul anului calendaristic sau al altei perioade de raportare adecvate.</w:t>
      </w:r>
    </w:p>
    <w:p>
      <w:pPr>
        <w:pStyle w:val="Point0"/>
        <w:rPr>
          <w:noProof/>
        </w:rPr>
      </w:pPr>
      <w:r>
        <w:rPr>
          <w:noProof/>
        </w:rPr>
        <w:tab/>
        <w:t>B.</w:t>
      </w:r>
      <w:r>
        <w:rPr>
          <w:noProof/>
        </w:rPr>
        <w:tab/>
        <w:t>Informațiile raportate trebuie să identifice moneda în care este exprimată fiecare sumă.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1 litera (b)</w:t>
      </w:r>
    </w:p>
    <w:p>
      <w:pPr>
        <w:pStyle w:val="Point0"/>
        <w:rPr>
          <w:noProof/>
        </w:rPr>
      </w:pPr>
      <w:r>
        <w:rPr>
          <w:noProof/>
        </w:rPr>
        <w:tab/>
        <w:t>C.</w:t>
      </w:r>
      <w:r>
        <w:rPr>
          <w:noProof/>
        </w:rPr>
        <w:tab/>
        <w:t>Fără a aduce atingere subpunctului 1 de la punctul A, cu privire la fiecare Cont care face Obiectul Raportării care este un Cont Preexistent, nu este obligatorie raportarea NIF sau a datei nașterii în cazul în care acestea nu figurează în registrele Instituției Financiare Raportoare și nu există o altă cerință care să impună respectivei Instituții Financiare Raportoare să colecteze aceste informații în temeiul dreptului intern sau al oricărui instrument juridic al Uniunii. Cu toate acestea, o Instituție Financiară Raportoare are obligația să depună eforturi rezonabile pentru a obține NIF și data nașterii în ceea ce privește Conturile Preexistente până la sfârșitul celui de al doilea an calendaristic care urmează anului în care respectivele Conturi Preexistente au fost identificate drept Conturi care fac Obiectul Raportării și ori de câte ori este necesară actualizarea informațiilor referitoare la Contul Preexistent în temeiul Procedurilor </w:t>
      </w:r>
      <w:bookmarkStart w:id="2" w:name="_Hlk231568821"/>
      <w:r>
        <w:rPr>
          <w:rStyle w:val="CRMinorChangeAdded"/>
          <w:noProof/>
        </w:rPr>
        <w:t>naționale aferente legislației privind combaterea spălării banilor și de cunoaștere a clientelei</w:t>
      </w:r>
      <w:bookmarkEnd w:id="2"/>
      <w:r>
        <w:rPr>
          <w:rStyle w:val="CRMinorChangeAdded"/>
          <w:noProof/>
        </w:rPr>
        <w:t xml:space="preserve"> (</w:t>
      </w:r>
      <w:r>
        <w:rPr>
          <w:noProof/>
        </w:rPr>
        <w:t>AML/KYC</w:t>
      </w:r>
      <w:r>
        <w:rPr>
          <w:rStyle w:val="CRMinorChangeAdded"/>
          <w:noProof/>
        </w:rPr>
        <w:t>)</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pStyle w:val="Point0"/>
        <w:rPr>
          <w:noProof/>
        </w:rPr>
      </w:pPr>
      <w:r>
        <w:rPr>
          <w:noProof/>
        </w:rPr>
        <w:tab/>
        <w:t>D.</w:t>
      </w:r>
      <w:r>
        <w:rPr>
          <w:noProof/>
        </w:rPr>
        <w:tab/>
        <w:t>Fără a aduce atingere punctului 1 din subsecțiunea A, nu există obligația raportării NIF în cazul în care acesta nu este emis de către statul membru relevant sau de o altă jurisdicție de rezidență.</w:t>
      </w:r>
    </w:p>
    <w:p>
      <w:pPr>
        <w:pStyle w:val="Point0"/>
        <w:rPr>
          <w:noProof/>
        </w:rPr>
      </w:pPr>
      <w:r>
        <w:rPr>
          <w:noProof/>
        </w:rPr>
        <w:tab/>
        <w:t>E.</w:t>
      </w:r>
      <w:r>
        <w:rPr>
          <w:noProof/>
        </w:rPr>
        <w:tab/>
        <w:t>Fără a aduce atingere punctului 1 din subsecțiunea A, nu există obligația raportării locului nașterii, cu excepția următoarelor cazuri:</w:t>
      </w:r>
    </w:p>
    <w:p>
      <w:pPr>
        <w:pStyle w:val="Point1"/>
        <w:rPr>
          <w:noProof/>
        </w:rPr>
      </w:pPr>
      <w:r>
        <w:rPr>
          <w:noProof/>
        </w:rPr>
        <w:tab/>
        <w:t>1.</w:t>
      </w:r>
      <w:r>
        <w:rPr>
          <w:noProof/>
        </w:rPr>
        <w:tab/>
        <w:t>Instituția Financiară Raportoare este obligată, în alt mod, să obțină și să raporteze această informație în temeiul dreptului intern sau Instituția Financiară Raportoare este sau a fost obligată, în alt mod, să obțină și să raporteze această informație în temeiul oricărui instrument juridic al Uniunii în vigoare sau care a fost în vigoare la 5 ianuarie 2015; și</w:t>
      </w:r>
    </w:p>
    <w:p>
      <w:pPr>
        <w:pStyle w:val="Point1"/>
        <w:rPr>
          <w:noProof/>
        </w:rPr>
      </w:pPr>
      <w:r>
        <w:rPr>
          <w:noProof/>
        </w:rPr>
        <w:tab/>
        <w:t>2.</w:t>
      </w:r>
      <w:r>
        <w:rPr>
          <w:noProof/>
        </w:rPr>
        <w:tab/>
        <w:t>informația este disponibilă și poate fi căutată în bazele de date electronice păstrate de Instituția Financiară Raportoare.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1 litera (c) (adaptat)</w:t>
      </w:r>
    </w:p>
    <w:p>
      <w:pPr>
        <w:pStyle w:val="Point0"/>
        <w:rPr>
          <w:noProof/>
        </w:rPr>
      </w:pPr>
      <w:r>
        <w:rPr>
          <w:noProof/>
        </w:rPr>
        <w:tab/>
        <w:t>F.</w:t>
      </w:r>
      <w:r>
        <w:rPr>
          <w:noProof/>
        </w:rPr>
        <w:tab/>
        <w:t>Fără a aduce atingere subpunctului 5 litera (b) de la punctul A și cu excepția cazului în care Instituția Financiară Raportoare decide altfel cu privire la orice grup de conturi identificat în mod clar, raportarea încasărilor brute din vânzarea sau răscumpărarea unui Activ Financiar nu este obligatorie, cu condiția ca încasările brute din vânzarea sau răscumpărarea Activului Financiar respectiv să fie raportate de Instituția Financiară Raportoare în conformitate cu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ManualHeading1"/>
        <w:ind w:left="851" w:hanging="851"/>
        <w:rPr>
          <w:noProof/>
        </w:rPr>
      </w:pPr>
      <w:bookmarkStart w:id="3" w:name="_Toc229742187"/>
      <w:r>
        <w:rPr>
          <w:noProof/>
        </w:rPr>
        <w:t>SECȚIUNEA II</w:t>
      </w:r>
      <w:bookmarkEnd w:id="3"/>
    </w:p>
    <w:p>
      <w:pPr>
        <w:pStyle w:val="ManualHeading2"/>
        <w:ind w:left="851" w:hanging="851"/>
        <w:rPr>
          <w:noProof/>
        </w:rPr>
      </w:pPr>
      <w:bookmarkStart w:id="4" w:name="_Toc229742188"/>
      <w:r>
        <w:rPr>
          <w:i/>
          <w:noProof/>
        </w:rPr>
        <w:t>CERINȚE GENERALE DE DILIGENȚĂ FISCALĂ</w:t>
      </w:r>
      <w:bookmarkEnd w:id="4"/>
    </w:p>
    <w:p>
      <w:pPr>
        <w:pStyle w:val="Point0"/>
        <w:rPr>
          <w:noProof/>
        </w:rPr>
      </w:pPr>
      <w:r>
        <w:rPr>
          <w:noProof/>
        </w:rPr>
        <w:tab/>
        <w:t>A.</w:t>
      </w:r>
      <w:r>
        <w:rPr>
          <w:noProof/>
        </w:rPr>
        <w:tab/>
        <w:t>Un cont este considerat drept Cont care face obiectul raportării începând de la data la care este identificat ca atare în conformitate cu procedurile de diligență fiscală prevăzute în secțiunile II-VII și, cu excepția cazului în care se prevede altfel, informațiile cu privire la un Cont care face obiectul raportării trebuie raportate anual, în anul calendaristic următor anului la care se referă informațiile.</w:t>
      </w:r>
    </w:p>
    <w:p>
      <w:pPr>
        <w:pStyle w:val="Point0"/>
        <w:rPr>
          <w:noProof/>
        </w:rPr>
      </w:pPr>
      <w:r>
        <w:rPr>
          <w:noProof/>
        </w:rPr>
        <w:tab/>
        <w:t>B.</w:t>
      </w:r>
      <w:r>
        <w:rPr>
          <w:noProof/>
        </w:rPr>
        <w:tab/>
        <w:t>Soldul sau valoarea unui cont se stabilește ca fiind cel/cea valabil(ă) în ultima zi a anului calendaristic sau a unei alte perioade de raportare adecvate.</w:t>
      </w:r>
    </w:p>
    <w:p>
      <w:pPr>
        <w:pStyle w:val="Point0"/>
        <w:rPr>
          <w:noProof/>
        </w:rPr>
      </w:pPr>
      <w:r>
        <w:rPr>
          <w:noProof/>
        </w:rPr>
        <w:tab/>
        <w:t>C.</w:t>
      </w:r>
      <w:r>
        <w:rPr>
          <w:noProof/>
        </w:rPr>
        <w:tab/>
        <w:t>În cazul în care soldul sau pragul valorii urmează să se stabilească în ultima zi a unui an calendaristic, soldul sau valoarea în cauză trebuie stabilit(ă) în ultima zi a perioadei de raportare care se încheie cu sau în anul calendaristic respectiv.</w:t>
      </w:r>
    </w:p>
    <w:p>
      <w:pPr>
        <w:pStyle w:val="Point0"/>
        <w:rPr>
          <w:noProof/>
        </w:rPr>
      </w:pPr>
      <w:r>
        <w:rPr>
          <w:noProof/>
        </w:rPr>
        <w:tab/>
        <w:t>D.</w:t>
      </w:r>
      <w:r>
        <w:rPr>
          <w:noProof/>
        </w:rPr>
        <w:tab/>
        <w:t>Fiecare stat membru poate permite Instituțiilor Financiare Raportoare să utilizeze prestatori de servicii în scopul îndeplinirii obligațiilor de raportare și de diligență fiscală impuse respectivelor Instituții Financiare Raportoare, prevăzute de legislația națională, dar responsabilitatea pentru respectivele obligații revine în continuare Instituțiilor Financiare Raportoare.</w:t>
      </w:r>
    </w:p>
    <w:p>
      <w:pPr>
        <w:pStyle w:val="Point0"/>
        <w:rPr>
          <w:noProof/>
        </w:rPr>
      </w:pPr>
      <w:r>
        <w:rPr>
          <w:noProof/>
        </w:rPr>
        <w:tab/>
        <w:t>E.</w:t>
      </w:r>
      <w:r>
        <w:rPr>
          <w:noProof/>
        </w:rPr>
        <w:tab/>
        <w:t>Fiecare stat membru poate permite Instituțiilor Financiare Raportoare să aplice procedurile de diligență fiscală pentru Conturile Noi în cazul Conturilor Preexistente, precum și procedurile de diligență fiscală pentru Conturile cu Valoare Mare în cazul Conturilor cu Valoare Mai Mică. În cazul în care un stat membru permite utilizarea procedurilor de diligență fiscală aplicabile unui Cont Nou pentru Conturile Preexistente, celelalte norme aplicabile Conturilor Preexistente se aplică în continuare.</w:t>
      </w:r>
    </w:p>
    <w:p>
      <w:pPr>
        <w:pStyle w:val="ManualHeading1"/>
        <w:ind w:left="851" w:hanging="851"/>
        <w:rPr>
          <w:noProof/>
        </w:rPr>
      </w:pPr>
      <w:bookmarkStart w:id="5" w:name="_Toc229742189"/>
      <w:r>
        <w:rPr>
          <w:noProof/>
        </w:rPr>
        <w:t>SECȚIUNEA III</w:t>
      </w:r>
      <w:bookmarkEnd w:id="5"/>
    </w:p>
    <w:p>
      <w:pPr>
        <w:pStyle w:val="ManualHeading2"/>
        <w:ind w:left="851" w:hanging="851"/>
        <w:rPr>
          <w:noProof/>
        </w:rPr>
      </w:pPr>
      <w:bookmarkStart w:id="6" w:name="_Toc229742190"/>
      <w:r>
        <w:rPr>
          <w:i/>
          <w:noProof/>
        </w:rPr>
        <w:t>DILIGENȚĂ FISCALĂ ÎN CEEA CE PRIVEȘTE CONTURILE DE PERSOANĂ FIZICĂ PREEXISTENTE</w:t>
      </w:r>
      <w:bookmarkEnd w:id="6"/>
    </w:p>
    <w:p>
      <w:pPr>
        <w:pStyle w:val="Point0"/>
        <w:rPr>
          <w:noProof/>
        </w:rPr>
      </w:pPr>
      <w:r>
        <w:rPr>
          <w:noProof/>
        </w:rPr>
        <w:tab/>
        <w:t>A.</w:t>
      </w:r>
      <w:r>
        <w:rPr>
          <w:noProof/>
        </w:rPr>
        <w:tab/>
        <w:t>Introducere. Următoarele proceduri se aplică în scopul identificării Conturilor care fac obiectul raportării dintre Conturile de Persoană Fizică Preexistente.</w:t>
      </w:r>
    </w:p>
    <w:p>
      <w:pPr>
        <w:pStyle w:val="Point0"/>
        <w:rPr>
          <w:noProof/>
        </w:rPr>
      </w:pPr>
      <w:r>
        <w:rPr>
          <w:noProof/>
        </w:rPr>
        <w:tab/>
        <w:t>B.</w:t>
      </w:r>
      <w:r>
        <w:rPr>
          <w:noProof/>
        </w:rPr>
        <w:tab/>
        <w:t>Conturi cu Valoare Mai Mică. În cazul Conturilor cu Valoare Mai Mică se aplică procedurile prezentate în continuare.</w:t>
      </w:r>
    </w:p>
    <w:p>
      <w:pPr>
        <w:pStyle w:val="Point1"/>
        <w:rPr>
          <w:noProof/>
        </w:rPr>
      </w:pPr>
      <w:r>
        <w:rPr>
          <w:noProof/>
        </w:rPr>
        <w:tab/>
        <w:t>1.</w:t>
      </w:r>
      <w:r>
        <w:rPr>
          <w:noProof/>
        </w:rPr>
        <w:tab/>
        <w:t>Adresa de rezidență. În cazul în care Instituția Financiară Raportoare deține în registrele sale o adresă actuală de rezidență pentru Titularul de cont persoană fizică, bazată pe Documente Justificative, Instituția Financiară Raportoare poate considera Titularul de cont persoană fizică drept având rezidența fiscală în statul membru respectiv sau într-o altă jurisdicție în care este situată adresa, pentru a stabili dacă respectivul Titular de cont persoană fizică este o Persoană care face obiectul raportării.</w:t>
      </w:r>
    </w:p>
    <w:p>
      <w:pPr>
        <w:pStyle w:val="Point1"/>
        <w:rPr>
          <w:noProof/>
        </w:rPr>
      </w:pPr>
      <w:r>
        <w:rPr>
          <w:noProof/>
        </w:rPr>
        <w:tab/>
        <w:t>2.</w:t>
      </w:r>
      <w:r>
        <w:rPr>
          <w:noProof/>
        </w:rPr>
        <w:tab/>
        <w:t xml:space="preserve">Căutarea în registrul electronic. În cazul în care o Instituție Financiară Raportoare nu se bazează pe o adresă actuală de rezidență a Titularului de cont persoană fizică, pe baza unor Documente Justificative, astfel cum este prevăzut la punctul 1 din subsecțiunea B, Instituția Financiară Raportoare trebuie să </w:t>
      </w:r>
      <w:r>
        <w:rPr>
          <w:noProof/>
        </w:rPr>
        <w:lastRenderedPageBreak/>
        <w:t>examineze datele accesibile pentru căutare electronică păstrate de Instituția Financiară Raportoare cu privire la toate indiciile prezentate în continuare și să aplice punctele 3-6 din subsecțiunea B:</w:t>
      </w:r>
    </w:p>
    <w:p>
      <w:pPr>
        <w:pStyle w:val="Point2"/>
        <w:rPr>
          <w:noProof/>
        </w:rPr>
      </w:pPr>
      <w:r>
        <w:rPr>
          <w:noProof/>
        </w:rPr>
        <w:tab/>
        <w:t>(a)</w:t>
      </w:r>
      <w:r>
        <w:rPr>
          <w:noProof/>
        </w:rPr>
        <w:tab/>
        <w:t>identificarea Titularului de cont drept rezident al unui stat membru;</w:t>
      </w:r>
    </w:p>
    <w:p>
      <w:pPr>
        <w:pStyle w:val="Point2"/>
        <w:rPr>
          <w:noProof/>
        </w:rPr>
      </w:pPr>
      <w:r>
        <w:rPr>
          <w:noProof/>
        </w:rPr>
        <w:tab/>
        <w:t>(b)</w:t>
      </w:r>
      <w:r>
        <w:rPr>
          <w:noProof/>
        </w:rPr>
        <w:tab/>
        <w:t>adresa de corespondență sau de rezidență actuală (inclusiv o căsuță poștală) dintr-un stat membru;</w:t>
      </w:r>
    </w:p>
    <w:p>
      <w:pPr>
        <w:pStyle w:val="Point2"/>
        <w:rPr>
          <w:noProof/>
        </w:rPr>
      </w:pPr>
      <w:r>
        <w:rPr>
          <w:noProof/>
        </w:rPr>
        <w:tab/>
        <w:t>(c)</w:t>
      </w:r>
      <w:r>
        <w:rPr>
          <w:noProof/>
        </w:rPr>
        <w:tab/>
        <w:t>unul sau mai multe numere de telefon într-un stat membru și niciun număr de telefon în statul membru al Instituției Financiare Raportoare;</w:t>
      </w:r>
    </w:p>
    <w:p>
      <w:pPr>
        <w:pStyle w:val="Point2"/>
        <w:rPr>
          <w:noProof/>
        </w:rPr>
      </w:pPr>
      <w:r>
        <w:rPr>
          <w:noProof/>
        </w:rPr>
        <w:tab/>
        <w:t>(d)</w:t>
      </w:r>
      <w:r>
        <w:rPr>
          <w:noProof/>
        </w:rPr>
        <w:tab/>
        <w:t>instrucțiunile permanente (altele decât cele privind un Cont de Depozit) de a transfera fonduri într-un cont administrat într-un stat membru;</w:t>
      </w:r>
    </w:p>
    <w:p>
      <w:pPr>
        <w:pStyle w:val="Point2"/>
        <w:rPr>
          <w:noProof/>
        </w:rPr>
      </w:pPr>
      <w:r>
        <w:rPr>
          <w:noProof/>
        </w:rPr>
        <w:tab/>
        <w:t>(e)</w:t>
      </w:r>
      <w:r>
        <w:rPr>
          <w:noProof/>
        </w:rPr>
        <w:tab/>
        <w:t>o împuternicire sau o delegare de semnătură valabilă, acordată unei persoane cu adresa într-un stat membru; sau</w:t>
      </w:r>
    </w:p>
    <w:p>
      <w:pPr>
        <w:pStyle w:val="Point2"/>
        <w:rPr>
          <w:noProof/>
        </w:rPr>
      </w:pPr>
      <w:r>
        <w:rPr>
          <w:noProof/>
        </w:rPr>
        <w:tab/>
        <w:t>(f)</w:t>
      </w:r>
      <w:r>
        <w:rPr>
          <w:noProof/>
        </w:rPr>
        <w:tab/>
        <w:t>o adresă purtând mențiunea „post-restant” sau „în atenția” într-un stat membru, în cazul în care Instituția Financiară Raportoare nu are la dosar nicio altă adresă pentru Titularul de cont.</w:t>
      </w:r>
    </w:p>
    <w:p>
      <w:pPr>
        <w:pStyle w:val="Point1"/>
        <w:rPr>
          <w:noProof/>
        </w:rPr>
      </w:pPr>
      <w:r>
        <w:rPr>
          <w:noProof/>
        </w:rPr>
        <w:tab/>
        <w:t>3.</w:t>
      </w:r>
      <w:r>
        <w:rPr>
          <w:noProof/>
        </w:rPr>
        <w:tab/>
        <w:t>În cazul în care nu se descoperă în urma căutării electronice niciunul dintre indiciile enumerate la punctul 2 din subsecțiunea B, nu se impune nicio măsură suplimentară până în momentul în care intervine o modificare a circumstanțelor care să ducă fie la asocierea unuia sau mai multor indicii cu contul, fie la transformarea contului într-un Cont cu Valoare Mare.</w:t>
      </w:r>
    </w:p>
    <w:p>
      <w:pPr>
        <w:pStyle w:val="Point1"/>
        <w:rPr>
          <w:noProof/>
        </w:rPr>
      </w:pPr>
      <w:r>
        <w:rPr>
          <w:noProof/>
        </w:rPr>
        <w:tab/>
        <w:t>4.</w:t>
      </w:r>
      <w:r>
        <w:rPr>
          <w:noProof/>
        </w:rPr>
        <w:tab/>
        <w:t>În cazul în care oricare dintre indiciile enumerate la subsecțiunea B punctul 2 literele (a)-(e) este descoperit în sistemul electronic de căutare, sau în cazul în care intervine o modificare a circumstanțelor care să ducă la asocierea unuia sau a mai multor indicii cu contul, Instituția Financiară Raportoare trebuie să considere Titularul de cont drept rezident fiscal în fiecare stat membru pentru care este identificat un indiciu, cu excepția cazului în care aceasta alege să aplice punctul 6 din subsecțiunea B și, cu privire la respectivul cont, se aplică una dintre excepțiile prevăzute la respectivul punct.</w:t>
      </w:r>
    </w:p>
    <w:p>
      <w:pPr>
        <w:pStyle w:val="Point1"/>
        <w:rPr>
          <w:noProof/>
        </w:rPr>
      </w:pPr>
      <w:r>
        <w:rPr>
          <w:noProof/>
        </w:rPr>
        <w:tab/>
        <w:t>5.</w:t>
      </w:r>
      <w:r>
        <w:rPr>
          <w:noProof/>
        </w:rPr>
        <w:tab/>
        <w:t>În cazul în care o adresă purtând mențiunea „post-restant” sau „în atenția” este descoperită în urma căutării electronice și nicio altă adresă și niciunul dintre celelalte indicii enumerate la subsecțiunea B punctul 2 literele (a)-(e) nu este identificat cu privire la Titularul de cont, Instituția Financiară Raportoare trebuie, în ordinea cea mai adecvată circumstanțelor, să efectueze căutarea în registrul pe suport hârtie prevăzută la punctul 2 din subsecțiunea C sau să încerce să obțină din partea Titularului de cont o autocertificare sau Documente Justificative pentru a stabili rezidența fiscală (rezidențele fiscale) ale respectivului Titular de cont. În cazul în care în urma căutării în dosar nu se constată niciun indiciu, iar încercarea de a obține autocertificarea sau Documente Justificative nu dă rezultate, Instituția Financiară Raportoare trebuie să raporteze contul autorității competente din propriul stat membru drept cont nedocumentat.</w:t>
      </w:r>
    </w:p>
    <w:p>
      <w:pPr>
        <w:pStyle w:val="Point1"/>
        <w:rPr>
          <w:noProof/>
        </w:rPr>
      </w:pPr>
      <w:r>
        <w:rPr>
          <w:noProof/>
        </w:rPr>
        <w:tab/>
        <w:t>6.</w:t>
      </w:r>
      <w:r>
        <w:rPr>
          <w:noProof/>
        </w:rPr>
        <w:tab/>
        <w:t>Sub rezerva găsirii unor indicii în temeiul punctului 2 din subsecțiunea B, o Instituție Financiară Raportoare nu este obligată să considere un Titular de cont drept rezident al unui stat membru în cazul în care:</w:t>
      </w:r>
    </w:p>
    <w:p>
      <w:pPr>
        <w:pStyle w:val="Point2"/>
        <w:rPr>
          <w:noProof/>
        </w:rPr>
      </w:pPr>
      <w:r>
        <w:rPr>
          <w:noProof/>
        </w:rPr>
        <w:lastRenderedPageBreak/>
        <w:tab/>
        <w:t>(a)</w:t>
      </w:r>
      <w:r>
        <w:rPr>
          <w:noProof/>
        </w:rPr>
        <w:tab/>
        <w:t>informațiile referitoare la Titularul de cont conțin o adresă de corespondență sau de rezidență actuală în statul membru respectiv, unul sau mai multe numere de telefon în statul membru respectiv (și niciun număr de telefon în statul membru al Instituției Financiare Raportoare) sau instrucțiuni permanente (cu privire la Conturi Financiare altele decât Conturile de Depozit) de a transfera fonduri într-un cont administrat într-un stat membru, și Instituția Financiară Raportoare obține sau a examinat anterior și păstrează o înregistrare a următoarelor informații:</w:t>
      </w:r>
    </w:p>
    <w:p>
      <w:pPr>
        <w:pStyle w:val="Point3"/>
        <w:rPr>
          <w:noProof/>
        </w:rPr>
      </w:pPr>
      <w:r>
        <w:rPr>
          <w:noProof/>
        </w:rPr>
        <w:tab/>
        <w:t>(i)</w:t>
      </w:r>
      <w:r>
        <w:rPr>
          <w:noProof/>
        </w:rPr>
        <w:tab/>
        <w:t>o autocertificare din partea Titularului de cont privind statul membru (statele membre) sau altă jurisdicție (alte jurisdicții) de rezidență a(le) respectivului Titular de cont, care nu includ(e) statul membru respectiv; și</w:t>
      </w:r>
    </w:p>
    <w:p>
      <w:pPr>
        <w:pStyle w:val="Point3"/>
        <w:rPr>
          <w:noProof/>
        </w:rPr>
      </w:pPr>
      <w:r>
        <w:rPr>
          <w:noProof/>
        </w:rPr>
        <w:tab/>
        <w:t>(ii)</w:t>
      </w:r>
      <w:r>
        <w:rPr>
          <w:noProof/>
        </w:rPr>
        <w:tab/>
        <w:t>Documente Justificative care stabilesc statutul Titularului de cont ca nefăcând obiectul raportării;</w:t>
      </w:r>
    </w:p>
    <w:p>
      <w:pPr>
        <w:pStyle w:val="Point2"/>
        <w:rPr>
          <w:noProof/>
        </w:rPr>
      </w:pPr>
      <w:r>
        <w:rPr>
          <w:noProof/>
        </w:rPr>
        <w:tab/>
        <w:t>(b)</w:t>
      </w:r>
      <w:r>
        <w:rPr>
          <w:noProof/>
        </w:rPr>
        <w:tab/>
        <w:t xml:space="preserve">informațiile referitoare la Titularul de cont conțin o împuternicire sau o delegare de semnătură valabilă, acordată unei persoane cu adresa în statul membru respectiv, și Instituția Financiară Raportoare obține sau a examinat anterior și păstrează o înregistrare a următoarelor informații: </w:t>
      </w:r>
    </w:p>
    <w:p>
      <w:pPr>
        <w:pStyle w:val="Point3"/>
        <w:rPr>
          <w:noProof/>
        </w:rPr>
      </w:pPr>
      <w:r>
        <w:rPr>
          <w:noProof/>
        </w:rPr>
        <w:tab/>
        <w:t>(i)</w:t>
      </w:r>
      <w:r>
        <w:rPr>
          <w:noProof/>
        </w:rPr>
        <w:tab/>
        <w:t>o autocertificare din partea Titularului de cont privind statul membru (statele membre) sau altă jurisdicție (alte jurisdicții) de rezidență a(le) respectivului Titular de cont, care nu includ(e) statul membru respectiv; sau</w:t>
      </w:r>
    </w:p>
    <w:p>
      <w:pPr>
        <w:pStyle w:val="Point3"/>
        <w:rPr>
          <w:noProof/>
        </w:rPr>
      </w:pPr>
      <w:r>
        <w:rPr>
          <w:noProof/>
        </w:rPr>
        <w:tab/>
        <w:t>(ii)</w:t>
      </w:r>
      <w:r>
        <w:rPr>
          <w:noProof/>
        </w:rPr>
        <w:tab/>
        <w:t>Documente Justificative care stabilesc statutul Titularului de cont ca nefăcând obiectul raportării.</w:t>
      </w:r>
    </w:p>
    <w:p>
      <w:pPr>
        <w:pStyle w:val="Point0"/>
        <w:rPr>
          <w:noProof/>
        </w:rPr>
      </w:pPr>
      <w:r>
        <w:rPr>
          <w:noProof/>
        </w:rPr>
        <w:tab/>
        <w:t>C.</w:t>
      </w:r>
      <w:r>
        <w:rPr>
          <w:noProof/>
        </w:rPr>
        <w:tab/>
        <w:t>Proceduri de examinare aprofundată pentru Conturile cu Valoare Mare. Se aplică următoarele proceduri de examinare aprofundată în ceea ce privește Conturile cu Valoare Mare.</w:t>
      </w:r>
    </w:p>
    <w:p>
      <w:pPr>
        <w:pStyle w:val="Point1"/>
        <w:rPr>
          <w:noProof/>
        </w:rPr>
      </w:pPr>
      <w:r>
        <w:rPr>
          <w:noProof/>
        </w:rPr>
        <w:tab/>
        <w:t>1.</w:t>
      </w:r>
      <w:r>
        <w:rPr>
          <w:noProof/>
        </w:rPr>
        <w:tab/>
        <w:t>Căutarea în registrul electronic. În ceea ce privește Conturile cu Valoare Mare, Instituția Financiară Raportoare trebuie să examineze datele accesibile pentru căutare electronică păstrate de Instituția Financiară Raportoare cu privire la oricare dintre indiciile descrise la punctul 2 din subsecțiunea B.</w:t>
      </w:r>
    </w:p>
    <w:p>
      <w:pPr>
        <w:pStyle w:val="Point1"/>
        <w:rPr>
          <w:noProof/>
        </w:rPr>
      </w:pPr>
      <w:r>
        <w:rPr>
          <w:noProof/>
        </w:rPr>
        <w:tab/>
        <w:t>2.</w:t>
      </w:r>
      <w:r>
        <w:rPr>
          <w:noProof/>
        </w:rPr>
        <w:tab/>
        <w:t>Căutarea în registrul pe suport hârtie. În cazul în care baza de date accesibile pentru căutare electronică a Instituției Financiare Raportoare include domenii destinate tuturor informațiilor prevăzute la punctul 3 din subsecțiunea C și toate informațiile respective, nu este necesară căutarea suplimentară în registrul pe suport hârtie. În cazul în care bazele de date electronice nu cuprind toate informațiile respective, atunci, în ceea ce privește Conturile cu Valoare Mare, Instituția Financiară Raportoare trebuie să examineze și actualul dosar principal al clientului și, în măsura în care informațiile în cauză nu sunt cuprinse în actualul dosar principal al clientului, următoarele documente asociate contului și obținute de Instituția Financiară Raportoare în cursul ultimilor cinci ani pentru oricare dintre indiciile prevăzute la punctul 2 din subsecțiunea B:</w:t>
      </w:r>
    </w:p>
    <w:p>
      <w:pPr>
        <w:pStyle w:val="Point2"/>
        <w:rPr>
          <w:noProof/>
        </w:rPr>
      </w:pPr>
      <w:r>
        <w:rPr>
          <w:noProof/>
        </w:rPr>
        <w:tab/>
        <w:t>(a)</w:t>
      </w:r>
      <w:r>
        <w:rPr>
          <w:noProof/>
        </w:rPr>
        <w:tab/>
        <w:t>cele mai recente Documente Justificative colectate cu privire la contul respectiv;</w:t>
      </w:r>
    </w:p>
    <w:p>
      <w:pPr>
        <w:pStyle w:val="Point2"/>
        <w:rPr>
          <w:noProof/>
        </w:rPr>
      </w:pPr>
      <w:r>
        <w:rPr>
          <w:noProof/>
        </w:rPr>
        <w:lastRenderedPageBreak/>
        <w:tab/>
        <w:t>(b)</w:t>
      </w:r>
      <w:r>
        <w:rPr>
          <w:noProof/>
        </w:rPr>
        <w:tab/>
        <w:t>cel mai recent contract sau cea mai recentă documentație cu privire la deschiderea contului;</w:t>
      </w:r>
    </w:p>
    <w:p>
      <w:pPr>
        <w:pStyle w:val="Point2"/>
        <w:rPr>
          <w:noProof/>
        </w:rPr>
      </w:pPr>
      <w:r>
        <w:rPr>
          <w:noProof/>
        </w:rPr>
        <w:tab/>
        <w:t>(c)</w:t>
      </w:r>
      <w:r>
        <w:rPr>
          <w:noProof/>
        </w:rPr>
        <w:tab/>
        <w:t>cea mai recentă documentație obținută de Instituția Financiară Raportoare în conformitate cu Procedurile AML/KYC sau în alte scopuri de reglementare;</w:t>
      </w:r>
    </w:p>
    <w:p>
      <w:pPr>
        <w:pStyle w:val="Point2"/>
        <w:rPr>
          <w:noProof/>
        </w:rPr>
      </w:pPr>
      <w:r>
        <w:rPr>
          <w:noProof/>
        </w:rPr>
        <w:tab/>
        <w:t>(d)</w:t>
      </w:r>
      <w:r>
        <w:rPr>
          <w:noProof/>
        </w:rPr>
        <w:tab/>
        <w:t>orice formulare de împuternicire sau de delegare de semnătură valabile; și</w:t>
      </w:r>
    </w:p>
    <w:p>
      <w:pPr>
        <w:pStyle w:val="Point2"/>
        <w:rPr>
          <w:noProof/>
        </w:rPr>
      </w:pPr>
      <w:r>
        <w:rPr>
          <w:noProof/>
        </w:rPr>
        <w:tab/>
        <w:t>(e)</w:t>
      </w:r>
      <w:r>
        <w:rPr>
          <w:noProof/>
        </w:rPr>
        <w:tab/>
        <w:t>orice instrucțiuni permanente în vigoare (altele decât cele referitoare la un Cont de Depozit) de a transfera fonduri.</w:t>
      </w:r>
    </w:p>
    <w:p>
      <w:pPr>
        <w:pStyle w:val="Point1"/>
        <w:rPr>
          <w:noProof/>
        </w:rPr>
      </w:pPr>
      <w:r>
        <w:rPr>
          <w:noProof/>
        </w:rPr>
        <w:tab/>
        <w:t>3.</w:t>
      </w:r>
      <w:r>
        <w:rPr>
          <w:noProof/>
        </w:rPr>
        <w:tab/>
        <w:t>Excepție în măsura în care bazele de date conțin informații suficiente. O Instituție Financiară Raportoare nu este obligată să efectueze căutarea în registrul pe suport hârtie prevăzută la punctul 2 din subsecțiunea C în măsura în care informațiile disponibile pentru căutare în format electronic ale Instituției Financiare Raportoare includ:</w:t>
      </w:r>
    </w:p>
    <w:p>
      <w:pPr>
        <w:pStyle w:val="Point2"/>
        <w:rPr>
          <w:noProof/>
        </w:rPr>
      </w:pPr>
      <w:r>
        <w:rPr>
          <w:noProof/>
        </w:rPr>
        <w:tab/>
        <w:t>(a)</w:t>
      </w:r>
      <w:r>
        <w:rPr>
          <w:noProof/>
        </w:rPr>
        <w:tab/>
        <w:t>statutul Titularului de cont în ceea ce privește rezidența;</w:t>
      </w:r>
    </w:p>
    <w:p>
      <w:pPr>
        <w:pStyle w:val="Point2"/>
        <w:rPr>
          <w:noProof/>
        </w:rPr>
      </w:pPr>
      <w:r>
        <w:rPr>
          <w:noProof/>
        </w:rPr>
        <w:tab/>
        <w:t>(b)</w:t>
      </w:r>
      <w:r>
        <w:rPr>
          <w:noProof/>
        </w:rPr>
        <w:tab/>
        <w:t>adresa de rezidență și adresa de corespondență ale Titularului de cont, aflate în prezent la dosarul Instituției Financiare Raportoare;</w:t>
      </w:r>
    </w:p>
    <w:p>
      <w:pPr>
        <w:pStyle w:val="Point2"/>
        <w:rPr>
          <w:noProof/>
        </w:rPr>
      </w:pPr>
      <w:r>
        <w:rPr>
          <w:noProof/>
        </w:rPr>
        <w:tab/>
        <w:t>(c)</w:t>
      </w:r>
      <w:r>
        <w:rPr>
          <w:noProof/>
        </w:rPr>
        <w:tab/>
        <w:t>numărul (numerele) de telefon al(e) Titularului de cont, aflate în prezent la dosarul Instituției Financiare Raportoare, dacă este cazul;</w:t>
      </w:r>
    </w:p>
    <w:p>
      <w:pPr>
        <w:pStyle w:val="Point2"/>
        <w:rPr>
          <w:noProof/>
        </w:rPr>
      </w:pPr>
      <w:r>
        <w:rPr>
          <w:noProof/>
        </w:rPr>
        <w:tab/>
        <w:t>(d)</w:t>
      </w:r>
      <w:r>
        <w:rPr>
          <w:noProof/>
        </w:rPr>
        <w:tab/>
        <w:t>în cazul Conturilor Financiare altele decât Conturile de Depozit, dacă există instrucțiuni permanente pentru a transfera fonduri din respectivul cont într-un alt cont (inclusiv un cont aflat la o altă sucursală a Instituției Financiare Raportoare sau la o altă Instituție Financiară);</w:t>
      </w:r>
    </w:p>
    <w:p>
      <w:pPr>
        <w:pStyle w:val="Point2"/>
        <w:rPr>
          <w:noProof/>
        </w:rPr>
      </w:pPr>
      <w:r>
        <w:rPr>
          <w:noProof/>
        </w:rPr>
        <w:tab/>
        <w:t>(e)</w:t>
      </w:r>
      <w:r>
        <w:rPr>
          <w:noProof/>
        </w:rPr>
        <w:tab/>
        <w:t>dacă există în prezent o mențiune „post-restant” sau „în atenția” pentru Titularul de cont; și</w:t>
      </w:r>
    </w:p>
    <w:p>
      <w:pPr>
        <w:pStyle w:val="Point2"/>
        <w:rPr>
          <w:noProof/>
        </w:rPr>
      </w:pPr>
      <w:r>
        <w:rPr>
          <w:noProof/>
        </w:rPr>
        <w:tab/>
        <w:t>(f)</w:t>
      </w:r>
      <w:r>
        <w:rPr>
          <w:noProof/>
        </w:rPr>
        <w:tab/>
        <w:t>dacă există orice împuternicire sau delegare de semnătură pentru contul respectiv.</w:t>
      </w:r>
    </w:p>
    <w:p>
      <w:pPr>
        <w:pStyle w:val="Point1"/>
        <w:rPr>
          <w:noProof/>
        </w:rPr>
      </w:pPr>
      <w:r>
        <w:rPr>
          <w:noProof/>
        </w:rPr>
        <w:tab/>
        <w:t>4.</w:t>
      </w:r>
      <w:r>
        <w:rPr>
          <w:noProof/>
        </w:rPr>
        <w:tab/>
        <w:t>Consultarea responsabilului pentru relații cu clienții în scopul obținerii de informații concrete. În afară de căutarea în registrul electronic și de căutarea în registrul pe suport hârtie prevăzute la punctele 1 și 2 din subsecțiunea C, Instituția Financiară Raportoare trebuie să considere drept Cont care face obiectul raportării orice Cont cu Valoare Mare încredințat unui responsabil pentru relații cu clienții (inclusiv orice Conturi Financiare agregate respectivului Cont cu Valoare Mare) în cazul în care responsabilul pentru relații cu clienții deține informații concrete conform cărora Titularul de cont este o Persoană care face obiectul raportării.</w:t>
      </w:r>
    </w:p>
    <w:p>
      <w:pPr>
        <w:pStyle w:val="Point1"/>
        <w:rPr>
          <w:noProof/>
        </w:rPr>
      </w:pPr>
      <w:r>
        <w:rPr>
          <w:noProof/>
        </w:rPr>
        <w:tab/>
        <w:t>5.</w:t>
      </w:r>
      <w:r>
        <w:rPr>
          <w:noProof/>
        </w:rPr>
        <w:tab/>
        <w:t>Efectele găsirii unor indicii.</w:t>
      </w:r>
    </w:p>
    <w:p>
      <w:pPr>
        <w:pStyle w:val="Point2"/>
        <w:rPr>
          <w:noProof/>
        </w:rPr>
      </w:pPr>
      <w:r>
        <w:rPr>
          <w:noProof/>
        </w:rPr>
        <w:tab/>
        <w:t>(a)</w:t>
      </w:r>
      <w:r>
        <w:rPr>
          <w:noProof/>
        </w:rPr>
        <w:tab/>
        <w:t>Dacă, în urma examinării aprofundate a Conturilor cu Valoare Mare prevăzute la subsecțiunea C, nu este descoperit niciunul dintre indiciile enumerate la punctul 2 din subsecțiunea B, iar contul nu este identificat ca fiind deținut de o Persoană care face obiectul raportării descrisă la punctul 4 din subsecțiunea C, atunci nu sunt necesare acțiuni suplimentare până în momentul în care intervine o modificare a circumstanțelor care să ducă la asocierea unuia sau a mai multor indicii cu contul respectiv.</w:t>
      </w:r>
    </w:p>
    <w:p>
      <w:pPr>
        <w:pStyle w:val="Point2"/>
        <w:rPr>
          <w:noProof/>
        </w:rPr>
      </w:pPr>
      <w:r>
        <w:rPr>
          <w:noProof/>
        </w:rPr>
        <w:lastRenderedPageBreak/>
        <w:tab/>
        <w:t>(b)</w:t>
      </w:r>
      <w:r>
        <w:rPr>
          <w:noProof/>
        </w:rPr>
        <w:tab/>
        <w:t>În cazul în care, în urma examinării aprofundate a Conturilor cu Valoare Mare prevăzute la subsecțiunea C, este descoperit oricare dintre indiciile enumerate la subsecțiunea B punctul 2 literele (a)-(e), sau în cazul în care intervine ulterior o modificare a circumstanțelor care duce la asocierea unuia sau a mai multor indicii cu contul, Instituția Financiară Raportoare trebuie să considere contul drept Cont care face obiectul raportării în fiecare stat membru pentru care este identificat un indiciu, cu excepția cazului în care aceasta alege să aplice punctul 6 din subsecțiunea B și, cu privire la respectivul cont, se aplică una dintre excepțiile prevăzute la respectivul punct.</w:t>
      </w:r>
    </w:p>
    <w:p>
      <w:pPr>
        <w:pStyle w:val="Point2"/>
        <w:rPr>
          <w:noProof/>
        </w:rPr>
      </w:pPr>
      <w:r>
        <w:rPr>
          <w:noProof/>
        </w:rPr>
        <w:tab/>
        <w:t>(c)</w:t>
      </w:r>
      <w:r>
        <w:rPr>
          <w:noProof/>
        </w:rPr>
        <w:tab/>
        <w:t>În cazul în care, în urma examinării aprofundate prevăzute la subsecțiunea C, este descoperită o adresă purtând mențiunea „post-restant” sau „în atenția” și pentru Titularul de cont nu este identificată nicio altă adresă și niciunul dintre celelalte indicii enumerate la subsecțiunea B punctul 2 literele (a)-(e), Instituția Financiară Raportoare trebuie să obțină din partea Titularului de cont respectiv o autocertificare sau Documente Justificative pentru a stabili rezidența fiscală (rezidențele fiscale) ale respectivului Titular de cont. În cazul în care o Instituție Financiară Raportoare nu poate obține autocertificarea sau Documentele Justificative respective, aceasta trebuie să raporteze contul autorității competente din propriul stat membru drept cont nedocumentat.</w:t>
      </w:r>
    </w:p>
    <w:p>
      <w:pPr>
        <w:pStyle w:val="Point1"/>
        <w:rPr>
          <w:noProof/>
        </w:rPr>
      </w:pPr>
      <w:r>
        <w:rPr>
          <w:noProof/>
        </w:rPr>
        <w:tab/>
        <w:t>6.</w:t>
      </w:r>
      <w:r>
        <w:rPr>
          <w:noProof/>
        </w:rPr>
        <w:tab/>
        <w:t>În cazul în care un Cont de Persoană Fizică Preexistent nu este un Cont cu Valoare Mare la data de 31 decembrie 2015, dar devine un Cont cu Valoare Mare începând cu ultima zi a anului calendaristic următor, Instituția Financiară Raportoare trebuie să finalizeze procedurile de examinare aprofundată prevăzute la subsecțiunea C cu privire la respectivul cont în anul calendaristic următor anului în care contul devine un Cont cu Valoare Mare. Dacă, pe baza acestei examinări, respectivul cont este identificat drept Cont care face obiectul raportării, Instituția Financiară Raportoare are obligația de a raporta, anual, informațiile necesare cu privire la respectivul cont pentru anul în care acesta este identificat drept Cont care face obiectul raportării și pentru anii următori, cu excepția cazului în care Titularul de cont încetează să mai fie o Persoană care face obiectul raportării.</w:t>
      </w:r>
    </w:p>
    <w:p>
      <w:pPr>
        <w:pStyle w:val="Point1"/>
        <w:rPr>
          <w:noProof/>
        </w:rPr>
      </w:pPr>
      <w:r>
        <w:rPr>
          <w:noProof/>
        </w:rPr>
        <w:tab/>
        <w:t>7.</w:t>
      </w:r>
      <w:r>
        <w:rPr>
          <w:noProof/>
        </w:rPr>
        <w:tab/>
        <w:t>Odată ce o Instituție Financiară Raportoare aplică procedurile de examinare aprofundată prevăzute la subsecțiunea C pentru un Cont cu Valoare Mare, Instituția Financiară Raportoare nu este obligată să aplice din nou respectivele proceduri, în afară de consultarea responsabilului pentru relații cu clienții prevăzută la punctul 4 din subsecțiunea C, cu privire la același Cont cu Valoare Mare în orice an ulterior, cu excepția cazului în care contul este nedocumentat, caz în care Instituția Financiară Raportoare ar trebui să aplice din nou, anual, respectivele proceduri, până în momentul în care respectivul cont încetează să mai fie nedocumentat.</w:t>
      </w:r>
    </w:p>
    <w:p>
      <w:pPr>
        <w:pStyle w:val="Point1"/>
        <w:rPr>
          <w:noProof/>
        </w:rPr>
      </w:pPr>
      <w:r>
        <w:rPr>
          <w:noProof/>
        </w:rPr>
        <w:tab/>
        <w:t>8.</w:t>
      </w:r>
      <w:r>
        <w:rPr>
          <w:noProof/>
        </w:rPr>
        <w:tab/>
        <w:t>În cazul în care intervine o modificare a circumstanțelor privind un Cont cu Valoare Mare care duce la asocierea cu contul respectiv a unuia sau a mai multor indicii prevăzute la punctul 2 din subsecțiunea B, Instituția Financiară Raportoare trebuie să considere contul drept Cont care face obiectul raportării în legătură cu fiecare stat membru pentru care este identificat un indiciu, cu excepția cazului în care aceasta alege să aplice punctul 6 din subsecțiunea B și, cu privire la respectivul cont, se aplică una dintre excepțiile prevăzute la punctul menționat.</w:t>
      </w:r>
    </w:p>
    <w:p>
      <w:pPr>
        <w:pStyle w:val="Point1"/>
        <w:rPr>
          <w:noProof/>
        </w:rPr>
      </w:pPr>
      <w:r>
        <w:rPr>
          <w:noProof/>
        </w:rPr>
        <w:lastRenderedPageBreak/>
        <w:tab/>
        <w:t>9.</w:t>
      </w:r>
      <w:r>
        <w:rPr>
          <w:noProof/>
        </w:rPr>
        <w:tab/>
        <w:t>O Instituție Financiară Raportoare trebuie să pună în aplicare proceduri prin care să se asigure că un responsabil pentru relații cu clienții identifică orice modificare a circumstanțelor referitoare la un cont. De exemplu, în cazul în care responsabilului pentru relații cu clienții i se comunică faptul că Titularul de cont are o nouă adresă de corespondență într-un stat membru, Instituția Financiară Raportoare are obligația de a considera noua adresă drept o modificare a circumstanțelor și, în cazul în care aceasta alege să aplice punctul 6 din subsecțiunea B, este obligată să obțină documentele adecvate din partea Titularului de cont.</w:t>
      </w:r>
    </w:p>
    <w:p>
      <w:pPr>
        <w:pStyle w:val="Point0"/>
        <w:rPr>
          <w:noProof/>
        </w:rPr>
      </w:pPr>
      <w:r>
        <w:rPr>
          <w:noProof/>
        </w:rPr>
        <w:tab/>
      </w:r>
      <w:r>
        <w:rPr>
          <w:rStyle w:val="CRDeleted"/>
          <w:noProof/>
        </w:rPr>
        <w:t>D.</w:t>
      </w:r>
      <w:r>
        <w:rPr>
          <w:rStyle w:val="CRDeleted"/>
          <w:noProof/>
        </w:rPr>
        <w:tab/>
        <w:t>Examinarea Conturilor de Persoană Fizică cu Valoare Mare Preexistente trebuie finalizată până la 31 decembrie 2016. Examinarea Conturilor de Persoană Fizică cu Valoare Mai Mică Preexistente trebuie finalizată până la 31 decembrie 2017.</w:t>
      </w:r>
    </w:p>
    <w:p>
      <w:pPr>
        <w:pStyle w:val="Point0"/>
        <w:rPr>
          <w:noProof/>
        </w:rPr>
      </w:pPr>
      <w:r>
        <w:rPr>
          <w:noProof/>
        </w:rPr>
        <w:tab/>
      </w:r>
      <w:r>
        <w:rPr>
          <w:rStyle w:val="CRMinorChangeAdded"/>
          <w:noProof/>
        </w:rPr>
        <w:t>D</w:t>
      </w:r>
      <w:r>
        <w:rPr>
          <w:rStyle w:val="CRMinorChangeDeleted"/>
          <w:noProof/>
        </w:rPr>
        <w:t>E</w:t>
      </w:r>
      <w:r>
        <w:rPr>
          <w:noProof/>
        </w:rPr>
        <w:t>.</w:t>
      </w:r>
      <w:r>
        <w:rPr>
          <w:noProof/>
        </w:rPr>
        <w:tab/>
        <w:t>Orice Cont de Persoană Fizică Preexistent, care a fost identificat drept Cont care face obiectul raportării în temeiul prezentei secțiuni, trebuie considerat drept Cont care face obiectul raportării în toți anii următori, cu excepția cazului în care Titularul de cont încetează să mai fie o Persoană care face obiectul raportării.</w:t>
      </w:r>
    </w:p>
    <w:p>
      <w:pPr>
        <w:pStyle w:val="ManualHeading1"/>
        <w:ind w:left="851" w:hanging="851"/>
        <w:rPr>
          <w:noProof/>
        </w:rPr>
      </w:pPr>
      <w:bookmarkStart w:id="7" w:name="_Toc229742191"/>
      <w:r>
        <w:rPr>
          <w:noProof/>
        </w:rPr>
        <w:t>SECȚIUNEA IV</w:t>
      </w:r>
      <w:bookmarkEnd w:id="7"/>
    </w:p>
    <w:p>
      <w:pPr>
        <w:pStyle w:val="ManualHeading2"/>
        <w:ind w:left="851" w:hanging="851"/>
        <w:rPr>
          <w:noProof/>
        </w:rPr>
      </w:pPr>
      <w:bookmarkStart w:id="8" w:name="_Toc229742192"/>
      <w:r>
        <w:rPr>
          <w:i/>
          <w:noProof/>
        </w:rPr>
        <w:t>DILIGENȚĂ FISCALĂ ÎN CEEA CE PRIVEȘTE CONTURILE DE PERSOANĂ FIZICĂ NOI</w:t>
      </w:r>
      <w:bookmarkEnd w:id="8"/>
    </w:p>
    <w:p>
      <w:pPr>
        <w:rPr>
          <w:noProof/>
        </w:rPr>
      </w:pPr>
      <w:r>
        <w:rPr>
          <w:noProof/>
        </w:rPr>
        <w:t>Următoarele proceduri se aplică în scopul identificării Conturilor care fac obiectul raportării dintre Conturile de Persoană Fizică Noi.</w:t>
      </w:r>
    </w:p>
    <w:p>
      <w:pPr>
        <w:pStyle w:val="Point0"/>
        <w:rPr>
          <w:noProof/>
        </w:rPr>
      </w:pPr>
      <w:r>
        <w:rPr>
          <w:noProof/>
        </w:rPr>
        <w:tab/>
        <w:t>A.</w:t>
      </w:r>
      <w:r>
        <w:rPr>
          <w:noProof/>
        </w:rPr>
        <w:tab/>
        <w:t>În ceea ce privește Conturile de Persoană Fizică Noi, în momentul deschiderii contului, Instituția Financiară Raportoare trebuie să obțină o autocertificare, care poate face parte din documentația de deschidere a contului, care permite Instituției Financiare Raportoare să stabilească rezidența fiscală (rezidențele fiscale) a(le) Titularului de cont și să confirme caracterul rezonabil al respectivei autocertificări pe baza informațiilor obținute de Instituția Financiară Raportoare în legătură cu deschiderea contului, inclusiv eventualele documente colectate în conformitate cu Procedurile AML/KYC.</w:t>
      </w:r>
    </w:p>
    <w:p>
      <w:pPr>
        <w:pStyle w:val="Point0"/>
        <w:rPr>
          <w:noProof/>
        </w:rPr>
      </w:pPr>
      <w:r>
        <w:rPr>
          <w:noProof/>
        </w:rPr>
        <w:tab/>
        <w:t>B.</w:t>
      </w:r>
      <w:r>
        <w:rPr>
          <w:noProof/>
        </w:rPr>
        <w:tab/>
        <w:t>În cazul în care autocertificarea stabilește că Titularul de cont este rezident fiscal într-un stat membru, Instituția Financiară Raportoare trebuie să considere contul drept Cont care face obiectul raportării și autocertificarea trebuie să includă, de asemenea, NIF al Titularului de cont pentru respectivul stat membru (sub rezerva secțiunii I subsecțiunea D) și data nașterii acestuia.</w:t>
      </w:r>
    </w:p>
    <w:p>
      <w:pPr>
        <w:pStyle w:val="Point0"/>
        <w:rPr>
          <w:noProof/>
        </w:rPr>
      </w:pPr>
      <w:r>
        <w:rPr>
          <w:noProof/>
        </w:rPr>
        <w:tab/>
        <w:t>C.</w:t>
      </w:r>
      <w:r>
        <w:rPr>
          <w:noProof/>
        </w:rPr>
        <w:tab/>
        <w:t>În cazul în care intervine o modificare a circumstanțelor cu privire la un Cont de Persoană Fizică Nou în urma căreia Instituția Financiară Raportoare află sau are motive să afle că autocertificarea inițială este incorectă sau nefiabilă, Instituția Financiară Raportoare nu se poate baza pe autocertificarea inițială și trebuie să obțină o autocertificare valabilă care să stabilească rezidența fiscală (rezidențele fiscale) a(le) Titularului de cont.</w:t>
      </w:r>
    </w:p>
    <w:p>
      <w:pPr>
        <w:pStyle w:val="ManualHeading1"/>
        <w:ind w:left="851" w:hanging="851"/>
        <w:rPr>
          <w:noProof/>
        </w:rPr>
      </w:pPr>
      <w:bookmarkStart w:id="9" w:name="_Toc229742193"/>
      <w:r>
        <w:rPr>
          <w:noProof/>
        </w:rPr>
        <w:t>SECȚIUNEA V</w:t>
      </w:r>
      <w:bookmarkEnd w:id="9"/>
    </w:p>
    <w:p>
      <w:pPr>
        <w:pStyle w:val="ManualHeading2"/>
        <w:ind w:left="851" w:hanging="851"/>
        <w:rPr>
          <w:noProof/>
        </w:rPr>
      </w:pPr>
      <w:bookmarkStart w:id="10" w:name="_Toc229742194"/>
      <w:r>
        <w:rPr>
          <w:i/>
          <w:noProof/>
        </w:rPr>
        <w:t>DILIGENȚĂ FISCALĂ ÎN CEEA CE PRIVEȘTE CONTURILE DE ENTITATE PREEXISTENTE</w:t>
      </w:r>
      <w:bookmarkEnd w:id="10"/>
    </w:p>
    <w:p>
      <w:pPr>
        <w:rPr>
          <w:noProof/>
        </w:rPr>
      </w:pPr>
      <w:r>
        <w:rPr>
          <w:noProof/>
        </w:rPr>
        <w:t>Următoarele proceduri se aplică în scopul identificării Conturilor care fac obiectul raportării dintre Conturile de Entitate Preexistente.</w:t>
      </w:r>
    </w:p>
    <w:p>
      <w:pPr>
        <w:pStyle w:val="Point0"/>
        <w:rPr>
          <w:noProof/>
        </w:rPr>
      </w:pPr>
      <w:r>
        <w:rPr>
          <w:noProof/>
        </w:rPr>
        <w:lastRenderedPageBreak/>
        <w:tab/>
        <w:t>A.</w:t>
      </w:r>
      <w:r>
        <w:rPr>
          <w:noProof/>
        </w:rPr>
        <w:tab/>
        <w:t>Conturi de Entitate care nu fac obiectul obligației de examinare, identificare sau raportare. Cu excepția cazului în care Instituția Financiară Raportoare decide altfel, fie cu privire la toate Conturile de Entitate Preexistente, fie separat, cu privire la orice grup clar identificat de astfel de conturi, un Cont de Entitate Preexistent cu un sold agregat sau o valoare agregată a contului care nu depășește, la data de 31 decembrie 2015, un cuantum în moneda fiecărui stat membru care corespunde sumei de 250 000 USD nu face obiectul obligației de examinare, identificare sau raportare drept un Cont care face obiectul raportării, până în momentul în care soldul agregat sau valoarea agregată a contului depășește cuantumul respectiv în ultima zi din orice an calendaristic ulterior.</w:t>
      </w:r>
    </w:p>
    <w:p>
      <w:pPr>
        <w:pStyle w:val="Point0"/>
        <w:rPr>
          <w:noProof/>
        </w:rPr>
      </w:pPr>
      <w:r>
        <w:rPr>
          <w:noProof/>
        </w:rPr>
        <w:tab/>
        <w:t>B.</w:t>
      </w:r>
      <w:r>
        <w:rPr>
          <w:noProof/>
        </w:rPr>
        <w:tab/>
        <w:t>Conturi de entitate care fac obiectul examinării. Un Cont de Entitate Preexistent cu un sold sau o valoare agregată a contului care depășește, la data de 31 decembrie 2015, un cuantum în moneda fiecărui stat membru care corespunde sumei de 250 000 USD și un Cont de Entitate Preexistent care nu depășește, la data de 31 decembrie 2015, cuantumul respectiv, dar cu un sold sau o valoare agregată a contului care depășește acest cuantum în ultima zi din orice an calendaristic ulterior trebuie examinate în conformitate cu procedurile prevăzute la subsecțiunea D.</w:t>
      </w:r>
    </w:p>
    <w:p>
      <w:pPr>
        <w:pStyle w:val="Point0"/>
        <w:rPr>
          <w:noProof/>
        </w:rPr>
      </w:pPr>
      <w:r>
        <w:rPr>
          <w:noProof/>
        </w:rPr>
        <w:tab/>
        <w:t>C.</w:t>
      </w:r>
      <w:r>
        <w:rPr>
          <w:noProof/>
        </w:rPr>
        <w:tab/>
        <w:t xml:space="preserve">Conturi de entitate care fac obiectul obligației de raportare. În ceea ce privește Conturile de Entitate Preexistente prevăzute la subsecțiunea B, numai conturile care sunt deținute de una sau mai multe Entități care sunt Persoane care fac obiectul raportării sau de </w:t>
      </w:r>
      <w:r>
        <w:rPr>
          <w:rStyle w:val="CRMinorChangeDeleted"/>
          <w:noProof/>
        </w:rPr>
        <w:t>ENFS (</w:t>
      </w:r>
      <w:r>
        <w:rPr>
          <w:noProof/>
        </w:rPr>
        <w:t>Entități care nu sunt Instituții Financiare</w:t>
      </w:r>
      <w:r>
        <w:rPr>
          <w:rStyle w:val="CRMinorChangeDeleted"/>
          <w:noProof/>
        </w:rPr>
        <w:t>)</w:t>
      </w:r>
      <w:r>
        <w:rPr>
          <w:noProof/>
        </w:rPr>
        <w:t xml:space="preserve"> </w:t>
      </w:r>
      <w:r>
        <w:rPr>
          <w:rStyle w:val="CRMinorChangeAdded"/>
          <w:noProof/>
        </w:rPr>
        <w:t>(ENF)</w:t>
      </w:r>
      <w:r>
        <w:rPr>
          <w:noProof/>
        </w:rPr>
        <w:t xml:space="preserve"> pasive cu una sau mai multe Persoane care exercită controlul care sunt Persoane care fac obiectul raportării sunt considerate drept Conturi care fac obiectul raportării.</w:t>
      </w:r>
    </w:p>
    <w:p>
      <w:pPr>
        <w:pStyle w:val="Point0"/>
        <w:rPr>
          <w:noProof/>
        </w:rPr>
      </w:pPr>
      <w:r>
        <w:rPr>
          <w:noProof/>
        </w:rPr>
        <w:tab/>
        <w:t>D.</w:t>
      </w:r>
      <w:r>
        <w:rPr>
          <w:noProof/>
        </w:rPr>
        <w:tab/>
        <w:t>Proceduri de examinare pentru identificarea Conturilor de entitate care fac obiectul obligației de raportare. Pentru Conturile de Entitate Preexistente prevăzute la subsecțiunea B, o Instituție Financiară Raportoare trebuie să aplice următoarele proceduri de examinare pentru a stabili dacă contul este deținut de una sau mai multe Persoane care fac obiectul raportării sau de ENF</w:t>
      </w:r>
      <w:r>
        <w:rPr>
          <w:rStyle w:val="CRDeleted"/>
          <w:noProof/>
        </w:rPr>
        <w:t>S</w:t>
      </w:r>
      <w:r>
        <w:rPr>
          <w:noProof/>
        </w:rPr>
        <w:t xml:space="preserve"> pasive cu una sau mai multe Persoane care exercită controlul care sunt Persoane care fac obiectul raportării:</w:t>
      </w:r>
    </w:p>
    <w:p>
      <w:pPr>
        <w:pStyle w:val="Point1"/>
        <w:rPr>
          <w:noProof/>
        </w:rPr>
      </w:pPr>
      <w:r>
        <w:rPr>
          <w:noProof/>
        </w:rPr>
        <w:tab/>
        <w:t>1.</w:t>
      </w:r>
      <w:r>
        <w:rPr>
          <w:noProof/>
        </w:rPr>
        <w:tab/>
        <w:t>Să stabilească dacă Entitatea este o Persoană care face obiectul raportării.</w:t>
      </w:r>
    </w:p>
    <w:p>
      <w:pPr>
        <w:pStyle w:val="Point2"/>
        <w:rPr>
          <w:noProof/>
        </w:rPr>
      </w:pPr>
      <w:r>
        <w:rPr>
          <w:noProof/>
        </w:rPr>
        <w:tab/>
        <w:t>(a)</w:t>
      </w:r>
      <w:r>
        <w:rPr>
          <w:noProof/>
        </w:rPr>
        <w:tab/>
        <w:t>Să examineze informațiile păstrate în scopuri de reglementare sau de relații cu clienții (inclusiv informații colectate în conformitate cu Procedurile AML/KYC) pentru a stabili dacă informațiile indică faptul că Titularul de cont este rezident într-un stat membru. În acest scop, informațiile care indică faptul că Titularul de cont este rezident într-un stat membru includ un loc de înregistrare sau de constituire sau o adresă într-un stat membru.</w:t>
      </w:r>
    </w:p>
    <w:p>
      <w:pPr>
        <w:pStyle w:val="Point2"/>
        <w:rPr>
          <w:noProof/>
        </w:rPr>
      </w:pPr>
      <w:r>
        <w:rPr>
          <w:noProof/>
        </w:rPr>
        <w:tab/>
        <w:t>(b)</w:t>
      </w:r>
      <w:r>
        <w:rPr>
          <w:noProof/>
        </w:rPr>
        <w:tab/>
        <w:t>Dacă informațiile indică faptul că Titularul de cont este rezident într-un stat membru, Instituția Financiară Raportoare trebuie să considere contul drept Cont care face obiectul raportării, cu excepția cazului în care aceasta obține o autocertificare din partea Titularului de cont, sau stabilește în mod rezonabil, pe baza informațiilor aflate în posesia sa sau care sunt disponibile public, că Titularul de cont nu este o Persoană care face obiectul raportării.</w:t>
      </w:r>
    </w:p>
    <w:p>
      <w:pPr>
        <w:pStyle w:val="Point1"/>
        <w:rPr>
          <w:noProof/>
        </w:rPr>
      </w:pPr>
      <w:r>
        <w:rPr>
          <w:noProof/>
        </w:rPr>
        <w:tab/>
        <w:t>2.</w:t>
      </w:r>
      <w:r>
        <w:rPr>
          <w:noProof/>
        </w:rPr>
        <w:tab/>
        <w:t>Să stabilească dacă Entitatea este o ENF</w:t>
      </w:r>
      <w:r>
        <w:rPr>
          <w:rStyle w:val="CRDeleted"/>
          <w:noProof/>
        </w:rPr>
        <w:t>S</w:t>
      </w:r>
      <w:r>
        <w:rPr>
          <w:noProof/>
        </w:rPr>
        <w:t xml:space="preserve"> pasivă cu una sau mai multe Persoane care exercită controlul care sunt Persoane care fac obiectul raportării. Cu privire la un Titular de cont al unui Cont de entitate preexistent (inclusiv o Entitate care este o Persoană care face obiectul raportării), Instituția Financiară </w:t>
      </w:r>
      <w:r>
        <w:rPr>
          <w:noProof/>
        </w:rPr>
        <w:lastRenderedPageBreak/>
        <w:t>Raportoare trebuie să stabilească dacă Titularul de cont este o ENF</w:t>
      </w:r>
      <w:r>
        <w:rPr>
          <w:rStyle w:val="CRDeleted"/>
          <w:noProof/>
        </w:rPr>
        <w:t>S</w:t>
      </w:r>
      <w:r>
        <w:rPr>
          <w:noProof/>
        </w:rPr>
        <w:t xml:space="preserve"> pasivă cu una sau mai multe Persoane care exercită controlul care sunt Persoane care fac obiectul raportării. În cazul în care oricare dintre Persoanele care exercită controlul asupra unei ENF</w:t>
      </w:r>
      <w:r>
        <w:rPr>
          <w:rStyle w:val="CRDeleted"/>
          <w:noProof/>
        </w:rPr>
        <w:t>S</w:t>
      </w:r>
      <w:r>
        <w:rPr>
          <w:noProof/>
        </w:rPr>
        <w:t xml:space="preserve"> pasive este o Persoană care face obiectul raportării, atunci contul trebuie considerat drept un Cont care face obiectul raportării. În cursul stabilirii acestor elemente, Instituția Financiară Raportoare trebuie să respecte orientările de la subsecțiunea D punctul 2 literele (a)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(b) și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w:t>
      </w:r>
      <w:r>
        <w:rPr>
          <w:noProof/>
        </w:rPr>
        <w:t>(c) în ordinea cea mai adecvată circumstanțelor.</w:t>
      </w:r>
    </w:p>
    <w:p>
      <w:pPr>
        <w:pStyle w:val="Point2"/>
        <w:rPr>
          <w:noProof/>
        </w:rPr>
      </w:pPr>
      <w:r>
        <w:rPr>
          <w:noProof/>
        </w:rPr>
        <w:tab/>
        <w:t>(a)</w:t>
      </w:r>
      <w:r>
        <w:rPr>
          <w:noProof/>
        </w:rPr>
        <w:tab/>
        <w:t>Să stabilească dacă Titularul de cont este o ENF</w:t>
      </w:r>
      <w:r>
        <w:rPr>
          <w:rStyle w:val="CRDeleted"/>
          <w:noProof/>
        </w:rPr>
        <w:t>S</w:t>
      </w:r>
      <w:r>
        <w:rPr>
          <w:noProof/>
        </w:rPr>
        <w:t xml:space="preserve"> pasivă. În scopul de a stabili dacă Titularul de cont este o ENF</w:t>
      </w:r>
      <w:r>
        <w:rPr>
          <w:rStyle w:val="CRDeleted"/>
          <w:noProof/>
        </w:rPr>
        <w:t>S</w:t>
      </w:r>
      <w:r>
        <w:rPr>
          <w:noProof/>
        </w:rPr>
        <w:t xml:space="preserve"> pasivă, Instituția Financiară Raportoare trebuie să obțină o autocertificare din partea Titularului de cont pentru a stabili statutul acestuia, cu excepția cazului în care există informații aflate în posesia sa sau disponibile public, pe baza cărora poate stabili în mod rezonabil că Titularul de cont este o ENF</w:t>
      </w:r>
      <w:r>
        <w:rPr>
          <w:rStyle w:val="CRDeleted"/>
          <w:noProof/>
        </w:rPr>
        <w:t>S</w:t>
      </w:r>
      <w:r>
        <w:rPr>
          <w:noProof/>
        </w:rPr>
        <w:t xml:space="preserve"> activă sau o Instituție Financiară, alta decât o Entitate de Investiții prevăzută la secțiunea VIII subsecțiunea A punctul 6 litera (b) care nu este o Instituție Financiară dintr-o Jurisdicție Participantă.</w:t>
      </w:r>
    </w:p>
    <w:p>
      <w:pPr>
        <w:pStyle w:val="Point2"/>
        <w:rPr>
          <w:noProof/>
        </w:rPr>
      </w:pPr>
      <w:r>
        <w:rPr>
          <w:noProof/>
        </w:rPr>
        <w:tab/>
        <w:t>(b)</w:t>
      </w:r>
      <w:r>
        <w:rPr>
          <w:noProof/>
        </w:rPr>
        <w:tab/>
        <w:t>Să stabilească Persoanele care exercită controlul asupra unui Titular de cont. În scopul stabilirii Persoanelor care exercită controlul asupra unui Titular de cont, o Instituție Financiară Raportoare se poate baza pe informațiile colectate și păstrate în conformitate cu Procedurile AML/KYC.</w:t>
      </w:r>
    </w:p>
    <w:p>
      <w:pPr>
        <w:pStyle w:val="Point2"/>
        <w:rPr>
          <w:noProof/>
        </w:rPr>
      </w:pPr>
      <w:r>
        <w:rPr>
          <w:noProof/>
        </w:rPr>
        <w:tab/>
        <w:t>(c)</w:t>
      </w:r>
      <w:r>
        <w:rPr>
          <w:noProof/>
        </w:rPr>
        <w:tab/>
        <w:t>Să stabilească dacă o Persoană care exercită controlul asupra unei ENF</w:t>
      </w:r>
      <w:r>
        <w:rPr>
          <w:rStyle w:val="CRDeleted"/>
          <w:noProof/>
        </w:rPr>
        <w:t>S</w:t>
      </w:r>
      <w:r>
        <w:rPr>
          <w:noProof/>
        </w:rPr>
        <w:t xml:space="preserve"> pasive este o Persoană care face obiectul raportării. Pentru a stabili dacă o Persoană care exercită controlul asupra unei ENF</w:t>
      </w:r>
      <w:r>
        <w:rPr>
          <w:rStyle w:val="CRDeleted"/>
          <w:noProof/>
        </w:rPr>
        <w:t>S</w:t>
      </w:r>
      <w:r>
        <w:rPr>
          <w:noProof/>
        </w:rPr>
        <w:t xml:space="preserve"> pasive este o Persoană care face obiectul raportării, o Instituție Financiară Raportoare se poate baza pe:</w:t>
      </w:r>
    </w:p>
    <w:p>
      <w:pPr>
        <w:pStyle w:val="Point3"/>
        <w:rPr>
          <w:noProof/>
        </w:rPr>
      </w:pPr>
      <w:r>
        <w:rPr>
          <w:noProof/>
        </w:rPr>
        <w:tab/>
        <w:t>(i)</w:t>
      </w:r>
      <w:r>
        <w:rPr>
          <w:noProof/>
        </w:rPr>
        <w:tab/>
        <w:t>informații colectate și păstrate în conformitate cu Procedurile AML/KYC în cazul unui Cont de entitate preexistent deținut de una sau mai multe ENF</w:t>
      </w:r>
      <w:r>
        <w:rPr>
          <w:rStyle w:val="CRDeleted"/>
          <w:noProof/>
        </w:rPr>
        <w:t>S</w:t>
      </w:r>
      <w:r>
        <w:rPr>
          <w:noProof/>
        </w:rPr>
        <w:t xml:space="preserve"> cu un sold sau o valoare agregată care nu depășește un cuantum în moneda fiecărui stat membru care corespunde sumei de 1 000 000 USD; sau</w:t>
      </w:r>
    </w:p>
    <w:p>
      <w:pPr>
        <w:pStyle w:val="Point3"/>
        <w:rPr>
          <w:noProof/>
        </w:rPr>
      </w:pPr>
      <w:r>
        <w:rPr>
          <w:noProof/>
        </w:rPr>
        <w:tab/>
        <w:t>(ii)</w:t>
      </w:r>
      <w:r>
        <w:rPr>
          <w:noProof/>
        </w:rPr>
        <w:tab/>
        <w:t>o autocertificare din partea Titularului de cont sau a Persoanei care exercită controlul privind statul membru (statele membre) sau privind altă jurisdicție (alte jurisdicții) în care Persoana care exercită controlul are rezidența fiscală.</w:t>
      </w:r>
    </w:p>
    <w:p>
      <w:pPr>
        <w:pStyle w:val="Point0"/>
        <w:rPr>
          <w:noProof/>
        </w:rPr>
      </w:pPr>
      <w:r>
        <w:rPr>
          <w:noProof/>
        </w:rPr>
        <w:tab/>
        <w:t>E.</w:t>
      </w:r>
      <w:r>
        <w:rPr>
          <w:noProof/>
        </w:rPr>
        <w:tab/>
        <w:t>Calendarul punerii în aplicare a examinării și proceduri suplimentare aplicabile Conturilor de Entitate Preexistente</w:t>
      </w:r>
    </w:p>
    <w:p>
      <w:pPr>
        <w:pStyle w:val="Point1"/>
        <w:rPr>
          <w:noProof/>
        </w:rPr>
      </w:pPr>
      <w:r>
        <w:rPr>
          <w:noProof/>
        </w:rPr>
        <w:tab/>
        <w:t>1.</w:t>
      </w:r>
      <w:r>
        <w:rPr>
          <w:noProof/>
        </w:rPr>
        <w:tab/>
        <w:t>Examinarea Conturilor de Entitate Preexistente cu un sold sau o valoare agregată a contului care depășește, la data de 31 decembrie 2015, un cuantum în moneda fiecărui stat membru care corespunde sumei de 250 000 USD trebuie finalizată până la data de 31 decembrie 2017.</w:t>
      </w:r>
    </w:p>
    <w:p>
      <w:pPr>
        <w:pStyle w:val="Point1"/>
        <w:rPr>
          <w:noProof/>
        </w:rPr>
      </w:pPr>
      <w:r>
        <w:rPr>
          <w:noProof/>
        </w:rPr>
        <w:tab/>
        <w:t>2.</w:t>
      </w:r>
      <w:r>
        <w:rPr>
          <w:noProof/>
        </w:rPr>
        <w:tab/>
        <w:t>Examinarea Conturilor de Entitate Preexistente cu un sold sau o valoare agregată a contului care nu depășește, la data de 31 decembrie 2015, un cuantum în moneda fiecărui stat membru care corespunde sumei de 250 000 USD, dar depășește cuantumul respectiv la data de 31 decembrie a unui an ulterior trebuie finalizată în anul calendaristic următor anului în care soldul sau valoarea agregată a contului depășește acest cuantum.</w:t>
      </w:r>
    </w:p>
    <w:p>
      <w:pPr>
        <w:pStyle w:val="Point1"/>
        <w:rPr>
          <w:noProof/>
        </w:rPr>
      </w:pPr>
      <w:r>
        <w:rPr>
          <w:noProof/>
        </w:rPr>
        <w:lastRenderedPageBreak/>
        <w:tab/>
        <w:t>3.</w:t>
      </w:r>
      <w:r>
        <w:rPr>
          <w:noProof/>
        </w:rPr>
        <w:tab/>
        <w:t>În cazul în care intervine o modificare a circumstanțelor cu privire la un Cont de Entitate Preexistent în urma căreia Instituția Financiară Raportoare află sau are motive să afle că autocertificarea sau alte documente asociate cu un cont sunt incorecte sau nefiabile, Instituția Financiară Raportoare trebuie să stabilească din nou statutul contului în conformitate cu procedurile prevăzute la subsecțiunea D.</w:t>
      </w:r>
    </w:p>
    <w:p>
      <w:pPr>
        <w:pStyle w:val="ManualHeading1"/>
        <w:ind w:left="851" w:hanging="851"/>
        <w:rPr>
          <w:noProof/>
        </w:rPr>
      </w:pPr>
      <w:bookmarkStart w:id="11" w:name="_Toc229742195"/>
      <w:r>
        <w:rPr>
          <w:noProof/>
        </w:rPr>
        <w:t>SECȚIUNEA VI</w:t>
      </w:r>
      <w:bookmarkEnd w:id="11"/>
    </w:p>
    <w:p>
      <w:pPr>
        <w:pStyle w:val="ManualHeading2"/>
        <w:ind w:left="851" w:hanging="851"/>
        <w:rPr>
          <w:noProof/>
        </w:rPr>
      </w:pPr>
      <w:bookmarkStart w:id="12" w:name="_Toc229742196"/>
      <w:r>
        <w:rPr>
          <w:i/>
          <w:noProof/>
        </w:rPr>
        <w:t>DILIGENȚĂ FISCALĂ ÎN CEEA CE PRIVEȘTE CONTURILE DE ENTITATE NOI</w:t>
      </w:r>
      <w:bookmarkEnd w:id="12"/>
    </w:p>
    <w:p>
      <w:pPr>
        <w:rPr>
          <w:noProof/>
        </w:rPr>
      </w:pPr>
      <w:r>
        <w:rPr>
          <w:noProof/>
        </w:rPr>
        <w:t>Următoarele proceduri se aplică în scopul identificării Conturilor care fac obiectul raportării dintre Conturile de Entitate Noi.</w:t>
      </w:r>
    </w:p>
    <w:p>
      <w:pPr>
        <w:rPr>
          <w:noProof/>
        </w:rPr>
      </w:pPr>
      <w:r>
        <w:rPr>
          <w:noProof/>
        </w:rPr>
        <w:t>Proceduri de examinare pentru identificarea Conturilor de entitate care fac obiectul obligației de raportare. Pentru Conturile de Entitate Noi, o Instituție Financiară Raportoare trebuie să aplice următoarele proceduri de examinare pentru a stabili dacă contul este deținut de una sau mai multe Persoane care fac obiectul raportării sau de ENF</w:t>
      </w:r>
      <w:r>
        <w:rPr>
          <w:rStyle w:val="CRDeleted"/>
          <w:noProof/>
        </w:rPr>
        <w:t>S</w:t>
      </w:r>
      <w:r>
        <w:rPr>
          <w:noProof/>
        </w:rPr>
        <w:t xml:space="preserve"> pasive cu una sau mai multe Persoane care exercită controlul care sunt Persoane care fac obiectul raportării:</w:t>
      </w:r>
    </w:p>
    <w:p>
      <w:pPr>
        <w:pStyle w:val="Point0"/>
        <w:rPr>
          <w:noProof/>
        </w:rPr>
      </w:pPr>
      <w:r>
        <w:rPr>
          <w:noProof/>
        </w:rPr>
        <w:tab/>
        <w:t>1.</w:t>
      </w:r>
      <w:r>
        <w:rPr>
          <w:noProof/>
        </w:rPr>
        <w:tab/>
        <w:t>Să stabilească dacă Entitatea este o Persoană care face obiectul raportării.</w:t>
      </w:r>
    </w:p>
    <w:p>
      <w:pPr>
        <w:pStyle w:val="Point1"/>
        <w:rPr>
          <w:noProof/>
        </w:rPr>
      </w:pPr>
      <w:r>
        <w:rPr>
          <w:noProof/>
        </w:rPr>
        <w:tab/>
        <w:t>(a)</w:t>
      </w:r>
      <w:r>
        <w:rPr>
          <w:noProof/>
        </w:rPr>
        <w:tab/>
        <w:t>Să obțină o autocertificare, care poate face parte din documentația de deschidere a contului, care permite Instituției Financiare Raportoare să stabilească rezidența fiscală (rezidențele fiscale) a(le) Titularului de cont și să confirme caracterul rezonabil al respectivei autocertificări pe baza informațiilor obținute de Instituția Financiară Raportoare în legătură cu deschiderea contului, inclusiv eventualele documente colectate în conformitate cu Procedurile AML/KYC. În cazul în care Entitatea certifică faptul că nu are rezidență fiscală, Instituția Financiară Raportoare se poate baza pe adresa sediului principal al Entității pentru a stabili rezidența Titularului de cont.</w:t>
      </w:r>
    </w:p>
    <w:p>
      <w:pPr>
        <w:pStyle w:val="Point1"/>
        <w:rPr>
          <w:noProof/>
        </w:rPr>
      </w:pPr>
      <w:r>
        <w:rPr>
          <w:noProof/>
        </w:rPr>
        <w:tab/>
        <w:t>(b)</w:t>
      </w:r>
      <w:r>
        <w:rPr>
          <w:noProof/>
        </w:rPr>
        <w:tab/>
        <w:t>Dacă autocertificarea indică faptul că Titularul de cont este rezident într-un stat membru, Instituția Financiară Raportoare trebuie să considere contul drept Cont care face obiectul raportării, cu excepția cazului în care aceasta stabilește în mod rezonabil, pe baza informațiilor aflate în posesia sa sau care sunt disponibile public, că Titularul de cont nu este o Persoană care face obiectul raportării în legătură cu respectivul stat membru.</w:t>
      </w:r>
    </w:p>
    <w:p>
      <w:pPr>
        <w:pStyle w:val="Point0"/>
        <w:rPr>
          <w:noProof/>
        </w:rPr>
      </w:pPr>
      <w:r>
        <w:rPr>
          <w:noProof/>
        </w:rPr>
        <w:tab/>
        <w:t>2.</w:t>
      </w:r>
      <w:r>
        <w:rPr>
          <w:noProof/>
        </w:rPr>
        <w:tab/>
        <w:t>Să stabilească dacă Entitatea este o ENF</w:t>
      </w:r>
      <w:r>
        <w:rPr>
          <w:rStyle w:val="CRDeleted"/>
          <w:noProof/>
        </w:rPr>
        <w:t>S</w:t>
      </w:r>
      <w:r>
        <w:rPr>
          <w:noProof/>
        </w:rPr>
        <w:t xml:space="preserve"> pasivă cu una sau mai multe Persoane care exercită controlul care sunt Persoane care fac obiectul raportării. Cu privire la un Titular de cont al unui Cont de Entitate Nou (inclusiv o Entitate care este o Persoană care face obiectul raportării), Instituția Financiară Raportoare trebuie să stabilească dacă Titularul de cont este o ENF</w:t>
      </w:r>
      <w:r>
        <w:rPr>
          <w:rStyle w:val="CRDeleted"/>
          <w:noProof/>
        </w:rPr>
        <w:t>S</w:t>
      </w:r>
      <w:r>
        <w:rPr>
          <w:noProof/>
        </w:rPr>
        <w:t xml:space="preserve"> pasivă cu una sau mai multe Persoane care exercită controlul care sunt Persoane care fac obiectul raportării. În cazul în care oricare dintre Persoanele care exercită controlul asupra unei ENF</w:t>
      </w:r>
      <w:r>
        <w:rPr>
          <w:rStyle w:val="CRDeleted"/>
          <w:noProof/>
        </w:rPr>
        <w:t>S</w:t>
      </w:r>
      <w:r>
        <w:rPr>
          <w:noProof/>
        </w:rPr>
        <w:t xml:space="preserve"> pasive este o Persoană care face obiectul raportării, atunci contul trebuie considerat drept un Cont care face obiectul raportării. În cursul stabilirii acestor elemente, Instituția Financiară Raportoare trebuie să respecte orientările de la </w:t>
      </w:r>
      <w:r>
        <w:rPr>
          <w:rStyle w:val="CRDeleted"/>
          <w:noProof/>
        </w:rPr>
        <w:t>subsecțiunea A punctul 2</w:t>
      </w:r>
      <w:r>
        <w:rPr>
          <w:noProof/>
        </w:rPr>
        <w:t xml:space="preserve"> literele (a)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(b) și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w:t>
      </w:r>
      <w:r>
        <w:rPr>
          <w:noProof/>
        </w:rPr>
        <w:t>(c) în ordinea cea mai adecvată circumstanțelor.</w:t>
      </w:r>
    </w:p>
    <w:p>
      <w:pPr>
        <w:pStyle w:val="Point1"/>
        <w:rPr>
          <w:noProof/>
        </w:rPr>
      </w:pPr>
      <w:r>
        <w:rPr>
          <w:noProof/>
        </w:rPr>
        <w:tab/>
        <w:t>(a)</w:t>
      </w:r>
      <w:r>
        <w:rPr>
          <w:noProof/>
        </w:rPr>
        <w:tab/>
        <w:t>Să stabilească dacă Titularul de cont este o ENF</w:t>
      </w:r>
      <w:r>
        <w:rPr>
          <w:rStyle w:val="CRDeleted"/>
          <w:noProof/>
        </w:rPr>
        <w:t>S</w:t>
      </w:r>
      <w:r>
        <w:rPr>
          <w:noProof/>
        </w:rPr>
        <w:t xml:space="preserve"> pasivă. În scopul de a stabili dacă Titularul de cont este o ENF</w:t>
      </w:r>
      <w:r>
        <w:rPr>
          <w:rStyle w:val="CRDeleted"/>
          <w:noProof/>
        </w:rPr>
        <w:t>S</w:t>
      </w:r>
      <w:r>
        <w:rPr>
          <w:noProof/>
        </w:rPr>
        <w:t xml:space="preserve"> pasivă, Instituția Financiară Raportoare trebuie să se bazeze pe o autocertificare din partea Titularului de cont pentru a stabili statutul acestuia, cu excepția cazului în care există informații aflate în posesia sa sau disponibile public, pe baza cărora poate stabili în mod rezonabil că Titularul de cont este o ENF</w:t>
      </w:r>
      <w:r>
        <w:rPr>
          <w:rStyle w:val="CRDeleted"/>
          <w:noProof/>
        </w:rPr>
        <w:t>S</w:t>
      </w:r>
      <w:r>
        <w:rPr>
          <w:noProof/>
        </w:rPr>
        <w:t xml:space="preserve"> activă sau o Instituție </w:t>
      </w:r>
      <w:r>
        <w:rPr>
          <w:noProof/>
        </w:rPr>
        <w:lastRenderedPageBreak/>
        <w:t>Financiară, alta decât o Entitate de investiții prevăzută la secțiunea VIII subsecțiunea A punctul 6 litera (b) care nu este o Instituție Financiară dintr-o Jurisdicție Participantă.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2 (adaptat)</w:t>
      </w:r>
    </w:p>
    <w:p>
      <w:pPr>
        <w:pStyle w:val="Point1"/>
        <w:rPr>
          <w:noProof/>
        </w:rPr>
      </w:pPr>
      <w:r>
        <w:rPr>
          <w:noProof/>
        </w:rPr>
        <w:tab/>
        <w:t>(b)</w:t>
      </w:r>
      <w:r>
        <w:rPr>
          <w:noProof/>
        </w:rPr>
        <w:tab/>
        <w:t xml:space="preserve">Să stabilească Persoanele care exercită controlul asupra unui Titular de Cont. În scopul stabilirii Persoanelor care Exercită Controlul asupra unui Titular de Cont, o Instituție Financiară Raportoare se poate baza pe informațiile colectate și păstrate în conformitate cu Procedurile AML/KYC, cu condiția ca aceste proceduri să fie conforme cu </w:t>
      </w:r>
      <w:r>
        <w:rPr>
          <w:rStyle w:val="CRDeleted"/>
          <w:noProof/>
        </w:rPr>
        <w:t>Directiva (UE)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Regulamentul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2015/849</w:t>
      </w:r>
      <w:r>
        <w:rPr>
          <w:noProof/>
        </w:rPr>
        <w:t xml:space="preserve">. În cazul în care Instituția Financiară Raportoare nu are obligația legală de a aplica Proceduri AML/KYC care sunt conforme cu </w:t>
      </w:r>
      <w:r>
        <w:rPr>
          <w:rStyle w:val="CRDeleted"/>
          <w:noProof/>
        </w:rPr>
        <w:t>Directiva (UE)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Regulamentul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2015/849</w:t>
      </w:r>
      <w:r>
        <w:rPr>
          <w:noProof/>
        </w:rPr>
        <w:t>, aceasta aplică proceduri similare în esență în scopul stabilirii Persoanelor care Exercită Controlul.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Point1"/>
        <w:rPr>
          <w:noProof/>
        </w:rPr>
      </w:pPr>
      <w:r>
        <w:rPr>
          <w:noProof/>
        </w:rPr>
        <w:tab/>
        <w:t>(c)</w:t>
      </w:r>
      <w:r>
        <w:rPr>
          <w:noProof/>
        </w:rPr>
        <w:tab/>
        <w:t>Să stabilească dacă o Persoană care exercită controlul asupra unei ENF</w:t>
      </w:r>
      <w:r>
        <w:rPr>
          <w:rStyle w:val="CRDeleted"/>
          <w:noProof/>
        </w:rPr>
        <w:t>S</w:t>
      </w:r>
      <w:r>
        <w:rPr>
          <w:noProof/>
        </w:rPr>
        <w:t xml:space="preserve"> pasive este o Persoană care face obiectul raportării. Pentru a stabili dacă o Persoană care exercită controlul asupra unei ENF</w:t>
      </w:r>
      <w:r>
        <w:rPr>
          <w:rStyle w:val="CRDeleted"/>
          <w:noProof/>
        </w:rPr>
        <w:t>S</w:t>
      </w:r>
      <w:r>
        <w:rPr>
          <w:noProof/>
        </w:rPr>
        <w:t xml:space="preserve"> pasive este o Persoană care face obiectul raportării, o Instituție Financiară Raportoare se poate baza pe o autocertificare din partea Titularului de cont sau a respectivei Persoane care exercită controlul.</w:t>
      </w:r>
    </w:p>
    <w:p>
      <w:pPr>
        <w:pStyle w:val="ManualHeading1"/>
        <w:ind w:left="851" w:hanging="851"/>
        <w:rPr>
          <w:noProof/>
        </w:rPr>
      </w:pPr>
      <w:bookmarkStart w:id="13" w:name="_Toc229742197"/>
      <w:r>
        <w:rPr>
          <w:noProof/>
        </w:rPr>
        <w:t>SECȚIUNEA VII</w:t>
      </w:r>
      <w:bookmarkEnd w:id="13"/>
    </w:p>
    <w:p>
      <w:pPr>
        <w:pStyle w:val="ManualHeading2"/>
        <w:ind w:left="851" w:hanging="851"/>
        <w:rPr>
          <w:noProof/>
        </w:rPr>
      </w:pPr>
      <w:bookmarkStart w:id="14" w:name="_Toc229742198"/>
      <w:r>
        <w:rPr>
          <w:i/>
          <w:noProof/>
        </w:rPr>
        <w:t>NORME SPECIALE DE DILIGENȚĂ FISCALĂ</w:t>
      </w:r>
      <w:bookmarkEnd w:id="14"/>
    </w:p>
    <w:p>
      <w:pPr>
        <w:rPr>
          <w:noProof/>
        </w:rPr>
      </w:pPr>
      <w:r>
        <w:rPr>
          <w:noProof/>
        </w:rPr>
        <w:t>Se aplică următoarele norme suplimentare în punerea în aplicare a procedurilor de diligență fiscală menționate anterior:</w:t>
      </w:r>
    </w:p>
    <w:p>
      <w:pPr>
        <w:pStyle w:val="Point0"/>
        <w:rPr>
          <w:noProof/>
        </w:rPr>
      </w:pPr>
      <w:r>
        <w:rPr>
          <w:noProof/>
        </w:rPr>
        <w:tab/>
        <w:t>A.</w:t>
      </w:r>
      <w:r>
        <w:rPr>
          <w:noProof/>
        </w:rPr>
        <w:tab/>
        <w:t>Recurgerea la autocertificări și Documente Justificative. O Instituție Financiară Raportoare nu se poate baza pe autocertificare sau pe Documente Justificative în cazul în care Instituția Financiară Raportoare știe sau are motive să știe că autocertificarea sau Documentele Justificative sunt incorecte sau nefiabile.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3</w:t>
      </w:r>
    </w:p>
    <w:p>
      <w:pPr>
        <w:pStyle w:val="Point0"/>
        <w:rPr>
          <w:noProof/>
        </w:rPr>
      </w:pPr>
      <w:r>
        <w:rPr>
          <w:noProof/>
        </w:rPr>
        <w:tab/>
      </w:r>
      <w:r>
        <w:rPr>
          <w:rStyle w:val="CRMinorChangeAdded"/>
          <w:noProof/>
        </w:rPr>
        <w:t>B</w:t>
      </w:r>
      <w:r>
        <w:rPr>
          <w:rStyle w:val="CRMinorChangeDeleted"/>
          <w:noProof/>
        </w:rPr>
        <w:t>Aa</w:t>
      </w:r>
      <w:r>
        <w:rPr>
          <w:noProof/>
        </w:rPr>
        <w:t>.</w:t>
      </w:r>
      <w:r>
        <w:rPr>
          <w:noProof/>
        </w:rPr>
        <w:tab/>
        <w:t>Lipsa temporară a declarației pe propria răspundere. În circumstanțe excepționale în care o Instituție Financiară Raportoare nu poate obține o declarație pe propria răspundere în ceea ce privește un Cont Nou în timp util pentru a-și îndeplini obligațiile de diligență fiscală și de raportare cu privire la perioada de raportare în care a fost deschis contul, Instituția Financiară Raportoare aplică procedurile de diligență fiscală pentru Conturile Preexistente, până la obținerea și validarea unei astfel de declarații pe propria răspundere.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w:t>
      </w:r>
    </w:p>
    <w:p>
      <w:pPr>
        <w:pStyle w:val="Point0"/>
        <w:rPr>
          <w:noProof/>
        </w:rPr>
      </w:pPr>
      <w:r>
        <w:rPr>
          <w:noProof/>
        </w:rPr>
        <w:tab/>
      </w:r>
      <w:r>
        <w:rPr>
          <w:rStyle w:val="CRMinorChangeAdded"/>
          <w:noProof/>
        </w:rPr>
        <w:t>C</w:t>
      </w:r>
      <w:r>
        <w:rPr>
          <w:rStyle w:val="CRMinorChangeDeleted"/>
          <w:noProof/>
        </w:rPr>
        <w:t>B</w:t>
      </w:r>
      <w:r>
        <w:rPr>
          <w:noProof/>
        </w:rPr>
        <w:t>.</w:t>
      </w:r>
      <w:r>
        <w:rPr>
          <w:noProof/>
        </w:rPr>
        <w:tab/>
        <w:t>Proceduri alternative pentru Conturile Financiare deținute de beneficiari persoane fizice ai unui Contract de asigurare cu valoare de răscumpărare sau ai unui Contract cu rentă viageră și pentru Contractele de asigurare cu valoare de răscumpărare de grup sau pentru Contractele cu rentă viageră de grup. O Instituție Financiară Raportoare poate presupune că un beneficiar persoană fizică (altul decât deținătorul) al unui Contract de asigurare cu valoare de răscumpărare sau al unui Contract cu rentă viageră care beneficiază de o indemnizație de deces nu este o Persoană care face obiectul raportării și poate considera un astfel de Cont Financiar ca nefiind un Cont care face obiectul raportării, cu excepția cazului în care Instituția Financiară Raportoare știe sau are motive să știe că beneficiarul este o Persoană care face obiectul raportării. O Instituție Financiară Raportoare are motive să știe că beneficiarul unui Contract de asigurare cu valoare de răscumpărare sau al unui Contract cu rentă viageră este o Persoană care face obiectul raportării dacă informațiile colectate de către Instituția Financiară Raportoare și asociate respectivului beneficiar conțin indicii conform celor prevăzute la secțiunea III subsecțiunea B. În cazul în care o Instituție Financiară Raportoare deține informații concrete sau are motive să știe că beneficiarul este o Persoană care face obiectul raportării, Instituția Financiară Raportoare trebuie să respecte procedurile de la secțiunea III subsecțiunea B.</w:t>
      </w:r>
    </w:p>
    <w:p>
      <w:pPr>
        <w:pStyle w:val="Point0"/>
        <w:rPr>
          <w:noProof/>
        </w:rPr>
      </w:pPr>
      <w:r>
        <w:rPr>
          <w:noProof/>
        </w:rPr>
        <w:tab/>
        <w:t>O Instituție Financiară Raportoare poate considera un Cont Financiar care constă în participația de care beneficiază un membru în cadrul unui Contract de asigurare cu valoare de răscumpărare de grup sau al unui Contract cu rentă viageră de grup ca fiind un Cont Financiar care este un cont care nu face obiectul raportării până la data la care suma respectivă trebuie plătită angajatului/deținătorului unui certificat sau beneficiarului, în cazul în care Contul Financiar care constă în participația de care beneficiază un membru în cadrul unui Contract de asigurare cu valoare de răscumpărare de grup sau al unui Contract cu rentă viageră de grup îndeplinește următoarele cerințe:</w:t>
      </w:r>
    </w:p>
    <w:p>
      <w:pPr>
        <w:pStyle w:val="Point1"/>
        <w:rPr>
          <w:noProof/>
        </w:rPr>
      </w:pPr>
      <w:r>
        <w:rPr>
          <w:noProof/>
        </w:rPr>
        <w:tab/>
        <w:t>(i)</w:t>
      </w:r>
      <w:r>
        <w:rPr>
          <w:noProof/>
        </w:rPr>
        <w:tab/>
        <w:t>Contractul de asigurare cu valoare de răscumpărare de grup sau Contractul cu rentă viageră de grup îi este emis unui angajator și asigură cel puțin 25 de angajați/deținători de certificate;</w:t>
      </w:r>
    </w:p>
    <w:p>
      <w:pPr>
        <w:pStyle w:val="Point1"/>
        <w:rPr>
          <w:noProof/>
        </w:rPr>
      </w:pPr>
      <w:r>
        <w:rPr>
          <w:noProof/>
        </w:rPr>
        <w:tab/>
        <w:t>(ii)</w:t>
      </w:r>
      <w:r>
        <w:rPr>
          <w:noProof/>
        </w:rPr>
        <w:tab/>
        <w:t>angajatul/deținătorii de certificate au dreptul să beneficieze de orice valoare înscrisă în contract în legătură cu participația sa și să numească beneficiari pentru indemnizația plătibilă la decesul angajatului; și</w:t>
      </w:r>
    </w:p>
    <w:p>
      <w:pPr>
        <w:pStyle w:val="Point1"/>
        <w:rPr>
          <w:noProof/>
        </w:rPr>
      </w:pPr>
      <w:r>
        <w:rPr>
          <w:noProof/>
        </w:rPr>
        <w:tab/>
        <w:t>(iii)</w:t>
      </w:r>
      <w:r>
        <w:rPr>
          <w:noProof/>
        </w:rPr>
        <w:tab/>
        <w:t>suma agregată plătibilă oricărui angajat/deținător de certificat sau beneficiar nu depășește un cuantum în moneda fiecărui stat membru care corespunde sumei de 1 000 000 USD.</w:t>
      </w:r>
    </w:p>
    <w:p>
      <w:pPr>
        <w:pStyle w:val="Point0"/>
        <w:rPr>
          <w:noProof/>
        </w:rPr>
      </w:pPr>
      <w:r>
        <w:rPr>
          <w:noProof/>
        </w:rPr>
        <w:tab/>
        <w:t>Termenul „Contract de asigurare cu valoare de răscumpărare de grup” înseamnă un Contract de asigurare cu valoare de răscumpărare care: (i) asigură persoane fizice care sunt afiliate prin intermediul unui angajator, al unei organizații profesionale, al unui sindicat ori al altei asociații sau grupări; și (ii) impune plata unei prime pentru fiecare membru al grupului (sau membru al unei categorii din cadrul grupului), care este stabilită fără a lua în considerare caracteristicile individuale de sănătate, altele decât vârsta, genul și obiceiurile legate de fumat ale respectivului membru al grupului (sau a categoriei de membri).</w:t>
      </w:r>
    </w:p>
    <w:p>
      <w:pPr>
        <w:pStyle w:val="Point0"/>
        <w:rPr>
          <w:noProof/>
        </w:rPr>
      </w:pPr>
      <w:r>
        <w:rPr>
          <w:noProof/>
        </w:rPr>
        <w:lastRenderedPageBreak/>
        <w:tab/>
        <w:t>Termenul „Contrat cu rentă viageră de grup” înseamnă un Contract cu rentă viageră în care creditorii sunt persoane fizice care sunt afiliate prin intermediul unui angajator, al unei organizații profesionale, al unui sindicat, ori al altei asociații sau grupări.</w:t>
      </w:r>
    </w:p>
    <w:p>
      <w:pPr>
        <w:pStyle w:val="Point0"/>
        <w:rPr>
          <w:noProof/>
        </w:rPr>
      </w:pPr>
      <w:r>
        <w:rPr>
          <w:noProof/>
        </w:rPr>
        <w:tab/>
      </w:r>
      <w:r>
        <w:rPr>
          <w:rStyle w:val="CRMinorChangeAdded"/>
          <w:noProof/>
        </w:rPr>
        <w:t>D</w:t>
      </w:r>
      <w:r>
        <w:rPr>
          <w:rStyle w:val="CRMinorChangeDeleted"/>
          <w:noProof/>
        </w:rPr>
        <w:t>C</w:t>
      </w:r>
      <w:r>
        <w:rPr>
          <w:noProof/>
        </w:rPr>
        <w:t>.</w:t>
      </w:r>
      <w:r>
        <w:rPr>
          <w:noProof/>
        </w:rPr>
        <w:tab/>
        <w:t>Norme privind Agregarea soldurilor conturilor și Conversia monetară</w:t>
      </w:r>
    </w:p>
    <w:p>
      <w:pPr>
        <w:pStyle w:val="Point1"/>
        <w:rPr>
          <w:noProof/>
        </w:rPr>
      </w:pPr>
      <w:r>
        <w:rPr>
          <w:noProof/>
        </w:rPr>
        <w:tab/>
        <w:t>1.</w:t>
      </w:r>
      <w:r>
        <w:rPr>
          <w:noProof/>
        </w:rPr>
        <w:tab/>
        <w:t>Agregarea Conturilor de persoană fizică. În scopul stabilirii soldului sau a valorii agregate a Conturilor Financiare deținute de o persoană fizică, o Instituție Financiară Raportoare este obligația de a agrega toate Conturile Financiare administrate de Instituția Financiară Raportoare, sau de o Entitate afiliată, dar numai în măsura în care sistemele informatice ale Instituției Financiare Raportoare arată o legătură între Conturile Financiare prin referire la un element de date, cum ar fi numărul de client sau NIF și permit agregarea soldurilor sau a valorii conturilor. Fiecărui titular al unui Cont Financiar deținut în comun i se atribuie soldul sau valoarea integrală a Contului Financiar deținut în comun în scopul aplicării cerințelor privind agregarea prevăzute la prezentul punct.</w:t>
      </w:r>
    </w:p>
    <w:p>
      <w:pPr>
        <w:pStyle w:val="Point1"/>
        <w:rPr>
          <w:noProof/>
        </w:rPr>
      </w:pPr>
      <w:r>
        <w:rPr>
          <w:noProof/>
        </w:rPr>
        <w:tab/>
        <w:t>2.</w:t>
      </w:r>
      <w:r>
        <w:rPr>
          <w:noProof/>
        </w:rPr>
        <w:tab/>
        <w:t>Agregarea Conturilor de entitate. În scopul stabilirii soldului sau a valorii agregate a Conturilor Financiare deținute de o Entitate, o Instituție Financiară Raportoare are obligația de a lua în considerare toate Conturile Financiare care sunt administrate de Instituția Financiară Raportoare sau de o Entitate afiliată, dar numai în măsura în care sistemele informatice ale Instituției Financiare Raportoare arată o legătură între Conturile Financiare prin referire la un element de date, cum ar fi numărul de client sau NIF și permit agregarea soldurilor sau a valorilor conturilor. Fiecărui titular al unui Cont Financiar deținut în comun i se atribuie soldul sau valoarea integrală a Contului Financiar deținut în comun în scopul aplicării cerințelor privind agregarea prevăzute la prezentul punct.</w:t>
      </w:r>
    </w:p>
    <w:p>
      <w:pPr>
        <w:pStyle w:val="Point1"/>
        <w:rPr>
          <w:noProof/>
        </w:rPr>
      </w:pPr>
      <w:r>
        <w:rPr>
          <w:noProof/>
        </w:rPr>
        <w:tab/>
        <w:t>3.</w:t>
      </w:r>
      <w:r>
        <w:rPr>
          <w:noProof/>
        </w:rPr>
        <w:tab/>
        <w:t>Norme speciale privind agregarea conturilor aplicabile responsabililor pentru relații cu clienții. În scopul stabilirii soldului sau a valorii agregate a Conturilor Financiare deținute de o persoană pentru a stabili dacă un Cont Financiar este un Cont cu Valoare Mare, o Instituție Financiară Raportoare are, de asemenea, obligația ca, în cazul oricăror Conturi Financiare cu privire la care responsabilul pentru relații cu clienții știe sau are motive să știe că sunt în mod direct sau indirect deținute, controlate sau instituite (altfel decât în capacitate fiduciară) de către aceeași persoană, de a agrega toate respectivele conturi.</w:t>
      </w:r>
    </w:p>
    <w:p>
      <w:pPr>
        <w:pStyle w:val="Point1"/>
        <w:rPr>
          <w:noProof/>
        </w:rPr>
      </w:pPr>
      <w:r>
        <w:rPr>
          <w:noProof/>
        </w:rPr>
        <w:tab/>
        <w:t>4.</w:t>
      </w:r>
      <w:r>
        <w:rPr>
          <w:noProof/>
        </w:rPr>
        <w:tab/>
        <w:t>Sumele se citesc ca incluzând echivalentul în alte monede. Toate sumele exprimate în monedele diferitelor state membre se citesc ca incluzând sumele echivalente în alte monede, astfel cum sunt stabilite prin legislația națională.</w:t>
      </w:r>
    </w:p>
    <w:p>
      <w:pPr>
        <w:pStyle w:val="ManualHeading1"/>
        <w:ind w:left="851" w:hanging="851"/>
        <w:rPr>
          <w:noProof/>
        </w:rPr>
      </w:pPr>
      <w:bookmarkStart w:id="15" w:name="_Toc229742199"/>
      <w:r>
        <w:rPr>
          <w:noProof/>
        </w:rPr>
        <w:t>SECȚIUNEA VIII</w:t>
      </w:r>
      <w:bookmarkEnd w:id="15"/>
    </w:p>
    <w:p>
      <w:pPr>
        <w:pStyle w:val="ManualHeading2"/>
        <w:ind w:left="851" w:hanging="851"/>
        <w:rPr>
          <w:noProof/>
        </w:rPr>
      </w:pPr>
      <w:bookmarkStart w:id="16" w:name="_Toc229742200"/>
      <w:r>
        <w:rPr>
          <w:i/>
          <w:noProof/>
        </w:rPr>
        <w:t>DEFINIȚIILE TERMENILOR</w:t>
      </w:r>
      <w:bookmarkEnd w:id="16"/>
    </w:p>
    <w:p>
      <w:pPr>
        <w:rPr>
          <w:noProof/>
        </w:rPr>
      </w:pPr>
      <w:r>
        <w:rPr>
          <w:noProof/>
        </w:rPr>
        <w:t>Următorii termeni sunt definiți în continuare:</w:t>
      </w:r>
    </w:p>
    <w:p>
      <w:pPr>
        <w:pStyle w:val="ManualHeading2"/>
        <w:ind w:left="851" w:hanging="851"/>
        <w:rPr>
          <w:noProof/>
        </w:rPr>
      </w:pPr>
      <w:bookmarkStart w:id="17" w:name="_Toc229742201"/>
      <w:r>
        <w:rPr>
          <w:noProof/>
        </w:rPr>
        <w:t>A.</w:t>
      </w:r>
      <w:r>
        <w:rPr>
          <w:noProof/>
        </w:rPr>
        <w:tab/>
        <w:t>Instituție Financiară Raportoare</w:t>
      </w:r>
      <w:bookmarkEnd w:id="17"/>
    </w:p>
    <w:p>
      <w:pPr>
        <w:pStyle w:val="Point0"/>
        <w:rPr>
          <w:noProof/>
        </w:rPr>
      </w:pPr>
      <w:r>
        <w:rPr>
          <w:noProof/>
        </w:rPr>
        <w:tab/>
        <w:t>1.</w:t>
      </w:r>
      <w:r>
        <w:rPr>
          <w:noProof/>
        </w:rPr>
        <w:tab/>
        <w:t xml:space="preserve">Termenul „Instituție Financiară Raportoare” înseamnă orice Instituție Financiară a unui stat membru care nu este o Instituție Financiară Nonraportoare. Termenul „Instituție Financiară a unui stat membru” înseamnă: (i) orice Instituție </w:t>
      </w:r>
      <w:r>
        <w:rPr>
          <w:noProof/>
        </w:rPr>
        <w:lastRenderedPageBreak/>
        <w:t>Financiară care este rezidentă într-un stat membru, dar exclude orice sucursală a respectivei Instituții Financiare care se află în afara teritoriului statului membru respectiv, și (ii) orice sucursală a unei Instituții Financiare care nu este rezidentă într-un stat membru, în cazul în care sucursala respectivă se află în respectivul stat membru.</w:t>
      </w:r>
    </w:p>
    <w:p>
      <w:pPr>
        <w:pStyle w:val="Point0"/>
        <w:rPr>
          <w:noProof/>
        </w:rPr>
      </w:pPr>
      <w:r>
        <w:rPr>
          <w:noProof/>
        </w:rPr>
        <w:tab/>
        <w:t>2.</w:t>
      </w:r>
      <w:r>
        <w:rPr>
          <w:noProof/>
        </w:rPr>
        <w:tab/>
        <w:t>Termenul „Instituție Financiară dintr-o Jurisdicție Participantă” înseamnă: (i) orice Instituție Financiară care este rezidentă într-o Jurisdicție Participantă, dar exclude orice sucursală a respectivei Instituții Financiare care se află în afara teritoriului Jurisdicției Participante și (ii) orice sucursală a unei Instituții Financiare care nu este rezidentă într-o Jurisdicție Participantă, în cazul în care sucursala respectivă se află într-o Jurisdicție Participantă.</w:t>
      </w:r>
    </w:p>
    <w:p>
      <w:pPr>
        <w:pStyle w:val="Point0"/>
        <w:rPr>
          <w:noProof/>
        </w:rPr>
      </w:pPr>
      <w:r>
        <w:rPr>
          <w:noProof/>
        </w:rPr>
        <w:tab/>
        <w:t>3.</w:t>
      </w:r>
      <w:r>
        <w:rPr>
          <w:noProof/>
        </w:rPr>
        <w:tab/>
        <w:t>Termenul „Instituție Financiară” înseamnă o Instituție de Custodie, o Instituție Depozitară, o Entitate de Investiții sau o Companie de asigurări determinată.</w:t>
      </w:r>
    </w:p>
    <w:p>
      <w:pPr>
        <w:pStyle w:val="Point0"/>
        <w:rPr>
          <w:noProof/>
        </w:rPr>
      </w:pPr>
      <w:r>
        <w:rPr>
          <w:noProof/>
        </w:rPr>
        <w:tab/>
        <w:t>4.</w:t>
      </w:r>
      <w:r>
        <w:rPr>
          <w:noProof/>
        </w:rPr>
        <w:tab/>
        <w:t>Termenul „Instituție de Custodie” înseamnă orice Entitate care deține, ca parte substanțială a activității sale, Active Financiare în contul unor terți. O Entitate deține, ca parte substanțială a activității sale, Active Financiare în contul unor terți dacă venitul brut al Entității atribuibil deținerii de Active Financiare și serviciilor financiare conexe este egal sau mai mare de 20 % din venitul brut al Entității pe perioada cea mai scurtă dintre următoarele: (i) perioada de trei ani care se încheie la data de 31 decembrie (sau în ultima zi a unei perioadei contabile care nu este un an calendaristic) dinaintea anului în care se efectuează calculul sau (ii) perioada în cursul căreia Entitatea a existat.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(a) (adaptat)</w:t>
      </w:r>
    </w:p>
    <w:p>
      <w:pPr>
        <w:pStyle w:val="Point0"/>
        <w:rPr>
          <w:noProof/>
        </w:rPr>
      </w:pPr>
      <w:r>
        <w:rPr>
          <w:noProof/>
        </w:rPr>
        <w:tab/>
        <w:t>5.</w:t>
      </w:r>
      <w:r>
        <w:rPr>
          <w:noProof/>
        </w:rPr>
        <w:tab/>
        <w:t>Termenul „Instituție Depozitară” înseamnă orice Entitate care:</w:t>
      </w:r>
    </w:p>
    <w:p>
      <w:pPr>
        <w:pStyle w:val="Point1"/>
        <w:rPr>
          <w:noProof/>
        </w:rPr>
      </w:pPr>
      <w:r>
        <w:rPr>
          <w:noProof/>
        </w:rPr>
        <w:tab/>
        <w:t>(a)</w:t>
      </w:r>
      <w:r>
        <w:rPr>
          <w:noProof/>
        </w:rPr>
        <w:tab/>
        <w:t>acceptă depozite în cadrul obișnuit al activității bancare sau al unei activități similare; sau</w:t>
      </w:r>
    </w:p>
    <w:p>
      <w:pPr>
        <w:pStyle w:val="Point1"/>
        <w:rPr>
          <w:noProof/>
        </w:rPr>
      </w:pPr>
      <w:r>
        <w:rPr>
          <w:noProof/>
        </w:rPr>
        <w:tab/>
        <w:t>(b)</w:t>
      </w:r>
      <w:r>
        <w:rPr>
          <w:noProof/>
        </w:rPr>
        <w:tab/>
        <w:t>deține, în beneficiul clienților, Monedă Electronică sau Monede Digitale emise de Bănci Centrale.</w:t>
      </w:r>
    </w:p>
    <w:p>
      <w:pPr>
        <w:pStyle w:val="Point0"/>
        <w:rPr>
          <w:noProof/>
        </w:rPr>
      </w:pPr>
      <w:r>
        <w:rPr>
          <w:noProof/>
        </w:rPr>
        <w:tab/>
        <w:t>6.</w:t>
      </w:r>
      <w:r>
        <w:rPr>
          <w:noProof/>
        </w:rPr>
        <w:tab/>
        <w:t>Termenul „Entitate de Investiții” înseamnă orice Entitate:</w:t>
      </w:r>
    </w:p>
    <w:p>
      <w:pPr>
        <w:pStyle w:val="Point1"/>
        <w:rPr>
          <w:noProof/>
        </w:rPr>
      </w:pPr>
      <w:r>
        <w:rPr>
          <w:noProof/>
        </w:rPr>
        <w:tab/>
        <w:t>(a)</w:t>
      </w:r>
      <w:r>
        <w:rPr>
          <w:noProof/>
        </w:rPr>
        <w:tab/>
        <w:t>care desfășoară, ca activitate principală, una sau mai multe dintre următoarele activități sau operațiuni pentru sau în numele unui client:</w:t>
      </w:r>
    </w:p>
    <w:p>
      <w:pPr>
        <w:pStyle w:val="Point2"/>
        <w:rPr>
          <w:noProof/>
        </w:rPr>
      </w:pPr>
      <w:r>
        <w:rPr>
          <w:noProof/>
        </w:rPr>
        <w:tab/>
        <w:t>(i)</w:t>
      </w:r>
      <w:r>
        <w:rPr>
          <w:noProof/>
        </w:rPr>
        <w:tab/>
        <w:t>tranzacții cu instrumente de piață monetară (cecuri, bonuri de trezorerie, certificate de depozit, instrumente derivate etc.); schimb valutar; instrumente în materie de schimb valutar, rata dobânzii și indici bursieri; titluri de valoare transferabile sau tranzacții la termen cu mărfuri;</w:t>
      </w:r>
    </w:p>
    <w:p>
      <w:pPr>
        <w:pStyle w:val="Point2"/>
        <w:rPr>
          <w:noProof/>
        </w:rPr>
      </w:pPr>
      <w:r>
        <w:rPr>
          <w:noProof/>
        </w:rPr>
        <w:tab/>
        <w:t>(ii)</w:t>
      </w:r>
      <w:r>
        <w:rPr>
          <w:noProof/>
        </w:rPr>
        <w:tab/>
        <w:t>administrarea individuală și colectivă a portofoliului; sau</w:t>
      </w:r>
    </w:p>
    <w:p>
      <w:pPr>
        <w:pStyle w:val="Point2"/>
        <w:rPr>
          <w:noProof/>
        </w:rPr>
      </w:pPr>
      <w:r>
        <w:rPr>
          <w:noProof/>
        </w:rPr>
        <w:tab/>
        <w:t>(iii)</w:t>
      </w:r>
      <w:r>
        <w:rPr>
          <w:noProof/>
        </w:rPr>
        <w:tab/>
        <w:t>care investește, administrează sau gestionează în alt mod Active Financiare, bani sau Criptoactive care fac obiectul Raportării în numele altor persoane; sau</w:t>
      </w:r>
    </w:p>
    <w:p>
      <w:pPr>
        <w:pStyle w:val="Point1"/>
        <w:rPr>
          <w:noProof/>
        </w:rPr>
      </w:pPr>
      <w:r>
        <w:rPr>
          <w:noProof/>
        </w:rPr>
        <w:tab/>
        <w:t>(b)</w:t>
      </w:r>
      <w:r>
        <w:rPr>
          <w:noProof/>
        </w:rPr>
        <w:tab/>
        <w:t xml:space="preserve">al cărei venit brut provine în principal din activități de investire, reinvestire sau tranzacționare de Active Financiare sau Criptoactive care fac obiectul Raportării, în cazul în care Entitatea este administrată de către o altă </w:t>
      </w:r>
      <w:r>
        <w:rPr>
          <w:noProof/>
        </w:rPr>
        <w:lastRenderedPageBreak/>
        <w:t xml:space="preserve">Entitate care este o Instituție Depozitară, o Instituție de Custodie, o Companie de Asigurări Specificată sau o Entitate de Investiții, astfel cum sunt prevăzute la </w:t>
      </w:r>
      <w:r>
        <w:rPr>
          <w:rStyle w:val="CRDeleted"/>
          <w:noProof/>
        </w:rPr>
        <w:t>punctul A subpunctul 6</w:t>
      </w:r>
      <w:r>
        <w:rPr>
          <w:noProof/>
        </w:rPr>
        <w:t xml:space="preserve"> litera (a).</w:t>
      </w:r>
    </w:p>
    <w:p>
      <w:pPr>
        <w:pStyle w:val="Point0"/>
        <w:rPr>
          <w:noProof/>
        </w:rPr>
      </w:pPr>
      <w:r>
        <w:rPr>
          <w:noProof/>
        </w:rPr>
        <w:tab/>
        <w:t>Se consideră că o Entitate desfășoară ca activitate principală una sau mai multe dintre activitățile menționate la punctul A subpunctul 6 litera (a), sau venitul brut al unei Entități este atribuibil în principal activităților de investire, reinvestire sau tranzacționare de Active Financiare sau de Criptoactive care fac Obiectul Raportării în sensul punctului A subpunctul 6 litera (b), în cazul în care venitul brut al Entității atribuibil activităților relevante este mai mare sau egal cu 50 % din venitul brut al Entității pe perioada cea mai scurtă dintre următoarele: (i) perioada de trei ani care se încheie la data de 31 decembrie a anului dinaintea anului în care se efectuează calculul; sau (ii) perioada în cursul căreia Entitatea a existat. În sensul punctului A subpunctul 6 litera (a) punctul (iii), expresia „care investește, administrează sau gestionează în alt mod Active Financiare, bani sau Criptoactive care fac obiectul raportării în numele altor persoane” nu include prestarea de servicii prin care se efectuează Tranzacții de schimb pentru clienți sau în numele acestora. Termenul „Entitate de Investiții” nu include o Entitate care este o ENF activă, întrucât Entitatea respectivă îndeplinește oricare dintre criteriile prevăzute la punctul D subpunctul 8 literele (d)-(g).</w:t>
      </w:r>
    </w:p>
    <w:p>
      <w:pPr>
        <w:pStyle w:val="Point0"/>
        <w:rPr>
          <w:noProof/>
        </w:rPr>
      </w:pPr>
      <w:r>
        <w:rPr>
          <w:noProof/>
        </w:rPr>
        <w:tab/>
        <w:t xml:space="preserve">Prezentul subpunct se interpretează într-o manieră consecventă cu limbajul similar prevăzut în definiția termenului „instituție financiară” din </w:t>
      </w:r>
      <w:r>
        <w:rPr>
          <w:rStyle w:val="CRDeleted"/>
          <w:noProof/>
        </w:rPr>
        <w:t>Directiva (UE)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Regulamentul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Deleted"/>
          <w:noProof/>
        </w:rPr>
        <w:t>2015/849</w:t>
      </w:r>
      <w:r>
        <w:rPr>
          <w:noProof/>
        </w:rPr>
        <w:t>.</w:t>
      </w:r>
    </w:p>
    <w:p>
      <w:pPr>
        <w:pStyle w:val="Point0"/>
        <w:rPr>
          <w:noProof/>
        </w:rPr>
      </w:pPr>
      <w:r>
        <w:rPr>
          <w:noProof/>
        </w:rPr>
        <w:tab/>
        <w:t>7.</w:t>
      </w:r>
      <w:r>
        <w:rPr>
          <w:noProof/>
        </w:rPr>
        <w:tab/>
        <w:t>Termenul „Activ Financiar” include un titlu de valoare (de exemplu, acțiuni în cadrul capitalului unei societăți comerciale; participații în capitalurile proprii sau dreptul la beneficii în cadrul unui parteneriat deținut de mulți asociați sau cotat la bursă sau în cadrul unei fiducii; bilete la ordin, obligațiuni sau alte titluri de datorie), drepturi generate de un parteneriat, o marfă, un swap (de exemplu, swap pe rata dobânzii, swap valutar, swap de bază, rată de dobândă cu plafon maxim, rata de dobândă cu prag minim, swap pe mărfuri, swap pe acțiuni, swap pe indici bursieri și acorduri similare), un Contract de Asigurare sau un Contract cu Rentă Viageră sau orice dobândă (inclusiv un contract de tip futures sau forward sau o opțiune) în legătură cu un titlu de valoare, un Criptoactiv care face obiectul Raportării, drepturi generate de un parteneriat, o marfă, un swap, un Contract de Asigurare sau un Contract cu Rentă Viageră. Termenul „Activ Financiar” nu include drepturile directe asupra unor bunuri imobile, care să nu fie titluri de datorie.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pStyle w:val="Point0"/>
        <w:rPr>
          <w:noProof/>
        </w:rPr>
      </w:pPr>
      <w:r>
        <w:rPr>
          <w:noProof/>
        </w:rPr>
        <w:tab/>
        <w:t>8.</w:t>
      </w:r>
      <w:r>
        <w:rPr>
          <w:noProof/>
        </w:rPr>
        <w:tab/>
        <w:t>Termenul „Companie de asigurări specificată” înseamnă orice Entitate care este o companie de asigurări (sau societatea holding a unei companii de asigurări) care emite sau este obligată să efectueze plăți cu privire la un Contract de asigurare cu valoare de răscumpărare sau la un Contract cu rentă viageră.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(b)</w:t>
      </w:r>
    </w:p>
    <w:p>
      <w:pPr>
        <w:pStyle w:val="Point0"/>
        <w:rPr>
          <w:noProof/>
        </w:rPr>
      </w:pPr>
      <w:r>
        <w:rPr>
          <w:noProof/>
        </w:rPr>
        <w:tab/>
        <w:t>9.</w:t>
      </w:r>
      <w:r>
        <w:rPr>
          <w:noProof/>
        </w:rPr>
        <w:tab/>
        <w:t>În sensul prezentei anexe, termenul „Monedă Electronică” înseamnă orice produs care este:</w:t>
      </w:r>
    </w:p>
    <w:p>
      <w:pPr>
        <w:pStyle w:val="Point1"/>
        <w:rPr>
          <w:noProof/>
        </w:rPr>
      </w:pPr>
      <w:r>
        <w:rPr>
          <w:noProof/>
        </w:rPr>
        <w:tab/>
        <w:t>(a)</w:t>
      </w:r>
      <w:r>
        <w:rPr>
          <w:noProof/>
        </w:rPr>
        <w:tab/>
        <w:t>o reprezentare digitală a unei singure Monede Fiduciare;</w:t>
      </w:r>
    </w:p>
    <w:p>
      <w:pPr>
        <w:pStyle w:val="Point1"/>
        <w:rPr>
          <w:noProof/>
        </w:rPr>
      </w:pPr>
      <w:r>
        <w:rPr>
          <w:noProof/>
        </w:rPr>
        <w:lastRenderedPageBreak/>
        <w:tab/>
        <w:t>(b)</w:t>
      </w:r>
      <w:r>
        <w:rPr>
          <w:noProof/>
        </w:rPr>
        <w:tab/>
        <w:t>emis la primirea de fonduri în scopul efectuării de operațiuni de plată;</w:t>
      </w:r>
    </w:p>
    <w:p>
      <w:pPr>
        <w:pStyle w:val="Point1"/>
        <w:rPr>
          <w:noProof/>
        </w:rPr>
      </w:pPr>
      <w:r>
        <w:rPr>
          <w:noProof/>
        </w:rPr>
        <w:tab/>
        <w:t>(c)</w:t>
      </w:r>
      <w:r>
        <w:rPr>
          <w:noProof/>
        </w:rPr>
        <w:tab/>
        <w:t>reprezentat de o creanță asupra emitentului exprimată în aceeași Monedă Fiduciară;</w:t>
      </w:r>
    </w:p>
    <w:p>
      <w:pPr>
        <w:pStyle w:val="Point1"/>
        <w:rPr>
          <w:noProof/>
        </w:rPr>
      </w:pPr>
      <w:r>
        <w:rPr>
          <w:noProof/>
        </w:rPr>
        <w:tab/>
        <w:t>(d)</w:t>
      </w:r>
      <w:r>
        <w:rPr>
          <w:noProof/>
        </w:rPr>
        <w:tab/>
        <w:t>acceptat ca plată de către o persoană fizică sau juridică, alta decât emitentul; și</w:t>
      </w:r>
    </w:p>
    <w:p>
      <w:pPr>
        <w:pStyle w:val="Point1"/>
        <w:rPr>
          <w:noProof/>
        </w:rPr>
      </w:pPr>
      <w:r>
        <w:rPr>
          <w:noProof/>
        </w:rPr>
        <w:tab/>
        <w:t>(e)</w:t>
      </w:r>
      <w:r>
        <w:rPr>
          <w:noProof/>
        </w:rPr>
        <w:tab/>
        <w:t>în temeiul cerințelor de reglementare aplicabile emitentului, rambursabil în orice moment și la valoarea nominală pentru aceeași Monedă Fiduciară, la cererea deținătorului produsului.</w:t>
      </w:r>
    </w:p>
    <w:p>
      <w:pPr>
        <w:pStyle w:val="Point0"/>
        <w:rPr>
          <w:noProof/>
        </w:rPr>
      </w:pPr>
      <w:r>
        <w:rPr>
          <w:noProof/>
        </w:rPr>
        <w:tab/>
        <w:t>Termenul „Monedă Electronică” nu include un produs creat cu unicul scop de a facilita transferul de fonduri de la un client la o altă persoană în conformitate cu instrucțiunile clientului. Un produs nu este creat cu unicul scop de a facilita transferul de fonduri dacă, pe parcursul desfășurării normale a activității Entității care efectuează transferul, fie fondurile legate de produsul respectiv sunt deținute mai mult de 60 de zile de la primirea instrucțiunilor de facilitare a transferului, fie, în cazul în care nu se primesc instrucțiuni, fondurile legate de produsul respectiv sunt deținute mai mult de 60 de zile de la primirea fondurilor.</w:t>
      </w:r>
    </w:p>
    <w:p>
      <w:pPr>
        <w:pStyle w:val="Point0"/>
        <w:rPr>
          <w:noProof/>
        </w:rPr>
      </w:pPr>
      <w:r>
        <w:rPr>
          <w:noProof/>
        </w:rPr>
        <w:tab/>
        <w:t>10.</w:t>
      </w:r>
      <w:r>
        <w:rPr>
          <w:noProof/>
        </w:rPr>
        <w:tab/>
        <w:t>Termenul „Monedă Fiduciară” înseamnă moneda oficială a unei jurisdicții, emisă de o jurisdicție sau de o Bancă centrală sau de o autoritate monetară desemnată de o jurisdicție, reprezentată de bancnote sau monede fizice sau de monede în diferite forme digitale, printre care rezerve bancare și Monedele Digitale emise de Banca Centrală. Termenul include și moneda băncii comerciale și produsele de monedă electronică (moneda electronică).</w:t>
      </w:r>
    </w:p>
    <w:p>
      <w:pPr>
        <w:pStyle w:val="Point0"/>
        <w:rPr>
          <w:noProof/>
        </w:rPr>
      </w:pPr>
      <w:r>
        <w:rPr>
          <w:noProof/>
        </w:rPr>
        <w:tab/>
        <w:t>11.</w:t>
      </w:r>
      <w:r>
        <w:rPr>
          <w:noProof/>
        </w:rPr>
        <w:tab/>
        <w:t>Termenul „Monedă Digitală emisă de Banca Centrală” înseamnă orice Monedă Fiduciară digitală emisă de o Bancă Centrală sau de o altă autoritate monetară.</w:t>
      </w:r>
    </w:p>
    <w:p>
      <w:pPr>
        <w:pStyle w:val="Point0"/>
        <w:rPr>
          <w:noProof/>
        </w:rPr>
      </w:pPr>
      <w:r>
        <w:rPr>
          <w:noProof/>
        </w:rPr>
        <w:tab/>
        <w:t>12.</w:t>
      </w:r>
      <w:r>
        <w:rPr>
          <w:noProof/>
        </w:rPr>
        <w:tab/>
        <w:t>Termenul „Criptoactiv” înseamnă criptoactiv în sensul definiției de la articolul 3 alineatul (1) punctul 5 din Regulamentul (UE) 2023/1114.</w:t>
      </w:r>
    </w:p>
    <w:p>
      <w:pPr>
        <w:pStyle w:val="Point0"/>
        <w:rPr>
          <w:noProof/>
        </w:rPr>
      </w:pPr>
      <w:r>
        <w:rPr>
          <w:noProof/>
        </w:rPr>
        <w:tab/>
        <w:t>13.</w:t>
      </w:r>
      <w:r>
        <w:rPr>
          <w:noProof/>
        </w:rPr>
        <w:tab/>
        <w:t>Termenul „Criptoactiv care face obiectul Raportării” înseamnă orice Criptoactiv care nu este o Monedă Digitală emisă de Banca Centrală, o Monedă Electronică sau orice Criptoactiv în privința căruia Furnizorul de Servicii de Criptoactive Raportor a stabilit în mod corespunzător că nu poate fi utilizat în scopuri de plată sau de investiții.</w:t>
      </w:r>
    </w:p>
    <w:p>
      <w:pPr>
        <w:pStyle w:val="Point0"/>
        <w:rPr>
          <w:noProof/>
        </w:rPr>
      </w:pPr>
      <w:r>
        <w:rPr>
          <w:noProof/>
        </w:rPr>
        <w:tab/>
        <w:t>14.</w:t>
      </w:r>
      <w:r>
        <w:rPr>
          <w:noProof/>
        </w:rPr>
        <w:tab/>
        <w:t>Termenul „Tranzacție de Schimb” înseamnă orice:</w:t>
      </w:r>
    </w:p>
    <w:p>
      <w:pPr>
        <w:pStyle w:val="Point1"/>
        <w:rPr>
          <w:noProof/>
        </w:rPr>
      </w:pPr>
      <w:r>
        <w:rPr>
          <w:noProof/>
        </w:rPr>
        <w:tab/>
        <w:t>(a)</w:t>
      </w:r>
      <w:r>
        <w:rPr>
          <w:noProof/>
        </w:rPr>
        <w:tab/>
        <w:t>schimb între Criptoactive care fac Obiectul Raportării și Monede Fiduciare; și</w:t>
      </w:r>
    </w:p>
    <w:p>
      <w:pPr>
        <w:pStyle w:val="Point1"/>
        <w:rPr>
          <w:noProof/>
        </w:rPr>
      </w:pPr>
      <w:r>
        <w:rPr>
          <w:noProof/>
        </w:rPr>
        <w:tab/>
        <w:t>(b)</w:t>
      </w:r>
      <w:r>
        <w:rPr>
          <w:noProof/>
        </w:rPr>
        <w:tab/>
        <w:t>schimb între una sau mai multe forme de Criptoactive care fac Obiectul Raportării.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pStyle w:val="ManualHeading2"/>
        <w:ind w:left="851" w:hanging="851"/>
        <w:rPr>
          <w:noProof/>
        </w:rPr>
      </w:pPr>
      <w:bookmarkStart w:id="18" w:name="_Toc229742202"/>
      <w:r>
        <w:rPr>
          <w:noProof/>
        </w:rPr>
        <w:t>B.</w:t>
      </w:r>
      <w:r>
        <w:rPr>
          <w:noProof/>
        </w:rPr>
        <w:tab/>
        <w:t>Instituție Financiară Nonraportoare</w:t>
      </w:r>
      <w:bookmarkEnd w:id="18"/>
    </w:p>
    <w:p>
      <w:pPr>
        <w:pStyle w:val="Point0"/>
        <w:rPr>
          <w:noProof/>
        </w:rPr>
      </w:pPr>
      <w:r>
        <w:rPr>
          <w:noProof/>
        </w:rPr>
        <w:tab/>
        <w:t>1.</w:t>
      </w:r>
      <w:r>
        <w:rPr>
          <w:noProof/>
        </w:rPr>
        <w:tab/>
        <w:t>Termenul „Instituție Financiară Nonraportoare” înseamnă orice Instituție Financiară care este: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(c)</w:t>
      </w:r>
    </w:p>
    <w:p>
      <w:pPr>
        <w:pStyle w:val="Point1"/>
        <w:rPr>
          <w:noProof/>
        </w:rPr>
      </w:pPr>
      <w:r>
        <w:rPr>
          <w:noProof/>
        </w:rPr>
        <w:tab/>
        <w:t>(a)</w:t>
      </w:r>
      <w:r>
        <w:rPr>
          <w:noProof/>
        </w:rPr>
        <w:tab/>
        <w:t>o Entitate Guvernamentală, o Organizație Internațională sau o Bancă Centrală, în afară de situațiile care:</w:t>
      </w:r>
    </w:p>
    <w:p>
      <w:pPr>
        <w:pStyle w:val="Point2"/>
        <w:rPr>
          <w:noProof/>
        </w:rPr>
      </w:pPr>
      <w:r>
        <w:rPr>
          <w:noProof/>
        </w:rPr>
        <w:tab/>
        <w:t>(i)</w:t>
      </w:r>
      <w:r>
        <w:rPr>
          <w:noProof/>
        </w:rPr>
        <w:tab/>
        <w:t>se referă la o plată care derivă dintr-o obligație care incumbă în legătură cu o activitate financiară comercială de tipul celor desfășurate de o Companie de Asigurări Specificată, de o Instituție de Custodie sau de o Instituție Depozitară; sau</w:t>
      </w:r>
    </w:p>
    <w:p>
      <w:pPr>
        <w:pStyle w:val="Point2"/>
        <w:rPr>
          <w:noProof/>
        </w:rPr>
      </w:pPr>
      <w:r>
        <w:rPr>
          <w:noProof/>
        </w:rPr>
        <w:tab/>
        <w:t>(ii)</w:t>
      </w:r>
      <w:r>
        <w:rPr>
          <w:noProof/>
        </w:rPr>
        <w:tab/>
        <w:t>se referă la activitatea de menținere a Monedei Digitale emise de Banca Centrală pentru Titularii de Cont care nu sunt Instituții Financiare, Entități Guvernamentale, Organizații Internaționale sau Bănci Centrale;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1"/>
        <w:rPr>
          <w:noProof/>
        </w:rPr>
      </w:pPr>
      <w:r>
        <w:rPr>
          <w:noProof/>
        </w:rPr>
        <w:tab/>
        <w:t>(b)</w:t>
      </w:r>
      <w:r>
        <w:rPr>
          <w:noProof/>
        </w:rPr>
        <w:tab/>
        <w:t>un Fond de pensii cu participare largă; un Fond de pensii cu participare restrânsă; un Fond de pensii al unei Entități guvernamentale, al unei Organizații internaționale sau al unei Bănci centrale; sau un Emitent de carduri de credit calificat;</w:t>
      </w:r>
    </w:p>
    <w:p>
      <w:pPr>
        <w:pStyle w:val="Point1"/>
        <w:rPr>
          <w:noProof/>
        </w:rPr>
      </w:pPr>
      <w:r>
        <w:rPr>
          <w:noProof/>
        </w:rPr>
        <w:tab/>
        <w:t>(c)</w:t>
      </w:r>
      <w:r>
        <w:rPr>
          <w:noProof/>
        </w:rPr>
        <w:tab/>
        <w:t xml:space="preserve">orice altă Entitate care prezintă un risc scăzut de a fi utilizată pentru evaziune fiscală, are caracteristici similare în mod substanțial cu oricare dintre Entitățile prevăzute la </w:t>
      </w:r>
      <w:r>
        <w:rPr>
          <w:rStyle w:val="CRDeleted"/>
          <w:noProof/>
        </w:rPr>
        <w:t>subsecțiunea B punctul 1</w:t>
      </w:r>
      <w:r>
        <w:rPr>
          <w:noProof/>
        </w:rPr>
        <w:t xml:space="preserve"> literele (a) și (b)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 la prezentul punct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 și este inclusă pe lista Instituțiilor Financiare nonraportoare menționată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alineatul (7a)</w:t>
      </w:r>
      <w:r>
        <w:rPr>
          <w:noProof/>
        </w:rPr>
        <w:t xml:space="preserve"> din prezenta directivă, cu condiția ca statutul respectivei Entități drept Instituție Financiară Nonraportoare să nu aducă atingere obiectivelor prezentei directive;</w:t>
      </w:r>
    </w:p>
    <w:p>
      <w:pPr>
        <w:pStyle w:val="Point1"/>
        <w:rPr>
          <w:noProof/>
        </w:rPr>
      </w:pPr>
      <w:r>
        <w:rPr>
          <w:noProof/>
        </w:rPr>
        <w:tab/>
        <w:t>(d)</w:t>
      </w:r>
      <w:r>
        <w:rPr>
          <w:noProof/>
        </w:rPr>
        <w:tab/>
        <w:t>un Organism de plasament colectiv exceptat; sau</w:t>
      </w:r>
    </w:p>
    <w:p>
      <w:pPr>
        <w:pStyle w:val="Point1"/>
        <w:rPr>
          <w:noProof/>
        </w:rPr>
      </w:pPr>
      <w:r>
        <w:rPr>
          <w:noProof/>
        </w:rPr>
        <w:tab/>
        <w:t>(e)</w:t>
      </w:r>
      <w:r>
        <w:rPr>
          <w:noProof/>
        </w:rPr>
        <w:tab/>
        <w:t>o fiducie, în măsura în care fiduciarul este o Instituție Financiară Raportoare și raportează toate informațiile care trebuie raportate în conformitate cu secțiunea I cu privire la toate Conturile fiduciei care fac obiectul raportării.</w:t>
      </w:r>
    </w:p>
    <w:p>
      <w:pPr>
        <w:pStyle w:val="Point0"/>
        <w:rPr>
          <w:noProof/>
        </w:rPr>
      </w:pPr>
      <w:r>
        <w:rPr>
          <w:noProof/>
        </w:rPr>
        <w:tab/>
        <w:t>2.</w:t>
      </w:r>
      <w:r>
        <w:rPr>
          <w:noProof/>
        </w:rPr>
        <w:tab/>
        <w:t>Termenul „Entitate guvernamentală” înseamnă guvernul unui stat membru sau al unei alte jurisdicții, orice subdiviziune politică a unui stat membru sau a unei alte jurisdicții (care, pentru evitarea oricărei ambiguități, include un stat, o provincie, un județ sau o localitate), sau orice organism sau agenție deținut(ă) integral de un stat membru sau de o altă jurisdicție ori de una sau mai multe dintre subdiviziunile sus-menționate (fiecare reprezentând o „Entitate guvernamentală”). Această categorie este alcătuită din părți integrante, entități controlate și subdiviziuni politice ale unui stat membru sau ale unei alte jurisdicții.</w:t>
      </w:r>
    </w:p>
    <w:p>
      <w:pPr>
        <w:pStyle w:val="Point1"/>
        <w:rPr>
          <w:noProof/>
        </w:rPr>
      </w:pPr>
      <w:r>
        <w:rPr>
          <w:noProof/>
        </w:rPr>
        <w:tab/>
        <w:t>(a)</w:t>
      </w:r>
      <w:r>
        <w:rPr>
          <w:noProof/>
        </w:rPr>
        <w:tab/>
        <w:t xml:space="preserve">O „parte integrantă” a unui stat membru sau a unei alte jurisdicții înseamnă orice persoană, organizație, agenție, birou, fond, organism public sau alt organism, oricare ar fi denumirea sa, care constituie o autoritate administrativă a unui stat membru sau a unei alte jurisdicții. Veniturile nete ale autorității administrative trebuie să fie creditate contului propriu al acesteia sau altor conturi ale statului membru sau ale unei alte jurisdicții și nicio parte a </w:t>
      </w:r>
      <w:r>
        <w:rPr>
          <w:noProof/>
        </w:rPr>
        <w:lastRenderedPageBreak/>
        <w:t>acestora nu trebuie să revină în beneficiul vreunei persoane private. O parte integrantă nu include nicio persoană fizică care este un membru al guvernului, funcționar sau administrator care acționează cu titlu privat sau personal.</w:t>
      </w:r>
    </w:p>
    <w:p>
      <w:pPr>
        <w:pStyle w:val="Point1"/>
        <w:rPr>
          <w:noProof/>
        </w:rPr>
      </w:pPr>
      <w:r>
        <w:rPr>
          <w:noProof/>
        </w:rPr>
        <w:tab/>
        <w:t>(b)</w:t>
      </w:r>
      <w:r>
        <w:rPr>
          <w:noProof/>
        </w:rPr>
        <w:tab/>
        <w:t>O „entitate controlată” înseamnă o Entitate care este, formal, separată de statul membru sau altă jurisdicție sau care constituie, în alt mod, o entitate juridică separată, cu condiția ca:</w:t>
      </w:r>
    </w:p>
    <w:p>
      <w:pPr>
        <w:pStyle w:val="Point2"/>
        <w:rPr>
          <w:noProof/>
        </w:rPr>
      </w:pPr>
      <w:r>
        <w:rPr>
          <w:noProof/>
        </w:rPr>
        <w:tab/>
        <w:t>(i)</w:t>
      </w:r>
      <w:r>
        <w:rPr>
          <w:noProof/>
        </w:rPr>
        <w:tab/>
        <w:t>Entitatea să fie deținută și controlată în totalitate de una sau mai multe Entități guvernamentale, direct sau prin intermediul uneia sau al mai multor entități controlate;</w:t>
      </w:r>
    </w:p>
    <w:p>
      <w:pPr>
        <w:pStyle w:val="Point2"/>
        <w:rPr>
          <w:noProof/>
        </w:rPr>
      </w:pPr>
      <w:r>
        <w:rPr>
          <w:noProof/>
        </w:rPr>
        <w:tab/>
        <w:t>(ii)</w:t>
      </w:r>
      <w:r>
        <w:rPr>
          <w:noProof/>
        </w:rPr>
        <w:tab/>
        <w:t>veniturile nete ale Entității să fie creditate contului propriu al acesteia sau altor conturi ale uneia sau ale mai multor Entități guvernamentale și nicio parte a acestora să nu revină în beneficiul vreunei persoane private; și</w:t>
      </w:r>
    </w:p>
    <w:p>
      <w:pPr>
        <w:pStyle w:val="Point2"/>
        <w:rPr>
          <w:noProof/>
        </w:rPr>
      </w:pPr>
      <w:r>
        <w:rPr>
          <w:noProof/>
        </w:rPr>
        <w:tab/>
        <w:t>(iii)</w:t>
      </w:r>
      <w:r>
        <w:rPr>
          <w:noProof/>
        </w:rPr>
        <w:tab/>
        <w:t>activele Entității să revină uneia sau mai multor Entități guvernamentale în momentul dizolvării acesteia.</w:t>
      </w:r>
    </w:p>
    <w:p>
      <w:pPr>
        <w:pStyle w:val="Point1"/>
        <w:rPr>
          <w:noProof/>
        </w:rPr>
      </w:pPr>
      <w:r>
        <w:rPr>
          <w:noProof/>
        </w:rPr>
        <w:tab/>
        <w:t>(c)</w:t>
      </w:r>
      <w:r>
        <w:rPr>
          <w:noProof/>
        </w:rPr>
        <w:tab/>
        <w:t>Venitul nu revine în beneficiul persoanelor fizice în cazul în care respectivele persoane sunt beneficiarii-țintă ai unui program guvernamental, iar activitățile din cadrul programului sunt desfășurate pentru publicul larg în interes general sau se referă la administrarea unei părți a guvernului. Cu toate acestea, sub rezerva dispozițiilor anterioare, se consideră că venitul revine în beneficiul persoanelor fizice în cazul în care este obținut din folosirea unei Entități Guvernamentale pentru a desfășura o activitate comercială, cum ar fi o activitate bancară comercială, care furnizează servicii financiare persoanelor fizice.</w:t>
      </w:r>
    </w:p>
    <w:p>
      <w:pPr>
        <w:pStyle w:val="Point0"/>
        <w:rPr>
          <w:noProof/>
        </w:rPr>
      </w:pPr>
      <w:r>
        <w:rPr>
          <w:noProof/>
        </w:rPr>
        <w:tab/>
        <w:t>3.</w:t>
      </w:r>
      <w:r>
        <w:rPr>
          <w:noProof/>
        </w:rPr>
        <w:tab/>
        <w:t xml:space="preserve">Termenul „Organizație internațională” înseamnă orice organizație internațională ori agenție sau organism deținut în totalitate de aceasta. Această categorie include orice organizație interguvernamentală (inclusiv o organizație supranațională): (i) care este alcătuită în primul rând din guverne; (ii) care are în vigoare un acord privind sediul sau un acord în mod fundamental similar cu statul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cu altă jurisdicție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și (iii) al cărei venit nu revine în beneficiul unor persoane private.</w:t>
      </w:r>
    </w:p>
    <w:p>
      <w:pPr>
        <w:pStyle w:val="Point0"/>
        <w:rPr>
          <w:noProof/>
        </w:rPr>
      </w:pPr>
      <w:r>
        <w:rPr>
          <w:noProof/>
        </w:rPr>
        <w:tab/>
        <w:t>4.</w:t>
      </w:r>
      <w:r>
        <w:rPr>
          <w:noProof/>
        </w:rPr>
        <w:tab/>
        <w:t xml:space="preserve">Termenul „Bancă centrală” înseamnă o instituție care este, prin lege sau prin hotărâre de guvern, autoritatea principală, în afară de guvernul propriu-zis al statului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al unei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care emite instrumente destinate să fie utilizate ca monedă. O astfel de instituție poate include un organism care este separat de guvernul statului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al unei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fie că este deținut sau nu, în totalitate sau parțial, de către statul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altă jurisdicție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0"/>
        <w:rPr>
          <w:noProof/>
        </w:rPr>
      </w:pPr>
      <w:r>
        <w:rPr>
          <w:noProof/>
        </w:rPr>
        <w:tab/>
        <w:t>5.</w:t>
      </w:r>
      <w:r>
        <w:rPr>
          <w:noProof/>
        </w:rPr>
        <w:tab/>
        <w:t>Termenul „Fond de pensii cu participare largă” înseamnă un fond instituit pentru a furniza beneficii cu titlu de pensie, indemnizații de invaliditate sau de deces, sau orice combinație a acestora, către beneficiari care sunt actuali sau foști angajați (sau persoanele desemnate de către respectivii angajați) ai unuia sau ai mai multor angajatori în schimbul unor servicii prestate, cu condiția ca fondul:</w:t>
      </w:r>
    </w:p>
    <w:p>
      <w:pPr>
        <w:pStyle w:val="Point1"/>
        <w:rPr>
          <w:noProof/>
        </w:rPr>
      </w:pPr>
      <w:r>
        <w:rPr>
          <w:noProof/>
        </w:rPr>
        <w:tab/>
        <w:t>(a)</w:t>
      </w:r>
      <w:r>
        <w:rPr>
          <w:noProof/>
        </w:rPr>
        <w:tab/>
        <w:t>să nu aibă un singur beneficiar cu dreptul la mai mult de 5 % din activele fondului;</w:t>
      </w:r>
    </w:p>
    <w:p>
      <w:pPr>
        <w:pStyle w:val="Point1"/>
        <w:rPr>
          <w:noProof/>
        </w:rPr>
      </w:pPr>
      <w:r>
        <w:rPr>
          <w:noProof/>
        </w:rPr>
        <w:tab/>
        <w:t>(b)</w:t>
      </w:r>
      <w:r>
        <w:rPr>
          <w:noProof/>
        </w:rPr>
        <w:tab/>
        <w:t>să facă obiectul normelor guvernamentale și să raporteze informații autorităților fiscale; și</w:t>
      </w:r>
    </w:p>
    <w:p>
      <w:pPr>
        <w:pStyle w:val="Point1"/>
        <w:rPr>
          <w:noProof/>
        </w:rPr>
      </w:pPr>
      <w:r>
        <w:rPr>
          <w:noProof/>
        </w:rPr>
        <w:tab/>
        <w:t>(c)</w:t>
      </w:r>
      <w:r>
        <w:rPr>
          <w:noProof/>
        </w:rPr>
        <w:tab/>
        <w:t>să îndeplinească cel puțin una dintre următoarele cerințe:</w:t>
      </w:r>
    </w:p>
    <w:p>
      <w:pPr>
        <w:pStyle w:val="Point2"/>
        <w:rPr>
          <w:noProof/>
        </w:rPr>
      </w:pPr>
      <w:r>
        <w:rPr>
          <w:noProof/>
        </w:rPr>
        <w:lastRenderedPageBreak/>
        <w:tab/>
        <w:t>(i)</w:t>
      </w:r>
      <w:r>
        <w:rPr>
          <w:noProof/>
        </w:rPr>
        <w:tab/>
        <w:t>fondul este, în general, scutit de la plata impozitului pe veniturile din investiții sau impozitarea acestor venituri este amânată sau impozitată cu o cotă redusă, datorită statutului său de fond de pensii sau regim de pensii;</w:t>
      </w:r>
    </w:p>
    <w:p>
      <w:pPr>
        <w:pStyle w:val="Point2"/>
        <w:rPr>
          <w:noProof/>
        </w:rPr>
      </w:pPr>
      <w:r>
        <w:rPr>
          <w:noProof/>
        </w:rPr>
        <w:tab/>
        <w:t>(ii)</w:t>
      </w:r>
      <w:r>
        <w:rPr>
          <w:noProof/>
        </w:rPr>
        <w:tab/>
        <w:t xml:space="preserve">fondul primește cel puțin 50 % din contribuțiile sale totale [altele decât transferurile de active de la alte regimuri prevăzute la subsecțiunea B punctele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6 și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w:t>
      </w:r>
      <w:r>
        <w:rPr>
          <w:noProof/>
        </w:rPr>
        <w:t>7 sau din conturile de pensii prevăzute la subsecțiunea C punctul 17 litera (a)] din partea angajatorilor care le finanțează;</w:t>
      </w:r>
    </w:p>
    <w:p>
      <w:pPr>
        <w:pStyle w:val="Point2"/>
        <w:rPr>
          <w:noProof/>
        </w:rPr>
      </w:pPr>
      <w:r>
        <w:rPr>
          <w:noProof/>
        </w:rPr>
        <w:tab/>
        <w:t>(iii)</w:t>
      </w:r>
      <w:r>
        <w:rPr>
          <w:noProof/>
        </w:rPr>
        <w:tab/>
        <w:t>plățile sau retragerile din fond sunt permise numai în cazul producerii unor evenimente determinate legate de pensionare, invaliditate sau deces [(cu excepția plăților periodice către alte fonduri de pensii prevăzute la subsecțiunea B punctele 5-7 și a conturilor de pensii prevăzute la subsecțiunea C punctul 17 litera (a)], sau, în cazul efectuării de plăți sau de retrageri înainte de evenimentele determinate, se aplică sancțiuni; sau</w:t>
      </w:r>
    </w:p>
    <w:p>
      <w:pPr>
        <w:pStyle w:val="Point2"/>
        <w:rPr>
          <w:noProof/>
        </w:rPr>
      </w:pPr>
      <w:r>
        <w:rPr>
          <w:noProof/>
        </w:rPr>
        <w:tab/>
        <w:t>(iv)</w:t>
      </w:r>
      <w:r>
        <w:rPr>
          <w:noProof/>
        </w:rPr>
        <w:tab/>
        <w:t>contribuțiile angajaților (altele decât anumite contribuții autorizate) la fond sunt limitate în funcție de venitul câștigat de angajat sau nu pot depăși, anual, un cuantum în moneda fiecărui stat membru care corespunde sumei de 50 000 USD, aplicând normele stabilite la secțiunea VII subsecțiunea C privind agregarea conturilor și conversia monetară.</w:t>
      </w:r>
    </w:p>
    <w:p>
      <w:pPr>
        <w:pStyle w:val="Point0"/>
        <w:rPr>
          <w:noProof/>
        </w:rPr>
      </w:pPr>
      <w:r>
        <w:rPr>
          <w:noProof/>
        </w:rPr>
        <w:tab/>
        <w:t>6.</w:t>
      </w:r>
      <w:r>
        <w:rPr>
          <w:noProof/>
        </w:rPr>
        <w:tab/>
        <w:t>Termenul „Fond de pensii cu participare restrânsă” înseamnă un fond instituit pentru a furniza beneficii cu titlu de pensii sau indemnizații de invaliditate sau de deces către beneficiari care sunt actuali sau foști angajați (sau persoanele desemnate de către respectivii angajați) ai unuia sau ai mai multor angajatori în schimbul unor servicii prestate, cu următoarele condiții:</w:t>
      </w:r>
    </w:p>
    <w:p>
      <w:pPr>
        <w:pStyle w:val="Point1"/>
        <w:rPr>
          <w:noProof/>
        </w:rPr>
      </w:pPr>
      <w:r>
        <w:rPr>
          <w:noProof/>
        </w:rPr>
        <w:tab/>
        <w:t>(a)</w:t>
      </w:r>
      <w:r>
        <w:rPr>
          <w:noProof/>
        </w:rPr>
        <w:tab/>
        <w:t>fondul să aibă mai puțin de 50 de participanți;</w:t>
      </w:r>
    </w:p>
    <w:p>
      <w:pPr>
        <w:pStyle w:val="Point1"/>
        <w:rPr>
          <w:noProof/>
        </w:rPr>
      </w:pPr>
      <w:r>
        <w:rPr>
          <w:noProof/>
        </w:rPr>
        <w:tab/>
        <w:t>(b)</w:t>
      </w:r>
      <w:r>
        <w:rPr>
          <w:noProof/>
        </w:rPr>
        <w:tab/>
        <w:t>fondul să fie finanțat de unul sau mai mulți angajatori care nu sunt Entități de Investiții sau ENF</w:t>
      </w:r>
      <w:r>
        <w:rPr>
          <w:rStyle w:val="CRDeleted"/>
          <w:noProof/>
        </w:rPr>
        <w:t>S</w:t>
      </w:r>
      <w:r>
        <w:rPr>
          <w:noProof/>
        </w:rPr>
        <w:t xml:space="preserve"> pasive;</w:t>
      </w:r>
    </w:p>
    <w:p>
      <w:pPr>
        <w:pStyle w:val="Point1"/>
        <w:rPr>
          <w:noProof/>
        </w:rPr>
      </w:pPr>
      <w:r>
        <w:rPr>
          <w:noProof/>
        </w:rPr>
        <w:tab/>
        <w:t>(c)</w:t>
      </w:r>
      <w:r>
        <w:rPr>
          <w:noProof/>
        </w:rPr>
        <w:tab/>
        <w:t>contribuțiile angajatului și ale angajatorului la fond [altele decât transferurile de active din conturile de pensii prevăzute la subsecțiunea C punctul 17 litera (a)] să fie limitate în funcție de venitul câștigat și, respectiv, de remunerarea angajaților;</w:t>
      </w:r>
    </w:p>
    <w:p>
      <w:pPr>
        <w:pStyle w:val="Point1"/>
        <w:rPr>
          <w:noProof/>
        </w:rPr>
      </w:pPr>
      <w:r>
        <w:rPr>
          <w:noProof/>
        </w:rPr>
        <w:tab/>
        <w:t>(d)</w:t>
      </w:r>
      <w:r>
        <w:rPr>
          <w:noProof/>
        </w:rPr>
        <w:tab/>
        <w:t>participanții care nu sunt rezidenți ai statului membru în care este stabilit fondul să nu aibă dreptul la mai mult de 20 % din activele fondului; și</w:t>
      </w:r>
    </w:p>
    <w:p>
      <w:pPr>
        <w:pStyle w:val="Point1"/>
        <w:rPr>
          <w:noProof/>
        </w:rPr>
      </w:pPr>
      <w:r>
        <w:rPr>
          <w:noProof/>
        </w:rPr>
        <w:tab/>
        <w:t>(e)</w:t>
      </w:r>
      <w:r>
        <w:rPr>
          <w:noProof/>
        </w:rPr>
        <w:tab/>
        <w:t>fondul să facă obiectul normelor guvernamentale și să raporteze informații autorităților fiscale.</w:t>
      </w:r>
    </w:p>
    <w:p>
      <w:pPr>
        <w:pStyle w:val="Point0"/>
        <w:rPr>
          <w:noProof/>
        </w:rPr>
      </w:pPr>
      <w:r>
        <w:rPr>
          <w:noProof/>
        </w:rPr>
        <w:tab/>
        <w:t>7.</w:t>
      </w:r>
      <w:r>
        <w:rPr>
          <w:noProof/>
        </w:rPr>
        <w:tab/>
        <w:t>Termenul „Fond de pensii al unei Entități guvernamentale, al unei Organizații internaționale sau al unei Bănci centrale” înseamnă un fond instituit de o Entitate guvernamentală, o Organizație internațională sau o Bancă centrală pentru a furniza beneficii cu titlu de pensii sau indemnizații de invaliditate sau de deces către beneficiari sau participanți care sunt actuali sau foști angajați (sau persoanele desemnate de către respectivii angajați), sau care nu sunt actuali sau foști angajați, dacă respectivele beneficii sunt acordate unor astfel de beneficiari sau participanți în schimbul unor servicii personale prestate pentru Entitatea guvernamentală, Organizația internațională sau Banca centrală respective.</w:t>
      </w:r>
    </w:p>
    <w:p>
      <w:pPr>
        <w:pStyle w:val="Point0"/>
        <w:rPr>
          <w:noProof/>
        </w:rPr>
      </w:pPr>
      <w:r>
        <w:rPr>
          <w:noProof/>
        </w:rPr>
        <w:lastRenderedPageBreak/>
        <w:tab/>
        <w:t>8.</w:t>
      </w:r>
      <w:r>
        <w:rPr>
          <w:noProof/>
        </w:rPr>
        <w:tab/>
        <w:t>Termenul „Emitent de carduri de credit calificat” înseamnă o Instituție Financiară care îndeplinește următoarele cerințe:</w:t>
      </w:r>
    </w:p>
    <w:p>
      <w:pPr>
        <w:pStyle w:val="Point1"/>
        <w:rPr>
          <w:noProof/>
        </w:rPr>
      </w:pPr>
      <w:r>
        <w:rPr>
          <w:noProof/>
        </w:rPr>
        <w:tab/>
        <w:t>(a)</w:t>
      </w:r>
      <w:r>
        <w:rPr>
          <w:noProof/>
        </w:rPr>
        <w:tab/>
        <w:t>Instituția Financiară este o Instituție Financiară doar pentru că este un emitent de carduri de credit care atrage depozite numai atunci când un client face o plată care depășește soldul datorat cu privire la card și plățile în exces nu sunt restituite imediat clientului; și</w:t>
      </w:r>
    </w:p>
    <w:p>
      <w:pPr>
        <w:pStyle w:val="Point1"/>
        <w:rPr>
          <w:noProof/>
        </w:rPr>
      </w:pPr>
      <w:r>
        <w:rPr>
          <w:noProof/>
        </w:rPr>
        <w:tab/>
        <w:t>(b)</w:t>
      </w:r>
      <w:r>
        <w:rPr>
          <w:noProof/>
        </w:rPr>
        <w:tab/>
        <w:t>anterior datei de 1 ianuarie 2016 sau începând cu data menționată, Instituția Financiară pune în aplicare politici și proceduri, fie pentru a împiedica un client de la a face o plată excedentară care depășește cuantumul exprimat în moneda fiecărui stat membru care corespunde sumei de 50 000 USD, fie pentru a asigura faptul că orice plată excedentară efectuată de un client peste cuantumul respectiv este restituită clientului în termen de 60 de zile, aplicând, în fiecare caz, normele prevăzute la secțiunea VII subsecțiunea C privind agregarea conturilor și conversia monetară. În acest sens, o plată excedentară a unui client nu se referă la solduri creditoare aferente unor debite contestate, ci include soldurile creditoare rezultate din restituiri de mărfuri.</w:t>
      </w:r>
    </w:p>
    <w:p>
      <w:pPr>
        <w:pStyle w:val="Point0"/>
        <w:rPr>
          <w:noProof/>
        </w:rPr>
      </w:pPr>
      <w:r>
        <w:rPr>
          <w:noProof/>
        </w:rPr>
        <w:tab/>
        <w:t>9.</w:t>
      </w:r>
      <w:r>
        <w:rPr>
          <w:noProof/>
        </w:rPr>
        <w:tab/>
        <w:t>Termenul „Organism de plasament colectiv exceptat” înseamnă o Entitate de Investiții care este reglementată ca organism de plasament colectiv, cu condiția ca toate drepturile asupra organismului de plasament colectiv să fie deținute de către sau prin intermediul unor persoane fizice sau Entități care nu sunt Persoane care fac obiectul raportării, cu excepția unei ENF</w:t>
      </w:r>
      <w:r>
        <w:rPr>
          <w:rStyle w:val="CRDeleted"/>
          <w:noProof/>
        </w:rPr>
        <w:t>S</w:t>
      </w:r>
      <w:r>
        <w:rPr>
          <w:noProof/>
        </w:rPr>
        <w:t xml:space="preserve"> pasive cu Persoane care exercită controlul care sunt Persoane care fac obiectul raportării.</w:t>
      </w:r>
    </w:p>
    <w:p>
      <w:pPr>
        <w:pStyle w:val="Point0"/>
        <w:rPr>
          <w:noProof/>
        </w:rPr>
      </w:pPr>
      <w:r>
        <w:rPr>
          <w:noProof/>
        </w:rPr>
        <w:tab/>
        <w:t xml:space="preserve">Simplul fapt că organismul de plasament colectiv a emis acțiuni fizice la purtător nu împiedică o Entitate de investiții care este reglementată ca organism de plasament colectiv să se încadreze </w:t>
      </w:r>
      <w:r>
        <w:rPr>
          <w:rStyle w:val="CRDeleted"/>
          <w:noProof/>
        </w:rPr>
        <w:t>la punctul 9 din subsecțiunea B</w:t>
      </w:r>
      <w:r>
        <w:rPr>
          <w:noProof/>
        </w:rPr>
        <w:t xml:space="preserve"> drept Organism de plasament colectiv exceptat, în următoarele condiții:</w:t>
      </w:r>
    </w:p>
    <w:p>
      <w:pPr>
        <w:pStyle w:val="Point1"/>
        <w:rPr>
          <w:noProof/>
        </w:rPr>
      </w:pPr>
      <w:r>
        <w:rPr>
          <w:noProof/>
        </w:rPr>
        <w:tab/>
        <w:t>(a)</w:t>
      </w:r>
      <w:r>
        <w:rPr>
          <w:noProof/>
        </w:rPr>
        <w:tab/>
        <w:t>organismul de plasament colectiv să nu fi emis și să nu emită niciun fel de acțiuni fizice la purtător ulterior datei de 31 decembrie 2015;</w:t>
      </w:r>
    </w:p>
    <w:p>
      <w:pPr>
        <w:pStyle w:val="Point1"/>
        <w:rPr>
          <w:noProof/>
        </w:rPr>
      </w:pPr>
      <w:r>
        <w:rPr>
          <w:noProof/>
        </w:rPr>
        <w:tab/>
        <w:t>(b)</w:t>
      </w:r>
      <w:r>
        <w:rPr>
          <w:noProof/>
        </w:rPr>
        <w:tab/>
        <w:t>organismul de plasament colectiv să retragă toate acțiunile respective în caz de răscumpărare;</w:t>
      </w:r>
    </w:p>
    <w:p>
      <w:pPr>
        <w:pStyle w:val="Point1"/>
        <w:rPr>
          <w:noProof/>
        </w:rPr>
      </w:pPr>
      <w:r>
        <w:rPr>
          <w:noProof/>
        </w:rPr>
        <w:tab/>
        <w:t>(c)</w:t>
      </w:r>
      <w:r>
        <w:rPr>
          <w:noProof/>
        </w:rPr>
        <w:tab/>
        <w:t>organismul de plasament colectiv să îndeplinească procedurile de diligență fiscală prevăzute în secțiunile II-VII și să raporteze orice informații solicitate care trebuie raportate cu privire la orice astfel de acțiuni atunci când respectivele acțiuni sunt prezentate pentru răscumpărare sau alte forme de plată; și</w:t>
      </w:r>
    </w:p>
    <w:p>
      <w:pPr>
        <w:pStyle w:val="Point1"/>
        <w:rPr>
          <w:noProof/>
        </w:rPr>
      </w:pPr>
      <w:r>
        <w:rPr>
          <w:noProof/>
        </w:rPr>
        <w:tab/>
        <w:t>(d)</w:t>
      </w:r>
      <w:r>
        <w:rPr>
          <w:noProof/>
        </w:rPr>
        <w:tab/>
        <w:t>organismul de plasament colectiv să fi instituit politici și proceduri pentru a se asigura că astfel de acțiuni sunt răscumpărate sau imobilizate cât mai curând posibil și, în orice caz, anterior datei de 1 ianuarie 2018.</w:t>
      </w:r>
    </w:p>
    <w:p>
      <w:pPr>
        <w:pStyle w:val="ManualHeading2"/>
        <w:ind w:left="851" w:hanging="851"/>
        <w:rPr>
          <w:noProof/>
        </w:rPr>
      </w:pPr>
      <w:bookmarkStart w:id="19" w:name="_Toc229742203"/>
      <w:r>
        <w:rPr>
          <w:noProof/>
        </w:rPr>
        <w:t>C.</w:t>
      </w:r>
      <w:r>
        <w:rPr>
          <w:noProof/>
        </w:rPr>
        <w:tab/>
        <w:t>Cont Financiar</w:t>
      </w:r>
      <w:bookmarkEnd w:id="19"/>
    </w:p>
    <w:p>
      <w:pPr>
        <w:pStyle w:val="Point0"/>
        <w:rPr>
          <w:noProof/>
        </w:rPr>
      </w:pPr>
      <w:r>
        <w:rPr>
          <w:noProof/>
        </w:rPr>
        <w:tab/>
        <w:t>1.</w:t>
      </w:r>
      <w:r>
        <w:rPr>
          <w:noProof/>
        </w:rPr>
        <w:tab/>
        <w:t>Termenul „Cont Financiar” înseamnă un cont administrat de o Instituție Financiară și include un Cont de Depozit, un Cont de Custodie și:</w:t>
      </w:r>
    </w:p>
    <w:p>
      <w:pPr>
        <w:pStyle w:val="Point1"/>
        <w:rPr>
          <w:noProof/>
        </w:rPr>
      </w:pPr>
      <w:r>
        <w:rPr>
          <w:noProof/>
        </w:rPr>
        <w:tab/>
        <w:t>(a)</w:t>
      </w:r>
      <w:r>
        <w:rPr>
          <w:noProof/>
        </w:rPr>
        <w:tab/>
        <w:t xml:space="preserve">în cazul unei Entități de Investiții, orice drepturi aferente capitalului sau datoriei aparținând Instituției Financiare. Fără a aduce atingere dispozițiilor anterioare, termenul „Cont Financiar” nu include niciun drept aferent capitalului sau datoriei unei Entități care este o Entitate de Investiții doar din motivul că aceasta: (i) prestează un serviciu de consiliere în investiții și acționează în numele, sau (ii) administrează portofolii ale unui client și acționează în numele acestuia în scopul realizării de investiții, de gestionare </w:t>
      </w:r>
      <w:r>
        <w:rPr>
          <w:noProof/>
        </w:rPr>
        <w:lastRenderedPageBreak/>
        <w:t>sau de administrare a Activelor Financiare depuse în numele clientului la o Instituție Financiară, alta decât respectiva Entitate;</w:t>
      </w:r>
    </w:p>
    <w:p>
      <w:pPr>
        <w:pStyle w:val="Point1"/>
        <w:rPr>
          <w:noProof/>
        </w:rPr>
      </w:pPr>
      <w:r>
        <w:rPr>
          <w:noProof/>
        </w:rPr>
        <w:tab/>
        <w:t>(b)</w:t>
      </w:r>
      <w:r>
        <w:rPr>
          <w:noProof/>
        </w:rPr>
        <w:tab/>
        <w:t xml:space="preserve">în cazul unei Instituții Financiare care nu este prevăzută la </w:t>
      </w:r>
      <w:r>
        <w:rPr>
          <w:rStyle w:val="CRDeleted"/>
          <w:noProof/>
        </w:rPr>
        <w:t>subsecțiunea C punctul 1</w:t>
      </w:r>
      <w:r>
        <w:rPr>
          <w:noProof/>
        </w:rPr>
        <w:t xml:space="preserve"> litera (a), orice drept aferent capitalului sau datoriei Instituției Financiare, în cazul în care categoria de drepturi a fost stabilită cu scopul de a evita raportarea în conformitate cu secțiunea I; și</w:t>
      </w:r>
    </w:p>
    <w:p>
      <w:pPr>
        <w:pStyle w:val="Point1"/>
        <w:rPr>
          <w:noProof/>
        </w:rPr>
      </w:pPr>
      <w:r>
        <w:rPr>
          <w:noProof/>
        </w:rPr>
        <w:tab/>
        <w:t>(c)</w:t>
      </w:r>
      <w:r>
        <w:rPr>
          <w:noProof/>
        </w:rPr>
        <w:tab/>
        <w:t>orice Contract de asigurare cu valoare de răscumpărare și orice Contract cu rentă viageră emis sau administrat de către o Instituție Financiară, altul decât o rentă viageră imediată, nelegată de investiții, netransferabilă, care îi este emisă unei persoane fizice și corespunde unei pensii sau unei indemnizații de invaliditate furnizate în cadrul unui cont care este un Cont Exclus.</w:t>
      </w:r>
    </w:p>
    <w:p>
      <w:pPr>
        <w:pStyle w:val="Point0"/>
        <w:rPr>
          <w:noProof/>
        </w:rPr>
      </w:pPr>
      <w:r>
        <w:rPr>
          <w:noProof/>
        </w:rPr>
        <w:tab/>
        <w:t>Termenul „Cont Financiar” nu include niciun cont care este un Cont Exclus.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(d)</w:t>
      </w:r>
    </w:p>
    <w:p>
      <w:pPr>
        <w:pStyle w:val="Point0"/>
        <w:rPr>
          <w:noProof/>
        </w:rPr>
      </w:pPr>
      <w:r>
        <w:rPr>
          <w:noProof/>
        </w:rPr>
        <w:tab/>
        <w:t>2.</w:t>
      </w:r>
      <w:r>
        <w:rPr>
          <w:noProof/>
        </w:rPr>
        <w:tab/>
        <w:t>Termenul „Cont de Depozit” include orice cont comercial, de debit, de economii, la termen, de consemnațiuni sau un cont a cărui existență este documentată printr-un certificat de depozit, de economii, de investiții, un certificat de îndatorare sau un alt instrument similar păstrat de o Instituție Depozitară. Un Cont de Depozit include, de asemenea:</w:t>
      </w:r>
    </w:p>
    <w:p>
      <w:pPr>
        <w:pStyle w:val="Point1"/>
        <w:rPr>
          <w:noProof/>
        </w:rPr>
      </w:pPr>
      <w:r>
        <w:rPr>
          <w:noProof/>
        </w:rPr>
        <w:tab/>
        <w:t>(a)</w:t>
      </w:r>
      <w:r>
        <w:rPr>
          <w:noProof/>
        </w:rPr>
        <w:tab/>
        <w:t>o sumă deținută de o companie de asigurări în temeiul unui contract de investiții cu garanție sau al unui acord similar care are drept scop plata sau creditarea de dobânzi către titular;</w:t>
      </w:r>
    </w:p>
    <w:p>
      <w:pPr>
        <w:pStyle w:val="Point1"/>
        <w:rPr>
          <w:noProof/>
        </w:rPr>
      </w:pPr>
      <w:r>
        <w:rPr>
          <w:noProof/>
        </w:rPr>
        <w:tab/>
        <w:t>(b)</w:t>
      </w:r>
      <w:r>
        <w:rPr>
          <w:noProof/>
        </w:rPr>
        <w:tab/>
        <w:t>un cont sau un cont noțional care reprezintă toate Monedele Electronice deținute în beneficiul unui client; precum și</w:t>
      </w:r>
    </w:p>
    <w:p>
      <w:pPr>
        <w:pStyle w:val="Point1"/>
        <w:rPr>
          <w:noProof/>
        </w:rPr>
      </w:pPr>
      <w:r>
        <w:rPr>
          <w:noProof/>
        </w:rPr>
        <w:tab/>
        <w:t>(c)</w:t>
      </w:r>
      <w:r>
        <w:rPr>
          <w:noProof/>
        </w:rPr>
        <w:tab/>
        <w:t>un cont în care se dețin una sau mai multe Monede Digitale emise de Banca Centrală în beneficiul unui client.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Point0"/>
        <w:rPr>
          <w:noProof/>
        </w:rPr>
      </w:pPr>
      <w:r>
        <w:rPr>
          <w:noProof/>
        </w:rPr>
        <w:tab/>
        <w:t>3.</w:t>
      </w:r>
      <w:r>
        <w:rPr>
          <w:noProof/>
        </w:rPr>
        <w:tab/>
        <w:t>Termenul „Cont de Custodie” înseamnă un cont (altul decât un Contract de asigurare sau un Contract cu rentă viageră) care conține unul sau mai multe Active Financiare în beneficiul altei persoane.</w:t>
      </w:r>
    </w:p>
    <w:p>
      <w:pPr>
        <w:pStyle w:val="Point0"/>
        <w:rPr>
          <w:noProof/>
        </w:rPr>
      </w:pPr>
      <w:r>
        <w:rPr>
          <w:noProof/>
        </w:rPr>
        <w:tab/>
        <w:t>4.</w:t>
      </w:r>
      <w:r>
        <w:rPr>
          <w:noProof/>
        </w:rPr>
        <w:tab/>
        <w:t>Termenul „Participație în capitalurile proprii” înseamnă, în cazul unui parteneriat care este o Instituție Financiară, o participație fie la capitalul, fie la profitul parteneriatului. În cazul unei fiducii care este o Instituție Financiară, o Participație în capitalurile proprii este considerată a fi deținută de către orice persoană asimilată unui constituitor sau unui beneficiar al întregii fiducii sau a unei părți a acesteia, sau a oricărei alte persoane fizice care exercită un control efectiv definitiv asupra fiduciei. O Persoană care face obiectul raportării va fi considerată beneficiar al unei fiducii dacă respectiva Persoană care face obiectul raportării are dreptul de a primi, direct sau indirect (de exemplu, prin intermediul unui mandatar), o distribuție obligatorie sau poate primi, direct sau indirect, o distribuție discreționară din fiducie.</w:t>
      </w:r>
    </w:p>
    <w:p>
      <w:pPr>
        <w:pStyle w:val="Point0"/>
        <w:rPr>
          <w:noProof/>
        </w:rPr>
      </w:pPr>
      <w:r>
        <w:rPr>
          <w:noProof/>
        </w:rPr>
        <w:lastRenderedPageBreak/>
        <w:tab/>
        <w:t>5.</w:t>
      </w:r>
      <w:r>
        <w:rPr>
          <w:noProof/>
        </w:rPr>
        <w:tab/>
        <w:t>Termenul „Contract de asigurare” înseamnă un contract (altul decât un Contract cu rentă viageră) în conformitate cu care emitentul este de acord să plătească o sumă în momentul în care survine un eveniment asigurat specificat, legat de mortalitate, morbiditate, accident, răspundere civilă sau pagubă materială afectând o proprietate.</w:t>
      </w:r>
    </w:p>
    <w:p>
      <w:pPr>
        <w:pStyle w:val="Point0"/>
        <w:rPr>
          <w:noProof/>
        </w:rPr>
      </w:pPr>
      <w:r>
        <w:rPr>
          <w:noProof/>
        </w:rPr>
        <w:tab/>
        <w:t>6.</w:t>
      </w:r>
      <w:r>
        <w:rPr>
          <w:noProof/>
        </w:rPr>
        <w:tab/>
        <w:t>Termenul „Contract cu rentă viageră” înseamnă un contract în conformitate cu care emitentul este de acord să efectueze plăți pentru o anumită perioadă de timp, determinată, în totalitate sau parțial, în funcție de speranța de viață a uneia sau mai multor persoane fizice. Termenul include, de asemenea, un contract care este considerat a fi un Contract cu rentă viageră în conformitate cu legislația, reglementările sau practica din statul membru sau din altă jurisdicție în care contractul a fost emis, și în conformitate cu care emitentul este de acord să facă plățile pentru o perioadă de mai mulți ani.</w:t>
      </w:r>
    </w:p>
    <w:p>
      <w:pPr>
        <w:pStyle w:val="Point0"/>
        <w:rPr>
          <w:noProof/>
        </w:rPr>
      </w:pPr>
      <w:r>
        <w:rPr>
          <w:noProof/>
        </w:rPr>
        <w:tab/>
        <w:t>7.</w:t>
      </w:r>
      <w:r>
        <w:rPr>
          <w:noProof/>
        </w:rPr>
        <w:tab/>
        <w:t>Termenul „Contract de asigurare cu valoare de răscumpărare” înseamnă un Contract de asigurare (altul decât un contract de reasigurare încheiat între două societăți de asigurare) care are o Valoare de răscumpărare.</w:t>
      </w:r>
    </w:p>
    <w:p>
      <w:pPr>
        <w:pStyle w:val="Point0"/>
        <w:rPr>
          <w:noProof/>
        </w:rPr>
      </w:pPr>
      <w:r>
        <w:rPr>
          <w:noProof/>
        </w:rPr>
        <w:tab/>
        <w:t>8.</w:t>
      </w:r>
      <w:r>
        <w:rPr>
          <w:noProof/>
        </w:rPr>
        <w:tab/>
        <w:t>Termenul „Valoare de răscumpărare” înseamnă valoarea cea mai mare dintre: (i) suma pe care deținătorul poliței de asigurare este îndreptățit să o primească în cazul răscumpărării sau rezilierii contractului (calculată fără a scădea eventualele taxe de răscumpărare sau împrumuturi din poliță) și (ii) suma pe care deținătorul poliței de asigurare o poate împrumuta în temeiul contractului sau în legătură cu acesta. Fără a aduce atingere dispozițiilor anterioare, termenul „Valoare de răscumpărare” nu include o sumă de plătit în temeiul unui Contract de asigurare:</w:t>
      </w:r>
    </w:p>
    <w:p>
      <w:pPr>
        <w:pStyle w:val="Point1"/>
        <w:rPr>
          <w:noProof/>
        </w:rPr>
      </w:pPr>
      <w:r>
        <w:rPr>
          <w:noProof/>
        </w:rPr>
        <w:tab/>
        <w:t>(a)</w:t>
      </w:r>
      <w:r>
        <w:rPr>
          <w:noProof/>
        </w:rPr>
        <w:tab/>
        <w:t>doar din motivul decesului unei persoane fizice asigurate în temeiul unui contract de asigurare de viață;</w:t>
      </w:r>
    </w:p>
    <w:p>
      <w:pPr>
        <w:pStyle w:val="Point1"/>
        <w:rPr>
          <w:noProof/>
        </w:rPr>
      </w:pPr>
      <w:r>
        <w:rPr>
          <w:noProof/>
        </w:rPr>
        <w:tab/>
        <w:t>(b)</w:t>
      </w:r>
      <w:r>
        <w:rPr>
          <w:noProof/>
        </w:rPr>
        <w:tab/>
        <w:t>drept indemnizație pentru o daună corporală, o boală sau o altă plată reparatorie pentru o pierdere economică ce survine în momentul producerii evenimentului asigurat;</w:t>
      </w:r>
    </w:p>
    <w:p>
      <w:pPr>
        <w:pStyle w:val="Point1"/>
        <w:rPr>
          <w:noProof/>
        </w:rPr>
      </w:pPr>
      <w:r>
        <w:rPr>
          <w:noProof/>
        </w:rPr>
        <w:tab/>
        <w:t>(c)</w:t>
      </w:r>
      <w:r>
        <w:rPr>
          <w:noProof/>
        </w:rPr>
        <w:tab/>
        <w:t>drept rambursare a unei prime plătite anterior (mai puțin costul taxelor de asigurare, fie că acestea sunt sau nu efectiv aplicate) în conformitate cu un Contract de asigurare (altul decât un contract de asigurare de viață cu componentă de investiții sau un Contract cu rentă viageră) ca urmare a anulării sau a rezilierii contractului, a diminuării expunerii la risc pe parcursul perioadei în care contractul este efectiv în vigoare, ori rezultând din corectarea unei erori de înscriere sau a unei erori similare cu privire la prima stipulată în contract;</w:t>
      </w:r>
    </w:p>
    <w:p>
      <w:pPr>
        <w:pStyle w:val="Point1"/>
        <w:rPr>
          <w:noProof/>
        </w:rPr>
      </w:pPr>
      <w:r>
        <w:rPr>
          <w:noProof/>
        </w:rPr>
        <w:tab/>
        <w:t>(d)</w:t>
      </w:r>
      <w:r>
        <w:rPr>
          <w:noProof/>
        </w:rPr>
        <w:tab/>
        <w:t xml:space="preserve">drept dividend în beneficiul deținătorului poliței de asigurare (în afară de dividendele transferate la rezilierea contractului), cu condiția ca respectivele dividende să fie legate de un Contract de asigurare în conformitate cu care singurele indemnizații de plătit sunt cele prevăzute la </w:t>
      </w:r>
      <w:r>
        <w:rPr>
          <w:rStyle w:val="CRDeleted"/>
          <w:noProof/>
        </w:rPr>
        <w:t xml:space="preserve">subsecțiunea C punctul 8 </w:t>
      </w:r>
      <w:r>
        <w:rPr>
          <w:noProof/>
        </w:rPr>
        <w:t>litera (b); sau</w:t>
      </w:r>
    </w:p>
    <w:p>
      <w:pPr>
        <w:pStyle w:val="Point1"/>
        <w:rPr>
          <w:noProof/>
        </w:rPr>
      </w:pPr>
      <w:r>
        <w:rPr>
          <w:noProof/>
        </w:rPr>
        <w:tab/>
        <w:t>(e)</w:t>
      </w:r>
      <w:r>
        <w:rPr>
          <w:noProof/>
        </w:rPr>
        <w:tab/>
        <w:t>drept restituire a unei prime în avans sau a unui depozit de primă pentru un Contract de asigurare a cărui primă trebuie plătită cel puțin o dată pe an, dacă suma reprezentând prima anticipată sau depozitul de primă nu depășește suma primei anuale de plată pentru anul următor în temeiul contractului.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(e) (adaptat)</w:t>
      </w:r>
    </w:p>
    <w:p>
      <w:pPr>
        <w:pStyle w:val="Point0"/>
        <w:rPr>
          <w:noProof/>
        </w:rPr>
      </w:pPr>
      <w:r>
        <w:rPr>
          <w:noProof/>
        </w:rPr>
        <w:tab/>
        <w:t>9.</w:t>
      </w:r>
      <w:r>
        <w:rPr>
          <w:noProof/>
        </w:rPr>
        <w:tab/>
        <w:t>Termenul „Cont Preexistent” înseamnă:</w:t>
      </w:r>
    </w:p>
    <w:p>
      <w:pPr>
        <w:pStyle w:val="Point1"/>
        <w:rPr>
          <w:noProof/>
        </w:rPr>
      </w:pPr>
      <w:r>
        <w:rPr>
          <w:noProof/>
        </w:rPr>
        <w:tab/>
        <w:t>(a)</w:t>
      </w:r>
      <w:r>
        <w:rPr>
          <w:noProof/>
        </w:rPr>
        <w:tab/>
        <w:t>un Cont Financiar administrat de o Instituție Financiară Raportoare la data de 31 decembrie 2015 sau, în cazul în care contul este considerat drept Cont Financiar exclusiv în temeiul modificărilor aduse prezentei directive prin Directiva (UE) 2023/2226 a Consiliului</w:t>
      </w:r>
      <w:r>
        <w:rPr>
          <w:rStyle w:val="FootnoteReference"/>
          <w:noProof/>
        </w:rPr>
        <w:footnoteReference w:id="1"/>
      </w:r>
      <w:r>
        <w:rPr>
          <w:noProof/>
        </w:rPr>
        <w:t>, la data de 31 decembrie 2025;</w:t>
      </w:r>
    </w:p>
    <w:p>
      <w:pPr>
        <w:pStyle w:val="Point1"/>
        <w:rPr>
          <w:noProof/>
        </w:rPr>
      </w:pPr>
      <w:r>
        <w:rPr>
          <w:noProof/>
        </w:rPr>
        <w:tab/>
        <w:t>(b)</w:t>
      </w:r>
      <w:r>
        <w:rPr>
          <w:noProof/>
        </w:rPr>
        <w:tab/>
        <w:t>orice Cont Financiar al unui Titular de Cont, indiferent de data la care a fost deschis respectivul Cont Financiar, în cazul în care:</w:t>
      </w:r>
    </w:p>
    <w:p>
      <w:pPr>
        <w:pStyle w:val="Point2"/>
        <w:rPr>
          <w:noProof/>
        </w:rPr>
      </w:pPr>
      <w:r>
        <w:rPr>
          <w:noProof/>
        </w:rPr>
        <w:tab/>
        <w:t>(i)</w:t>
      </w:r>
      <w:r>
        <w:rPr>
          <w:noProof/>
        </w:rPr>
        <w:tab/>
        <w:t xml:space="preserve">Titularul de Cont deține, de asemenea, la Instituția Financiară Raportoare (sau la o Entitate afiliată din același stat membru ca Instituția Financiară Raportoare) un Cont Financiar care este un Cont Preexistent în conformitate cu </w:t>
      </w:r>
      <w:r>
        <w:rPr>
          <w:rStyle w:val="CRDeleted"/>
          <w:noProof/>
        </w:rPr>
        <w:t>punctul C subpunctul 9</w:t>
      </w:r>
      <w:r>
        <w:rPr>
          <w:noProof/>
        </w:rPr>
        <w:t xml:space="preserve"> litera (a);</w:t>
      </w:r>
    </w:p>
    <w:p>
      <w:pPr>
        <w:pStyle w:val="Point2"/>
        <w:rPr>
          <w:noProof/>
        </w:rPr>
      </w:pPr>
      <w:r>
        <w:rPr>
          <w:noProof/>
        </w:rPr>
        <w:tab/>
        <w:t>(ii)</w:t>
      </w:r>
      <w:r>
        <w:rPr>
          <w:noProof/>
        </w:rPr>
        <w:tab/>
        <w:t xml:space="preserve">Instituția Financiară Raportoare (și, după caz, Entitatea afiliată din același stat membru ca și Instituția Financiară Raportoare) tratează atât Conturile Financiare menționate anterior, cât și orice alte Conturi Financiare ale Titularului de Cont care sunt considerate drept Conturi Preexistente în temeiul </w:t>
      </w:r>
      <w:r>
        <w:rPr>
          <w:rStyle w:val="CRDeleted"/>
          <w:noProof/>
        </w:rPr>
        <w:t>punctului C subpunctul 9</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prezentului punct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litera (b), drept un singur Cont Financiar în scopul respectării standardelor în materie de cerințe privind cunoașterea clientului prevăzute la secțiunea VII punctul A, și în scopul stabilirii soldului sau a valorii oricăruia dintre Conturile Financiare atunci când aplică oricare dintre pragurile referitoare la cont;</w:t>
      </w:r>
    </w:p>
    <w:p>
      <w:pPr>
        <w:pStyle w:val="Point2"/>
        <w:rPr>
          <w:noProof/>
        </w:rPr>
      </w:pPr>
      <w:r>
        <w:rPr>
          <w:noProof/>
        </w:rPr>
        <w:tab/>
        <w:t>(iii)</w:t>
      </w:r>
      <w:r>
        <w:rPr>
          <w:noProof/>
        </w:rPr>
        <w:tab/>
        <w:t xml:space="preserve">în ceea ce privește un Cont Financiar care face obiectul Procedurilor AML/KYC, Instituția Financiară Raportoare este autorizată să respecte respectivele Proceduri AML/KYC referitor la Contul Financiar bazându-se pe Procedurile AML/KYC efectuate pentru Contul Preexistent prevăzut la </w:t>
      </w:r>
      <w:r>
        <w:rPr>
          <w:rStyle w:val="CRDeleted"/>
          <w:noProof/>
        </w:rPr>
        <w:t>punctul C subpunctul 9</w:t>
      </w:r>
      <w:r>
        <w:rPr>
          <w:noProof/>
        </w:rPr>
        <w:t xml:space="preserve"> litera (a); și</w:t>
      </w:r>
    </w:p>
    <w:p>
      <w:pPr>
        <w:pStyle w:val="Point2"/>
        <w:rPr>
          <w:noProof/>
        </w:rPr>
      </w:pPr>
      <w:r>
        <w:rPr>
          <w:noProof/>
        </w:rPr>
        <w:tab/>
        <w:t>(iv)</w:t>
      </w:r>
      <w:r>
        <w:rPr>
          <w:noProof/>
        </w:rPr>
        <w:tab/>
        <w:t>deschiderea Contului Financiar nu implică obligația de a furniza informații despre client noi, suplimentare sau modificate de către Titularul de Cont, în afara celor necesare în scopul prezentei directive.</w:t>
      </w:r>
    </w:p>
    <w:p>
      <w:pPr>
        <w:pStyle w:val="Point0"/>
        <w:rPr>
          <w:noProof/>
        </w:rPr>
      </w:pPr>
      <w:r>
        <w:rPr>
          <w:noProof/>
        </w:rPr>
        <w:tab/>
        <w:t>10.</w:t>
      </w:r>
      <w:r>
        <w:rPr>
          <w:noProof/>
        </w:rPr>
        <w:tab/>
        <w:t>Termenul „Cont Nou” înseamnă un Cont Financiar administrat de o Instituție Financiară Raportoare, deschis la data de 1 ianuarie 2016 sau ulterior acestei date ori, în cazul în care contul este considerat drept Cont Financiar exclusiv în temeiul modificărilor aduse prezentei directive prin Directiva (UE) 2023/2226, la data de 1 ianuarie 2026 sau ulterior acestei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Point0"/>
        <w:rPr>
          <w:noProof/>
        </w:rPr>
      </w:pPr>
      <w:r>
        <w:rPr>
          <w:noProof/>
        </w:rPr>
        <w:tab/>
        <w:t>11.</w:t>
      </w:r>
      <w:r>
        <w:rPr>
          <w:noProof/>
        </w:rPr>
        <w:tab/>
        <w:t>Termenul „Cont de Persoană Fizică Preexistent” înseamnă un Cont Preexistent deținut de una sau mai multe persoane fizice.</w:t>
      </w:r>
    </w:p>
    <w:p>
      <w:pPr>
        <w:pStyle w:val="Point0"/>
        <w:rPr>
          <w:noProof/>
        </w:rPr>
      </w:pPr>
      <w:r>
        <w:rPr>
          <w:noProof/>
        </w:rPr>
        <w:lastRenderedPageBreak/>
        <w:tab/>
        <w:t>12.</w:t>
      </w:r>
      <w:r>
        <w:rPr>
          <w:noProof/>
        </w:rPr>
        <w:tab/>
        <w:t>Termenul „Cont de Persoană Fizică Nou” înseamnă un Cont Nou deținut de una sau mai multe persoane fizice.</w:t>
      </w:r>
    </w:p>
    <w:p>
      <w:pPr>
        <w:pStyle w:val="Point0"/>
        <w:rPr>
          <w:noProof/>
        </w:rPr>
      </w:pPr>
      <w:r>
        <w:rPr>
          <w:noProof/>
        </w:rPr>
        <w:tab/>
        <w:t>13.</w:t>
      </w:r>
      <w:r>
        <w:rPr>
          <w:noProof/>
        </w:rPr>
        <w:tab/>
        <w:t>Termenul „Cont de Entitate Preexistent” înseamnă un Cont Preexistent deținut de una sau mai multe Entități.</w:t>
      </w:r>
    </w:p>
    <w:p>
      <w:pPr>
        <w:pStyle w:val="Point0"/>
        <w:rPr>
          <w:noProof/>
        </w:rPr>
      </w:pPr>
      <w:r>
        <w:rPr>
          <w:noProof/>
        </w:rPr>
        <w:tab/>
        <w:t>14.</w:t>
      </w:r>
      <w:r>
        <w:rPr>
          <w:noProof/>
        </w:rPr>
        <w:tab/>
        <w:t>Termenul „Cont cu Valoare Mai Mică” înseamnă un Cont de Persoană Fizică Preexistent cu un sold sau o valoare agregată a contului care, la data de 31 decembrie 2015, nu depășește un cuantum în moneda fiecărui stat membru care corespunde sumei de 1 000 000 USD.</w:t>
      </w:r>
    </w:p>
    <w:p>
      <w:pPr>
        <w:pStyle w:val="Point0"/>
        <w:rPr>
          <w:noProof/>
        </w:rPr>
      </w:pPr>
      <w:r>
        <w:rPr>
          <w:noProof/>
        </w:rPr>
        <w:tab/>
        <w:t>15.</w:t>
      </w:r>
      <w:r>
        <w:rPr>
          <w:noProof/>
        </w:rPr>
        <w:tab/>
        <w:t>Termenul „Cont cu Valoare Mare” înseamnă un Cont de Persoană Fizică Preexistent cu un sold sau o valoare agregată a contului care depășește, la data de 31 decembrie 2015 sau la data de 31 decembrie a oricărui an ulterior, un cuantum în moneda fiecărui stat membru care corespunde sumei de 1 000 000 USD.</w:t>
      </w:r>
    </w:p>
    <w:p>
      <w:pPr>
        <w:pStyle w:val="Point0"/>
        <w:rPr>
          <w:noProof/>
        </w:rPr>
      </w:pPr>
      <w:r>
        <w:rPr>
          <w:noProof/>
        </w:rPr>
        <w:tab/>
        <w:t>16.</w:t>
      </w:r>
      <w:r>
        <w:rPr>
          <w:noProof/>
        </w:rPr>
        <w:tab/>
        <w:t>Termenul „Cont de Entitate Nou” înseamnă un Cont Nou deținut de una sau mai multe Entități.</w:t>
      </w:r>
    </w:p>
    <w:p>
      <w:pPr>
        <w:pStyle w:val="Point0"/>
        <w:rPr>
          <w:noProof/>
        </w:rPr>
      </w:pPr>
      <w:r>
        <w:rPr>
          <w:noProof/>
        </w:rPr>
        <w:tab/>
        <w:t>17.</w:t>
      </w:r>
      <w:r>
        <w:rPr>
          <w:noProof/>
        </w:rPr>
        <w:tab/>
        <w:t>Termenul „Cont Exclus” înseamnă oricare dintre următoarele conturi:</w:t>
      </w:r>
    </w:p>
    <w:p>
      <w:pPr>
        <w:pStyle w:val="Point1"/>
        <w:rPr>
          <w:noProof/>
        </w:rPr>
      </w:pPr>
      <w:r>
        <w:rPr>
          <w:noProof/>
        </w:rPr>
        <w:tab/>
        <w:t>(a)</w:t>
      </w:r>
      <w:r>
        <w:rPr>
          <w:noProof/>
        </w:rPr>
        <w:tab/>
        <w:t>un cont de pensie care îndeplinește următoarele cerințe:</w:t>
      </w:r>
    </w:p>
    <w:p>
      <w:pPr>
        <w:pStyle w:val="Point2"/>
        <w:rPr>
          <w:noProof/>
        </w:rPr>
      </w:pPr>
      <w:r>
        <w:rPr>
          <w:noProof/>
        </w:rPr>
        <w:tab/>
        <w:t>(i)</w:t>
      </w:r>
      <w:r>
        <w:rPr>
          <w:noProof/>
        </w:rPr>
        <w:tab/>
        <w:t>contul este reglementat drept cont de pensie cu caracter personal sau face parte dintr-un plan de pensii reglementat pentru furnizarea de beneficii cu titlu de pensii sau de indemnizații (inclusiv indemnizații de invaliditate sau de deces);</w:t>
      </w:r>
    </w:p>
    <w:p>
      <w:pPr>
        <w:pStyle w:val="Point2"/>
        <w:rPr>
          <w:noProof/>
        </w:rPr>
      </w:pPr>
      <w:r>
        <w:rPr>
          <w:noProof/>
        </w:rPr>
        <w:tab/>
        <w:t>(ii)</w:t>
      </w:r>
      <w:r>
        <w:rPr>
          <w:noProof/>
        </w:rPr>
        <w:tab/>
        <w:t>contul beneficiază de un tratament fiscal favorabil (și anume, contribuțiile în cont care ar face în mod normal obiectul impozitării sunt deductibile sau excluse din venitul brut al Titularului de cont sau impozitate la o cotă redusă, ori impozitarea venitului din investiții generat de contul respectiv este amânată sau venitul din investiții este impozitat la o cotă redusă);</w:t>
      </w:r>
    </w:p>
    <w:p>
      <w:pPr>
        <w:pStyle w:val="Point2"/>
        <w:rPr>
          <w:noProof/>
        </w:rPr>
      </w:pPr>
      <w:r>
        <w:rPr>
          <w:noProof/>
        </w:rPr>
        <w:tab/>
        <w:t>(iii)</w:t>
      </w:r>
      <w:r>
        <w:rPr>
          <w:noProof/>
        </w:rPr>
        <w:tab/>
        <w:t>este obligatorie raportarea informațiilor cu privire la cont către autoritățile fiscale;</w:t>
      </w:r>
    </w:p>
    <w:p>
      <w:pPr>
        <w:pStyle w:val="Point2"/>
        <w:rPr>
          <w:noProof/>
        </w:rPr>
      </w:pPr>
      <w:r>
        <w:rPr>
          <w:noProof/>
        </w:rPr>
        <w:tab/>
        <w:t>(iv)</w:t>
      </w:r>
      <w:r>
        <w:rPr>
          <w:noProof/>
        </w:rPr>
        <w:tab/>
        <w:t>retragerile sunt condiționate de atingerea unei vârste de pensionare determinate, de invaliditate sau deces, sau se aplică sancțiuni în cazul retragerilor efectuate înainte de astfel de evenimente determinate; și</w:t>
      </w:r>
    </w:p>
    <w:p>
      <w:pPr>
        <w:pStyle w:val="Point2"/>
        <w:rPr>
          <w:noProof/>
        </w:rPr>
      </w:pPr>
      <w:r>
        <w:rPr>
          <w:noProof/>
        </w:rPr>
        <w:tab/>
        <w:t>(v)</w:t>
      </w:r>
      <w:r>
        <w:rPr>
          <w:noProof/>
        </w:rPr>
        <w:tab/>
        <w:t>fie (i) contribuțiile anuale sunt limitate la un cuantum în moneda fiecărui stat membru care corespunde sumei de 50 000 USD sau mai puțin, fie (ii) există o limită maximă de contribuție pe durata vieții, egală cu un cuantum în moneda fiecărui stat membru care corespunde sumei de 1 000 000 USD sau inferioară, aplicându-se, în fiecare caz, normele prevăzute la secțiunea VII subsecțiunea C privind agregarea conturilor și conversia monetară.</w:t>
      </w:r>
    </w:p>
    <w:p>
      <w:pPr>
        <w:pStyle w:val="Point1"/>
        <w:rPr>
          <w:noProof/>
        </w:rPr>
      </w:pPr>
      <w:r>
        <w:rPr>
          <w:noProof/>
        </w:rPr>
        <w:tab/>
        <w:t>Un Cont Financiar care îndeplinește în alt mod cerința de la subsecțiunea C punctul 17 litera (a) subpunctul (v) nu va înceta să îndeplinească această cerință numai din cauza faptului că respectivul Cont Financiar poate primi active sau fonduri virate din unul sau mai multe Conturi Financiare care îndeplinesc cerințele de la subsecțiunea C punctul 17 litera (a) sau (b) sau din unul sau mai multe fonduri de pensii care îndeplinesc cerințele de la oricare dintre punctele 5-7 de la subsecțiunea B.</w:t>
      </w:r>
    </w:p>
    <w:p>
      <w:pPr>
        <w:pStyle w:val="Point1"/>
        <w:rPr>
          <w:noProof/>
        </w:rPr>
      </w:pPr>
      <w:r>
        <w:rPr>
          <w:noProof/>
        </w:rPr>
        <w:tab/>
        <w:t>(b)</w:t>
      </w:r>
      <w:r>
        <w:rPr>
          <w:noProof/>
        </w:rPr>
        <w:tab/>
        <w:t>un cont care îndeplinește cerințele următoare:</w:t>
      </w:r>
    </w:p>
    <w:p>
      <w:pPr>
        <w:pStyle w:val="Point2"/>
        <w:rPr>
          <w:noProof/>
        </w:rPr>
      </w:pPr>
      <w:r>
        <w:rPr>
          <w:noProof/>
        </w:rPr>
        <w:lastRenderedPageBreak/>
        <w:tab/>
        <w:t>(i)</w:t>
      </w:r>
      <w:r>
        <w:rPr>
          <w:noProof/>
        </w:rPr>
        <w:tab/>
        <w:t>contul este reglementat drept organism de plasament în alte scopuri decât pentru pensie și este tranzacționat în mod regulat pe o piață a titlurilor de valoare reglementată sau contul este reglementat drept instrument pentru economii în alte scopuri decât pentru pensie;</w:t>
      </w:r>
    </w:p>
    <w:p>
      <w:pPr>
        <w:pStyle w:val="Point2"/>
        <w:rPr>
          <w:noProof/>
        </w:rPr>
      </w:pPr>
      <w:r>
        <w:rPr>
          <w:noProof/>
        </w:rPr>
        <w:tab/>
        <w:t>(ii)</w:t>
      </w:r>
      <w:r>
        <w:rPr>
          <w:noProof/>
        </w:rPr>
        <w:tab/>
        <w:t>contul beneficiază de un tratament fiscal favorabil (și anume, contribuțiile în cont care ar face în mod normal obiectul impozitării sunt deductibile sau excluse din venitul brut al Titularului de cont sau impozitate la o cotă redusă, ori impozitarea venitului din investiții generat de contul respectiv este amânată sau venitul din investiții este impozitat la o cotă redusă);</w:t>
      </w:r>
    </w:p>
    <w:p>
      <w:pPr>
        <w:pStyle w:val="Point2"/>
        <w:rPr>
          <w:noProof/>
        </w:rPr>
      </w:pPr>
      <w:r>
        <w:rPr>
          <w:noProof/>
        </w:rPr>
        <w:tab/>
        <w:t>(iii)</w:t>
      </w:r>
      <w:r>
        <w:rPr>
          <w:noProof/>
        </w:rPr>
        <w:tab/>
        <w:t>retragerile sunt condiționate de îndeplinirea unor criterii specifice legate de scopul contului de investiții sau de economii (de exemplu, acordarea de beneficii medicale sau pentru educație), sau se aplică sancțiuni în cazul unor retrageri efectuate înainte ca aceste criterii să fie îndeplinite; și</w:t>
      </w:r>
    </w:p>
    <w:p>
      <w:pPr>
        <w:pStyle w:val="Point2"/>
        <w:rPr>
          <w:noProof/>
        </w:rPr>
      </w:pPr>
      <w:r>
        <w:rPr>
          <w:noProof/>
        </w:rPr>
        <w:tab/>
        <w:t>(iv)</w:t>
      </w:r>
      <w:r>
        <w:rPr>
          <w:noProof/>
        </w:rPr>
        <w:tab/>
        <w:t>contribuțiile anuale sunt limitate la un cuantum în moneda fiecărui stat membru care corespunde sumei de 50 000 USD sau mai puțin, aplicându-se normele prevăzute la secțiunea VII subsecțiunea C privind agregarea conturilor și conversia monetară.</w:t>
      </w:r>
    </w:p>
    <w:p>
      <w:pPr>
        <w:pStyle w:val="Point1"/>
        <w:rPr>
          <w:noProof/>
        </w:rPr>
      </w:pPr>
      <w:r>
        <w:rPr>
          <w:noProof/>
        </w:rPr>
        <w:tab/>
        <w:t xml:space="preserve">Un Cont Financiar care îndeplinește în alt mod cerința de la subsecțiunea C punctul 17 litera </w:t>
      </w:r>
      <w:r>
        <w:rPr>
          <w:rStyle w:val="CRDeleted"/>
          <w:noProof/>
        </w:rPr>
        <w:t>(a)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(b)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subpunctul (iv) nu va înceta să îndeplinească această cerință numai din cauza faptului că respectivul Cont Financiar poate primi active sau fonduri virate din unul sau mai multe Conturi Financiare care îndeplinesc cerințele de la subsecțiunea C punctul 17 litera (a) sau (b) sau din unul sau mai multe fonduri de pensii care îndeplinesc cerințele de la oricare dintre punctele 5-7 din subsecțiunea B.</w:t>
      </w:r>
    </w:p>
    <w:p>
      <w:pPr>
        <w:pStyle w:val="Point1"/>
        <w:rPr>
          <w:noProof/>
        </w:rPr>
      </w:pPr>
      <w:r>
        <w:rPr>
          <w:noProof/>
        </w:rPr>
        <w:tab/>
        <w:t>(c)</w:t>
      </w:r>
      <w:r>
        <w:rPr>
          <w:noProof/>
        </w:rPr>
        <w:tab/>
        <w:t>un contract de asigurare de viață pe o perioadă care urmează să se încheie înainte ca persoana fizică asigurată să împlinească vârsta de 90 ani, cu condiția ca contractul să îndeplinească următoarele cerințe:</w:t>
      </w:r>
    </w:p>
    <w:p>
      <w:pPr>
        <w:pStyle w:val="Point2"/>
        <w:rPr>
          <w:noProof/>
        </w:rPr>
      </w:pPr>
      <w:r>
        <w:rPr>
          <w:noProof/>
        </w:rPr>
        <w:tab/>
        <w:t>(i)</w:t>
      </w:r>
      <w:r>
        <w:rPr>
          <w:noProof/>
        </w:rPr>
        <w:tab/>
        <w:t>primele sunt periodice, nu se diminuează în timp, se plătesc cel puțin o dată pe an pe parcursul perioadei în care contractul este în vigoare sau până în momentul în care persoana asigurată împlinește vârsta de 90 de ani, oricare dintre aceste perioade este mai scurtă;</w:t>
      </w:r>
    </w:p>
    <w:p>
      <w:pPr>
        <w:pStyle w:val="Point2"/>
        <w:rPr>
          <w:noProof/>
        </w:rPr>
      </w:pPr>
      <w:r>
        <w:rPr>
          <w:noProof/>
        </w:rPr>
        <w:tab/>
        <w:t>(ii)</w:t>
      </w:r>
      <w:r>
        <w:rPr>
          <w:noProof/>
        </w:rPr>
        <w:tab/>
        <w:t>nicio persoană nu poate avea acces la valoarea contractului (prin retragere, împrumut, sau altfel) fără rezilierea contractului;</w:t>
      </w:r>
    </w:p>
    <w:p>
      <w:pPr>
        <w:pStyle w:val="Point2"/>
        <w:rPr>
          <w:noProof/>
        </w:rPr>
      </w:pPr>
      <w:r>
        <w:rPr>
          <w:noProof/>
        </w:rPr>
        <w:tab/>
        <w:t>(iii)</w:t>
      </w:r>
      <w:r>
        <w:rPr>
          <w:noProof/>
        </w:rPr>
        <w:tab/>
        <w:t>suma (alta decât o indemnizație de deces) care trebuie plătită în cazul anulării sau al rezilierii contractului nu poate depăși totalul primelor plătite pentru contract, minus suma reprezentând taxe aferente mortalității, morbidității și cheltuielilor (fie că au fost sau nu aplicate efectiv) pentru perioada sau perioadele în care contractul este în vigoare și orice sume plătite înainte de anularea sau rezilierea contractului; și</w:t>
      </w:r>
    </w:p>
    <w:p>
      <w:pPr>
        <w:pStyle w:val="Point2"/>
        <w:rPr>
          <w:noProof/>
        </w:rPr>
      </w:pPr>
      <w:r>
        <w:rPr>
          <w:noProof/>
        </w:rPr>
        <w:tab/>
        <w:t>(iv)</w:t>
      </w:r>
      <w:r>
        <w:rPr>
          <w:noProof/>
        </w:rPr>
        <w:tab/>
        <w:t>contractul nu este deținut de un cesionar cu titlu oneros.</w:t>
      </w:r>
    </w:p>
    <w:p>
      <w:pPr>
        <w:pStyle w:val="Point1"/>
        <w:rPr>
          <w:noProof/>
        </w:rPr>
      </w:pPr>
      <w:r>
        <w:rPr>
          <w:noProof/>
        </w:rPr>
        <w:tab/>
        <w:t>(d)</w:t>
      </w:r>
      <w:r>
        <w:rPr>
          <w:noProof/>
        </w:rPr>
        <w:tab/>
        <w:t>un cont care este deținut exclusiv de un patrimoniu succesoral dacă documentația pentru respectivul cont include o copie a testamentului sau a certificatului de deces al persoanei decedate.</w:t>
      </w:r>
    </w:p>
    <w:p>
      <w:pPr>
        <w:pStyle w:val="Point1"/>
        <w:rPr>
          <w:noProof/>
        </w:rPr>
      </w:pPr>
      <w:r>
        <w:rPr>
          <w:noProof/>
        </w:rPr>
        <w:tab/>
        <w:t>(e)</w:t>
      </w:r>
      <w:r>
        <w:rPr>
          <w:noProof/>
        </w:rPr>
        <w:tab/>
        <w:t>un cont instituit în legătură cu oricare dintre următoarele elemente:</w:t>
      </w:r>
    </w:p>
    <w:p>
      <w:pPr>
        <w:pStyle w:val="Point2"/>
        <w:rPr>
          <w:noProof/>
        </w:rPr>
      </w:pPr>
      <w:r>
        <w:rPr>
          <w:noProof/>
        </w:rPr>
        <w:tab/>
        <w:t>(i)</w:t>
      </w:r>
      <w:r>
        <w:rPr>
          <w:noProof/>
        </w:rPr>
        <w:tab/>
        <w:t>un ordin judecătoresc sau o hotărâre judecătorească;</w:t>
      </w:r>
    </w:p>
    <w:p>
      <w:pPr>
        <w:pStyle w:val="Point2"/>
        <w:rPr>
          <w:noProof/>
        </w:rPr>
      </w:pPr>
      <w:r>
        <w:rPr>
          <w:noProof/>
        </w:rPr>
        <w:lastRenderedPageBreak/>
        <w:tab/>
        <w:t>(ii)</w:t>
      </w:r>
      <w:r>
        <w:rPr>
          <w:noProof/>
        </w:rPr>
        <w:tab/>
        <w:t>o vânzare, un schimb, închirierea unei proprietății imobiliare sau personale, cu condiția ca acest cont să îndeplinească următoarele cerințe:</w:t>
      </w:r>
    </w:p>
    <w:p>
      <w:pPr>
        <w:pStyle w:val="Tiret3"/>
        <w:numPr>
          <w:ilvl w:val="0"/>
          <w:numId w:val="17"/>
        </w:numPr>
        <w:autoSpaceDE w:val="0"/>
        <w:autoSpaceDN w:val="0"/>
        <w:ind w:left="2552"/>
        <w:rPr>
          <w:noProof/>
        </w:rPr>
      </w:pPr>
      <w:r>
        <w:rPr>
          <w:noProof/>
        </w:rPr>
        <w:t>contul este finanțat exclusiv cu o plată în avans, o sumă reprezentând o plată anticipată care constituie un acont, o sumă corespunzătoare pentru a asigura o obligație direct legată de tranzacție sau o plată similară, sau este finanțat cu un Activ Financiar care este depus în cont în legătură cu vânzarea, cedarea sau închirierea proprietății;</w:t>
      </w:r>
    </w:p>
    <w:p>
      <w:pPr>
        <w:pStyle w:val="Tiret3"/>
        <w:autoSpaceDE w:val="0"/>
        <w:autoSpaceDN w:val="0"/>
        <w:ind w:left="2552"/>
        <w:rPr>
          <w:noProof/>
        </w:rPr>
      </w:pPr>
      <w:r>
        <w:rPr>
          <w:noProof/>
        </w:rPr>
        <w:t>contul este instituit și utilizat exclusiv pentru a garanta obligația cumpărătorului de a plăti prețul de achiziție a proprietății, obligația vânzătorului de a plăti orice datorie neprevăzută ori a locatorului sau a locatarului de a plăti orice despăgubiri legate de proprietatea închiriată, după cum s-a convenit în contractul de închiriere;</w:t>
      </w:r>
    </w:p>
    <w:p>
      <w:pPr>
        <w:pStyle w:val="Tiret3"/>
        <w:autoSpaceDE w:val="0"/>
        <w:autoSpaceDN w:val="0"/>
        <w:ind w:left="2552"/>
        <w:rPr>
          <w:noProof/>
        </w:rPr>
      </w:pPr>
      <w:r>
        <w:rPr>
          <w:noProof/>
        </w:rPr>
        <w:t>activele contului, inclusiv veniturile câștigate din aceste active vor fi plătite sau altfel distribuite în beneficiul vânzătorului, cumpărătorului, locatorului sau locatarului (inclusiv în scopul îndeplinirii unei obligații ale persoanei respective) atunci când bunul este vândut, cedat sau predat sau când contractul de închiriere este reziliat;</w:t>
      </w:r>
    </w:p>
    <w:p>
      <w:pPr>
        <w:pStyle w:val="Tiret3"/>
        <w:autoSpaceDE w:val="0"/>
        <w:autoSpaceDN w:val="0"/>
        <w:ind w:left="2552"/>
        <w:rPr>
          <w:noProof/>
        </w:rPr>
      </w:pPr>
      <w:r>
        <w:rPr>
          <w:noProof/>
        </w:rPr>
        <w:t>contul nu este un cont în marjă sau un cont similar instituit în legătură cu vânzarea sau tranzacționarea unui Activ Financiar; și</w:t>
      </w:r>
    </w:p>
    <w:p>
      <w:pPr>
        <w:pStyle w:val="Tiret3"/>
        <w:autoSpaceDE w:val="0"/>
        <w:autoSpaceDN w:val="0"/>
        <w:ind w:left="2552"/>
        <w:rPr>
          <w:noProof/>
        </w:rPr>
      </w:pPr>
      <w:r>
        <w:rPr>
          <w:noProof/>
        </w:rPr>
        <w:t>contul nu este asociat unui cont prevăzut la subsecțiunea C punctul 17 litera (f);</w:t>
      </w:r>
    </w:p>
    <w:p>
      <w:pPr>
        <w:pStyle w:val="Point2"/>
        <w:rPr>
          <w:noProof/>
        </w:rPr>
      </w:pPr>
      <w:r>
        <w:rPr>
          <w:noProof/>
        </w:rPr>
        <w:tab/>
        <w:t>(iii)</w:t>
      </w:r>
      <w:r>
        <w:rPr>
          <w:noProof/>
        </w:rPr>
        <w:tab/>
        <w:t>obligația unei Instituții Financiare care achită ratele unui împrumut garantat cu bunuri imobiliare de a rezerva o parte din plată exclusiv în scopul facilitării plății impozitelor sau a asigurării referitoare la respectivul bun imobiliar la un moment ulterior;</w:t>
      </w:r>
    </w:p>
    <w:p>
      <w:pPr>
        <w:pStyle w:val="Point2"/>
        <w:rPr>
          <w:noProof/>
        </w:rPr>
      </w:pPr>
      <w:r>
        <w:rPr>
          <w:noProof/>
        </w:rPr>
        <w:tab/>
        <w:t>(iv)</w:t>
      </w:r>
      <w:r>
        <w:rPr>
          <w:noProof/>
        </w:rPr>
        <w:tab/>
        <w:t>obligația unei Instituții Financiare de a facilita plata impozitelor la un moment ulterior.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(f)</w:t>
      </w:r>
    </w:p>
    <w:p>
      <w:pPr>
        <w:pStyle w:val="Point2"/>
        <w:rPr>
          <w:noProof/>
        </w:rPr>
      </w:pPr>
      <w:r>
        <w:rPr>
          <w:noProof/>
        </w:rPr>
        <w:tab/>
        <w:t>(v)</w:t>
      </w:r>
      <w:r>
        <w:rPr>
          <w:noProof/>
        </w:rPr>
        <w:tab/>
        <w:t>constituirea sau majorarea capitalului unei societăți, cu condiția ca respectivul cont să îndeplinească următoarele cerințe:</w:t>
      </w:r>
    </w:p>
    <w:p>
      <w:pPr>
        <w:pStyle w:val="Tiret3"/>
        <w:autoSpaceDE w:val="0"/>
        <w:autoSpaceDN w:val="0"/>
        <w:ind w:left="2552"/>
        <w:rPr>
          <w:noProof/>
        </w:rPr>
      </w:pPr>
      <w:r>
        <w:rPr>
          <w:noProof/>
        </w:rPr>
        <w:t>contul este utilizat exclusiv pentru depunerea capitalului care urmează să fie utilizat în scopul constituirii sau al majorării capitalului unei societăți, în conformitate cu dispozițiile legale;</w:t>
      </w:r>
    </w:p>
    <w:p>
      <w:pPr>
        <w:pStyle w:val="Tiret3"/>
        <w:autoSpaceDE w:val="0"/>
        <w:autoSpaceDN w:val="0"/>
        <w:ind w:left="2552"/>
        <w:rPr>
          <w:noProof/>
        </w:rPr>
      </w:pPr>
      <w:r>
        <w:rPr>
          <w:noProof/>
        </w:rPr>
        <w:t>orice cuantumuri deținute în cont sunt blocate până când Instituția Financiară Raportoare obține o confirmare independentă cu privire la constituirea sau majorarea capitalului;</w:t>
      </w:r>
    </w:p>
    <w:p>
      <w:pPr>
        <w:pStyle w:val="Tiret3"/>
        <w:autoSpaceDE w:val="0"/>
        <w:autoSpaceDN w:val="0"/>
        <w:ind w:left="2552"/>
        <w:rPr>
          <w:noProof/>
        </w:rPr>
      </w:pPr>
      <w:r>
        <w:rPr>
          <w:noProof/>
        </w:rPr>
        <w:t>contul este închis sau transformat într-un cont în numele societății după constituirea sau majorarea capitalului;</w:t>
      </w:r>
    </w:p>
    <w:p>
      <w:pPr>
        <w:pStyle w:val="Tiret3"/>
        <w:autoSpaceDE w:val="0"/>
        <w:autoSpaceDN w:val="0"/>
        <w:ind w:left="2552"/>
        <w:rPr>
          <w:noProof/>
        </w:rPr>
      </w:pPr>
      <w:r>
        <w:rPr>
          <w:noProof/>
        </w:rPr>
        <w:t xml:space="preserve">toate rambursările rezultate ca urmare a faptului că nu a avut loc constituirea sau majorarea capitalului, excluzând taxele </w:t>
      </w:r>
      <w:r>
        <w:rPr>
          <w:noProof/>
        </w:rPr>
        <w:lastRenderedPageBreak/>
        <w:t>prestatorului de servicii și alte taxe similare, sunt efectuate exclusiv către persoanele care au contribuit cu sumele; și</w:t>
      </w:r>
    </w:p>
    <w:p>
      <w:pPr>
        <w:pStyle w:val="Tiret3"/>
        <w:autoSpaceDE w:val="0"/>
        <w:autoSpaceDN w:val="0"/>
        <w:ind w:left="2552"/>
        <w:rPr>
          <w:noProof/>
        </w:rPr>
      </w:pPr>
      <w:r>
        <w:rPr>
          <w:noProof/>
        </w:rPr>
        <w:t>contul nu a fost creat cu mai mult de 12 luni în urmă.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(f)</w:t>
      </w:r>
    </w:p>
    <w:p>
      <w:pPr>
        <w:pStyle w:val="Point1"/>
        <w:rPr>
          <w:noProof/>
        </w:rPr>
      </w:pPr>
      <w:r>
        <w:rPr>
          <w:noProof/>
        </w:rPr>
        <w:tab/>
        <w:t>(</w:t>
      </w:r>
      <w:r>
        <w:rPr>
          <w:rStyle w:val="CRMinorChangeAdded"/>
          <w:noProof/>
        </w:rPr>
        <w:t>f</w:t>
      </w:r>
      <w:r>
        <w:rPr>
          <w:rStyle w:val="CRMinorChangeDeleted"/>
          <w:noProof/>
        </w:rPr>
        <w:t>ea</w:t>
      </w:r>
      <w:r>
        <w:rPr>
          <w:noProof/>
        </w:rPr>
        <w:t>)</w:t>
      </w:r>
      <w:r>
        <w:rPr>
          <w:noProof/>
        </w:rPr>
        <w:tab/>
        <w:t>un Cont de Depozit care reprezintă toate Monedele Electronice deținute în beneficiul unui client, în cazul în care soldul agregat pe o perioadă de 90 de zile la închiderea zilei sau valoarea pe parcursul oricărei perioade de 90 de zile consecutive ca medie mobilă nu a depășit 10 000 USD în nicio zi a anului calendaristic sau a altei perioade de raportare adecvate.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Point1"/>
        <w:rPr>
          <w:noProof/>
        </w:rPr>
      </w:pPr>
      <w:r>
        <w:rPr>
          <w:noProof/>
        </w:rPr>
        <w:tab/>
        <w:t>(</w:t>
      </w:r>
      <w:r>
        <w:rPr>
          <w:rStyle w:val="CRMinorChangeAdded"/>
          <w:noProof/>
        </w:rPr>
        <w:t>g</w:t>
      </w:r>
      <w:r>
        <w:rPr>
          <w:rStyle w:val="CRMinorChangeDeleted"/>
          <w:noProof/>
        </w:rPr>
        <w:t>f</w:t>
      </w:r>
      <w:r>
        <w:rPr>
          <w:noProof/>
        </w:rPr>
        <w:t>)</w:t>
      </w:r>
      <w:r>
        <w:rPr>
          <w:noProof/>
        </w:rPr>
        <w:tab/>
        <w:t>un Cont de Depozit care îndeplinește următoarele cerințe:</w:t>
      </w:r>
    </w:p>
    <w:p>
      <w:pPr>
        <w:pStyle w:val="Point2"/>
        <w:rPr>
          <w:noProof/>
        </w:rPr>
      </w:pPr>
      <w:r>
        <w:rPr>
          <w:noProof/>
        </w:rPr>
        <w:tab/>
        <w:t>(i)</w:t>
      </w:r>
      <w:r>
        <w:rPr>
          <w:noProof/>
        </w:rPr>
        <w:tab/>
        <w:t>contul există numai din motivul că un client face o plată care depășește soldul debitor cu privire la un card de credit sau la altă facilitate de credit reînnoibilă și plata excedentară nu este restituită imediat clientului; și</w:t>
      </w:r>
    </w:p>
    <w:p>
      <w:pPr>
        <w:pStyle w:val="Point2"/>
        <w:rPr>
          <w:noProof/>
        </w:rPr>
      </w:pPr>
      <w:r>
        <w:rPr>
          <w:noProof/>
        </w:rPr>
        <w:tab/>
        <w:t>(ii)</w:t>
      </w:r>
      <w:r>
        <w:rPr>
          <w:noProof/>
        </w:rPr>
        <w:tab/>
        <w:t>de la data de 1 ianuarie 2016 sau anterior datei menționate, Instituția Financiară pune în aplicare politici și proceduri, fie pentru a împiedica un client de la a face o plată excedentară care depășește un cuantum în moneda fiecărui stat membru care corespunde sumei de 50 000 USD, fie pentru a asigura faptul că orice plată excedentară efectuată de un client și care depășește cuantumul respectiv este restituită clientului în termen de 60 de zile, aplicând, în fiecare caz, normele prevăzute la secțiunea VII subsecțiunea C privind conversia monetară. În acest sens, o plată excedentară a unui client nu se referă la solduri creditoare aferente unor debite contestate, dar include soldurile creditoare rezultate din restituiri de mărfuri.</w:t>
      </w:r>
    </w:p>
    <w:p>
      <w:pPr>
        <w:pStyle w:val="Point1"/>
        <w:rPr>
          <w:noProof/>
        </w:rPr>
      </w:pPr>
      <w:r>
        <w:rPr>
          <w:noProof/>
        </w:rPr>
        <w:tab/>
        <w:t>(</w:t>
      </w:r>
      <w:r>
        <w:rPr>
          <w:rStyle w:val="CRMinorChangeAdded"/>
          <w:noProof/>
        </w:rPr>
        <w:t>h</w:t>
      </w:r>
      <w:r>
        <w:rPr>
          <w:rStyle w:val="CRMinorChangeDeleted"/>
          <w:noProof/>
        </w:rPr>
        <w:t>g</w:t>
      </w:r>
      <w:r>
        <w:rPr>
          <w:noProof/>
        </w:rPr>
        <w:t>)</w:t>
      </w:r>
      <w:r>
        <w:rPr>
          <w:noProof/>
        </w:rPr>
        <w:tab/>
        <w:t xml:space="preserve">orice alt cont care prezintă un risc scăzut de a fi utilizat pentru evaziune fiscală, are caracteristici în mod substanțial similare cu oricare dintre conturile prevăzute la subsecțiunea C punctul 17 literele (a)-(f), și este inclus pe lista Conturilor excluse menționată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 alineatul (7a)</w:t>
      </w:r>
      <w:r>
        <w:rPr>
          <w:noProof/>
        </w:rPr>
        <w:t xml:space="preserve"> din prezenta directivă, cu condiția ca statutul respectivului cont drept Cont exclus să nu aducă atingere obiectivelor prezentei directive.</w:t>
      </w:r>
    </w:p>
    <w:p>
      <w:pPr>
        <w:pStyle w:val="ManualHeading2"/>
        <w:ind w:left="851" w:hanging="851"/>
        <w:rPr>
          <w:noProof/>
        </w:rPr>
      </w:pPr>
      <w:bookmarkStart w:id="20" w:name="_Toc229742204"/>
      <w:r>
        <w:rPr>
          <w:noProof/>
        </w:rPr>
        <w:t>D.</w:t>
      </w:r>
      <w:r>
        <w:rPr>
          <w:noProof/>
        </w:rPr>
        <w:tab/>
        <w:t>Cont care face obiectul raportării</w:t>
      </w:r>
      <w:bookmarkEnd w:id="20"/>
    </w:p>
    <w:p>
      <w:pPr>
        <w:pStyle w:val="Point0"/>
        <w:rPr>
          <w:noProof/>
        </w:rPr>
      </w:pPr>
      <w:r>
        <w:rPr>
          <w:noProof/>
        </w:rPr>
        <w:tab/>
        <w:t>1.</w:t>
      </w:r>
      <w:r>
        <w:rPr>
          <w:noProof/>
        </w:rPr>
        <w:tab/>
        <w:t>Termenul „Cont care face obiectul raportării” înseamnă un Cont Financiar care este administrat de o Instituție Financiară Raportoare a unui stat membru și este deținut de una sau mai multe Persoane care fac obiectul raportării sau de o ENF</w:t>
      </w:r>
      <w:r>
        <w:rPr>
          <w:rStyle w:val="CRDeleted"/>
          <w:noProof/>
        </w:rPr>
        <w:t>S</w:t>
      </w:r>
      <w:r>
        <w:rPr>
          <w:noProof/>
        </w:rPr>
        <w:t xml:space="preserve"> pasivă cu una sau mai multe Persoane care exercită controlul care sunt Persoane care fac obiectul raportării, cu condiția ca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acesta să fi fost identificat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aceasta să fi fost identificată</w:t>
      </w:r>
      <w:r>
        <w:rPr>
          <w:noProof/>
        </w:rPr>
        <w:t xml:space="preserve"> ca atare în temeiul procedurilor de diligență fiscală prevăzute la secțiunile II-VII.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(g)</w:t>
      </w:r>
    </w:p>
    <w:p>
      <w:pPr>
        <w:pStyle w:val="Point0"/>
        <w:rPr>
          <w:noProof/>
        </w:rPr>
      </w:pPr>
      <w:r>
        <w:rPr>
          <w:noProof/>
        </w:rPr>
        <w:tab/>
        <w:t>2.</w:t>
      </w:r>
      <w:r>
        <w:rPr>
          <w:noProof/>
        </w:rPr>
        <w:tab/>
        <w:t>Termenul „Persoană care face obiectul Raportării” înseamnă o Persoană dintr-un Stat Membru care nu este:</w:t>
      </w:r>
    </w:p>
    <w:p>
      <w:pPr>
        <w:pStyle w:val="Point1"/>
        <w:rPr>
          <w:noProof/>
        </w:rPr>
      </w:pPr>
      <w:r>
        <w:rPr>
          <w:noProof/>
        </w:rPr>
        <w:tab/>
        <w:t>(a)</w:t>
      </w:r>
      <w:r>
        <w:rPr>
          <w:noProof/>
        </w:rPr>
        <w:tab/>
        <w:t>o Entitate al cărei capital este tranzacționat în mod regulat pe una sau mai multe piețe reglementate;</w:t>
      </w:r>
    </w:p>
    <w:p>
      <w:pPr>
        <w:pStyle w:val="Point1"/>
        <w:rPr>
          <w:noProof/>
        </w:rPr>
      </w:pPr>
      <w:r>
        <w:rPr>
          <w:noProof/>
        </w:rPr>
        <w:tab/>
        <w:t>(b)</w:t>
      </w:r>
      <w:r>
        <w:rPr>
          <w:noProof/>
        </w:rPr>
        <w:tab/>
        <w:t>orice Entitate care este o Entitate Afiliată unei Entități prevăzute la litera (a);</w:t>
      </w:r>
    </w:p>
    <w:p>
      <w:pPr>
        <w:pStyle w:val="Point1"/>
        <w:rPr>
          <w:noProof/>
        </w:rPr>
      </w:pPr>
      <w:r>
        <w:rPr>
          <w:noProof/>
        </w:rPr>
        <w:tab/>
        <w:t>(c)</w:t>
      </w:r>
      <w:r>
        <w:rPr>
          <w:noProof/>
        </w:rPr>
        <w:tab/>
        <w:t>o Entitate Guvernamentală;</w:t>
      </w:r>
    </w:p>
    <w:p>
      <w:pPr>
        <w:pStyle w:val="Point1"/>
        <w:rPr>
          <w:noProof/>
        </w:rPr>
      </w:pPr>
      <w:r>
        <w:rPr>
          <w:noProof/>
        </w:rPr>
        <w:tab/>
        <w:t>(d)</w:t>
      </w:r>
      <w:r>
        <w:rPr>
          <w:noProof/>
        </w:rPr>
        <w:tab/>
        <w:t>o Organizație Internațională;</w:t>
      </w:r>
    </w:p>
    <w:p>
      <w:pPr>
        <w:pStyle w:val="Point1"/>
        <w:rPr>
          <w:noProof/>
        </w:rPr>
      </w:pPr>
      <w:r>
        <w:rPr>
          <w:noProof/>
        </w:rPr>
        <w:tab/>
        <w:t>(e)</w:t>
      </w:r>
      <w:r>
        <w:rPr>
          <w:noProof/>
        </w:rPr>
        <w:tab/>
        <w:t>o Bancă Centrală; sau</w:t>
      </w:r>
    </w:p>
    <w:p>
      <w:pPr>
        <w:pStyle w:val="Point1"/>
        <w:rPr>
          <w:noProof/>
        </w:rPr>
      </w:pPr>
      <w:r>
        <w:rPr>
          <w:noProof/>
        </w:rPr>
        <w:tab/>
        <w:t>(f)</w:t>
      </w:r>
      <w:r>
        <w:rPr>
          <w:noProof/>
        </w:rPr>
        <w:tab/>
        <w:t>o Instituție Financiară.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Point0"/>
        <w:rPr>
          <w:noProof/>
        </w:rPr>
      </w:pPr>
      <w:r>
        <w:rPr>
          <w:noProof/>
        </w:rPr>
        <w:tab/>
        <w:t>3.</w:t>
      </w:r>
      <w:r>
        <w:rPr>
          <w:noProof/>
        </w:rPr>
        <w:tab/>
        <w:t>Termenul „Persoană dintr-un stat membru”, din perspectiva fiecărui stat membru, înseamnă o persoană fizică sau o Entitate care are rezidența în orice alt stat membru în temeiul legislației fiscale din jurisdicția respectivului stat membru, sau patrimoniul succesoral al unei persoane decedate care era rezidentă a oricărui alt stat membru. În acest sens, o Entitate precum o societate civilă, o societate cu răspundere limitată sau o construcție juridică similară care nu are rezidență fiscală este considerată ca fiind rezidentă în jurisdicția în care se află sediul conducerii efective.</w:t>
      </w:r>
    </w:p>
    <w:p>
      <w:pPr>
        <w:pStyle w:val="Point0"/>
        <w:rPr>
          <w:noProof/>
        </w:rPr>
      </w:pPr>
      <w:r>
        <w:rPr>
          <w:noProof/>
        </w:rPr>
        <w:tab/>
        <w:t>4.</w:t>
      </w:r>
      <w:r>
        <w:rPr>
          <w:noProof/>
        </w:rPr>
        <w:tab/>
        <w:t>Termenul „Jurisdicție Participantă” cu privire la fiecare stat membru înseamnă:</w:t>
      </w:r>
    </w:p>
    <w:p>
      <w:pPr>
        <w:pStyle w:val="Point1"/>
        <w:rPr>
          <w:noProof/>
        </w:rPr>
      </w:pPr>
      <w:r>
        <w:rPr>
          <w:noProof/>
        </w:rPr>
        <w:tab/>
        <w:t>(a)</w:t>
      </w:r>
      <w:r>
        <w:rPr>
          <w:noProof/>
        </w:rPr>
        <w:tab/>
        <w:t>orice alt stat membru;</w:t>
      </w:r>
    </w:p>
    <w:p>
      <w:pPr>
        <w:pStyle w:val="Point1"/>
        <w:rPr>
          <w:noProof/>
        </w:rPr>
      </w:pPr>
      <w:r>
        <w:rPr>
          <w:noProof/>
        </w:rPr>
        <w:tab/>
        <w:t>(b)</w:t>
      </w:r>
      <w:r>
        <w:rPr>
          <w:noProof/>
        </w:rPr>
        <w:tab/>
        <w:t>orice altă jurisdicție: (i) cu care statul membru în cauză are un acord în vigoare în temeiul căruia respectiva jurisdicție va furniza informațiile menționate la secțiunea I; și (ii) care este identificată pe o listă publicată de statul membru respectiv și notificată Comisiei</w:t>
      </w:r>
      <w:r>
        <w:rPr>
          <w:rStyle w:val="CRDeleted"/>
          <w:noProof/>
        </w:rPr>
        <w:t xml:space="preserve"> Europene</w:t>
      </w:r>
      <w:r>
        <w:rPr>
          <w:noProof/>
        </w:rPr>
        <w:t>;</w:t>
      </w:r>
    </w:p>
    <w:p>
      <w:pPr>
        <w:pStyle w:val="Point1"/>
        <w:rPr>
          <w:noProof/>
        </w:rPr>
      </w:pPr>
      <w:r>
        <w:rPr>
          <w:noProof/>
        </w:rPr>
        <w:tab/>
        <w:t>(c)</w:t>
      </w:r>
      <w:r>
        <w:rPr>
          <w:noProof/>
        </w:rPr>
        <w:tab/>
        <w:t>orice altă jurisdicție: (i) cu care Uniunea are un acord în vigoare în temeiul căruia respectiva jurisdicție va furniza informațiile menționate la secțiunea I; și (ii) care este identificată pe o listă publicată de Comisi</w:t>
      </w:r>
      <w:r>
        <w:rPr>
          <w:rStyle w:val="CRMinorChangeAdded"/>
          <w:noProof/>
        </w:rPr>
        <w:t>e</w:t>
      </w:r>
      <w:r>
        <w:rPr>
          <w:rStyle w:val="CRMinorChangeDeleted"/>
          <w:noProof/>
        </w:rPr>
        <w:t>a</w:t>
      </w:r>
      <w:r>
        <w:rPr>
          <w:noProof/>
        </w:rPr>
        <w:t xml:space="preserve"> </w:t>
      </w:r>
      <w:r>
        <w:rPr>
          <w:rStyle w:val="CRDeleted"/>
          <w:noProof/>
        </w:rPr>
        <w:t>Europeană</w:t>
      </w:r>
      <w:r>
        <w:rPr>
          <w:noProof/>
        </w:rPr>
        <w:t>;</w:t>
      </w:r>
    </w:p>
    <w:p>
      <w:pPr>
        <w:pStyle w:val="Point0"/>
        <w:rPr>
          <w:noProof/>
        </w:rPr>
      </w:pPr>
      <w:r>
        <w:rPr>
          <w:noProof/>
        </w:rPr>
        <w:tab/>
        <w:t>5.</w:t>
      </w:r>
      <w:r>
        <w:rPr>
          <w:noProof/>
        </w:rPr>
        <w:tab/>
        <w:t>Termenul „Persoane care exercită controlul” înseamnă persoanele fizice care exercită controlul asupra unei Entități. În cazul unei fiducii, acest termen înseamnă constituitorul (constituitorii), fiduciarul (fiduciarii), protectorul (protectorii) (dacă este cazul), beneficiarul (beneficiarii) sau clasa (clasele) de beneficiari, precum și orice altă persoană fizică care exercită un control efectiv definitiv asupra fiduciei, și, în cazul unei construcții juridice care nu este o fiducie, acest termen desemnează persoanele aflate în poziții echivalente sau similare. Termenul „Persoane care exercită controlul” trebuie interpretat într-o manieră consecventă cu recomandările Grupului de Acțiune Financiară.</w:t>
      </w:r>
    </w:p>
    <w:p>
      <w:pPr>
        <w:pStyle w:val="Point0"/>
        <w:rPr>
          <w:noProof/>
        </w:rPr>
      </w:pPr>
      <w:r>
        <w:rPr>
          <w:noProof/>
        </w:rPr>
        <w:tab/>
        <w:t>6.</w:t>
      </w:r>
      <w:r>
        <w:rPr>
          <w:noProof/>
        </w:rPr>
        <w:tab/>
        <w:t>Termenul „ENF</w:t>
      </w:r>
      <w:r>
        <w:rPr>
          <w:rStyle w:val="CRDeleted"/>
          <w:noProof/>
        </w:rPr>
        <w:t>S</w:t>
      </w:r>
      <w:r>
        <w:rPr>
          <w:noProof/>
        </w:rPr>
        <w:t>” înseamnă orice Entitate care nu este o Instituție Financiară.</w:t>
      </w:r>
    </w:p>
    <w:p>
      <w:pPr>
        <w:pStyle w:val="Point0"/>
        <w:rPr>
          <w:noProof/>
        </w:rPr>
      </w:pPr>
      <w:r>
        <w:rPr>
          <w:noProof/>
        </w:rPr>
        <w:lastRenderedPageBreak/>
        <w:tab/>
        <w:t>7.</w:t>
      </w:r>
      <w:r>
        <w:rPr>
          <w:noProof/>
        </w:rPr>
        <w:tab/>
        <w:t>Termenul „ENF</w:t>
      </w:r>
      <w:r>
        <w:rPr>
          <w:rStyle w:val="CRDeleted"/>
          <w:noProof/>
        </w:rPr>
        <w:t>S</w:t>
      </w:r>
      <w:r>
        <w:rPr>
          <w:noProof/>
        </w:rPr>
        <w:t xml:space="preserve"> pasivă” înseamnă orice: (i) ENF</w:t>
      </w:r>
      <w:r>
        <w:rPr>
          <w:rStyle w:val="CRDeleted"/>
          <w:noProof/>
        </w:rPr>
        <w:t>S</w:t>
      </w:r>
      <w:r>
        <w:rPr>
          <w:noProof/>
        </w:rPr>
        <w:t xml:space="preserve"> care nu este o ENF</w:t>
      </w:r>
      <w:r>
        <w:rPr>
          <w:rStyle w:val="CRDeleted"/>
          <w:noProof/>
        </w:rPr>
        <w:t>S</w:t>
      </w:r>
      <w:r>
        <w:rPr>
          <w:noProof/>
        </w:rPr>
        <w:t xml:space="preserve"> activă; sau (ii) o Entitate de investiții prevăzută la subsecțiunea A punctul 6 litera (b) care nu este o Instituție Financiară dintr-o jurisdicție participantă.</w:t>
      </w:r>
    </w:p>
    <w:p>
      <w:pPr>
        <w:pStyle w:val="Point0"/>
        <w:rPr>
          <w:noProof/>
        </w:rPr>
      </w:pPr>
      <w:r>
        <w:rPr>
          <w:noProof/>
        </w:rPr>
        <w:tab/>
        <w:t>8.</w:t>
      </w:r>
      <w:r>
        <w:rPr>
          <w:noProof/>
        </w:rPr>
        <w:tab/>
        <w:t>Termenul „ENF</w:t>
      </w:r>
      <w:r>
        <w:rPr>
          <w:rStyle w:val="CRDeleted"/>
          <w:noProof/>
        </w:rPr>
        <w:t>S</w:t>
      </w:r>
      <w:r>
        <w:rPr>
          <w:noProof/>
        </w:rPr>
        <w:t xml:space="preserve"> activă” înseamnă orice ENF</w:t>
      </w:r>
      <w:r>
        <w:rPr>
          <w:rStyle w:val="CRDeleted"/>
          <w:noProof/>
        </w:rPr>
        <w:t>S</w:t>
      </w:r>
      <w:r>
        <w:rPr>
          <w:noProof/>
        </w:rPr>
        <w:t xml:space="preserve"> care îndeplinește oricare dintre următoarele criterii:</w:t>
      </w:r>
    </w:p>
    <w:p>
      <w:pPr>
        <w:pStyle w:val="Point1"/>
        <w:rPr>
          <w:noProof/>
        </w:rPr>
      </w:pPr>
      <w:r>
        <w:rPr>
          <w:noProof/>
        </w:rPr>
        <w:tab/>
        <w:t>(a)</w:t>
      </w:r>
      <w:r>
        <w:rPr>
          <w:noProof/>
        </w:rPr>
        <w:tab/>
        <w:t>mai puțin de 50 % din venitul brut al ENF</w:t>
      </w:r>
      <w:r>
        <w:rPr>
          <w:rStyle w:val="CRDeleted"/>
          <w:noProof/>
        </w:rPr>
        <w:t>S</w:t>
      </w:r>
      <w:r>
        <w:rPr>
          <w:noProof/>
        </w:rPr>
        <w:t xml:space="preserve"> pentru anul calendaristic precedent sau pentru altă perioadă de raportare adecvată este venit pasiv și mai puțin de 50 % din activele deținute de ENF</w:t>
      </w:r>
      <w:r>
        <w:rPr>
          <w:rStyle w:val="CRDeleted"/>
          <w:noProof/>
        </w:rPr>
        <w:t>S</w:t>
      </w:r>
      <w:r>
        <w:rPr>
          <w:noProof/>
        </w:rPr>
        <w:t xml:space="preserve"> în cursul anului calendaristic precedent sau al altei perioade de raportare adecvate sunt active care produc sau sunt deținute pentru a produce venit pasiv;</w:t>
      </w:r>
    </w:p>
    <w:p>
      <w:pPr>
        <w:pStyle w:val="Point1"/>
        <w:rPr>
          <w:noProof/>
        </w:rPr>
      </w:pPr>
      <w:r>
        <w:rPr>
          <w:noProof/>
        </w:rPr>
        <w:tab/>
        <w:t>(b)</w:t>
      </w:r>
      <w:r>
        <w:rPr>
          <w:noProof/>
        </w:rPr>
        <w:tab/>
        <w:t>acțiunile ENF</w:t>
      </w:r>
      <w:r>
        <w:rPr>
          <w:rStyle w:val="CRDeleted"/>
          <w:noProof/>
        </w:rPr>
        <w:t>S</w:t>
      </w:r>
      <w:r>
        <w:rPr>
          <w:noProof/>
        </w:rPr>
        <w:t xml:space="preserve"> sunt tranzacționate în mod regulat pe o piață a titlurilor de valoare reglementată sau ENF</w:t>
      </w:r>
      <w:r>
        <w:rPr>
          <w:rStyle w:val="CRDeleted"/>
          <w:noProof/>
        </w:rPr>
        <w:t>S</w:t>
      </w:r>
      <w:r>
        <w:rPr>
          <w:noProof/>
        </w:rPr>
        <w:t xml:space="preserve"> este o Entitate afiliată unei Entități ale cărei acțiuni sunt tranzacționate în mod regulat pe o piață a titlurilor de valoare reglementată;</w:t>
      </w:r>
    </w:p>
    <w:p>
      <w:pPr>
        <w:pStyle w:val="Point1"/>
        <w:rPr>
          <w:noProof/>
        </w:rPr>
      </w:pPr>
      <w:r>
        <w:rPr>
          <w:noProof/>
        </w:rPr>
        <w:tab/>
        <w:t>(c)</w:t>
      </w:r>
      <w:r>
        <w:rPr>
          <w:noProof/>
        </w:rPr>
        <w:tab/>
        <w:t>ENF</w:t>
      </w:r>
      <w:r>
        <w:rPr>
          <w:rStyle w:val="CRDeleted"/>
          <w:noProof/>
        </w:rPr>
        <w:t>S</w:t>
      </w:r>
      <w:r>
        <w:rPr>
          <w:noProof/>
        </w:rPr>
        <w:t xml:space="preserve"> este o Entitate guvernamentală, o Organizație internațională, o Bancă centrală sau o Entitate deținută în totalitate de una sau mai multe dintre entitățile sus-menționate;</w:t>
      </w:r>
    </w:p>
    <w:p>
      <w:pPr>
        <w:pStyle w:val="Point1"/>
        <w:rPr>
          <w:noProof/>
        </w:rPr>
      </w:pPr>
      <w:r>
        <w:rPr>
          <w:noProof/>
        </w:rPr>
        <w:tab/>
        <w:t>(d)</w:t>
      </w:r>
      <w:r>
        <w:rPr>
          <w:noProof/>
        </w:rPr>
        <w:tab/>
        <w:t>toate activitățile ENF</w:t>
      </w:r>
      <w:r>
        <w:rPr>
          <w:rStyle w:val="CRDeleted"/>
          <w:noProof/>
        </w:rPr>
        <w:t>S</w:t>
      </w:r>
      <w:r>
        <w:rPr>
          <w:noProof/>
        </w:rPr>
        <w:t xml:space="preserve"> constau, în esență, în deținerea (în totalitate sau parțial) a acțiunilor subscrise emise de una sau mai multe filiale ale căror tranzacții sau activități sunt diferite de activitățile unei Instituții Financiare, sau în finanțarea și prestarea de servicii respectivelor filiale. Cu toate acestea, o Entitate nu are statutul de Entitate activă dacă funcționează (sau se prezintă) drept un fond de investiții, cum ar fi un fond de investiții în societăți necotate, un fond cu capital de risc, un fond de achiziție prin îndatorarea companiei sau orice alt organism de plasament al cărui scop este de a achiziționa sau de a finanța companii și de a deține capital în cadrul respectivelor companii, reprezentând active de capital în scopul unor investiții;</w:t>
      </w:r>
    </w:p>
    <w:p>
      <w:pPr>
        <w:pStyle w:val="Point1"/>
        <w:rPr>
          <w:noProof/>
        </w:rPr>
      </w:pPr>
      <w:r>
        <w:rPr>
          <w:noProof/>
        </w:rPr>
        <w:tab/>
        <w:t>(e)</w:t>
      </w:r>
      <w:r>
        <w:rPr>
          <w:noProof/>
        </w:rPr>
        <w:tab/>
        <w:t>ENF</w:t>
      </w:r>
      <w:r>
        <w:rPr>
          <w:rStyle w:val="CRDeleted"/>
          <w:noProof/>
        </w:rPr>
        <w:t>S</w:t>
      </w:r>
      <w:r>
        <w:rPr>
          <w:noProof/>
        </w:rPr>
        <w:t xml:space="preserve"> nu desfășoară încă activități comerciale și nu a mai desfășurat niciodată, dar investește capital în active cu intenția de a desfășura o activitate comercială, alta decât cea a unei Instituții Financiare, cu condiția ca ENF</w:t>
      </w:r>
      <w:r>
        <w:rPr>
          <w:rStyle w:val="CRDeleted"/>
          <w:noProof/>
        </w:rPr>
        <w:t>S</w:t>
      </w:r>
      <w:r>
        <w:rPr>
          <w:noProof/>
        </w:rPr>
        <w:t xml:space="preserve"> să nu se califice pentru această excepție ulterior datei la care se împlinesc 24 de luni de la data inițială a constituirii ENF</w:t>
      </w:r>
      <w:r>
        <w:rPr>
          <w:rStyle w:val="CRDeleted"/>
          <w:noProof/>
        </w:rPr>
        <w:t>S</w:t>
      </w:r>
      <w:r>
        <w:rPr>
          <w:noProof/>
        </w:rPr>
        <w:t>;</w:t>
      </w:r>
    </w:p>
    <w:p>
      <w:pPr>
        <w:pStyle w:val="Point1"/>
        <w:rPr>
          <w:noProof/>
        </w:rPr>
      </w:pPr>
      <w:r>
        <w:rPr>
          <w:noProof/>
        </w:rPr>
        <w:tab/>
        <w:t>(f)</w:t>
      </w:r>
      <w:r>
        <w:rPr>
          <w:noProof/>
        </w:rPr>
        <w:tab/>
        <w:t>ENF</w:t>
      </w:r>
      <w:r>
        <w:rPr>
          <w:rStyle w:val="CRDeleted"/>
          <w:noProof/>
        </w:rPr>
        <w:t>S</w:t>
      </w:r>
      <w:r>
        <w:rPr>
          <w:noProof/>
        </w:rPr>
        <w:t xml:space="preserve"> nu a fost o Instituție Financiară în ultimii cinci ani și este în proces de lichidare a activelor sale sau de restructurare cu intenția de a continua sau de a relua operațiunile în alte activități decât cele ale unei Instituții Financiare;</w:t>
      </w:r>
    </w:p>
    <w:p>
      <w:pPr>
        <w:pStyle w:val="Point1"/>
        <w:rPr>
          <w:noProof/>
        </w:rPr>
      </w:pPr>
      <w:r>
        <w:rPr>
          <w:noProof/>
        </w:rPr>
        <w:tab/>
        <w:t>(g)</w:t>
      </w:r>
      <w:r>
        <w:rPr>
          <w:noProof/>
        </w:rPr>
        <w:tab/>
        <w:t>activitățile ENF</w:t>
      </w:r>
      <w:r>
        <w:rPr>
          <w:rStyle w:val="CRDeleted"/>
          <w:noProof/>
        </w:rPr>
        <w:t>S</w:t>
      </w:r>
      <w:r>
        <w:rPr>
          <w:noProof/>
        </w:rPr>
        <w:t xml:space="preserve"> constau în principal în finanțare și operațiuni de acoperire a riscurilor cu, sau pentru Entități afiliate care nu sunt Instituții Financiare, iar ENF</w:t>
      </w:r>
      <w:r>
        <w:rPr>
          <w:rStyle w:val="CRDeleted"/>
          <w:noProof/>
        </w:rPr>
        <w:t>S</w:t>
      </w:r>
      <w:r>
        <w:rPr>
          <w:noProof/>
        </w:rPr>
        <w:t xml:space="preserve"> nu prestează servicii de finanțare sau de acoperire a riscurilor niciunei alte Entități care nu este o Entitate asimilată, cu condiția ca grupul din care fac parte respectivele Entități afiliate să desfășoare în principal o activitate diferită de activitățile unei Instituții Financiare; sau</w:t>
      </w:r>
    </w:p>
    <w:p>
      <w:pPr>
        <w:pStyle w:val="Point1"/>
        <w:rPr>
          <w:noProof/>
        </w:rPr>
      </w:pPr>
      <w:r>
        <w:rPr>
          <w:noProof/>
        </w:rPr>
        <w:tab/>
        <w:t>(h)</w:t>
      </w:r>
      <w:r>
        <w:rPr>
          <w:noProof/>
        </w:rPr>
        <w:tab/>
        <w:t>ENF</w:t>
      </w:r>
      <w:r>
        <w:rPr>
          <w:rStyle w:val="CRDeleted"/>
          <w:noProof/>
        </w:rPr>
        <w:t>S</w:t>
      </w:r>
      <w:r>
        <w:rPr>
          <w:noProof/>
        </w:rPr>
        <w:t xml:space="preserve"> îndeplinește toate condițiile următoare:</w:t>
      </w:r>
    </w:p>
    <w:p>
      <w:pPr>
        <w:pStyle w:val="Point2"/>
        <w:rPr>
          <w:noProof/>
        </w:rPr>
      </w:pPr>
      <w:r>
        <w:rPr>
          <w:noProof/>
        </w:rPr>
        <w:tab/>
        <w:t>(i)</w:t>
      </w:r>
      <w:r>
        <w:rPr>
          <w:noProof/>
        </w:rPr>
        <w:tab/>
        <w:t xml:space="preserve">este constituită și își desfășoară activitatea în statul membru propriu sau în altă jurisdicție de rezidență exclusiv în scopuri religioase, caritabile, științifice, artistice, culturale, sportive sau educaționale; sau este constituită și își desfășoară activitatea în statul membru propriu sau în altă jurisdicție de rezidență și este o organizație profesională, o </w:t>
      </w:r>
      <w:r>
        <w:rPr>
          <w:noProof/>
        </w:rPr>
        <w:lastRenderedPageBreak/>
        <w:t>asociație de afaceri, o cameră de comerț, o organizație a muncii, o organizație din sectorul agriculturii sau al horticulturii, o asociație civică sau o organizație care funcționează exclusiv pentru promovarea bunăstării sociale;</w:t>
      </w:r>
    </w:p>
    <w:p>
      <w:pPr>
        <w:pStyle w:val="Point2"/>
        <w:rPr>
          <w:noProof/>
        </w:rPr>
      </w:pPr>
      <w:r>
        <w:rPr>
          <w:noProof/>
        </w:rPr>
        <w:tab/>
        <w:t>(ii)</w:t>
      </w:r>
      <w:r>
        <w:rPr>
          <w:noProof/>
        </w:rPr>
        <w:tab/>
        <w:t>este scutită de impozitul pe venit în statul său membru sau în altă jurisdicție de rezidență;</w:t>
      </w:r>
    </w:p>
    <w:p>
      <w:pPr>
        <w:pStyle w:val="Point2"/>
        <w:rPr>
          <w:noProof/>
        </w:rPr>
      </w:pPr>
      <w:r>
        <w:rPr>
          <w:noProof/>
        </w:rPr>
        <w:tab/>
        <w:t>(iii)</w:t>
      </w:r>
      <w:r>
        <w:rPr>
          <w:noProof/>
        </w:rPr>
        <w:tab/>
        <w:t>nu are acționari sau membri care au drepturi de proprietate sau beneficii legate de activele sau veniturile sale;</w:t>
      </w:r>
    </w:p>
    <w:p>
      <w:pPr>
        <w:pStyle w:val="Point2"/>
        <w:rPr>
          <w:noProof/>
        </w:rPr>
      </w:pPr>
      <w:r>
        <w:rPr>
          <w:noProof/>
        </w:rPr>
        <w:tab/>
        <w:t>(iv)</w:t>
      </w:r>
      <w:r>
        <w:rPr>
          <w:noProof/>
        </w:rPr>
        <w:tab/>
        <w:t>legislația aplicabilă a statului membru al ENF</w:t>
      </w:r>
      <w:r>
        <w:rPr>
          <w:rStyle w:val="CRDeleted"/>
          <w:noProof/>
        </w:rPr>
        <w:t>S</w:t>
      </w:r>
      <w:r>
        <w:rPr>
          <w:noProof/>
        </w:rPr>
        <w:t xml:space="preserve"> sau a altei jurisdicții de rezidență a ENF</w:t>
      </w:r>
      <w:r>
        <w:rPr>
          <w:rStyle w:val="CRDeleted"/>
          <w:noProof/>
        </w:rPr>
        <w:t>S</w:t>
      </w:r>
      <w:r>
        <w:rPr>
          <w:noProof/>
        </w:rPr>
        <w:t xml:space="preserve"> ori documentele de constituire a ENF</w:t>
      </w:r>
      <w:r>
        <w:rPr>
          <w:rStyle w:val="CRDeleted"/>
          <w:noProof/>
        </w:rPr>
        <w:t>S</w:t>
      </w:r>
      <w:r>
        <w:rPr>
          <w:noProof/>
        </w:rPr>
        <w:t xml:space="preserve"> nu permit ca vreun venit ori vreun activ al ENF</w:t>
      </w:r>
      <w:r>
        <w:rPr>
          <w:rStyle w:val="CRDeleted"/>
          <w:noProof/>
        </w:rPr>
        <w:t>S</w:t>
      </w:r>
      <w:r>
        <w:rPr>
          <w:noProof/>
        </w:rPr>
        <w:t xml:space="preserve"> să fie distribuit sau utilizat în beneficiul unei persoane fizice sau al unei Entități non-caritabile în alt mod decât în scopul desfășurării de activități caritabile ale ENF</w:t>
      </w:r>
      <w:r>
        <w:rPr>
          <w:rStyle w:val="CRDeleted"/>
          <w:noProof/>
        </w:rPr>
        <w:t>S</w:t>
      </w:r>
      <w:r>
        <w:rPr>
          <w:noProof/>
        </w:rPr>
        <w:t>, sau drept plată a unor compensații rezonabile pentru servicii prestate, ori drept plată reprezentând valoarea justă de piață a proprietății pe care ENF</w:t>
      </w:r>
      <w:r>
        <w:rPr>
          <w:rStyle w:val="CRDeleted"/>
          <w:noProof/>
        </w:rPr>
        <w:t>S</w:t>
      </w:r>
      <w:r>
        <w:rPr>
          <w:noProof/>
        </w:rPr>
        <w:t xml:space="preserve"> a cumpărat-o; și</w:t>
      </w:r>
    </w:p>
    <w:p>
      <w:pPr>
        <w:pStyle w:val="Point2"/>
        <w:rPr>
          <w:noProof/>
        </w:rPr>
      </w:pPr>
      <w:r>
        <w:rPr>
          <w:noProof/>
        </w:rPr>
        <w:tab/>
        <w:t>(v)</w:t>
      </w:r>
      <w:r>
        <w:rPr>
          <w:noProof/>
        </w:rPr>
        <w:tab/>
        <w:t>legislația aplicabilă a statului membru al ENF</w:t>
      </w:r>
      <w:r>
        <w:rPr>
          <w:rStyle w:val="CRDeleted"/>
          <w:noProof/>
        </w:rPr>
        <w:t>S</w:t>
      </w:r>
      <w:r>
        <w:rPr>
          <w:noProof/>
        </w:rPr>
        <w:t xml:space="preserve"> sau a altei jurisdicții de rezidență a ENF</w:t>
      </w:r>
      <w:r>
        <w:rPr>
          <w:rStyle w:val="CRDeleted"/>
          <w:noProof/>
        </w:rPr>
        <w:t>S</w:t>
      </w:r>
      <w:r>
        <w:rPr>
          <w:noProof/>
        </w:rPr>
        <w:t xml:space="preserve"> ori documentele de constituire a ENF</w:t>
      </w:r>
      <w:r>
        <w:rPr>
          <w:rStyle w:val="CRDeleted"/>
          <w:noProof/>
        </w:rPr>
        <w:t>S</w:t>
      </w:r>
      <w:r>
        <w:rPr>
          <w:noProof/>
        </w:rPr>
        <w:t xml:space="preserve"> impun ca, în momentul lichidării sau dizolvării ENF</w:t>
      </w:r>
      <w:r>
        <w:rPr>
          <w:rStyle w:val="CRDeleted"/>
          <w:noProof/>
        </w:rPr>
        <w:t>S</w:t>
      </w:r>
      <w:r>
        <w:rPr>
          <w:noProof/>
        </w:rPr>
        <w:t>, toate activele sale să fie distribuite către o Entitate guvernamentală sau altă organizație non-profit, sau să revină guvernului statului membru sau al altei jurisdicții de rezidență a ENF</w:t>
      </w:r>
      <w:r>
        <w:rPr>
          <w:rStyle w:val="CRDeleted"/>
          <w:noProof/>
        </w:rPr>
        <w:t>S</w:t>
      </w:r>
      <w:r>
        <w:rPr>
          <w:noProof/>
        </w:rPr>
        <w:t xml:space="preserve"> sau oricărei subdiviziuni politice a acestora.</w:t>
      </w:r>
    </w:p>
    <w:p>
      <w:pPr>
        <w:pStyle w:val="ManualHeading2"/>
        <w:ind w:left="851" w:hanging="851"/>
        <w:rPr>
          <w:noProof/>
        </w:rPr>
      </w:pPr>
      <w:bookmarkStart w:id="21" w:name="_Toc229742205"/>
      <w:r>
        <w:rPr>
          <w:noProof/>
        </w:rPr>
        <w:t>E.</w:t>
      </w:r>
      <w:r>
        <w:rPr>
          <w:noProof/>
        </w:rPr>
        <w:tab/>
        <w:t>Diverse</w:t>
      </w:r>
      <w:bookmarkEnd w:id="21"/>
    </w:p>
    <w:p>
      <w:pPr>
        <w:pStyle w:val="Point0"/>
        <w:rPr>
          <w:noProof/>
        </w:rPr>
      </w:pPr>
      <w:r>
        <w:rPr>
          <w:noProof/>
        </w:rPr>
        <w:tab/>
        <w:t>1.</w:t>
      </w:r>
      <w:r>
        <w:rPr>
          <w:noProof/>
        </w:rPr>
        <w:tab/>
        <w:t>Termenul „Titular de cont” înseamnă persoana inclusă pe o listă sau identificată drept titularul unui Cont Financiar de către Instituția Financiară care ține contul. O persoană, alta decât o Instituție Financiară, care deține un Cont Financiar în beneficiul sau în numele altei persoane în calitate de agent, custode, mandatar, semnatar, consilier de investiții sau intermediar, nu este considerată drept deținătoare a contului în sensul prezentei directive, ci cealaltă persoană este considerată drept titulară a contului. În cazul unui Contract de asigurare cu valoare de răscumpărare sau al unui Contract cu rentă viageră, Titularul de cont este orice persoană care are dreptul să acceseze valoarea de răscumpărare sau să modifice beneficiarul contractului. În cazul în care nicio persoană nu poate să aibă acces la valoarea de răscumpărare sau să modifice beneficiarul, Titularul de cont este orice persoană desemnată în calitate de proprietar în contract și orice persoană cu un drept la plată în conformitate cu termenii contractuali. La scadența unui Contract de asigurare cu valoare de răscumpărare sau a unui Contract cu rentă viageră, fiecare persoană care are dreptul să primească o plată în conformitate cu contractul este considerată ca fiind un Titular de cont.</w:t>
      </w:r>
    </w:p>
    <w:p>
      <w:pPr>
        <w:pStyle w:val="Point0"/>
        <w:rPr>
          <w:noProof/>
        </w:rPr>
      </w:pPr>
      <w:r>
        <w:rPr>
          <w:noProof/>
        </w:rPr>
        <w:tab/>
        <w:t>2.</w:t>
      </w:r>
      <w:r>
        <w:rPr>
          <w:noProof/>
        </w:rPr>
        <w:tab/>
        <w:t>Termenul „Proceduri AML/KYC” („anti-money laundering” — combaterea spălării banilor/„know-your-client” — cunoașterea clientelei) înseamnă procedurile de diligență fiscală referitoare la clientela unei Instituții Financiare Raportoare în conformitate cu cerințele privind combaterea spălării banilor sau cu cerințe similare care se aplică respectivei Instituții Financiare Raportoare.</w:t>
      </w:r>
    </w:p>
    <w:p>
      <w:pPr>
        <w:pStyle w:val="Point0"/>
        <w:rPr>
          <w:noProof/>
        </w:rPr>
      </w:pPr>
      <w:r>
        <w:rPr>
          <w:noProof/>
        </w:rPr>
        <w:tab/>
        <w:t>3.</w:t>
      </w:r>
      <w:r>
        <w:rPr>
          <w:noProof/>
        </w:rPr>
        <w:tab/>
        <w:t>Termenul „Entitate” înseamnă o persoană juridică sau o construcție juridică, de exemplu o companie, un parteneriat, o fiducie sau o fundație.</w:t>
      </w:r>
    </w:p>
    <w:p>
      <w:pPr>
        <w:pStyle w:val="Point0"/>
        <w:rPr>
          <w:noProof/>
        </w:rPr>
      </w:pPr>
      <w:r>
        <w:rPr>
          <w:noProof/>
        </w:rPr>
        <w:tab/>
        <w:t>4.</w:t>
      </w:r>
      <w:r>
        <w:rPr>
          <w:noProof/>
        </w:rPr>
        <w:tab/>
        <w:t xml:space="preserve">O Entitate este o „Entitate afiliată” unei alte Entități dacă: (i) oricare dintre cele două Entități deține controlul asupra celeilalte; (ii) cele două Entități se află sub </w:t>
      </w:r>
      <w:r>
        <w:rPr>
          <w:noProof/>
        </w:rPr>
        <w:lastRenderedPageBreak/>
        <w:t>control comun; sau (iii) cele două Entități sunt Entități de investiții prevăzute la subsecțiunea A punctul 6 litera (b), se află sub o conducere comună și respectiva conducere este cea care asigură respectarea cerințelor de diligență fiscală care revine unor astfel de Entități de investiții. În acest sens, noțiunea de control include deținerea directă sau indirectă a peste 50 % din voturi și din valoarea unei Entități.</w:t>
      </w:r>
    </w:p>
    <w:p>
      <w:pPr>
        <w:pStyle w:val="Point0"/>
        <w:rPr>
          <w:noProof/>
        </w:rPr>
      </w:pPr>
      <w:r>
        <w:rPr>
          <w:noProof/>
        </w:rPr>
        <w:tab/>
        <w:t>5.</w:t>
      </w:r>
      <w:r>
        <w:rPr>
          <w:noProof/>
        </w:rPr>
        <w:tab/>
        <w:t>Termenul „NIF” înseamnă număr de identificare fiscală (sau echivalentul său funcțional dacă nu există un număr de identificare fiscală).</w:t>
      </w:r>
    </w:p>
    <w:p>
      <w:pPr>
        <w:pStyle w:val="Point0"/>
        <w:rPr>
          <w:noProof/>
        </w:rPr>
      </w:pPr>
      <w:r>
        <w:rPr>
          <w:noProof/>
        </w:rPr>
        <w:tab/>
        <w:t>6.</w:t>
      </w:r>
      <w:r>
        <w:rPr>
          <w:noProof/>
        </w:rPr>
        <w:tab/>
        <w:t>Termenul „Documente Justificative” include oricare dintre următoarele:</w:t>
      </w:r>
    </w:p>
    <w:p>
      <w:pPr>
        <w:pStyle w:val="Point1"/>
        <w:rPr>
          <w:noProof/>
        </w:rPr>
      </w:pPr>
      <w:r>
        <w:rPr>
          <w:noProof/>
        </w:rPr>
        <w:tab/>
        <w:t>(a)</w:t>
      </w:r>
      <w:r>
        <w:rPr>
          <w:noProof/>
        </w:rPr>
        <w:tab/>
        <w:t>un certificat de rezidență emis de un organism guvernamental autorizat (de exemplu, un guvern sau o agenție a acestuia sau o comună) a statului membru sau a unei alte jurisdicții în care beneficiarul plății afirmă că este rezident.</w:t>
      </w:r>
    </w:p>
    <w:p>
      <w:pPr>
        <w:pStyle w:val="Point1"/>
        <w:rPr>
          <w:noProof/>
        </w:rPr>
      </w:pPr>
      <w:r>
        <w:rPr>
          <w:noProof/>
        </w:rPr>
        <w:tab/>
        <w:t>(b)</w:t>
      </w:r>
      <w:r>
        <w:rPr>
          <w:noProof/>
        </w:rPr>
        <w:tab/>
        <w:t>în ceea ce privește o persoană fizică, orice identificare valabilă eliberată de un organism guvernamental autorizat (de exemplu, un guvern sau o agenție a acestuia sau o comună), care include numele persoanei și este utilizată, de regulă, în scopuri de identificare.</w:t>
      </w:r>
    </w:p>
    <w:p>
      <w:pPr>
        <w:pStyle w:val="Point1"/>
        <w:rPr>
          <w:noProof/>
        </w:rPr>
      </w:pPr>
      <w:r>
        <w:rPr>
          <w:noProof/>
        </w:rPr>
        <w:tab/>
        <w:t>(c)</w:t>
      </w:r>
      <w:r>
        <w:rPr>
          <w:noProof/>
        </w:rPr>
        <w:tab/>
        <w:t>cu privire la o Entitate, orice document oficial eliberat de un organism guvernamental autorizat (de exemplu, un guvern sau o agenție a acestuia sau o comună), care include numele Entității și fie adresa sediului său principal în statul membru sau în altă jurisdicție în care aceasta afirmă că este rezidentă, fie statul membru sau altă jurisdicție în care entitatea a fost înregistrată sau constituită.</w:t>
      </w:r>
    </w:p>
    <w:p>
      <w:pPr>
        <w:pStyle w:val="Point1"/>
        <w:rPr>
          <w:noProof/>
        </w:rPr>
      </w:pPr>
      <w:r>
        <w:rPr>
          <w:noProof/>
        </w:rPr>
        <w:tab/>
        <w:t>(d)</w:t>
      </w:r>
      <w:r>
        <w:rPr>
          <w:noProof/>
        </w:rPr>
        <w:tab/>
        <w:t>orice situație financiară auditată, raport de credit efectuat de o parte terță, declarare a falimentului sau raport al unei autorități de reglementare a pieței titlurilor de valoare.</w:t>
      </w:r>
    </w:p>
    <w:p>
      <w:pPr>
        <w:pStyle w:val="Point0"/>
        <w:rPr>
          <w:noProof/>
        </w:rPr>
      </w:pPr>
      <w:r>
        <w:rPr>
          <w:noProof/>
        </w:rPr>
        <w:tab/>
        <w:t>Cu privire la un Cont de Entitate Preexistent, Instituția Financiară Raportoare poate utiliza ca Documente Justificative orice clasificare care figurează în registrele Instituției Financiare Raportoare cu privire la Titularul de cont care a fost determinată pe baza unui sistem standardizat de codificare a segmentelor de activitate, care a fost înregistrată de către Instituția Financiară Raportoare în conformitate cu practicile sale obișnuite de afaceri în scopul aplicării Procedurilor AML/KYC proceduri sau în alte scopuri de reglementare (altele decât fiscale) și care a fost pusă în aplicare de către Instituția Financiară Raportoare înainte de data utilizată pentru a clasifica Contul Financiar drept un Cont Preexistent, cu condiția ca respectiva Instituție Financiară Raportoare să nu fi aflat sau să nu aibă motive de a fi aflat că respectiva clasificare este incorectă sau nefiabilă. Termenul „Sistem standardizat de codificare a segmentelor de activitate” înseamnă un sistem de codificare utilizat pentru a clasifica unitățile în funcție de tipul activității lor în alte scopuri decât în scopuri fiscale.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4 litera (h)</w:t>
      </w:r>
    </w:p>
    <w:p>
      <w:pPr>
        <w:pStyle w:val="Point0"/>
        <w:rPr>
          <w:noProof/>
        </w:rPr>
      </w:pPr>
      <w:r>
        <w:rPr>
          <w:noProof/>
        </w:rPr>
        <w:tab/>
        <w:t>7.</w:t>
      </w:r>
      <w:r>
        <w:rPr>
          <w:noProof/>
        </w:rPr>
        <w:tab/>
        <w:t>Termenul „Serviciu de Identificare” înseamnă un proces electronic pus gratuit de către un stat membru sau de către Uniune la dispoziția unei Instituții Financiare Raportoare, în scopul stabilirii identității și a rezidenței fiscale a unui Titular de Cont sau a unei Persoane care exercită Controlul.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ManualHeading1"/>
        <w:ind w:left="851" w:hanging="851"/>
        <w:rPr>
          <w:noProof/>
        </w:rPr>
      </w:pPr>
      <w:bookmarkStart w:id="22" w:name="_Toc229742206"/>
      <w:r>
        <w:rPr>
          <w:noProof/>
        </w:rPr>
        <w:t xml:space="preserve">SECȚIUNEA </w:t>
      </w:r>
      <w:r>
        <w:rPr>
          <w:rStyle w:val="CRMinorChangeAdded"/>
          <w:noProof/>
        </w:rPr>
        <w:t>IX</w:t>
      </w:r>
      <w:r>
        <w:rPr>
          <w:rStyle w:val="CRMinorChangeDeleted"/>
          <w:noProof/>
        </w:rPr>
        <w:t>X</w:t>
      </w:r>
      <w:bookmarkEnd w:id="22"/>
    </w:p>
    <w:p>
      <w:pPr>
        <w:pStyle w:val="ManualHeading2"/>
        <w:ind w:left="851" w:hanging="851"/>
        <w:rPr>
          <w:rStyle w:val="CRDeleted"/>
          <w:i/>
          <w:noProof/>
        </w:rPr>
      </w:pPr>
      <w:r>
        <w:rPr>
          <w:rStyle w:val="CRDeleted"/>
          <w:i/>
          <w:noProof/>
        </w:rPr>
        <w:t>DATE DE</w:t>
      </w:r>
      <w:r>
        <w:rPr>
          <w:i/>
          <w:noProof/>
        </w:rPr>
        <w:t xml:space="preserve"> PUNERE ÎN APLICARE </w:t>
      </w:r>
      <w:r>
        <w:rPr>
          <w:noProof/>
        </w:rPr>
        <w:fldChar w:fldCharType="begin"/>
      </w:r>
      <w:r>
        <w:rPr>
          <w:noProof/>
        </w:rPr>
        <w:instrText xml:space="preserve"> QUOTE "Ö" </w:instrText>
      </w:r>
      <w:r>
        <w:rPr>
          <w:noProof/>
        </w:rPr>
        <w:fldChar w:fldCharType="separate"/>
      </w:r>
      <w:bookmarkStart w:id="23" w:name="_Toc229742207"/>
      <w:r>
        <w:rPr>
          <w:rStyle w:val="CRMarker"/>
          <w:noProof/>
        </w:rPr>
        <w:t>Ö</w:t>
      </w:r>
      <w:r>
        <w:rPr>
          <w:noProof/>
        </w:rPr>
        <w:fldChar w:fldCharType="end"/>
      </w:r>
      <w:r>
        <w:rPr>
          <w:i/>
          <w:noProof/>
        </w:rPr>
        <w:t xml:space="preserve"> EFECTIVĂ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i/>
          <w:noProof/>
        </w:rPr>
        <w:t xml:space="preserve"> </w:t>
      </w:r>
      <w:r>
        <w:rPr>
          <w:rStyle w:val="CRDeleted"/>
          <w:i/>
          <w:noProof/>
        </w:rPr>
        <w:t>ÎN CEEA CE PRIVEȘTE INSTITUȚIILE FINANCIARE RAPORTOARE SITUATE ÎN AUSTRIA</w:t>
      </w:r>
      <w:bookmarkEnd w:id="23"/>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2014/107/UE articolul 1 punctul 6 și anexa </w:t>
      </w:r>
    </w:p>
    <w:p>
      <w:pPr>
        <w:rPr>
          <w:noProof/>
        </w:rPr>
      </w:pPr>
      <w:r>
        <w:rPr>
          <w:noProof/>
        </w:rPr>
        <w:t>În conformitate cu articolul 5 din prezenta directivă, statele membre trebuie să dispună de norme și proceduri administrative menite să asigure punerea în aplicare eficace și respectarea procedurilor de raportare și de diligență fiscală menționate anterior, inclusiv:</w:t>
      </w:r>
    </w:p>
    <w:p>
      <w:pPr>
        <w:pStyle w:val="Point0"/>
        <w:rPr>
          <w:noProof/>
        </w:rPr>
      </w:pPr>
      <w:r>
        <w:rPr>
          <w:noProof/>
        </w:rPr>
        <w:tab/>
        <w:t>1.</w:t>
      </w:r>
      <w:r>
        <w:rPr>
          <w:noProof/>
        </w:rPr>
        <w:tab/>
        <w:t>norme care să împiedice orice Instituții Financiare, persoane sau intermediari să adopte practici destinate să eludeze procedurile de raportare și de diligență fiscală;</w:t>
      </w:r>
    </w:p>
    <w:p>
      <w:pPr>
        <w:pStyle w:val="Point0"/>
        <w:rPr>
          <w:noProof/>
        </w:rPr>
      </w:pPr>
      <w:r>
        <w:rPr>
          <w:noProof/>
        </w:rPr>
        <w:tab/>
        <w:t>2.</w:t>
      </w:r>
      <w:r>
        <w:rPr>
          <w:noProof/>
        </w:rPr>
        <w:tab/>
        <w:t>norme care impun Instituțiilor Financiare Raportoare să păstreze evidența măsurilor întreprinse și orice dovezi pe care s-au bazat în desfășurarea procedurilor sus-menționate, precum și să dispună de măsuri adecvate pentru obținerea acestor evidențe;</w:t>
      </w:r>
    </w:p>
    <w:p>
      <w:pPr>
        <w:pStyle w:val="Point0"/>
        <w:rPr>
          <w:noProof/>
        </w:rPr>
      </w:pPr>
      <w:r>
        <w:rPr>
          <w:noProof/>
        </w:rPr>
        <w:tab/>
        <w:t>3.</w:t>
      </w:r>
      <w:r>
        <w:rPr>
          <w:noProof/>
        </w:rPr>
        <w:tab/>
        <w:t>proceduri administrative pentru a verifica respectarea de către Instituția Financiară Raportoare a procedurilor de raportare și de diligență fiscală; proceduri administrative pentru a monitoriza o Instituție Financiară Raportoare în cazul în care sunt raportate conturi nedocumentate;</w:t>
      </w:r>
    </w:p>
    <w:p>
      <w:pPr>
        <w:pStyle w:val="Point0"/>
        <w:rPr>
          <w:noProof/>
        </w:rPr>
      </w:pPr>
      <w:r>
        <w:rPr>
          <w:noProof/>
        </w:rPr>
        <w:tab/>
        <w:t>4.</w:t>
      </w:r>
      <w:r>
        <w:rPr>
          <w:noProof/>
        </w:rPr>
        <w:tab/>
        <w:t>proceduri administrative pentru a se asigura că Entitățile și conturile definite în legislația națională drept Instituții Financiare care nu fac obiectul raportării și, respectiv, Conturi excluse prezintă, în continuare, un risc scăzut de a fi utilizate pentru evaziune fiscală; și</w:t>
      </w:r>
    </w:p>
    <w:p>
      <w:pPr>
        <w:pStyle w:val="Point0"/>
        <w:rPr>
          <w:noProof/>
        </w:rPr>
      </w:pPr>
      <w:r>
        <w:rPr>
          <w:noProof/>
        </w:rPr>
        <w:tab/>
        <w:t>5.</w:t>
      </w:r>
      <w:r>
        <w:rPr>
          <w:noProof/>
        </w:rPr>
        <w:tab/>
        <w:t>dispoziții eficace de asigurare a respectării, pentru abordarea cazurilor de neconformitate.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rPr>
          <w:noProof/>
        </w:rPr>
      </w:pPr>
      <w:r>
        <w:rPr>
          <w:rStyle w:val="CRDeleted"/>
          <w:noProof/>
        </w:rPr>
        <w:t>În cazul Instituțiilor Financiare Raportoare situate în Austria, toate trimiterile la „2016” și „2017” în prezenta anexă se interpretează drept trimiteri la „2017” și, respectiv, „2018”.</w:t>
      </w:r>
    </w:p>
    <w:p>
      <w:pPr>
        <w:rPr>
          <w:noProof/>
        </w:rPr>
      </w:pPr>
      <w:r>
        <w:rPr>
          <w:rStyle w:val="CRDeleted"/>
          <w:noProof/>
        </w:rPr>
        <w:t>În cazul Conturilor preexistente deținute de Instituții Financiare Raportoare situate în Austria, toate trimiterile la „31 decembrie 2015” în prezenta anexă se interpretează drept trimiteri la „31 decembrie 2016”.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17 și anexa I punctul 5</w:t>
      </w:r>
    </w:p>
    <w:p>
      <w:pPr>
        <w:pStyle w:val="ManualHeading1"/>
        <w:ind w:left="851" w:hanging="851"/>
        <w:rPr>
          <w:rStyle w:val="CRRefonteDeleted"/>
          <w:noProof/>
          <w:highlight w:val="lightGray"/>
        </w:rPr>
      </w:pPr>
      <w:bookmarkStart w:id="24" w:name="_Toc229742208"/>
      <w:r>
        <w:rPr>
          <w:rStyle w:val="CRRefonteDeleted"/>
          <w:b w:val="0"/>
          <w:smallCaps w:val="0"/>
          <w:noProof/>
          <w:highlight w:val="lightGray"/>
        </w:rPr>
        <w:t>SECȚIUNEA XI</w:t>
      </w:r>
      <w:bookmarkEnd w:id="24"/>
    </w:p>
    <w:p>
      <w:pPr>
        <w:pStyle w:val="ManualHeading2"/>
        <w:ind w:left="851" w:hanging="851"/>
        <w:rPr>
          <w:rStyle w:val="CRRefonteDeleted"/>
          <w:noProof/>
          <w:highlight w:val="lightGray"/>
        </w:rPr>
      </w:pPr>
      <w:bookmarkStart w:id="25" w:name="_Toc229742209"/>
      <w:r>
        <w:rPr>
          <w:rStyle w:val="CRRefonteDeleted"/>
          <w:b w:val="0"/>
          <w:i/>
          <w:noProof/>
          <w:highlight w:val="lightGray"/>
        </w:rPr>
        <w:t>MĂSURI TRANZITORII</w:t>
      </w:r>
      <w:bookmarkEnd w:id="25"/>
    </w:p>
    <w:p>
      <w:pPr>
        <w:rPr>
          <w:rStyle w:val="CRRefonteDeleted"/>
          <w:noProof/>
          <w:highlight w:val="lightGray"/>
        </w:rPr>
      </w:pPr>
      <w:r>
        <w:rPr>
          <w:rStyle w:val="CRRefonteDeleted"/>
          <w:noProof/>
          <w:highlight w:val="lightGray"/>
        </w:rPr>
        <w:t>Fără a aduce atingere secțiunii I punctul A subpunctul 1 litera (b) și punctul A subpunctul 6a, în ceea ce privește fiecare Cont care face Obiectul Raportării și care este administrat de o Instituție Financiară Raportoare la 31 decembrie 2025 și pentru perioadele de raportare care se încheie în al doilea an calendaristic care urmează acestei date, informațiile cu privire la rolul (rolurile) în temeiul căruia (cărora) fiecare Persoană care face obiectul raportării este o Persoană care exercită Controlul sau un Deținător de Participații în Capitalurile Proprii ale Entității trebuie raportate numai dacă aceste informații sunt disponibile în datele accesibile pentru căutare electronică păstrate de Instituția Financiară Raportoare.</w:t>
      </w:r>
    </w:p>
    <w:p>
      <w:pPr>
        <w:adjustRightInd w:val="0"/>
        <w:spacing w:before="0" w:after="0"/>
        <w:jc w:val="left"/>
        <w:rPr>
          <w:noProof/>
        </w:rPr>
        <w:sectPr>
          <w:headerReference w:type="even" r:id="rId17"/>
          <w:footerReference w:type="even" r:id="rId18"/>
          <w:footerReference w:type="default" r:id="rId19"/>
          <w:headerReference w:type="first" r:id="rId20"/>
          <w:footerReference w:type="first" r:id="rId21"/>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6 și anexa (adaptat)</w:t>
      </w:r>
    </w:p>
    <w:p>
      <w:pPr>
        <w:pStyle w:val="Annexetitre"/>
        <w:rPr>
          <w:noProof/>
        </w:rPr>
      </w:pPr>
      <w:r>
        <w:rPr>
          <w:noProof/>
        </w:rPr>
        <w:t>ANEXA II</w:t>
      </w:r>
    </w:p>
    <w:p>
      <w:pPr>
        <w:pStyle w:val="NormalCentered"/>
        <w:rPr>
          <w:b/>
          <w:noProof/>
        </w:rPr>
      </w:pPr>
      <w:r>
        <w:rPr>
          <w:b/>
          <w:noProof/>
        </w:rPr>
        <w:t>NORME SUPLIMENTARE DE RAPORTARE ȘI DE DILIGENȚĂ FISCALĂ PENTRU SCHIMBUL DE INFORMAȚII REFERITOARE LA CONTURILE FINANCIARE</w:t>
      </w:r>
    </w:p>
    <w:p>
      <w:pPr>
        <w:pStyle w:val="ManualHeading1"/>
        <w:ind w:left="851" w:hanging="851"/>
        <w:rPr>
          <w:noProof/>
        </w:rPr>
      </w:pPr>
      <w:bookmarkStart w:id="26" w:name="_Toc229742210"/>
      <w:r>
        <w:rPr>
          <w:noProof/>
        </w:rPr>
        <w:t>1.</w:t>
      </w:r>
      <w:r>
        <w:rPr>
          <w:noProof/>
        </w:rPr>
        <w:tab/>
        <w:t>Modificarea circumstanțelor</w:t>
      </w:r>
      <w:bookmarkEnd w:id="26"/>
    </w:p>
    <w:p>
      <w:pPr>
        <w:rPr>
          <w:noProof/>
        </w:rPr>
      </w:pPr>
      <w:r>
        <w:rPr>
          <w:noProof/>
        </w:rPr>
        <w:t xml:space="preserve">O „modificare a circumstanțelor” include orice modificare care are drept rezultat adăugarea de informații relevante privind statutul unei persoane sau intră, în alt mod, în contradicție cu statutul persoanei respective. În plus, o modificare a circumstanțelor include orice modificare sau completare a informațiilor privind contul Titularului de cont (inclusiv adăugarea sau substituirea unui Titular de cont, ori altă modificare referitoare la acesta) sau orice modificare sau completare a informațiilor privind orice cont asociat cu un astfel de cont (aplicând normele privind agregarea conturilor prevăzute la anexa I secțiunea VI subsecțiunea C punctele </w:t>
      </w:r>
      <w:r>
        <w:rPr>
          <w:rStyle w:val="CRDeleted"/>
          <w:noProof/>
        </w:rPr>
        <w:t>1-3</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 2 și 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dacă o astfel de modificare sau completare a informațiilor afectează statutul Titularului de cont.</w:t>
      </w:r>
    </w:p>
    <w:p>
      <w:pPr>
        <w:rPr>
          <w:noProof/>
        </w:rPr>
      </w:pPr>
      <w:r>
        <w:rPr>
          <w:noProof/>
        </w:rPr>
        <w:t>În cazul în care o Instituție Financiară Raportoare a aplicat testul cu privire la adresa de rezidență prevăzută la anexa I secțiunea III subsecțiunea B punctul 1 și intervine o modificare a circumstanțelor în urma căreia Instituția Financiară Raportoare află sau are motive să afle că Documentele justificative inițiale (sau orice alte documente echivalente) sunt incorecte sau nefiabile, Instituția Financiară Raportoare trebuie, până în ultima zi a anului calendaristic relevant sau a altei perioade de raportare adecvate, ori în termen de 90 de zile calendaristice de la notificarea sau descoperirea unei asemenea modificări a circumstanțelor, oricare dintre acestea este mai recentă, să obțină o autocertificare și noi Documente Justificative pentru a stabili rezidența fiscală (rezidențele fiscale) a(le) Titularului de cont. În cazul în care o Instituție Financiară Raportoare nu poate obține autocertificarea și noi Documente Justificative până la data respectivă, aceasta trebuie să aplice procedura de căutare în registrul electronic prevăzută la anexa I secțiunea III subsecțiunea B punctele 2-6.</w:t>
      </w:r>
    </w:p>
    <w:p>
      <w:pPr>
        <w:pStyle w:val="ManualHeading1"/>
        <w:ind w:left="851" w:hanging="851"/>
        <w:rPr>
          <w:noProof/>
        </w:rPr>
      </w:pPr>
      <w:bookmarkStart w:id="27" w:name="_Toc229742211"/>
      <w:r>
        <w:rPr>
          <w:noProof/>
        </w:rPr>
        <w:t>2.</w:t>
      </w:r>
      <w:r>
        <w:rPr>
          <w:noProof/>
        </w:rPr>
        <w:tab/>
        <w:t>Autocertificarea pentru Conturile de Entitate Noi</w:t>
      </w:r>
      <w:bookmarkEnd w:id="27"/>
    </w:p>
    <w:p>
      <w:pPr>
        <w:rPr>
          <w:noProof/>
        </w:rPr>
      </w:pPr>
      <w:r>
        <w:rPr>
          <w:noProof/>
        </w:rPr>
        <w:t>În ceea ce privește Conturile de entitate noi, pentru a stabili dacă o Persoană care exercită controlul asupra unei ENF</w:t>
      </w:r>
      <w:r>
        <w:rPr>
          <w:rStyle w:val="CRDeleted"/>
          <w:noProof/>
        </w:rPr>
        <w:t>S</w:t>
      </w:r>
      <w:r>
        <w:rPr>
          <w:noProof/>
        </w:rPr>
        <w:t xml:space="preserve"> pasive este o Persoană care face obiectul raportării, o Instituție Financiară Raportoare se poate baza numai pe o autocertificare, fie din partea Titularului de cont, fie din partea Persoanei care exercită controlul.</w:t>
      </w:r>
    </w:p>
    <w:p>
      <w:pPr>
        <w:pStyle w:val="ManualHeading1"/>
        <w:ind w:left="851" w:hanging="851"/>
        <w:rPr>
          <w:noProof/>
        </w:rPr>
      </w:pPr>
      <w:bookmarkStart w:id="28" w:name="_Toc229742212"/>
      <w:r>
        <w:rPr>
          <w:noProof/>
        </w:rPr>
        <w:t>3.</w:t>
      </w:r>
      <w:r>
        <w:rPr>
          <w:noProof/>
        </w:rPr>
        <w:tab/>
        <w:t>Rezidența unei Instituții Financiare</w:t>
      </w:r>
      <w:bookmarkEnd w:id="28"/>
    </w:p>
    <w:p>
      <w:pPr>
        <w:rPr>
          <w:noProof/>
        </w:rPr>
      </w:pPr>
      <w:r>
        <w:rPr>
          <w:noProof/>
        </w:rPr>
        <w:t xml:space="preserve">O Instituție Financiară este „rezidentă” într-un stat membru în cazul în care aceasta se află sub jurisdicția statului membru respectiv (și anume, statul membru poate impune raportarea de către Instituția Financiară). În general, în cazul în care o Instituție Financiară are rezidența fiscală într-un stat membru, aceasta se află sub jurisdicția acestui stat membru și, prin urmare, este o Instituție Financiară a statului membru. În cazul unei fiducii care este o Instituție Financiară (indiferent dacă aceasta este rezident fiscal într-un stat membru), fiducia este considerată a se afla sub jurisdicția unui stat membru dacă unul sau mai mulți fiduciari sunt rezidenți în respectivul stat membru, cu excepția cazului în care fiducia raportează altui stat membru toate informațiile care trebuie raportate în temeiul prezentei directive cu privire la Conturile care fac obiectul raportării administrate de fiducie, în virtutea faptului că fiducia are </w:t>
      </w:r>
      <w:r>
        <w:rPr>
          <w:noProof/>
        </w:rPr>
        <w:lastRenderedPageBreak/>
        <w:t>rezidența fiscală în acel stat membru. Cu toate acestea, în cazul în care o Instituție Financiară (care nu este o fiducie) nu are rezidență fiscală (de exemplu, pentru că este considerată transparentă din punct de vedere fiscal sau pentru că se află într-o jurisdicție în care nu există impozit pe venit), se consideră că aceasta se află sub jurisdicția unui stat membru și că este, prin urmare, o Instituție Financiară a statului membru, în cazul în care:</w:t>
      </w:r>
    </w:p>
    <w:p>
      <w:pPr>
        <w:pStyle w:val="Point0"/>
        <w:rPr>
          <w:noProof/>
        </w:rPr>
      </w:pPr>
      <w:r>
        <w:rPr>
          <w:noProof/>
        </w:rPr>
        <w:tab/>
        <w:t>(a)</w:t>
      </w:r>
      <w:r>
        <w:rPr>
          <w:noProof/>
        </w:rPr>
        <w:tab/>
        <w:t>este constituită în temeiul legislației statului membru respectiv;</w:t>
      </w:r>
    </w:p>
    <w:p>
      <w:pPr>
        <w:pStyle w:val="Point0"/>
        <w:rPr>
          <w:noProof/>
        </w:rPr>
      </w:pPr>
      <w:r>
        <w:rPr>
          <w:noProof/>
        </w:rPr>
        <w:tab/>
        <w:t>(b)</w:t>
      </w:r>
      <w:r>
        <w:rPr>
          <w:noProof/>
        </w:rPr>
        <w:tab/>
        <w:t xml:space="preserve">are sediul conducerii </w:t>
      </w:r>
      <w:r>
        <w:rPr>
          <w:rStyle w:val="CRDeleted"/>
          <w:noProof/>
        </w:rPr>
        <w:t>efective</w:t>
      </w:r>
      <w:r>
        <w:rPr>
          <w:noProof/>
        </w:rPr>
        <w:t xml:space="preserve"> (inclusiv sediul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conducerii efective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administrativ efectiv</w:t>
      </w:r>
      <w:r>
        <w:rPr>
          <w:noProof/>
        </w:rPr>
        <w:t>) într-un stat membru; sau</w:t>
      </w:r>
    </w:p>
    <w:p>
      <w:pPr>
        <w:pStyle w:val="Point0"/>
        <w:rPr>
          <w:noProof/>
        </w:rPr>
      </w:pPr>
      <w:r>
        <w:rPr>
          <w:noProof/>
        </w:rPr>
        <w:tab/>
        <w:t>(c)</w:t>
      </w:r>
      <w:r>
        <w:rPr>
          <w:noProof/>
        </w:rPr>
        <w:tab/>
        <w:t>face obiectul supravegherii financiare în statul membru respectiv.</w:t>
      </w:r>
    </w:p>
    <w:p>
      <w:pPr>
        <w:rPr>
          <w:noProof/>
        </w:rPr>
      </w:pPr>
      <w:r>
        <w:rPr>
          <w:noProof/>
        </w:rPr>
        <w:t>În cazul în care o Instituție Financiară (care nu este o fiducie) este rezidentă în două sau mai multe state membre, respectiva Instituție Financiară face obiectul cerințelor de raportare și de diligență fiscală ale statului membru în care aceasta își menține Contul/Conturile Financiar(e).</w:t>
      </w:r>
    </w:p>
    <w:p>
      <w:pPr>
        <w:pStyle w:val="ManualHeading1"/>
        <w:ind w:left="851" w:hanging="851"/>
        <w:rPr>
          <w:noProof/>
        </w:rPr>
      </w:pPr>
      <w:bookmarkStart w:id="29" w:name="_Toc229742213"/>
      <w:r>
        <w:rPr>
          <w:noProof/>
        </w:rPr>
        <w:t>4.</w:t>
      </w:r>
      <w:r>
        <w:rPr>
          <w:noProof/>
        </w:rPr>
        <w:tab/>
        <w:t>Cont administrat</w:t>
      </w:r>
      <w:bookmarkEnd w:id="29"/>
    </w:p>
    <w:p>
      <w:pPr>
        <w:rPr>
          <w:noProof/>
        </w:rPr>
      </w:pPr>
      <w:r>
        <w:rPr>
          <w:noProof/>
        </w:rPr>
        <w:t>În general, se poate considera că un cont este administrat de către o Instituție Financiară în următoarele situații:</w:t>
      </w:r>
    </w:p>
    <w:p>
      <w:pPr>
        <w:pStyle w:val="Point0"/>
        <w:rPr>
          <w:noProof/>
        </w:rPr>
      </w:pPr>
      <w:r>
        <w:rPr>
          <w:noProof/>
        </w:rPr>
        <w:tab/>
        <w:t>(a)</w:t>
      </w:r>
      <w:r>
        <w:rPr>
          <w:noProof/>
        </w:rPr>
        <w:tab/>
        <w:t>în cazul unui Cont de custodie, de Instituția Financiară care deține custodia activelor din contul respectiv (inclusiv o Instituție Financiară care deține active în regim „street name” pentru un Titular de cont în respectiva instituție).</w:t>
      </w:r>
    </w:p>
    <w:p>
      <w:pPr>
        <w:pStyle w:val="Point0"/>
        <w:rPr>
          <w:noProof/>
        </w:rPr>
      </w:pPr>
      <w:r>
        <w:rPr>
          <w:noProof/>
        </w:rPr>
        <w:tab/>
        <w:t>(b)</w:t>
      </w:r>
      <w:r>
        <w:rPr>
          <w:noProof/>
        </w:rPr>
        <w:tab/>
        <w:t>în cazul unui Cont de depozit, de Instituția Financiară care este obligată să facă plăți cu privire la contul respectiv (cu excepția unui reprezentant al unei Instituții Financiare, indiferent dacă acest reprezentant este sau nu o Instituție Financiară).</w:t>
      </w:r>
    </w:p>
    <w:p>
      <w:pPr>
        <w:pStyle w:val="Point0"/>
        <w:rPr>
          <w:noProof/>
        </w:rPr>
      </w:pPr>
      <w:r>
        <w:rPr>
          <w:noProof/>
        </w:rPr>
        <w:tab/>
        <w:t>(c)</w:t>
      </w:r>
      <w:r>
        <w:rPr>
          <w:noProof/>
        </w:rPr>
        <w:tab/>
        <w:t>în cazul oricărui titlu de capital sau de creanță asupra unei Instituții Financiare care constituie un Cont Financiar, de către respectiva Instituție Financiară.</w:t>
      </w:r>
    </w:p>
    <w:p>
      <w:pPr>
        <w:pStyle w:val="Point0"/>
        <w:rPr>
          <w:noProof/>
        </w:rPr>
      </w:pPr>
      <w:r>
        <w:rPr>
          <w:noProof/>
        </w:rPr>
        <w:tab/>
        <w:t>(d)</w:t>
      </w:r>
      <w:r>
        <w:rPr>
          <w:noProof/>
        </w:rPr>
        <w:tab/>
        <w:t>în cazul unui Contract de asigurare cu valoare de răscumpărare sau al unui Contract cu rentă viageră, de Instituția Financiară care este obligată să facă plăți cu privire la respectivul contract.</w:t>
      </w:r>
    </w:p>
    <w:p>
      <w:pPr>
        <w:pStyle w:val="ManualHeading1"/>
        <w:ind w:left="851" w:hanging="851"/>
        <w:rPr>
          <w:noProof/>
        </w:rPr>
      </w:pPr>
      <w:bookmarkStart w:id="30" w:name="_Toc229742214"/>
      <w:r>
        <w:rPr>
          <w:noProof/>
        </w:rPr>
        <w:t>5.</w:t>
      </w:r>
      <w:r>
        <w:rPr>
          <w:noProof/>
        </w:rPr>
        <w:tab/>
        <w:t>Fiducii care sunt ENF</w:t>
      </w:r>
      <w:r>
        <w:rPr>
          <w:rStyle w:val="CRDeleted"/>
          <w:noProof/>
        </w:rPr>
        <w:t>S</w:t>
      </w:r>
      <w:r>
        <w:rPr>
          <w:noProof/>
        </w:rPr>
        <w:t xml:space="preserve"> pasive</w:t>
      </w:r>
      <w:bookmarkEnd w:id="30"/>
    </w:p>
    <w:p>
      <w:pPr>
        <w:rPr>
          <w:noProof/>
        </w:rPr>
      </w:pPr>
      <w:r>
        <w:rPr>
          <w:noProof/>
        </w:rPr>
        <w:t>O Entitate precum o societate civilă, o societate cu răspundere limitată sau o construcție juridică similară care nu are rezidență fiscală, în conformitate anexa I secțiunea VIII subsecțiunea D punctul 3, este considerată ca fiind rezidentă în jurisdicția în care se află sediul conducerii efective. În acest sens, o persoană juridică sau o construcție juridică este considerată a fi „similară” cu o societate civilă și cu o societate cu răspundere limitată în cazul în care aceasta nu este tratată ca o unitate impozabilă într-un stat membru în temeiul legislației fiscale a acestui stat membru. Cu toate acestea, în scopul de a evita raportarea dublă (ținând cont de sfera amplă a termenului „Persoane care exercită controlul” în cazul fiduciilor), o fiducie care este o ENF</w:t>
      </w:r>
      <w:r>
        <w:rPr>
          <w:rStyle w:val="CRDeleted"/>
          <w:noProof/>
        </w:rPr>
        <w:t>S</w:t>
      </w:r>
      <w:r>
        <w:rPr>
          <w:noProof/>
        </w:rPr>
        <w:t xml:space="preserve"> pasivă nu poate fi considerată o construcție juridică similară.</w:t>
      </w:r>
    </w:p>
    <w:p>
      <w:pPr>
        <w:pStyle w:val="ManualHeading1"/>
        <w:ind w:left="851" w:hanging="851"/>
        <w:rPr>
          <w:noProof/>
        </w:rPr>
      </w:pPr>
      <w:bookmarkStart w:id="31" w:name="_Toc229742215"/>
      <w:r>
        <w:rPr>
          <w:noProof/>
        </w:rPr>
        <w:t>6.</w:t>
      </w:r>
      <w:r>
        <w:rPr>
          <w:noProof/>
        </w:rPr>
        <w:tab/>
        <w:t>Adresa sediului principal al Entității</w:t>
      </w:r>
      <w:bookmarkEnd w:id="31"/>
    </w:p>
    <w:p>
      <w:pPr>
        <w:rPr>
          <w:noProof/>
        </w:rPr>
      </w:pPr>
      <w:r>
        <w:rPr>
          <w:noProof/>
        </w:rPr>
        <w:t xml:space="preserve">Una dintre cerințele prevăzute la anexa I secțiunea VIII subsecțiunea E punctul 6 litera (c) este că, în ceea ce privește o Entitate, documentația oficială include fie adresa sediului principal al entității în statul membru sau în altă jurisdicție în care aceasta afirmă că este rezidentă, fie statul membru sau altă jurisdicție în care Entitatea a fost înregistrată sau constituită. Adresa sediului principal al Entității este, în general, locul în care se află sediul conducerii efective. Adresa unei Instituții Financiare la care Entitatea administrează un cont, o căsuță poștală sau o adresă utilizate exclusiv pentru corespondență nu este adresa sediului </w:t>
      </w:r>
      <w:r>
        <w:rPr>
          <w:noProof/>
        </w:rPr>
        <w:lastRenderedPageBreak/>
        <w:t>principal al Entității, cu excepția cazului în care respectiva adresă este singura adresă utilizată de către Entitate și figurează ca adresă socială a Entității în documentele de constituire. Mai mult decât atât, o adresă furnizată purtând mențiunea „post-restant” nu este adresa sediului principal al Entității.</w:t>
      </w:r>
    </w:p>
    <w:p>
      <w:pPr>
        <w:adjustRightInd w:val="0"/>
        <w:spacing w:before="0" w:after="0"/>
        <w:jc w:val="left"/>
        <w:rPr>
          <w:noProof/>
        </w:rPr>
        <w:sectPr>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9 și anexa (adaptat)</w:t>
      </w:r>
    </w:p>
    <w:p>
      <w:pPr>
        <w:pStyle w:val="Annexetitre"/>
        <w:rPr>
          <w:noProof/>
        </w:rPr>
      </w:pPr>
      <w:r>
        <w:rPr>
          <w:noProof/>
        </w:rPr>
        <w:t>ANEXA III</w:t>
      </w:r>
    </w:p>
    <w:p>
      <w:pPr>
        <w:pStyle w:val="ManualHeading1"/>
        <w:ind w:left="851" w:hanging="851"/>
        <w:rPr>
          <w:noProof/>
        </w:rPr>
      </w:pPr>
      <w:bookmarkStart w:id="32" w:name="_Toc229742216"/>
      <w:r>
        <w:rPr>
          <w:i/>
          <w:noProof/>
        </w:rPr>
        <w:t>NORME DE RAPORTARE PENTRU GRUPURILE DE ÎNTREPRINDERI MULTINAȚIONALE</w:t>
      </w:r>
      <w:bookmarkEnd w:id="32"/>
    </w:p>
    <w:p>
      <w:pPr>
        <w:pStyle w:val="ManualHeading2"/>
        <w:ind w:left="851" w:hanging="851"/>
        <w:rPr>
          <w:noProof/>
        </w:rPr>
      </w:pPr>
      <w:bookmarkStart w:id="33" w:name="_Toc229742217"/>
      <w:r>
        <w:rPr>
          <w:noProof/>
        </w:rPr>
        <w:t>SECȚIUNEA I</w:t>
      </w:r>
      <w:bookmarkEnd w:id="33"/>
    </w:p>
    <w:p>
      <w:pPr>
        <w:pStyle w:val="ManualHeading3"/>
        <w:rPr>
          <w:noProof/>
        </w:rPr>
      </w:pPr>
      <w:bookmarkStart w:id="34" w:name="_Toc229742218"/>
      <w:r>
        <w:rPr>
          <w:noProof/>
        </w:rPr>
        <w:t>DEFINIȚIILE TERMENILOR</w:t>
      </w:r>
      <w:bookmarkEnd w:id="34"/>
    </w:p>
    <w:p>
      <w:pPr>
        <w:pStyle w:val="Point0"/>
        <w:rPr>
          <w:noProof/>
        </w:rPr>
      </w:pPr>
      <w:r>
        <w:rPr>
          <w:noProof/>
        </w:rPr>
        <w:tab/>
        <w:t>1.</w:t>
      </w:r>
      <w:r>
        <w:rPr>
          <w:noProof/>
        </w:rPr>
        <w:tab/>
        <w:t>Termenul „Grup” înseamnă un ansamblu de întreprinderi legate prin dreptul de proprietate sau prin control, astfel încât acesta fie este obligat să elaboreze situații financiare consolidate în scopuri de raportare financiară în temeiul principiilor contabile aplicabile, fie ar fi obligat să facă acest lucru dacă participațiile în capitalurile proprii ale oricăreia dintre întreprinderile respective ar fi tranzacționate la o bursă de valori publice.</w:t>
      </w:r>
    </w:p>
    <w:p>
      <w:pPr>
        <w:pStyle w:val="Point0"/>
        <w:rPr>
          <w:noProof/>
        </w:rPr>
      </w:pPr>
      <w:r>
        <w:rPr>
          <w:noProof/>
        </w:rPr>
        <w:tab/>
        <w:t>2.</w:t>
      </w:r>
      <w:r>
        <w:rPr>
          <w:noProof/>
        </w:rPr>
        <w:tab/>
        <w:t>Termenul „Întreprindere” înseamnă orice formă de desfășurare a unei activități economice de către orice persoană menționată la articolul 3 punctul </w:t>
      </w:r>
      <w:r>
        <w:rPr>
          <w:rStyle w:val="CRMinorChangeAdded"/>
          <w:noProof/>
        </w:rPr>
        <w:t>12</w:t>
      </w:r>
      <w:r>
        <w:rPr>
          <w:rStyle w:val="CRMinorChangeDeleted"/>
          <w:noProof/>
        </w:rPr>
        <w:t>11</w:t>
      </w:r>
      <w:r>
        <w:rPr>
          <w:noProof/>
        </w:rPr>
        <w:t xml:space="preserve"> literele (b), (c) și (d).</w:t>
      </w:r>
    </w:p>
    <w:p>
      <w:pPr>
        <w:pStyle w:val="Point0"/>
        <w:rPr>
          <w:noProof/>
        </w:rPr>
      </w:pPr>
      <w:r>
        <w:rPr>
          <w:noProof/>
        </w:rPr>
        <w:tab/>
        <w:t>3.</w:t>
      </w:r>
      <w:r>
        <w:rPr>
          <w:noProof/>
        </w:rPr>
        <w:tab/>
        <w:t>Termenul „Grup de întreprinderi multinaționale” înseamnă orice grup care include două sau mai multe întreprinderi a căror rezidență fiscală se află în jurisdicții diferite sau care include o întreprindere cu rezidența fiscală într-o jurisdicție, dar care este impozabilă în altă jurisdicție pentru activitatea desfășurată prin intermediul unui sediu permanent și care nu este un grup de întreprinderi multinaționale exclus.</w:t>
      </w:r>
    </w:p>
    <w:p>
      <w:pPr>
        <w:pStyle w:val="Point0"/>
        <w:rPr>
          <w:noProof/>
        </w:rPr>
      </w:pPr>
      <w:r>
        <w:rPr>
          <w:noProof/>
        </w:rPr>
        <w:tab/>
        <w:t>4.</w:t>
      </w:r>
      <w:r>
        <w:rPr>
          <w:noProof/>
        </w:rPr>
        <w:tab/>
        <w:t>Termenul „Grup de întreprinderi multinaționale exclus” înseamnă, în ceea ce privește orice an fiscal al grupului, un grup al cărui venit consolidat total este mai mic de 750 000 000 EUR sau o sumă în moneda locală aproximativ echivalentă cu 750 000 000 EUR începând din ianuarie 2015, pe durata anului fiscal imediat anterior anului fiscal de raportare, astfel cum se reflectă în situațiile financiare consolidate ale grupului pentru respectivul an fiscal precedent.</w:t>
      </w:r>
    </w:p>
    <w:p>
      <w:pPr>
        <w:pStyle w:val="Point0"/>
        <w:rPr>
          <w:noProof/>
        </w:rPr>
      </w:pPr>
      <w:r>
        <w:rPr>
          <w:noProof/>
        </w:rPr>
        <w:tab/>
        <w:t>5.</w:t>
      </w:r>
      <w:r>
        <w:rPr>
          <w:noProof/>
        </w:rPr>
        <w:tab/>
        <w:t>Termenul „Entitate constitutivă” înseamnă oricare dintre următoarele:</w:t>
      </w:r>
    </w:p>
    <w:p>
      <w:pPr>
        <w:pStyle w:val="Point1"/>
        <w:rPr>
          <w:noProof/>
        </w:rPr>
      </w:pPr>
      <w:r>
        <w:rPr>
          <w:noProof/>
        </w:rPr>
        <w:tab/>
        <w:t>(a)</w:t>
      </w:r>
      <w:r>
        <w:rPr>
          <w:noProof/>
        </w:rPr>
        <w:tab/>
        <w:t>orice unitate operațională separată a unui grup de întreprinderi multinaționale care este inclusă în situațiile financiare consolidate ale grupului de întreprinderi multinaționale în scopul raportării financiare sau care ar fi inclusă în acestea dacă participațiile în capitalurile proprii ale respectivei unități operaționale aparținând unui grup de întreprinderi multinaționale ar fi tranzacționate la o bursă de valori publice;</w:t>
      </w:r>
    </w:p>
    <w:p>
      <w:pPr>
        <w:pStyle w:val="Point1"/>
        <w:rPr>
          <w:noProof/>
        </w:rPr>
      </w:pPr>
      <w:r>
        <w:rPr>
          <w:noProof/>
        </w:rPr>
        <w:tab/>
        <w:t>(b)</w:t>
      </w:r>
      <w:r>
        <w:rPr>
          <w:noProof/>
        </w:rPr>
        <w:tab/>
        <w:t>orice astfel de unitate operațională care este exclusă din situațiile financiare consolidate ale grupului de întreprinderi multinaționale exclusiv din motive de mărime sau de importanță relativă;</w:t>
      </w:r>
    </w:p>
    <w:p>
      <w:pPr>
        <w:pStyle w:val="Point1"/>
        <w:rPr>
          <w:noProof/>
        </w:rPr>
      </w:pPr>
      <w:r>
        <w:rPr>
          <w:noProof/>
        </w:rPr>
        <w:tab/>
        <w:t>(c)</w:t>
      </w:r>
      <w:r>
        <w:rPr>
          <w:noProof/>
        </w:rPr>
        <w:tab/>
        <w:t>orice sediu permanent al oricărei unități operaționale separate a unui grup de întreprinderi multinaționale menționate la litera (a) sau (b), cu condiția ca unitatea operațională în cauză să elaboreze o situație financiară separată pentru respectivul sediu permanent în scopul raportării financiare, al raportării în scopuri de reglementare sau al raportării fiscale ori în scopuri de control intern al managementului.</w:t>
      </w:r>
    </w:p>
    <w:p>
      <w:pPr>
        <w:pStyle w:val="Point0"/>
        <w:rPr>
          <w:noProof/>
        </w:rPr>
      </w:pPr>
      <w:r>
        <w:rPr>
          <w:noProof/>
        </w:rPr>
        <w:lastRenderedPageBreak/>
        <w:tab/>
        <w:t>6.</w:t>
      </w:r>
      <w:r>
        <w:rPr>
          <w:noProof/>
        </w:rPr>
        <w:tab/>
        <w:t>Termenul „Entitate raportoare” înseamnă entitatea constitutivă însărcinată să prezinte, în numele grupului de întreprinderi multinaționale, un raport pentru fiecare țară în parte în conformitate cu cerințele articolului </w:t>
      </w:r>
      <w:r>
        <w:rPr>
          <w:rStyle w:val="CRMinorChangeAdded"/>
          <w:noProof/>
        </w:rPr>
        <w:t>7</w:t>
      </w:r>
      <w:r>
        <w:rPr>
          <w:rStyle w:val="CRMinorChangeDeleted"/>
          <w:noProof/>
        </w:rPr>
        <w:t>8aa</w:t>
      </w:r>
      <w:r>
        <w:rPr>
          <w:noProof/>
        </w:rPr>
        <w:t xml:space="preserve"> alineatul (3) în jurisdicția în care aceasta își are rezidența fiscală. Entitatea raportoare poate fi societatea-mamă finală, societatea-mamă surogat sau orice societate descrisă la secțiunea II punctul 1.</w:t>
      </w:r>
    </w:p>
    <w:p>
      <w:pPr>
        <w:pStyle w:val="Point0"/>
        <w:rPr>
          <w:noProof/>
        </w:rPr>
      </w:pPr>
      <w:r>
        <w:rPr>
          <w:noProof/>
        </w:rPr>
        <w:tab/>
        <w:t>7.</w:t>
      </w:r>
      <w:r>
        <w:rPr>
          <w:noProof/>
        </w:rPr>
        <w:tab/>
        <w:t>Termenul „Societate-mamă finală” înseamnă o entitate constitutivă a unui grup de întreprinderi multinaționale care îndeplinește următoarele criterii:</w:t>
      </w:r>
    </w:p>
    <w:p>
      <w:pPr>
        <w:pStyle w:val="Point1"/>
        <w:rPr>
          <w:noProof/>
        </w:rPr>
      </w:pPr>
      <w:r>
        <w:rPr>
          <w:noProof/>
        </w:rPr>
        <w:tab/>
        <w:t>(a)</w:t>
      </w:r>
      <w:r>
        <w:rPr>
          <w:noProof/>
        </w:rPr>
        <w:tab/>
        <w:t>are, în mod direct sau indirect, un interes suficient în ceea ce privește una sau mai multe entități constitutive ale grupului respectiv de întreprinderi multinaționale, astfel încât este obligată să elaboreze situații financiare consolidate în temeiul principiilor contabile aplicate în general în jurisdicția în care își are rezidența fiscală, sau ar fi obligată să facă acest lucru dacă participațiile sale în capitalurile proprii ar fi tranzacționate la o bursă de valori publice în jurisdicțiile în care aceasta își are rezidența fiscală;</w:t>
      </w:r>
    </w:p>
    <w:p>
      <w:pPr>
        <w:pStyle w:val="Point1"/>
        <w:rPr>
          <w:noProof/>
        </w:rPr>
      </w:pPr>
      <w:r>
        <w:rPr>
          <w:noProof/>
        </w:rPr>
        <w:tab/>
        <w:t>(b)</w:t>
      </w:r>
      <w:r>
        <w:rPr>
          <w:noProof/>
        </w:rPr>
        <w:tab/>
        <w:t>în respectivul grup de întreprinderi multinaționale nu există nicio altă entitate constitutivă care să aibă, în mod direct sau indirect, un interes precum cel descris la litera (a) în prima entitate constitutivă menționată.</w:t>
      </w:r>
    </w:p>
    <w:p>
      <w:pPr>
        <w:pStyle w:val="Point0"/>
        <w:rPr>
          <w:noProof/>
        </w:rPr>
      </w:pPr>
      <w:r>
        <w:rPr>
          <w:noProof/>
        </w:rPr>
        <w:tab/>
        <w:t>8.</w:t>
      </w:r>
      <w:r>
        <w:rPr>
          <w:noProof/>
        </w:rPr>
        <w:tab/>
        <w:t xml:space="preserve">Termenul „Societate-mamă surogat” înseamnă o entitate constitutivă a grupului de întreprinderi multinaționale care a fost desemnată de respectivul grup de întreprinderi multinaționale ca unic substitut pentru societatea-mamă finală, cu scopul de a prezenta, în numele grupului de întreprinderi multinaționale în cauză, un raport pentru fiecare țară în parte în jurisdicția în care respectiva entitate constitutivă își are rezidența fiscală, atunci când se aplică una sau mai multe dintre condițiile stabilite la secțiunea II punctul 1 </w:t>
      </w:r>
      <w:r>
        <w:rPr>
          <w:rStyle w:val="CRDeleted"/>
          <w:noProof/>
        </w:rPr>
        <w:t>primul paragraf</w:t>
      </w:r>
      <w:r>
        <w:rPr>
          <w:noProof/>
        </w:rPr>
        <w:t xml:space="preserve"> litera (b).</w:t>
      </w:r>
    </w:p>
    <w:p>
      <w:pPr>
        <w:pStyle w:val="Point0"/>
        <w:rPr>
          <w:noProof/>
        </w:rPr>
      </w:pPr>
      <w:r>
        <w:rPr>
          <w:noProof/>
        </w:rPr>
        <w:tab/>
        <w:t>9.</w:t>
      </w:r>
      <w:r>
        <w:rPr>
          <w:noProof/>
        </w:rPr>
        <w:tab/>
        <w:t>Termenul „An fiscal” înseamnă o perioadă contabilă anuală pentru care societatea-mamă finală a grupului de întreprinderi multinaționale își pregătește situațiile financiare.</w:t>
      </w:r>
    </w:p>
    <w:p>
      <w:pPr>
        <w:pStyle w:val="Point0"/>
        <w:rPr>
          <w:noProof/>
        </w:rPr>
      </w:pPr>
      <w:r>
        <w:rPr>
          <w:noProof/>
        </w:rPr>
        <w:tab/>
        <w:t>10.</w:t>
      </w:r>
      <w:r>
        <w:rPr>
          <w:noProof/>
        </w:rPr>
        <w:tab/>
        <w:t>Termenul „An fiscal de raportare” înseamnă anul fiscal ale cărui rezultate financiare și operaționale sunt reflectate în raportul pentru fiecare țară în parte menționat la articolul </w:t>
      </w:r>
      <w:r>
        <w:rPr>
          <w:rStyle w:val="CRMinorChangeAdded"/>
          <w:noProof/>
        </w:rPr>
        <w:t>7</w:t>
      </w:r>
      <w:r>
        <w:rPr>
          <w:rStyle w:val="CRMinorChangeDeleted"/>
          <w:noProof/>
        </w:rPr>
        <w:t>8aa</w:t>
      </w:r>
      <w:r>
        <w:rPr>
          <w:noProof/>
        </w:rPr>
        <w:t xml:space="preserve"> alineatul (3).</w:t>
      </w:r>
    </w:p>
    <w:p>
      <w:pPr>
        <w:pStyle w:val="Point0"/>
        <w:rPr>
          <w:noProof/>
        </w:rPr>
      </w:pPr>
      <w:r>
        <w:rPr>
          <w:noProof/>
        </w:rPr>
        <w:tab/>
        <w:t>11.</w:t>
      </w:r>
      <w:r>
        <w:rPr>
          <w:noProof/>
        </w:rPr>
        <w:tab/>
        <w:t>Termenul „Acord privind stabilirea autorității competente” înseamnă un acord care se încheie între reprezentanții autorizați ai unui stat membru al UE și cei ai unei jurisdicții din afara Uniunii care sunt părți la un acord internațional și care prevede schimbul automat de rapoarte pentru fiecare țară în parte între jurisdicțiile semnatare.</w:t>
      </w:r>
    </w:p>
    <w:p>
      <w:pPr>
        <w:pStyle w:val="Point0"/>
        <w:rPr>
          <w:noProof/>
        </w:rPr>
      </w:pPr>
      <w:r>
        <w:rPr>
          <w:noProof/>
        </w:rPr>
        <w:tab/>
        <w:t>12.</w:t>
      </w:r>
      <w:r>
        <w:rPr>
          <w:noProof/>
        </w:rPr>
        <w:tab/>
        <w:t>Termenul „Acord internațional” înseamnă Convenția multilaterală privind asistența administrativă reciprocă în materie fiscală, orice convenție fiscală bilaterală sau multilaterală sau orice acord privind schimbul de informații în domeniul fiscal la care un stat membru este parte și care, prin clauzele sale, conferă forță juridică schimbului de informații în domeniul fiscal între jurisdicții, inclusiv schimbului automat de astfel de informații.</w:t>
      </w:r>
    </w:p>
    <w:p>
      <w:pPr>
        <w:pStyle w:val="Point0"/>
        <w:rPr>
          <w:noProof/>
        </w:rPr>
      </w:pPr>
      <w:r>
        <w:rPr>
          <w:noProof/>
        </w:rPr>
        <w:tab/>
        <w:t>13.</w:t>
      </w:r>
      <w:r>
        <w:rPr>
          <w:noProof/>
        </w:rPr>
        <w:tab/>
        <w:t>Termenul „Situații financiare consolidate” înseamnă situațiile financiare ale unui grup de întreprinderi multinaționale în care activele, pasivele, veniturile, cheltuielile și fluxurile de numerar ale societății-mamă finale și ale entităților constitutive sunt prezentate ca fiind ale unei singure entități economice.</w:t>
      </w:r>
    </w:p>
    <w:p>
      <w:pPr>
        <w:pStyle w:val="Point0"/>
        <w:rPr>
          <w:noProof/>
        </w:rPr>
      </w:pPr>
      <w:r>
        <w:rPr>
          <w:noProof/>
        </w:rPr>
        <w:tab/>
        <w:t>14.</w:t>
      </w:r>
      <w:r>
        <w:rPr>
          <w:noProof/>
        </w:rPr>
        <w:tab/>
        <w:t xml:space="preserve">Termenul „Eșec sistemic” cu privire la o jurisdicție înseamnă fie faptul că o jurisdicție a încheiat cu un stat membru un acord privind stabilirea autorității competente care este încă în vigoare, dar a suspendat schimbul automat (din alte motive decât cele conforme cu clauzele acordului), fie faptul că o jurisdicție a omis </w:t>
      </w:r>
      <w:r>
        <w:rPr>
          <w:noProof/>
        </w:rPr>
        <w:lastRenderedPageBreak/>
        <w:t>în alt fel, în mod repetat, să transmită automat unui stat membru rapoartele pentru fiecare țară în parte, aflate în posesia sa, ale grupurilor de întreprinderi multinaționale care dețin entități constitutive în statul membru respectiv.</w:t>
      </w:r>
    </w:p>
    <w:p>
      <w:pPr>
        <w:pStyle w:val="ManualHeading2"/>
        <w:ind w:left="851" w:hanging="851"/>
        <w:rPr>
          <w:noProof/>
        </w:rPr>
      </w:pPr>
      <w:bookmarkStart w:id="35" w:name="_Toc229742219"/>
      <w:r>
        <w:rPr>
          <w:noProof/>
        </w:rPr>
        <w:t>SECȚIUNEA II</w:t>
      </w:r>
      <w:bookmarkEnd w:id="35"/>
    </w:p>
    <w:p>
      <w:pPr>
        <w:pStyle w:val="ManualHeading3"/>
        <w:rPr>
          <w:noProof/>
        </w:rPr>
      </w:pPr>
      <w:bookmarkStart w:id="36" w:name="_Toc229742220"/>
      <w:r>
        <w:rPr>
          <w:noProof/>
        </w:rPr>
        <w:t>CERINȚE GENERALE DE RAPORTARE</w:t>
      </w:r>
      <w:bookmarkEnd w:id="36"/>
    </w:p>
    <w:p>
      <w:pPr>
        <w:rPr>
          <w:noProof/>
        </w:rPr>
      </w:pPr>
      <w:r>
        <w:rPr>
          <w:noProof/>
        </w:rPr>
        <w:t>1.</w:t>
      </w:r>
      <w:r>
        <w:rPr>
          <w:noProof/>
        </w:rPr>
        <w:tab/>
        <w:t>O entitate constitutivă rezidentă într-un stat membru, care nu este societatea-mamă finală a unui grup de întreprinderi multinaționale, prezintă un raport pentru fiecare țară în parte referitor la anul fiscal de raportare al unui grup de întreprinderi multinaționale din care face parte, dacă sunt îndeplinite următoarele criterii:</w:t>
      </w:r>
    </w:p>
    <w:p>
      <w:pPr>
        <w:pStyle w:val="Point0"/>
        <w:rPr>
          <w:noProof/>
        </w:rPr>
      </w:pPr>
      <w:r>
        <w:rPr>
          <w:noProof/>
        </w:rPr>
        <w:tab/>
        <w:t>(a)</w:t>
      </w:r>
      <w:r>
        <w:rPr>
          <w:noProof/>
        </w:rPr>
        <w:tab/>
        <w:t>entitatea își are rezidența fiscală într-un stat membru;</w:t>
      </w:r>
    </w:p>
    <w:p>
      <w:pPr>
        <w:pStyle w:val="Point0"/>
        <w:rPr>
          <w:noProof/>
        </w:rPr>
      </w:pPr>
      <w:r>
        <w:rPr>
          <w:noProof/>
        </w:rPr>
        <w:tab/>
        <w:t>(b)</w:t>
      </w:r>
      <w:r>
        <w:rPr>
          <w:noProof/>
        </w:rPr>
        <w:tab/>
        <w:t>se aplică una dintre următoarele condiții:</w:t>
      </w:r>
    </w:p>
    <w:p>
      <w:pPr>
        <w:pStyle w:val="Point1"/>
        <w:rPr>
          <w:noProof/>
        </w:rPr>
      </w:pPr>
      <w:r>
        <w:rPr>
          <w:noProof/>
        </w:rPr>
        <w:tab/>
        <w:t>(i)</w:t>
      </w:r>
      <w:r>
        <w:rPr>
          <w:noProof/>
        </w:rPr>
        <w:tab/>
        <w:t>societatea-mamă finală a grupului de întreprinderi multinaționale nu este obligată să prezinte un raport pentru fiecare țară în parte în jurisdicțiile în care își are rezidența fiscală;</w:t>
      </w:r>
    </w:p>
    <w:p>
      <w:pPr>
        <w:pStyle w:val="Point1"/>
        <w:rPr>
          <w:noProof/>
        </w:rPr>
      </w:pPr>
      <w:r>
        <w:rPr>
          <w:noProof/>
        </w:rPr>
        <w:tab/>
        <w:t>(ii)</w:t>
      </w:r>
      <w:r>
        <w:rPr>
          <w:noProof/>
        </w:rPr>
        <w:tab/>
        <w:t>jurisdicția în care își are rezidența fiscală societatea-mamă finală este parte la un acord internațional în vigoare, la care este parte statul membru, dar nu este parte la un acord privind stabilirea autorității competente în vigoare la care să fie parte statul membru, până la momentul specificat la articolul </w:t>
      </w:r>
      <w:r>
        <w:rPr>
          <w:rStyle w:val="CRMinorChangeAdded"/>
          <w:noProof/>
        </w:rPr>
        <w:t>7</w:t>
      </w:r>
      <w:r>
        <w:rPr>
          <w:rStyle w:val="CRMinorChangeDeleted"/>
          <w:noProof/>
        </w:rPr>
        <w:t>8aa</w:t>
      </w:r>
      <w:r>
        <w:rPr>
          <w:noProof/>
        </w:rPr>
        <w:t xml:space="preserve"> alineatul (1), în vederea prezentării raportului pentru fiecare țară în parte pentru anul fiscal de raportare;</w:t>
      </w:r>
    </w:p>
    <w:p>
      <w:pPr>
        <w:pStyle w:val="Point1"/>
        <w:rPr>
          <w:noProof/>
        </w:rPr>
      </w:pPr>
      <w:r>
        <w:rPr>
          <w:noProof/>
        </w:rPr>
        <w:tab/>
        <w:t>(iii)</w:t>
      </w:r>
      <w:r>
        <w:rPr>
          <w:noProof/>
        </w:rPr>
        <w:tab/>
        <w:t>în jurisdicția în care își are rezidența fiscală societatea-mamă finală s-a produs un eșec sistemic care a fost notificat de către statul membru entității constitutive care își are rezidența fiscală în statul membru respectiv.</w:t>
      </w:r>
    </w:p>
    <w:p>
      <w:pPr>
        <w:pStyle w:val="Point0"/>
        <w:rPr>
          <w:noProof/>
        </w:rPr>
      </w:pPr>
      <w:r>
        <w:rPr>
          <w:noProof/>
        </w:rPr>
        <w:tab/>
      </w:r>
      <w:r>
        <w:rPr>
          <w:rStyle w:val="CRDeleted"/>
          <w:noProof/>
        </w:rPr>
        <w:t>Fără a aduce atingere obligației societății-mamă finale menționate la articolul 8aa alineatul (1) sau a societății sale mamă surogat de a prezenta primul raport pentru fiecare țară în parte pentru anul fiscal al grupului de întreprinderi multinaționale care începe la 1 ianuarie 2016 sau după această dată, statele membre pot decide că obligația pentru entitățile constitutive prevăzută la punctul 1 din prezenta secțiune se aplică pentru rapoartele pentru fiecare țară în parte în ceea ce privește anii fiscali de raportare care încep la 1 ianuarie 2017 sau după această dată.</w:t>
      </w:r>
    </w:p>
    <w:p>
      <w:pPr>
        <w:pStyle w:val="Point0"/>
        <w:rPr>
          <w:noProof/>
        </w:rPr>
      </w:pPr>
      <w:r>
        <w:rPr>
          <w:noProof/>
        </w:rPr>
        <w:tab/>
        <w:t>O entitate constitutivă rezidentă într-un stat membru, astfel cum este definită la primul paragraf de la prezentul punct, solicită societății sale mamă finale să îi pună la dispoziție toate informațiile necesare pentru a-i permite să își îndeplinească obligațiile de a prezenta un raport pentru fiecare țară în parte, în conformitate cu articolul </w:t>
      </w:r>
      <w:r>
        <w:rPr>
          <w:rStyle w:val="CRMinorChangeAdded"/>
          <w:noProof/>
        </w:rPr>
        <w:t>7</w:t>
      </w:r>
      <w:r>
        <w:rPr>
          <w:noProof/>
        </w:rPr>
        <w:t xml:space="preserve"> </w:t>
      </w:r>
      <w:r>
        <w:rPr>
          <w:rStyle w:val="CRMinorChangeDeleted"/>
          <w:noProof/>
        </w:rPr>
        <w:t>8aa</w:t>
      </w:r>
      <w:r>
        <w:rPr>
          <w:noProof/>
        </w:rPr>
        <w:t xml:space="preserve"> alineatul (3). Dacă în ciuda acestui lucru, respectiva entitate constitutivă nu a obținut sau nu a dobândit toate informațiile necesare pentru întocmirea raportului pentru grupul de întreprinderi multinaționale, această entitate constitutivă prezintă un raport pentru fiecare țară în parte care conține toate informațiile de care dispune, obținute sau dobândite, și notifică statului său membru de rezidență că societatea-mamă finală a refuzat să pună la dispoziție informațiile necesare. Acest lucru nu aduce atingere dreptului statului membru în cauză de a aplica sancțiunile prevăzute în legislația sa națională; de asemenea, statul membru respectiv informează toate statele membre cu privire la refuzul sus-menționat.</w:t>
      </w:r>
    </w:p>
    <w:p>
      <w:pPr>
        <w:pStyle w:val="Point0"/>
        <w:rPr>
          <w:noProof/>
        </w:rPr>
      </w:pPr>
      <w:r>
        <w:rPr>
          <w:noProof/>
        </w:rPr>
        <w:tab/>
        <w:t xml:space="preserve">Dacă același grup de întreprinderi multinaționale are mai mult de o entitate constitutivă cu rezidența fiscală în Uniune și dacă se aplică una sau mai multe dintre condițiile stabilite la litera (b)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punct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primul</w:t>
      </w:r>
      <w:r>
        <w:rPr>
          <w:noProof/>
        </w:rPr>
        <w:t xml:space="preserve"> </w:t>
      </w:r>
      <w:r>
        <w:rPr>
          <w:rStyle w:val="CRDeleted"/>
          <w:noProof/>
        </w:rPr>
        <w:t>paragraf</w:t>
      </w:r>
      <w:r>
        <w:rPr>
          <w:noProof/>
        </w:rPr>
        <w:t xml:space="preserve">, grupul de întreprinderi multinaționale poate desemna una dintre respectivele entități constitutive să prezinte raportul pentru fiecare țară în parte în conformitate cu </w:t>
      </w:r>
      <w:r>
        <w:rPr>
          <w:noProof/>
        </w:rPr>
        <w:lastRenderedPageBreak/>
        <w:t>cerințele articolului </w:t>
      </w:r>
      <w:r>
        <w:rPr>
          <w:rStyle w:val="CRMinorChangeAdded"/>
          <w:noProof/>
        </w:rPr>
        <w:t>7</w:t>
      </w:r>
      <w:r>
        <w:rPr>
          <w:noProof/>
        </w:rPr>
        <w:t xml:space="preserve"> </w:t>
      </w:r>
      <w:r>
        <w:rPr>
          <w:rStyle w:val="CRMinorChangeDeleted"/>
          <w:noProof/>
        </w:rPr>
        <w:t>8aa</w:t>
      </w:r>
      <w:r>
        <w:rPr>
          <w:noProof/>
        </w:rPr>
        <w:t xml:space="preserve"> alineatul (3), cu privire la orice an fiscal de raportare, în termenul specificat la articolul </w:t>
      </w:r>
      <w:r>
        <w:rPr>
          <w:rStyle w:val="CRMinorChangeAdded"/>
          <w:noProof/>
        </w:rPr>
        <w:t>7</w:t>
      </w:r>
      <w:r>
        <w:rPr>
          <w:noProof/>
        </w:rPr>
        <w:t xml:space="preserve"> </w:t>
      </w:r>
      <w:r>
        <w:rPr>
          <w:rStyle w:val="CRMinorChangeDeleted"/>
          <w:noProof/>
        </w:rPr>
        <w:t>8aa</w:t>
      </w:r>
      <w:r>
        <w:rPr>
          <w:noProof/>
        </w:rPr>
        <w:t xml:space="preserve"> alineatul (1) și să notifice statului membru în cauză că prezentarea are ca scop îndeplinirea obligației de raportare care le revine tuturor entităților constitutive ale grupului de întreprinderi multinaționale în cauză care își au rezidența fiscală în Uniune. Statul membru în cauză comunică, în temeiul articolului </w:t>
      </w:r>
      <w:r>
        <w:rPr>
          <w:rStyle w:val="CRMinorChangeAdded"/>
          <w:noProof/>
        </w:rPr>
        <w:t>7</w:t>
      </w:r>
      <w:r>
        <w:rPr>
          <w:noProof/>
        </w:rPr>
        <w:t xml:space="preserve"> </w:t>
      </w:r>
      <w:r>
        <w:rPr>
          <w:rStyle w:val="CRMinorChangeDeleted"/>
          <w:noProof/>
        </w:rPr>
        <w:t>8aa</w:t>
      </w:r>
      <w:r>
        <w:rPr>
          <w:noProof/>
        </w:rPr>
        <w:t xml:space="preserve"> alineatul (2), raportul pentru fiecare țară în parte pe care l-a primit oricărui alt stat membru în care, pe baza informațiilor din raportul pentru fiecare țară în parte, una sau mai multe entități constitutive ale grupului de întreprinderi multinaționale din care face parte Entitatea raportoare fie își au rezidența fiscală, fie sunt impozabile pentru activitatea economică desfășurată prin intermediul unui sediu permanent. </w:t>
      </w:r>
    </w:p>
    <w:p>
      <w:pPr>
        <w:pStyle w:val="Point0"/>
        <w:rPr>
          <w:noProof/>
        </w:rPr>
      </w:pPr>
      <w:r>
        <w:rPr>
          <w:noProof/>
        </w:rPr>
        <w:tab/>
        <w:t>În cazul în care o entitate constitutivă nu poate obține sau dobândi toate informațiile necesare pentru a prezenta un raport pentru fiecare țară în parte, în conformitate cu articolul </w:t>
      </w:r>
      <w:r>
        <w:rPr>
          <w:rStyle w:val="CRMinorChangeAdded"/>
          <w:noProof/>
        </w:rPr>
        <w:t>7</w:t>
      </w:r>
      <w:r>
        <w:rPr>
          <w:noProof/>
        </w:rPr>
        <w:t xml:space="preserve"> </w:t>
      </w:r>
      <w:r>
        <w:rPr>
          <w:rStyle w:val="CRMinorChangeDeleted"/>
          <w:noProof/>
        </w:rPr>
        <w:t>8aa</w:t>
      </w:r>
      <w:r>
        <w:rPr>
          <w:noProof/>
        </w:rPr>
        <w:t xml:space="preserve"> alineatul (3), respectiva entitate constitutivă nu este eligibilă pentru a fi desemnată drept Entitate raportoare pentru grupul de întreprinderi multinaționale în conformitate cu al patrulea paragraf de la prezentul punct. Această regulă nu aduce atingere obligației entității constitutive de a-și notifica statul membru de rezidență cu privire la faptul că societatea-mamă finală a refuzat să pună la dispoziție informațiile necesare.</w:t>
      </w:r>
    </w:p>
    <w:p>
      <w:pPr>
        <w:rPr>
          <w:noProof/>
        </w:rPr>
      </w:pPr>
      <w:r>
        <w:rPr>
          <w:noProof/>
        </w:rPr>
        <w:t>2.</w:t>
      </w:r>
      <w:r>
        <w:rPr>
          <w:noProof/>
        </w:rPr>
        <w:tab/>
        <w:t xml:space="preserve">Prin derogare de la punctul 1, atunci când se aplică una sau mai multe dintre condițiile stabilite la punctul 1 </w:t>
      </w:r>
      <w:r>
        <w:rPr>
          <w:rStyle w:val="CRDeleted"/>
          <w:noProof/>
        </w:rPr>
        <w:t>primul paragraf</w:t>
      </w:r>
      <w:r>
        <w:rPr>
          <w:noProof/>
        </w:rPr>
        <w:t xml:space="preserve"> litera (b), o entitate descrisă la punctul 1 nu este obligată să prezinte un raport pentru fiecare țară în parte referitor la anul fiscal de raportare dacă grupul de întreprinderi multinaționale în cadrul căruia aceasta este o entitate constitutivă a pus la dispoziție un raport pentru fiecare țară în parte în conformitate cu articolul </w:t>
      </w:r>
      <w:r>
        <w:rPr>
          <w:rStyle w:val="CRMinorChangeAdded"/>
          <w:noProof/>
        </w:rPr>
        <w:t>7</w:t>
      </w:r>
      <w:r>
        <w:rPr>
          <w:noProof/>
        </w:rPr>
        <w:t xml:space="preserve"> </w:t>
      </w:r>
      <w:r>
        <w:rPr>
          <w:rStyle w:val="CRMinorChangeDeleted"/>
          <w:noProof/>
        </w:rPr>
        <w:t>8aa</w:t>
      </w:r>
      <w:r>
        <w:rPr>
          <w:noProof/>
        </w:rPr>
        <w:t xml:space="preserve"> alineatul (3) referitor la respectivul an fiscal, prin intermediul unei societăți-mamă surogat care prezintă respectivul raport pentru fiecare țară în parte autorității fiscale din jurisdicția în care își are rezidența fiscală, la data specificată la articolul </w:t>
      </w:r>
      <w:r>
        <w:rPr>
          <w:rStyle w:val="CRMinorChangeAdded"/>
          <w:noProof/>
        </w:rPr>
        <w:t>7</w:t>
      </w:r>
      <w:r>
        <w:rPr>
          <w:noProof/>
        </w:rPr>
        <w:t xml:space="preserve"> </w:t>
      </w:r>
      <w:r>
        <w:rPr>
          <w:rStyle w:val="CRMinorChangeDeleted"/>
          <w:noProof/>
        </w:rPr>
        <w:t>8aa</w:t>
      </w:r>
      <w:r>
        <w:rPr>
          <w:noProof/>
        </w:rPr>
        <w:t xml:space="preserve"> alineatul (1) sau anterior acestei date, și care, în cazul în care societatea-mamă surogat își are rezidența fiscală într-o jurisdicție din afara Uniunii, îndeplinește următoarele condiții: </w:t>
      </w:r>
    </w:p>
    <w:p>
      <w:pPr>
        <w:pStyle w:val="Point0"/>
        <w:rPr>
          <w:noProof/>
        </w:rPr>
      </w:pPr>
      <w:r>
        <w:rPr>
          <w:noProof/>
        </w:rPr>
        <w:tab/>
        <w:t>(a)</w:t>
      </w:r>
      <w:r>
        <w:rPr>
          <w:noProof/>
        </w:rPr>
        <w:tab/>
        <w:t>jurisdicția în care își are rezidența fiscală societatea-mamă surogat prevede obligația de a prezenta rapoarte pentru fiecare țară în parte în conformitate cu cerințele articolului </w:t>
      </w:r>
      <w:r>
        <w:rPr>
          <w:rStyle w:val="CRMinorChangeAdded"/>
          <w:noProof/>
        </w:rPr>
        <w:t>7</w:t>
      </w:r>
      <w:r>
        <w:rPr>
          <w:noProof/>
        </w:rPr>
        <w:t xml:space="preserve"> </w:t>
      </w:r>
      <w:r>
        <w:rPr>
          <w:rStyle w:val="CRMinorChangeDeleted"/>
          <w:noProof/>
        </w:rPr>
        <w:t>8aa</w:t>
      </w:r>
      <w:r>
        <w:rPr>
          <w:noProof/>
        </w:rPr>
        <w:t xml:space="preserve"> alineatul (3);</w:t>
      </w:r>
    </w:p>
    <w:p>
      <w:pPr>
        <w:pStyle w:val="Point0"/>
        <w:rPr>
          <w:noProof/>
        </w:rPr>
      </w:pPr>
      <w:r>
        <w:rPr>
          <w:noProof/>
        </w:rPr>
        <w:tab/>
        <w:t>(b)</w:t>
      </w:r>
      <w:r>
        <w:rPr>
          <w:noProof/>
        </w:rPr>
        <w:tab/>
        <w:t>jurisdicția în care își are rezidența fiscală societatea-mamă surogat a încheiat un acord privind stabilirea autorității competente care este în vigoare la care este parte statul membru, până la data specificată la articolul </w:t>
      </w:r>
      <w:r>
        <w:rPr>
          <w:rStyle w:val="CRMinorChangeAdded"/>
          <w:noProof/>
        </w:rPr>
        <w:t>7</w:t>
      </w:r>
      <w:r>
        <w:rPr>
          <w:noProof/>
        </w:rPr>
        <w:t xml:space="preserve"> </w:t>
      </w:r>
      <w:r>
        <w:rPr>
          <w:rStyle w:val="CRMinorChangeDeleted"/>
          <w:noProof/>
        </w:rPr>
        <w:t>8aa</w:t>
      </w:r>
      <w:r>
        <w:rPr>
          <w:noProof/>
        </w:rPr>
        <w:t xml:space="preserve"> alineatul (1), în vederea prezentării raportului pentru fiecare țară în parte pentru anul fiscal de raportare;</w:t>
      </w:r>
    </w:p>
    <w:p>
      <w:pPr>
        <w:pStyle w:val="Point0"/>
        <w:rPr>
          <w:noProof/>
        </w:rPr>
      </w:pPr>
      <w:r>
        <w:rPr>
          <w:noProof/>
        </w:rPr>
        <w:tab/>
        <w:t>(c)</w:t>
      </w:r>
      <w:r>
        <w:rPr>
          <w:noProof/>
        </w:rPr>
        <w:tab/>
        <w:t>jurisdicția în care își are rezidența fiscală societatea-mamă surogat nu a notificat statului membru un eșec sistemic;</w:t>
      </w:r>
    </w:p>
    <w:p>
      <w:pPr>
        <w:pStyle w:val="Point0"/>
        <w:rPr>
          <w:noProof/>
        </w:rPr>
      </w:pPr>
      <w:r>
        <w:rPr>
          <w:noProof/>
        </w:rPr>
        <w:tab/>
        <w:t>(d)</w:t>
      </w:r>
      <w:r>
        <w:rPr>
          <w:noProof/>
        </w:rPr>
        <w:tab/>
        <w:t>cel târziu în ultima zi a anului fiscal de raportare al grupului de întreprinderi multinaționale în cauză, jurisdicția în care își are rezidența fiscală societatea-mamă surogat a fost informată de către entitatea constitutivă cu rezidența fiscală în jurisdicția respectivă că ea este societatea-mamă surogat;</w:t>
      </w:r>
    </w:p>
    <w:p>
      <w:pPr>
        <w:pStyle w:val="Point0"/>
        <w:rPr>
          <w:noProof/>
        </w:rPr>
      </w:pPr>
      <w:r>
        <w:rPr>
          <w:noProof/>
        </w:rPr>
        <w:tab/>
        <w:t>(e)</w:t>
      </w:r>
      <w:r>
        <w:rPr>
          <w:noProof/>
        </w:rPr>
        <w:tab/>
        <w:t>s-a transmis o notificare statului membru în conformitate cu punctul 4.</w:t>
      </w:r>
    </w:p>
    <w:p>
      <w:pPr>
        <w:rPr>
          <w:noProof/>
        </w:rPr>
      </w:pPr>
      <w:r>
        <w:rPr>
          <w:noProof/>
        </w:rPr>
        <w:t>3.</w:t>
      </w:r>
      <w:r>
        <w:rPr>
          <w:noProof/>
        </w:rPr>
        <w:tab/>
        <w:t xml:space="preserve">Statele membre solicită oricărei entități constitutive a unui grup de întreprinderi multinaționale care își are rezidența fiscală în statul membru respectiv să notifice statului membru dacă este societatea-mamă finală sau societatea-mamă surogat sau entitatea constitutivă desemnată conform punctului 1, până cel târziu în ultima zi a anului fiscal de raportare al respectivului grup de întreprinderi multinaționale. Statele membre pot prelungi </w:t>
      </w:r>
      <w:r>
        <w:rPr>
          <w:noProof/>
        </w:rPr>
        <w:lastRenderedPageBreak/>
        <w:t>respectivul termen până în ultima zi de depunere a declarației fiscale a respectivei entități constitutive pentru anul fiscal precedent.</w:t>
      </w:r>
    </w:p>
    <w:p>
      <w:pPr>
        <w:rPr>
          <w:noProof/>
        </w:rPr>
      </w:pPr>
      <w:r>
        <w:rPr>
          <w:noProof/>
        </w:rPr>
        <w:t>4.</w:t>
      </w:r>
      <w:r>
        <w:rPr>
          <w:noProof/>
        </w:rPr>
        <w:tab/>
        <w:t>Statele membre solicită ca, dacă o entitate constitutivă a unui grup de întreprinderi multinaționale care își are rezidența fiscală în statul membru respectiv nu este societatea-mamă finală, nici societatea-mamă surogat, nici entitatea constitutivă desemnată conform punctului 1, entitatea respectivă să notifice statului membru identitatea și rezidența fiscală a entității raportoare până cel târziu în ultima zi din anul fiscal de raportare al respectivului grup de întreprinderi multinaționale. Statele membre pot prelungi respectivul termen până în ultima zi de depunere a declarației fiscale a respectivei entități constitutive pentru anul fiscal precedent.</w:t>
      </w:r>
    </w:p>
    <w:p>
      <w:pPr>
        <w:rPr>
          <w:noProof/>
        </w:rPr>
      </w:pPr>
      <w:r>
        <w:rPr>
          <w:noProof/>
        </w:rPr>
        <w:t>5.</w:t>
      </w:r>
      <w:r>
        <w:rPr>
          <w:noProof/>
        </w:rPr>
        <w:tab/>
        <w:t>Raportul pentru fiecare țară în parte specifică moneda în care sunt exprimate sumele menționate în raportul respectiv.</w:t>
      </w:r>
    </w:p>
    <w:p>
      <w:pPr>
        <w:pStyle w:val="ManualHeading3"/>
        <w:rPr>
          <w:noProof/>
        </w:rPr>
      </w:pPr>
      <w:bookmarkStart w:id="37" w:name="_Toc229742221"/>
      <w:r>
        <w:rPr>
          <w:rStyle w:val="CRDeleted"/>
          <w:noProof/>
        </w:rPr>
        <w:t>SECȚIUNEA IIIRAPORTUL PENTRU FIECARE ȚARĂ ÎN PARTE</w:t>
      </w:r>
      <w:bookmarkEnd w:id="37"/>
    </w:p>
    <w:p>
      <w:pPr>
        <w:pStyle w:val="ManualHeading3"/>
        <w:rPr>
          <w:noProof/>
        </w:rPr>
      </w:pPr>
      <w:bookmarkStart w:id="38" w:name="_Toc229742222"/>
      <w:r>
        <w:rPr>
          <w:rStyle w:val="CRDeleted"/>
          <w:noProof/>
        </w:rPr>
        <w:t>Α.</w:t>
      </w:r>
      <w:r>
        <w:rPr>
          <w:noProof/>
        </w:rPr>
        <w:tab/>
      </w:r>
      <w:r>
        <w:rPr>
          <w:rStyle w:val="CRDeleted"/>
          <w:noProof/>
        </w:rPr>
        <w:t>Modelul raportului pentru fiecare țară în parte</w:t>
      </w:r>
      <w:bookmarkEnd w:id="38"/>
    </w:p>
    <w:tbl>
      <w:tblPr>
        <w:tblW w:w="0" w:type="auto"/>
        <w:tblLayout w:type="fixed"/>
        <w:tblLook w:val="0000" w:firstRow="0" w:lastRow="0" w:firstColumn="0" w:lastColumn="0" w:noHBand="0" w:noVBand="0"/>
      </w:tblPr>
      <w:tblGrid>
        <w:gridCol w:w="836"/>
        <w:gridCol w:w="835"/>
        <w:gridCol w:w="836"/>
        <w:gridCol w:w="836"/>
        <w:gridCol w:w="836"/>
        <w:gridCol w:w="928"/>
        <w:gridCol w:w="836"/>
        <w:gridCol w:w="836"/>
        <w:gridCol w:w="836"/>
        <w:gridCol w:w="835"/>
        <w:gridCol w:w="836"/>
      </w:tblGrid>
      <w:tr>
        <w:tc>
          <w:tcPr>
            <w:tcW w:w="9286" w:type="dxa"/>
            <w:gridSpan w:val="11"/>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Tabelul 1</w:t>
            </w:r>
            <w:r>
              <w:rPr>
                <w:noProof/>
              </w:rPr>
              <w:tab/>
            </w:r>
            <w:r>
              <w:rPr>
                <w:rStyle w:val="CRDeleted"/>
                <w:noProof/>
              </w:rPr>
              <w:t>Prezentare generală a alocării veniturilor, a impozitelor și a activităților economice, per jurisdicție fiscală</w:t>
            </w:r>
          </w:p>
        </w:tc>
      </w:tr>
      <w:tr>
        <w:tc>
          <w:tcPr>
            <w:tcW w:w="9286" w:type="dxa"/>
            <w:gridSpan w:val="11"/>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Numele grupului de întreprinderi multinaționale:</w:t>
            </w:r>
          </w:p>
          <w:p>
            <w:pPr>
              <w:pStyle w:val="NormalCentered"/>
              <w:rPr>
                <w:rStyle w:val="CRDeleted"/>
                <w:noProof/>
              </w:rPr>
            </w:pPr>
            <w:r>
              <w:rPr>
                <w:rStyle w:val="CRDeleted"/>
                <w:noProof/>
              </w:rPr>
              <w:t>Anul fiscal vizat:</w:t>
            </w:r>
          </w:p>
          <w:p>
            <w:pPr>
              <w:pStyle w:val="NormalCentered"/>
              <w:rPr>
                <w:rStyle w:val="CRDeleted"/>
                <w:noProof/>
              </w:rPr>
            </w:pPr>
            <w:r>
              <w:rPr>
                <w:rStyle w:val="CRDeleted"/>
                <w:noProof/>
              </w:rPr>
              <w:t>NIF</w:t>
            </w:r>
          </w:p>
          <w:p>
            <w:pPr>
              <w:pStyle w:val="NormalCentered"/>
              <w:rPr>
                <w:noProof/>
              </w:rPr>
            </w:pPr>
            <w:r>
              <w:rPr>
                <w:rStyle w:val="CRDeleted"/>
                <w:noProof/>
              </w:rPr>
              <w:t>Moneda utilizată:</w:t>
            </w:r>
          </w:p>
        </w:tc>
      </w:tr>
      <w:tr>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Jurisdicția fiscală</w:t>
            </w:r>
          </w:p>
        </w:tc>
        <w:tc>
          <w:tcPr>
            <w:tcW w:w="2507" w:type="dxa"/>
            <w:gridSpan w:val="3"/>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Venituri</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Profituri (pierderi) anterioare impozitării veniturilor</w:t>
            </w:r>
          </w:p>
        </w:tc>
        <w:tc>
          <w:tcPr>
            <w:tcW w:w="928"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Impozit pe venit plătit (pe baza contabilității de casă)</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Impozit pe venit acumulat – anul curent</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Capitalul declarat</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Profitul nedistribuit</w:t>
            </w:r>
          </w:p>
        </w:tc>
        <w:tc>
          <w:tcPr>
            <w:tcW w:w="835"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Număr de salariați</w:t>
            </w:r>
          </w:p>
        </w:tc>
        <w:tc>
          <w:tcPr>
            <w:tcW w:w="836" w:type="dxa"/>
            <w:vMerge w:val="restart"/>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Imobilizări corporale, altele decât numerarul și echivalentele de numerar</w:t>
            </w:r>
          </w:p>
        </w:tc>
      </w:tr>
      <w:tr>
        <w:tc>
          <w:tcPr>
            <w:tcW w:w="83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Parte neafiliată</w:t>
            </w:r>
          </w:p>
        </w:tc>
        <w:tc>
          <w:tcPr>
            <w:tcW w:w="8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Parte afiliată</w:t>
            </w:r>
          </w:p>
        </w:tc>
        <w:tc>
          <w:tcPr>
            <w:tcW w:w="8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Total</w:t>
            </w: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5"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c>
          <w:tcPr>
            <w:tcW w:w="8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r>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92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c>
          <w:tcPr>
            <w:tcW w:w="8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noProof/>
              </w:rPr>
            </w:pPr>
          </w:p>
        </w:tc>
      </w:tr>
    </w:tbl>
    <w:p>
      <w:pPr>
        <w:rPr>
          <w:noProof/>
        </w:rPr>
      </w:pPr>
    </w:p>
    <w:tbl>
      <w:tblPr>
        <w:tblW w:w="0" w:type="auto"/>
        <w:tblLayout w:type="fixed"/>
        <w:tblLook w:val="0000" w:firstRow="0" w:lastRow="0" w:firstColumn="0" w:lastColumn="0" w:noHBand="0" w:noVBand="0"/>
      </w:tblPr>
      <w:tblGrid>
        <w:gridCol w:w="557"/>
        <w:gridCol w:w="557"/>
        <w:gridCol w:w="650"/>
        <w:gridCol w:w="558"/>
        <w:gridCol w:w="557"/>
        <w:gridCol w:w="557"/>
        <w:gridCol w:w="650"/>
        <w:gridCol w:w="557"/>
        <w:gridCol w:w="557"/>
        <w:gridCol w:w="557"/>
        <w:gridCol w:w="650"/>
        <w:gridCol w:w="558"/>
        <w:gridCol w:w="557"/>
        <w:gridCol w:w="557"/>
        <w:gridCol w:w="650"/>
        <w:gridCol w:w="557"/>
      </w:tblGrid>
      <w:tr>
        <w:tc>
          <w:tcPr>
            <w:tcW w:w="9286" w:type="dxa"/>
            <w:gridSpan w:val="16"/>
            <w:tcBorders>
              <w:top w:val="single" w:sz="2" w:space="0" w:color="auto"/>
              <w:left w:val="single" w:sz="2" w:space="0" w:color="auto"/>
              <w:bottom w:val="single" w:sz="2" w:space="0" w:color="auto"/>
              <w:right w:val="single" w:sz="2" w:space="0" w:color="auto"/>
            </w:tcBorders>
          </w:tcPr>
          <w:p>
            <w:pPr>
              <w:pStyle w:val="NormalCentered"/>
              <w:rPr>
                <w:noProof/>
              </w:rPr>
            </w:pPr>
            <w:r>
              <w:rPr>
                <w:rStyle w:val="CRDeleted"/>
                <w:noProof/>
              </w:rPr>
              <w:t>Tabelul 2</w:t>
            </w:r>
            <w:r>
              <w:rPr>
                <w:noProof/>
              </w:rPr>
              <w:tab/>
            </w:r>
            <w:r>
              <w:rPr>
                <w:rStyle w:val="CRDeleted"/>
                <w:noProof/>
              </w:rPr>
              <w:t>Lista tuturor entităților constitutive ale grupului de întreprinderi multinaționale incluse în fiecare agregare, per jurisdicție fiscală</w:t>
            </w:r>
          </w:p>
        </w:tc>
      </w:tr>
      <w:tr>
        <w:tc>
          <w:tcPr>
            <w:tcW w:w="9286" w:type="dxa"/>
            <w:gridSpan w:val="16"/>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Numele grupului de întreprinderi multinaționale:</w:t>
            </w:r>
          </w:p>
          <w:p>
            <w:pPr>
              <w:pStyle w:val="NormalCentered"/>
              <w:rPr>
                <w:noProof/>
              </w:rPr>
            </w:pPr>
            <w:r>
              <w:rPr>
                <w:rStyle w:val="CRDeleted"/>
                <w:i/>
                <w:noProof/>
              </w:rPr>
              <w:t>Anul fiscal vizat:</w:t>
            </w:r>
          </w:p>
        </w:tc>
      </w:tr>
      <w:tr>
        <w:tc>
          <w:tcPr>
            <w:tcW w:w="557"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Jurisdicția fiscală</w:t>
            </w:r>
          </w:p>
        </w:tc>
        <w:tc>
          <w:tcPr>
            <w:tcW w:w="557"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Entitățile constitutive rezidente în jurisdicția fiscală</w:t>
            </w:r>
          </w:p>
        </w:tc>
        <w:tc>
          <w:tcPr>
            <w:tcW w:w="650"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Jurisdicția fiscală de organizare sau de constituire, dacă este diferită de jurisdicția fiscală de rezidență</w:t>
            </w:r>
          </w:p>
        </w:tc>
        <w:tc>
          <w:tcPr>
            <w:tcW w:w="7522" w:type="dxa"/>
            <w:gridSpan w:val="13"/>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Principala (principalele) activitate (activități) economică (economice)</w:t>
            </w:r>
          </w:p>
        </w:tc>
      </w:tr>
      <w:tr>
        <w:tc>
          <w:tcPr>
            <w:tcW w:w="557"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vMerge/>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Cercetare și dezvoltare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Deținere sau gestionare de proprietate intelectuală</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Achiziții sau atribuire de contracte de achiziții publice</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Fabricație sau producție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Vânzări, comercializare sau distribuție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Servicii administrative, de gestiune sau de sprijin</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Prestare servicii – către părți neafiliate</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Finanțare internă a grupului</w:t>
            </w: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Servicii financiare regulate</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Asigurări</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Deținere de acțiuni sau de alte instrumente de capital</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Inactiv</w:t>
            </w: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Altele</w:t>
            </w:r>
            <w:r>
              <w:rPr>
                <w:rStyle w:val="CRDeleted"/>
                <w:noProof/>
                <w:vertAlign w:val="superscript"/>
              </w:rPr>
              <w:footnoteReference w:id="2"/>
            </w: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1.</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2.</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r>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r>
              <w:rPr>
                <w:rStyle w:val="CRDeleted"/>
                <w:i/>
                <w:noProof/>
              </w:rPr>
              <w:t>3.</w:t>
            </w: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8"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650"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c>
          <w:tcPr>
            <w:tcW w:w="557" w:type="dxa"/>
            <w:tcBorders>
              <w:top w:val="single" w:sz="2" w:space="0" w:color="auto"/>
              <w:left w:val="single" w:sz="2" w:space="0" w:color="auto"/>
              <w:bottom w:val="single" w:sz="2" w:space="0" w:color="auto"/>
              <w:right w:val="single" w:sz="2" w:space="0" w:color="auto"/>
            </w:tcBorders>
          </w:tcPr>
          <w:p>
            <w:pPr>
              <w:pStyle w:val="NormalCentered"/>
              <w:rPr>
                <w:rStyle w:val="CRDeleted"/>
                <w:i/>
                <w:noProof/>
              </w:rPr>
            </w:pPr>
          </w:p>
        </w:tc>
      </w:tr>
    </w:tbl>
    <w:p>
      <w:pPr>
        <w:rPr>
          <w:noProof/>
        </w:rPr>
      </w:pPr>
    </w:p>
    <w:p>
      <w:pPr>
        <w:pStyle w:val="NormalCentered"/>
        <w:jc w:val="both"/>
        <w:rPr>
          <w:rStyle w:val="CRDeleted"/>
          <w:noProof/>
        </w:rPr>
      </w:pPr>
      <w:r>
        <w:rPr>
          <w:rStyle w:val="CRDeleted"/>
          <w:noProof/>
        </w:rPr>
        <w:lastRenderedPageBreak/>
        <w:t>Tabelul 3</w:t>
      </w:r>
      <w:r>
        <w:rPr>
          <w:noProof/>
        </w:rPr>
        <w:tab/>
      </w:r>
      <w:r>
        <w:rPr>
          <w:rStyle w:val="CRDeleted"/>
          <w:noProof/>
        </w:rPr>
        <w:t>Informații suplimentare</w:t>
      </w:r>
    </w:p>
    <w:p>
      <w:pPr>
        <w:pStyle w:val="NormalCentered"/>
        <w:jc w:val="both"/>
        <w:rPr>
          <w:rStyle w:val="CRDeleted"/>
          <w:noProof/>
        </w:rPr>
      </w:pPr>
      <w:r>
        <w:rPr>
          <w:rStyle w:val="CRDeleted"/>
          <w:noProof/>
        </w:rPr>
        <w:t>Numele grupului de întreprinderi multinaționale:</w:t>
      </w:r>
    </w:p>
    <w:p>
      <w:pPr>
        <w:pStyle w:val="NormalCentered"/>
        <w:jc w:val="both"/>
        <w:rPr>
          <w:rStyle w:val="CRDeleted"/>
          <w:noProof/>
        </w:rPr>
      </w:pPr>
      <w:r>
        <w:rPr>
          <w:rStyle w:val="CRDeleted"/>
          <w:noProof/>
        </w:rPr>
        <w:t>Anul fiscal vizat:</w:t>
      </w:r>
    </w:p>
    <w:p>
      <w:pPr>
        <w:pStyle w:val="NormalCentered"/>
        <w:jc w:val="both"/>
        <w:rPr>
          <w:rStyle w:val="CRDeleted"/>
          <w:noProof/>
        </w:rPr>
      </w:pPr>
      <w:r>
        <w:rPr>
          <w:rStyle w:val="CRDeleted"/>
          <w:noProof/>
        </w:rPr>
        <w:t>Vă rugăm să includeți orice informații sau explicații succinte suplimentare pe care le considerați necesare sau care ar facilita înțelegerea informațiilor obligatorii furnizate în raportul pentru fiecare țară în parte.</w:t>
      </w:r>
    </w:p>
    <w:p>
      <w:pPr>
        <w:pStyle w:val="NormalCentered"/>
        <w:jc w:val="both"/>
        <w:rPr>
          <w:rStyle w:val="CRDeleted"/>
          <w:noProof/>
        </w:rPr>
      </w:pPr>
      <w:r>
        <w:rPr>
          <w:rStyle w:val="CRDeleted"/>
          <w:noProof/>
        </w:rPr>
        <w:t>B.</w:t>
      </w:r>
      <w:r>
        <w:rPr>
          <w:noProof/>
        </w:rPr>
        <w:tab/>
      </w:r>
      <w:r>
        <w:rPr>
          <w:rStyle w:val="CRDeleted"/>
          <w:noProof/>
        </w:rPr>
        <w:t>Instrucțiuni generale pentru prezentarea raportului pentru fiecare țară în parte</w:t>
      </w:r>
    </w:p>
    <w:p>
      <w:pPr>
        <w:pStyle w:val="NormalCentered"/>
        <w:jc w:val="both"/>
        <w:rPr>
          <w:rStyle w:val="CRDeleted"/>
          <w:noProof/>
        </w:rPr>
      </w:pPr>
      <w:r>
        <w:rPr>
          <w:rStyle w:val="CRDeleted"/>
          <w:noProof/>
        </w:rPr>
        <w:t>1.</w:t>
      </w:r>
      <w:r>
        <w:rPr>
          <w:noProof/>
        </w:rPr>
        <w:tab/>
      </w:r>
      <w:r>
        <w:rPr>
          <w:rStyle w:val="CRDeleted"/>
          <w:noProof/>
        </w:rPr>
        <w:t>Obiectiv</w:t>
      </w:r>
    </w:p>
    <w:p>
      <w:pPr>
        <w:pStyle w:val="NormalCentered"/>
        <w:jc w:val="both"/>
        <w:rPr>
          <w:rStyle w:val="CRDeleted"/>
          <w:noProof/>
        </w:rPr>
      </w:pPr>
      <w:r>
        <w:rPr>
          <w:rStyle w:val="CRDeleted"/>
          <w:noProof/>
        </w:rPr>
        <w:t>Modelul se utilizează pentru raportarea alocării, în cadrul unui grup de întreprinderi multinaționale, a veniturilor, a impozitelor și a activităților economice pentru fiecare jurisdicție fiscală în parte.</w:t>
      </w:r>
    </w:p>
    <w:p>
      <w:pPr>
        <w:pStyle w:val="NormalCentered"/>
        <w:jc w:val="both"/>
        <w:rPr>
          <w:rStyle w:val="CRDeleted"/>
          <w:noProof/>
        </w:rPr>
      </w:pPr>
      <w:r>
        <w:rPr>
          <w:rStyle w:val="CRDeleted"/>
          <w:noProof/>
        </w:rPr>
        <w:t>2.</w:t>
      </w:r>
      <w:r>
        <w:rPr>
          <w:noProof/>
        </w:rPr>
        <w:tab/>
      </w:r>
      <w:r>
        <w:rPr>
          <w:rStyle w:val="CRDeleted"/>
          <w:noProof/>
        </w:rPr>
        <w:t>Tratamentul sucursalelor și al sediilor permanente</w:t>
      </w:r>
    </w:p>
    <w:p>
      <w:pPr>
        <w:pStyle w:val="NormalCentered"/>
        <w:jc w:val="both"/>
        <w:rPr>
          <w:rStyle w:val="CRDeleted"/>
          <w:noProof/>
        </w:rPr>
      </w:pPr>
      <w:r>
        <w:rPr>
          <w:rStyle w:val="CRDeleted"/>
          <w:noProof/>
        </w:rPr>
        <w:t>Datele privind sediul permanent se raportează în funcție de jurisdicția fiscală în care este situat acesta, nu în funcție de jurisdicția fiscală de rezidență a unității operaționale din care face parte sediul permanent respectiv. Din raportul privind jurisdicția fiscală de rezidență a unității operaționale din care face parte sediul permanent se exclud datele financiare legate de sediul permanent.</w:t>
      </w:r>
    </w:p>
    <w:p>
      <w:pPr>
        <w:pStyle w:val="NormalCentered"/>
        <w:jc w:val="both"/>
        <w:rPr>
          <w:rStyle w:val="CRDeleted"/>
          <w:noProof/>
        </w:rPr>
      </w:pPr>
      <w:r>
        <w:rPr>
          <w:rStyle w:val="CRDeleted"/>
          <w:noProof/>
        </w:rPr>
        <w:t>3.</w:t>
      </w:r>
      <w:r>
        <w:rPr>
          <w:noProof/>
        </w:rPr>
        <w:tab/>
      </w:r>
      <w:r>
        <w:rPr>
          <w:rStyle w:val="CRDeleted"/>
          <w:noProof/>
        </w:rPr>
        <w:t>Perioada vizată de modelul anual</w:t>
      </w:r>
    </w:p>
    <w:p>
      <w:pPr>
        <w:pStyle w:val="NormalCentered"/>
        <w:jc w:val="both"/>
        <w:rPr>
          <w:rStyle w:val="CRDeleted"/>
          <w:noProof/>
        </w:rPr>
      </w:pPr>
      <w:r>
        <w:rPr>
          <w:rStyle w:val="CRDeleted"/>
          <w:noProof/>
        </w:rPr>
        <w:t>Modelul vizează anul fiscal al întreprinderii multinaționale raportoare. În ceea ce privește entitățile constitutive, în funcție de întreprinderea multinațională raportoare, modelul trebuie să reflecte în mod coerent oricare dintre informațiile următoare:</w:t>
      </w:r>
    </w:p>
    <w:p>
      <w:pPr>
        <w:pStyle w:val="NormalCentered"/>
        <w:jc w:val="both"/>
        <w:rPr>
          <w:rStyle w:val="CRDeleted"/>
          <w:noProof/>
        </w:rPr>
      </w:pPr>
      <w:r>
        <w:rPr>
          <w:noProof/>
        </w:rPr>
        <w:tab/>
      </w:r>
      <w:r>
        <w:rPr>
          <w:rStyle w:val="CRDeleted"/>
          <w:noProof/>
        </w:rPr>
        <w:t>(a)</w:t>
      </w:r>
      <w:r>
        <w:rPr>
          <w:noProof/>
        </w:rPr>
        <w:tab/>
      </w:r>
      <w:r>
        <w:rPr>
          <w:rStyle w:val="CRDeleted"/>
          <w:noProof/>
        </w:rPr>
        <w:t>informații privind anul fiscal al entităților constitutive relevante care se încheie la aceeași dată cu anul fiscal al întreprinderii multinaționale raportoare sau în perioada de 12 luni anterioară acestei date;</w:t>
      </w:r>
    </w:p>
    <w:p>
      <w:pPr>
        <w:pStyle w:val="NormalCentered"/>
        <w:jc w:val="both"/>
        <w:rPr>
          <w:rStyle w:val="CRDeleted"/>
          <w:noProof/>
        </w:rPr>
      </w:pPr>
      <w:r>
        <w:rPr>
          <w:noProof/>
        </w:rPr>
        <w:tab/>
      </w:r>
      <w:r>
        <w:rPr>
          <w:rStyle w:val="CRDeleted"/>
          <w:noProof/>
        </w:rPr>
        <w:t>(b)</w:t>
      </w:r>
      <w:r>
        <w:rPr>
          <w:noProof/>
        </w:rPr>
        <w:tab/>
      </w:r>
      <w:r>
        <w:rPr>
          <w:rStyle w:val="CRDeleted"/>
          <w:noProof/>
        </w:rPr>
        <w:t>informații privind toate entitățile constitutive relevante raportate pentru anul fiscal al întreprinderii multinaționale raportoare.</w:t>
      </w:r>
    </w:p>
    <w:p>
      <w:pPr>
        <w:pStyle w:val="NormalCentered"/>
        <w:jc w:val="both"/>
        <w:rPr>
          <w:rStyle w:val="CRDeleted"/>
          <w:noProof/>
        </w:rPr>
      </w:pPr>
      <w:r>
        <w:rPr>
          <w:rStyle w:val="CRDeleted"/>
          <w:noProof/>
        </w:rPr>
        <w:t>4.</w:t>
      </w:r>
      <w:r>
        <w:rPr>
          <w:noProof/>
        </w:rPr>
        <w:tab/>
      </w:r>
      <w:r>
        <w:rPr>
          <w:rStyle w:val="CRDeleted"/>
          <w:noProof/>
        </w:rPr>
        <w:t>Sursa datelor</w:t>
      </w:r>
    </w:p>
    <w:p>
      <w:pPr>
        <w:pStyle w:val="NormalCentered"/>
        <w:jc w:val="both"/>
        <w:rPr>
          <w:rStyle w:val="CRDeleted"/>
          <w:noProof/>
        </w:rPr>
      </w:pPr>
      <w:r>
        <w:rPr>
          <w:rStyle w:val="CRDeleted"/>
          <w:noProof/>
        </w:rPr>
        <w:t>La completarea modelului, întreprinderea multinațională raportoare utilizează aceleași surse de date, în mod sistematic de la un an la altul. Întreprinderea multinațională raportoare poate alege să utilizeze date din pachetele sale de raportare consolidată, din situațiile financiare statutare separate ale unei entități, din situațiile financiare de reglementare sau din conturile de management intern. Nu este necesar ca raportarea veniturilor, a profiturilor și a impozitelor să fie reconciliată, în model, cu situațiile financiare consolidate. Dacă se utilizează ca bază de raportare situațiile financiare statutare, toate sumele se convertesc în moneda funcțională declarată de întreprinderea multinațională raportoare, la cursul mediu de schimb pentru exercițiul declarat la secțiunea „Informații suplimentare” din model. Cu toate acestea, nu este necesar să se facă ajustări pentru a lua în considerare diferențele dintre diferitele principii contabile aplicate în diferitele jurisdicții fiscale.</w:t>
      </w:r>
    </w:p>
    <w:p>
      <w:pPr>
        <w:pStyle w:val="NormalCentered"/>
        <w:jc w:val="both"/>
        <w:rPr>
          <w:rStyle w:val="CRDeleted"/>
          <w:noProof/>
        </w:rPr>
      </w:pPr>
      <w:r>
        <w:rPr>
          <w:rStyle w:val="CRDeleted"/>
          <w:noProof/>
        </w:rPr>
        <w:t>Întreprinderea multinațională raportoare furnizează, în secțiunea „Informații suplimentare” din model, o scurtă descriere a surselor de date utilizate la elaborarea modelului. Dacă se modifică sursa de date utilizată de la un exercițiu la altul, întreprinderea multinațională raportoare explică motivele modificării și consecințele acesteia în secțiunea „Informații suplimentare” din model.</w:t>
      </w:r>
    </w:p>
    <w:p>
      <w:pPr>
        <w:pStyle w:val="NormalCentered"/>
        <w:jc w:val="both"/>
        <w:rPr>
          <w:rStyle w:val="CRDeleted"/>
          <w:noProof/>
        </w:rPr>
      </w:pPr>
      <w:r>
        <w:rPr>
          <w:rStyle w:val="CRDeleted"/>
          <w:noProof/>
        </w:rPr>
        <w:t>C.</w:t>
      </w:r>
      <w:r>
        <w:rPr>
          <w:noProof/>
        </w:rPr>
        <w:tab/>
      </w:r>
      <w:r>
        <w:rPr>
          <w:rStyle w:val="CRDeleted"/>
          <w:noProof/>
        </w:rPr>
        <w:t>Instrucțiuni specifice pentru prezentarea raportului pentru fiecare țară în parte</w:t>
      </w:r>
    </w:p>
    <w:p>
      <w:pPr>
        <w:pStyle w:val="NormalCentered"/>
        <w:jc w:val="both"/>
        <w:rPr>
          <w:rStyle w:val="CRDeleted"/>
          <w:noProof/>
        </w:rPr>
      </w:pPr>
      <w:r>
        <w:rPr>
          <w:rStyle w:val="CRDeleted"/>
          <w:noProof/>
        </w:rPr>
        <w:lastRenderedPageBreak/>
        <w:t>1.</w:t>
      </w:r>
      <w:r>
        <w:rPr>
          <w:noProof/>
        </w:rPr>
        <w:tab/>
      </w:r>
      <w:r>
        <w:rPr>
          <w:rStyle w:val="CRDeleted"/>
          <w:noProof/>
        </w:rPr>
        <w:t>Prezentare generală a alocării veniturilor, a impozitelor și a activităților economice, per jurisdicție fiscală (tabelul 1)</w:t>
      </w:r>
    </w:p>
    <w:p>
      <w:pPr>
        <w:pStyle w:val="NormalCentered"/>
        <w:jc w:val="both"/>
        <w:rPr>
          <w:rStyle w:val="CRDeleted"/>
          <w:noProof/>
        </w:rPr>
      </w:pPr>
      <w:r>
        <w:rPr>
          <w:rStyle w:val="CRDeleted"/>
          <w:noProof/>
        </w:rPr>
        <w:t>1.1.</w:t>
      </w:r>
      <w:r>
        <w:rPr>
          <w:noProof/>
        </w:rPr>
        <w:tab/>
      </w:r>
      <w:r>
        <w:rPr>
          <w:rStyle w:val="CRDeleted"/>
          <w:noProof/>
        </w:rPr>
        <w:t>Jurisdicția fiscală</w:t>
      </w:r>
    </w:p>
    <w:p>
      <w:pPr>
        <w:pStyle w:val="NormalCentered"/>
        <w:jc w:val="both"/>
        <w:rPr>
          <w:rStyle w:val="CRDeleted"/>
          <w:noProof/>
        </w:rPr>
      </w:pPr>
      <w:r>
        <w:rPr>
          <w:rStyle w:val="CRDeleted"/>
          <w:noProof/>
        </w:rPr>
        <w:t>În prima coloană a tabelului, întreprinderea multinațională raportoare enumeră toate jurisdicțiile fiscale în care își au rezidența fiscală entitățile constitutive ale grupului de întreprinderi multinaționale. O jurisdicție fiscală este definită ca fiind o jurisdicție statală, dar și o jurisdicție nestatală care are autonomie fiscală. Se introduce un rând separat pentru toate entitățile constitutive din grupul de întreprinderi multinaționale care, potrivit întreprinderii multinaționale raportoare, nu își au rezidența fiscală în nicio jurisdicție fiscală. Dacă o entitate constitutivă este rezidentă în mai multe jurisdicții fiscale, se aplică regula de departajare din tratatul fiscal aplicabil pentru a se determina jurisdicția fiscală de rezidență. Dacă nu există niciun tratat fiscal aplicabil, entitatea constitutivă trebuie raportată în jurisdicția fiscală de care aparține locul conducerii efective al respectivei entități constitutive. Locul conducerii efective se determină pe baza unor standarde convenite la nivel internațional.</w:t>
      </w:r>
    </w:p>
    <w:p>
      <w:pPr>
        <w:pStyle w:val="NormalCentered"/>
        <w:jc w:val="both"/>
        <w:rPr>
          <w:rStyle w:val="CRDeleted"/>
          <w:noProof/>
        </w:rPr>
      </w:pPr>
      <w:r>
        <w:rPr>
          <w:rStyle w:val="CRDeleted"/>
          <w:noProof/>
        </w:rPr>
        <w:t>1.2.</w:t>
      </w:r>
      <w:r>
        <w:rPr>
          <w:noProof/>
        </w:rPr>
        <w:tab/>
      </w:r>
      <w:r>
        <w:rPr>
          <w:rStyle w:val="CRDeleted"/>
          <w:noProof/>
        </w:rPr>
        <w:t>Venituri</w:t>
      </w:r>
    </w:p>
    <w:p>
      <w:pPr>
        <w:pStyle w:val="NormalCentered"/>
        <w:jc w:val="both"/>
        <w:rPr>
          <w:rStyle w:val="CRDeleted"/>
          <w:noProof/>
        </w:rPr>
      </w:pPr>
      <w:r>
        <w:rPr>
          <w:rStyle w:val="CRDeleted"/>
          <w:noProof/>
        </w:rPr>
        <w:t>În cele trei coloane de la rubrica „Venituri” din model, întreprinderea multinațională raportoare comunică următoarele informații:</w:t>
      </w:r>
    </w:p>
    <w:p>
      <w:pPr>
        <w:pStyle w:val="NormalCentered"/>
        <w:jc w:val="both"/>
        <w:rPr>
          <w:rStyle w:val="CRDeleted"/>
          <w:noProof/>
        </w:rPr>
      </w:pPr>
      <w:r>
        <w:rPr>
          <w:noProof/>
        </w:rPr>
        <w:tab/>
      </w:r>
      <w:r>
        <w:rPr>
          <w:rStyle w:val="CRDeleted"/>
          <w:noProof/>
        </w:rPr>
        <w:t>(a)</w:t>
      </w:r>
      <w:r>
        <w:rPr>
          <w:noProof/>
        </w:rPr>
        <w:tab/>
      </w:r>
      <w:r>
        <w:rPr>
          <w:rStyle w:val="CRDeleted"/>
          <w:noProof/>
        </w:rPr>
        <w:t>suma veniturilor tuturor entităților constitutive ale grupului de întreprinderi multinaționale din jurisdicția fiscală relevantă, generate din tranzacții cu întreprinderi asociate;</w:t>
      </w:r>
    </w:p>
    <w:p>
      <w:pPr>
        <w:pStyle w:val="NormalCentered"/>
        <w:jc w:val="both"/>
        <w:rPr>
          <w:rStyle w:val="CRDeleted"/>
          <w:noProof/>
        </w:rPr>
      </w:pPr>
      <w:r>
        <w:rPr>
          <w:noProof/>
        </w:rPr>
        <w:tab/>
      </w:r>
      <w:r>
        <w:rPr>
          <w:rStyle w:val="CRDeleted"/>
          <w:noProof/>
        </w:rPr>
        <w:t>(b)</w:t>
      </w:r>
      <w:r>
        <w:rPr>
          <w:noProof/>
        </w:rPr>
        <w:tab/>
      </w:r>
      <w:r>
        <w:rPr>
          <w:rStyle w:val="CRDeleted"/>
          <w:noProof/>
        </w:rPr>
        <w:t>suma veniturilor tuturor entităților constitutive ale grupului de întreprinderi multinaționale din jurisdicția fiscală relevantă, generate din tranzacții cu părți independente;</w:t>
      </w:r>
    </w:p>
    <w:p>
      <w:pPr>
        <w:pStyle w:val="NormalCentered"/>
        <w:jc w:val="both"/>
        <w:rPr>
          <w:rStyle w:val="CRDeleted"/>
          <w:noProof/>
        </w:rPr>
      </w:pPr>
      <w:r>
        <w:rPr>
          <w:noProof/>
        </w:rPr>
        <w:tab/>
      </w:r>
      <w:r>
        <w:rPr>
          <w:rStyle w:val="CRDeleted"/>
          <w:noProof/>
        </w:rPr>
        <w:t>(c)</w:t>
      </w:r>
      <w:r>
        <w:rPr>
          <w:noProof/>
        </w:rPr>
        <w:tab/>
      </w:r>
      <w:r>
        <w:rPr>
          <w:rStyle w:val="CRDeleted"/>
          <w:noProof/>
        </w:rPr>
        <w:t>totalul sumelor menționate la literele (a) și (b).</w:t>
      </w:r>
    </w:p>
    <w:p>
      <w:pPr>
        <w:pStyle w:val="NormalCentered"/>
        <w:jc w:val="both"/>
        <w:rPr>
          <w:rStyle w:val="CRDeleted"/>
          <w:noProof/>
        </w:rPr>
      </w:pPr>
      <w:r>
        <w:rPr>
          <w:rStyle w:val="CRDeleted"/>
          <w:noProof/>
        </w:rPr>
        <w:t>Veniturile includ venituri din vânzări de stocuri și proprietăți, servicii, redevențe, dobânzi, prime și orice alte sume. Veniturile exclud plăți primite de la alte entități constitutive, care sunt tratate ca dividende în jurisdicția fiscală a plătitorului.</w:t>
      </w:r>
    </w:p>
    <w:p>
      <w:pPr>
        <w:pStyle w:val="NormalCentered"/>
        <w:jc w:val="both"/>
        <w:rPr>
          <w:rStyle w:val="CRDeleted"/>
          <w:noProof/>
        </w:rPr>
      </w:pPr>
      <w:r>
        <w:rPr>
          <w:rStyle w:val="CRDeleted"/>
          <w:noProof/>
        </w:rPr>
        <w:t>1.3.</w:t>
      </w:r>
      <w:r>
        <w:rPr>
          <w:noProof/>
        </w:rPr>
        <w:tab/>
      </w:r>
      <w:r>
        <w:rPr>
          <w:rStyle w:val="CRDeleted"/>
          <w:noProof/>
        </w:rPr>
        <w:t>Profituri (pierderi) anterioare impozitării veniturilor</w:t>
      </w:r>
    </w:p>
    <w:p>
      <w:pPr>
        <w:pStyle w:val="NormalCentered"/>
        <w:jc w:val="both"/>
        <w:rPr>
          <w:rStyle w:val="CRDeleted"/>
          <w:noProof/>
        </w:rPr>
      </w:pPr>
      <w:r>
        <w:rPr>
          <w:rStyle w:val="CRDeleted"/>
          <w:noProof/>
        </w:rPr>
        <w:t>În cea de a cincea coloană a modelului, întreprinderea multinațională raportoare comunică suma profiturilor (pierderilor) anterioare impozitării veniturilor pentru toate entitățile constitutive cu rezidența fiscală în jurisdicția fiscală relevantă. Profiturile (pierderile) anterioare impozitării veniturilor includ toate elementele extraordinare de venituri și cheltuieli.</w:t>
      </w:r>
    </w:p>
    <w:p>
      <w:pPr>
        <w:pStyle w:val="NormalCentered"/>
        <w:jc w:val="both"/>
        <w:rPr>
          <w:rStyle w:val="CRDeleted"/>
          <w:noProof/>
        </w:rPr>
      </w:pPr>
      <w:r>
        <w:rPr>
          <w:rStyle w:val="CRDeleted"/>
          <w:noProof/>
        </w:rPr>
        <w:t>1.4.</w:t>
      </w:r>
      <w:r>
        <w:rPr>
          <w:noProof/>
        </w:rPr>
        <w:tab/>
      </w:r>
      <w:r>
        <w:rPr>
          <w:rStyle w:val="CRDeleted"/>
          <w:noProof/>
        </w:rPr>
        <w:t>Impozit pe venit plătit (pe baza contabilității de casă)</w:t>
      </w:r>
    </w:p>
    <w:p>
      <w:pPr>
        <w:pStyle w:val="NormalCentered"/>
        <w:jc w:val="both"/>
        <w:rPr>
          <w:rStyle w:val="CRDeleted"/>
          <w:noProof/>
        </w:rPr>
      </w:pPr>
      <w:r>
        <w:rPr>
          <w:rStyle w:val="CRDeleted"/>
          <w:noProof/>
        </w:rPr>
        <w:t>În cea de a șasea coloană a modelului, întreprinderea multinațională raportoare comunică suma totală a impozitelor pe venit plătite efectiv în cursul anului fiscal relevant de toate entitățile constitutive cu rezidența fiscală în jurisdicția fiscală relevantă. Impozitele plătite includ impozitele în numerar plătite de entitatea constitutivă în jurisdicția fiscală de rezidență și în toate celelalte jurisdicții fiscale. Impozitele plătite includ impozitele reținute la sursă plătite de alte entități (întreprinderi asociate și întreprinderi independente) în ceea ce privește plățile către entitatea constitutivă. Astfel, dacă o societate A rezidentă în jurisdicția fiscală A încasează dobânzi în jurisdicția fiscală B, societatea A trebuie să raporteze impozitul reținut la sursă în jurisdicția fiscală B.</w:t>
      </w:r>
    </w:p>
    <w:p>
      <w:pPr>
        <w:pStyle w:val="NormalCentered"/>
        <w:jc w:val="both"/>
        <w:rPr>
          <w:rStyle w:val="CRDeleted"/>
          <w:noProof/>
        </w:rPr>
      </w:pPr>
      <w:r>
        <w:rPr>
          <w:rStyle w:val="CRDeleted"/>
          <w:noProof/>
        </w:rPr>
        <w:t>1.5.</w:t>
      </w:r>
      <w:r>
        <w:rPr>
          <w:noProof/>
        </w:rPr>
        <w:tab/>
      </w:r>
      <w:r>
        <w:rPr>
          <w:rStyle w:val="CRDeleted"/>
          <w:noProof/>
        </w:rPr>
        <w:t>Impozit pe venit acumulat – anul curent</w:t>
      </w:r>
    </w:p>
    <w:p>
      <w:pPr>
        <w:pStyle w:val="NormalCentered"/>
        <w:jc w:val="both"/>
        <w:rPr>
          <w:rStyle w:val="CRDeleted"/>
          <w:noProof/>
        </w:rPr>
      </w:pPr>
      <w:r>
        <w:rPr>
          <w:rStyle w:val="CRDeleted"/>
          <w:noProof/>
        </w:rPr>
        <w:t xml:space="preserve">În cea de a șaptea coloană a modelului, întreprinderea multinațională raportoare comunică suma cheltuielilor curente acumulate cu impozitele, înregistrate pentru profiturile sau pierderile impozabile din exercițiul de raportare ale tuturor entităților constitutive cu rezidența </w:t>
      </w:r>
      <w:r>
        <w:rPr>
          <w:rStyle w:val="CRDeleted"/>
          <w:noProof/>
        </w:rPr>
        <w:lastRenderedPageBreak/>
        <w:t>fiscală în jurisdicția fiscală relevantă. Cheltuielile curente cu impozitele reflectă numai operațiunile din exercițiul curent și nu includ impozite amânate sau provizioane pentru datorii fiscale nesigure.</w:t>
      </w:r>
    </w:p>
    <w:p>
      <w:pPr>
        <w:pStyle w:val="NormalCentered"/>
        <w:jc w:val="both"/>
        <w:rPr>
          <w:rStyle w:val="CRDeleted"/>
          <w:noProof/>
        </w:rPr>
      </w:pPr>
      <w:r>
        <w:rPr>
          <w:rStyle w:val="CRDeleted"/>
          <w:noProof/>
        </w:rPr>
        <w:t>1.6.</w:t>
      </w:r>
      <w:r>
        <w:rPr>
          <w:noProof/>
        </w:rPr>
        <w:tab/>
      </w:r>
      <w:r>
        <w:rPr>
          <w:rStyle w:val="CRDeleted"/>
          <w:noProof/>
        </w:rPr>
        <w:t>Capitalul declarat</w:t>
      </w:r>
    </w:p>
    <w:p>
      <w:pPr>
        <w:pStyle w:val="NormalCentered"/>
        <w:jc w:val="both"/>
        <w:rPr>
          <w:rStyle w:val="CRDeleted"/>
          <w:noProof/>
        </w:rPr>
      </w:pPr>
      <w:r>
        <w:rPr>
          <w:rStyle w:val="CRDeleted"/>
          <w:noProof/>
        </w:rPr>
        <w:t>În cea de a opta coloană a modelului, întreprinderea multinațională raportoare comunică cuantumul capitalului declarat al tuturor entităților constitutive cu rezidența fiscală în jurisdicția fiscală relevantă. În ceea ce privește sediile permanente, capitalul declarat trebuie să fie raportat de către entitatea juridică ce deține sediul permanent în cauză, cu excepția cazului în care, în jurisdicția fiscală a sediului permanent, există o cerință de capital definită, în scopuri de reglementare.</w:t>
      </w:r>
    </w:p>
    <w:p>
      <w:pPr>
        <w:pStyle w:val="NormalCentered"/>
        <w:jc w:val="both"/>
        <w:rPr>
          <w:rStyle w:val="CRDeleted"/>
          <w:noProof/>
        </w:rPr>
      </w:pPr>
      <w:r>
        <w:rPr>
          <w:rStyle w:val="CRDeleted"/>
          <w:noProof/>
        </w:rPr>
        <w:t>1.7.</w:t>
      </w:r>
      <w:r>
        <w:rPr>
          <w:noProof/>
        </w:rPr>
        <w:tab/>
      </w:r>
      <w:r>
        <w:rPr>
          <w:rStyle w:val="CRDeleted"/>
          <w:noProof/>
        </w:rPr>
        <w:t>Profitul nedistribuit</w:t>
      </w:r>
    </w:p>
    <w:p>
      <w:pPr>
        <w:pStyle w:val="NormalCentered"/>
        <w:jc w:val="both"/>
        <w:rPr>
          <w:rStyle w:val="CRDeleted"/>
          <w:noProof/>
        </w:rPr>
      </w:pPr>
      <w:r>
        <w:rPr>
          <w:rStyle w:val="CRDeleted"/>
          <w:noProof/>
        </w:rPr>
        <w:t>În cea de a noua coloană a modelului, întreprinderea multinațională raportoare comunică cuantumul profiturilor nedistribuite ale tuturor entităților constitutive cu rezidența fiscală în jurisdicția fiscală relevantă, începând de la sfârșitul exercițiului respectiv. În ceea ce privește sediile permanente, profiturile nedistribuite trebuie să fie raportate de către entitatea juridică ce deține respectivul sediu permanent.</w:t>
      </w:r>
    </w:p>
    <w:p>
      <w:pPr>
        <w:pStyle w:val="NormalCentered"/>
        <w:jc w:val="both"/>
        <w:rPr>
          <w:rStyle w:val="CRDeleted"/>
          <w:noProof/>
        </w:rPr>
      </w:pPr>
      <w:r>
        <w:rPr>
          <w:rStyle w:val="CRDeleted"/>
          <w:noProof/>
        </w:rPr>
        <w:t>1.8.</w:t>
      </w:r>
      <w:r>
        <w:rPr>
          <w:noProof/>
        </w:rPr>
        <w:tab/>
      </w:r>
      <w:r>
        <w:rPr>
          <w:rStyle w:val="CRDeleted"/>
          <w:noProof/>
        </w:rPr>
        <w:t>Număr de salariați</w:t>
      </w:r>
    </w:p>
    <w:p>
      <w:pPr>
        <w:pStyle w:val="NormalCentered"/>
        <w:jc w:val="both"/>
        <w:rPr>
          <w:rStyle w:val="CRDeleted"/>
          <w:noProof/>
        </w:rPr>
      </w:pPr>
      <w:r>
        <w:rPr>
          <w:rStyle w:val="CRDeleted"/>
          <w:noProof/>
        </w:rPr>
        <w:t>În cea de a zecea coloană a modelului, întreprinderea multinațională raportoare comunică numărul total de salariați în echivalent normă întreagă al tuturor entităților constitutive cu rezidența fiscală în jurisdicția fiscală relevantă. Numărul de salariați poate fi raportat începând de la sfârșitul exercițiului, pe baza nivelurilor medii de ocupare a forței de muncă pentru exercițiul în cauză sau pe orice altă bază aplicată în mod sistematic în toate jurisdicțiile fiscale și de la un exercițiu la altul. În acest scop, contractorii independenți participanți la activitățile de exploatare obișnuite ale entității constitutive pot fi raportați ca salariați. Este permisă rotunjirea sau aproximarea rezonabilă a numărului de salariați, cu condiția ca această rotunjire sau aproximare să nu denatureze semnificativ distribuția relativă a salariaților între diferitele jurisdicții fiscale. Se aplică abordări coerente de la un exercițiu la altul și în toate entitățile.</w:t>
      </w:r>
    </w:p>
    <w:p>
      <w:pPr>
        <w:pStyle w:val="NormalCentered"/>
        <w:jc w:val="both"/>
        <w:rPr>
          <w:rStyle w:val="CRDeleted"/>
          <w:noProof/>
        </w:rPr>
      </w:pPr>
      <w:r>
        <w:rPr>
          <w:rStyle w:val="CRDeleted"/>
          <w:noProof/>
        </w:rPr>
        <w:t>1.9.</w:t>
      </w:r>
      <w:r>
        <w:rPr>
          <w:noProof/>
        </w:rPr>
        <w:tab/>
      </w:r>
      <w:r>
        <w:rPr>
          <w:rStyle w:val="CRDeleted"/>
          <w:noProof/>
        </w:rPr>
        <w:t>Imobilizări corporale, altele decât numerarul și echivalentele de numerar</w:t>
      </w:r>
    </w:p>
    <w:p>
      <w:pPr>
        <w:pStyle w:val="NormalCentered"/>
        <w:jc w:val="both"/>
        <w:rPr>
          <w:rStyle w:val="CRDeleted"/>
          <w:noProof/>
        </w:rPr>
      </w:pPr>
      <w:r>
        <w:rPr>
          <w:rStyle w:val="CRDeleted"/>
          <w:noProof/>
        </w:rPr>
        <w:t>În cea de a unsprezecea coloană a modelului, întreprinderea multinațională raportoare comunică cuantumul valorilor contabile nete ale imobilizărilor corporale ale tuturor entităților constitutive cu rezidența fiscală în jurisdicția fiscală relevantă. În ceea ce privește sediile permanente, imobilizările trebuie raportate în cea ce privește jurisdicția fiscală în care este situat sediul permanent. În acest scop, imobilizările corporale nu includ numerar sau echivalente de numerar, imobilizări necorporale sau active financiare.</w:t>
      </w:r>
    </w:p>
    <w:p>
      <w:pPr>
        <w:pStyle w:val="NormalCentered"/>
        <w:jc w:val="both"/>
        <w:rPr>
          <w:rStyle w:val="CRDeleted"/>
          <w:noProof/>
        </w:rPr>
      </w:pPr>
      <w:r>
        <w:rPr>
          <w:rStyle w:val="CRDeleted"/>
          <w:noProof/>
        </w:rPr>
        <w:t>2.</w:t>
      </w:r>
      <w:r>
        <w:rPr>
          <w:noProof/>
        </w:rPr>
        <w:tab/>
      </w:r>
      <w:r>
        <w:rPr>
          <w:rStyle w:val="CRDeleted"/>
          <w:noProof/>
        </w:rPr>
        <w:t>Lista tuturor entităților constitutive ale grupului de întreprinderi multinaționale incluse în fiecare agregare, per jurisdicție fiscală (tabelul 2)</w:t>
      </w:r>
    </w:p>
    <w:p>
      <w:pPr>
        <w:pStyle w:val="NormalCentered"/>
        <w:jc w:val="both"/>
        <w:rPr>
          <w:rStyle w:val="CRDeleted"/>
          <w:noProof/>
        </w:rPr>
      </w:pPr>
      <w:r>
        <w:rPr>
          <w:rStyle w:val="CRDeleted"/>
          <w:noProof/>
        </w:rPr>
        <w:t>2.1.</w:t>
      </w:r>
      <w:r>
        <w:rPr>
          <w:noProof/>
        </w:rPr>
        <w:tab/>
      </w:r>
      <w:r>
        <w:rPr>
          <w:rStyle w:val="CRDeleted"/>
          <w:noProof/>
        </w:rPr>
        <w:t>Entitățile constitutive rezidente în jurisdicția fiscală</w:t>
      </w:r>
    </w:p>
    <w:p>
      <w:pPr>
        <w:pStyle w:val="NormalCentered"/>
        <w:jc w:val="both"/>
        <w:rPr>
          <w:rStyle w:val="CRDeleted"/>
          <w:noProof/>
        </w:rPr>
      </w:pPr>
      <w:r>
        <w:rPr>
          <w:rStyle w:val="CRDeleted"/>
          <w:noProof/>
        </w:rPr>
        <w:t>Întreprinderea multinațională raportoare enumeră, pentru fiecare jurisdicție fiscală și pentru fiecare denumire de entitate juridică, toate entitățile constitutive ale grupului de întreprinderi multinaționale care își au rezidența fiscală în jurisdicția fiscală relevantă. Cu toate acestea, în conformitate cu punctul 2 din instrucțiunile generale referitoare la sediile permanente, sediul permanent se menționează în legătură cu jurisdicția fiscală în care este situat. Se notează entitatea juridică căreia îi aparține sediul permanent.</w:t>
      </w:r>
    </w:p>
    <w:p>
      <w:pPr>
        <w:pStyle w:val="NormalCentered"/>
        <w:jc w:val="both"/>
        <w:rPr>
          <w:rStyle w:val="CRDeleted"/>
          <w:noProof/>
        </w:rPr>
      </w:pPr>
      <w:r>
        <w:rPr>
          <w:rStyle w:val="CRDeleted"/>
          <w:noProof/>
        </w:rPr>
        <w:t>2.2.</w:t>
      </w:r>
      <w:r>
        <w:rPr>
          <w:noProof/>
        </w:rPr>
        <w:tab/>
      </w:r>
      <w:r>
        <w:rPr>
          <w:rStyle w:val="CRDeleted"/>
          <w:noProof/>
        </w:rPr>
        <w:t>Jurisdicția fiscală de organizare sau de înregistrare, dacă este diferită de jurisdicția fiscală de rezidență</w:t>
      </w:r>
    </w:p>
    <w:p>
      <w:pPr>
        <w:pStyle w:val="NormalCentered"/>
        <w:jc w:val="both"/>
        <w:rPr>
          <w:rStyle w:val="CRDeleted"/>
          <w:noProof/>
        </w:rPr>
      </w:pPr>
      <w:r>
        <w:rPr>
          <w:rStyle w:val="CRDeleted"/>
          <w:noProof/>
        </w:rPr>
        <w:lastRenderedPageBreak/>
        <w:t>Întreprinderea multinațională raportoare comunică numele jurisdicției fiscale în temeiul legilor căreia este organizată sau înregistrată entitatea constitutivă a întreprinderii multinaționale, dacă aceasta este diferită de jurisdicția fiscală de rezidență.</w:t>
      </w:r>
    </w:p>
    <w:p>
      <w:pPr>
        <w:pStyle w:val="NormalCentered"/>
        <w:jc w:val="both"/>
        <w:rPr>
          <w:rStyle w:val="CRDeleted"/>
          <w:noProof/>
        </w:rPr>
      </w:pPr>
      <w:r>
        <w:rPr>
          <w:rStyle w:val="CRDeleted"/>
          <w:noProof/>
        </w:rPr>
        <w:t>2.3.</w:t>
      </w:r>
      <w:r>
        <w:rPr>
          <w:noProof/>
        </w:rPr>
        <w:tab/>
      </w:r>
      <w:r>
        <w:rPr>
          <w:rStyle w:val="CRDeleted"/>
          <w:noProof/>
        </w:rPr>
        <w:t>Principala (principalele) activitate (activități) economică (economice)</w:t>
      </w:r>
    </w:p>
    <w:p>
      <w:pPr>
        <w:pStyle w:val="NormalCentered"/>
        <w:jc w:val="both"/>
        <w:rPr>
          <w:rStyle w:val="CRDeleted"/>
          <w:noProof/>
        </w:rPr>
      </w:pPr>
      <w:r>
        <w:rPr>
          <w:rStyle w:val="CRDeleted"/>
          <w:noProof/>
        </w:rPr>
        <w:t>Întreprinderea multinațională raportoare determină natura principalei (principalelor) activități economice desfășurate de entitatea constitutivă în jurisdicția fiscală relevantă, bifând una sau mai multe căsuțe corespunzătoare.</w:t>
      </w:r>
    </w:p>
    <w:p>
      <w:pPr>
        <w:adjustRightInd w:val="0"/>
        <w:spacing w:before="0" w:after="0"/>
        <w:rPr>
          <w:noProof/>
        </w:rPr>
        <w:sectPr>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8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Annexetitre"/>
        <w:rPr>
          <w:noProof/>
        </w:rPr>
      </w:pPr>
      <w:r>
        <w:rPr>
          <w:noProof/>
        </w:rPr>
        <w:t>ANEXA IV</w:t>
      </w:r>
    </w:p>
    <w:p>
      <w:pPr>
        <w:pStyle w:val="ManualHeading1"/>
        <w:ind w:left="851" w:hanging="851"/>
        <w:rPr>
          <w:noProof/>
        </w:rPr>
      </w:pPr>
      <w:bookmarkStart w:id="39" w:name="_Toc229742223"/>
      <w:r>
        <w:rPr>
          <w:i/>
          <w:noProof/>
        </w:rPr>
        <w:t>SEMNE DISTINCTIVE</w:t>
      </w:r>
      <w:bookmarkEnd w:id="39"/>
    </w:p>
    <w:p>
      <w:pPr>
        <w:pStyle w:val="ManualHeading2"/>
        <w:ind w:left="851" w:hanging="851"/>
        <w:rPr>
          <w:noProof/>
        </w:rPr>
      </w:pPr>
      <w:bookmarkStart w:id="40" w:name="_Toc229742224"/>
      <w:r>
        <w:rPr>
          <w:noProof/>
        </w:rPr>
        <w:t>Partea I.</w:t>
      </w:r>
      <w:r>
        <w:rPr>
          <w:noProof/>
        </w:rPr>
        <w:tab/>
        <w:t>Testul beneficiului principal</w:t>
      </w:r>
      <w:bookmarkEnd w:id="40"/>
    </w:p>
    <w:p>
      <w:pPr>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Semnele distinctive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Semnele distinctive generice din categoria A și semnele distinctive specifice</w:t>
      </w:r>
      <w:r>
        <w:rPr>
          <w:noProof/>
        </w:rPr>
        <w:t xml:space="preserve"> din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partea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categoria B și din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partea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categoria C punctul 1 litera (b) punctul (i) și literele (c) și (d) pot fi luate în considerare numai în cazul în care trec „testul beneficiului principal”.</w:t>
      </w:r>
    </w:p>
    <w:p>
      <w:pPr>
        <w:rPr>
          <w:noProof/>
        </w:rPr>
      </w:pPr>
      <w:r>
        <w:rPr>
          <w:noProof/>
        </w:rPr>
        <w:t>Testul respectiv se consideră a fi trecut dacă se poate stabili faptul că beneficiul principal sau unul dintre beneficiile principale pe care o persoană se poate aștepta în mod rezonabil să le obțină de pe urma unei modalități, ținând seama de toți factorii și toate circumstanțele relevante, este obținerea unui avantaj fiscal.</w:t>
      </w:r>
    </w:p>
    <w:p>
      <w:pPr>
        <w:rPr>
          <w:noProof/>
        </w:rPr>
      </w:pPr>
      <w:r>
        <w:rPr>
          <w:noProof/>
        </w:rPr>
        <w:t xml:space="preserve">În contextul semnului distinctiv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partea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categoria C punctul 1, prezența condițiilor enunțate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partea 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categoria C punctul 1 litera (b) punctul (i), litera (c) sau litera (d), necoroborată cu alte elemente, nu poate constitui un motiv pentru a concluziona că o modalitate trece testul beneficiului principal.</w:t>
      </w:r>
    </w:p>
    <w:p>
      <w:pPr>
        <w:pStyle w:val="ManualHeading2"/>
        <w:ind w:left="851" w:hanging="851"/>
        <w:rPr>
          <w:noProof/>
        </w:rPr>
      </w:pPr>
      <w:bookmarkStart w:id="41" w:name="_Toc229742225"/>
      <w:r>
        <w:rPr>
          <w:noProof/>
        </w:rPr>
        <w:t>Partea II.</w:t>
      </w:r>
      <w:r>
        <w:rPr>
          <w:noProof/>
        </w:rPr>
        <w:tab/>
        <w:t>Categorii de semne distinctive</w:t>
      </w:r>
      <w:bookmarkEnd w:id="41"/>
    </w:p>
    <w:p>
      <w:pPr>
        <w:pStyle w:val="ManualHeading3"/>
        <w:rPr>
          <w:rStyle w:val="CRDeleted"/>
          <w:i w:val="0"/>
          <w:noProof/>
        </w:rPr>
      </w:pPr>
      <w:bookmarkStart w:id="42" w:name="_Toc229742226"/>
      <w:r>
        <w:rPr>
          <w:noProof/>
        </w:rPr>
        <w:t>A.</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(eliminat)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i w:val="0"/>
          <w:noProof/>
        </w:rPr>
        <w:t>Semne distinctive generice legate de testul beneficiului principal</w:t>
      </w:r>
      <w:bookmarkEnd w:id="42"/>
    </w:p>
    <w:p>
      <w:pPr>
        <w:rPr>
          <w:rStyle w:val="CRDeleted"/>
          <w:noProof/>
        </w:rPr>
      </w:pPr>
      <w:r>
        <w:rPr>
          <w:rStyle w:val="CRDeleted"/>
          <w:noProof/>
        </w:rPr>
        <w:t>1.</w:t>
      </w:r>
      <w:r>
        <w:rPr>
          <w:rStyle w:val="CRDeleted"/>
          <w:noProof/>
        </w:rPr>
        <w:tab/>
        <w:t>O modalitate în cazul căreia contribuabilul relevant sau un participant la modalitate se angajează să respecte o condiție de confidențialitate care îi poate impune să nu comunice modul în care modalitatea respectivă ar putea duce la obținerea unui avantaj fiscal către alți intermediari sau către autoritățile fiscale.</w:t>
      </w:r>
    </w:p>
    <w:p>
      <w:pPr>
        <w:rPr>
          <w:rStyle w:val="CRDeleted"/>
          <w:noProof/>
        </w:rPr>
      </w:pPr>
      <w:r>
        <w:rPr>
          <w:rStyle w:val="CRDeleted"/>
          <w:noProof/>
        </w:rPr>
        <w:t>2.</w:t>
      </w:r>
      <w:r>
        <w:rPr>
          <w:rStyle w:val="CRDeleted"/>
          <w:noProof/>
        </w:rPr>
        <w:tab/>
        <w:t>O modalitate în cazul căreia intermediarul este îndreptățit să primească un comision (sau dobândă, o remunerație aferentă costurilor financiare și altor cheltuieli) pentru modalitatea respectivă, iar respectivul comision este fixat prin referire la:</w:t>
      </w:r>
    </w:p>
    <w:p>
      <w:pPr>
        <w:pStyle w:val="Point0"/>
        <w:rPr>
          <w:rStyle w:val="CRDeleted"/>
          <w:noProof/>
        </w:rPr>
      </w:pPr>
      <w:r>
        <w:rPr>
          <w:rStyle w:val="CRDeleted"/>
          <w:noProof/>
        </w:rPr>
        <w:tab/>
        <w:t>(a)</w:t>
      </w:r>
      <w:r>
        <w:rPr>
          <w:rStyle w:val="CRDeleted"/>
          <w:noProof/>
        </w:rPr>
        <w:tab/>
        <w:t>cuantumul avantajului fiscal care rezultă din modalitatea respectivă; sau</w:t>
      </w:r>
    </w:p>
    <w:p>
      <w:pPr>
        <w:pStyle w:val="Point0"/>
        <w:rPr>
          <w:rStyle w:val="CRDeleted"/>
          <w:noProof/>
        </w:rPr>
      </w:pPr>
      <w:r>
        <w:rPr>
          <w:rStyle w:val="CRDeleted"/>
          <w:noProof/>
        </w:rPr>
        <w:tab/>
        <w:t>(b)</w:t>
      </w:r>
      <w:r>
        <w:rPr>
          <w:rStyle w:val="CRDeleted"/>
          <w:noProof/>
        </w:rPr>
        <w:tab/>
        <w:t>dacă modalitatea duce efectiv la obținerea unui avantaj fiscal sau nu. Aceasta ar include obligația ca intermediarul să ramburseze parțial sau integral comisioanele în cazul în care avantajul fiscal care ar trebui să rezulte din modalitatea respectivă nu a fost obținut, parțial sau integral.</w:t>
      </w:r>
    </w:p>
    <w:p>
      <w:pPr>
        <w:rPr>
          <w:rStyle w:val="CRDeleted"/>
          <w:noProof/>
        </w:rPr>
      </w:pPr>
      <w:r>
        <w:rPr>
          <w:rStyle w:val="CRDeleted"/>
          <w:noProof/>
        </w:rPr>
        <w:t>3.</w:t>
      </w:r>
      <w:r>
        <w:rPr>
          <w:rStyle w:val="CRDeleted"/>
          <w:noProof/>
        </w:rPr>
        <w:tab/>
        <w:t>O modalitate care conține o documentație și/sau o structură puternic standardizată și care este disponibilă pentru mai mult de un contribuabil relevant fără a fi necesară personalizarea substanțială a acesteia în vederea implementării.</w:t>
      </w:r>
    </w:p>
    <w:p>
      <w:pPr>
        <w:pStyle w:val="ManualHeading3"/>
        <w:rPr>
          <w:noProof/>
        </w:rPr>
      </w:pPr>
      <w:bookmarkStart w:id="43" w:name="_Toc229742227"/>
      <w:r>
        <w:rPr>
          <w:rStyle w:val="CRMinorChangeAdded"/>
          <w:noProof/>
        </w:rPr>
        <w:t>B</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Semne distinctive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Semne distinctive specifice</w:t>
      </w:r>
      <w:r>
        <w:rPr>
          <w:noProof/>
        </w:rPr>
        <w:t xml:space="preserve"> legate de testul beneficiului principal</w:t>
      </w:r>
      <w:bookmarkEnd w:id="43"/>
    </w:p>
    <w:p>
      <w:pPr>
        <w:rPr>
          <w:noProof/>
        </w:rPr>
      </w:pPr>
      <w:r>
        <w:rPr>
          <w:noProof/>
        </w:rPr>
        <w:t>1.</w:t>
      </w:r>
      <w:r>
        <w:rPr>
          <w:noProof/>
        </w:rPr>
        <w:tab/>
        <w:t>O modalitate prin care un participant la aceasta ia măsuri artificiale care constau în achiziționarea unei societăți care înregistrează pierderi, întreruperea activității principale a acesteia și utilizarea pierderilor societății respective pentru a-și reduce propriile obligații fiscale, inclusiv prin intermediul unui transfer al acestor pierderi către o altă jurisdicție sau prin accelerarea utilizării acestor pierderi.</w:t>
      </w:r>
    </w:p>
    <w:p>
      <w:pPr>
        <w:rPr>
          <w:noProof/>
        </w:rPr>
      </w:pPr>
      <w:r>
        <w:rPr>
          <w:noProof/>
        </w:rPr>
        <w:lastRenderedPageBreak/>
        <w:t>2.</w:t>
      </w:r>
      <w:r>
        <w:rPr>
          <w:noProof/>
        </w:rPr>
        <w:tab/>
        <w:t>O modalitate care are efectul de conversie a veniturilor în capital, donații sau alte categorii de venituri care sunt impozitate la un nivel mai redus sau scutite de la plata impozitelor.</w:t>
      </w:r>
    </w:p>
    <w:p>
      <w:pPr>
        <w:rPr>
          <w:noProof/>
        </w:rPr>
      </w:pPr>
      <w:r>
        <w:rPr>
          <w:noProof/>
        </w:rPr>
        <w:t>3.</w:t>
      </w:r>
      <w:r>
        <w:rPr>
          <w:noProof/>
        </w:rPr>
        <w:tab/>
        <w:t>O modalitate care include tranzacții circulare ce duc la un carusel de fonduri („round‐tripping of funds”), mai precis prin implicarea unor entități interpuse fără altă funcție comercială primară, sau prin tranzacții care se compensează sau se anulează reciproc sau care au alte caracteristici similare.</w:t>
      </w:r>
    </w:p>
    <w:p>
      <w:pPr>
        <w:pStyle w:val="ManualHeading3"/>
        <w:rPr>
          <w:noProof/>
        </w:rPr>
      </w:pPr>
      <w:bookmarkStart w:id="44" w:name="_Toc229742228"/>
      <w:r>
        <w:rPr>
          <w:rStyle w:val="CRMinorChangeAdded"/>
          <w:noProof/>
        </w:rPr>
        <w:t>C</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Semne distinctive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Semne distinctive specifice</w:t>
      </w:r>
      <w:r>
        <w:rPr>
          <w:noProof/>
        </w:rPr>
        <w:t xml:space="preserve"> legate de tranzacțiile transfrontaliere</w:t>
      </w:r>
      <w:bookmarkEnd w:id="44"/>
    </w:p>
    <w:p>
      <w:pPr>
        <w:rPr>
          <w:noProof/>
        </w:rPr>
      </w:pPr>
      <w:r>
        <w:rPr>
          <w:noProof/>
        </w:rPr>
        <w:t>1.</w:t>
      </w:r>
      <w:r>
        <w:rPr>
          <w:noProof/>
        </w:rPr>
        <w:tab/>
        <w:t>O modalitate care implică plăți transfrontaliere deductibile efectuate între două sau mai multe întreprinderi asociate, în cazul în care este prezentă cel puțin una dintre următoarele condiții:</w:t>
      </w:r>
    </w:p>
    <w:p>
      <w:pPr>
        <w:pStyle w:val="Point0"/>
        <w:rPr>
          <w:noProof/>
        </w:rPr>
      </w:pPr>
      <w:r>
        <w:rPr>
          <w:noProof/>
        </w:rPr>
        <w:tab/>
        <w:t>(a)</w:t>
      </w:r>
      <w:r>
        <w:rPr>
          <w:noProof/>
        </w:rPr>
        <w:tab/>
        <w:t>destinatarul nu este rezident fiscal în nicio jurisdicție fiscală;</w:t>
      </w:r>
    </w:p>
    <w:p>
      <w:pPr>
        <w:pStyle w:val="Point0"/>
        <w:rPr>
          <w:noProof/>
        </w:rPr>
      </w:pPr>
      <w:r>
        <w:rPr>
          <w:noProof/>
        </w:rPr>
        <w:tab/>
        <w:t>(b)</w:t>
      </w:r>
      <w:r>
        <w:rPr>
          <w:noProof/>
        </w:rPr>
        <w:tab/>
        <w:t>cu toate că destinatarul este rezident fiscal într-o jurisdicție, acea jurisdicție:</w:t>
      </w:r>
    </w:p>
    <w:p>
      <w:pPr>
        <w:pStyle w:val="Point1"/>
        <w:rPr>
          <w:noProof/>
        </w:rPr>
      </w:pPr>
      <w:r>
        <w:rPr>
          <w:noProof/>
        </w:rPr>
        <w:tab/>
        <w:t>(i)</w:t>
      </w:r>
      <w:r>
        <w:rPr>
          <w:noProof/>
        </w:rPr>
        <w:tab/>
        <w:t>nu impune niciun impozit pe profit sau impune un impozit pe profit la o rată egală cu zero sau aproape egală cu zero; sau</w:t>
      </w:r>
    </w:p>
    <w:p>
      <w:pPr>
        <w:pStyle w:val="Point1"/>
        <w:rPr>
          <w:noProof/>
        </w:rPr>
      </w:pPr>
      <w:r>
        <w:rPr>
          <w:noProof/>
        </w:rPr>
        <w:t>(ii)</w:t>
      </w:r>
      <w:r>
        <w:rPr>
          <w:noProof/>
        </w:rPr>
        <w:tab/>
        <w:t xml:space="preserve">este inclusă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anexa I la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într-o listă de jurisdicții ale unor țări terțe care au fost evaluate de statele membre, în mod colectiv sau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concluziile Consiliului privind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 cadrul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lista revizuită a UE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OCDE, ca fiind necooperante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jurisdicții necooperante în scopuri fiscale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pStyle w:val="Point0"/>
        <w:rPr>
          <w:noProof/>
        </w:rPr>
      </w:pPr>
      <w:r>
        <w:rPr>
          <w:noProof/>
        </w:rPr>
        <w:tab/>
        <w:t>(c)</w:t>
      </w:r>
      <w:r>
        <w:rPr>
          <w:noProof/>
        </w:rPr>
        <w:tab/>
        <w:t>plata beneficiază de o scutire integrală de impozit în jurisdicția în care destinatarul este rezident fiscal;</w:t>
      </w:r>
    </w:p>
    <w:p>
      <w:pPr>
        <w:pStyle w:val="Point0"/>
        <w:rPr>
          <w:noProof/>
        </w:rPr>
      </w:pPr>
      <w:r>
        <w:rPr>
          <w:noProof/>
        </w:rPr>
        <w:tab/>
        <w:t>(d)</w:t>
      </w:r>
      <w:r>
        <w:rPr>
          <w:noProof/>
        </w:rPr>
        <w:tab/>
        <w:t>plata beneficiază de un regim fiscal preferențial în jurisdicția în care destinatarul este rezident fiscal;</w:t>
      </w:r>
    </w:p>
    <w:p>
      <w:pPr>
        <w:rPr>
          <w:noProof/>
        </w:rPr>
      </w:pPr>
      <w:r>
        <w:rPr>
          <w:noProof/>
        </w:rPr>
        <w:t>2.</w:t>
      </w:r>
      <w:r>
        <w:rPr>
          <w:noProof/>
        </w:rPr>
        <w:tab/>
        <w:t>Deducerile pentru aceeași amortizare a activului sunt solicitate în mai multe jurisdicții.</w:t>
      </w:r>
    </w:p>
    <w:p>
      <w:pPr>
        <w:rPr>
          <w:noProof/>
        </w:rPr>
      </w:pPr>
      <w:r>
        <w:rPr>
          <w:noProof/>
        </w:rPr>
        <w:t>3.</w:t>
      </w:r>
      <w:r>
        <w:rPr>
          <w:noProof/>
        </w:rPr>
        <w:tab/>
        <w:t>Scutirea de la dubla impunere în ceea ce privește același element de venit sau de capital este solicitată în mai multe jurisdicții.</w:t>
      </w:r>
    </w:p>
    <w:p>
      <w:pPr>
        <w:rPr>
          <w:noProof/>
        </w:rPr>
      </w:pPr>
      <w:r>
        <w:rPr>
          <w:noProof/>
        </w:rPr>
        <w:t>4.</w:t>
      </w:r>
      <w:r>
        <w:rPr>
          <w:noProof/>
        </w:rPr>
        <w:tab/>
        <w:t>Există o modalitate care include transferuri de active și în cazul căreia există o diferență semnificativă în ceea ce privește suma tratată ca plătibilă pentru activele respective în jurisdicțiile implicate.</w:t>
      </w:r>
    </w:p>
    <w:p>
      <w:pPr>
        <w:pStyle w:val="ManualHeading3"/>
        <w:rPr>
          <w:noProof/>
        </w:rPr>
      </w:pPr>
      <w:bookmarkStart w:id="45" w:name="_Toc229742229"/>
      <w:r>
        <w:rPr>
          <w:rStyle w:val="CRMinorChangeAdded"/>
          <w:noProof/>
        </w:rPr>
        <w:t>D</w:t>
      </w:r>
      <w:r>
        <w:rPr>
          <w:noProof/>
        </w:rPr>
        <w:t>.</w:t>
      </w:r>
      <w:r>
        <w:rPr>
          <w:noProof/>
        </w:rPr>
        <w:tab/>
        <w:t>Semne distinctive specifice referitoare la schimbul automat de informații și la beneficiarii reali</w:t>
      </w:r>
      <w:bookmarkEnd w:id="45"/>
    </w:p>
    <w:p>
      <w:pPr>
        <w:rPr>
          <w:noProof/>
        </w:rPr>
      </w:pPr>
      <w:r>
        <w:rPr>
          <w:noProof/>
        </w:rPr>
        <w:t>1.</w:t>
      </w:r>
      <w:r>
        <w:rPr>
          <w:noProof/>
        </w:rPr>
        <w:tab/>
        <w:t>O modalitate care poate avea ca efect subminarea obligației de raportare în conformitate cu legislația de punere în aplicare a legislației Uniunii sau cu orice acorduri echivalente referitoare la schimbul automat de informații privind Conturile Financiare, inclusiv acorduri cu țări terțe, sau care profită de absența unor astfel de legi sau acorduri. Aceste modalități includ cel puțin:</w:t>
      </w:r>
    </w:p>
    <w:p>
      <w:pPr>
        <w:pStyle w:val="Point0"/>
        <w:rPr>
          <w:noProof/>
        </w:rPr>
      </w:pPr>
      <w:r>
        <w:rPr>
          <w:noProof/>
        </w:rPr>
        <w:t>(a)</w:t>
      </w:r>
      <w:r>
        <w:rPr>
          <w:noProof/>
        </w:rPr>
        <w:tab/>
        <w:t>utilizarea unui cont, a unui produs sau a unei investiții care nu reprezintă sau pretinde că nu reprezintă un Cont Financiar, dar prezintă caracteristici care sunt similare în esență cu cele ale unui Cont Financiar;</w:t>
      </w:r>
    </w:p>
    <w:p>
      <w:pPr>
        <w:pStyle w:val="Point0"/>
        <w:rPr>
          <w:noProof/>
        </w:rPr>
      </w:pPr>
      <w:r>
        <w:rPr>
          <w:noProof/>
        </w:rPr>
        <w:t>(b)</w:t>
      </w:r>
      <w:r>
        <w:rPr>
          <w:noProof/>
        </w:rPr>
        <w:tab/>
        <w:t>transferul Conturilor Financiare sau al activelor către jurisdicții în care nu există obligația schimbului automat de informații privind Conturile Financiare cu statul de reședință al contribuabilului relevant, sau utilizarea jurisdicțiilor respective;</w:t>
      </w:r>
    </w:p>
    <w:p>
      <w:pPr>
        <w:pStyle w:val="Point0"/>
        <w:rPr>
          <w:noProof/>
        </w:rPr>
      </w:pPr>
      <w:r>
        <w:rPr>
          <w:noProof/>
        </w:rPr>
        <w:t>(c)</w:t>
      </w:r>
      <w:r>
        <w:rPr>
          <w:noProof/>
        </w:rPr>
        <w:tab/>
        <w:t>reclasificarea veniturilor și a capitalului în produse sau plăți care nu fac obiectul schimbului automat de informații privind Conturile Financiare;</w:t>
      </w:r>
    </w:p>
    <w:p>
      <w:pPr>
        <w:pStyle w:val="Point0"/>
        <w:rPr>
          <w:noProof/>
        </w:rPr>
      </w:pPr>
      <w:r>
        <w:rPr>
          <w:noProof/>
        </w:rPr>
        <w:lastRenderedPageBreak/>
        <w:t>(d)</w:t>
      </w:r>
      <w:r>
        <w:rPr>
          <w:noProof/>
        </w:rPr>
        <w:tab/>
        <w:t>transferul sau conversia unei Instituții Financiare, a unui Cont Financiar sau a activelor acestora, într-o Instituție Financiară, un Cont Financiar sau active care nu fac obiectul raportării în cadrul schimbului automat de informații privind Conturile Financiare;</w:t>
      </w:r>
    </w:p>
    <w:p>
      <w:pPr>
        <w:pStyle w:val="Point0"/>
        <w:rPr>
          <w:noProof/>
        </w:rPr>
      </w:pPr>
      <w:r>
        <w:rPr>
          <w:noProof/>
        </w:rPr>
        <w:t>(e)</w:t>
      </w:r>
      <w:r>
        <w:rPr>
          <w:noProof/>
        </w:rPr>
        <w:tab/>
        <w:t>utilizarea de entități, modalități sau structuri juridice care elimină sau pretind că elimină raportarea unuia sau mai multor titulari de conturi sau a uneia sau mai multor persoane care exercită controlul în cadrul schimbului automat de informații privind Conturile Financiare;</w:t>
      </w:r>
    </w:p>
    <w:p>
      <w:pPr>
        <w:pStyle w:val="Point0"/>
        <w:rPr>
          <w:noProof/>
        </w:rPr>
      </w:pPr>
      <w:r>
        <w:rPr>
          <w:noProof/>
        </w:rPr>
        <w:t>(f)</w:t>
      </w:r>
      <w:r>
        <w:rPr>
          <w:noProof/>
        </w:rPr>
        <w:tab/>
        <w:t>modalități care subminează sau exploatează punctele slabe din cadrul procedurilor de precauție utilizate de Instituțiile Financiare pentru a-și respecta obligațiile de raportare a informațiilor privind Conturile Financiare, inclusiv utilizarea jurisdicțiilor cu regimuri neadecvate sau precare de asigurare a respectării legislației privind combaterea spălării banilor sau cu cerințe precare în materie de transparență cu privire la persoanele juridice sau construcțiile juridice.</w:t>
      </w:r>
    </w:p>
    <w:p>
      <w:pPr>
        <w:pStyle w:val="Point0"/>
        <w:spacing w:after="60"/>
        <w:rPr>
          <w:noProof/>
        </w:rPr>
      </w:pPr>
      <w:bookmarkStart w:id="46" w:name="_Hlk227310436"/>
      <w:r>
        <w:rPr>
          <w:noProof/>
        </w:rPr>
        <w:t>2. O modalitate care implică un lanț juridic sau de beneficiari reali lipsit de transparență, cu utilizarea unor persoane, construcții juridice sau structuri:</w:t>
      </w:r>
    </w:p>
    <w:p>
      <w:pPr>
        <w:pStyle w:val="Point0"/>
        <w:spacing w:before="60" w:after="60"/>
        <w:ind w:hanging="130"/>
        <w:rPr>
          <w:noProof/>
        </w:rPr>
      </w:pPr>
      <w:r>
        <w:rPr>
          <w:noProof/>
        </w:rPr>
        <w:t>(a) care nu desfășoară o activitate economică semnificativă susținută de personal, echipamente, active și spații de lucru adecvate; și</w:t>
      </w:r>
    </w:p>
    <w:p>
      <w:pPr>
        <w:pStyle w:val="Point0"/>
        <w:spacing w:before="60" w:after="60"/>
        <w:ind w:hanging="130"/>
        <w:rPr>
          <w:noProof/>
        </w:rPr>
      </w:pPr>
      <w:r>
        <w:rPr>
          <w:noProof/>
        </w:rPr>
        <w:t>(b) care sunt constituite, gestionate, rezidente, controlate sau stabilite în orice altă jurisdicție decât cea de rezidență a unuia sau a mai multor beneficiari reali ai activelor deținute de aceste persoane, construcții juridice sau structuri; și</w:t>
      </w:r>
    </w:p>
    <w:p>
      <w:pPr>
        <w:pStyle w:val="Point0"/>
        <w:spacing w:before="60" w:after="60"/>
        <w:ind w:hanging="130"/>
        <w:rPr>
          <w:noProof/>
        </w:rPr>
      </w:pPr>
      <w:r>
        <w:rPr>
          <w:noProof/>
        </w:rPr>
        <w:t xml:space="preserve">(c) în cazul în care beneficiarii reali ai acestor persoane, construcții juridice sau structuri, astfel cum sunt definite în </w:t>
      </w:r>
      <w:r>
        <w:rPr>
          <w:rStyle w:val="CRMinorChangeDeleted"/>
          <w:noProof/>
        </w:rPr>
        <w:t>Directiva (UE)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Regulamentul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2015/849</w:t>
      </w:r>
      <w:r>
        <w:rPr>
          <w:noProof/>
        </w:rPr>
        <w:t>, sunt făcuți neidentificabili.</w:t>
      </w:r>
    </w:p>
    <w:p>
      <w:pPr>
        <w:pStyle w:val="ManualHeading3"/>
        <w:rPr>
          <w:noProof/>
        </w:rPr>
      </w:pPr>
      <w:bookmarkStart w:id="47" w:name="_Toc229742230"/>
      <w:bookmarkEnd w:id="46"/>
      <w:r>
        <w:rPr>
          <w:rStyle w:val="CRMinorChangeAdded"/>
          <w:noProof/>
        </w:rPr>
        <w:t>E</w:t>
      </w:r>
      <w:r>
        <w:rPr>
          <w:noProof/>
        </w:rPr>
        <w:t>.</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Semne distinctive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Semne distinctive specifice</w:t>
      </w:r>
      <w:r>
        <w:rPr>
          <w:noProof/>
        </w:rPr>
        <w:t xml:space="preserve"> referitoare la stabilirea prețurilor de transfer</w:t>
      </w:r>
      <w:bookmarkEnd w:id="47"/>
    </w:p>
    <w:p>
      <w:pPr>
        <w:rPr>
          <w:noProof/>
        </w:rPr>
      </w:pPr>
      <w:r>
        <w:rPr>
          <w:noProof/>
        </w:rPr>
        <w:t>1.</w:t>
      </w:r>
      <w:r>
        <w:rPr>
          <w:noProof/>
        </w:rPr>
        <w:tab/>
        <w:t>O modalitate care implică utilizarea unor norme unilaterale privind „sfera de siguranță”.</w:t>
      </w:r>
    </w:p>
    <w:p>
      <w:pPr>
        <w:spacing w:before="60"/>
        <w:rPr>
          <w:noProof/>
        </w:rPr>
      </w:pPr>
      <w:r>
        <w:rPr>
          <w:noProof/>
        </w:rPr>
        <w:t>2.</w:t>
      </w:r>
      <w:r>
        <w:rPr>
          <w:noProof/>
        </w:rPr>
        <w:tab/>
        <w:t>O modalitate care implică transferul de active necorporale dificil de evaluat. Termenul „active necorporale dificil de evaluat” desemnează activele necorporale sau drepturile privind acestea pentru care, în momentul transferului lor între întreprinderi asociate:</w:t>
      </w:r>
    </w:p>
    <w:p>
      <w:pPr>
        <w:pStyle w:val="Point0"/>
        <w:spacing w:before="60"/>
        <w:rPr>
          <w:noProof/>
        </w:rPr>
      </w:pPr>
      <w:r>
        <w:rPr>
          <w:noProof/>
        </w:rPr>
        <w:tab/>
        <w:t>(a)</w:t>
      </w:r>
      <w:r>
        <w:rPr>
          <w:noProof/>
        </w:rPr>
        <w:tab/>
        <w:t>nu există elemente comparabile fiabile; și</w:t>
      </w:r>
    </w:p>
    <w:p>
      <w:pPr>
        <w:pStyle w:val="Point0"/>
        <w:spacing w:before="60" w:after="60"/>
        <w:rPr>
          <w:noProof/>
        </w:rPr>
      </w:pPr>
      <w:r>
        <w:rPr>
          <w:noProof/>
        </w:rPr>
        <w:tab/>
        <w:t>(b)</w:t>
      </w:r>
      <w:r>
        <w:rPr>
          <w:noProof/>
        </w:rPr>
        <w:tab/>
        <w:t>la data la care a fost încheiată tranzacția, previziunile privind viitoarele fluxuri de numerar sau veniturile preconizate a fi obținute din activele necorporale transferate, sau ipotezele utilizate în evaluarea activului necorporal sunt foarte nesigure, astfel încât la momentul transferului este dificil să se prevadă nivelul final de succes al activului necorporal.</w:t>
      </w:r>
    </w:p>
    <w:p>
      <w:pPr>
        <w:spacing w:before="0" w:after="0"/>
        <w:rPr>
          <w:noProof/>
        </w:rPr>
      </w:pPr>
      <w:r>
        <w:rPr>
          <w:noProof/>
        </w:rPr>
        <w:t>3.</w:t>
      </w:r>
      <w:r>
        <w:rPr>
          <w:noProof/>
        </w:rPr>
        <w:tab/>
        <w:t>O modalitate care implică un transfer transfrontalier de funcții și/sau de riscuri și/sau de active în interiorul unui grup, în cazul în care câștigurile înainte de dobânzi și impozite (EBIT) anuale preconizate, pentru perioada de trei ani ulterioară transferului, de către entitatea/entitățile care efectuează transferul se situează sub 50 % din EBIT anuale preconizate de către această entitate/aceste entități care efectuează transferul dacă transferul nu ar fi avut loc.</w:t>
      </w:r>
    </w:p>
    <w:p>
      <w:pPr>
        <w:spacing w:before="0" w:after="0"/>
        <w:rPr>
          <w:noProof/>
          <w:sz w:val="16"/>
          <w:szCs w:val="14"/>
        </w:rPr>
      </w:pPr>
    </w:p>
    <w:p>
      <w:pPr>
        <w:spacing w:before="0" w:after="0"/>
        <w:rPr>
          <w:noProof/>
          <w:sz w:val="16"/>
          <w:szCs w:val="14"/>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Annexetitre"/>
        <w:rPr>
          <w:noProof/>
        </w:rPr>
      </w:pPr>
      <w:r>
        <w:rPr>
          <w:noProof/>
        </w:rPr>
        <w:t>ANEXA V</w:t>
      </w:r>
    </w:p>
    <w:p>
      <w:pPr>
        <w:pStyle w:val="NormalCentered"/>
        <w:rPr>
          <w:b/>
          <w:noProof/>
        </w:rPr>
      </w:pPr>
      <w:r>
        <w:rPr>
          <w:b/>
          <w:noProof/>
        </w:rPr>
        <w:t>PROCEDURA DE DILIGENȚĂ FISCALĂ, CERINȚE DE RAPORTARE ȘI ALTE NORME PENTRU OPERATORII DE PLATFORME</w:t>
      </w:r>
    </w:p>
    <w:p>
      <w:pPr>
        <w:rPr>
          <w:noProof/>
        </w:rPr>
      </w:pPr>
      <w:r>
        <w:rPr>
          <w:noProof/>
        </w:rPr>
        <w:t>Prezenta anexă stabilește procedura de diligență fiscală, cerințele de raportare și alte norme care trebuie să fie aplicate de către Operatorii de platforme care au obligația de raportare pentru a permite statelor membre să comunice, prin schimb automat, informațiile menționate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9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8ac</w:t>
      </w:r>
      <w:r>
        <w:rPr>
          <w:noProof/>
        </w:rPr>
        <w:t xml:space="preserve"> din prezenta directivă.</w:t>
      </w:r>
    </w:p>
    <w:p>
      <w:pPr>
        <w:rPr>
          <w:noProof/>
        </w:rPr>
      </w:pPr>
      <w:r>
        <w:rPr>
          <w:noProof/>
        </w:rPr>
        <w:t>Prezenta anexă stabilește, de asemenea, normele și procedurile administrative pe care statele membre trebuie să le instituie pentru a asigura atât punerea în aplicare efectivă, cât și respectarea procedurii de diligență fiscală și a cerințelor de raportare prevăzute în aceasta.</w:t>
      </w:r>
    </w:p>
    <w:p>
      <w:pPr>
        <w:pStyle w:val="ManualHeading1"/>
        <w:ind w:left="851" w:hanging="851"/>
        <w:rPr>
          <w:noProof/>
        </w:rPr>
      </w:pPr>
      <w:bookmarkStart w:id="48" w:name="_Toc229742231"/>
      <w:r>
        <w:rPr>
          <w:noProof/>
        </w:rPr>
        <w:t>SECȚIUNEA I</w:t>
      </w:r>
      <w:bookmarkEnd w:id="48"/>
    </w:p>
    <w:p>
      <w:pPr>
        <w:pStyle w:val="ManualHeading2"/>
        <w:ind w:left="851" w:hanging="851"/>
        <w:rPr>
          <w:noProof/>
        </w:rPr>
      </w:pPr>
      <w:bookmarkStart w:id="49" w:name="_Toc229742232"/>
      <w:r>
        <w:rPr>
          <w:i/>
          <w:noProof/>
        </w:rPr>
        <w:t>DEFINIȚIILE TERMENILOR</w:t>
      </w:r>
      <w:bookmarkEnd w:id="49"/>
    </w:p>
    <w:p>
      <w:pPr>
        <w:rPr>
          <w:noProof/>
        </w:rPr>
      </w:pPr>
      <w:r>
        <w:rPr>
          <w:noProof/>
        </w:rPr>
        <w:t>Următorii termeni au sensul definit în dispozițiile următoare:</w:t>
      </w:r>
    </w:p>
    <w:p>
      <w:pPr>
        <w:pStyle w:val="Point0"/>
        <w:rPr>
          <w:noProof/>
        </w:rPr>
      </w:pPr>
      <w:r>
        <w:rPr>
          <w:noProof/>
        </w:rPr>
        <w:tab/>
        <w:t>A.</w:t>
      </w:r>
      <w:r>
        <w:rPr>
          <w:noProof/>
        </w:rPr>
        <w:tab/>
        <w:t>Operatori de Platforme care au Obligația de Raportare</w:t>
      </w:r>
    </w:p>
    <w:p>
      <w:pPr>
        <w:pStyle w:val="Point1"/>
        <w:rPr>
          <w:noProof/>
        </w:rPr>
      </w:pPr>
      <w:r>
        <w:rPr>
          <w:noProof/>
        </w:rPr>
        <w:tab/>
        <w:t>1.</w:t>
      </w:r>
      <w:r>
        <w:rPr>
          <w:noProof/>
        </w:rPr>
        <w:tab/>
        <w:t xml:space="preserve">„Platformă” înseamnă orice software, inclusiv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unul sau mai multe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un</w:t>
      </w:r>
      <w:r>
        <w:rPr>
          <w:noProof/>
        </w:rPr>
        <w:t xml:space="preserve"> site</w:t>
      </w:r>
      <w:r>
        <w:rPr>
          <w:rStyle w:val="CRMinorChangeAdded"/>
          <w:noProof/>
        </w:rPr>
        <w:t>-uri</w:t>
      </w:r>
      <w:r>
        <w:rPr>
          <w:noProof/>
        </w:rPr>
        <w:t xml:space="preserve"> web sau </w:t>
      </w:r>
      <w:r>
        <w:rPr>
          <w:rStyle w:val="CRDeleted"/>
          <w:noProof/>
        </w:rPr>
        <w:t>o parte a unui site web</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părți ale acestora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și aplicații, inclusiv aplicații mobile, care sunt accesibile utilizatorilor și care permit Vânzătorilor să fie conectați cu alți utilizatori în scopul realizării unei Activități Relevante, în mod direct sau indirect, pentru acești utilizatori. Termenul include, de asemenea, orice aranjament pentru colectarea și plata unei Contraprestații pentru realizarea Activității Relevante.</w:t>
      </w:r>
    </w:p>
    <w:p>
      <w:pPr>
        <w:pStyle w:val="Point1"/>
        <w:rPr>
          <w:noProof/>
        </w:rPr>
      </w:pPr>
      <w:r>
        <w:rPr>
          <w:noProof/>
        </w:rPr>
        <w:tab/>
        <w:t>Termenul „Platformă” nu include software care, fără nicio intervenție suplimentară în cadrul realizării unei Activități relevante, permite exclusiv oricare dintre următoarele:</w:t>
      </w:r>
    </w:p>
    <w:p>
      <w:pPr>
        <w:pStyle w:val="Point2"/>
        <w:rPr>
          <w:noProof/>
        </w:rPr>
      </w:pPr>
      <w:r>
        <w:rPr>
          <w:noProof/>
        </w:rPr>
        <w:tab/>
        <w:t>(a)</w:t>
      </w:r>
      <w:r>
        <w:rPr>
          <w:noProof/>
        </w:rPr>
        <w:tab/>
        <w:t>procesarea plăților în legătură cu Activitatea Relevantă;</w:t>
      </w:r>
    </w:p>
    <w:p>
      <w:pPr>
        <w:pStyle w:val="Point2"/>
        <w:rPr>
          <w:noProof/>
        </w:rPr>
      </w:pPr>
      <w:r>
        <w:rPr>
          <w:noProof/>
        </w:rPr>
        <w:tab/>
        <w:t>(b)</w:t>
      </w:r>
      <w:r>
        <w:rPr>
          <w:noProof/>
        </w:rPr>
        <w:tab/>
        <w:t>listarea sau promovarea de către utilizatori a unei Activități Relevante;</w:t>
      </w:r>
    </w:p>
    <w:p>
      <w:pPr>
        <w:pStyle w:val="Point2"/>
        <w:rPr>
          <w:noProof/>
        </w:rPr>
      </w:pPr>
      <w:r>
        <w:rPr>
          <w:noProof/>
        </w:rPr>
        <w:tab/>
        <w:t>(c)</w:t>
      </w:r>
      <w:r>
        <w:rPr>
          <w:noProof/>
        </w:rPr>
        <w:tab/>
        <w:t>redirecționarea sau transferarea utilizatorilor către o Platformă.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highlight w:val="lightGray"/>
        </w:rPr>
      </w:pPr>
      <w:r>
        <w:rPr>
          <w:noProof/>
          <w:highlight w:val="lightGray"/>
        </w:rPr>
        <w:t>2.</w:t>
      </w:r>
      <w:r>
        <w:rPr>
          <w:noProof/>
        </w:rPr>
        <w:tab/>
      </w:r>
      <w:r>
        <w:rPr>
          <w:noProof/>
          <w:highlight w:val="lightGray"/>
        </w:rPr>
        <w:t xml:space="preserve">„Operator de Platformă” înseamnă: </w:t>
      </w:r>
    </w:p>
    <w:p>
      <w:pPr>
        <w:pStyle w:val="Point1letter"/>
        <w:numPr>
          <w:ilvl w:val="3"/>
          <w:numId w:val="18"/>
        </w:numPr>
        <w:rPr>
          <w:noProof/>
          <w:highlight w:val="lightGray"/>
        </w:rPr>
      </w:pPr>
      <w:r>
        <w:rPr>
          <w:noProof/>
          <w:highlight w:val="lightGray"/>
        </w:rPr>
        <w:t>o Entitate care exploatează software-ul Platformei sau o parte a acestuia și care încheie contracte cu Vânzătorii pentru a pune la dispoziția Vânzătorilor respectivi integral sau parțial o Platformă, prin:</w:t>
      </w:r>
    </w:p>
    <w:p>
      <w:pPr>
        <w:ind w:left="1440" w:firstLine="720"/>
        <w:rPr>
          <w:noProof/>
          <w:szCs w:val="24"/>
          <w:highlight w:val="lightGray"/>
        </w:rPr>
      </w:pPr>
      <w:r>
        <w:rPr>
          <w:noProof/>
          <w:highlight w:val="lightGray"/>
        </w:rPr>
        <w:t xml:space="preserve">(i) permiterea conectării acestor Vânzători la alți utilizatori în vederea furnizării de Activități Relevante, inclusiv prin asigurarea accesului direct al Vânzătorilor la Platformă sau prin listarea, oferirea sau punerea la dispoziție în alt mod a Activităților Relevante pe Platformă în numele Vânzătorilor; sau </w:t>
      </w:r>
    </w:p>
    <w:p>
      <w:pPr>
        <w:ind w:left="1440" w:firstLine="720"/>
        <w:rPr>
          <w:noProof/>
          <w:szCs w:val="24"/>
          <w:highlight w:val="lightGray"/>
        </w:rPr>
      </w:pPr>
      <w:r>
        <w:rPr>
          <w:noProof/>
          <w:highlight w:val="lightGray"/>
        </w:rPr>
        <w:t xml:space="preserve">(ii) colectarea Contraprestației de la utilizatori; </w:t>
      </w:r>
    </w:p>
    <w:p>
      <w:pPr>
        <w:ind w:left="1440"/>
        <w:rPr>
          <w:noProof/>
          <w:szCs w:val="24"/>
          <w:highlight w:val="lightGray"/>
        </w:rPr>
      </w:pPr>
      <w:r>
        <w:rPr>
          <w:noProof/>
          <w:highlight w:val="lightGray"/>
        </w:rPr>
        <w:lastRenderedPageBreak/>
        <w:t>(b) o Entitate care este înregistrată pe o Platformă ca Vânzător, sau cu o capacitate echivalentă din punct de vedere funcțional, și care, în temeiul unor acorduri contractuale cu unul sau mai mulți dintre Vânzătorii săi, pune Platforma la dispoziția Vânzătorilor respectivi.</w:t>
      </w:r>
    </w:p>
    <w:p>
      <w:pPr>
        <w:ind w:left="1417" w:firstLine="23"/>
        <w:rPr>
          <w:noProof/>
        </w:rPr>
      </w:pPr>
      <w:r>
        <w:rPr>
          <w:noProof/>
          <w:highlight w:val="lightGray"/>
        </w:rPr>
        <w:t>Termenul „Operator de Platformă” nu include o Entitate ale cărei activități se limitează la procesarea plăților, inclusiv gestionarea sau transferul de fonduri, și care nu are cunoștințe independente cu privire la acordurile contractuale subiacente, la Activitățile relevante sau la Contraprestație.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1"/>
        <w:rPr>
          <w:noProof/>
        </w:rPr>
      </w:pPr>
      <w:r>
        <w:rPr>
          <w:noProof/>
        </w:rPr>
        <w:t>3.</w:t>
      </w:r>
      <w:r>
        <w:rPr>
          <w:noProof/>
        </w:rPr>
        <w:tab/>
        <w:t>„Operator de Platformă Exclus” înseamnă un Operator de Platformă care:</w:t>
      </w:r>
    </w:p>
    <w:p>
      <w:pPr>
        <w:pStyle w:val="Point1"/>
        <w:ind w:firstLine="0"/>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ab/>
        <w:t>a demonstrat în prealabil și anual într-un mod convingător pentru autoritatea competentă a statului membru, căreia Operatorul de Platformă ar fi trebuit în mod normal să îi raporteze informații în conformitate cu normele prevăzute în secțiunea III punctul A subpunctele 1</w:t>
      </w:r>
      <w:r>
        <w:rPr>
          <w:rStyle w:val="CRDeleted"/>
          <w:noProof/>
        </w:rPr>
        <w: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2 și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3, că întregul model de afaceri al Platformei respective este de așa natură încât nu deține Vânzători Raportabili;</w:t>
      </w:r>
    </w:p>
    <w:p>
      <w:pPr>
        <w:pStyle w:val="Point1"/>
        <w:rPr>
          <w:noProo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(b)</w:t>
      </w:r>
      <w:r>
        <w:rPr>
          <w:noProof/>
          <w:highlight w:val="lightGray"/>
        </w:rPr>
        <w:tab/>
        <w:t xml:space="preserve">facilitează furnizarea de Activități relevante pentru care Contraprestația agregată la nivelul Platformei în anul calendaristic precedent este mai mică de 50 000 EUR și care notifică administrația fiscală a statului membru ales că optează să fie tratat ca atare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1"/>
        <w:rPr>
          <w:noProof/>
        </w:rPr>
      </w:pPr>
      <w:r>
        <w:rPr>
          <w:noProof/>
        </w:rPr>
        <w:tab/>
        <w:t>4.</w:t>
      </w:r>
      <w:r>
        <w:rPr>
          <w:noProof/>
        </w:rPr>
        <w:tab/>
        <w:t>„Operator de Platformă care are Obligația de Raportare” înseamnă orice Operator de Platformă, altul decât un Operator de Platformă Exclus, care se află în oricare dintre situațiile următoare:</w:t>
      </w:r>
    </w:p>
    <w:p>
      <w:pPr>
        <w:pStyle w:val="Point2"/>
        <w:rPr>
          <w:noProof/>
        </w:rPr>
      </w:pPr>
      <w:r>
        <w:rPr>
          <w:noProof/>
        </w:rPr>
        <w:tab/>
        <w:t>(a)</w:t>
      </w:r>
      <w:r>
        <w:rPr>
          <w:noProof/>
        </w:rPr>
        <w:tab/>
        <w:t>are rezidență fiscală într-un stat membru sau, atunci când respectivul Operator de Platformă nu are rezidență fiscală într-un stat membru, îndeplinește oricare dintre condițiile următoare:</w:t>
      </w:r>
    </w:p>
    <w:p>
      <w:pPr>
        <w:pStyle w:val="Point3"/>
        <w:rPr>
          <w:noProof/>
        </w:rPr>
      </w:pPr>
      <w:r>
        <w:rPr>
          <w:noProof/>
        </w:rPr>
        <w:tab/>
        <w:t>(i)</w:t>
      </w:r>
      <w:r>
        <w:rPr>
          <w:noProof/>
        </w:rPr>
        <w:tab/>
        <w:t>este constituit în temeiul legislației unui stat membru;</w:t>
      </w:r>
    </w:p>
    <w:p>
      <w:pPr>
        <w:pStyle w:val="Point3"/>
        <w:rPr>
          <w:noProof/>
        </w:rPr>
      </w:pPr>
      <w:r>
        <w:rPr>
          <w:noProof/>
        </w:rPr>
        <w:tab/>
        <w:t>(ii)</w:t>
      </w:r>
      <w:r>
        <w:rPr>
          <w:noProof/>
        </w:rPr>
        <w:tab/>
        <w:t>are sediul conducerii (inclusiv sediul conducerii efective) într-un stat membru;</w:t>
      </w:r>
    </w:p>
    <w:p>
      <w:pPr>
        <w:pStyle w:val="Point3"/>
        <w:rPr>
          <w:noProof/>
        </w:rPr>
      </w:pPr>
      <w:r>
        <w:rPr>
          <w:noProof/>
        </w:rPr>
        <w:tab/>
        <w:t>(iii)</w:t>
      </w:r>
      <w:r>
        <w:rPr>
          <w:noProof/>
        </w:rPr>
        <w:tab/>
        <w:t>are un sediu permanent într-un stat membru și nu este un Operator de Platformă Calificat din afara Uniunii;</w:t>
      </w:r>
    </w:p>
    <w:p>
      <w:pPr>
        <w:pStyle w:val="Point2"/>
        <w:rPr>
          <w:noProof/>
        </w:rPr>
      </w:pPr>
      <w:r>
        <w:rPr>
          <w:noProof/>
        </w:rPr>
        <w:tab/>
        <w:t>(b)</w:t>
      </w:r>
      <w:r>
        <w:rPr>
          <w:noProof/>
        </w:rPr>
        <w:tab/>
        <w:t>nu are rezidență fiscală, nu este constituit sau administrat într-un stat membru și nici nu are sediu permanent într-un stat membru, dar facilitează realizarea unei Activități Relevante de către Vânzători Raportabili sau a unei Activități Relevante care implică închirierea unui bun imobil situat într-un stat membru și nu este un Operator de Platformă Calificat din afara Uniunii.</w:t>
      </w:r>
    </w:p>
    <w:p>
      <w:pPr>
        <w:pStyle w:val="Point1"/>
        <w:rPr>
          <w:noProof/>
        </w:rPr>
      </w:pPr>
      <w:r>
        <w:rPr>
          <w:noProof/>
        </w:rPr>
        <w:tab/>
        <w:t>5.</w:t>
      </w:r>
      <w:r>
        <w:rPr>
          <w:noProof/>
        </w:rPr>
        <w:tab/>
        <w:t>„Operator de Platformă Calificat din afara Uniunii” înseamnă un Operator de Platformă în cazul căruia toate Activitățile Relevante pe care le facilitează sunt și Activități Relevante Calificate și care are rezidență fiscală într-o Jurisdicție Calificată din afara Uniunii sau, atunci când respectivul Operator de Platformă nu are rezidență fiscală într-o Jurisdicție Calificată din afara Uniunii, îndeplinește oricare dintre condițiile următoare:</w:t>
      </w:r>
    </w:p>
    <w:p>
      <w:pPr>
        <w:pStyle w:val="Point2"/>
        <w:rPr>
          <w:noProof/>
        </w:rPr>
      </w:pPr>
      <w:r>
        <w:rPr>
          <w:noProof/>
        </w:rPr>
        <w:lastRenderedPageBreak/>
        <w:tab/>
        <w:t>(a)</w:t>
      </w:r>
      <w:r>
        <w:rPr>
          <w:noProof/>
        </w:rPr>
        <w:tab/>
        <w:t>este constituit în temeiul legislației unei Jurisdicții Calificate din afara Uniunii; sau</w:t>
      </w:r>
    </w:p>
    <w:p>
      <w:pPr>
        <w:pStyle w:val="Point2"/>
        <w:rPr>
          <w:noProof/>
        </w:rPr>
      </w:pPr>
      <w:r>
        <w:rPr>
          <w:noProof/>
        </w:rPr>
        <w:tab/>
        <w:t>(b)</w:t>
      </w:r>
      <w:r>
        <w:rPr>
          <w:noProof/>
        </w:rPr>
        <w:tab/>
        <w:t>are sediul conducerii (inclusiv sediul conducerii efective) într-o Jurisdicție Calificată din afara Uniunii.</w:t>
      </w:r>
    </w:p>
    <w:p>
      <w:pPr>
        <w:pStyle w:val="Point1"/>
        <w:rPr>
          <w:noProof/>
        </w:rPr>
      </w:pPr>
      <w:r>
        <w:rPr>
          <w:noProof/>
        </w:rPr>
        <w:tab/>
        <w:t>6.</w:t>
      </w:r>
      <w:r>
        <w:rPr>
          <w:noProof/>
        </w:rPr>
        <w:tab/>
        <w:t>„Jurisdicție Calificată din afara Uniunii” înseamnă o jurisdicție din afara Uniunii care a încheiat un Acord Efectiv privind Stabilirea Autorității Competente cu autoritățile competente din toate statele membre care sunt identificate drept jurisdicții raportabile pe o listă publicată de jurisdicția din afara Uniunii.</w:t>
      </w:r>
    </w:p>
    <w:p>
      <w:pPr>
        <w:pStyle w:val="Point1"/>
        <w:rPr>
          <w:noProof/>
        </w:rPr>
      </w:pPr>
      <w:r>
        <w:rPr>
          <w:noProof/>
        </w:rPr>
        <w:tab/>
        <w:t>7.</w:t>
      </w:r>
      <w:r>
        <w:rPr>
          <w:noProof/>
        </w:rPr>
        <w:tab/>
        <w:t xml:space="preserve">„Acord Efectiv privind Stabilirea Autorității Competente” înseamnă un acord între autoritățile competente ale unui stat membru și o jurisdicție din afara Uniunii care impune schimbul automat de informații echivalente cu cele specificate la secțiunea III punctul B </w:t>
      </w:r>
      <w:r>
        <w:rPr>
          <w:rStyle w:val="CRDeleted"/>
          <w:noProof/>
        </w:rPr>
        <w:t>din prezenta anexă</w:t>
      </w:r>
      <w:r>
        <w:rPr>
          <w:noProof/>
        </w:rPr>
        <w:t xml:space="preserve">, astfel cum este confirmat printr-un act de punere în aplicare în conformitate cu articolul </w:t>
      </w:r>
      <w:r>
        <w:rPr>
          <w:rStyle w:val="CRMinorChangeAdded"/>
          <w:noProof/>
        </w:rPr>
        <w:t>11</w:t>
      </w:r>
      <w:r>
        <w:rPr>
          <w:rStyle w:val="CRMinorChangeDeleted"/>
          <w:noProof/>
        </w:rPr>
        <w:t>8ac alineatul (7)</w:t>
      </w:r>
      <w:r>
        <w:rPr>
          <w:noProof/>
        </w:rPr>
        <w:t>.</w:t>
      </w:r>
    </w:p>
    <w:p>
      <w:pPr>
        <w:pStyle w:val="Point1"/>
        <w:rPr>
          <w:noProof/>
        </w:rPr>
      </w:pPr>
      <w:r>
        <w:rPr>
          <w:noProof/>
        </w:rPr>
        <w:tab/>
        <w:t>8.</w:t>
      </w:r>
      <w:r>
        <w:rPr>
          <w:noProof/>
        </w:rPr>
        <w:tab/>
        <w:t>„Activitate Relevantă” înseamnă o activitate realizată în schimbul unei Contraprestații și constă în oricare dintre următoarele:</w:t>
      </w:r>
    </w:p>
    <w:p>
      <w:pPr>
        <w:pStyle w:val="Point2"/>
        <w:rPr>
          <w:noProof/>
        </w:rPr>
      </w:pPr>
      <w:r>
        <w:rPr>
          <w:noProof/>
        </w:rPr>
        <w:tab/>
        <w:t>(a)</w:t>
      </w:r>
      <w:r>
        <w:rPr>
          <w:noProof/>
        </w:rPr>
        <w:tab/>
        <w:t>închirierea de bunuri imobile, inclusiv rezidențiale și comerciale, precum și de orice alte bunuri imobile și spații de parcare;</w:t>
      </w:r>
    </w:p>
    <w:p>
      <w:pPr>
        <w:pStyle w:val="Point2"/>
        <w:rPr>
          <w:noProof/>
        </w:rPr>
      </w:pPr>
      <w:r>
        <w:rPr>
          <w:noProof/>
        </w:rPr>
        <w:tab/>
        <w:t>(b)</w:t>
      </w:r>
      <w:r>
        <w:rPr>
          <w:noProof/>
        </w:rPr>
        <w:tab/>
        <w:t>un Serviciu Personal;</w:t>
      </w:r>
    </w:p>
    <w:p>
      <w:pPr>
        <w:pStyle w:val="Point2"/>
        <w:rPr>
          <w:noProof/>
        </w:rPr>
      </w:pPr>
      <w:r>
        <w:rPr>
          <w:noProof/>
        </w:rPr>
        <w:tab/>
        <w:t>(c)</w:t>
      </w:r>
      <w:r>
        <w:rPr>
          <w:noProof/>
        </w:rPr>
        <w:tab/>
        <w:t>vânzarea de Bunuri;</w:t>
      </w:r>
    </w:p>
    <w:p>
      <w:pPr>
        <w:pStyle w:val="Point2"/>
        <w:rPr>
          <w:noProof/>
        </w:rPr>
      </w:pPr>
      <w:r>
        <w:rPr>
          <w:noProof/>
        </w:rPr>
        <w:tab/>
        <w:t>(d)</w:t>
      </w:r>
      <w:r>
        <w:rPr>
          <w:noProof/>
        </w:rPr>
        <w:tab/>
        <w:t>închirierea oricărui mijloc de transport.</w:t>
      </w:r>
    </w:p>
    <w:p>
      <w:pPr>
        <w:pStyle w:val="Point1"/>
        <w:rPr>
          <w:noProof/>
        </w:rPr>
      </w:pPr>
      <w:r>
        <w:rPr>
          <w:noProof/>
        </w:rPr>
        <w:tab/>
        <w:t>Termenul „Activitate Relevantă” nu include o activitate realizată de un Vânzător care acționează în calitate de angajat al Operatorului de Platformă sau de o Entitate afiliată Operatorului de Platformă.</w:t>
      </w:r>
    </w:p>
    <w:p>
      <w:pPr>
        <w:pStyle w:val="Point1"/>
        <w:rPr>
          <w:noProof/>
        </w:rPr>
      </w:pPr>
      <w:r>
        <w:rPr>
          <w:noProof/>
        </w:rPr>
        <w:tab/>
        <w:t>9.</w:t>
      </w:r>
      <w:r>
        <w:rPr>
          <w:noProof/>
        </w:rPr>
        <w:tab/>
        <w:t>„Activități Relevante Calificate” înseamnă orice Activitate Relevantă care face obiectul schimbului automat în temeiul unui Acord Efectiv privind Stabilirea Autorității Competente.</w:t>
      </w:r>
    </w:p>
    <w:p>
      <w:pPr>
        <w:pStyle w:val="Point1"/>
        <w:rPr>
          <w:noProof/>
        </w:rPr>
      </w:pPr>
      <w:r>
        <w:rPr>
          <w:noProof/>
        </w:rPr>
        <w:tab/>
        <w:t>10.</w:t>
      </w:r>
      <w:r>
        <w:rPr>
          <w:noProof/>
        </w:rPr>
        <w:tab/>
        <w:t>„Contraprestație” înseamnă orice formă de compensație, după scăderea tuturor onorariilor, comisioanelor sau taxelor reținute sau percepute de Operatorul de Platformă care are Obligația de Raportare, care este plătită sau creditată în contul unui Vânzător în legătură cu Activitatea Relevantă și a cărei valoare este cunoscută sau ar putea fi, în mod rezonabil, cunoscută de Operatorul de Platformă.</w:t>
      </w:r>
    </w:p>
    <w:p>
      <w:pPr>
        <w:pStyle w:val="Point1"/>
        <w:rPr>
          <w:noProof/>
        </w:rPr>
      </w:pPr>
      <w:r>
        <w:rPr>
          <w:noProof/>
        </w:rPr>
        <w:tab/>
        <w:t>11.</w:t>
      </w:r>
      <w:r>
        <w:rPr>
          <w:noProof/>
        </w:rPr>
        <w:tab/>
        <w:t>„Serviciu Personal” înseamnă un serviciu care implică o muncă pe bază de intervale de timp sau sarcini, prestată de una sau mai multe persoane care acționează fie independent, fie în numele unei Entități, și realizată la cererea unui utilizator, fie online, fie în mod fizic, offline, după ce a fost facilitată prin intermediul unei Platforme.</w:t>
      </w:r>
    </w:p>
    <w:p>
      <w:pPr>
        <w:pStyle w:val="Point0"/>
        <w:rPr>
          <w:noProof/>
        </w:rPr>
      </w:pPr>
      <w:r>
        <w:rPr>
          <w:noProof/>
        </w:rPr>
        <w:tab/>
        <w:t>B.</w:t>
      </w:r>
      <w:r>
        <w:rPr>
          <w:noProof/>
        </w:rPr>
        <w:tab/>
        <w:t>Vânzători Raportabili</w:t>
      </w:r>
    </w:p>
    <w:p>
      <w:pPr>
        <w:pStyle w:val="Point1"/>
        <w:rPr>
          <w:noProof/>
        </w:rPr>
      </w:pPr>
      <w:r>
        <w:rPr>
          <w:noProof/>
        </w:rPr>
        <w:tab/>
        <w:t>1.</w:t>
      </w:r>
      <w:r>
        <w:rPr>
          <w:noProof/>
        </w:rPr>
        <w:tab/>
        <w:t>„Vânzător” înseamnă un utilizator al unei Platforme, care poate fi o persoană fizică sau o Entitate, și care este înregistrat pe Platformă în orice moment din Perioada de Raportare și realizează o Activitate Relevantă.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ListParagraph"/>
        <w:ind w:firstLine="23"/>
        <w:rPr>
          <w:noProof/>
          <w:szCs w:val="24"/>
          <w:highlight w:val="lightGray"/>
        </w:rPr>
      </w:pPr>
      <w:r>
        <w:rPr>
          <w:noProof/>
          <w:highlight w:val="lightGray"/>
        </w:rPr>
        <w:t>În sensul primului paragraf, termenul „înregistrat” se interpretează în sens larg și include cazurile în care un utilizator a creat un profil sau un cont pe Platformă și a intrat într-o relație contractuală cu Operatorul de Platformă al Platformei.</w:t>
      </w:r>
    </w:p>
    <w:p>
      <w:pPr>
        <w:pStyle w:val="ListParagraph"/>
        <w:rPr>
          <w:noProof/>
        </w:rPr>
      </w:pPr>
      <w:r>
        <w:rPr>
          <w:noProof/>
          <w:highlight w:val="lightGray"/>
        </w:rPr>
        <w:t>Termenul „Vânzător” înseamnă, de asemenea, o entitate care se califică drept un Operator de Platformă înregistrat pe o Platformă ca Vânzător, sau într-o capacitate echivalentă din punct de vedere funcțional, și care, în temeiul acordurilor contractuale cu unul sau mai mulți dintre Vânzătorii săi, pune la dispoziția acestor Vânzători întreaga Platformă sau o parte a acesteia.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1"/>
        <w:rPr>
          <w:noProof/>
        </w:rPr>
      </w:pPr>
      <w:r>
        <w:rPr>
          <w:noProof/>
        </w:rPr>
        <w:tab/>
        <w:t>2.</w:t>
      </w:r>
      <w:r>
        <w:rPr>
          <w:noProof/>
        </w:rPr>
        <w:tab/>
        <w:t>„Vânzător Activ” înseamnă orice Vânzător care prestează o Activitate Relevantă în timpul Perioadei de Raportare sau căruia i se plătește sau i se creditează o Contraprestație în legătură cu o Activitate Relevantă în timpul Perioadei de Raportare.</w:t>
      </w:r>
    </w:p>
    <w:p>
      <w:pPr>
        <w:pStyle w:val="Point1"/>
        <w:rPr>
          <w:noProof/>
        </w:rPr>
      </w:pPr>
      <w:r>
        <w:rPr>
          <w:noProof/>
        </w:rPr>
        <w:tab/>
        <w:t>3.</w:t>
      </w:r>
      <w:r>
        <w:rPr>
          <w:noProof/>
        </w:rPr>
        <w:tab/>
        <w:t>„Vânzător Raportabil” înseamnă orice Vânzător Activ, cu excepția Vânzătorilor Excluși, care este rezident într-un stat membru sau care a oferit spre închiriere un bun imobil situat într-un stat membru.</w:t>
      </w:r>
    </w:p>
    <w:p>
      <w:pPr>
        <w:pStyle w:val="Point1"/>
        <w:rPr>
          <w:noProof/>
        </w:rPr>
      </w:pPr>
      <w:r>
        <w:rPr>
          <w:noProof/>
        </w:rPr>
        <w:tab/>
        <w:t>4.</w:t>
      </w:r>
      <w:r>
        <w:rPr>
          <w:noProof/>
        </w:rPr>
        <w:tab/>
        <w:t>„Vânzător Exclus” înseamnă orice Vânzător:</w:t>
      </w:r>
    </w:p>
    <w:p>
      <w:pPr>
        <w:pStyle w:val="Point2"/>
        <w:rPr>
          <w:noProof/>
        </w:rPr>
      </w:pPr>
      <w:r>
        <w:rPr>
          <w:noProof/>
        </w:rPr>
        <w:tab/>
        <w:t>(a)</w:t>
      </w:r>
      <w:r>
        <w:rPr>
          <w:noProof/>
        </w:rPr>
        <w:tab/>
        <w:t>care este o Entitate Guvernamentală;</w:t>
      </w:r>
    </w:p>
    <w:p>
      <w:pPr>
        <w:pStyle w:val="Point2"/>
        <w:rPr>
          <w:noProof/>
        </w:rPr>
      </w:pPr>
      <w:r>
        <w:rPr>
          <w:noProof/>
        </w:rPr>
        <w:tab/>
        <w:t>(b)</w:t>
      </w:r>
      <w:r>
        <w:rPr>
          <w:noProof/>
        </w:rPr>
        <w:tab/>
        <w:t>care este o Entitate ale cărei acțiuni sunt tranzacționate în mod regulat pe o piață a titlurilor de valoare reglementată sau o Entitate afiliată unei Entități ale cărei acțiuni sunt tranzacționate în mod regulat pe o piață a titlurilor de valoare reglementată;</w:t>
      </w:r>
    </w:p>
    <w:p>
      <w:pPr>
        <w:pStyle w:val="Point2"/>
        <w:rPr>
          <w:noProof/>
        </w:rPr>
      </w:pPr>
      <w:r>
        <w:rPr>
          <w:noProof/>
        </w:rPr>
        <w:tab/>
        <w:t>(c)</w:t>
      </w:r>
      <w:r>
        <w:rPr>
          <w:noProof/>
        </w:rPr>
        <w:tab/>
        <w:t xml:space="preserve">care este o Entitate pentru care Operatorul de Platformă a facilitat peste 2 000 de Activități Relevante prin închirierea de bunuri imobile în legătură cu un Bun Imobil Listat în cursul Perioadei de Raportare; </w:t>
      </w:r>
      <w:r>
        <w:rPr>
          <w:rStyle w:val="CRMinorChangeDeleted"/>
          <w:noProof/>
        </w:rPr>
        <w:t>sau</w:t>
      </w:r>
    </w:p>
    <w:p>
      <w:pPr>
        <w:pStyle w:val="Point2"/>
        <w:rPr>
          <w:noProof/>
        </w:rPr>
      </w:pPr>
      <w:r>
        <w:rPr>
          <w:noProof/>
        </w:rPr>
        <w:tab/>
        <w:t>(d)</w:t>
      </w:r>
      <w:r>
        <w:rPr>
          <w:noProof/>
        </w:rPr>
        <w:tab/>
        <w:t xml:space="preserve">pentru care Operatorul de Platformă a facilitat </w:t>
      </w:r>
      <w:r>
        <w:rPr>
          <w:rStyle w:val="CRRefonteDeleted"/>
          <w:noProof/>
          <w:highlight w:val="lightGray"/>
        </w:rPr>
        <w:t>mai puțin de 30 de Activități Relevante prin</w:t>
      </w:r>
      <w:r>
        <w:rPr>
          <w:noProof/>
        </w:rPr>
        <w:t xml:space="preserve"> vânzarea de Bunuri </w:t>
      </w:r>
      <w:r>
        <w:rPr>
          <w:rStyle w:val="CRMinorChangeDeleted"/>
          <w:noProof/>
        </w:rPr>
        <w:t>și</w:t>
      </w:r>
      <w:r>
        <w:rPr>
          <w:noProof/>
        </w:rPr>
        <w:t xml:space="preserve"> pentru care valoarea totală a Contraprestației plătite sau creditate nu a depășit </w:t>
      </w:r>
      <w:r>
        <w:rPr>
          <w:rStyle w:val="CRRefonteDeleted"/>
          <w:noProof/>
          <w:highlight w:val="lightGray"/>
        </w:rPr>
        <w:t>2 000</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3 000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EUR în cursul Perioadei de Raportare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sau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Point2"/>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w:t>
      </w:r>
      <w:r>
        <w:rPr>
          <w:noProof/>
          <w:highlight w:val="lightGray"/>
        </w:rPr>
        <w:tab/>
        <w:t xml:space="preserve">care este o Entitate afiliată Operatorului de Platformă care are Obligația de Raportare.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noProof/>
        </w:rPr>
      </w:pPr>
      <w:r>
        <w:rPr>
          <w:noProof/>
        </w:rPr>
        <w:tab/>
        <w:t>C.</w:t>
      </w:r>
      <w:r>
        <w:rPr>
          <w:noProof/>
        </w:rPr>
        <w:tab/>
        <w:t>Alte definiții</w:t>
      </w:r>
    </w:p>
    <w:p>
      <w:pPr>
        <w:pStyle w:val="Point1"/>
        <w:rPr>
          <w:noProof/>
        </w:rPr>
      </w:pPr>
      <w:r>
        <w:rPr>
          <w:noProof/>
        </w:rPr>
        <w:tab/>
        <w:t>1.</w:t>
      </w:r>
      <w:r>
        <w:rPr>
          <w:noProof/>
        </w:rPr>
        <w:tab/>
        <w:t xml:space="preserve">„Entitate” înseamnă o persoană juridică sau o construcție juridică, de exemplu o companie, un parteneriat, o fiducie sau o fundație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o întreprindere profesională unipersonală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O Entitate este o Entitate afiliată a unei alte Entități dacă oricare dintre cele două Entități deține controlul asupra celeilalte sau cele două Entități se află sub control comun. În acest sens, noțiunea de control include deținerea directă sau indirectă a peste 50 % din voturi și din valoarea unei Entități. În cazul participației indirecte, îndeplinirea cerinței privind deținerea a peste 50 % din dreptul de proprietate asupra </w:t>
      </w:r>
      <w:r>
        <w:rPr>
          <w:noProof/>
        </w:rPr>
        <w:lastRenderedPageBreak/>
        <w:t>capitalului celeilalte Entități se stabilește prin înmulțirea ratelor de participație pe nivelurile succesive. Se consideră că o persoană care deține mai mult de 50 % din drepturile de vot deține 100 % din drepturile de vot.</w:t>
      </w:r>
    </w:p>
    <w:p>
      <w:pPr>
        <w:pStyle w:val="Point1"/>
        <w:rPr>
          <w:noProof/>
        </w:rPr>
      </w:pPr>
      <w:r>
        <w:rPr>
          <w:noProof/>
        </w:rPr>
        <w:tab/>
        <w:t>2.</w:t>
      </w:r>
      <w:r>
        <w:rPr>
          <w:noProof/>
        </w:rPr>
        <w:tab/>
        <w:t>„Entitate Guvernamentală” înseamnă guvernul unui stat membru sau al unei alte jurisdicții, orice subdiviziune politică a unui stat membru sau a unei alte jurisdicții (care include un stat, o provincie, un județ sau o localitate) sau orice organism sau agenție deținut(ă) integral de un stat membru sau de o altă jurisdicție ori de una sau mai multe dintre subdiviziunile sus-menționate (fiecare reprezentând o „Entitate Guvernamentală”).</w:t>
      </w:r>
    </w:p>
    <w:p>
      <w:pPr>
        <w:pStyle w:val="Point1"/>
        <w:rPr>
          <w:noProof/>
        </w:rPr>
      </w:pPr>
      <w:r>
        <w:rPr>
          <w:noProof/>
        </w:rPr>
        <w:tab/>
        <w:t>3.</w:t>
      </w:r>
      <w:r>
        <w:rPr>
          <w:noProof/>
        </w:rPr>
        <w:tab/>
        <w:t>„NIF” înseamnă Număr de Identificare Fiscală, emis de un stat membru, sau echivalentul său funcțional dacă nu există un Număr de Identificare Fiscală.</w:t>
      </w:r>
    </w:p>
    <w:p>
      <w:pPr>
        <w:pStyle w:val="Point1"/>
        <w:rPr>
          <w:noProof/>
        </w:rPr>
      </w:pPr>
      <w:r>
        <w:rPr>
          <w:noProof/>
        </w:rPr>
        <w:tab/>
        <w:t>4.</w:t>
      </w:r>
      <w:r>
        <w:rPr>
          <w:noProof/>
        </w:rPr>
        <w:tab/>
        <w:t>„Număr TVA” înseamnă numărul unic care identifică o persoană impozabilă sau o entitate juridică neimpozabilă care este înregistrată în scopuri de TVA.</w:t>
      </w:r>
    </w:p>
    <w:p>
      <w:pPr>
        <w:pStyle w:val="Point1"/>
        <w:rPr>
          <w:noProof/>
        </w:rPr>
      </w:pPr>
      <w:r>
        <w:rPr>
          <w:noProof/>
        </w:rPr>
        <w:tab/>
        <w:t>5.</w:t>
      </w:r>
      <w:r>
        <w:rPr>
          <w:noProof/>
        </w:rPr>
        <w:tab/>
        <w:t>„Adresă Principală” înseamnă adresa la care se află reședința principală a Vânzătorului care este o persoană fizică, respectiv adresa la care se află sediul social al Vânzătorului care este o Entitate.</w:t>
      </w:r>
    </w:p>
    <w:p>
      <w:pPr>
        <w:pStyle w:val="Point1"/>
        <w:rPr>
          <w:noProof/>
        </w:rPr>
      </w:pPr>
      <w:r>
        <w:rPr>
          <w:noProof/>
        </w:rPr>
        <w:tab/>
        <w:t>6.</w:t>
      </w:r>
      <w:r>
        <w:rPr>
          <w:noProof/>
        </w:rPr>
        <w:tab/>
        <w:t>„Perioadă de raportare” înseamnă anul calendaristic pentru care se face raportarea în temeiul secțiunii III.</w:t>
      </w:r>
    </w:p>
    <w:p>
      <w:pPr>
        <w:pStyle w:val="Point1"/>
        <w:rPr>
          <w:noProof/>
        </w:rPr>
      </w:pPr>
      <w:r>
        <w:rPr>
          <w:noProof/>
        </w:rPr>
        <w:tab/>
        <w:t>7.</w:t>
      </w:r>
      <w:r>
        <w:rPr>
          <w:noProof/>
        </w:rPr>
        <w:tab/>
        <w:t>„Bun Imobil Listat” înseamnă toate unitățile bunului imobil situate la aceeași adresă fizică, deținute de același proprietar și oferite spre închiriere pe o Platformă de către același Vânzător.</w:t>
      </w:r>
    </w:p>
    <w:p>
      <w:pPr>
        <w:pStyle w:val="Point1"/>
        <w:rPr>
          <w:noProof/>
        </w:rPr>
      </w:pPr>
      <w:r>
        <w:rPr>
          <w:noProof/>
        </w:rPr>
        <w:tab/>
        <w:t>8.</w:t>
      </w:r>
      <w:r>
        <w:rPr>
          <w:noProof/>
        </w:rPr>
        <w:tab/>
        <w:t>„Număr de Identificare a Contului Financiar” înseamnă numărul sau referința unic(ă) de identificare a contului bancar, sau a unui alt cont de servicii de plată similar în care este plătită sau creditată Contraprestația, de care dispune Operatorul de Platformă.</w:t>
      </w:r>
    </w:p>
    <w:p>
      <w:pPr>
        <w:pStyle w:val="Point1"/>
        <w:rPr>
          <w:noProof/>
        </w:rPr>
      </w:pPr>
      <w:r>
        <w:rPr>
          <w:noProof/>
        </w:rPr>
        <w:tab/>
        <w:t>9.</w:t>
      </w:r>
      <w:r>
        <w:rPr>
          <w:noProof/>
        </w:rPr>
        <w:tab/>
        <w:t>„Bunuri” înseamnă orice bun corporal.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18 și anexa II punctul 1</w:t>
      </w:r>
    </w:p>
    <w:p>
      <w:pPr>
        <w:pStyle w:val="Point1"/>
        <w:rPr>
          <w:noProof/>
        </w:rPr>
      </w:pPr>
      <w:r>
        <w:rPr>
          <w:noProof/>
        </w:rPr>
        <w:tab/>
        <w:t>10.</w:t>
      </w:r>
      <w:r>
        <w:rPr>
          <w:noProof/>
        </w:rPr>
        <w:tab/>
        <w:t>„Serviciu de Identificare” înseamnă un proces electronic pus gratuit de către un stat membru sau de către Uniune la dispoziția unui Operator de Platformă care are Obligația de Raportare, în scopul stabilirii identității și a rezidenței fiscale a unui Vânzător.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2021/514 articolul 1 punctul 20 și anexa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Heading1"/>
        <w:ind w:left="851" w:hanging="851"/>
        <w:rPr>
          <w:noProof/>
        </w:rPr>
      </w:pPr>
      <w:bookmarkStart w:id="50" w:name="_Toc229742233"/>
      <w:r>
        <w:rPr>
          <w:noProof/>
        </w:rPr>
        <w:t>SECȚIUNEA II</w:t>
      </w:r>
      <w:bookmarkEnd w:id="50"/>
    </w:p>
    <w:p>
      <w:pPr>
        <w:pStyle w:val="ManualHeading2"/>
        <w:ind w:left="851" w:hanging="851"/>
        <w:rPr>
          <w:noProof/>
        </w:rPr>
      </w:pPr>
      <w:bookmarkStart w:id="51" w:name="_Toc229742234"/>
      <w:r>
        <w:rPr>
          <w:i/>
          <w:noProof/>
        </w:rPr>
        <w:t>PROCEDURA DE DILIGENȚĂ FISCALĂ</w:t>
      </w:r>
      <w:bookmarkEnd w:id="51"/>
    </w:p>
    <w:p>
      <w:pPr>
        <w:rPr>
          <w:noProof/>
        </w:rPr>
      </w:pPr>
      <w:r>
        <w:rPr>
          <w:noProof/>
        </w:rPr>
        <w:t>În scopul identificării Vânzătorilor Raportabili se aplică procedura descrisă în continuare.</w:t>
      </w:r>
    </w:p>
    <w:p>
      <w:pPr>
        <w:pStyle w:val="Point0"/>
        <w:rPr>
          <w:noProof/>
        </w:rPr>
      </w:pPr>
      <w:r>
        <w:rPr>
          <w:noProof/>
        </w:rPr>
        <w:tab/>
        <w:t>A.</w:t>
      </w:r>
      <w:r>
        <w:rPr>
          <w:noProof/>
        </w:rPr>
        <w:tab/>
        <w:t xml:space="preserve">Vânzători care nu fac obiectul examinării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Vânzători care sunt Operatori de Platforme care au Obligația de Raportare: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Point0"/>
        <w:rPr>
          <w:noProof/>
        </w:rPr>
      </w:pPr>
      <w:r>
        <w:rPr>
          <w:noProof/>
        </w:rPr>
        <w:lastRenderedPageBreak/>
        <w:tab/>
        <w:t>Pentru a determina dacă un Vânzător care este o Entitate se califică drept Vânzător Exclus în sensul descris la secțiunea I punctul B subpunctul 4 literele (a) și (b), un Operator de Platformă care are Obligația de Raportare poate utiliza informațiile disponibile în mod public sau o confirmare din partea Vânzătorului care este o Entitate.</w:t>
      </w:r>
    </w:p>
    <w:p>
      <w:pPr>
        <w:pStyle w:val="Point0"/>
        <w:rPr>
          <w:noProof/>
        </w:rPr>
      </w:pPr>
      <w:r>
        <w:rPr>
          <w:noProof/>
        </w:rPr>
        <w:tab/>
        <w:t>Pentru a determina dacă un Vânzător se califică drept Vânzător Exclus în sensul descris la secțiunea I punctul B subpunctul 4 literele (c) și (d), un Operator de Platformă care are Obligația de Raportare poate utiliza evidențele aflate la dispoziția sa.</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ind w:left="720"/>
        <w:rPr>
          <w:noProof/>
        </w:rPr>
      </w:pPr>
      <w:r>
        <w:rPr>
          <w:noProof/>
          <w:highlight w:val="lightGray"/>
        </w:rPr>
        <w:t>Pentru a determina dacă un Vânzător Entitate este un Operator de Platformă care are Obligația de Raportare sau un operator de platformă care are obligația de raportare dintr-un alt stat membru sau dintr-o jurisdicție din afara Uniunii care nu este o Jurisdicție Calificată din afara Uniunii, astfel cum este definită în secțiunea I subsecțiunea A punctul 6, un Operator de Platformă care are Obligația de Raportare obține o confirmare scrisă din partea Vânzătorului Entitate.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2021/514 articolul 1 punctul 20 și anexa </w:t>
      </w:r>
    </w:p>
    <w:p>
      <w:pPr>
        <w:pStyle w:val="Point0"/>
        <w:rPr>
          <w:noProof/>
        </w:rPr>
      </w:pPr>
      <w:r>
        <w:rPr>
          <w:noProof/>
        </w:rPr>
        <w:tab/>
        <w:t>B.</w:t>
      </w:r>
      <w:r>
        <w:rPr>
          <w:noProof/>
        </w:rPr>
        <w:tab/>
        <w:t>Colectarea informațiilor despre Vânzător</w:t>
      </w:r>
    </w:p>
    <w:p>
      <w:pPr>
        <w:pStyle w:val="Point1"/>
        <w:rPr>
          <w:noProof/>
        </w:rPr>
      </w:pPr>
      <w:r>
        <w:rPr>
          <w:noProof/>
        </w:rPr>
        <w:tab/>
        <w:t>1.</w:t>
      </w:r>
      <w:r>
        <w:rPr>
          <w:noProof/>
        </w:rPr>
        <w:tab/>
        <w:t>Operatorul de Platformă care are Obligația de Raportare colectează toate informații următoare pentru fiecare Vânzător care este o persoană fizică și care nu este Vânzător Exclus:</w:t>
      </w:r>
    </w:p>
    <w:p>
      <w:pPr>
        <w:pStyle w:val="Point2"/>
        <w:rPr>
          <w:noProof/>
        </w:rPr>
      </w:pPr>
      <w:r>
        <w:rPr>
          <w:noProof/>
        </w:rPr>
        <w:tab/>
        <w:t>(a)</w:t>
      </w:r>
      <w:r>
        <w:rPr>
          <w:noProof/>
        </w:rPr>
        <w:tab/>
        <w:t>prenumele și numele;</w:t>
      </w:r>
    </w:p>
    <w:p>
      <w:pPr>
        <w:pStyle w:val="Point2"/>
        <w:rPr>
          <w:noProof/>
        </w:rPr>
      </w:pPr>
      <w:r>
        <w:rPr>
          <w:noProof/>
        </w:rPr>
        <w:tab/>
        <w:t>(b)</w:t>
      </w:r>
      <w:r>
        <w:rPr>
          <w:noProof/>
        </w:rPr>
        <w:tab/>
        <w:t>Adresa Principală;</w:t>
      </w:r>
    </w:p>
    <w:p>
      <w:pPr>
        <w:pStyle w:val="Point2"/>
        <w:rPr>
          <w:noProof/>
        </w:rPr>
      </w:pPr>
      <w:r>
        <w:rPr>
          <w:noProof/>
        </w:rPr>
        <w:tab/>
        <w:t>(c)</w:t>
      </w:r>
      <w:r>
        <w:rPr>
          <w:noProof/>
        </w:rPr>
        <w:tab/>
        <w:t>orice NIF emis Vânzătorului respectiv, inclusiv fiecare stat membru emitent, și, în absența unui NIF, locul nașterii Vânzătorului respectiv;</w:t>
      </w:r>
    </w:p>
    <w:p>
      <w:pPr>
        <w:pStyle w:val="Point2"/>
        <w:rPr>
          <w:noProof/>
        </w:rPr>
      </w:pPr>
      <w:r>
        <w:rPr>
          <w:noProof/>
        </w:rPr>
        <w:tab/>
        <w:t>(d)</w:t>
      </w:r>
      <w:r>
        <w:rPr>
          <w:noProof/>
        </w:rPr>
        <w:tab/>
        <w:t>numărul TVA al Vânzătorului respectiv, dacă există;</w:t>
      </w:r>
    </w:p>
    <w:p>
      <w:pPr>
        <w:pStyle w:val="Point2"/>
        <w:rPr>
          <w:noProof/>
        </w:rPr>
      </w:pPr>
      <w:r>
        <w:rPr>
          <w:noProof/>
        </w:rPr>
        <w:tab/>
        <w:t>(e)</w:t>
      </w:r>
      <w:r>
        <w:rPr>
          <w:noProof/>
        </w:rPr>
        <w:tab/>
        <w:t>data nașterii.</w:t>
      </w:r>
    </w:p>
    <w:p>
      <w:pPr>
        <w:pStyle w:val="Point1"/>
        <w:rPr>
          <w:noProof/>
        </w:rPr>
      </w:pPr>
      <w:r>
        <w:rPr>
          <w:noProof/>
        </w:rPr>
        <w:tab/>
        <w:t>2.</w:t>
      </w:r>
      <w:r>
        <w:rPr>
          <w:noProof/>
        </w:rPr>
        <w:tab/>
        <w:t>Operatorul de Platformă care are Obligația de Raportare colectează toate informațiile următoare pentru fiecare Vânzător care este o Entitate și care nu este Vânzător Exclus:</w:t>
      </w:r>
    </w:p>
    <w:p>
      <w:pPr>
        <w:pStyle w:val="Point2"/>
        <w:rPr>
          <w:noProof/>
        </w:rPr>
      </w:pPr>
      <w:r>
        <w:rPr>
          <w:noProof/>
        </w:rPr>
        <w:tab/>
        <w:t>(a)</w:t>
      </w:r>
      <w:r>
        <w:rPr>
          <w:noProof/>
        </w:rPr>
        <w:tab/>
        <w:t>denumirea juridică;</w:t>
      </w:r>
    </w:p>
    <w:p>
      <w:pPr>
        <w:pStyle w:val="Point2"/>
        <w:rPr>
          <w:noProof/>
        </w:rPr>
      </w:pPr>
      <w:r>
        <w:rPr>
          <w:noProof/>
        </w:rPr>
        <w:tab/>
        <w:t>(b)</w:t>
      </w:r>
      <w:r>
        <w:rPr>
          <w:noProof/>
        </w:rPr>
        <w:tab/>
        <w:t>Adresa Principală;</w:t>
      </w:r>
    </w:p>
    <w:p>
      <w:pPr>
        <w:pStyle w:val="Point2"/>
        <w:rPr>
          <w:noProof/>
        </w:rPr>
      </w:pPr>
      <w:r>
        <w:rPr>
          <w:noProof/>
        </w:rPr>
        <w:tab/>
        <w:t>(c)</w:t>
      </w:r>
      <w:r>
        <w:rPr>
          <w:noProof/>
        </w:rPr>
        <w:tab/>
        <w:t>orice NIF emis Vânzătorului respectiv, inclusiv fiecare stat membru emitent;</w:t>
      </w:r>
    </w:p>
    <w:p>
      <w:pPr>
        <w:pStyle w:val="Point2"/>
        <w:rPr>
          <w:noProof/>
        </w:rPr>
      </w:pPr>
      <w:r>
        <w:rPr>
          <w:noProof/>
        </w:rPr>
        <w:tab/>
        <w:t>(d)</w:t>
      </w:r>
      <w:r>
        <w:rPr>
          <w:noProof/>
        </w:rPr>
        <w:tab/>
        <w:t>numărul TVA al Vânzătorului respectiv, dacă există;</w:t>
      </w:r>
    </w:p>
    <w:p>
      <w:pPr>
        <w:pStyle w:val="Point2"/>
        <w:rPr>
          <w:noProof/>
        </w:rPr>
      </w:pPr>
      <w:r>
        <w:rPr>
          <w:noProof/>
        </w:rPr>
        <w:tab/>
        <w:t>(e)</w:t>
      </w:r>
      <w:r>
        <w:rPr>
          <w:noProof/>
        </w:rPr>
        <w:tab/>
        <w:t>numărul de înregistrare în Registrul Comerțului;</w:t>
      </w:r>
    </w:p>
    <w:p>
      <w:pPr>
        <w:pStyle w:val="Point2"/>
        <w:rPr>
          <w:noProof/>
        </w:rPr>
      </w:pPr>
      <w:r>
        <w:rPr>
          <w:noProof/>
        </w:rPr>
        <w:tab/>
        <w:t>(f)</w:t>
      </w:r>
      <w:r>
        <w:rPr>
          <w:noProof/>
        </w:rPr>
        <w:tab/>
        <w:t>existența oricărui sediu permanent prin care se realizează Activități Relevante în Uniune, dacă informația este disponibilă, indicând fiecare stat membru în care este situat un astfel de sediu permanent.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Point1"/>
        <w:rPr>
          <w:noProof/>
        </w:rPr>
      </w:pPr>
      <w:r>
        <w:rPr>
          <w:noProof/>
        </w:rPr>
        <w:tab/>
      </w:r>
      <w:r>
        <w:rPr>
          <w:rStyle w:val="CRMinorChangeAdded"/>
          <w:noProof/>
        </w:rPr>
        <w:t>3</w:t>
      </w:r>
      <w:r>
        <w:rPr>
          <w:rStyle w:val="CRMinorChangeDeleted"/>
          <w:noProof/>
        </w:rPr>
        <w:t>4</w:t>
      </w:r>
      <w:r>
        <w:rPr>
          <w:noProof/>
        </w:rPr>
        <w:t>.</w:t>
      </w:r>
      <w:r>
        <w:rPr>
          <w:noProof/>
        </w:rPr>
        <w:tab/>
        <w:t>Prin excepție de la punctul B subpunctul 1 litera (c) și de la punctul B subpunctul 2 literele (c) și (e), Operatorul de Platformă care are Obligația de Raportare nu este obligat să colecteze NIF-ul sau, după caz, numărul de înregistrare în Registrul Comerțului în niciuna dintre situațiile următoare:</w:t>
      </w:r>
    </w:p>
    <w:p>
      <w:pPr>
        <w:pStyle w:val="Point2"/>
        <w:rPr>
          <w:noProof/>
        </w:rPr>
      </w:pPr>
      <w:r>
        <w:rPr>
          <w:noProof/>
        </w:rPr>
        <w:tab/>
        <w:t>(a)</w:t>
      </w:r>
      <w:r>
        <w:rPr>
          <w:noProof/>
        </w:rPr>
        <w:tab/>
        <w:t>statul membru de rezidență al Vânzătorului nu îi emite acestuia un NIF sau un număr de înregistrare în Registrul Comerțului;</w:t>
      </w:r>
    </w:p>
    <w:p>
      <w:pPr>
        <w:pStyle w:val="Point2"/>
        <w:rPr>
          <w:noProof/>
        </w:rPr>
      </w:pPr>
      <w:r>
        <w:rPr>
          <w:noProof/>
        </w:rPr>
        <w:tab/>
        <w:t>(b)</w:t>
      </w:r>
      <w:r>
        <w:rPr>
          <w:noProof/>
        </w:rPr>
        <w:tab/>
        <w:t>statul membru de rezidență al Vânzătorului nu impune colectarea NIF-ului emis Vânzătorului.</w:t>
      </w:r>
    </w:p>
    <w:p>
      <w:pPr>
        <w:pStyle w:val="Point0"/>
        <w:rPr>
          <w:noProof/>
        </w:rPr>
      </w:pPr>
      <w:r>
        <w:rPr>
          <w:noProof/>
        </w:rPr>
        <w:tab/>
        <w:t>C.</w:t>
      </w:r>
      <w:r>
        <w:rPr>
          <w:noProof/>
        </w:rPr>
        <w:tab/>
        <w:t>Verificarea informațiilor despre Vânzător</w:t>
      </w:r>
    </w:p>
    <w:p>
      <w:pPr>
        <w:pStyle w:val="Point1"/>
        <w:rPr>
          <w:noProof/>
        </w:rPr>
      </w:pPr>
      <w:r>
        <w:rPr>
          <w:noProof/>
        </w:rPr>
        <w:tab/>
        <w:t>1.</w:t>
      </w:r>
      <w:r>
        <w:rPr>
          <w:noProof/>
        </w:rPr>
        <w:tab/>
        <w:t>Operatorul de Platformă care are Obligația de Raportare stabilește dacă informațiile colectate în temeiul punctului A, al punctului B subpunctul 1, al punctului B subpunctul 2 literele (a)-(e) și al punctului E sunt fiabile, utilizând toate informațiile și documentele de care dispune în evidențele sale, precum și orice interfață electronică pusă la dispoziție gratuit de un stat membru sau de Uniune pentru a verifica valabilitatea NIF-ului și/sau a numărului TVA.</w:t>
      </w:r>
    </w:p>
    <w:p>
      <w:pPr>
        <w:pStyle w:val="Point1"/>
        <w:rPr>
          <w:noProof/>
        </w:rPr>
      </w:pPr>
      <w:r>
        <w:rPr>
          <w:noProof/>
        </w:rPr>
        <w:tab/>
        <w:t>2.</w:t>
      </w:r>
      <w:r>
        <w:rPr>
          <w:noProof/>
        </w:rPr>
        <w:tab/>
        <w:t xml:space="preserve">Prin excepție de la </w:t>
      </w:r>
      <w:r>
        <w:rPr>
          <w:rStyle w:val="CRDeleted"/>
          <w:noProof/>
        </w:rPr>
        <w:t>punctul C</w:t>
      </w:r>
      <w:r>
        <w:rPr>
          <w:noProof/>
        </w:rPr>
        <w:t xml:space="preserve"> subpunctul 1, în vederea îndeplinirii procedurii de diligență fiscală în temeiul punctului F subpunctul 2, Operatorul de Platformă care are Obligația de Raportare poate stabili dacă informațiile colectate în temeiul punctului A, al punctului B subpunctul 1, al punctului B subpunctul 2 literele (a)-(e) și al punctului E sunt fiabile, utilizând informațiile și documentele de care dispune în evidențele sale cu funcție de căutare electronică.</w:t>
      </w:r>
    </w:p>
    <w:p>
      <w:pPr>
        <w:pStyle w:val="Point1"/>
        <w:rPr>
          <w:noProof/>
        </w:rPr>
      </w:pPr>
      <w:r>
        <w:rPr>
          <w:noProof/>
        </w:rPr>
        <w:tab/>
        <w:t>3.</w:t>
      </w:r>
      <w:r>
        <w:rPr>
          <w:noProof/>
        </w:rPr>
        <w:tab/>
        <w:t xml:space="preserve">În aplicarea punctului F subpunctul 3 litera (b) și prin excepție de la punctul C subpunctele 1 și 2, în cazurile în care Operatorul de Platformă care are Obligația de Raportare are motive să considere că oricare dintre informațiile descrise la punctul B sau E pot fi inexacte în temeiul informațiilor furnizate de autoritatea competentă a unui stat membru într-o cerere privind un anumit Vânzător, Operatorul de Platformă care are Obligația de Raportare solicită Vânzătorului să corecteze informațiile despre care s-a constatat că sunt incorecte și să furnizeze documente justificative, date sau informații fiabile, provenite dintr-o sursă independentă, cum ar fi: </w:t>
      </w:r>
    </w:p>
    <w:p>
      <w:pPr>
        <w:pStyle w:val="Point2"/>
        <w:rPr>
          <w:noProof/>
        </w:rPr>
      </w:pPr>
      <w:r>
        <w:rPr>
          <w:noProof/>
        </w:rPr>
        <w:tab/>
        <w:t>(a)</w:t>
      </w:r>
      <w:r>
        <w:rPr>
          <w:noProof/>
        </w:rPr>
        <w:tab/>
        <w:t>un document de identificare valabil, emis de autoritățile guvernamentale;</w:t>
      </w:r>
    </w:p>
    <w:p>
      <w:pPr>
        <w:pStyle w:val="Point2"/>
        <w:rPr>
          <w:noProof/>
        </w:rPr>
      </w:pPr>
      <w:r>
        <w:rPr>
          <w:noProof/>
        </w:rPr>
        <w:tab/>
        <w:t>(b)</w:t>
      </w:r>
      <w:r>
        <w:rPr>
          <w:noProof/>
        </w:rPr>
        <w:tab/>
        <w:t>un certificat de rezidență fiscală emis recent.</w:t>
      </w:r>
    </w:p>
    <w:p>
      <w:pPr>
        <w:pStyle w:val="Point0"/>
        <w:rPr>
          <w:noProof/>
        </w:rPr>
      </w:pPr>
      <w:r>
        <w:rPr>
          <w:noProof/>
        </w:rPr>
        <w:tab/>
        <w:t>D.</w:t>
      </w:r>
      <w:r>
        <w:rPr>
          <w:noProof/>
        </w:rPr>
        <w:tab/>
        <w:t>Determinarea statului membru (statelor membre) de rezidență al(e) Vânzătorului în sensul prezentei directive</w:t>
      </w:r>
    </w:p>
    <w:p>
      <w:pPr>
        <w:pStyle w:val="Point1"/>
        <w:rPr>
          <w:noProof/>
        </w:rPr>
      </w:pPr>
      <w:r>
        <w:rPr>
          <w:noProof/>
        </w:rPr>
        <w:tab/>
        <w:t>1.</w:t>
      </w:r>
      <w:r>
        <w:rPr>
          <w:noProof/>
        </w:rPr>
        <w:tab/>
        <w:t xml:space="preserve">Un Operator de Platformă care are Obligația de Raportare consideră că un Vânzător este rezident în statul membru în care se află Adresa Principală a Vânzătorului. Un Operator de Platformă care are Obligația de Raportare consideră că Vânzătorul are rezidența și în statul membru de emitere a NIF-ului dacă statul emitent este diferit de statul membru în care se află Adresa Principală a Vânzătorului. Dacă Vânzătorul a furnizat informații cu privire la existența unui sediu permanent în temeiul punctului B subpunctul 2 litera (f), un Operator de Platformă care are Obligația de Raportare consideră că un </w:t>
      </w:r>
      <w:r>
        <w:rPr>
          <w:noProof/>
        </w:rPr>
        <w:lastRenderedPageBreak/>
        <w:t>Vânzător este rezident și în statul membru respectiv, astfel cum a precizat Vânzătorul.</w:t>
      </w:r>
    </w:p>
    <w:p>
      <w:pPr>
        <w:pStyle w:val="Point1"/>
        <w:rPr>
          <w:noProof/>
        </w:rPr>
      </w:pPr>
      <w:r>
        <w:rPr>
          <w:noProof/>
        </w:rPr>
        <w:tab/>
        <w:t>2.</w:t>
      </w:r>
      <w:r>
        <w:rPr>
          <w:noProof/>
        </w:rPr>
        <w:tab/>
        <w:t>Prin excepție de la punctul D subpunctul 1, un Operator de Platformă care are Obligația de Raportare consideră că un Vânzător este rezident în fiecare stat membru confirmat de un serviciu de identificare electronică pus la dispoziție de un stat membru sau de Uniune în temeiul punctului B subpunctul 3.</w:t>
      </w:r>
    </w:p>
    <w:p>
      <w:pPr>
        <w:pStyle w:val="Point0"/>
        <w:rPr>
          <w:noProof/>
        </w:rPr>
      </w:pPr>
      <w:r>
        <w:rPr>
          <w:noProof/>
        </w:rPr>
        <w:tab/>
        <w:t>E.</w:t>
      </w:r>
      <w:r>
        <w:rPr>
          <w:noProof/>
        </w:rPr>
        <w:tab/>
        <w:t>Colectarea informațiilor privind bunul imobil închiriat</w:t>
      </w:r>
    </w:p>
    <w:p>
      <w:pPr>
        <w:pStyle w:val="Point0"/>
        <w:rPr>
          <w:noProof/>
        </w:rPr>
      </w:pPr>
      <w:r>
        <w:rPr>
          <w:noProof/>
        </w:rPr>
        <w:tab/>
        <w:t>Dacă un Vânzător desfășoară o Activitate Relevantă care implică închirierea de bunuri imobile, Operatorul de Platformă care are Obligația de Raportare colectează adresa fiecărui Bun Imobil Listat și, dacă a fost emis, numărul cărții funciare respective sau echivalentul acestuia prevăzut de dreptul intern al statului membru în care se află. Dacă un Operator de Platformă care are Obligația de Raportare a facilitat peste 2 000 de Activități Relevante prin închirierea unui Bun Imobil Listat pentru același Vânzător care este o Entitate, Operatorul de Platformă care are Obligația de Raportare colectează documente justificative, date sau informații conform cărora Bunul Imobil Listat este deținut de același proprietar.</w:t>
      </w:r>
    </w:p>
    <w:p>
      <w:pPr>
        <w:pStyle w:val="Point0"/>
        <w:rPr>
          <w:noProof/>
        </w:rPr>
      </w:pPr>
      <w:r>
        <w:rPr>
          <w:noProof/>
        </w:rPr>
        <w:tab/>
        <w:t>F.</w:t>
      </w:r>
      <w:r>
        <w:rPr>
          <w:noProof/>
        </w:rPr>
        <w:tab/>
        <w:t>Termenele de finalizare și de valabilitate ale procedurii de diligență fiscală</w:t>
      </w:r>
    </w:p>
    <w:p>
      <w:pPr>
        <w:pStyle w:val="Point1"/>
        <w:rPr>
          <w:noProof/>
        </w:rPr>
      </w:pPr>
      <w:r>
        <w:rPr>
          <w:noProof/>
        </w:rPr>
        <w:tab/>
        <w:t>1.</w:t>
      </w:r>
      <w:r>
        <w:rPr>
          <w:noProof/>
        </w:rPr>
        <w:tab/>
        <w:t>Un Operator de Platformă care are Obligația de Raportare finalizează procedura de diligență fiscală prevăzută la punctele A-E până la data de 31 decembrie a Perioadei de Raportare.</w:t>
      </w:r>
    </w:p>
    <w:p>
      <w:pPr>
        <w:pStyle w:val="Point1"/>
        <w:rPr>
          <w:noProof/>
        </w:rPr>
      </w:pPr>
      <w:r>
        <w:rPr>
          <w:noProof/>
        </w:rPr>
        <w:tab/>
        <w:t>2.</w:t>
      </w:r>
      <w:r>
        <w:rPr>
          <w:noProof/>
        </w:rPr>
        <w:tab/>
        <w:t xml:space="preserve">Prin excepție de la </w:t>
      </w:r>
      <w:r>
        <w:rPr>
          <w:rStyle w:val="CRDeleted"/>
          <w:noProof/>
        </w:rPr>
        <w:t>punctul F</w:t>
      </w:r>
      <w:r>
        <w:rPr>
          <w:noProof/>
        </w:rPr>
        <w:t xml:space="preserve"> subpunctul 1, pentru Vânzătorii care sunt înregistrați deja pe Platformă la 1 ianuarie 2023 sau la data la care o Entitate devine Operator de Platformă care are Obligația de Raportare, procedura de diligență fiscală prevăzută la punctele A-E trebuie să fie finalizată până la data de 31 decembrie a celei de a doua Perioade de Raportare de către Operatorul de Platformă care are Obligația de Raportare.</w:t>
      </w:r>
    </w:p>
    <w:p>
      <w:pPr>
        <w:pStyle w:val="Point1"/>
        <w:rPr>
          <w:noProof/>
        </w:rPr>
      </w:pPr>
      <w:r>
        <w:rPr>
          <w:noProof/>
        </w:rPr>
        <w:tab/>
        <w:t>3.</w:t>
      </w:r>
      <w:r>
        <w:rPr>
          <w:noProof/>
        </w:rPr>
        <w:tab/>
        <w:t xml:space="preserve">Prin excepție de la </w:t>
      </w:r>
      <w:r>
        <w:rPr>
          <w:rStyle w:val="CRDeleted"/>
          <w:noProof/>
        </w:rPr>
        <w:t>punctul F</w:t>
      </w:r>
      <w:r>
        <w:rPr>
          <w:noProof/>
        </w:rPr>
        <w:t xml:space="preserve"> subpunctul 1, un Operator de Platformă care are Obligația de Raportare poate utiliza procedura de diligență fiscală îndeplinită în legătură cu Perioadele de Raportare anterioare dacă sunt îndeplinite următoarele condiții:</w:t>
      </w:r>
    </w:p>
    <w:p>
      <w:pPr>
        <w:pStyle w:val="Point2"/>
        <w:rPr>
          <w:noProof/>
        </w:rPr>
      </w:pPr>
      <w:r>
        <w:rPr>
          <w:noProof/>
        </w:rPr>
        <w:tab/>
        <w:t>(a)</w:t>
      </w:r>
      <w:r>
        <w:rPr>
          <w:noProof/>
        </w:rPr>
        <w:tab/>
        <w:t>informațiile despre Vânzător solicitate la punctul B subpunctele 1 și 2 au fost fie colectate și verificate, fie confirmate în ultimele 36 de luni; și</w:t>
      </w:r>
    </w:p>
    <w:p>
      <w:pPr>
        <w:pStyle w:val="Point2"/>
        <w:rPr>
          <w:noProof/>
        </w:rPr>
      </w:pPr>
      <w:r>
        <w:rPr>
          <w:noProof/>
        </w:rPr>
        <w:tab/>
        <w:t>(b)</w:t>
      </w:r>
      <w:r>
        <w:rPr>
          <w:noProof/>
        </w:rPr>
        <w:tab/>
        <w:t>Operatorul de Platformă care are Obligația de Raportare nu are motive să considere că informațiile colectate în temeiul punctelor A, B și E sunt sau au devenit nefiabile sau incorecte.</w:t>
      </w:r>
    </w:p>
    <w:p>
      <w:pPr>
        <w:pStyle w:val="Point0"/>
        <w:rPr>
          <w:noProof/>
        </w:rPr>
      </w:pPr>
      <w:r>
        <w:rPr>
          <w:noProof/>
        </w:rPr>
        <w:tab/>
        <w:t>G.</w:t>
      </w:r>
      <w:r>
        <w:rPr>
          <w:noProof/>
        </w:rPr>
        <w:tab/>
        <w:t>Aplicarea procedurii de diligență fiscală exclusiv Vânzătorilor Activi</w:t>
      </w:r>
    </w:p>
    <w:p>
      <w:pPr>
        <w:pStyle w:val="Point0"/>
        <w:rPr>
          <w:noProof/>
        </w:rPr>
      </w:pPr>
      <w:r>
        <w:rPr>
          <w:noProof/>
        </w:rPr>
        <w:tab/>
        <w:t>Un Operator de Platformă care are Obligația de Raportare poate alege să îndeplinească procedura de diligență fiscală în temeiul punctelor A-F exclusiv în ceea ce privește Vânzătorii Activi.</w:t>
      </w:r>
    </w:p>
    <w:p>
      <w:pPr>
        <w:pStyle w:val="Point0"/>
        <w:rPr>
          <w:noProof/>
        </w:rPr>
      </w:pPr>
      <w:r>
        <w:rPr>
          <w:noProof/>
        </w:rPr>
        <w:tab/>
        <w:t>H.</w:t>
      </w:r>
      <w:r>
        <w:rPr>
          <w:noProof/>
        </w:rPr>
        <w:tab/>
        <w:t>Îndeplinirea procedurii de diligență fiscală de către terți</w:t>
      </w:r>
    </w:p>
    <w:p>
      <w:pPr>
        <w:pStyle w:val="Point1"/>
        <w:rPr>
          <w:noProof/>
        </w:rPr>
      </w:pPr>
      <w:r>
        <w:rPr>
          <w:noProof/>
        </w:rPr>
        <w:tab/>
        <w:t>1.</w:t>
      </w:r>
      <w:r>
        <w:rPr>
          <w:noProof/>
        </w:rPr>
        <w:tab/>
        <w:t>Un Operator de Platformă care are Obligația de Raportare poate încredința unui prestator de servicii terț îndeplinirea obligațiilor de diligență fiscală prevăzute în prezenta secțiune, însă aceste obligații rămân în responsabilitatea Operatorului de Platformă care are Obligația de Raportare.</w:t>
      </w:r>
    </w:p>
    <w:p>
      <w:pPr>
        <w:pStyle w:val="Point1"/>
        <w:rPr>
          <w:noProof/>
        </w:rPr>
      </w:pPr>
      <w:r>
        <w:rPr>
          <w:noProof/>
        </w:rPr>
        <w:lastRenderedPageBreak/>
        <w:tab/>
        <w:t>2.</w:t>
      </w:r>
      <w:r>
        <w:rPr>
          <w:noProof/>
        </w:rPr>
        <w:tab/>
        <w:t xml:space="preserve">Dacă un Operator de Platformă îndeplinește obligațiile de diligență fiscală pentru un Operator de Platformă care are Obligația de Raportare în ceea ce privește aceeași Platformă în temeiul </w:t>
      </w:r>
      <w:r>
        <w:rPr>
          <w:rStyle w:val="CRDeleted"/>
          <w:noProof/>
        </w:rPr>
        <w:t>punctului H</w:t>
      </w:r>
      <w:r>
        <w:rPr>
          <w:noProof/>
        </w:rPr>
        <w:t xml:space="preserve"> subpunctul</w:t>
      </w:r>
      <w:r>
        <w:rPr>
          <w:rStyle w:val="CRMinorChangeAdded"/>
          <w:noProof/>
        </w:rPr>
        <w:t>ui</w:t>
      </w:r>
      <w:r>
        <w:rPr>
          <w:noProof/>
        </w:rPr>
        <w:t xml:space="preserve"> 1, Operatorul de Platformă în cauză îndeplinește procedura de diligență fiscală în temeiul normelor prevăzute în prezenta secțiune. Obligațiile de diligență fiscală rămân responsabilitatea Operatorului de Platformă care are Obligația de Raportare.</w:t>
      </w:r>
    </w:p>
    <w:p>
      <w:pPr>
        <w:pStyle w:val="ManualHeading1"/>
        <w:ind w:left="851" w:hanging="851"/>
        <w:rPr>
          <w:noProof/>
        </w:rPr>
      </w:pPr>
      <w:bookmarkStart w:id="52" w:name="_Toc229742235"/>
      <w:r>
        <w:rPr>
          <w:noProof/>
        </w:rPr>
        <w:t>SECȚIUNEA III</w:t>
      </w:r>
      <w:bookmarkEnd w:id="52"/>
    </w:p>
    <w:p>
      <w:pPr>
        <w:pStyle w:val="ManualHeading2"/>
        <w:ind w:left="851" w:hanging="851"/>
        <w:rPr>
          <w:noProof/>
        </w:rPr>
      </w:pPr>
      <w:bookmarkStart w:id="53" w:name="_Toc229742236"/>
      <w:r>
        <w:rPr>
          <w:i/>
          <w:noProof/>
        </w:rPr>
        <w:t>CERINȚE DE RAPORTARE</w:t>
      </w:r>
      <w:bookmarkEnd w:id="53"/>
    </w:p>
    <w:p>
      <w:pPr>
        <w:pStyle w:val="Point0"/>
        <w:rPr>
          <w:noProof/>
        </w:rPr>
      </w:pPr>
      <w:r>
        <w:rPr>
          <w:noProof/>
        </w:rPr>
        <w:tab/>
        <w:t>A.</w:t>
      </w:r>
      <w:r>
        <w:rPr>
          <w:noProof/>
        </w:rPr>
        <w:tab/>
        <w:t>Calendarul și modalitatea de raportare</w:t>
      </w:r>
    </w:p>
    <w:p>
      <w:pPr>
        <w:pStyle w:val="Point1"/>
        <w:rPr>
          <w:noProof/>
        </w:rPr>
      </w:pPr>
      <w:r>
        <w:rPr>
          <w:noProof/>
        </w:rPr>
        <w:tab/>
        <w:t>1.</w:t>
      </w:r>
      <w:r>
        <w:rPr>
          <w:noProof/>
        </w:rPr>
        <w:tab/>
        <w:t>Un Operator de Platformă care are Obligația de Raportare în sensul secțiunii I punctul A subpunctul 4 litera (a) raportează autorității competente din statul membru determinat în conformitate cu secțiunea I punctul A subpunctul 4 litera (a) informațiile prevăzute la punctul B din prezenta secțiune în ceea ce privește Perioada de Raportare cel târziu până la data de 31 ianuarie a anului următor anului calendaristic în care Vânzătorul este identificat ca Vânzător Raportabil. Dacă există mai mulți Operatori de Platforme care au Obligația de Raportare, oricare dintre respectivii Operatori de Platforme care au Obligația de Raportare este exonerat de obligația de a raporta informațiile dacă deține dovezi, în conformitate cu dreptul intern, că aceleași informații au fost raportate de un alt Operator de Platformă care are Obligația de Raportare.</w:t>
      </w:r>
    </w:p>
    <w:p>
      <w:pPr>
        <w:pStyle w:val="Point1"/>
        <w:rPr>
          <w:noProof/>
        </w:rPr>
      </w:pPr>
      <w:r>
        <w:rPr>
          <w:noProof/>
        </w:rPr>
        <w:tab/>
        <w:t>2.</w:t>
      </w:r>
      <w:r>
        <w:rPr>
          <w:noProof/>
        </w:rPr>
        <w:tab/>
        <w:t>Dacă un Operator de Platformă care are Obligația de Raportare în sensul secțiunii I punctul A subpunctul 4 litera (a) îndeplinește oricare dintre condițiile menționate la această dispoziție în mai multe state membre, atunci alege unul dintre respectivele state membre în care să îndeplinească cerințele de raportare stabilite în prezenta secțiune. Acest Operator de Platformă care are Obligația de Raportare raportează informațiile menționate la punctul B din prezenta secțiune, în ceea ce privește Perioada de Raportare, autorității competente din statul membru ales, astfel cum este determinat acesta în conformitate cu secțiunea IV punctul E, până la data de 31 ianuarie a anului următor anului calendaristic în care Vânzătorul este identificat ca Vânzător Raportabil. Dacă există mai mulți Operatori de Platforme care au Obligația de Raportare, oricare dintre respectivii Operatori de Platforme care au Obligația de Raportare este exonerat de obligația de a raporta informațiile dacă deține dovezi, în conformitate cu dreptul intern, că aceleași informații au fost raportate de un alt Operator de Platformă care are Obligația de Raportare dintr-un alt stat membru.</w:t>
      </w:r>
    </w:p>
    <w:p>
      <w:pPr>
        <w:pStyle w:val="Point1"/>
        <w:rPr>
          <w:noProof/>
        </w:rPr>
      </w:pPr>
      <w:r>
        <w:rPr>
          <w:noProof/>
        </w:rPr>
        <w:tab/>
        <w:t>3.</w:t>
      </w:r>
      <w:r>
        <w:rPr>
          <w:noProof/>
        </w:rPr>
        <w:tab/>
        <w:t>Un Operator de Platformă care are Obligația de Raportare în sensul secțiunii I punctul A subpunctul 4 litera (b) raportează informațiile prevăzute la punctul B din prezenta secțiune, în ceea ce privește Perioada de Raportare, autorității competente din statul membru de înregistrare, astfel cum este determinat acesta în conformitate cu secțiunea IV punctul F subpunctul 1, până la data de 31 ianuarie a anului următor anului calendaristic în care Vânzătorul este identificat ca Vânzător Raportabil.</w:t>
      </w:r>
    </w:p>
    <w:p>
      <w:pPr>
        <w:pStyle w:val="Point1"/>
        <w:rPr>
          <w:noProof/>
        </w:rPr>
      </w:pPr>
      <w:r>
        <w:rPr>
          <w:noProof/>
        </w:rPr>
        <w:tab/>
        <w:t>4.</w:t>
      </w:r>
      <w:r>
        <w:rPr>
          <w:noProof/>
        </w:rPr>
        <w:tab/>
        <w:t xml:space="preserve">Prin excepție de la punctul A subpunctul 3 din prezenta secțiune, un Operator de Platformă care are Obligația de Raportare în sensul secțiunii I punctul A subpunctul 4 litera (b) nu este obligat să furnizeze informațiile prevăzute la punctul B din prezenta secțiune în ceea ce privește Activitățile </w:t>
      </w:r>
      <w:r>
        <w:rPr>
          <w:noProof/>
        </w:rPr>
        <w:lastRenderedPageBreak/>
        <w:t>Relevante Calificate, care fac obiectul unui Acord Efectiv privind Stabilirea Autorității Competente, care prevede deja schimbul automat de informații echivalente cu un stat membru cu privire la Vânzătorii Raportabili rezidenți în statul membru respectiv.</w:t>
      </w:r>
    </w:p>
    <w:p>
      <w:pPr>
        <w:pStyle w:val="Point1"/>
        <w:rPr>
          <w:noProof/>
        </w:rPr>
      </w:pPr>
      <w:r>
        <w:rPr>
          <w:noProof/>
        </w:rPr>
        <w:tab/>
        <w:t>5.</w:t>
      </w:r>
      <w:r>
        <w:rPr>
          <w:noProof/>
        </w:rPr>
        <w:tab/>
        <w:t>Un Operator de Platformă care are Obligația de Raportare comunică, de asemenea, informațiile prevăzute la punctul B subpunctele 2 și 3 Vânzătorului Raportabil vizat de respectivele informații, cel târziu până la data de 31 ianuarie a anului următor anului calendaristic în care Vânzătorul este identificat ca Vânzător Raportabil.</w:t>
      </w:r>
    </w:p>
    <w:p>
      <w:pPr>
        <w:pStyle w:val="Point1"/>
        <w:rPr>
          <w:noProof/>
        </w:rPr>
      </w:pPr>
      <w:r>
        <w:rPr>
          <w:noProof/>
        </w:rPr>
        <w:tab/>
        <w:t>6.</w:t>
      </w:r>
      <w:r>
        <w:rPr>
          <w:noProof/>
        </w:rPr>
        <w:tab/>
        <w:t>Informațiile privind Contraprestația plătită sau creditată într-o monedă fiduciară se raportează în moneda în care s-a plătit sau creditat Contraprestația în cauză. În cazul în care Contraprestația a fost plătită sau creditată în altă formă decât în monedă fiduciară, Contraprestația în cauză este raportată în moneda locală, convertită sau echivalată după o metodă determinată în mod consecvent de Operatorul de Platformă care are Obligația de Raportare.</w:t>
      </w:r>
    </w:p>
    <w:p>
      <w:pPr>
        <w:pStyle w:val="Point1"/>
        <w:rPr>
          <w:noProof/>
        </w:rPr>
      </w:pPr>
      <w:r>
        <w:rPr>
          <w:noProof/>
        </w:rPr>
        <w:tab/>
        <w:t>7.</w:t>
      </w:r>
      <w:r>
        <w:rPr>
          <w:noProof/>
        </w:rPr>
        <w:tab/>
        <w:t>Informațiile despre Contraprestație și alte sume se raportează în ceea ce privește trimestrul din Perioada de Raportare în care a fost plătită sau creditată Contraprestația.</w:t>
      </w:r>
    </w:p>
    <w:p>
      <w:pPr>
        <w:pStyle w:val="Point0"/>
        <w:rPr>
          <w:noProof/>
        </w:rPr>
      </w:pPr>
      <w:r>
        <w:rPr>
          <w:noProof/>
        </w:rPr>
        <w:tab/>
        <w:t>B.</w:t>
      </w:r>
      <w:r>
        <w:rPr>
          <w:noProof/>
        </w:rPr>
        <w:tab/>
        <w:t>Informațiile care urmează a fi raportate</w:t>
      </w:r>
    </w:p>
    <w:p>
      <w:pPr>
        <w:pStyle w:val="Point0"/>
        <w:rPr>
          <w:noProof/>
        </w:rPr>
      </w:pPr>
      <w:r>
        <w:rPr>
          <w:noProof/>
        </w:rPr>
        <w:tab/>
        <w:t>Fiecare Operator de Platformă care are Obligația de Raportare comunică următoarele informații:</w:t>
      </w:r>
    </w:p>
    <w:p>
      <w:pPr>
        <w:pStyle w:val="Point1"/>
        <w:rPr>
          <w:noProof/>
        </w:rPr>
      </w:pPr>
      <w:r>
        <w:rPr>
          <w:noProof/>
        </w:rPr>
        <w:tab/>
        <w:t>1.</w:t>
      </w:r>
      <w:r>
        <w:rPr>
          <w:noProof/>
        </w:rPr>
        <w:tab/>
        <w:t>Numele, adresa sediului social, NIF-ul și, dacă este cazul, numărul individual de identificare, alocat în temeiul secțiunii IV punctul F subpunctul 4, ale Operatorului de Platformă care are Obligația de Raportare, precum și denumirea comercială (denumirile comerciale) a(le) Platformei (Platformelor) pentru care Operatorul de Platformă care are Obligația de Raportare raportează informații.</w:t>
      </w:r>
    </w:p>
    <w:p>
      <w:pPr>
        <w:pStyle w:val="Point1"/>
        <w:rPr>
          <w:noProof/>
        </w:rPr>
      </w:pPr>
      <w:r>
        <w:rPr>
          <w:noProof/>
        </w:rPr>
        <w:tab/>
        <w:t>2.</w:t>
      </w:r>
      <w:r>
        <w:rPr>
          <w:noProof/>
        </w:rPr>
        <w:tab/>
        <w:t>Pentru fiecare Vânzător Raportabil care a realizat Activitatea Relevantă, cu excepția închirierii de bunuri imobile:</w:t>
      </w:r>
    </w:p>
    <w:p>
      <w:pPr>
        <w:pStyle w:val="Point2"/>
        <w:rPr>
          <w:noProof/>
        </w:rPr>
      </w:pPr>
      <w:r>
        <w:rPr>
          <w:noProof/>
        </w:rPr>
        <w:tab/>
        <w:t>(a)</w:t>
      </w:r>
      <w:r>
        <w:rPr>
          <w:noProof/>
        </w:rPr>
        <w:tab/>
        <w:t>informațiile care trebuie colectate în temeiul secțiunii II punctul B;</w:t>
      </w:r>
    </w:p>
    <w:p>
      <w:pPr>
        <w:pStyle w:val="Point2"/>
        <w:rPr>
          <w:noProof/>
        </w:rPr>
      </w:pPr>
      <w:r>
        <w:rPr>
          <w:noProof/>
        </w:rPr>
        <w:tab/>
        <w:t>(b)</w:t>
      </w:r>
      <w:r>
        <w:rPr>
          <w:noProof/>
        </w:rPr>
        <w:tab/>
        <w:t>Numărul de Identificare a Contului Financiar, în măsura în care Operatorul de Platformă care are Obligația de Raportare dispune de el și dacă autoritatea competentă din statul membru în care Vânzătorul Raportabil își are rezidența în sensul secțiunii II punctul D nu a notificat în mod public faptul că nu intenționează să utilizeze Numărul de Identificare a Contului Financiar în acest scop;</w:t>
      </w:r>
    </w:p>
    <w:p>
      <w:pPr>
        <w:pStyle w:val="Point2"/>
        <w:rPr>
          <w:noProof/>
        </w:rPr>
      </w:pPr>
      <w:r>
        <w:rPr>
          <w:noProof/>
        </w:rPr>
        <w:tab/>
        <w:t>(c)</w:t>
      </w:r>
      <w:r>
        <w:rPr>
          <w:noProof/>
        </w:rPr>
        <w:tab/>
        <w:t>în cazul în care este diferit de numele Vânzătorului Raportabil, pe lângă Numărul de Identificare a Contului Financiar, numele titularului contului financiar în care se plătește sau se creditează Contraprestația, în măsura în care Operatorul de Platformă care are Obligația de Raportare cunoaște acest nume, precum și orice alte informații de identificare financiară a titularului contului respectiv disponibile pentru Operatorul de Platformă care are Obligația de Raportare;</w:t>
      </w:r>
    </w:p>
    <w:p>
      <w:pPr>
        <w:pStyle w:val="Point2"/>
        <w:rPr>
          <w:noProof/>
        </w:rPr>
      </w:pPr>
      <w:r>
        <w:rPr>
          <w:noProof/>
        </w:rPr>
        <w:tab/>
        <w:t>(d)</w:t>
      </w:r>
      <w:r>
        <w:rPr>
          <w:noProof/>
        </w:rPr>
        <w:tab/>
        <w:t>fiecare stat membru în care Vânzătorul Raportabil are rezidență în sensul prezentei directive, astfel cum este determinat în temeiul secțiunii II punctul D;</w:t>
      </w:r>
    </w:p>
    <w:p>
      <w:pPr>
        <w:pStyle w:val="Point2"/>
        <w:rPr>
          <w:noProof/>
        </w:rPr>
      </w:pPr>
      <w:r>
        <w:rPr>
          <w:noProof/>
        </w:rPr>
        <w:lastRenderedPageBreak/>
        <w:tab/>
        <w:t>(e)</w:t>
      </w:r>
      <w:r>
        <w:rPr>
          <w:noProof/>
        </w:rPr>
        <w:tab/>
        <w:t>Contraprestația totală plătită sau creditată în fiecare trimestru al Perioadei de Raportare și numărul de Activități Relevante pentru care aceasta a fost plătită sau creditată;</w:t>
      </w:r>
    </w:p>
    <w:p>
      <w:pPr>
        <w:pStyle w:val="Point2"/>
        <w:rPr>
          <w:noProof/>
        </w:rPr>
      </w:pPr>
      <w:r>
        <w:rPr>
          <w:noProof/>
        </w:rPr>
        <w:tab/>
        <w:t>(f)</w:t>
      </w:r>
      <w:r>
        <w:rPr>
          <w:noProof/>
        </w:rPr>
        <w:tab/>
        <w:t>orice onorarii, comisioane sau taxe reținute sau percepute de Operatorul de Platformă care are Obligația de Raportare în fiecare trimestru al Perioadei de Raportare.</w:t>
      </w:r>
    </w:p>
    <w:p>
      <w:pPr>
        <w:pStyle w:val="Point1"/>
        <w:rPr>
          <w:noProof/>
        </w:rPr>
      </w:pPr>
      <w:r>
        <w:rPr>
          <w:noProof/>
        </w:rPr>
        <w:tab/>
        <w:t>3.</w:t>
      </w:r>
      <w:r>
        <w:rPr>
          <w:noProof/>
        </w:rPr>
        <w:tab/>
        <w:t>Pentru fiecare Vânzător Raportabil care a desfășurat o Activitate relevantă care implică închirierea de bunuri imobile:</w:t>
      </w:r>
    </w:p>
    <w:p>
      <w:pPr>
        <w:pStyle w:val="Point2"/>
        <w:rPr>
          <w:noProof/>
        </w:rPr>
      </w:pPr>
      <w:r>
        <w:rPr>
          <w:noProof/>
        </w:rPr>
        <w:tab/>
        <w:t>(a)</w:t>
      </w:r>
      <w:r>
        <w:rPr>
          <w:noProof/>
        </w:rPr>
        <w:tab/>
        <w:t>informațiile care trebuie colectate în temeiul secțiunii II punctul B;</w:t>
      </w:r>
    </w:p>
    <w:p>
      <w:pPr>
        <w:pStyle w:val="Point2"/>
        <w:rPr>
          <w:noProof/>
        </w:rPr>
      </w:pPr>
      <w:r>
        <w:rPr>
          <w:noProof/>
        </w:rPr>
        <w:tab/>
        <w:t>(b)</w:t>
      </w:r>
      <w:r>
        <w:rPr>
          <w:noProof/>
        </w:rPr>
        <w:tab/>
        <w:t>Numărul de Identificare a Contului Financiar, în măsura în care Operatorul de Platformă care are Obligația de Raportare dispune de el și dacă autoritatea competentă din statul membru în care Vânzătorul Raportabil își are rezidența în sensul secțiunii II punctul D nu a notificat în mod public faptul că nu intenționează să utilizeze Numărul de Identificare a Contului Financiar în acest scop;</w:t>
      </w:r>
    </w:p>
    <w:p>
      <w:pPr>
        <w:pStyle w:val="Point2"/>
        <w:rPr>
          <w:noProof/>
        </w:rPr>
      </w:pPr>
      <w:r>
        <w:rPr>
          <w:noProof/>
        </w:rPr>
        <w:tab/>
        <w:t>(c)</w:t>
      </w:r>
      <w:r>
        <w:rPr>
          <w:noProof/>
        </w:rPr>
        <w:tab/>
        <w:t>în cazul în care este diferit de numele Vânzătorului Raportabil, pe lângă Numărul de Identificare a Contului Financiar, numele titularului contului financiar în care se plătește sau se creditează Contraprestația, în măsura în care Operatorul de Platformă care are Obligația de Raportare cunoaște acest nume, precum și orice alte informații de identificare financiară a titularului contului respectiv disponibile pentru Operatorul de Platformă care are Obligația de Raportare;</w:t>
      </w:r>
    </w:p>
    <w:p>
      <w:pPr>
        <w:pStyle w:val="Point2"/>
        <w:rPr>
          <w:noProof/>
        </w:rPr>
      </w:pPr>
      <w:r>
        <w:rPr>
          <w:noProof/>
        </w:rPr>
        <w:tab/>
        <w:t>(d)</w:t>
      </w:r>
      <w:r>
        <w:rPr>
          <w:noProof/>
        </w:rPr>
        <w:tab/>
        <w:t>fiecare stat membru în care Vânzătorul Raportabil are rezidență în sensul prezentei directive, astfel cum este determinat în temeiul secțiunii II punctul D;</w:t>
      </w:r>
    </w:p>
    <w:p>
      <w:pPr>
        <w:pStyle w:val="Point2"/>
        <w:rPr>
          <w:noProof/>
        </w:rPr>
      </w:pPr>
      <w:r>
        <w:rPr>
          <w:noProof/>
        </w:rPr>
        <w:tab/>
        <w:t>(e)</w:t>
      </w:r>
      <w:r>
        <w:rPr>
          <w:noProof/>
        </w:rPr>
        <w:tab/>
        <w:t>adresa fiecărui Bun Imobil Listat, stabilită pe baza procedurii prevăzute în secțiunea II punctul E, și numărul cărții funciare respective sau echivalentul acestuia în temeiul dreptului intern al statului membru în care se află Bunul Imobil respectiv, dacă este disponibil;</w:t>
      </w:r>
    </w:p>
    <w:p>
      <w:pPr>
        <w:pStyle w:val="Point2"/>
        <w:rPr>
          <w:noProof/>
        </w:rPr>
      </w:pPr>
      <w:r>
        <w:rPr>
          <w:noProof/>
        </w:rPr>
        <w:tab/>
        <w:t>(f)</w:t>
      </w:r>
      <w:r>
        <w:rPr>
          <w:noProof/>
        </w:rPr>
        <w:tab/>
        <w:t>Contraprestația totală plătită sau creditată în fiecare trimestru al Perioadei de Raportare și numărul de Activități Relevante corespunzător fiecărui Bun Imobil Listat;</w:t>
      </w:r>
    </w:p>
    <w:p>
      <w:pPr>
        <w:pStyle w:val="Point2"/>
        <w:rPr>
          <w:noProof/>
        </w:rPr>
      </w:pPr>
      <w:r>
        <w:rPr>
          <w:noProof/>
        </w:rPr>
        <w:tab/>
        <w:t>(g)</w:t>
      </w:r>
      <w:r>
        <w:rPr>
          <w:noProof/>
        </w:rPr>
        <w:tab/>
        <w:t>orice onorarii, comisioane sau taxe reținute sau percepute de Operatorul de Platformă care are Obligația de Raportare în fiecare trimestru al Perioadei de Raportare;</w:t>
      </w:r>
    </w:p>
    <w:p>
      <w:pPr>
        <w:pStyle w:val="Point2"/>
        <w:rPr>
          <w:noProof/>
        </w:rPr>
      </w:pPr>
      <w:r>
        <w:rPr>
          <w:noProof/>
        </w:rPr>
        <w:tab/>
        <w:t>(h)</w:t>
      </w:r>
      <w:r>
        <w:rPr>
          <w:noProof/>
        </w:rPr>
        <w:tab/>
        <w:t>dacă este disponibil, numărul de zile pentru care a fost închiriat fiecare Bun Imobil Listat în timpul Perioadei de Raportare și tipul fiecărui Bun Imobil Listat.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18 și anexa II punctul 3</w:t>
      </w:r>
    </w:p>
    <w:p>
      <w:pPr>
        <w:pStyle w:val="Point1"/>
        <w:rPr>
          <w:noProof/>
        </w:rPr>
      </w:pPr>
      <w:r>
        <w:rPr>
          <w:noProof/>
        </w:rPr>
        <w:tab/>
        <w:t>4.</w:t>
      </w:r>
      <w:r>
        <w:rPr>
          <w:noProof/>
        </w:rPr>
        <w:tab/>
        <w:t xml:space="preserve">Fără a aduce atingere punctului B subpunctul 2 litera (a) și subpunctul 3 litera (a), Operatorul de Platformă Raportor nu este obligat să raporteze informațiile care trebuie colectate în temeiul secțiunii II punctul B în cazul în care raportează către o autoritate competentă care folosește un Serviciu de Identificare și se bazează pe confirmarea directă a identității și a rezidenței </w:t>
      </w:r>
      <w:r>
        <w:rPr>
          <w:noProof/>
        </w:rPr>
        <w:lastRenderedPageBreak/>
        <w:t>Vânzătorului prin intermediul unui Serviciu de Identificare pus la dispoziție de un stat membru sau de Uniune pentru a stabili identitatea și toate rezidențele fiscale ale Vânzătorului. În cazul în care Operatorul de Platformă Raportor s-a bazat pe un Serviciu de Identificare pentru a stabili identitatea și toate rezidențele fiscale ale unui Vânzător care face Obiectul Raportării, trebuie să fie raportate numele, identificatorul (identificatorii) Serviciului de Identificare și statul membru (statele membre) emitent(e).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rPr>
      </w:pPr>
      <w:r>
        <w:rPr>
          <w:noProof/>
        </w:rPr>
        <w:tab/>
      </w:r>
      <w:r>
        <w:rPr>
          <w:noProof/>
          <w:highlight w:val="lightGray"/>
        </w:rPr>
        <w:t>5.</w:t>
      </w:r>
      <w:r>
        <w:rPr>
          <w:noProof/>
        </w:rPr>
        <w:tab/>
      </w:r>
      <w:r>
        <w:rPr>
          <w:noProof/>
          <w:highlight w:val="lightGray"/>
        </w:rPr>
        <w:t>Fără a aduce atingere punctului B subpunctele 2 și 3, Operatorul de Platformă care are Obligația de Raportare nu are obligația de a raporta informații în temeiul punctului B subpunctul 2 literele (b), (c), (d), (f) și (g) și al punctului B subpunctul 3 literele (b), (c), (d), (f), (g), (h) și (i) cu privire la un Vânzător Raportabil care este un Operator de Platformă care are Obligația de Raportare sau un operator de platformă care are obligația de raportare dintr-un alt stat membru sau dintr-o jurisdicție din afara Uniunii care nu este o Jurisdicție Calificată din afara Uniunii, astfel cum este definită în secțiunea I punctul A subpunctul 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ManualHeading1"/>
        <w:ind w:left="851" w:hanging="851"/>
        <w:rPr>
          <w:noProof/>
        </w:rPr>
      </w:pPr>
      <w:bookmarkStart w:id="54" w:name="_Toc229742237"/>
      <w:r>
        <w:rPr>
          <w:noProof/>
        </w:rPr>
        <w:t>SECȚIUNEA IV</w:t>
      </w:r>
      <w:bookmarkEnd w:id="54"/>
    </w:p>
    <w:p>
      <w:pPr>
        <w:pStyle w:val="ManualHeading2"/>
        <w:ind w:left="851" w:hanging="851"/>
        <w:rPr>
          <w:noProof/>
        </w:rPr>
      </w:pPr>
      <w:bookmarkStart w:id="55" w:name="_Toc229742238"/>
      <w:r>
        <w:rPr>
          <w:i/>
          <w:noProof/>
        </w:rPr>
        <w:t>PUNEREA ÎN APLICARE EFECTIVĂ</w:t>
      </w:r>
      <w:bookmarkEnd w:id="55"/>
    </w:p>
    <w:p>
      <w:pPr>
        <w:rPr>
          <w:noProof/>
        </w:rPr>
      </w:pPr>
      <w:r>
        <w:rPr>
          <w:noProof/>
        </w:rPr>
        <w:t xml:space="preserve">În temeiul articolului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9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8ac</w:t>
      </w:r>
      <w:r>
        <w:rPr>
          <w:noProof/>
        </w:rPr>
        <w:t>, statele membre instituie norme și proceduri administrative pentru a asigura punerea în aplicare efectivă și respectarea procedurii de diligență fiscală și a cerințelor de raportare stabilite în secțiunile II și III din prezenta anexă.</w:t>
      </w:r>
    </w:p>
    <w:p>
      <w:pPr>
        <w:pStyle w:val="Point0"/>
        <w:rPr>
          <w:noProof/>
        </w:rPr>
      </w:pPr>
      <w:r>
        <w:rPr>
          <w:noProof/>
        </w:rPr>
        <w:tab/>
        <w:t>A.</w:t>
      </w:r>
      <w:r>
        <w:rPr>
          <w:noProof/>
        </w:rPr>
        <w:tab/>
        <w:t xml:space="preserve">Norme de asigurare a respectării cerințelor de colectare și verificare prevăzute în secțiunea II </w:t>
      </w:r>
    </w:p>
    <w:p>
      <w:pPr>
        <w:pStyle w:val="Point1"/>
        <w:rPr>
          <w:noProof/>
        </w:rPr>
      </w:pPr>
      <w:r>
        <w:rPr>
          <w:noProof/>
        </w:rPr>
        <w:tab/>
        <w:t>1.</w:t>
      </w:r>
      <w:r>
        <w:rPr>
          <w:noProof/>
        </w:rPr>
        <w:tab/>
        <w:t>Statele membre iau măsurile necesare pentru a impune Operatorilor de Platforme care au Obligația de Raportare să asigure respectarea cerințelor de colectare și verificare prevăzute în secțiunea II în ceea ce privește Vânzătorii înregistrați pe platformele lor.</w:t>
      </w:r>
    </w:p>
    <w:p>
      <w:pPr>
        <w:pStyle w:val="Point1"/>
        <w:rPr>
          <w:noProof/>
        </w:rPr>
      </w:pPr>
      <w:r>
        <w:rPr>
          <w:noProof/>
        </w:rPr>
        <w:tab/>
        <w:t>2.</w:t>
      </w:r>
      <w:r>
        <w:rPr>
          <w:noProof/>
        </w:rPr>
        <w:tab/>
        <w:t>În cazul în care un Vânzător nu comunică informațiile prevăzute în secțiunea II nici după primirea a două atenționări transmise ulterior solicitării inițiale din partea Operatorului de Platformă care are Obligația de Raportare, dar nu înainte de expirarea unui termen de 60 de zile, Operatorul de Platformă care are Obligația de Raportare închide contul Vânzătorului și nu îi permite acestuia să se înregistreze din nou pe Platformă sau reține plata Contraprestației către Vânzător atât timp cât Vânzătorul nu comunică informațiile solicitate.</w:t>
      </w:r>
    </w:p>
    <w:p>
      <w:pPr>
        <w:pStyle w:val="Point0"/>
        <w:rPr>
          <w:noProof/>
        </w:rPr>
      </w:pPr>
      <w:r>
        <w:rPr>
          <w:noProof/>
        </w:rPr>
        <w:tab/>
        <w:t>B.</w:t>
      </w:r>
      <w:r>
        <w:rPr>
          <w:noProof/>
        </w:rPr>
        <w:tab/>
        <w:t>Norme care impun Operatorilor de Platforme care au Obligația de Raportare să păstreze evidența măsurilor întreprinse și orice informații pe care s-au bazat în îndeplinirea procedurii de diligență fiscală și a cerințelor de raportare, precum și să aplice măsuri adecvate pentru obținerea acestor evidențe</w:t>
      </w:r>
    </w:p>
    <w:p>
      <w:pPr>
        <w:pStyle w:val="Point1"/>
        <w:rPr>
          <w:noProof/>
        </w:rPr>
      </w:pPr>
      <w:r>
        <w:rPr>
          <w:noProof/>
        </w:rPr>
        <w:tab/>
        <w:t>1.</w:t>
      </w:r>
      <w:r>
        <w:rPr>
          <w:noProof/>
        </w:rPr>
        <w:tab/>
        <w:t xml:space="preserve">Statele membre iau măsurile necesare pentru a impune Operatorilor de Platforme care au Obligația de Raportare să păstreze evidența măsurilor </w:t>
      </w:r>
      <w:r>
        <w:rPr>
          <w:noProof/>
        </w:rPr>
        <w:lastRenderedPageBreak/>
        <w:t>întreprinse și orice informații pe care s-au bazat în îndeplinirea procedurii de diligență fiscală și a cerințelor de raportare stabilite în secțiunile II și III. Aceste evidențe rămân disponibile pentru o perioadă suficient de lungă și, în orice caz, pentru cel puțin cinci ani și cel mult zece ani după încheierea Perioadei de Raportare la care se referă.</w:t>
      </w:r>
    </w:p>
    <w:p>
      <w:pPr>
        <w:pStyle w:val="Point1"/>
        <w:rPr>
          <w:noProof/>
        </w:rPr>
      </w:pPr>
      <w:r>
        <w:rPr>
          <w:noProof/>
        </w:rPr>
        <w:tab/>
        <w:t>2.</w:t>
      </w:r>
      <w:r>
        <w:rPr>
          <w:noProof/>
        </w:rPr>
        <w:tab/>
        <w:t>Statele membre iau măsurile necesare, incluzând posibilitatea de a adresa un ordin de raportare Operatorilor de Platforme care au Obligația de Raportare, pentru a se asigura că sunt raportate toate informațiile necesare autorității competente, astfel încât aceasta să își poată îndeplini obligația de a comunica informații în conformitate cu articolul </w:t>
      </w:r>
      <w:r>
        <w:rPr>
          <w:rStyle w:val="CRMinorChangeAdded"/>
          <w:noProof/>
        </w:rPr>
        <w:t>9</w:t>
      </w:r>
      <w:r>
        <w:rPr>
          <w:rStyle w:val="CRMinorChangeDeleted"/>
          <w:noProof/>
        </w:rPr>
        <w:t>8ac</w:t>
      </w:r>
      <w:r>
        <w:rPr>
          <w:noProof/>
        </w:rPr>
        <w:t xml:space="preserve"> alineatul (2).</w:t>
      </w:r>
    </w:p>
    <w:p>
      <w:pPr>
        <w:pStyle w:val="Point0"/>
        <w:rPr>
          <w:noProof/>
        </w:rPr>
      </w:pPr>
      <w:r>
        <w:rPr>
          <w:noProof/>
        </w:rPr>
        <w:tab/>
        <w:t>C.</w:t>
      </w:r>
      <w:r>
        <w:rPr>
          <w:noProof/>
        </w:rPr>
        <w:tab/>
        <w:t>Procedurile administrative de verificare a respectării, de către Operatorii de Platforme care au Obligația de Raportare, a procedurii de diligență fiscală și a cerințelor de raportare</w:t>
      </w:r>
    </w:p>
    <w:p>
      <w:pPr>
        <w:pStyle w:val="Point0"/>
        <w:rPr>
          <w:noProof/>
        </w:rPr>
      </w:pPr>
      <w:r>
        <w:rPr>
          <w:noProof/>
        </w:rPr>
        <w:tab/>
        <w:t>Statele membre stabilesc procedurile administrative de verificare a respectării, de către Operatorii de Platforme care au Obligația de Raportare, a procedurii de diligență fiscală și a cerințelor de raportare prevăzute în secțiunile II și III.</w:t>
      </w:r>
    </w:p>
    <w:p>
      <w:pPr>
        <w:pStyle w:val="Point0"/>
        <w:rPr>
          <w:noProof/>
        </w:rPr>
      </w:pPr>
      <w:r>
        <w:rPr>
          <w:noProof/>
        </w:rPr>
        <w:tab/>
        <w:t>D.</w:t>
      </w:r>
      <w:r>
        <w:rPr>
          <w:noProof/>
        </w:rPr>
        <w:tab/>
        <w:t>Procedurile administrative de comunicare ulterioară cu Operatorul de Platformă care are Obligația de Raportare în situațiile în care se raportează informații incomplete sau incorecte</w:t>
      </w:r>
    </w:p>
    <w:p>
      <w:pPr>
        <w:pStyle w:val="Point0"/>
        <w:rPr>
          <w:noProof/>
        </w:rPr>
      </w:pPr>
      <w:r>
        <w:rPr>
          <w:noProof/>
        </w:rPr>
        <w:tab/>
        <w:t>Statele membre stabilesc procedurile de comunicare ulterioară cu Operatorul de Platformă care are Obligația de Raportare în situațiile în care informațiile raportate sunt incomplete sau incorecte.</w:t>
      </w:r>
    </w:p>
    <w:p>
      <w:pPr>
        <w:pStyle w:val="Point0"/>
        <w:rPr>
          <w:noProof/>
        </w:rPr>
      </w:pPr>
      <w:r>
        <w:rPr>
          <w:noProof/>
        </w:rPr>
        <w:tab/>
        <w:t>E.</w:t>
      </w:r>
      <w:r>
        <w:rPr>
          <w:noProof/>
        </w:rPr>
        <w:tab/>
        <w:t>Procedura administrativă de alegere a unui singur stat membru în care să se raporteze informațiile</w:t>
      </w:r>
    </w:p>
    <w:p>
      <w:pPr>
        <w:pStyle w:val="Point0"/>
        <w:rPr>
          <w:noProof/>
        </w:rPr>
      </w:pPr>
      <w:r>
        <w:rPr>
          <w:noProof/>
        </w:rPr>
        <w:tab/>
        <w:t>Dacă un Operator de Platformă care are Obligația de Raportare în sensul secțiunii I punctul A subpunctul 4 litera (a) îndeplinește oricare dintre condițiile menționate la această dispoziție în mai multe state membre, Operatorul de Platformă care are Obligația de Raportare alege unul dintre respectivele state membre pentru îndeplinirea cerințelor de raportare în temeiul secțiunii III. Operatorul de Platformă care are Obligația de Raportare informează toate autoritățile competente din respectivele state membre în legătură cu alegerea sa.</w:t>
      </w:r>
    </w:p>
    <w:p>
      <w:pPr>
        <w:pStyle w:val="Point0"/>
        <w:rPr>
          <w:noProof/>
        </w:rPr>
      </w:pPr>
      <w:r>
        <w:rPr>
          <w:noProof/>
        </w:rPr>
        <w:tab/>
        <w:t>F.</w:t>
      </w:r>
      <w:r>
        <w:rPr>
          <w:noProof/>
        </w:rPr>
        <w:tab/>
        <w:t>Procedura administrativă de înregistrare unică a unui Operator de Platformă care are Obligația de Raportare</w:t>
      </w:r>
    </w:p>
    <w:p>
      <w:pPr>
        <w:pStyle w:val="Point1"/>
        <w:rPr>
          <w:rStyle w:val="FootnoteReference"/>
          <w:noProof/>
        </w:rPr>
      </w:pPr>
      <w:r>
        <w:rPr>
          <w:noProof/>
        </w:rPr>
        <w:tab/>
        <w:t>1.</w:t>
      </w:r>
      <w:r>
        <w:rPr>
          <w:noProof/>
        </w:rPr>
        <w:tab/>
        <w:t xml:space="preserve">Un Operator de Platformă care are Obligația de Raportare în sensul secțiunii I punctul A subpunctul 4 litera (b) </w:t>
      </w:r>
      <w:r>
        <w:rPr>
          <w:rStyle w:val="CRDeleted"/>
          <w:noProof/>
        </w:rPr>
        <w:t>din prezenta anexă</w:t>
      </w:r>
      <w:r>
        <w:rPr>
          <w:noProof/>
        </w:rPr>
        <w:t xml:space="preserve"> se înregistrează la autoritatea competentă a oricărui stat membru în temeiul articolului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10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8ac(4)</w:t>
      </w:r>
      <w:r>
        <w:rPr>
          <w:noProof/>
        </w:rPr>
        <w:t xml:space="preserve"> atunci când își începe activitatea ca Operator de Platformă.</w:t>
      </w:r>
    </w:p>
    <w:p>
      <w:pPr>
        <w:pStyle w:val="Point1"/>
        <w:rPr>
          <w:noProof/>
        </w:rPr>
      </w:pPr>
      <w:r>
        <w:rPr>
          <w:noProof/>
        </w:rPr>
        <w:tab/>
        <w:t>2.</w:t>
      </w:r>
      <w:r>
        <w:rPr>
          <w:noProof/>
        </w:rPr>
        <w:tab/>
        <w:t>Operatorul de Platformă care are Obligația de Raportare comunică statului membru de înregistrare unică următoarele informații:</w:t>
      </w:r>
    </w:p>
    <w:p>
      <w:pPr>
        <w:pStyle w:val="Point2"/>
        <w:rPr>
          <w:noProof/>
        </w:rPr>
      </w:pPr>
      <w:r>
        <w:rPr>
          <w:noProof/>
        </w:rPr>
        <w:tab/>
        <w:t>(a)</w:t>
      </w:r>
      <w:r>
        <w:rPr>
          <w:noProof/>
        </w:rPr>
        <w:tab/>
        <w:t>numele;</w:t>
      </w:r>
    </w:p>
    <w:p>
      <w:pPr>
        <w:pStyle w:val="Point2"/>
        <w:rPr>
          <w:noProof/>
        </w:rPr>
      </w:pPr>
      <w:r>
        <w:rPr>
          <w:noProof/>
        </w:rPr>
        <w:tab/>
        <w:t>(b)</w:t>
      </w:r>
      <w:r>
        <w:rPr>
          <w:noProof/>
        </w:rPr>
        <w:tab/>
        <w:t>adresa poștală;</w:t>
      </w:r>
    </w:p>
    <w:p>
      <w:pPr>
        <w:pStyle w:val="Point2"/>
        <w:rPr>
          <w:noProof/>
        </w:rPr>
      </w:pPr>
      <w:r>
        <w:rPr>
          <w:noProof/>
        </w:rPr>
        <w:tab/>
        <w:t>(c)</w:t>
      </w:r>
      <w:r>
        <w:rPr>
          <w:noProof/>
        </w:rPr>
        <w:tab/>
        <w:t>adresele electronice, inclusiv site-urile web;</w:t>
      </w:r>
    </w:p>
    <w:p>
      <w:pPr>
        <w:pStyle w:val="Point2"/>
        <w:rPr>
          <w:noProof/>
        </w:rPr>
      </w:pPr>
      <w:r>
        <w:rPr>
          <w:noProof/>
        </w:rPr>
        <w:tab/>
        <w:t>(d)</w:t>
      </w:r>
      <w:r>
        <w:rPr>
          <w:noProof/>
        </w:rPr>
        <w:tab/>
        <w:t>orice NIF care i s-a emis Operatorului de Platformă care are Obligația de Raportare;</w:t>
      </w:r>
    </w:p>
    <w:p>
      <w:pPr>
        <w:pStyle w:val="Point2"/>
        <w:rPr>
          <w:noProof/>
        </w:rPr>
      </w:pPr>
      <w:r>
        <w:rPr>
          <w:noProof/>
        </w:rPr>
        <w:tab/>
        <w:t>(e)</w:t>
      </w:r>
      <w:r>
        <w:rPr>
          <w:noProof/>
        </w:rPr>
        <w:tab/>
        <w:t xml:space="preserve">o declarație cu informații privind identificarea Operatorului de Platformă care are Obligația de Raportare în scopuri de TVA în Uniune, </w:t>
      </w:r>
      <w:r>
        <w:rPr>
          <w:noProof/>
        </w:rPr>
        <w:lastRenderedPageBreak/>
        <w:t xml:space="preserve">în temeiul titlului XII capitolul 6 secțiunile 2 și 3 din Directiva 2006/112/CE a Consiliului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rStyle w:val="FootnoteReference"/>
          <w:noProof/>
        </w:rPr>
        <w:footnoteReference w:id="3"/>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pStyle w:val="Point2"/>
        <w:rPr>
          <w:noProof/>
        </w:rPr>
      </w:pPr>
      <w:r>
        <w:rPr>
          <w:noProof/>
        </w:rPr>
        <w:tab/>
        <w:t>(f)</w:t>
      </w:r>
      <w:r>
        <w:rPr>
          <w:noProof/>
        </w:rPr>
        <w:tab/>
        <w:t>statele membre în care Vânzătorii Raportabili sunt rezidenți în sensul secțiunii II punctul D.</w:t>
      </w:r>
    </w:p>
    <w:p>
      <w:pPr>
        <w:pStyle w:val="Point1"/>
        <w:rPr>
          <w:noProof/>
        </w:rPr>
      </w:pPr>
      <w:r>
        <w:rPr>
          <w:noProof/>
        </w:rPr>
        <w:tab/>
        <w:t>3.</w:t>
      </w:r>
      <w:r>
        <w:rPr>
          <w:noProof/>
        </w:rPr>
        <w:tab/>
        <w:t>Operatorul de Platformă care are Obligația de Raportare informează statul membru de înregistrare unică cu privire la orice modificări ale informațiilor prevăzute la punctul F subpunctul 2.</w:t>
      </w:r>
    </w:p>
    <w:p>
      <w:pPr>
        <w:pStyle w:val="Point1"/>
        <w:rPr>
          <w:noProof/>
        </w:rPr>
      </w:pPr>
      <w:r>
        <w:rPr>
          <w:noProof/>
        </w:rPr>
        <w:tab/>
        <w:t>4.</w:t>
      </w:r>
      <w:r>
        <w:rPr>
          <w:noProof/>
        </w:rPr>
        <w:tab/>
        <w:t>Statul membru de înregistrare unică alocă un număr individual de identificare Operatorului de Platformă care are Obligația de Raportare și comunică acest număr autorităților competente din toate statele membre prin mijloace electronice.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18 și anexa II punctul 4</w:t>
      </w:r>
    </w:p>
    <w:p>
      <w:pPr>
        <w:pStyle w:val="Point1"/>
        <w:rPr>
          <w:noProof/>
        </w:rPr>
      </w:pPr>
      <w:r>
        <w:rPr>
          <w:noProof/>
        </w:rPr>
        <w:tab/>
        <w:t>5.</w:t>
      </w:r>
      <w:r>
        <w:rPr>
          <w:noProof/>
        </w:rPr>
        <w:tab/>
        <w:t>Statul membru de înregistrare unică elimină din registrul central un Operator de Platformă Raportor în următoarele cazuri: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20 și anexa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2"/>
        <w:rPr>
          <w:noProof/>
        </w:rPr>
      </w:pPr>
      <w:r>
        <w:rPr>
          <w:noProof/>
        </w:rPr>
        <w:tab/>
        <w:t>(a)</w:t>
      </w:r>
      <w:r>
        <w:rPr>
          <w:noProof/>
        </w:rPr>
        <w:tab/>
        <w:t>Operatorul de Platformă informează respectivul stat membru că nu mai desfășoară nicio activitate în calitate de Operator de Platformă;</w:t>
      </w:r>
    </w:p>
    <w:p>
      <w:pPr>
        <w:pStyle w:val="Point2"/>
        <w:rPr>
          <w:noProof/>
        </w:rPr>
      </w:pPr>
      <w:r>
        <w:rPr>
          <w:noProof/>
        </w:rPr>
        <w:tab/>
        <w:t>(b)</w:t>
      </w:r>
      <w:r>
        <w:rPr>
          <w:noProof/>
        </w:rPr>
        <w:tab/>
        <w:t>în absența unei notificări în temeiul literei (a), există motive pentru a presupune că activitatea unui Operator de Platformă a încetat;</w:t>
      </w:r>
    </w:p>
    <w:p>
      <w:pPr>
        <w:pStyle w:val="Point2"/>
        <w:rPr>
          <w:noProof/>
        </w:rPr>
      </w:pPr>
      <w:r>
        <w:rPr>
          <w:noProof/>
        </w:rPr>
        <w:tab/>
        <w:t>(c)</w:t>
      </w:r>
      <w:r>
        <w:rPr>
          <w:noProof/>
        </w:rPr>
        <w:tab/>
        <w:t>Operatorul de Platformă nu mai îndeplinește condițiile prevăzute în secțiunea I punctul A subpunctul 4 litera (b);</w:t>
      </w:r>
    </w:p>
    <w:p>
      <w:pPr>
        <w:pStyle w:val="Point2"/>
        <w:rPr>
          <w:noProof/>
        </w:rPr>
      </w:pPr>
      <w:r>
        <w:rPr>
          <w:noProof/>
        </w:rPr>
        <w:tab/>
        <w:t>(d)</w:t>
      </w:r>
      <w:r>
        <w:rPr>
          <w:noProof/>
        </w:rPr>
        <w:tab/>
      </w:r>
      <w:r>
        <w:rPr>
          <w:rStyle w:val="CRDeleted"/>
          <w:noProof/>
        </w:rPr>
        <w:t>statele membre au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statul membru 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revocat înregistrarea la autoritatea sa competentă în temeiul punctului F subpunctul 7.</w:t>
      </w:r>
    </w:p>
    <w:p>
      <w:pPr>
        <w:pStyle w:val="Point1"/>
        <w:rPr>
          <w:noProof/>
        </w:rPr>
      </w:pPr>
      <w:r>
        <w:rPr>
          <w:noProof/>
        </w:rPr>
        <w:tab/>
        <w:t>6.</w:t>
      </w:r>
      <w:r>
        <w:rPr>
          <w:noProof/>
        </w:rPr>
        <w:tab/>
        <w:t xml:space="preserve">Fiecare stat membru informează de îndată Comisia cu privire la orice Operator de Platformă în sensul secțiunii I punctul A subpunctul 4 litera (b) care își începe activitatea de Operator de Platformă fără să se înregistreze în conformitate cu prezentul punct. </w:t>
      </w:r>
    </w:p>
    <w:p>
      <w:pPr>
        <w:pStyle w:val="Point1"/>
        <w:rPr>
          <w:noProof/>
        </w:rPr>
      </w:pPr>
      <w:r>
        <w:rPr>
          <w:noProof/>
        </w:rPr>
        <w:tab/>
        <w:t>Dacă un Operator de Platformă care are Obligația de Raportare nu respectă obligația de înregistrare sau dacă înregistrarea sa a fost revocată în conformitate cu punctul F subpunctul 7 din prezenta secțiune, statele membre iau măsuri efective, proporționale și disuasive, fără a aduce atingere articolului </w:t>
      </w:r>
      <w:r>
        <w:rPr>
          <w:rStyle w:val="CRMinorChangeAdded"/>
          <w:noProof/>
        </w:rPr>
        <w:t>34</w:t>
      </w:r>
      <w:r>
        <w:rPr>
          <w:rStyle w:val="CRMinorChangeDeleted"/>
          <w:noProof/>
        </w:rPr>
        <w:t>25a</w:t>
      </w:r>
      <w:r>
        <w:rPr>
          <w:noProof/>
        </w:rPr>
        <w:t>, pentru a asigura conformitatea în jurisdicția lor. Alegerea acestor măsuri rămâne la latitudinea statelor membre. Statele membre se străduiesc, de asemenea, să își coordoneze acțiunile menite să asigure conformitatea, inclusiv, în ultimă instanță, să împiedice Operatorul de Platformă care are Obligația de Raportare să își desfășoare activitatea în cadrul Uniunii.</w:t>
      </w:r>
    </w:p>
    <w:p>
      <w:pPr>
        <w:pStyle w:val="Point1"/>
        <w:rPr>
          <w:noProof/>
        </w:rPr>
      </w:pPr>
      <w:r>
        <w:rPr>
          <w:noProof/>
        </w:rPr>
        <w:lastRenderedPageBreak/>
        <w:tab/>
        <w:t>7.</w:t>
      </w:r>
      <w:r>
        <w:rPr>
          <w:noProof/>
        </w:rPr>
        <w:tab/>
        <w:t xml:space="preserve">Dacă un Operator de Platformă care are Obligația de Raportare nu respectă obligația de raportare în conformitate cu secțiunea III punctul A subpunctul 3 din prezenta anexă după două atenționări din partea statului membru de înregistrare unică, statul membru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respectiv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ia măsurile necesare,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conformitate cu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fără a aduce atingere</w:t>
      </w:r>
      <w:r>
        <w:rPr>
          <w:noProof/>
        </w:rPr>
        <w:t xml:space="preserve"> articolul</w:t>
      </w:r>
      <w:r>
        <w:rPr>
          <w:rStyle w:val="CRMinorChangeDeleted"/>
          <w:noProof/>
        </w:rPr>
        <w:t>ui</w:t>
      </w:r>
      <w:r>
        <w:rPr>
          <w:noProof/>
        </w:rPr>
        <w:t> </w:t>
      </w:r>
      <w:r>
        <w:rPr>
          <w:rStyle w:val="CRMinorChangeAdded"/>
          <w:noProof/>
        </w:rPr>
        <w:t>34</w:t>
      </w:r>
      <w:r>
        <w:rPr>
          <w:rStyle w:val="CRMinorChangeDeleted"/>
          <w:noProof/>
        </w:rPr>
        <w:t>25a</w:t>
      </w:r>
      <w:r>
        <w:rPr>
          <w:noProof/>
        </w:rPr>
        <w:t xml:space="preserve">, pentru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se asigura că sancțiunile prevăzute sunt puse în aplicare în cazul încălcărilor și pentru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 revoca înregistrarea Operatorului de Platformă care are Obligația de Raportare efectuată în temeiul articolului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10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8ac alineatul (4)</w:t>
      </w:r>
      <w:r>
        <w:rPr>
          <w:noProof/>
        </w:rPr>
        <w:t>. Înregistrarea se revocă cel târziu după expirarea unui termen de 90 de zile, dar nu înainte de expirarea unui termen de 30 de zile de la a doua atenționare.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rFonts w:eastAsia="Times New Roman"/>
          <w:noProof/>
          <w:highlight w:val="lightGray"/>
        </w:rPr>
      </w:pPr>
      <w:r>
        <w:rPr>
          <w:noProof/>
          <w:highlight w:val="lightGray"/>
        </w:rPr>
        <w:t>8. Autoritățile competente ale statelor membre depun eforturi pentru a notifica următoarele informații, de care au cunoștință și care pot fi utile autorităților competente ale celorlalte state membre în scopul asigurării respectării legislației, [ în ceea ce privește cazurile de neconformitate] menționate la punctele 6 și 7:</w:t>
      </w:r>
    </w:p>
    <w:p>
      <w:pPr>
        <w:pStyle w:val="Point1"/>
        <w:ind w:firstLine="0"/>
        <w:rPr>
          <w:rFonts w:eastAsia="Times New Roman"/>
          <w:noProof/>
          <w:highlight w:val="lightGray"/>
        </w:rPr>
      </w:pPr>
      <w:r>
        <w:rPr>
          <w:noProof/>
          <w:highlight w:val="lightGray"/>
        </w:rPr>
        <w:t>(a)</w:t>
      </w:r>
      <w:r>
        <w:rPr>
          <w:noProof/>
          <w:highlight w:val="lightGray"/>
        </w:rPr>
        <w:tab/>
        <w:t xml:space="preserve">orice informații de identificare a Operatorului de Platformă care are Obligația de Raportare, inclusiv informațiile enumerate în secțiunea IV punctul F subpunctul 2 literele (a)-(e); </w:t>
      </w:r>
    </w:p>
    <w:p>
      <w:pPr>
        <w:pStyle w:val="Point1"/>
        <w:ind w:firstLine="0"/>
        <w:rPr>
          <w:noProof/>
          <w:highlight w:val="lightGray"/>
        </w:rPr>
      </w:pPr>
      <w:r>
        <w:rPr>
          <w:noProof/>
          <w:highlight w:val="lightGray"/>
        </w:rPr>
        <w:t>(b)</w:t>
      </w:r>
      <w:r>
        <w:rPr>
          <w:noProof/>
          <w:highlight w:val="lightGray"/>
        </w:rPr>
        <w:tab/>
        <w:t>tipul de Activitate Relevantă în sensul secțiunii I punctul A subpunctul 8 facilitată de Operatorul de Platformă și, dacă informația este disponibilă, statul membru (statele membre) în care se desfășoară astfel de Activități Relevante;</w:t>
      </w:r>
    </w:p>
    <w:p>
      <w:pPr>
        <w:pStyle w:val="Point1"/>
        <w:ind w:firstLine="0"/>
        <w:rPr>
          <w:rFonts w:eastAsia="Times New Roman"/>
          <w:noProof/>
          <w:szCs w:val="24"/>
          <w:highlight w:val="lightGray"/>
        </w:rPr>
      </w:pPr>
      <w:r>
        <w:rPr>
          <w:noProof/>
          <w:highlight w:val="lightGray"/>
        </w:rPr>
        <w:t>(c)</w:t>
      </w:r>
      <w:r>
        <w:rPr>
          <w:noProof/>
          <w:highlight w:val="lightGray"/>
        </w:rPr>
        <w:tab/>
        <w:t>un rezumat al cazului de neconformitate, inclusiv o descriere a naturii încălcării, perioada de raportare la care se referă și orice alte informații care ar putea ajuta autoritățile competente ale statelor membre în cauză să evalueze cazul;</w:t>
      </w:r>
    </w:p>
    <w:p>
      <w:pPr>
        <w:pStyle w:val="Point1"/>
        <w:ind w:firstLine="0"/>
        <w:rPr>
          <w:rFonts w:eastAsia="Times New Roman"/>
          <w:noProof/>
          <w:szCs w:val="24"/>
          <w:highlight w:val="lightGray"/>
        </w:rPr>
      </w:pPr>
      <w:r>
        <w:rPr>
          <w:noProof/>
          <w:highlight w:val="lightGray"/>
        </w:rPr>
        <w:t>(d)</w:t>
      </w:r>
      <w:r>
        <w:rPr>
          <w:noProof/>
          <w:highlight w:val="lightGray"/>
        </w:rPr>
        <w:tab/>
        <w:t>orice acțiune de asigurare a conformității sau de asigurare a respectării legislației întreprinsă în ceea ce privește Operatorul de Platformă de către unul sau mai multe state membre, precum și rezultatele acestor acțiuni, dacă sunt cunoscute.</w:t>
      </w:r>
    </w:p>
    <w:p>
      <w:pPr>
        <w:rPr>
          <w:noProof/>
        </w:rPr>
      </w:pPr>
    </w:p>
    <w:p>
      <w:pPr>
        <w:rPr>
          <w:noProof/>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19 și anexa III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Annexetitre"/>
        <w:rPr>
          <w:noProof/>
        </w:rPr>
      </w:pPr>
      <w:r>
        <w:rPr>
          <w:noProof/>
        </w:rPr>
        <w:t>ANEXA VI</w:t>
      </w:r>
    </w:p>
    <w:p>
      <w:pPr>
        <w:pStyle w:val="NormalCentered"/>
        <w:rPr>
          <w:b/>
          <w:noProof/>
        </w:rPr>
      </w:pPr>
      <w:r>
        <w:rPr>
          <w:b/>
          <w:noProof/>
        </w:rPr>
        <w:t>CERINȚE DE RAPORTARE, PROCEDURI DE DILIGENȚĂ FISCALĂ ȘI ALTE NORME APLICABILE FURNIZORILOR DE SERVICII DE CRIPTOACTIVE RAPORTORI</w:t>
      </w:r>
    </w:p>
    <w:p>
      <w:pPr>
        <w:rPr>
          <w:noProof/>
        </w:rPr>
      </w:pPr>
      <w:r>
        <w:rPr>
          <w:noProof/>
        </w:rPr>
        <w:t>Prezenta anexă stabilește cerințele de raportare, procedurile de diligență fiscală și alte norme care se aplică de către Furnizorii de Servicii de Criptoactive Raportori pentru ca statele membre să poată comunica, prin schimb automat, informațiile menționate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w:t>
      </w:r>
      <w:r>
        <w:rPr>
          <w:noProof/>
        </w:rPr>
        <w:t>.</w:t>
      </w:r>
    </w:p>
    <w:p>
      <w:pPr>
        <w:rPr>
          <w:noProof/>
        </w:rPr>
      </w:pPr>
      <w:r>
        <w:rPr>
          <w:noProof/>
        </w:rPr>
        <w:t>Prezenta anexă stabilește, de asemenea, normele și procedurile administrative pe care statele membre le instituie pentru a asigura atât punerea în aplicare efectivă, cât și respectarea cerințelor de raportare și a procedurilor de diligență fiscală prevăzute în aceasta.</w:t>
      </w:r>
    </w:p>
    <w:p>
      <w:pPr>
        <w:pStyle w:val="ManualHeading1"/>
        <w:ind w:left="851" w:hanging="851"/>
        <w:rPr>
          <w:noProof/>
        </w:rPr>
      </w:pPr>
      <w:bookmarkStart w:id="56" w:name="_Toc229742239"/>
      <w:r>
        <w:rPr>
          <w:noProof/>
        </w:rPr>
        <w:t>SECȚIUNEA I</w:t>
      </w:r>
      <w:bookmarkEnd w:id="56"/>
    </w:p>
    <w:p>
      <w:pPr>
        <w:pStyle w:val="ManualHeading2"/>
        <w:ind w:left="851" w:hanging="851"/>
        <w:rPr>
          <w:noProof/>
        </w:rPr>
      </w:pPr>
      <w:bookmarkStart w:id="57" w:name="_Toc229742240"/>
      <w:r>
        <w:rPr>
          <w:i/>
          <w:noProof/>
        </w:rPr>
        <w:t>OBLIGAȚIILE FURNIZORILOR DE SERVICII DE CRIPTOACTIVE RAPORTORI</w:t>
      </w:r>
      <w:bookmarkEnd w:id="57"/>
    </w:p>
    <w:p>
      <w:pPr>
        <w:pStyle w:val="Point0"/>
        <w:rPr>
          <w:noProof/>
        </w:rPr>
      </w:pPr>
      <w:r>
        <w:rPr>
          <w:noProof/>
        </w:rPr>
        <w:tab/>
        <w:t>A.</w:t>
      </w:r>
      <w:r>
        <w:rPr>
          <w:noProof/>
        </w:rPr>
        <w:tab/>
        <w:t>Furnizorului de Servicii de Criptoactive Raportor în sensul definiției din secțiunea IV punctul B subpunctul 3, îi revin obligațiile de raportare și de diligență fiscală prevăzute în secțiunile II și III într-un stat membru dacă:</w:t>
      </w:r>
    </w:p>
    <w:p>
      <w:pPr>
        <w:pStyle w:val="Point1"/>
        <w:rPr>
          <w:noProof/>
        </w:rPr>
      </w:pPr>
      <w:r>
        <w:rPr>
          <w:noProof/>
        </w:rPr>
        <w:tab/>
        <w:t>1.</w:t>
      </w:r>
      <w:r>
        <w:rPr>
          <w:noProof/>
        </w:rPr>
        <w:tab/>
        <w:t xml:space="preserve">este o Entitate autorizată de un stat membru în conformitate cu articolul 63 din Regulamentul (UE) 2023/1114 sau autorizată să furnizeze Servicii de Criptoactive în urma unei notificări adresate unui stat membru în conformitate cu articolul 60 din </w:t>
      </w:r>
      <w:r>
        <w:rPr>
          <w:rStyle w:val="CRMinorChangeAdded"/>
          <w:noProof/>
        </w:rPr>
        <w:t>r</w:t>
      </w:r>
      <w:r>
        <w:rPr>
          <w:rStyle w:val="CRMinorChangeDeleted"/>
          <w:noProof/>
        </w:rPr>
        <w:t>R</w:t>
      </w:r>
      <w:r>
        <w:rPr>
          <w:noProof/>
        </w:rPr>
        <w:t xml:space="preserve">egulamentul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respectiv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(UE) 2023/1114</w:t>
      </w:r>
      <w:r>
        <w:rPr>
          <w:noProof/>
        </w:rPr>
        <w:t>; sau</w:t>
      </w:r>
    </w:p>
    <w:p>
      <w:pPr>
        <w:pStyle w:val="Point1"/>
        <w:rPr>
          <w:noProof/>
        </w:rPr>
      </w:pPr>
      <w:r>
        <w:rPr>
          <w:noProof/>
        </w:rPr>
        <w:tab/>
        <w:t>2.</w:t>
      </w:r>
      <w:r>
        <w:rPr>
          <w:noProof/>
        </w:rPr>
        <w:tab/>
        <w:t xml:space="preserve">nu este o Entitate autorizată de un stat membru în conformitate cu articolul 63 din Regulamentul (UE) 2023/1114 sau autorizată să furnizeze Servicii de Criptoactive în urma unei notificări adresate unui stat membru în conformitate cu articolul 60 din </w:t>
      </w:r>
      <w:r>
        <w:rPr>
          <w:rStyle w:val="CRMinorChangeAdded"/>
          <w:noProof/>
        </w:rPr>
        <w:t>r</w:t>
      </w:r>
      <w:r>
        <w:rPr>
          <w:rStyle w:val="CRMinorChangeDeleted"/>
          <w:noProof/>
        </w:rPr>
        <w:t>R</w:t>
      </w:r>
      <w:r>
        <w:rPr>
          <w:noProof/>
        </w:rPr>
        <w:t xml:space="preserve">egulamentul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respectiv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(UE) 2023/1114</w:t>
      </w:r>
      <w:r>
        <w:rPr>
          <w:noProof/>
        </w:rPr>
        <w:t xml:space="preserve"> și este:</w:t>
      </w:r>
    </w:p>
    <w:p>
      <w:pPr>
        <w:pStyle w:val="Point2"/>
        <w:rPr>
          <w:noProof/>
        </w:rPr>
      </w:pPr>
      <w:r>
        <w:rPr>
          <w:noProof/>
        </w:rPr>
        <w:tab/>
        <w:t>(a)</w:t>
      </w:r>
      <w:r>
        <w:rPr>
          <w:noProof/>
        </w:rPr>
        <w:tab/>
        <w:t>o Entitate sau persoană fizică cu rezidența fiscală într-un stat membru;</w:t>
      </w:r>
    </w:p>
    <w:p>
      <w:pPr>
        <w:pStyle w:val="Point2"/>
        <w:rPr>
          <w:noProof/>
        </w:rPr>
      </w:pPr>
      <w:r>
        <w:rPr>
          <w:noProof/>
        </w:rPr>
        <w:tab/>
        <w:t>(b)</w:t>
      </w:r>
      <w:r>
        <w:rPr>
          <w:noProof/>
        </w:rPr>
        <w:tab/>
        <w:t>o Entitate care: (i) este înregistrată sau organizată în temeiul legislației unui stat membru și (ii) fie are personalitate juridică într-un stat membru, fie are obligația de a depune declarații fiscale sau declarații fiscale de informare la autoritățile fiscale dintr-un stat membru cu privire la veniturile Entității;</w:t>
      </w:r>
    </w:p>
    <w:p>
      <w:pPr>
        <w:pStyle w:val="Point2"/>
        <w:rPr>
          <w:noProof/>
        </w:rPr>
      </w:pPr>
      <w:r>
        <w:rPr>
          <w:noProof/>
        </w:rPr>
        <w:tab/>
        <w:t>(c)</w:t>
      </w:r>
      <w:r>
        <w:rPr>
          <w:noProof/>
        </w:rPr>
        <w:tab/>
        <w:t>o Entitate administrată dintr-un stat membru; sau</w:t>
      </w:r>
    </w:p>
    <w:p>
      <w:pPr>
        <w:pStyle w:val="Point2"/>
        <w:rPr>
          <w:noProof/>
        </w:rPr>
      </w:pPr>
      <w:r>
        <w:rPr>
          <w:noProof/>
        </w:rPr>
        <w:tab/>
        <w:t>(d)</w:t>
      </w:r>
      <w:r>
        <w:rPr>
          <w:noProof/>
        </w:rPr>
        <w:tab/>
        <w:t>o Entitate sau o persoană fizică care are un loc obișnuit de desfășurare a activității într-un stat membru.</w:t>
      </w:r>
    </w:p>
    <w:p>
      <w:pPr>
        <w:pStyle w:val="Point0"/>
        <w:rPr>
          <w:noProof/>
        </w:rPr>
      </w:pPr>
      <w:r>
        <w:rPr>
          <w:noProof/>
        </w:rPr>
        <w:tab/>
        <w:t>B.</w:t>
      </w:r>
      <w:r>
        <w:rPr>
          <w:noProof/>
        </w:rPr>
        <w:tab/>
        <w:t>Furnizorului de Servicii de Criptoactive Raportor îi revin obligațiile de raportare și de diligență fiscală prevăzute în secțiunile II și, respectiv, III într-un stat membru în ceea ce privește Tranzacțiile care fac Obiectul Raportării efectuate prin intermediul unei Sucursale cu sediul într-un stat membru.</w:t>
      </w:r>
    </w:p>
    <w:p>
      <w:pPr>
        <w:pStyle w:val="Point0"/>
        <w:rPr>
          <w:noProof/>
        </w:rPr>
      </w:pPr>
      <w:r>
        <w:rPr>
          <w:noProof/>
        </w:rPr>
        <w:lastRenderedPageBreak/>
        <w:tab/>
        <w:t>C.</w:t>
      </w:r>
      <w:r>
        <w:rPr>
          <w:noProof/>
        </w:rPr>
        <w:tab/>
        <w:t>Unui Furnizor de Servicii de Criptoactive Raportor care este o Entitate nu îi revin obligațiile de raportare și de diligență fiscală prevăzute în secțiunile II și, respectiv, III într-un stat membru de care aparține în temeiul punctului A subpunctul 2 litera (b), (c) sau (d) în cazul în care obligațiile respective sunt îndeplinite de respectivul Furnizor de Servicii de Criptoactive Raportor în orice alt stat membru sau într-o Jurisdicție Calificată din afara Uniunii în temeiul faptului că are rezidența fiscală în respectivul stat membru sau în respectiva Jurisdicție Calificată din afara Uniunii.</w:t>
      </w:r>
    </w:p>
    <w:p>
      <w:pPr>
        <w:pStyle w:val="Point0"/>
        <w:rPr>
          <w:noProof/>
        </w:rPr>
      </w:pPr>
      <w:r>
        <w:rPr>
          <w:noProof/>
        </w:rPr>
        <w:tab/>
        <w:t>D.</w:t>
      </w:r>
      <w:r>
        <w:rPr>
          <w:noProof/>
        </w:rPr>
        <w:tab/>
        <w:t>Unui Furnizor de Servicii de Criptoactive Raportor care este o Entitate nu îi revin obligațiile de raportare și de diligență fiscală prevăzute în secțiunile II și III într-un stat membru de care aparține în temeiul punctului A subpunctul 2 litera (c) sau (d) în cazul în care obligațiile respective sunt îndeplinite de respectivul Furnizor de Servicii de Criptoactive Raportor în orice alt stat membru sau într-o Jurisdicție Calificată din afara Uniunii în temeiul faptului că este o Entitate care: (a) este înregistrată sau organizată în temeiul legislației statului membru sau ale Jurisdicției Calificate din afara Uniunii respective și (b) fie are personalitate juridică în celălalt stat membru sau cealaltă Jurisdicție Calificată din afara Uniunii, fie are obligația de a depune declarații fiscale sau declarații fiscale de informare la autoritățile fiscale din celălalt stat membru sau din Jurisdicția Calificată din afara Uniunii cu privire la veniturile Entității.</w:t>
      </w:r>
    </w:p>
    <w:p>
      <w:pPr>
        <w:pStyle w:val="Point0"/>
        <w:rPr>
          <w:noProof/>
        </w:rPr>
      </w:pPr>
      <w:r>
        <w:rPr>
          <w:noProof/>
        </w:rPr>
        <w:tab/>
        <w:t>E.</w:t>
      </w:r>
      <w:r>
        <w:rPr>
          <w:noProof/>
        </w:rPr>
        <w:tab/>
        <w:t>Unui Furnizor de Servicii de Criptoactive Raportor care este o Entitate nu îi revin obligațiile de raportare și de diligență fiscală prevăzute în secțiunile II și, respectiv, III într-un stat membru de care aparține în temeiul punctului A subpunctul 2 litera (d) în cazul în care obligațiile respective sunt îndeplinite de respectivul Furnizor de Servicii de Criptoactive Raportor în orice alt stat membru sau într-o Jurisdicție Calificată din afara Uniunii în temeiul faptului că este administrat din respectivul stat membru sau respectiva Jurisdicție Calificată din afara Uniunii.</w:t>
      </w:r>
    </w:p>
    <w:p>
      <w:pPr>
        <w:pStyle w:val="Point0"/>
        <w:rPr>
          <w:noProof/>
        </w:rPr>
      </w:pPr>
      <w:r>
        <w:rPr>
          <w:noProof/>
        </w:rPr>
        <w:tab/>
        <w:t>F.</w:t>
      </w:r>
      <w:r>
        <w:rPr>
          <w:noProof/>
        </w:rPr>
        <w:tab/>
        <w:t>Unui Furnizor de Servicii de Criptoactive Raportor care este o persoană fizică nu îi revin obligațiile de raportare și de diligență fiscală prevăzute în secțiunile II și III într-un stat membru de care aparține în temeiul punctului A subpunctul 2 litera (d) în cazul în care obligațiile respective sunt îndeplinite de respectivul Furnizor de Servicii de Criptoactive Raportor în orice alt stat membru sau într-o Jurisdicție Calificată din afara Uniunii în temeiul faptului că are rezidența fiscală în respectivul stat membru sau în respectiva Jurisdicție Calificată din afara Uniunii.</w:t>
      </w:r>
    </w:p>
    <w:p>
      <w:pPr>
        <w:pStyle w:val="Point0"/>
        <w:rPr>
          <w:noProof/>
        </w:rPr>
      </w:pPr>
      <w:r>
        <w:rPr>
          <w:noProof/>
        </w:rPr>
        <w:tab/>
        <w:t>G.</w:t>
      </w:r>
      <w:r>
        <w:rPr>
          <w:noProof/>
        </w:rPr>
        <w:tab/>
        <w:t>Unui Furnizor de Servicii de Criptoactive Raportor nu îi revin obligațiile de raportare și de diligență fiscală prevăzute în secțiunile II și, respectiv, III într-un stat membru de care aparține în temeiul punctului A subpunctul 2, litera (a), (b), (c) sau (d) în cazul în care acesta a depus o notificare într-un stat membru, într-un format specificat de statul membru respectiv, prin care se confirmă că obligațiile respective sunt îndeplinite de respectivul Furnizor de Servicii de Criptoactive Raportor în conformitate cu normele din orice alt stat membru sau Jurisdicție Calificată din afara Uniunii, în temeiul unor criterii care sunt în esență similare cu punctul A subpunctul 2 litera (a), (b), (c) sau, respectiv, (d).</w:t>
      </w:r>
    </w:p>
    <w:p>
      <w:pPr>
        <w:pStyle w:val="Point0"/>
        <w:rPr>
          <w:noProof/>
        </w:rPr>
      </w:pPr>
      <w:r>
        <w:rPr>
          <w:noProof/>
        </w:rPr>
        <w:tab/>
        <w:t>H.</w:t>
      </w:r>
      <w:r>
        <w:rPr>
          <w:noProof/>
        </w:rPr>
        <w:tab/>
        <w:t>Unui Furnizor de Servicii de Criptoactive Raportor nu îi revin obligațiile de raportare și de diligență fiscală prevăzute în secțiunile II și, respectiv, III într-un stat membru cu privire la Tranzacțiile care fac Obiectul Raportării pe care le efectuează prin intermediul unei Sucursale din orice alt stat membru sau Jurisdicție Calificată din afara Uniunii, în cazul în care obligațiile respective sunt îndeplinite de respectiva Sucursală într-un astfel de alt stat membru sau Jurisdicție Calificată din afara Uniunii.</w:t>
      </w:r>
    </w:p>
    <w:p>
      <w:pPr>
        <w:pStyle w:val="ManualHeading1"/>
        <w:ind w:left="851" w:hanging="851"/>
        <w:rPr>
          <w:noProof/>
        </w:rPr>
      </w:pPr>
      <w:bookmarkStart w:id="58" w:name="_Toc229742241"/>
      <w:r>
        <w:rPr>
          <w:noProof/>
        </w:rPr>
        <w:lastRenderedPageBreak/>
        <w:t>SECȚIUNEA II</w:t>
      </w:r>
      <w:bookmarkEnd w:id="58"/>
    </w:p>
    <w:p>
      <w:pPr>
        <w:pStyle w:val="ManualHeading2"/>
        <w:ind w:left="851" w:hanging="851"/>
        <w:rPr>
          <w:noProof/>
        </w:rPr>
      </w:pPr>
      <w:bookmarkStart w:id="59" w:name="_Toc229742242"/>
      <w:r>
        <w:rPr>
          <w:i/>
          <w:noProof/>
        </w:rPr>
        <w:t>CERINȚE DE RAPORTARE</w:t>
      </w:r>
      <w:bookmarkEnd w:id="59"/>
    </w:p>
    <w:p>
      <w:pPr>
        <w:pStyle w:val="Point0"/>
        <w:rPr>
          <w:noProof/>
        </w:rPr>
      </w:pPr>
      <w:r>
        <w:rPr>
          <w:noProof/>
        </w:rPr>
        <w:tab/>
        <w:t>A.</w:t>
      </w:r>
      <w:r>
        <w:rPr>
          <w:noProof/>
        </w:rPr>
        <w:tab/>
        <w:t>Un Furnizor de Servicii de Criptoactive Raportor în sensul secțiunii I punctele A și B raportează informațiile menționate la punctul B al prezentei secțiuni autorității competente a statului membru în care are obligații de raportare în conformitate cu secțiunea I.</w:t>
      </w:r>
    </w:p>
    <w:p>
      <w:pPr>
        <w:pStyle w:val="Point0"/>
        <w:rPr>
          <w:noProof/>
        </w:rPr>
      </w:pPr>
      <w:r>
        <w:rPr>
          <w:noProof/>
        </w:rPr>
        <w:tab/>
        <w:t>B.</w:t>
      </w:r>
      <w:r>
        <w:rPr>
          <w:noProof/>
        </w:rPr>
        <w:tab/>
        <w:t xml:space="preserve">Pentru fiecare an calendaristic relevant sau pentru fiecare altă perioadă de raportare adecvată și sub rezerva obligațiilor Furnizorilor de Servicii de Criptoactive Raportori prevăzute în secțiunea I și a procedurilor de diligență fiscală prevăzute în secțiunea III, un Furnizor de Servicii de Criptoactive Raportor raportează, cu privire la Utilizatorii săi de Criptoactive care sunt Utilizatori care fac Obiectul Raportării sau care au Persoane care exercită Controlul care sunt Persoane care fac Obiectul Raportării, următoarele informații: </w:t>
      </w:r>
    </w:p>
    <w:p>
      <w:pPr>
        <w:pStyle w:val="Point1"/>
        <w:rPr>
          <w:noProof/>
        </w:rPr>
      </w:pPr>
      <w:r>
        <w:rPr>
          <w:noProof/>
        </w:rPr>
        <w:tab/>
        <w:t>1.</w:t>
      </w:r>
      <w:r>
        <w:rPr>
          <w:noProof/>
        </w:rPr>
        <w:tab/>
        <w:t>numele, adresa, statul membru (statele membre) de rezidență, numărul (numerele) de identificare fiscală (NIF) și, în cazul persoanelor fizice, data și locul nașterii fiecărui Utilizator care face Obiectul Raportării, iar în cazul oricărei Entități care, după aplicarea procedurilor de diligență fiscală prevăzute la secțiunea III, este identificată ca având una sau mai multe Persoane care exercită Controlul care sunt Persoane care fac obiectul Raportării, numele, adresa, statul membru (statele membre) de rezidență și numărul (numerele) de identificare fiscală (NIF) ale Entității, precum și numele, adresa, statul membru (statele membre) de rezidență, numărul (numerele) de identificare fiscală (NIF), data și locul nașterii fiecărei Persoane care exercită Controlul asupra Entității care este Persoană care face Obiectul Raportării, precum și rolul (rolurile) în temeiul căruia (cărora) fiecare astfel de Persoană care face Obiectul Raportării este o Persoană care exercită Controlul asupra Entității;</w:t>
      </w:r>
    </w:p>
    <w:p>
      <w:pPr>
        <w:pStyle w:val="Point1"/>
        <w:rPr>
          <w:noProof/>
        </w:rPr>
      </w:pPr>
      <w:r>
        <w:rPr>
          <w:noProof/>
        </w:rPr>
        <w:tab/>
        <w:t>fără a aduce atingere punctului B subpunctul 1 primul paragraf, în cazul în care un Furnizor de Servicii de Criptoactive Raportor raportează unei autorități competente care utilizează un Serviciu de Identificare și se bazează pe confirmarea directă a identității și a rezidenței Persoanei care face obiectul Raportării prin intermediul unui Serviciu de Identificare pus la dispoziție de un stat membru sau de Uniune pentru a stabili identitatea și toate rezidențele fiscale ale Persoanei care face obiectul Raportării, informațiile care trebuie raportate cu privire la Persoana care face obiectul Raportării sunt numele, identificatorul (identificatorii) din Serviciul de Identificare și statul membru (statele membre) emitent(e), precum și rolul (rolurile) în temeiul căruia (cărora) fiecare Persoană care face Obiectul Raportării este o Persoană care exercită Controlul asupra Entității;</w:t>
      </w:r>
    </w:p>
    <w:p>
      <w:pPr>
        <w:pStyle w:val="Point1"/>
        <w:rPr>
          <w:noProof/>
        </w:rPr>
      </w:pPr>
      <w:r>
        <w:rPr>
          <w:noProof/>
        </w:rPr>
        <w:tab/>
        <w:t>2.</w:t>
      </w:r>
      <w:r>
        <w:rPr>
          <w:noProof/>
        </w:rPr>
        <w:tab/>
        <w:t>numele, adresa, numărul de identificare fiscală (NIF) și, dacă este disponibil, numărul individual de identificare menționat la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 alineatul (7)</w:t>
      </w:r>
      <w:r>
        <w:rPr>
          <w:noProof/>
        </w:rPr>
        <w:t xml:space="preserve"> și identificatorul global al entității juridice ale Furnizorului de Servicii de Criptoactive Raportor;</w:t>
      </w:r>
    </w:p>
    <w:p>
      <w:pPr>
        <w:pStyle w:val="Point1"/>
        <w:rPr>
          <w:noProof/>
        </w:rPr>
      </w:pPr>
      <w:r>
        <w:rPr>
          <w:noProof/>
        </w:rPr>
        <w:tab/>
        <w:t>3.</w:t>
      </w:r>
      <w:r>
        <w:rPr>
          <w:noProof/>
        </w:rPr>
        <w:tab/>
        <w:t>pentru fiecare tip de Criptoactiv care face obiectul Raportării și cu care Furnizorul de Servicii de Criptoactive Raportor a efectuat Tranzacții care fac obiectul Raportării în cursul anului calendaristic relevant sau al altei perioade de raportare adecvate, dacă este cazul:</w:t>
      </w:r>
    </w:p>
    <w:p>
      <w:pPr>
        <w:pStyle w:val="Point2"/>
        <w:rPr>
          <w:noProof/>
        </w:rPr>
      </w:pPr>
      <w:r>
        <w:rPr>
          <w:noProof/>
        </w:rPr>
        <w:tab/>
        <w:t>(a)</w:t>
      </w:r>
      <w:r>
        <w:rPr>
          <w:noProof/>
        </w:rPr>
        <w:tab/>
        <w:t>denumirea completă a tipului de Criptoactiv care face Obiectul Raportării;</w:t>
      </w:r>
    </w:p>
    <w:p>
      <w:pPr>
        <w:pStyle w:val="Point2"/>
        <w:rPr>
          <w:noProof/>
        </w:rPr>
      </w:pPr>
      <w:r>
        <w:rPr>
          <w:noProof/>
        </w:rPr>
        <w:lastRenderedPageBreak/>
        <w:tab/>
        <w:t>(b)</w:t>
      </w:r>
      <w:r>
        <w:rPr>
          <w:noProof/>
        </w:rPr>
        <w:tab/>
        <w:t>suma brută agregată plătită, numărul agregat de unități și numărul de Tranzacții care fac Obiectul Raportării în contextul achizițiilor în schimbul Monedei Fiduciare;</w:t>
      </w:r>
    </w:p>
    <w:p>
      <w:pPr>
        <w:pStyle w:val="Point2"/>
        <w:rPr>
          <w:noProof/>
        </w:rPr>
      </w:pPr>
      <w:r>
        <w:rPr>
          <w:noProof/>
        </w:rPr>
        <w:tab/>
        <w:t>(c)</w:t>
      </w:r>
      <w:r>
        <w:rPr>
          <w:noProof/>
        </w:rPr>
        <w:tab/>
        <w:t>suma brută agregată încasată, numărul agregat de unități și numărul de Tranzacții care fac Obiectul Raportării în contextul vânzărilor în schimbul Monedei Fiduciare;</w:t>
      </w:r>
    </w:p>
    <w:p>
      <w:pPr>
        <w:pStyle w:val="Point2"/>
        <w:rPr>
          <w:noProof/>
        </w:rPr>
      </w:pPr>
      <w:r>
        <w:rPr>
          <w:noProof/>
        </w:rPr>
        <w:tab/>
        <w:t>(d)</w:t>
      </w:r>
      <w:r>
        <w:rPr>
          <w:noProof/>
        </w:rPr>
        <w:tab/>
        <w:t>valoarea justă de piață agregată, numărul agregat de unități și numărul de Tranzacții care fac Obiectul Raportării în contextul achizițiilor în schimbul altor Criptoactive care fac Obiectul Raportării;</w:t>
      </w:r>
    </w:p>
    <w:p>
      <w:pPr>
        <w:pStyle w:val="Point2"/>
        <w:rPr>
          <w:noProof/>
        </w:rPr>
      </w:pPr>
      <w:r>
        <w:rPr>
          <w:noProof/>
        </w:rPr>
        <w:tab/>
        <w:t>(e)</w:t>
      </w:r>
      <w:r>
        <w:rPr>
          <w:noProof/>
        </w:rPr>
        <w:tab/>
        <w:t>valoarea justă de piață agregată, numărul agregat de unități și numărul de Tranzacții care fac Obiectul Raportării în contextul vânzărilor în schimbul altor Criptoactive care fac Obiectul Raportării;</w:t>
      </w:r>
    </w:p>
    <w:p>
      <w:pPr>
        <w:pStyle w:val="Point2"/>
        <w:rPr>
          <w:noProof/>
        </w:rPr>
      </w:pPr>
      <w:r>
        <w:rPr>
          <w:noProof/>
        </w:rPr>
        <w:tab/>
        <w:t>(f)</w:t>
      </w:r>
      <w:r>
        <w:rPr>
          <w:noProof/>
        </w:rPr>
        <w:tab/>
        <w:t>valoarea justă de piață agregată, numărul agregat de unități și numărul de Tranzacții de Plată cu Amănuntul care fac Obiectul Raportării;</w:t>
      </w:r>
    </w:p>
    <w:p>
      <w:pPr>
        <w:pStyle w:val="Point2"/>
        <w:rPr>
          <w:noProof/>
        </w:rPr>
      </w:pPr>
      <w:r>
        <w:rPr>
          <w:noProof/>
        </w:rPr>
        <w:tab/>
        <w:t>(g)</w:t>
      </w:r>
      <w:r>
        <w:rPr>
          <w:noProof/>
        </w:rPr>
        <w:tab/>
        <w:t>valoarea justă de piață agregată, numărul agregat de unități și numărul de Tranzacții care fac Obiectul Raportării, defalcate pe tipuri de transfer în cazul în care acestea sunt cunoscute de Furnizorul de Servicii de Criptoactive Raportor, în cazul acelor Transferuri către Utilizatorul care face Obiectul Raportării care nu intră sub incidența literelor (b) și (d);</w:t>
      </w:r>
    </w:p>
    <w:p>
      <w:pPr>
        <w:pStyle w:val="Point2"/>
        <w:rPr>
          <w:noProof/>
        </w:rPr>
      </w:pPr>
      <w:r>
        <w:rPr>
          <w:noProof/>
        </w:rPr>
        <w:tab/>
        <w:t>(h)</w:t>
      </w:r>
      <w:r>
        <w:rPr>
          <w:noProof/>
        </w:rPr>
        <w:tab/>
        <w:t>valoarea justă de piață agregată, numărul agregat de unități și numărul de Tranzacții care fac Obiectul Raportării, defalcate pe tipuri de transfer în cazul în care acestea sunt cunoscute de Furnizorul de Servicii de Criptoactive Raportor, în cazul acelor Transferuri din partea Utilizatorului care face Obiectul raportării care nu intră sub incidența literelor (c), (e) și (f); și</w:t>
      </w:r>
    </w:p>
    <w:p>
      <w:pPr>
        <w:pStyle w:val="Point2"/>
        <w:rPr>
          <w:noProof/>
        </w:rPr>
      </w:pPr>
      <w:r>
        <w:rPr>
          <w:noProof/>
        </w:rPr>
        <w:tab/>
        <w:t>(i)</w:t>
      </w:r>
      <w:r>
        <w:rPr>
          <w:noProof/>
        </w:rPr>
        <w:tab/>
        <w:t>valoarea justă de piață agregată, precum și numărul agregat de unități de Transferuri efectuate de Furnizorul de Servicii de Criptoactive Raportor către adresele registrelor distribuite menționate în Regulamentul (UE) 2023/1114 despre care nu se știe că ar fi asociate cu un furnizor de servicii de active virtuale sau cu o instituție financiară.</w:t>
      </w:r>
    </w:p>
    <w:p>
      <w:pPr>
        <w:pStyle w:val="Point1"/>
        <w:rPr>
          <w:noProof/>
        </w:rPr>
      </w:pPr>
      <w:r>
        <w:rPr>
          <w:noProof/>
        </w:rPr>
        <w:tab/>
        <w:t>În sensul punctului B subpunctul 3 literele (b) și (c), suma plătită sau încasată se raportează în Moneda Fiduciară în care a fost plătită sau încasată. În cazul în care sumele au fost plătite sau încasate în mai multe Monede Fiduciare, sumele se raportează într-o singură monedă, convertită la momentul fiecărei Tranzacții care face Obiectul Raportării, într-un mod aplicat consecvent de către Furnizorul de Servicii de Criptoactive Raportor.</w:t>
      </w:r>
    </w:p>
    <w:p>
      <w:pPr>
        <w:pStyle w:val="Point1"/>
        <w:rPr>
          <w:noProof/>
        </w:rPr>
      </w:pPr>
      <w:r>
        <w:rPr>
          <w:noProof/>
        </w:rPr>
        <w:tab/>
        <w:t>În sensul punctului B subpunctul 3 literele (d)-(i), valoarea justă de piață se determină și se raportează într-o singură monedă, evaluată la momentul fiecărei Tranzacții care face obiectul Raportării într-un mod aplicat consecvent de către Furnizorul de Servicii de Criptoactive Raportor.</w:t>
      </w:r>
    </w:p>
    <w:p>
      <w:pPr>
        <w:pStyle w:val="Point1"/>
        <w:rPr>
          <w:noProof/>
        </w:rPr>
      </w:pPr>
      <w:r>
        <w:rPr>
          <w:noProof/>
        </w:rPr>
        <w:tab/>
        <w:t>Informațiile raportate trebuie să identifice Moneda Fiduciară în care este raportată fiecare sumă.</w:t>
      </w:r>
    </w:p>
    <w:p>
      <w:pPr>
        <w:pStyle w:val="Point0"/>
        <w:rPr>
          <w:noProof/>
        </w:rPr>
      </w:pPr>
      <w:r>
        <w:rPr>
          <w:noProof/>
        </w:rPr>
        <w:tab/>
        <w:t>C.</w:t>
      </w:r>
      <w:r>
        <w:rPr>
          <w:noProof/>
        </w:rPr>
        <w:tab/>
        <w:t>Fără a aduce atingere punctului B subpunctul 1, nu este obligatorie raportarea locului nașterii, cu excepția cazului în care Furnizorul de Servicii de Criptoactive Raportor este obligat să îl obțină și să îl raporteze în temeiul dreptului intern.</w:t>
      </w:r>
    </w:p>
    <w:p>
      <w:pPr>
        <w:pStyle w:val="Point0"/>
        <w:rPr>
          <w:noProof/>
        </w:rPr>
      </w:pPr>
      <w:r>
        <w:rPr>
          <w:noProof/>
        </w:rPr>
        <w:lastRenderedPageBreak/>
        <w:tab/>
        <w:t>D.</w:t>
      </w:r>
      <w:r>
        <w:rPr>
          <w:noProof/>
        </w:rPr>
        <w:tab/>
        <w:t>Informațiile enumerate la punctul B se raportează anual în anul calendaristic care urmează anului la care se referă informațiile. Primele informații se raportează pentru anul calendaristic relevant sau pentru altă perioadă de raportare adecvată începând cu 1 ianuarie 2026.</w:t>
      </w:r>
    </w:p>
    <w:p>
      <w:pPr>
        <w:pStyle w:val="Point0"/>
        <w:rPr>
          <w:noProof/>
        </w:rPr>
      </w:pPr>
      <w:r>
        <w:rPr>
          <w:noProof/>
        </w:rPr>
        <w:tab/>
        <w:t>E.</w:t>
      </w:r>
      <w:r>
        <w:rPr>
          <w:noProof/>
        </w:rPr>
        <w:tab/>
        <w:t>Fără a aduce atingere punctelor A și D din prezenta secțiune, un Furnizor de Servicii de Criptoactive Raportor în sensul Secțiunii I punctul A subpunctul 2 litera (a), (b), (c) sau (d) nu este obligat să furnizeze informațiile prevăzute la punctul B din prezenta secțiune cu privire la un Utilizator care face Obiectul Raportării sau la o Persoană care exercită Controlul pentru care Furnizorul de Servicii de Criptoactive Raportor finalizează raportarea acestor informații într-o jurisdicție din afara Uniunii care face obiectul unui acord efectiv privind stabilirea autorității competente încheiat cu statul membru de reședință al respectivului Utilizator care face Obiectul Raportării sau respectivei Persoane care exercită Controlul.</w:t>
      </w:r>
    </w:p>
    <w:p>
      <w:pPr>
        <w:pStyle w:val="ManualHeading1"/>
        <w:ind w:left="851" w:hanging="851"/>
        <w:rPr>
          <w:noProof/>
        </w:rPr>
      </w:pPr>
      <w:bookmarkStart w:id="60" w:name="_Toc229742243"/>
      <w:r>
        <w:rPr>
          <w:noProof/>
        </w:rPr>
        <w:t>SECȚIUNEA III</w:t>
      </w:r>
      <w:bookmarkEnd w:id="60"/>
    </w:p>
    <w:p>
      <w:pPr>
        <w:pStyle w:val="ManualHeading2"/>
        <w:ind w:left="851" w:hanging="851"/>
        <w:rPr>
          <w:noProof/>
        </w:rPr>
      </w:pPr>
      <w:bookmarkStart w:id="61" w:name="_Toc229742244"/>
      <w:r>
        <w:rPr>
          <w:i/>
          <w:noProof/>
        </w:rPr>
        <w:t>PROCEDURI DE DILIGENȚĂ FISCALĂ</w:t>
      </w:r>
      <w:bookmarkEnd w:id="61"/>
    </w:p>
    <w:p>
      <w:pPr>
        <w:rPr>
          <w:noProof/>
        </w:rPr>
      </w:pPr>
      <w:r>
        <w:rPr>
          <w:noProof/>
        </w:rPr>
        <w:t>Un Utilizator de Criptoactive este considerat Utilizator care face Obiectul Raportării începând cu data la care este identificat ca atare în conformitate cu procedurile de diligență fiscală descrise în prezenta secțiune.</w:t>
      </w:r>
    </w:p>
    <w:p>
      <w:pPr>
        <w:pStyle w:val="Point0"/>
        <w:rPr>
          <w:noProof/>
        </w:rPr>
      </w:pPr>
      <w:r>
        <w:rPr>
          <w:noProof/>
        </w:rPr>
        <w:tab/>
        <w:t>A.</w:t>
      </w:r>
      <w:r>
        <w:rPr>
          <w:noProof/>
        </w:rPr>
        <w:tab/>
        <w:t>Proceduri de diligență fiscală pentru persoanele fizice care sunt Utilizatori de Criptoactive</w:t>
      </w:r>
    </w:p>
    <w:p>
      <w:pPr>
        <w:pStyle w:val="Point0"/>
        <w:rPr>
          <w:noProof/>
        </w:rPr>
      </w:pPr>
      <w:r>
        <w:rPr>
          <w:noProof/>
        </w:rPr>
        <w:tab/>
        <w:t>Se aplică următoarele proceduri pentru a stabili dacă persoana fizică care este Utilizator de Criptoactive este un Utilizator care face Obiectul Raportării.</w:t>
      </w:r>
    </w:p>
    <w:p>
      <w:pPr>
        <w:pStyle w:val="Point1"/>
        <w:rPr>
          <w:noProof/>
        </w:rPr>
      </w:pPr>
      <w:r>
        <w:rPr>
          <w:noProof/>
        </w:rPr>
        <w:tab/>
        <w:t>1.</w:t>
      </w:r>
      <w:r>
        <w:rPr>
          <w:noProof/>
        </w:rPr>
        <w:tab/>
        <w:t>La stabilirea relației cu persoana fizică care este Utilizator de Criptoactive sau, în cazul persoanelor fizice care sunt Utilizatori de Criptoactive Preexistenți la 1 ianuarie 2027, Furnizorul de Servicii de Criptoactive Raportor obține o declarație pe propria răspundere în baza căreia poate să stabilească rezidența fiscală (rezidențele fiscale) a(le) persoanei fizice respective și să confirme caracterul rezonabil al respectivei declarații pe propria răspundere pe baza informațiilor obținute de Furnizorul de Servicii de Criptoactive Raportor, inclusiv a oricăror documente obținute în conformitate cu Procedurile de Precauție privind Clientela.</w:t>
      </w:r>
    </w:p>
    <w:p>
      <w:pPr>
        <w:pStyle w:val="Point1"/>
        <w:rPr>
          <w:noProof/>
        </w:rPr>
      </w:pPr>
      <w:r>
        <w:rPr>
          <w:noProof/>
        </w:rPr>
        <w:tab/>
        <w:t>2.</w:t>
      </w:r>
      <w:r>
        <w:rPr>
          <w:noProof/>
        </w:rPr>
        <w:tab/>
        <w:t>În cazul în care, în orice moment, intervine o modificare a circumstanțelor cu privire la o persoană fizică care este Utilizator de Criptoactive în urma căreia Furnizorul de Servicii de Criptoactive Raportor află sau are motive să suspecteze că declarația pe propria răspundere inițială este incorectă sau nu prezintă încredere, Furnizorul de Servicii de Criptoactive Raportor nu se poate baza pe declarația pe propria răspundere inițială și trebuie să obțină o declarație pe propria răspundere valabilă sau o explicație rezonabilă și, după caz, documente care să justifice valabilitatea declarației pe propria răspundere inițiale.</w:t>
      </w:r>
    </w:p>
    <w:p>
      <w:pPr>
        <w:pStyle w:val="Point0"/>
        <w:rPr>
          <w:noProof/>
        </w:rPr>
      </w:pPr>
      <w:r>
        <w:rPr>
          <w:noProof/>
        </w:rPr>
        <w:tab/>
        <w:t>B.</w:t>
      </w:r>
      <w:r>
        <w:rPr>
          <w:noProof/>
        </w:rPr>
        <w:tab/>
        <w:t>Proceduri de diligență fiscală pentru Entitățile care sunt Utilizatori de Criptoactive</w:t>
      </w:r>
    </w:p>
    <w:p>
      <w:pPr>
        <w:pStyle w:val="Point0"/>
        <w:rPr>
          <w:noProof/>
        </w:rPr>
      </w:pPr>
      <w:r>
        <w:rPr>
          <w:noProof/>
        </w:rPr>
        <w:tab/>
        <w:t>Se aplică următoarele proceduri pentru a stabili dacă Entitatea care este Utilizator de Criptoactive este un Utilizator care face Obiectul Raportării sau o Entitate, alta decât o Persoană Exclusă sau o Entitate Activă, cu una sau mai multe Persoane care exercită Controlul și care sunt Persoane care fac Obiectul Raportării.</w:t>
      </w:r>
    </w:p>
    <w:p>
      <w:pPr>
        <w:pStyle w:val="Point1"/>
        <w:rPr>
          <w:noProof/>
        </w:rPr>
      </w:pPr>
      <w:r>
        <w:rPr>
          <w:noProof/>
        </w:rPr>
        <w:lastRenderedPageBreak/>
        <w:tab/>
        <w:t>1.</w:t>
      </w:r>
      <w:r>
        <w:rPr>
          <w:noProof/>
        </w:rPr>
        <w:tab/>
        <w:t>Se stabilește dacă Entitatea care este Utilizator de Criptoactive are calitatea de Persoană care face Obiectul Raportării.</w:t>
      </w:r>
    </w:p>
    <w:p>
      <w:pPr>
        <w:pStyle w:val="Point2"/>
        <w:rPr>
          <w:noProof/>
        </w:rPr>
      </w:pPr>
      <w:r>
        <w:rPr>
          <w:noProof/>
        </w:rPr>
        <w:tab/>
        <w:t>(a)</w:t>
      </w:r>
      <w:r>
        <w:rPr>
          <w:noProof/>
        </w:rPr>
        <w:tab/>
        <w:t>La stabilirea relației cu Entitatea care este Utilizator de Criptoactive sau, în cazul Entităților care sunt Utilizatori de Criptoactive preexistenți la 1 ianuarie 2027, Furnizorul de Servicii de Criptoactive Raportor obține o declarație pe propria răspundere în baza căreia poate să stabilească rezidența fiscală (rezidențele fiscale) a(le) Entității respective și să confirme caracterul rezonabil al respectivei declarații pe propria răspundere pe baza informațiilor obținute de Furnizorul de Servicii de Criptoactive Raportor, inclusiv a oricăror documente obținute în conformitate cu Procedurile de Precauție privind Clientela. În cazul în care Entitatea care este Utilizator de Criptoactive certifică faptul că nu are rezidență fiscală, Furnizorul de Servicii de Criptoactive Raportor se poate baza pe sediul conducerii efective sau pe adresa sediului principal pentru a stabili rezidența Entității care este Utilizator de Criptoactive.</w:t>
      </w:r>
    </w:p>
    <w:p>
      <w:pPr>
        <w:pStyle w:val="Point2"/>
        <w:rPr>
          <w:noProof/>
        </w:rPr>
      </w:pPr>
      <w:r>
        <w:rPr>
          <w:noProof/>
        </w:rPr>
        <w:tab/>
        <w:t>(b)</w:t>
      </w:r>
      <w:r>
        <w:rPr>
          <w:noProof/>
        </w:rPr>
        <w:tab/>
        <w:t>Dacă declarația pe propria răspundere indică faptul că Entitatea care este Utilizator de Criptoactive este rezidentă într-un stat membru, Furnizorul de Servicii de Criptoactive Raportor trebuie să considere Entitatea care este Utilizator de criptoactive drept Utilizator care face obiectul Raportării, cu excepția cazului în care stabilește în mod rezonabil, pe baza declarației pe propria răspundere sau a informațiilor aflate în posesia sa sau care sunt disponibile public, că Entitatea respectivă este o Persoană Exclusă.</w:t>
      </w:r>
    </w:p>
    <w:p>
      <w:pPr>
        <w:pStyle w:val="Point1"/>
        <w:rPr>
          <w:noProof/>
        </w:rPr>
      </w:pPr>
      <w:r>
        <w:rPr>
          <w:noProof/>
        </w:rPr>
        <w:tab/>
        <w:t>2.</w:t>
      </w:r>
      <w:r>
        <w:rPr>
          <w:noProof/>
        </w:rPr>
        <w:tab/>
        <w:t>Se stabilește dacă Entitatea are una sau mai multe Persoane care exercită Controlul și care sunt Persoane care fac Obiectul Raportării. În cazul unei Entități care este Utilizator de Criptoactive fără a fi Persoană Exclusă, Furnizorul de Servicii de Criptoactive Raportor determină dacă aceasta are una sau mai multe Persoane care exercită Controlul și care sunt Persoane care fac Obiectul Raportării, cu excepția cazului în care stabilește că Entitatea care este Utilizator de Criptoactive este o Entitate Activă, pe baza unei declarații pe propria răspundere din partea Entității respective.</w:t>
      </w:r>
    </w:p>
    <w:p>
      <w:pPr>
        <w:pStyle w:val="Point2"/>
        <w:rPr>
          <w:noProof/>
        </w:rPr>
      </w:pPr>
      <w:r>
        <w:rPr>
          <w:noProof/>
        </w:rPr>
        <w:tab/>
        <w:t>(a)</w:t>
      </w:r>
      <w:r>
        <w:rPr>
          <w:noProof/>
        </w:rPr>
        <w:tab/>
        <w:t xml:space="preserve">Se stabilesc Persoanele care exercită Controlul asupra Entității care este Utilizator de Criptoactive. În scopul stabilirii Persoanelor care exercită Controlul asupra unei Entități care este Utilizator de Criptoactive, un Furnizor de Servicii de Criptoactive Raportor se poate baza pe informațiile colectate și păstrate în conformitate cu Procedurile de Precauție privind Clientela, cu condiția ca aceste proceduri să fie conforme </w:t>
      </w:r>
      <w:r>
        <w:rPr>
          <w:rStyle w:val="CRMinorChangeAdded"/>
          <w:noProof/>
        </w:rPr>
        <w:t xml:space="preserve">Regulamentului (UE) 2024/1624 </w:t>
      </w:r>
      <w:r>
        <w:rPr>
          <w:rStyle w:val="CRMinorChangeDeleted"/>
          <w:noProof/>
        </w:rPr>
        <w:t>Directivei (UE) 2015/849</w:t>
      </w:r>
      <w:r>
        <w:rPr>
          <w:noProof/>
        </w:rPr>
        <w:t xml:space="preserve">. În cazul în care Furnizorul de Servicii de Criptoactive Raportor nu are obligația legală de a aplica Proceduri de Precauție privind Clientela conforme </w:t>
      </w:r>
      <w:r>
        <w:rPr>
          <w:rStyle w:val="CRMinorChangeAdded"/>
          <w:noProof/>
        </w:rPr>
        <w:t>Regulamentului (UE) 2024/1624</w:t>
      </w:r>
      <w:r>
        <w:rPr>
          <w:noProof/>
        </w:rPr>
        <w:t xml:space="preserve"> </w:t>
      </w:r>
      <w:r>
        <w:rPr>
          <w:rStyle w:val="CRMinorChangeDeleted"/>
          <w:noProof/>
        </w:rPr>
        <w:t>Directivei (UE) 2015/849</w:t>
      </w:r>
      <w:r>
        <w:rPr>
          <w:noProof/>
        </w:rPr>
        <w:t>, acesta aplică proceduri similare în esență în scopul stabilirii Persoanelor care exercită Controlul.</w:t>
      </w:r>
    </w:p>
    <w:p>
      <w:pPr>
        <w:pStyle w:val="Point2"/>
        <w:rPr>
          <w:noProof/>
        </w:rPr>
      </w:pPr>
      <w:r>
        <w:rPr>
          <w:noProof/>
        </w:rPr>
        <w:tab/>
        <w:t>(b)</w:t>
      </w:r>
      <w:r>
        <w:rPr>
          <w:noProof/>
        </w:rPr>
        <w:tab/>
        <w:t xml:space="preserve">Se stabilește dacă o Persoană care exercită Controlul asupra unei Entități care este Utilizator de Criptoactive este o Persoană care face Obiectul Raportării. Pentru a stabili dacă o Persoană care exercită Controlul este o Persoană care face Obiectul Raportării, un Furnizor de Servicii de Criptoactive Raportor se bazează pe o declarație pe propria răspundere din partea unei Entități care este Utilizatorul de Criptoactive sau a respectivei Persoane care exercită Controlul, în baza căreia poate să </w:t>
      </w:r>
      <w:r>
        <w:rPr>
          <w:noProof/>
        </w:rPr>
        <w:lastRenderedPageBreak/>
        <w:t>stabilească rezidența fiscală (rezidențele fiscale) a(le) Persoanei care exercită Controlul și să confirme caracterul rezonabil al respectivei declarații pe propria răspundere pe baza informațiilor obținute de Furnizorul de Servicii de Criptoactive Raportor, inclusiv a oricăror documente obținute în conformitate cu Procedurile de Precauție privind Clientela.</w:t>
      </w:r>
    </w:p>
    <w:p>
      <w:pPr>
        <w:pStyle w:val="Point1"/>
        <w:rPr>
          <w:noProof/>
        </w:rPr>
      </w:pPr>
      <w:r>
        <w:rPr>
          <w:noProof/>
        </w:rPr>
        <w:tab/>
        <w:t>3.</w:t>
      </w:r>
      <w:r>
        <w:rPr>
          <w:noProof/>
        </w:rPr>
        <w:tab/>
        <w:t>În cazul în care, în orice moment, intervine o modificare a circumstanțelor cu privire la o Entitate care este Utilizator de Criptoactive sau la Persoanele care exercită Controlul asupra acesteia în urma căreia Furnizorul de Servicii de Criptoactive Raportor află sau are motive să suspecteze că declarația pe propria răspundere inițială este incorectă sau nu prezintă încredere, Furnizorul de Servicii de Criptoactive Raportor nu se poate baza pe declarația pe propria răspundere inițială și trebuie să obțină o declarație pe propria răspundere valabilă sau o explicație rezonabilă și, după caz, documente care să justifice valabilitatea declarației pe propria răspundere inițiale.</w:t>
      </w:r>
    </w:p>
    <w:p>
      <w:pPr>
        <w:pStyle w:val="Point0"/>
        <w:rPr>
          <w:noProof/>
        </w:rPr>
      </w:pPr>
      <w:r>
        <w:rPr>
          <w:noProof/>
        </w:rPr>
        <w:tab/>
        <w:t>C.</w:t>
      </w:r>
      <w:r>
        <w:rPr>
          <w:noProof/>
        </w:rPr>
        <w:tab/>
        <w:t>Cerințe privind valabilitatea declarațiilor pe propria răspundere</w:t>
      </w:r>
    </w:p>
    <w:p>
      <w:pPr>
        <w:pStyle w:val="Point1"/>
        <w:rPr>
          <w:noProof/>
        </w:rPr>
      </w:pPr>
      <w:r>
        <w:rPr>
          <w:noProof/>
        </w:rPr>
        <w:tab/>
        <w:t>1.</w:t>
      </w:r>
      <w:r>
        <w:rPr>
          <w:noProof/>
        </w:rPr>
        <w:tab/>
        <w:t>O declarație pe propria răspundere furnizată de o persoană fizică care este Utilizator de criptoactive sau de o Persoană care exercită controlul este valabilă numai cu condiția să fie semnată sau confirmată în alt mod de către persoana respectivă, să fie datată cel târziu la data primirii și să conțină următoarele informații cu privire la persoana fizică având calitatea de Utilizator de criptoactive sau cu privire la Persoana care exercită controlul:</w:t>
      </w:r>
    </w:p>
    <w:p>
      <w:pPr>
        <w:pStyle w:val="Point2"/>
        <w:rPr>
          <w:noProof/>
        </w:rPr>
      </w:pPr>
      <w:r>
        <w:rPr>
          <w:noProof/>
        </w:rPr>
        <w:tab/>
        <w:t>(a)</w:t>
      </w:r>
      <w:r>
        <w:rPr>
          <w:noProof/>
        </w:rPr>
        <w:tab/>
        <w:t>prenumele și numele;</w:t>
      </w:r>
    </w:p>
    <w:p>
      <w:pPr>
        <w:pStyle w:val="Point2"/>
        <w:rPr>
          <w:noProof/>
        </w:rPr>
      </w:pPr>
      <w:r>
        <w:rPr>
          <w:noProof/>
        </w:rPr>
        <w:tab/>
        <w:t>(b)</w:t>
      </w:r>
      <w:r>
        <w:rPr>
          <w:noProof/>
        </w:rPr>
        <w:tab/>
        <w:t>adresa de rezidență;</w:t>
      </w:r>
    </w:p>
    <w:p>
      <w:pPr>
        <w:pStyle w:val="Point2"/>
        <w:rPr>
          <w:noProof/>
        </w:rPr>
      </w:pPr>
      <w:r>
        <w:rPr>
          <w:noProof/>
        </w:rPr>
        <w:tab/>
        <w:t>(c)</w:t>
      </w:r>
      <w:r>
        <w:rPr>
          <w:noProof/>
        </w:rPr>
        <w:tab/>
        <w:t xml:space="preserve">statul membru (statele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altă jurisdicție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rezidență fiscală;</w:t>
      </w:r>
    </w:p>
    <w:p>
      <w:pPr>
        <w:pStyle w:val="Point2"/>
        <w:rPr>
          <w:noProof/>
        </w:rPr>
      </w:pPr>
      <w:r>
        <w:rPr>
          <w:noProof/>
        </w:rPr>
        <w:tab/>
        <w:t>(d)</w:t>
      </w:r>
      <w:r>
        <w:rPr>
          <w:noProof/>
        </w:rPr>
        <w:tab/>
        <w:t xml:space="preserve">pentru fiecare Persoană care face Obiectul Raportării, numărul de identificare fiscală aferent fiecărui stat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fiecărei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2"/>
        <w:rPr>
          <w:noProof/>
        </w:rPr>
      </w:pPr>
      <w:r>
        <w:rPr>
          <w:noProof/>
        </w:rPr>
        <w:tab/>
        <w:t>(e)</w:t>
      </w:r>
      <w:r>
        <w:rPr>
          <w:noProof/>
        </w:rPr>
        <w:tab/>
        <w:t>data nașterii.</w:t>
      </w:r>
    </w:p>
    <w:p>
      <w:pPr>
        <w:pStyle w:val="Point1"/>
        <w:rPr>
          <w:noProof/>
        </w:rPr>
      </w:pPr>
      <w:r>
        <w:rPr>
          <w:noProof/>
        </w:rPr>
        <w:tab/>
        <w:t>2.</w:t>
      </w:r>
      <w:r>
        <w:rPr>
          <w:noProof/>
        </w:rPr>
        <w:tab/>
        <w:t>O declarație pe propria răspundere furnizată de o Entitate care este Utilizator de Criptoactive este valabilă numai cu condiția să fie semnată sau confirmată în alt mod de către entitatea respectivă, să fie datată cel târziu la data primirii și să conțină următoarele informații cu privire la Entitatea care este Utilizator de Criptoactive:</w:t>
      </w:r>
    </w:p>
    <w:p>
      <w:pPr>
        <w:pStyle w:val="Point2"/>
        <w:rPr>
          <w:noProof/>
        </w:rPr>
      </w:pPr>
      <w:r>
        <w:rPr>
          <w:noProof/>
        </w:rPr>
        <w:tab/>
        <w:t>(a)</w:t>
      </w:r>
      <w:r>
        <w:rPr>
          <w:noProof/>
        </w:rPr>
        <w:tab/>
        <w:t>denumirea juridică;</w:t>
      </w:r>
    </w:p>
    <w:p>
      <w:pPr>
        <w:pStyle w:val="Point2"/>
        <w:rPr>
          <w:noProof/>
        </w:rPr>
      </w:pPr>
      <w:r>
        <w:rPr>
          <w:noProof/>
        </w:rPr>
        <w:tab/>
        <w:t>(b)</w:t>
      </w:r>
      <w:r>
        <w:rPr>
          <w:noProof/>
        </w:rPr>
        <w:tab/>
        <w:t>adresa;</w:t>
      </w:r>
    </w:p>
    <w:p>
      <w:pPr>
        <w:pStyle w:val="Point2"/>
        <w:rPr>
          <w:noProof/>
        </w:rPr>
      </w:pPr>
      <w:r>
        <w:rPr>
          <w:noProof/>
        </w:rPr>
        <w:tab/>
        <w:t>(c)</w:t>
      </w:r>
      <w:r>
        <w:rPr>
          <w:noProof/>
        </w:rPr>
        <w:tab/>
        <w:t xml:space="preserve">statul membru (statele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altă jurisdicție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rezidență fiscală;</w:t>
      </w:r>
    </w:p>
    <w:p>
      <w:pPr>
        <w:pStyle w:val="Point2"/>
        <w:rPr>
          <w:noProof/>
        </w:rPr>
      </w:pPr>
      <w:r>
        <w:rPr>
          <w:noProof/>
        </w:rPr>
        <w:tab/>
        <w:t>(d)</w:t>
      </w:r>
      <w:r>
        <w:rPr>
          <w:noProof/>
        </w:rPr>
        <w:tab/>
        <w:t xml:space="preserve">pentru fiecare Persoană care face Obiectul Raportării, numărul de identificare fiscală aferent fiecărui stat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fiecărei alte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2"/>
        <w:rPr>
          <w:noProof/>
        </w:rPr>
      </w:pPr>
      <w:r>
        <w:rPr>
          <w:noProof/>
        </w:rPr>
        <w:tab/>
        <w:t>(e)</w:t>
      </w:r>
      <w:r>
        <w:rPr>
          <w:noProof/>
        </w:rPr>
        <w:tab/>
        <w:t xml:space="preserve">în cazul unei Entități care este Utilizator de Criptoactive, alta decât o Entitate Activă sau o Persoană Exclusă, informațiile prevăzute la punctul C subpunctul 1 cu privire la fiecare Persoană care exercită Controlul asupra Entității care este Utilizator de Criptoactive, cu excepția </w:t>
      </w:r>
      <w:r>
        <w:rPr>
          <w:noProof/>
        </w:rPr>
        <w:lastRenderedPageBreak/>
        <w:t xml:space="preserve">cazului în care respectiva Persoană care exercită Controlul a furnizat o declarație pe propria răspundere în temeiul punctului C subpunctul 1, precum și rolul (rolurile) în temeiul căruia (cărora) fiecare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Persoană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Utilizator</w:t>
      </w:r>
      <w:r>
        <w:rPr>
          <w:noProof/>
        </w:rPr>
        <w:t xml:space="preserve"> care face Obiectul Raportării este o Persoană care exercită Controlul asupra Entității, dacă nu au fost deja stabilite pe baza Procedurilor de Precauție privind Clientela;</w:t>
      </w:r>
    </w:p>
    <w:p>
      <w:pPr>
        <w:pStyle w:val="Point2"/>
        <w:rPr>
          <w:noProof/>
        </w:rPr>
      </w:pPr>
      <w:r>
        <w:rPr>
          <w:noProof/>
        </w:rPr>
        <w:tab/>
        <w:t>(f)</w:t>
      </w:r>
      <w:r>
        <w:rPr>
          <w:noProof/>
        </w:rPr>
        <w:tab/>
        <w:t>dacă este cazul, informații cu privire la criteriile pe care le îndeplinește pentru a fi considerată o Entitate Activă sau o Persoană Exclusă.</w:t>
      </w:r>
    </w:p>
    <w:p>
      <w:pPr>
        <w:pStyle w:val="Point0"/>
        <w:rPr>
          <w:noProof/>
        </w:rPr>
      </w:pPr>
      <w:r>
        <w:rPr>
          <w:noProof/>
        </w:rPr>
        <w:tab/>
        <w:t>D.</w:t>
      </w:r>
      <w:r>
        <w:rPr>
          <w:noProof/>
        </w:rPr>
        <w:tab/>
        <w:t>Cerințe generale privind diligența fiscală</w:t>
      </w:r>
    </w:p>
    <w:p>
      <w:pPr>
        <w:pStyle w:val="Point1"/>
        <w:rPr>
          <w:noProof/>
        </w:rPr>
      </w:pPr>
      <w:r>
        <w:rPr>
          <w:noProof/>
        </w:rPr>
        <w:tab/>
        <w:t>1.</w:t>
      </w:r>
      <w:r>
        <w:rPr>
          <w:noProof/>
        </w:rPr>
        <w:tab/>
        <w:t>Un Furnizor de Servicii de Criptoactive Raportor care este și Instituție Financiară în sensul prezentei directive se poate baza, în scopul procedurilor de diligență fiscală prevăzute în prezenta secțiune, pe procedurile de diligență fiscală finalizate în temeiul anexei I secțiunile IV și VI. Un Furnizor de Servicii de Criptoactive Raportor se poate baza și pe o declarație pe propria răspundere deja obținută în alte scopuri fiscale, cu condiția ca respectiva declarație pe propria răspundere să îndeplinească cerințele de la punctul C din prezenta secțiune.</w:t>
      </w:r>
    </w:p>
    <w:p>
      <w:pPr>
        <w:pStyle w:val="Point1"/>
        <w:rPr>
          <w:noProof/>
        </w:rPr>
      </w:pPr>
      <w:r>
        <w:rPr>
          <w:noProof/>
        </w:rPr>
        <w:tab/>
        <w:t>2.</w:t>
      </w:r>
      <w:r>
        <w:rPr>
          <w:noProof/>
        </w:rPr>
        <w:tab/>
        <w:t>Un Furnizor de Servicii de Criptoactive Raportor poate încredința unui terț îndeplinirea obligațiilor de diligență prevăzute în prezenta secțiune, însă aceste obligații rămân în responsabilitatea Furnizorului de Servicii de Criptoactive Raportor.</w:t>
      </w:r>
    </w:p>
    <w:p>
      <w:pPr>
        <w:pStyle w:val="ManualHeading1"/>
        <w:ind w:left="851" w:hanging="851"/>
        <w:rPr>
          <w:noProof/>
        </w:rPr>
      </w:pPr>
      <w:bookmarkStart w:id="62" w:name="_Toc229742245"/>
      <w:r>
        <w:rPr>
          <w:noProof/>
        </w:rPr>
        <w:t>SECȚIUNEA IV</w:t>
      </w:r>
      <w:bookmarkEnd w:id="62"/>
    </w:p>
    <w:p>
      <w:pPr>
        <w:pStyle w:val="ManualHeading2"/>
        <w:ind w:left="851" w:hanging="851"/>
        <w:rPr>
          <w:noProof/>
        </w:rPr>
      </w:pPr>
      <w:bookmarkStart w:id="63" w:name="_Toc229742246"/>
      <w:r>
        <w:rPr>
          <w:i/>
          <w:noProof/>
        </w:rPr>
        <w:t>DEFINIȚIILE TERMENILOR</w:t>
      </w:r>
      <w:bookmarkEnd w:id="63"/>
    </w:p>
    <w:p>
      <w:pPr>
        <w:rPr>
          <w:noProof/>
        </w:rPr>
      </w:pPr>
      <w:r>
        <w:rPr>
          <w:noProof/>
        </w:rPr>
        <w:t>Următorii termeni au înțelesul stabilit prin dispozițiile următoare:</w:t>
      </w:r>
    </w:p>
    <w:p>
      <w:pPr>
        <w:pStyle w:val="Point0"/>
        <w:rPr>
          <w:noProof/>
        </w:rPr>
      </w:pPr>
      <w:r>
        <w:rPr>
          <w:noProof/>
        </w:rPr>
        <w:tab/>
        <w:t>A.</w:t>
      </w:r>
      <w:r>
        <w:rPr>
          <w:noProof/>
        </w:rPr>
        <w:tab/>
        <w:t>Criptoactiv care face Obiectul Raportării</w:t>
      </w:r>
    </w:p>
    <w:p>
      <w:pPr>
        <w:pStyle w:val="Point1"/>
        <w:rPr>
          <w:noProof/>
        </w:rPr>
      </w:pPr>
      <w:r>
        <w:rPr>
          <w:noProof/>
        </w:rPr>
        <w:tab/>
        <w:t>1.</w:t>
      </w:r>
      <w:r>
        <w:rPr>
          <w:noProof/>
        </w:rPr>
        <w:tab/>
        <w:t>„Criptoactiv” înseamnă criptoactiv, în sensul definiției de la articolul 3 alineatul (1) punctul 5 din Regulamentul (UE) 2023/1114.</w:t>
      </w:r>
    </w:p>
    <w:p>
      <w:pPr>
        <w:pStyle w:val="Point1"/>
        <w:rPr>
          <w:noProof/>
        </w:rPr>
      </w:pPr>
      <w:r>
        <w:rPr>
          <w:noProof/>
        </w:rPr>
        <w:tab/>
        <w:t>2.</w:t>
      </w:r>
      <w:r>
        <w:rPr>
          <w:noProof/>
        </w:rPr>
        <w:tab/>
        <w:t>„Monedă digitală emisă de Banca Centrală” înseamnă orice Monedă Fiduciară digitală emisă de o Bancă Centrală sau de o altă autoritate monetară.</w:t>
      </w:r>
    </w:p>
    <w:p>
      <w:pPr>
        <w:pStyle w:val="Point1"/>
        <w:rPr>
          <w:noProof/>
        </w:rPr>
      </w:pPr>
      <w:r>
        <w:rPr>
          <w:noProof/>
        </w:rPr>
        <w:tab/>
        <w:t>3.</w:t>
      </w:r>
      <w:r>
        <w:rPr>
          <w:noProof/>
        </w:rPr>
        <w:tab/>
        <w:t>„Bancă Centrală” înseamnă o instituție care este, prin lege sau prin hotărâre de guvern, autoritatea principală, în afară de guvernul propriu-zis al jurisdicției, care emite instrumente destinate să circule ca monedă. O astfel de instituție poate include un organism care este separat de guvernul jurisdicției, fie că este deținut sau nu, în totalitate sau parțial, de către jurisdicție.</w:t>
      </w:r>
    </w:p>
    <w:p>
      <w:pPr>
        <w:pStyle w:val="Point1"/>
        <w:rPr>
          <w:noProof/>
        </w:rPr>
      </w:pPr>
      <w:r>
        <w:rPr>
          <w:noProof/>
        </w:rPr>
        <w:tab/>
        <w:t>4.</w:t>
      </w:r>
      <w:r>
        <w:rPr>
          <w:noProof/>
        </w:rPr>
        <w:tab/>
        <w:t>„Criptoactiv care face obiectul Raportării” înseamnă orice Criptoactiv care nu este o Monedă Digitală emisă de Banca Centrală, o Monedă Electronică sau orice Criptoactiv în privința căruia Furnizorul de Servicii de Criptoactive Raportor a stabilit în mod corespunzător că nu poate fi utilizat în scopuri de plată sau de investiții.</w:t>
      </w:r>
    </w:p>
    <w:p>
      <w:pPr>
        <w:pStyle w:val="Point1"/>
        <w:rPr>
          <w:noProof/>
        </w:rPr>
      </w:pPr>
      <w:r>
        <w:rPr>
          <w:noProof/>
        </w:rPr>
        <w:tab/>
        <w:t>5.</w:t>
      </w:r>
      <w:r>
        <w:rPr>
          <w:noProof/>
        </w:rPr>
        <w:tab/>
        <w:t>În sensul prezentei anexe, „Monedă Electronică” înseamnă orice Criptoactiv care este:</w:t>
      </w:r>
    </w:p>
    <w:p>
      <w:pPr>
        <w:pStyle w:val="Point2"/>
        <w:rPr>
          <w:noProof/>
        </w:rPr>
      </w:pPr>
      <w:r>
        <w:rPr>
          <w:noProof/>
        </w:rPr>
        <w:tab/>
        <w:t>(a)</w:t>
      </w:r>
      <w:r>
        <w:rPr>
          <w:noProof/>
        </w:rPr>
        <w:tab/>
        <w:t>o reprezentare digitală a unei singure Monede Fiduciare;</w:t>
      </w:r>
    </w:p>
    <w:p>
      <w:pPr>
        <w:pStyle w:val="Point2"/>
        <w:rPr>
          <w:noProof/>
        </w:rPr>
      </w:pPr>
      <w:r>
        <w:rPr>
          <w:noProof/>
        </w:rPr>
        <w:tab/>
        <w:t>(b)</w:t>
      </w:r>
      <w:r>
        <w:rPr>
          <w:noProof/>
        </w:rPr>
        <w:tab/>
        <w:t>emis la primirea de fonduri în scopul efectuării de operațiuni de plată;</w:t>
      </w:r>
    </w:p>
    <w:p>
      <w:pPr>
        <w:pStyle w:val="Point2"/>
        <w:rPr>
          <w:noProof/>
        </w:rPr>
      </w:pPr>
      <w:r>
        <w:rPr>
          <w:noProof/>
        </w:rPr>
        <w:lastRenderedPageBreak/>
        <w:tab/>
        <w:t>(c)</w:t>
      </w:r>
      <w:r>
        <w:rPr>
          <w:noProof/>
        </w:rPr>
        <w:tab/>
        <w:t>reprezentat de o creanță asupra emitentului exprimată în aceeași Monedă Fiduciară;</w:t>
      </w:r>
    </w:p>
    <w:p>
      <w:pPr>
        <w:pStyle w:val="Point2"/>
        <w:rPr>
          <w:noProof/>
        </w:rPr>
      </w:pPr>
      <w:r>
        <w:rPr>
          <w:noProof/>
        </w:rPr>
        <w:tab/>
        <w:t>(d)</w:t>
      </w:r>
      <w:r>
        <w:rPr>
          <w:noProof/>
        </w:rPr>
        <w:tab/>
        <w:t>acceptat ca plată de către o persoană fizică sau juridică, alta decât emitentul; și</w:t>
      </w:r>
    </w:p>
    <w:p>
      <w:pPr>
        <w:pStyle w:val="Point2"/>
        <w:rPr>
          <w:noProof/>
        </w:rPr>
      </w:pPr>
      <w:r>
        <w:rPr>
          <w:noProof/>
        </w:rPr>
        <w:tab/>
        <w:t>(e)</w:t>
      </w:r>
      <w:r>
        <w:rPr>
          <w:noProof/>
        </w:rPr>
        <w:tab/>
        <w:t>în temeiul cerințelor de reglementare aplicabile emitentului, rambursabil în orice moment și la valoarea nominală pentru aceeași Monedă Fiduciară, la cererea deținătorului produsului.</w:t>
      </w:r>
    </w:p>
    <w:p>
      <w:pPr>
        <w:pStyle w:val="Point1"/>
        <w:rPr>
          <w:noProof/>
        </w:rPr>
      </w:pPr>
      <w:r>
        <w:rPr>
          <w:noProof/>
        </w:rPr>
        <w:tab/>
        <w:t>Termenul „Monedă Electronică” nu include un produs creat cu unicul scop de a facilita transferul de fonduri de la un client la o altă persoană în conformitate cu instrucțiunile clientului. Un produs nu este creat cu unicul scop de a facilita transferul de fonduri dacă, pe parcursul desfășurării normale a activității Entității care efectuează transferul, fie fondurile legate de produsul respectiv sunt deținute mai mult de 60 de zile de la primirea instrucțiunilor de facilitare a transferului, fie, în cazul în care nu se primesc instrucțiuni, fondurile legate de produsul respectiv sunt deținute mai mult de 60 de zile de la primirea fondurilor.</w:t>
      </w:r>
    </w:p>
    <w:p>
      <w:pPr>
        <w:pStyle w:val="Point0"/>
        <w:rPr>
          <w:noProof/>
        </w:rPr>
      </w:pPr>
      <w:r>
        <w:rPr>
          <w:noProof/>
        </w:rPr>
        <w:tab/>
        <w:t>B.</w:t>
      </w:r>
      <w:r>
        <w:rPr>
          <w:noProof/>
        </w:rPr>
        <w:tab/>
        <w:t>Furnizor de Servicii de Criptoactive Raportor</w:t>
      </w:r>
    </w:p>
    <w:p>
      <w:pPr>
        <w:pStyle w:val="Point1"/>
        <w:rPr>
          <w:noProof/>
        </w:rPr>
      </w:pPr>
      <w:r>
        <w:rPr>
          <w:noProof/>
        </w:rPr>
        <w:tab/>
        <w:t>1.</w:t>
      </w:r>
      <w:r>
        <w:rPr>
          <w:noProof/>
        </w:rPr>
        <w:tab/>
        <w:t>„Furnizor de Servicii de Criptoactive” înseamnă furnizor de servicii de criptoactive, în sensul definiției de la articolul 3 alineatul (1) punctul 15 din Regulamentul (UE) 2023/1114.</w:t>
      </w:r>
    </w:p>
    <w:p>
      <w:pPr>
        <w:pStyle w:val="Point1"/>
        <w:rPr>
          <w:noProof/>
        </w:rPr>
      </w:pPr>
      <w:r>
        <w:rPr>
          <w:noProof/>
        </w:rPr>
        <w:tab/>
        <w:t>2.</w:t>
      </w:r>
      <w:r>
        <w:rPr>
          <w:noProof/>
        </w:rPr>
        <w:tab/>
        <w:t>„Operator de Criptoactive” înseamnă un prestator de servicii de criptoactive care nu are calitatea de Furnizor de Servicii de Criptoactive.</w:t>
      </w:r>
    </w:p>
    <w:p>
      <w:pPr>
        <w:pStyle w:val="Point1"/>
        <w:rPr>
          <w:noProof/>
        </w:rPr>
      </w:pPr>
      <w:r>
        <w:rPr>
          <w:noProof/>
        </w:rPr>
        <w:tab/>
        <w:t>3.</w:t>
      </w:r>
      <w:r>
        <w:rPr>
          <w:noProof/>
        </w:rPr>
        <w:tab/>
        <w:t>„Furnizor de Servicii de Criptoactive Raportor” înseamnă orice Furnizor de Servicii de Criptoactive și orice Operator de Criptoactive care furnizează unul sau mai multe Servicii de Criptoactive care implică Tranzacții de Schimb pentru sau în numele Utilizatorilor care fac obiectul Raportării.</w:t>
      </w:r>
    </w:p>
    <w:p>
      <w:pPr>
        <w:pStyle w:val="Point1"/>
        <w:rPr>
          <w:noProof/>
        </w:rPr>
      </w:pPr>
      <w:r>
        <w:rPr>
          <w:noProof/>
        </w:rPr>
        <w:tab/>
        <w:t>4.</w:t>
      </w:r>
      <w:r>
        <w:rPr>
          <w:noProof/>
        </w:rPr>
        <w:tab/>
        <w:t xml:space="preserve">„Servicii de Criptoactive” înseamnă servicii de criptoactive, în sensul definiției de la articolul 3 alineatul (1) punctul 16 din Regulamentul (UE) 2023/1114, inclusiv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staking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participații</w:t>
      </w:r>
      <w:r>
        <w:rPr>
          <w:noProof/>
        </w:rPr>
        <w:t xml:space="preserve"> și împrumuturi.</w:t>
      </w:r>
    </w:p>
    <w:p>
      <w:pPr>
        <w:pStyle w:val="Point0"/>
        <w:rPr>
          <w:noProof/>
        </w:rPr>
      </w:pPr>
      <w:r>
        <w:rPr>
          <w:noProof/>
        </w:rPr>
        <w:tab/>
        <w:t>C.</w:t>
      </w:r>
      <w:r>
        <w:rPr>
          <w:noProof/>
        </w:rPr>
        <w:tab/>
        <w:t>Tranzacție care face Obiectul Raportării</w:t>
      </w:r>
    </w:p>
    <w:p>
      <w:pPr>
        <w:pStyle w:val="Point1"/>
        <w:rPr>
          <w:noProof/>
        </w:rPr>
      </w:pPr>
      <w:r>
        <w:rPr>
          <w:noProof/>
        </w:rPr>
        <w:tab/>
        <w:t>1.</w:t>
      </w:r>
      <w:r>
        <w:rPr>
          <w:noProof/>
        </w:rPr>
        <w:tab/>
        <w:t>„Tranzacție care face Obiectul Raportării” înseamnă orice:</w:t>
      </w:r>
    </w:p>
    <w:p>
      <w:pPr>
        <w:pStyle w:val="Point2"/>
        <w:rPr>
          <w:noProof/>
        </w:rPr>
      </w:pPr>
      <w:r>
        <w:rPr>
          <w:noProof/>
        </w:rPr>
        <w:tab/>
        <w:t>(a)</w:t>
      </w:r>
      <w:r>
        <w:rPr>
          <w:noProof/>
        </w:rPr>
        <w:tab/>
        <w:t>Tranzacție de Schimb; și</w:t>
      </w:r>
    </w:p>
    <w:p>
      <w:pPr>
        <w:pStyle w:val="Point2"/>
        <w:rPr>
          <w:noProof/>
        </w:rPr>
      </w:pPr>
      <w:r>
        <w:rPr>
          <w:noProof/>
        </w:rPr>
        <w:tab/>
        <w:t>(b)</w:t>
      </w:r>
      <w:r>
        <w:rPr>
          <w:noProof/>
        </w:rPr>
        <w:tab/>
        <w:t>Transfer de Criptoactive care fac obiectul Raportării.</w:t>
      </w:r>
    </w:p>
    <w:p>
      <w:pPr>
        <w:pStyle w:val="Point1"/>
        <w:rPr>
          <w:noProof/>
        </w:rPr>
      </w:pPr>
      <w:r>
        <w:rPr>
          <w:noProof/>
        </w:rPr>
        <w:tab/>
        <w:t>2.</w:t>
      </w:r>
      <w:r>
        <w:rPr>
          <w:noProof/>
        </w:rPr>
        <w:tab/>
        <w:t>„Tranzacție de Schimb” înseamnă orice:</w:t>
      </w:r>
    </w:p>
    <w:p>
      <w:pPr>
        <w:pStyle w:val="Point2"/>
        <w:rPr>
          <w:noProof/>
        </w:rPr>
      </w:pPr>
      <w:r>
        <w:rPr>
          <w:noProof/>
        </w:rPr>
        <w:tab/>
        <w:t>(a)</w:t>
      </w:r>
      <w:r>
        <w:rPr>
          <w:noProof/>
        </w:rPr>
        <w:tab/>
        <w:t>schimb între Criptoactive care fac Obiectul Raportării și Monede Fiduciare; și</w:t>
      </w:r>
    </w:p>
    <w:p>
      <w:pPr>
        <w:pStyle w:val="Point2"/>
        <w:rPr>
          <w:noProof/>
        </w:rPr>
      </w:pPr>
      <w:r>
        <w:rPr>
          <w:noProof/>
        </w:rPr>
        <w:tab/>
        <w:t>(b)</w:t>
      </w:r>
      <w:r>
        <w:rPr>
          <w:noProof/>
        </w:rPr>
        <w:tab/>
        <w:t>schimb între una sau mai multe forme de Criptoactive care fac Obiectul Raportării.</w:t>
      </w:r>
    </w:p>
    <w:p>
      <w:pPr>
        <w:pStyle w:val="Point1"/>
        <w:rPr>
          <w:noProof/>
        </w:rPr>
      </w:pPr>
      <w:r>
        <w:rPr>
          <w:noProof/>
        </w:rPr>
        <w:tab/>
        <w:t>3.</w:t>
      </w:r>
      <w:r>
        <w:rPr>
          <w:noProof/>
        </w:rPr>
        <w:tab/>
        <w:t>„Tranzacție de Plată cu Amănuntul care face Obiectul Raportării” înseamnă un Transfer de Criptoactive care fac Obiectul Raportării în schimbul unor bunuri sau servicii cu o valoare mai mare de 50 000 USD (sau un cuantum echivalent în orice altă monedă).</w:t>
      </w:r>
    </w:p>
    <w:p>
      <w:pPr>
        <w:pStyle w:val="Point1"/>
        <w:rPr>
          <w:noProof/>
        </w:rPr>
      </w:pPr>
      <w:r>
        <w:rPr>
          <w:noProof/>
        </w:rPr>
        <w:tab/>
        <w:t>4.</w:t>
      </w:r>
      <w:r>
        <w:rPr>
          <w:noProof/>
        </w:rPr>
        <w:tab/>
        <w:t xml:space="preserve">„Transfer” înseamnă o tranzacție prin care se transferă un Criptoactiv care face Obiectul Raportării de la sau către adresa Criptoactivelor sau contul unui Utilizator de Criptoactive, altele decât adresa Criptoactivelor sau contul </w:t>
      </w:r>
      <w:r>
        <w:rPr>
          <w:noProof/>
        </w:rPr>
        <w:lastRenderedPageBreak/>
        <w:t>administrat de Furnizorul de Servicii de Criptoactive Raportor în numele aceluiași Utilizator de Criptoactive, în cazul în care, pe baza cunoștințelor de care dispune la momentul tranzacției, Furnizorul de Servicii de Criptoactive Raportor nu poate stabili că tranzacția este o Tranzacție de Schimb.</w:t>
      </w:r>
    </w:p>
    <w:p>
      <w:pPr>
        <w:pStyle w:val="Point1"/>
        <w:rPr>
          <w:noProof/>
        </w:rPr>
      </w:pPr>
      <w:r>
        <w:rPr>
          <w:noProof/>
        </w:rPr>
        <w:tab/>
        <w:t>5.</w:t>
      </w:r>
      <w:r>
        <w:rPr>
          <w:noProof/>
        </w:rPr>
        <w:tab/>
        <w:t>„Monedă Fiduciară” înseamnă moneda oficială a unei jurisdicții, emisă de o jurisdicție sau de o Bancă Centrală sau de o autoritate monetară desemnată de o jurisdicție, reprezentată de bancnote sau monede fizice sau de monede în diferite forme digitale, printre care rezerve bancare și Monedele Digitale emise de Banca Centrală. Termenul include și moneda băncii comerciale și produsele de monedă electronică (moneda electronică).</w:t>
      </w:r>
    </w:p>
    <w:p>
      <w:pPr>
        <w:pStyle w:val="Point0"/>
        <w:rPr>
          <w:noProof/>
        </w:rPr>
      </w:pPr>
      <w:r>
        <w:rPr>
          <w:noProof/>
        </w:rPr>
        <w:tab/>
        <w:t>D.</w:t>
      </w:r>
      <w:r>
        <w:rPr>
          <w:noProof/>
        </w:rPr>
        <w:tab/>
        <w:t>Utilizator care face Obiectul Raportării</w:t>
      </w:r>
    </w:p>
    <w:p>
      <w:pPr>
        <w:pStyle w:val="Point1"/>
        <w:rPr>
          <w:noProof/>
        </w:rPr>
      </w:pPr>
      <w:r>
        <w:rPr>
          <w:noProof/>
        </w:rPr>
        <w:tab/>
        <w:t>1.</w:t>
      </w:r>
      <w:r>
        <w:rPr>
          <w:noProof/>
        </w:rPr>
        <w:tab/>
        <w:t>„Utilizator care face Obiectul Raportării” înseamnă un Utilizator de Criptoactive care este o Persoană care face Obiectul Raportării rezidentă într-un stat membru.</w:t>
      </w:r>
    </w:p>
    <w:p>
      <w:pPr>
        <w:pStyle w:val="Point1"/>
        <w:rPr>
          <w:noProof/>
        </w:rPr>
      </w:pPr>
      <w:r>
        <w:rPr>
          <w:noProof/>
        </w:rPr>
        <w:tab/>
        <w:t>2.</w:t>
      </w:r>
      <w:r>
        <w:rPr>
          <w:noProof/>
        </w:rPr>
        <w:tab/>
        <w:t>„Utilizator de Criptoactive” înseamnă o persoană fizică sau o Entitate care este clienta unui Furnizor de Servicii de Criptoactive Raportor în scopul efectuării de Tranzacții care fac Obiectul Raportării. O persoană fizică sau o Entitate, alta decât o Instituție Financiară sau un Furnizor de Servicii de Criptoactive Raportor, care acționează în calitate de Utilizator de Criptoactive în beneficiul sau în numele unei alte persoane fizice sau al unei alte Entități în calitate de agent, custode, mandatar, semnatar, consilier de investiții sau intermediar nu este considerată drept Utilizator de Criptoactive, ci cealaltă persoană fizică sau Entitate este considerată drept Utilizator de Criptoactive. În cazul în care un Furnizor de Servicii de Criptoactive Raportor prestează un serviciu prin care se efectuează Tranzacții de Plată cu Amănuntul care fac Obiectul Raportării pentru un comerciant sau în numele acestuia, Furnizorul de Servicii de Criptoactive Raportor consideră și clientul care este contrapartea comerciantului pentru aceste Tranzacții de Plată cu Amănuntul care fac Obiectul Raportării drept Utilizator de Criptoactive în ceea ce privește respectiva tranzacție, cu condiția ca Furnizorul de Servicii de Criptoactive Raportor să aibă obligația de a verifica identitatea acestui client în cadrul Tranzacției de Plată cu Amănuntul care face Obiectul Raportării în conformitate cu normele naționale de combatere a spălării banilor.</w:t>
      </w:r>
    </w:p>
    <w:p>
      <w:pPr>
        <w:pStyle w:val="Point1"/>
        <w:rPr>
          <w:noProof/>
        </w:rPr>
      </w:pPr>
      <w:r>
        <w:rPr>
          <w:noProof/>
        </w:rPr>
        <w:tab/>
        <w:t>3.</w:t>
      </w:r>
      <w:r>
        <w:rPr>
          <w:noProof/>
        </w:rPr>
        <w:tab/>
        <w:t>„Persoană fizică care este Utilizator de Criptoactive” înseamnă un Utilizator de Criptoactive care este persoană fizică.</w:t>
      </w:r>
    </w:p>
    <w:p>
      <w:pPr>
        <w:pStyle w:val="Point1"/>
        <w:rPr>
          <w:noProof/>
        </w:rPr>
      </w:pPr>
      <w:r>
        <w:rPr>
          <w:noProof/>
        </w:rPr>
        <w:tab/>
        <w:t>4.</w:t>
      </w:r>
      <w:r>
        <w:rPr>
          <w:noProof/>
        </w:rPr>
        <w:tab/>
        <w:t>„Persoană fizică care este Utilizator de Criptoactive Preexistent” înseamnă o persoană fizică care este Utilizator de Criptoactive și care are stabilită o relație cu Furnizorul de Servicii de Criptoactive Raportor la data de 31 decembrie 2025.</w:t>
      </w:r>
    </w:p>
    <w:p>
      <w:pPr>
        <w:pStyle w:val="Point1"/>
        <w:rPr>
          <w:noProof/>
        </w:rPr>
      </w:pPr>
      <w:r>
        <w:rPr>
          <w:noProof/>
        </w:rPr>
        <w:tab/>
        <w:t>5.</w:t>
      </w:r>
      <w:r>
        <w:rPr>
          <w:noProof/>
        </w:rPr>
        <w:tab/>
        <w:t>„Entitate care este Utilizator de Criptoactive” înseamnă un Utilizator de Criptoactive care este Entitate.</w:t>
      </w:r>
    </w:p>
    <w:p>
      <w:pPr>
        <w:pStyle w:val="Point1"/>
        <w:rPr>
          <w:noProof/>
        </w:rPr>
      </w:pPr>
      <w:r>
        <w:rPr>
          <w:noProof/>
        </w:rPr>
        <w:tab/>
        <w:t>6.</w:t>
      </w:r>
      <w:r>
        <w:rPr>
          <w:noProof/>
        </w:rPr>
        <w:tab/>
        <w:t>„Entitate care este Utilizator de Criptoactive Preexistent” înseamnă o entitate care este Utilizator de Criptoactive și care are stabilită o relație cu Furnizorul de Servicii de Criptoactive Raportor la data de 31 decembrie 2025.</w:t>
      </w:r>
    </w:p>
    <w:p>
      <w:pPr>
        <w:pStyle w:val="Point1"/>
        <w:rPr>
          <w:noProof/>
        </w:rPr>
      </w:pPr>
      <w:r>
        <w:rPr>
          <w:noProof/>
        </w:rPr>
        <w:tab/>
        <w:t>7.</w:t>
      </w:r>
      <w:r>
        <w:rPr>
          <w:noProof/>
        </w:rPr>
        <w:tab/>
        <w:t>„Persoană care face Obiectul Raportării” înseamnă o Persoană dintr-un Stat Membru, alta decât o Persoană exclusă.</w:t>
      </w:r>
    </w:p>
    <w:p>
      <w:pPr>
        <w:pStyle w:val="Point1"/>
        <w:rPr>
          <w:noProof/>
        </w:rPr>
      </w:pPr>
      <w:r>
        <w:rPr>
          <w:noProof/>
        </w:rPr>
        <w:tab/>
        <w:t>8.</w:t>
      </w:r>
      <w:r>
        <w:rPr>
          <w:noProof/>
        </w:rPr>
        <w:tab/>
        <w:t xml:space="preserve">„Persoană dintr-un Stat Membru”, din perspectiva fiecărui stat membru, înseamnă o Entitate sau o persoană fizică care are rezidența în orice </w:t>
      </w:r>
      <w:r>
        <w:rPr>
          <w:noProof/>
        </w:rPr>
        <w:lastRenderedPageBreak/>
        <w:t>stat membru în temeiul legislației fiscale din jurisdicția respectivului stat membru sau patrimoniul succesoral al unei persoane decedate care era rezidentă a oricărui stat membru. În acest sens, o Entitate precum o societate în nume colectiv, o societate privată cu răspundere limitată sau o construcție juridică similară care nu are rezidență fiscală este considerată ca fiind rezidentă în jurisdicția în care se află sediul conducerii efective.</w:t>
      </w:r>
    </w:p>
    <w:p>
      <w:pPr>
        <w:pStyle w:val="Point1"/>
        <w:rPr>
          <w:noProof/>
        </w:rPr>
      </w:pPr>
      <w:r>
        <w:rPr>
          <w:noProof/>
        </w:rPr>
        <w:tab/>
        <w:t>9.</w:t>
      </w:r>
      <w:r>
        <w:rPr>
          <w:noProof/>
        </w:rPr>
        <w:tab/>
        <w:t xml:space="preserve">„Persoane care exercită Controlul” înseamnă persoanele fizice care exercită controlul asupra unei Entități. În cazul unei fiducii, acest termen înseamnă constituitorul (constituitorii), fiduciarul (fiduciarii), protectorul (protectorii) (dacă este cazul), beneficiarul (beneficiarii) sau clasa (clasele) de beneficiari, precum și orice altă persoană fizică (alte persoane fizice) care exercită un control efectiv definitiv asupra fiduciei, și, în cazul unei construcții juridice care nu este o fiducie, acest termen desemnează persoanele aflate în poziții echivalente sau similare. Termenul „Persoană care exercită Controlul” se interpretează într-un mod compatibil cu termenul „beneficiar real”, în sensul definiției de la </w:t>
      </w:r>
      <w:r>
        <w:rPr>
          <w:rStyle w:val="CRMinorChangeAdded"/>
          <w:noProof/>
        </w:rPr>
        <w:t xml:space="preserve">articolul 2 alineatul (1) punctul 28 din Regulamentul (UE) 2024/1624 </w:t>
      </w:r>
      <w:r>
        <w:rPr>
          <w:rStyle w:val="CRMinorChangeDeleted"/>
          <w:noProof/>
        </w:rPr>
        <w:t>articolul 3 punctul 6 din Directiva (UE) 2015/849</w:t>
      </w:r>
      <w:r>
        <w:rPr>
          <w:noProof/>
        </w:rPr>
        <w:t xml:space="preserve"> în ceea ce îi privește pe Furnizorii de Servicii de Criptoactive Raportori.</w:t>
      </w:r>
    </w:p>
    <w:p>
      <w:pPr>
        <w:pStyle w:val="Point1"/>
        <w:rPr>
          <w:noProof/>
        </w:rPr>
      </w:pPr>
      <w:r>
        <w:rPr>
          <w:noProof/>
        </w:rPr>
        <w:tab/>
        <w:t>10.</w:t>
      </w:r>
      <w:r>
        <w:rPr>
          <w:noProof/>
        </w:rPr>
        <w:tab/>
        <w:t>„Entitate Activă” înseamnă orice Entitate care îndeplinește oricare dintre următoarele criterii:</w:t>
      </w:r>
    </w:p>
    <w:p>
      <w:pPr>
        <w:pStyle w:val="Point2"/>
        <w:rPr>
          <w:noProof/>
        </w:rPr>
      </w:pPr>
      <w:r>
        <w:rPr>
          <w:noProof/>
        </w:rPr>
        <w:tab/>
        <w:t>(a)</w:t>
      </w:r>
      <w:r>
        <w:rPr>
          <w:noProof/>
        </w:rPr>
        <w:tab/>
        <w:t>mai puțin de 50 % din venitul brut al Entității pentru anul calendaristic precedent sau pentru altă perioadă de raportare adecvată este venit pasiv și mai puțin de 50 % din activele deținute de Entitate în cursul anului calendaristic precedent sau al altei perioade de raportare adecvate sunt active care produc sau sunt deținute pentru a produce venit pasiv;</w:t>
      </w:r>
    </w:p>
    <w:p>
      <w:pPr>
        <w:pStyle w:val="Point2"/>
        <w:rPr>
          <w:noProof/>
        </w:rPr>
      </w:pPr>
      <w:r>
        <w:rPr>
          <w:noProof/>
        </w:rPr>
        <w:tab/>
        <w:t>(b)</w:t>
      </w:r>
      <w:r>
        <w:rPr>
          <w:noProof/>
        </w:rPr>
        <w:tab/>
        <w:t>toate activitățile Entității constau, în esență, în deținerea (în totalitate sau parțial) a acțiunilor subscrise emise de una sau mai multe filiale ale căror tranzacții sau activități sunt diferite de activitățile unei Instituții Financiare, sau în finanțarea și prestarea de servicii respectivelor filiale. Totuși, o Entitate nu are statutul de Entitate Activă dacă funcționează (sau se prezintă) drept un fond de investiții, cum ar fi un fond de investiții în societăți necotate, un fond cu capital de risc, un fond de achiziție prin îndatorarea companiei sau orice alt organism de plasament al cărui scop este de a achiziționa sau de a finanța companii și de a deține capital în cadrul respectivelor companii, reprezentând active de capital în scopul unor investiții;</w:t>
      </w:r>
    </w:p>
    <w:p>
      <w:pPr>
        <w:pStyle w:val="Point2"/>
        <w:rPr>
          <w:noProof/>
        </w:rPr>
      </w:pPr>
      <w:r>
        <w:rPr>
          <w:noProof/>
        </w:rPr>
        <w:tab/>
        <w:t>(c)</w:t>
      </w:r>
      <w:r>
        <w:rPr>
          <w:noProof/>
        </w:rPr>
        <w:tab/>
        <w:t>Entitatea nu desfășoară încă activități comerciale și nu a mai desfășurat niciodată, dar investește capital în active cu intenția de a desfășura o activitate comercială, alta decât cea a unei Instituții Financiare, cu condiția ca Entitatea să nu se califice pentru această excepție ulterior datei la care se împlinesc 24 de luni de la data inițială a constituirii Entității;</w:t>
      </w:r>
    </w:p>
    <w:p>
      <w:pPr>
        <w:pStyle w:val="Point2"/>
        <w:rPr>
          <w:noProof/>
        </w:rPr>
      </w:pPr>
      <w:r>
        <w:rPr>
          <w:noProof/>
        </w:rPr>
        <w:tab/>
        <w:t>(d)</w:t>
      </w:r>
      <w:r>
        <w:rPr>
          <w:noProof/>
        </w:rPr>
        <w:tab/>
        <w:t>Entitatea nu a fost o Instituție Financiară în ultimii cinci ani și este în proces de lichidare a activelor sale sau de restructurare cu intenția de a continua sau de a relua operațiunile în alte activități decât cele ale unei Instituții Financiare;</w:t>
      </w:r>
    </w:p>
    <w:p>
      <w:pPr>
        <w:pStyle w:val="Point2"/>
        <w:rPr>
          <w:noProof/>
        </w:rPr>
      </w:pPr>
      <w:r>
        <w:rPr>
          <w:noProof/>
        </w:rPr>
        <w:tab/>
        <w:t>(e)</w:t>
      </w:r>
      <w:r>
        <w:rPr>
          <w:noProof/>
        </w:rPr>
        <w:tab/>
        <w:t xml:space="preserve">activitățile Entității constau în principal în finanțare și operațiuni de acoperire a riscurilor cu sau pentru Entități afiliate care nu </w:t>
      </w:r>
      <w:r>
        <w:rPr>
          <w:noProof/>
        </w:rPr>
        <w:lastRenderedPageBreak/>
        <w:t>sunt Instituții Financiare, iar Entitatea nu prestează servicii de finanțare sau de acoperire a riscurilor niciunei alte Entități care nu este o Entitate afiliată, cu condiția ca grupul din care fac parte respectivele Entități afiliate să desfășoare în principal o activitate diferită de activitățile unei Instituții Financiare; sau</w:t>
      </w:r>
    </w:p>
    <w:p>
      <w:pPr>
        <w:pStyle w:val="Point2"/>
        <w:rPr>
          <w:noProof/>
        </w:rPr>
      </w:pPr>
      <w:r>
        <w:rPr>
          <w:noProof/>
        </w:rPr>
        <w:tab/>
        <w:t>(f)</w:t>
      </w:r>
      <w:r>
        <w:rPr>
          <w:noProof/>
        </w:rPr>
        <w:tab/>
        <w:t>Entitatea îndeplinește toate condițiile următoare:</w:t>
      </w:r>
    </w:p>
    <w:p>
      <w:pPr>
        <w:pStyle w:val="Point3"/>
        <w:rPr>
          <w:noProof/>
        </w:rPr>
      </w:pPr>
      <w:r>
        <w:rPr>
          <w:noProof/>
        </w:rPr>
        <w:tab/>
        <w:t>(i)</w:t>
      </w:r>
      <w:r>
        <w:rPr>
          <w:noProof/>
        </w:rPr>
        <w:tab/>
        <w:t>este constituită și își desfășoară activitatea în jurisdicția sa de rezidență exclusiv în scopuri religioase, caritabile, științifice, artistice, culturale, sportive sau educaționale; sau este constituită și își desfășoară activitatea în jurisdicția sa de rezidență și este o organizație profesională, o asociație de afaceri, o cameră de comerț, o organizație a muncii, o organizație din sectorul agriculturii sau al horticulturii, o asociație civică sau o organizație care funcționează exclusiv pentru promovarea bunăstării sociale;</w:t>
      </w:r>
    </w:p>
    <w:p>
      <w:pPr>
        <w:pStyle w:val="Point3"/>
        <w:rPr>
          <w:noProof/>
        </w:rPr>
      </w:pPr>
      <w:r>
        <w:rPr>
          <w:noProof/>
        </w:rPr>
        <w:tab/>
        <w:t>(ii)</w:t>
      </w:r>
      <w:r>
        <w:rPr>
          <w:noProof/>
        </w:rPr>
        <w:tab/>
        <w:t>este scutită de impozitul pe venit în jurisdicția sa de rezidență;</w:t>
      </w:r>
    </w:p>
    <w:p>
      <w:pPr>
        <w:pStyle w:val="Point3"/>
        <w:rPr>
          <w:noProof/>
        </w:rPr>
      </w:pPr>
      <w:r>
        <w:rPr>
          <w:noProof/>
        </w:rPr>
        <w:tab/>
        <w:t>(iii)</w:t>
      </w:r>
      <w:r>
        <w:rPr>
          <w:noProof/>
        </w:rPr>
        <w:tab/>
        <w:t>nu are acționari sau membri care au drepturi de proprietate sau beneficii legate de activele sau veniturile sale;</w:t>
      </w:r>
    </w:p>
    <w:p>
      <w:pPr>
        <w:pStyle w:val="Point3"/>
        <w:rPr>
          <w:noProof/>
        </w:rPr>
      </w:pPr>
      <w:r>
        <w:rPr>
          <w:noProof/>
        </w:rPr>
        <w:tab/>
        <w:t>(iv)</w:t>
      </w:r>
      <w:r>
        <w:rPr>
          <w:noProof/>
        </w:rPr>
        <w:tab/>
        <w:t>legislația aplicabilă a jurisdicției de rezidență a Entității sau documentele de constituire a Entității nu permit ca vreun venit ori vreun activ al Entității să fie distribuit sau utilizat în beneficiul unei persoane fizice sau al unei Entități non-caritabile în alt mod decât în scopul desfășurării de activități caritabile ale Entității, sau drept plată a unor compensații rezonabile pentru servicii prestate, ori drept plată reprezentând valoarea justă de piață a unei proprietăți pe care a cumpărat-o Entitatea; și</w:t>
      </w:r>
    </w:p>
    <w:p>
      <w:pPr>
        <w:pStyle w:val="Point3"/>
        <w:rPr>
          <w:noProof/>
        </w:rPr>
      </w:pPr>
      <w:r>
        <w:rPr>
          <w:noProof/>
        </w:rPr>
        <w:tab/>
        <w:t>(v)</w:t>
      </w:r>
      <w:r>
        <w:rPr>
          <w:noProof/>
        </w:rPr>
        <w:tab/>
        <w:t>legislația aplicabilă a jurisdicției de rezidență a Entității sau documentele de constituire a Entității impun ca, în momentul lichidării sau al dizolvării Entității, toate activele sale să fie distribuite către o Entitate Guvernamentală sau altă organizație non-profit sau să revină guvernului jurisdicției de rezidență a Entității sau oricărei subdiviziuni politice a acestuia.</w:t>
      </w:r>
    </w:p>
    <w:p>
      <w:pPr>
        <w:pStyle w:val="Point0"/>
        <w:rPr>
          <w:noProof/>
        </w:rPr>
      </w:pPr>
      <w:r>
        <w:rPr>
          <w:noProof/>
        </w:rPr>
        <w:tab/>
        <w:t>E.</w:t>
      </w:r>
      <w:r>
        <w:rPr>
          <w:noProof/>
        </w:rPr>
        <w:tab/>
        <w:t>Persoană Exclusă</w:t>
      </w:r>
    </w:p>
    <w:p>
      <w:pPr>
        <w:pStyle w:val="Point1"/>
        <w:rPr>
          <w:noProof/>
        </w:rPr>
      </w:pPr>
      <w:r>
        <w:rPr>
          <w:noProof/>
        </w:rPr>
        <w:tab/>
        <w:t>1.</w:t>
      </w:r>
      <w:r>
        <w:rPr>
          <w:noProof/>
        </w:rPr>
        <w:tab/>
        <w:t>„Persoană Exclusă” înseamnă:</w:t>
      </w:r>
    </w:p>
    <w:p>
      <w:pPr>
        <w:pStyle w:val="Point2"/>
        <w:rPr>
          <w:noProof/>
        </w:rPr>
      </w:pPr>
      <w:r>
        <w:rPr>
          <w:noProof/>
        </w:rPr>
        <w:tab/>
        <w:t>(a)</w:t>
      </w:r>
      <w:r>
        <w:rPr>
          <w:noProof/>
        </w:rPr>
        <w:tab/>
        <w:t>o Entitate al cărei capital este tranzacționat în mod regulat pe una sau mai multe piețe reglementate;</w:t>
      </w:r>
    </w:p>
    <w:p>
      <w:pPr>
        <w:pStyle w:val="Point2"/>
        <w:rPr>
          <w:noProof/>
        </w:rPr>
      </w:pPr>
      <w:r>
        <w:rPr>
          <w:noProof/>
        </w:rPr>
        <w:tab/>
        <w:t>(b)</w:t>
      </w:r>
      <w:r>
        <w:rPr>
          <w:noProof/>
        </w:rPr>
        <w:tab/>
        <w:t>orice Entitate care este o Entitate Afiliată unei Entități prevăzute la litera (a);</w:t>
      </w:r>
    </w:p>
    <w:p>
      <w:pPr>
        <w:pStyle w:val="Point2"/>
        <w:rPr>
          <w:noProof/>
        </w:rPr>
      </w:pPr>
      <w:r>
        <w:rPr>
          <w:noProof/>
        </w:rPr>
        <w:tab/>
        <w:t>(c)</w:t>
      </w:r>
      <w:r>
        <w:rPr>
          <w:noProof/>
        </w:rPr>
        <w:tab/>
        <w:t>o Entitate Guvernamentală;</w:t>
      </w:r>
    </w:p>
    <w:p>
      <w:pPr>
        <w:pStyle w:val="Point2"/>
        <w:rPr>
          <w:noProof/>
        </w:rPr>
      </w:pPr>
      <w:r>
        <w:rPr>
          <w:noProof/>
        </w:rPr>
        <w:tab/>
        <w:t>(d)</w:t>
      </w:r>
      <w:r>
        <w:rPr>
          <w:noProof/>
        </w:rPr>
        <w:tab/>
        <w:t>o Organizație Internațională;</w:t>
      </w:r>
    </w:p>
    <w:p>
      <w:pPr>
        <w:pStyle w:val="Point2"/>
        <w:rPr>
          <w:noProof/>
        </w:rPr>
      </w:pPr>
      <w:r>
        <w:rPr>
          <w:noProof/>
        </w:rPr>
        <w:tab/>
        <w:t>(e)</w:t>
      </w:r>
      <w:r>
        <w:rPr>
          <w:noProof/>
        </w:rPr>
        <w:tab/>
        <w:t>o Bancă Centrală; sau</w:t>
      </w:r>
    </w:p>
    <w:p>
      <w:pPr>
        <w:pStyle w:val="Point2"/>
        <w:rPr>
          <w:noProof/>
        </w:rPr>
      </w:pPr>
      <w:r>
        <w:rPr>
          <w:noProof/>
        </w:rPr>
        <w:tab/>
        <w:t>(f)</w:t>
      </w:r>
      <w:r>
        <w:rPr>
          <w:noProof/>
        </w:rPr>
        <w:tab/>
        <w:t>o Instituție Financiară, alta decât o Entitate de Investiții descrisă la punctul E subpunctul 5 litera (b).</w:t>
      </w:r>
    </w:p>
    <w:p>
      <w:pPr>
        <w:pStyle w:val="Point1"/>
        <w:rPr>
          <w:noProof/>
        </w:rPr>
      </w:pPr>
      <w:r>
        <w:rPr>
          <w:noProof/>
        </w:rPr>
        <w:tab/>
        <w:t>2.</w:t>
      </w:r>
      <w:r>
        <w:rPr>
          <w:noProof/>
        </w:rPr>
        <w:tab/>
        <w:t>„Instituție Financiară” înseamnă o Instituție de Custodie, o Instituție Depozitară, o Entitate de Investiții sau o Companie de Asigurări Specificată.</w:t>
      </w:r>
    </w:p>
    <w:p>
      <w:pPr>
        <w:pStyle w:val="Point1"/>
        <w:rPr>
          <w:noProof/>
        </w:rPr>
      </w:pPr>
      <w:r>
        <w:rPr>
          <w:noProof/>
        </w:rPr>
        <w:lastRenderedPageBreak/>
        <w:tab/>
        <w:t>3.</w:t>
      </w:r>
      <w:r>
        <w:rPr>
          <w:noProof/>
        </w:rPr>
        <w:tab/>
        <w:t>„Instituție de Custodie” înseamnă orice Entitate care deține, ca parte substanțială a activității sale, Active Financiare în contul unor terți. O Entitate deține, ca parte substanțială a activității sale, Active Financiare în contul unor terți dacă venitul brut al Entității atribuibil deținerii de Active Financiare și serviciilor financiare conexe este mai mare sau egal cu 20 % din venitul brut al Entității pe perioada cea mai scurtă dintre următoarele: (i) perioada de trei ani care se încheie la data de 31 decembrie (sau în ultima zi a unei perioadei contabile care nu este un an calendaristic) dinaintea anului în care se efectuează calculul; sau (ii) perioada în cursul căreia Entitatea a existat.</w:t>
      </w:r>
    </w:p>
    <w:p>
      <w:pPr>
        <w:pStyle w:val="Point1"/>
        <w:rPr>
          <w:noProof/>
        </w:rPr>
      </w:pPr>
      <w:r>
        <w:rPr>
          <w:noProof/>
        </w:rPr>
        <w:tab/>
        <w:t>4.</w:t>
      </w:r>
      <w:r>
        <w:rPr>
          <w:noProof/>
        </w:rPr>
        <w:tab/>
        <w:t>„Instituție Depozitară” înseamnă orice Entitate care:</w:t>
      </w:r>
    </w:p>
    <w:p>
      <w:pPr>
        <w:pStyle w:val="Point2"/>
        <w:rPr>
          <w:noProof/>
        </w:rPr>
      </w:pPr>
      <w:r>
        <w:rPr>
          <w:noProof/>
        </w:rPr>
        <w:tab/>
        <w:t>(a)</w:t>
      </w:r>
      <w:r>
        <w:rPr>
          <w:noProof/>
        </w:rPr>
        <w:tab/>
        <w:t>acceptă depozite în cadrul obișnuit al activității bancare sau al unei activități similare; sau</w:t>
      </w:r>
    </w:p>
    <w:p>
      <w:pPr>
        <w:pStyle w:val="Point2"/>
        <w:rPr>
          <w:noProof/>
        </w:rPr>
      </w:pPr>
      <w:r>
        <w:rPr>
          <w:noProof/>
        </w:rPr>
        <w:tab/>
        <w:t>(b)</w:t>
      </w:r>
      <w:r>
        <w:rPr>
          <w:noProof/>
        </w:rPr>
        <w:tab/>
        <w:t>deține Monedă Electronică sau Monede Digitale emise de Bănci Centrale în beneficiul clienților.</w:t>
      </w:r>
    </w:p>
    <w:p>
      <w:pPr>
        <w:pStyle w:val="Point1"/>
        <w:rPr>
          <w:noProof/>
        </w:rPr>
      </w:pPr>
      <w:r>
        <w:rPr>
          <w:noProof/>
        </w:rPr>
        <w:tab/>
        <w:t>5.</w:t>
      </w:r>
      <w:r>
        <w:rPr>
          <w:noProof/>
        </w:rPr>
        <w:tab/>
        <w:t>„Entitate de Investiții” înseamnă orice Entitate:</w:t>
      </w:r>
    </w:p>
    <w:p>
      <w:pPr>
        <w:pStyle w:val="Point2"/>
        <w:rPr>
          <w:noProof/>
        </w:rPr>
      </w:pPr>
      <w:r>
        <w:rPr>
          <w:noProof/>
        </w:rPr>
        <w:tab/>
        <w:t>(a)</w:t>
      </w:r>
      <w:r>
        <w:rPr>
          <w:noProof/>
        </w:rPr>
        <w:tab/>
        <w:t>care desfășoară, ca activitate principală, una sau mai multe dintre următoarele activități sau operațiuni pentru un client sau în numele acestuia:</w:t>
      </w:r>
    </w:p>
    <w:p>
      <w:pPr>
        <w:pStyle w:val="Point3"/>
        <w:rPr>
          <w:noProof/>
        </w:rPr>
      </w:pPr>
      <w:r>
        <w:rPr>
          <w:noProof/>
        </w:rPr>
        <w:tab/>
        <w:t>(i)</w:t>
      </w:r>
      <w:r>
        <w:rPr>
          <w:noProof/>
        </w:rPr>
        <w:tab/>
        <w:t>tranzacții cu instrumente de piață monetară (cecuri, bonuri de trezorerie, certificate de depozit, instrumente derivate etc.); schimb valutar; instrumente în materie de schimb valutar, rata dobânzii și indici bursieri; titluri de valoare transferabile sau tranzacții la termen cu mărfuri;</w:t>
      </w:r>
    </w:p>
    <w:p>
      <w:pPr>
        <w:pStyle w:val="Point3"/>
        <w:rPr>
          <w:noProof/>
        </w:rPr>
      </w:pPr>
      <w:r>
        <w:rPr>
          <w:noProof/>
        </w:rPr>
        <w:tab/>
        <w:t>(ii)</w:t>
      </w:r>
      <w:r>
        <w:rPr>
          <w:noProof/>
        </w:rPr>
        <w:tab/>
        <w:t>administrarea individuală și colectivă a portofoliului; sau</w:t>
      </w:r>
    </w:p>
    <w:p>
      <w:pPr>
        <w:pStyle w:val="Point3"/>
        <w:rPr>
          <w:noProof/>
        </w:rPr>
      </w:pPr>
      <w:r>
        <w:rPr>
          <w:noProof/>
        </w:rPr>
        <w:tab/>
        <w:t>(iii)</w:t>
      </w:r>
      <w:r>
        <w:rPr>
          <w:noProof/>
        </w:rPr>
        <w:tab/>
        <w:t>care investește, administrează sau gestionează în alt mod Active Financiare, bani sau Criptoactive care fac obiectul Raportării în numele altor persoane; sau</w:t>
      </w:r>
    </w:p>
    <w:p>
      <w:pPr>
        <w:pStyle w:val="Point2"/>
        <w:rPr>
          <w:noProof/>
        </w:rPr>
      </w:pPr>
      <w:r>
        <w:rPr>
          <w:noProof/>
        </w:rPr>
        <w:tab/>
        <w:t>(b)</w:t>
      </w:r>
      <w:r>
        <w:rPr>
          <w:noProof/>
        </w:rPr>
        <w:tab/>
        <w:t>al cărei venit brut provine în principal din activități de investire, reinvestire sau tranzacționare de Active Financiare sau Criptoactive care fac obiectul raportării, în cazul în care Entitatea este administrată de către o altă Entitate care este o Instituție Depozitară, o Instituție de Custodie, o Companie de asigurări specificată sau o Entitate de Investiții descrisă la punctul E subpunctul 5 litera (a).</w:t>
      </w:r>
    </w:p>
    <w:p>
      <w:pPr>
        <w:pStyle w:val="Point1"/>
        <w:rPr>
          <w:noProof/>
        </w:rPr>
      </w:pPr>
      <w:r>
        <w:rPr>
          <w:noProof/>
        </w:rPr>
        <w:tab/>
        <w:t>Se consideră că o Entitate desfășoară ca activitate principală una sau mai multe dintre activitățile menționate la punctul E subpunctul 5 litera (a), sau venitul brut al unei Entități este atribuibil în principal activităților de investire, reinvestire sau tranzacționare de Active Financiare sau de Criptoactive care fac obiectul Raportării în sensul punctului E subpunctul 5 litera (b), în cazul în care venitul brut al Entității atribuibil activităților relevante este mai mare sau egal cu 50 % din venitul brut al Entității pe perioada cea mai scurtă dintre următoarele: (i) perioada de trei ani care se încheie la data de 31 decembrie a anului dinaintea anului în care se efectuează calculul; sau (ii) perioada în cursul căreia Entitatea a existat.</w:t>
      </w:r>
    </w:p>
    <w:p>
      <w:pPr>
        <w:pStyle w:val="Point1"/>
        <w:rPr>
          <w:noProof/>
        </w:rPr>
      </w:pPr>
      <w:r>
        <w:rPr>
          <w:noProof/>
        </w:rPr>
        <w:tab/>
        <w:t xml:space="preserve">În sensul punctului E subpunctul 5 litera (a) subpunctul (iii), expresia „care investește, administrează sau gestionează în alt mod Active Financiare, bani sau Criptoactive care fac obiectul Raportării în numele altor persoane” nu include prestarea de servicii prin care se efectuează Tranzacții de Schimb pentru clienți sau în numele acestora. Termenul „Entitate de Investiții” nu </w:t>
      </w:r>
      <w:r>
        <w:rPr>
          <w:noProof/>
        </w:rPr>
        <w:lastRenderedPageBreak/>
        <w:t>include o Entitate care este o Entitate Activă deoarece îndeplinește oricare dintre criteriile prevăzute în punctul D subpunctul 10 literele (b)-(e).</w:t>
      </w:r>
    </w:p>
    <w:p>
      <w:pPr>
        <w:pStyle w:val="Point1"/>
        <w:rPr>
          <w:noProof/>
        </w:rPr>
      </w:pPr>
      <w:r>
        <w:rPr>
          <w:noProof/>
        </w:rPr>
        <w:tab/>
        <w:t xml:space="preserve">Prezentul punct se interpretează într-o manieră consecventă cu limbajul similar prevăzut în definiția termenului „instituție financiară” de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articolul 2 alineatul (1) punctul 6 din Regulamentul (UE) 2024/1624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articolul 3 punctul 2 din Directiva (UE) 2015/849</w:t>
      </w:r>
      <w:r>
        <w:rPr>
          <w:noProof/>
        </w:rPr>
        <w:t>.</w:t>
      </w:r>
    </w:p>
    <w:p>
      <w:pPr>
        <w:pStyle w:val="Point1"/>
        <w:rPr>
          <w:noProof/>
        </w:rPr>
      </w:pPr>
      <w:r>
        <w:rPr>
          <w:noProof/>
        </w:rPr>
        <w:tab/>
        <w:t>6.</w:t>
      </w:r>
      <w:r>
        <w:rPr>
          <w:noProof/>
        </w:rPr>
        <w:tab/>
        <w:t>„Companie de asigurări specificată” înseamnă orice Entitate care este o companie de asigurări (sau societatea holding a unei companii de asigurări) care emite sau este obligată să efectueze plăți cu privire la un Contract de asigurare cu valoare de răscumpărare sau la un Contract cu rentă viageră.</w:t>
      </w:r>
    </w:p>
    <w:p>
      <w:pPr>
        <w:pStyle w:val="Point1"/>
        <w:rPr>
          <w:noProof/>
        </w:rPr>
      </w:pPr>
      <w:r>
        <w:rPr>
          <w:noProof/>
        </w:rPr>
        <w:tab/>
        <w:t>7.</w:t>
      </w:r>
      <w:r>
        <w:rPr>
          <w:noProof/>
        </w:rPr>
        <w:tab/>
        <w:t>„Entitate guvernamentală” înseamnă guvernul unei jurisdicții, orice subdiviziune politică a unei jurisdicții (care, pentru evitarea oricărei ambiguități, se referă la un stat, o provincie, un județ sau o localitate) sau orice organism sau agenție deținut(ă) integral de o jurisdicție ori de una sau mai multe dintre subdiviziunile sus-menționate. Această categorie este alcătuită din părți integrante, entități controlate și subdiviziuni politice ale unei jurisdicții.</w:t>
      </w:r>
    </w:p>
    <w:p>
      <w:pPr>
        <w:pStyle w:val="Point2"/>
        <w:rPr>
          <w:noProof/>
        </w:rPr>
      </w:pPr>
      <w:r>
        <w:rPr>
          <w:noProof/>
        </w:rPr>
        <w:tab/>
        <w:t>(a)</w:t>
      </w:r>
      <w:r>
        <w:rPr>
          <w:noProof/>
        </w:rPr>
        <w:tab/>
        <w:t>O „parte integrantă” a unei jurisdicții înseamnă orice persoană, organizație, agenție, birou, fond, organism public sau alt organism, oricare ar fi denumirea sa, care constituie o autoritate administrativă a unei jurisdicții. Veniturile nete ale autorității administrative trebuie să fie creditate contului propriu al acesteia sau altor conturi ale unei jurisdicții și nicio parte a acestora nu trebuie să revină în beneficiul vreunei persoane private. O parte integrantă nu include nicio persoană fizică care este un membru al guvernului, funcționar sau administrator care acționează cu titlu privat sau personal.</w:t>
      </w:r>
    </w:p>
    <w:p>
      <w:pPr>
        <w:pStyle w:val="Point2"/>
        <w:rPr>
          <w:noProof/>
        </w:rPr>
      </w:pPr>
      <w:r>
        <w:rPr>
          <w:noProof/>
        </w:rPr>
        <w:tab/>
        <w:t>(b)</w:t>
      </w:r>
      <w:r>
        <w:rPr>
          <w:noProof/>
        </w:rPr>
        <w:tab/>
        <w:t>O „Entitate Controlată” înseamnă o Entitate care este, formal, separată de jurisdicție sau care constituie, în alt mod, o entitate juridică separată, cu condiția ca:</w:t>
      </w:r>
    </w:p>
    <w:p>
      <w:pPr>
        <w:pStyle w:val="Point3"/>
        <w:rPr>
          <w:noProof/>
        </w:rPr>
      </w:pPr>
      <w:r>
        <w:rPr>
          <w:noProof/>
        </w:rPr>
        <w:tab/>
        <w:t>(i)</w:t>
      </w:r>
      <w:r>
        <w:rPr>
          <w:noProof/>
        </w:rPr>
        <w:tab/>
        <w:t>Entitatea să fie deținută și controlată în totalitate de una sau mai multe Entități Guvernamentale, direct sau prin intermediul uneia sau al mai multor entități controlate;</w:t>
      </w:r>
    </w:p>
    <w:p>
      <w:pPr>
        <w:pStyle w:val="Point3"/>
        <w:rPr>
          <w:noProof/>
        </w:rPr>
      </w:pPr>
      <w:r>
        <w:rPr>
          <w:noProof/>
        </w:rPr>
        <w:tab/>
        <w:t>(ii)</w:t>
      </w:r>
      <w:r>
        <w:rPr>
          <w:noProof/>
        </w:rPr>
        <w:tab/>
        <w:t>veniturile nete ale Entității să fie creditate contului propriu al acesteia sau în alte conturi ale uneia sau ale mai multor Entități Guvernamentale și nicio parte a acestora să nu revină în beneficiul vreunei persoane private; și</w:t>
      </w:r>
    </w:p>
    <w:p>
      <w:pPr>
        <w:pStyle w:val="Point3"/>
        <w:rPr>
          <w:noProof/>
        </w:rPr>
      </w:pPr>
      <w:r>
        <w:rPr>
          <w:noProof/>
        </w:rPr>
        <w:tab/>
        <w:t>(iii)</w:t>
      </w:r>
      <w:r>
        <w:rPr>
          <w:noProof/>
        </w:rPr>
        <w:tab/>
        <w:t>activele Entității să revină uneia sau mai multor Entități Guvernamentale în momentul dizolvării acesteia.</w:t>
      </w:r>
    </w:p>
    <w:p>
      <w:pPr>
        <w:pStyle w:val="Point2"/>
        <w:rPr>
          <w:noProof/>
        </w:rPr>
      </w:pPr>
      <w:r>
        <w:rPr>
          <w:noProof/>
        </w:rPr>
        <w:tab/>
        <w:t>(c)</w:t>
      </w:r>
      <w:r>
        <w:rPr>
          <w:noProof/>
        </w:rPr>
        <w:tab/>
        <w:t>Venitul nu revine în beneficiul persoanelor fizice în cazul în care respectivele persoane sunt beneficiarii-țintă ai unui program guvernamental, iar activitățile din cadrul programului sunt desfășurate pentru publicul larg în interes general sau se referă la administrarea unei părți a guvernului. Cu toate acestea, fără a aduce atingere dispozițiilor anterioare, se consideră că venitul revine în beneficiul persoanelor fizice în cazul în care este obținut din folosirea unei entități guvernamentale pentru a desfășura o activitate comercială, cum ar fi o activitate bancară comercială, care furnizează servicii financiare persoanelor fizice.</w:t>
      </w:r>
    </w:p>
    <w:p>
      <w:pPr>
        <w:pStyle w:val="Point1"/>
        <w:rPr>
          <w:noProof/>
        </w:rPr>
      </w:pPr>
      <w:r>
        <w:rPr>
          <w:noProof/>
        </w:rPr>
        <w:tab/>
        <w:t>8.</w:t>
      </w:r>
      <w:r>
        <w:rPr>
          <w:noProof/>
        </w:rPr>
        <w:tab/>
        <w:t xml:space="preserve">„Organizație Internațională” înseamnă orice organizație internațională ori agenție sau organism deținut în totalitate de aceasta. Această categorie </w:t>
      </w:r>
      <w:r>
        <w:rPr>
          <w:noProof/>
        </w:rPr>
        <w:lastRenderedPageBreak/>
        <w:t>include orice organizație interguvernamentală (inclusiv o organizație supranațională):</w:t>
      </w:r>
    </w:p>
    <w:p>
      <w:pPr>
        <w:pStyle w:val="Point2"/>
        <w:rPr>
          <w:noProof/>
        </w:rPr>
      </w:pPr>
      <w:r>
        <w:rPr>
          <w:noProof/>
        </w:rPr>
        <w:tab/>
        <w:t>(a)</w:t>
      </w:r>
      <w:r>
        <w:rPr>
          <w:noProof/>
        </w:rPr>
        <w:tab/>
        <w:t>care este alcătuită în primul rând din guverne;</w:t>
      </w:r>
    </w:p>
    <w:p>
      <w:pPr>
        <w:pStyle w:val="Point2"/>
        <w:rPr>
          <w:noProof/>
        </w:rPr>
      </w:pPr>
      <w:r>
        <w:rPr>
          <w:noProof/>
        </w:rPr>
        <w:tab/>
        <w:t>(b)</w:t>
      </w:r>
      <w:r>
        <w:rPr>
          <w:noProof/>
        </w:rPr>
        <w:tab/>
        <w:t>care are în vigoare un acord privind sediul sau un acord substanțial similar cu jurisdicția; și</w:t>
      </w:r>
    </w:p>
    <w:p>
      <w:pPr>
        <w:pStyle w:val="Point2"/>
        <w:rPr>
          <w:noProof/>
        </w:rPr>
      </w:pPr>
      <w:r>
        <w:rPr>
          <w:noProof/>
        </w:rPr>
        <w:tab/>
        <w:t>(c)</w:t>
      </w:r>
      <w:r>
        <w:rPr>
          <w:noProof/>
        </w:rPr>
        <w:tab/>
        <w:t>al cărei venit nu revine în beneficiul unor persoane private.</w:t>
      </w:r>
    </w:p>
    <w:p>
      <w:pPr>
        <w:pStyle w:val="Point1"/>
        <w:rPr>
          <w:noProof/>
        </w:rPr>
      </w:pPr>
      <w:r>
        <w:rPr>
          <w:noProof/>
        </w:rPr>
        <w:tab/>
        <w:t>9.</w:t>
      </w:r>
      <w:r>
        <w:rPr>
          <w:noProof/>
        </w:rPr>
        <w:tab/>
        <w:t>„Activ Financiar” include un titlu de valoare (de exemplu, acțiuni în cadrul capitalului unei societăți comerciale; participații în capitalurile proprii sau dreptul la beneficii în cadrul unui parteneriat deținut de mulți asociați sau cotat la bursă sau în cadrul unei fiducii; bilete la ordin, obligațiuni sau alte titluri de datorie), drepturi generate de un parteneriat, o marfă, un swap (de exemplu, swap pe rata dobânzii, swap valutar, swap de bază, rată de dobândă cu plafon maxim, rata de dobândă cu prag minim, swap pe mărfuri, swap pe acțiuni, swap pe indici bursieri și acorduri similare), un Contract de Asigurare sau un Contract cu Rentă Viageră sau orice dobândă (inclusiv un contract de tip futures sau forward sau o opțiune) în legătură cu un titlu de valoare, un Criptoactiv care face obiectul Raportării, drepturi generate de un parteneriat, o marfă, un swap, un Contract de Asigurare sau un Contract cu Rentă Viageră. Termenul „Activ Financiar” nu include drepturile directe asupra unor bunuri imobile, care să nu fie titluri de datorie.</w:t>
      </w:r>
    </w:p>
    <w:p>
      <w:pPr>
        <w:pStyle w:val="Point1"/>
        <w:rPr>
          <w:noProof/>
        </w:rPr>
      </w:pPr>
      <w:r>
        <w:rPr>
          <w:noProof/>
        </w:rPr>
        <w:tab/>
        <w:t>10.</w:t>
      </w:r>
      <w:r>
        <w:rPr>
          <w:noProof/>
        </w:rPr>
        <w:tab/>
        <w:t>„Participație în Capitalurile Proprii” înseamnă, în cazul unui parteneriat care este o Instituție Financiară, o participație fie la capitalul, fie la profitul parteneriatului. În cazul unei fiducii care este o Instituție Financiară, o Participație în Capitalurile Proprii este considerată a fi deținută de către orice persoană asimilată unui constituitor sau unui beneficiar al întregii fiducii sau a unei părți a acesteia, sau a oricărei alte persoane fizice care exercită un control efectiv definitiv asupra fiduciei. O Persoană care face obiectul Raportării va fi considerată beneficiar al unei fiducii dacă respectiva Persoană care face obiectul Raportării are dreptul de a primi, direct sau indirect (de exemplu, prin intermediul unui mandatar), o distribuție obligatorie sau poate primi, direct sau indirect, o distribuție discreționară din fiducie.</w:t>
      </w:r>
    </w:p>
    <w:p>
      <w:pPr>
        <w:pStyle w:val="Point1"/>
        <w:rPr>
          <w:noProof/>
        </w:rPr>
      </w:pPr>
      <w:r>
        <w:rPr>
          <w:noProof/>
        </w:rPr>
        <w:tab/>
        <w:t>11.</w:t>
      </w:r>
      <w:r>
        <w:rPr>
          <w:noProof/>
        </w:rPr>
        <w:tab/>
        <w:t>„Contract de Asigurare” înseamnă un contract (altul decât un Contract cu Rentă Viageră) în conformitate cu care emitentul este de acord să plătească o sumă în momentul în care survine un eveniment asigurat specificat, legat de mortalitate, morbiditate, accident, răspundere civilă sau pagubă materială afectând o proprietate.</w:t>
      </w:r>
    </w:p>
    <w:p>
      <w:pPr>
        <w:pStyle w:val="Point1"/>
        <w:rPr>
          <w:noProof/>
        </w:rPr>
      </w:pPr>
      <w:r>
        <w:rPr>
          <w:noProof/>
        </w:rPr>
        <w:tab/>
        <w:t>12.</w:t>
      </w:r>
      <w:r>
        <w:rPr>
          <w:noProof/>
        </w:rPr>
        <w:tab/>
        <w:t>„Contract cu Rentă Viageră” înseamnă un contract în conformitate cu care emitentul este de acord să efectueze plăți pentru o anumită perioadă de timp, determinată, în totalitate sau parțial, în funcție de speranța de viață a uneia sau mai multor persoane fizice. Termenul include, de asemenea, un contract care este considerat a fi un Contract cu Rentă Viageră în conformitate cu legislația, reglementările sau practica din statul membru sau din altă jurisdicție în care contractul a fost emis, și în conformitate cu care emitentul este de acord să facă plățile pentru o perioadă de mai mulți ani.</w:t>
      </w:r>
    </w:p>
    <w:p>
      <w:pPr>
        <w:pStyle w:val="Point1"/>
        <w:rPr>
          <w:noProof/>
        </w:rPr>
      </w:pPr>
      <w:r>
        <w:rPr>
          <w:noProof/>
        </w:rPr>
        <w:tab/>
        <w:t>13.</w:t>
      </w:r>
      <w:r>
        <w:rPr>
          <w:noProof/>
        </w:rPr>
        <w:tab/>
        <w:t>„Contract de Asigurare cu Valoare de Răscumpărare” înseamnă un Contract de Asigurare (altul decât un contract de reasigurare încheiat între două societăți de asigurare) care are o Valoare de Răscumpărare.</w:t>
      </w:r>
    </w:p>
    <w:p>
      <w:pPr>
        <w:pStyle w:val="Point1"/>
        <w:rPr>
          <w:noProof/>
        </w:rPr>
      </w:pPr>
      <w:r>
        <w:rPr>
          <w:noProof/>
        </w:rPr>
        <w:lastRenderedPageBreak/>
        <w:tab/>
        <w:t>14.</w:t>
      </w:r>
      <w:r>
        <w:rPr>
          <w:noProof/>
        </w:rPr>
        <w:tab/>
        <w:t>„Valoare de Răscumpărare” înseamnă valoarea cea mai mare dintre: (i) suma pe care deținătorul poliței de asigurare este îndreptățit să o primească în cazul răscumpărării sau al rezilierii contractului (calculată fără a scădea eventualele taxe de răscumpărare sau împrumuturi din poliță); și (ii) suma pe care deținătorul poliței de asigurare o poate împrumuta în temeiul contractului sau în legătură cu acesta. Fără a aduce atingere dispozițiilor anterioare, termenul „Valoare de Răscumpărare” nu include o sumă de plătit în temeiul unui Contract de Asigurare:</w:t>
      </w:r>
    </w:p>
    <w:p>
      <w:pPr>
        <w:pStyle w:val="Point2"/>
        <w:rPr>
          <w:noProof/>
        </w:rPr>
      </w:pPr>
      <w:r>
        <w:rPr>
          <w:noProof/>
        </w:rPr>
        <w:tab/>
        <w:t>(a)</w:t>
      </w:r>
      <w:r>
        <w:rPr>
          <w:noProof/>
        </w:rPr>
        <w:tab/>
        <w:t>doar din motivul decesului unei persoane fizice asigurate în temeiul unui contract de asigurare de viață;</w:t>
      </w:r>
    </w:p>
    <w:p>
      <w:pPr>
        <w:pStyle w:val="Point2"/>
        <w:rPr>
          <w:noProof/>
        </w:rPr>
      </w:pPr>
      <w:r>
        <w:rPr>
          <w:noProof/>
        </w:rPr>
        <w:tab/>
        <w:t>(b)</w:t>
      </w:r>
      <w:r>
        <w:rPr>
          <w:noProof/>
        </w:rPr>
        <w:tab/>
        <w:t>drept indemnizație pentru o daună corporală, o boală sau o altă plată reparatorie pentru o pierdere economică ce survine în momentul producerii evenimentului asigurat;</w:t>
      </w:r>
    </w:p>
    <w:p>
      <w:pPr>
        <w:pStyle w:val="Point2"/>
        <w:rPr>
          <w:noProof/>
        </w:rPr>
      </w:pPr>
      <w:r>
        <w:rPr>
          <w:noProof/>
        </w:rPr>
        <w:tab/>
        <w:t>(c)</w:t>
      </w:r>
      <w:r>
        <w:rPr>
          <w:noProof/>
        </w:rPr>
        <w:tab/>
        <w:t>drept rambursare a unei prime plătite anterior (mai puțin costul taxelor de asigurare, fie că acestea sunt sau nu efectiv aplicate) în conformitate cu un Contract de asigurare (altul decât un contract de asigurare de viață cu componentă de investiții sau un Contract cu rentă viageră) ca urmare a anulării sau a rezilierii contractului, a diminuării expunerii la risc pe parcursul perioadei în care contractul este efectiv în vigoare, ori rezultând din corectarea unei erori de înscriere sau a unei erori similare cu privire la prima stipulată în contract;</w:t>
      </w:r>
    </w:p>
    <w:p>
      <w:pPr>
        <w:pStyle w:val="Point2"/>
        <w:rPr>
          <w:noProof/>
        </w:rPr>
      </w:pPr>
      <w:r>
        <w:rPr>
          <w:noProof/>
        </w:rPr>
        <w:tab/>
        <w:t>(d)</w:t>
      </w:r>
      <w:r>
        <w:rPr>
          <w:noProof/>
        </w:rPr>
        <w:tab/>
        <w:t>drept dividend în beneficiul deținătorului poliței de asigurare (în afară de dividendele transferate la rezilierea contractului), cu condiția ca respectivele dividende să fie legate de un Contract de asigurare în conformitate cu care singurele indemnizații de plătit sunt cele prevăzute la litera (b); sau</w:t>
      </w:r>
    </w:p>
    <w:p>
      <w:pPr>
        <w:pStyle w:val="Point2"/>
        <w:rPr>
          <w:noProof/>
        </w:rPr>
      </w:pPr>
      <w:r>
        <w:rPr>
          <w:noProof/>
        </w:rPr>
        <w:tab/>
        <w:t>(e)</w:t>
      </w:r>
      <w:r>
        <w:rPr>
          <w:noProof/>
        </w:rPr>
        <w:tab/>
        <w:t>drept restituire a unei prime în avans sau a unui depozit de primă pentru un Contract de asigurare a cărui primă trebuie plătită cel puțin o dată pe an, dacă suma reprezentând prima anticipată sau depozitul de primă nu depășește suma primei anuale de plată pentru anul următor în temeiul contractului.</w:t>
      </w:r>
    </w:p>
    <w:p>
      <w:pPr>
        <w:pStyle w:val="Point0"/>
        <w:rPr>
          <w:noProof/>
        </w:rPr>
      </w:pPr>
      <w:r>
        <w:rPr>
          <w:noProof/>
        </w:rPr>
        <w:tab/>
        <w:t>F.</w:t>
      </w:r>
      <w:r>
        <w:rPr>
          <w:noProof/>
        </w:rPr>
        <w:tab/>
        <w:t>Diverse</w:t>
      </w:r>
    </w:p>
    <w:p>
      <w:pPr>
        <w:pStyle w:val="Point1"/>
        <w:rPr>
          <w:noProof/>
        </w:rPr>
      </w:pPr>
      <w:r>
        <w:rPr>
          <w:noProof/>
        </w:rPr>
        <w:tab/>
        <w:t>1.</w:t>
      </w:r>
      <w:r>
        <w:rPr>
          <w:noProof/>
        </w:rPr>
        <w:tab/>
        <w:t xml:space="preserve">„Proceduri de Precauție privind Clientela” înseamnă procedurile de precauție privind clientela ale unui Furnizor de Servicii de Criptoactive Raportor în temeiul </w:t>
      </w:r>
      <w:r>
        <w:rPr>
          <w:rStyle w:val="CRMinorChangeAdded"/>
          <w:noProof/>
        </w:rPr>
        <w:t>Regulamentului (UE) 2024/1624</w:t>
      </w:r>
      <w:r>
        <w:rPr>
          <w:rStyle w:val="CRMinorChangeDeleted"/>
          <w:noProof/>
        </w:rPr>
        <w:t>Directivei (UE) 2015/849</w:t>
      </w:r>
      <w:r>
        <w:rPr>
          <w:noProof/>
        </w:rPr>
        <w:t xml:space="preserve"> sau al unor cerințe similare care se aplică unui astfel de Furnizor de Servicii de Criptoactive Raportor.</w:t>
      </w:r>
    </w:p>
    <w:p>
      <w:pPr>
        <w:pStyle w:val="Point1"/>
        <w:rPr>
          <w:noProof/>
        </w:rPr>
      </w:pPr>
      <w:r>
        <w:rPr>
          <w:noProof/>
        </w:rPr>
        <w:tab/>
        <w:t>2.</w:t>
      </w:r>
      <w:r>
        <w:rPr>
          <w:noProof/>
        </w:rPr>
        <w:tab/>
        <w:t>„Entitate” înseamnă o persoană juridică sau o construcție juridică, de exemplu o companie, un parteneriat, o fiducie sau o fundație.</w:t>
      </w:r>
    </w:p>
    <w:p>
      <w:pPr>
        <w:pStyle w:val="Point1"/>
        <w:rPr>
          <w:noProof/>
        </w:rPr>
      </w:pPr>
      <w:r>
        <w:rPr>
          <w:noProof/>
        </w:rPr>
        <w:tab/>
        <w:t>3.</w:t>
      </w:r>
      <w:r>
        <w:rPr>
          <w:noProof/>
        </w:rPr>
        <w:tab/>
        <w:t>O Entitate este o „Entitate Afiliată” unei alte Entități dacă: oricare dintre cele două Entități deține controlul asupra celeilalte sau cele două Entități se află sub control comun. În acest sens, noțiunea de control include deținerea directă sau indirectă a peste 50 % din voturi și din valoarea unei Entități.</w:t>
      </w:r>
    </w:p>
    <w:p>
      <w:pPr>
        <w:pStyle w:val="Point1"/>
        <w:rPr>
          <w:noProof/>
        </w:rPr>
      </w:pPr>
      <w:r>
        <w:rPr>
          <w:noProof/>
        </w:rPr>
        <w:tab/>
        <w:t>4.</w:t>
      </w:r>
      <w:r>
        <w:rPr>
          <w:noProof/>
        </w:rPr>
        <w:tab/>
        <w:t xml:space="preserve">„Sucursală” înseamnă o unitate, o activitate sau un birou al unui Furnizor de Servicii de Criptoactive Raportor care este considerat(ă) sucursală în temeiul regimului de reglementare al unei jurisdicții sau care este reglementat(ă) în alt mod în temeiul legislației unei jurisdicții ca fiind separat(ă) de alte birouri, unități sau sucursale ale Furnizorului de Servicii de </w:t>
      </w:r>
      <w:r>
        <w:rPr>
          <w:noProof/>
        </w:rPr>
        <w:lastRenderedPageBreak/>
        <w:t>Criptoactive Raportor. Toate unitățile, activitățile sau birourile unui Furnizor de Servicii de Criptoactive Raportor dintr-o singură jurisdicție sunt considerate o singură sucursală.</w:t>
      </w:r>
    </w:p>
    <w:p>
      <w:pPr>
        <w:pStyle w:val="Point1"/>
        <w:rPr>
          <w:noProof/>
        </w:rPr>
      </w:pPr>
      <w:r>
        <w:rPr>
          <w:noProof/>
        </w:rPr>
        <w:tab/>
        <w:t>5.</w:t>
      </w:r>
      <w:r>
        <w:rPr>
          <w:noProof/>
        </w:rPr>
        <w:tab/>
        <w:t xml:space="preserve">„Acord Efectiv privind Stabilirea Autorității Competente” înseamnă un acord între autoritățile competente ale unui stat membru și o jurisdicție din afara Uniunii, care impune schimbul automat de informații corespunzătoare celor specificate în secțiunea II punctul B </w:t>
      </w:r>
      <w:r>
        <w:rPr>
          <w:rStyle w:val="CRDeleted"/>
          <w:noProof/>
        </w:rPr>
        <w:t>din prezenta anexă</w:t>
      </w:r>
      <w:r>
        <w:rPr>
          <w:noProof/>
        </w:rPr>
        <w:t>, astfel cum este confirmat printr-un act de punere în aplicare în conformitate cu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14.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 alineatul (11)</w:t>
      </w:r>
      <w:r>
        <w:rPr>
          <w:noProof/>
        </w:rPr>
        <w:t>.</w:t>
      </w:r>
    </w:p>
    <w:p>
      <w:pPr>
        <w:pStyle w:val="Point1"/>
        <w:rPr>
          <w:noProof/>
        </w:rPr>
      </w:pPr>
      <w:r>
        <w:rPr>
          <w:noProof/>
        </w:rPr>
        <w:tab/>
        <w:t>6.</w:t>
      </w:r>
      <w:r>
        <w:rPr>
          <w:noProof/>
        </w:rPr>
        <w:tab/>
        <w:t>„Jurisdicție Calificată din afara Uniunii” înseamnă o jurisdicție din afara Uniunii care a încheiat un Acord Efectiv privind Stabilirea Autorității Competente cu autoritățile competente din toate statele membre care sunt identificate drept jurisdicții raportabile pe o listă publicată de jurisdicția din afara Uniunii.</w:t>
      </w:r>
    </w:p>
    <w:p>
      <w:pPr>
        <w:pStyle w:val="Point1"/>
        <w:rPr>
          <w:noProof/>
        </w:rPr>
      </w:pPr>
      <w:r>
        <w:rPr>
          <w:noProof/>
        </w:rPr>
        <w:tab/>
        <w:t>7.</w:t>
      </w:r>
      <w:r>
        <w:rPr>
          <w:noProof/>
        </w:rPr>
        <w:tab/>
        <w:t>„NIF” înseamnă Număr de Identificare Fiscală (sau echivalentul său funcțional dacă nu există un Număr de Identificare Fiscală). NIF este orice număr sau cod utilizat de o autoritate competentă pentru a identifica un contribuabil.</w:t>
      </w:r>
    </w:p>
    <w:p>
      <w:pPr>
        <w:pStyle w:val="Point1"/>
        <w:rPr>
          <w:noProof/>
        </w:rPr>
      </w:pPr>
      <w:r>
        <w:rPr>
          <w:noProof/>
        </w:rPr>
        <w:tab/>
        <w:t>8.</w:t>
      </w:r>
      <w:r>
        <w:rPr>
          <w:noProof/>
        </w:rPr>
        <w:tab/>
        <w:t>„Serviciu de Identificare” înseamnă un proces electronic pus gratuit de către un stat membru sau de către Uniune la dispoziția unui Furnizor de Servicii de Criptoactive Raportor, în scopul stabilirii identității și a rezidenței fiscale a unui Utilizator de Criptoactive.</w:t>
      </w:r>
    </w:p>
    <w:p>
      <w:pPr>
        <w:pStyle w:val="ManualHeading1"/>
        <w:ind w:left="851" w:hanging="851"/>
        <w:rPr>
          <w:noProof/>
        </w:rPr>
      </w:pPr>
      <w:bookmarkStart w:id="64" w:name="_Toc229742247"/>
      <w:r>
        <w:rPr>
          <w:noProof/>
        </w:rPr>
        <w:t>SECȚIUNEA V</w:t>
      </w:r>
      <w:bookmarkEnd w:id="64"/>
    </w:p>
    <w:p>
      <w:pPr>
        <w:pStyle w:val="ManualHeading2"/>
        <w:ind w:left="851" w:hanging="851"/>
        <w:rPr>
          <w:noProof/>
        </w:rPr>
      </w:pPr>
      <w:bookmarkStart w:id="65" w:name="_Toc229742248"/>
      <w:r>
        <w:rPr>
          <w:i/>
          <w:noProof/>
        </w:rPr>
        <w:t>PUNEREA ÎN APLICARE EFECTIVĂ</w:t>
      </w:r>
      <w:bookmarkEnd w:id="65"/>
    </w:p>
    <w:p>
      <w:pPr>
        <w:pStyle w:val="Point0"/>
        <w:rPr>
          <w:noProof/>
        </w:rPr>
      </w:pPr>
      <w:r>
        <w:rPr>
          <w:noProof/>
        </w:rPr>
        <w:tab/>
        <w:t>A.</w:t>
      </w:r>
      <w:r>
        <w:rPr>
          <w:noProof/>
        </w:rPr>
        <w:tab/>
        <w:t>Norme de asigurare a respectării cerințelor de colectare și verificare prevăzute în secțiunea III</w:t>
      </w:r>
    </w:p>
    <w:p>
      <w:pPr>
        <w:pStyle w:val="Point1"/>
        <w:rPr>
          <w:noProof/>
        </w:rPr>
      </w:pPr>
      <w:r>
        <w:rPr>
          <w:noProof/>
        </w:rPr>
        <w:tab/>
        <w:t>1.</w:t>
      </w:r>
      <w:r>
        <w:rPr>
          <w:noProof/>
        </w:rPr>
        <w:tab/>
        <w:t>Statele membre iau măsurile necesare pentru a impune Furnizorilor de Servicii de Criptoactive Raportori să asigure respectarea cerințelor de colectare și verificare prevăzute în secțiunea III în ceea ce privește Utilizatorii lor de Criptoactive.</w:t>
      </w:r>
    </w:p>
    <w:p>
      <w:pPr>
        <w:pStyle w:val="Point1"/>
        <w:rPr>
          <w:noProof/>
        </w:rPr>
      </w:pPr>
      <w:r>
        <w:rPr>
          <w:noProof/>
        </w:rPr>
        <w:tab/>
        <w:t>2.</w:t>
      </w:r>
      <w:r>
        <w:rPr>
          <w:noProof/>
        </w:rPr>
        <w:tab/>
        <w:t xml:space="preserve">În cazul în care un Utilizator de Criptoactive nu furnizează informațiile prevăzute în secțiunea III după două atenționări transmise ulterior solicitării inițiale din partea Furnizorului de Servicii de Criptoactive Raportor, dar nu înainte de expirarea unui termen de 60 de zile, Furnizorii de Servicii de Criptoactive Raportori nu îi permit Utilizatorului de Criptoactive să efectueze Tranzacții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care fac Obiectul Raportării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de Schimb</w:t>
      </w:r>
      <w:r>
        <w:rPr>
          <w:noProof/>
        </w:rPr>
        <w:t>.</w:t>
      </w:r>
    </w:p>
    <w:p>
      <w:pPr>
        <w:pStyle w:val="Point0"/>
        <w:rPr>
          <w:noProof/>
        </w:rPr>
      </w:pPr>
      <w:r>
        <w:rPr>
          <w:noProof/>
        </w:rPr>
        <w:tab/>
        <w:t>B.</w:t>
      </w:r>
      <w:r>
        <w:rPr>
          <w:noProof/>
        </w:rPr>
        <w:tab/>
        <w:t>Norme care impun Furnizorilor de Servicii de Criptoactive Raportori să păstreze evidența măsurilor întreprinse și a oricăror informații pe care s-au bazat în îndeplinirea cerințelor de raportare și a procedurilor de diligență fiscală, precum și să aplice măsuri adecvate pentru obținerea acestor evidențe</w:t>
      </w:r>
    </w:p>
    <w:p>
      <w:pPr>
        <w:pStyle w:val="Point1"/>
        <w:rPr>
          <w:noProof/>
        </w:rPr>
      </w:pPr>
      <w:r>
        <w:rPr>
          <w:noProof/>
        </w:rPr>
        <w:tab/>
        <w:t>1.</w:t>
      </w:r>
      <w:r>
        <w:rPr>
          <w:noProof/>
        </w:rPr>
        <w:tab/>
        <w:t xml:space="preserve">Statele membre iau măsurile necesare pentru a impune Furnizorilor de Servicii de Criptoactive Raportori să păstreze evidența măsurilor întreprinse și a oricăror informații pe care s-au bazat în îndeplinirea cerințelor de raportare și a procedurilor de diligență fiscală stabilite în secțiunile II și, respectiv, III. Aceste evidențe rămân disponibile pentru o perioadă suficient de lungă și, în orice caz, pentru cel puțin cinci ani și cel mult zece ani după încheierea perioadei în care Furnizorul de Servicii de Criptoactive Raportor are obligația </w:t>
      </w:r>
      <w:r>
        <w:rPr>
          <w:noProof/>
        </w:rPr>
        <w:lastRenderedPageBreak/>
        <w:t>de a raporta informațiile în cazul în care informațiile fac obiectul obligației de raportare în temeiul secțiunii II.</w:t>
      </w:r>
    </w:p>
    <w:p>
      <w:pPr>
        <w:pStyle w:val="Point1"/>
        <w:rPr>
          <w:noProof/>
        </w:rPr>
      </w:pPr>
      <w:r>
        <w:rPr>
          <w:noProof/>
        </w:rPr>
        <w:tab/>
        <w:t>2.</w:t>
      </w:r>
      <w:r>
        <w:rPr>
          <w:noProof/>
        </w:rPr>
        <w:tab/>
        <w:t>Statele membre iau măsurile necesare, incluzând posibilitatea de a adresa un ordin de raportare Furnizorilor de Servicii de Criptoactive Raportori, pentru a se asigura că sunt raportate toate informațiile necesare autorității competente, astfel încât aceasta să își poată îndeplini obligația de a comunica informații în conformitate cu articolul </w:t>
      </w:r>
      <w:r>
        <w:rPr>
          <w:rStyle w:val="CRMinorChangeAdded"/>
          <w:noProof/>
        </w:rPr>
        <w:t>12</w:t>
      </w:r>
      <w:r>
        <w:rPr>
          <w:rStyle w:val="CRMinorChangeDeleted"/>
          <w:noProof/>
        </w:rPr>
        <w:t>8ad</w:t>
      </w:r>
      <w:r>
        <w:rPr>
          <w:noProof/>
        </w:rPr>
        <w:t xml:space="preserve"> alineatul (3).</w:t>
      </w:r>
    </w:p>
    <w:p>
      <w:pPr>
        <w:pStyle w:val="Point0"/>
        <w:rPr>
          <w:noProof/>
        </w:rPr>
      </w:pPr>
      <w:r>
        <w:rPr>
          <w:noProof/>
        </w:rPr>
        <w:tab/>
        <w:t>C.</w:t>
      </w:r>
      <w:r>
        <w:rPr>
          <w:noProof/>
        </w:rPr>
        <w:tab/>
        <w:t>Proceduri administrative de verificare a respectării cerințelor de raportare și a procedurilor de diligență fiscală de către Furnizorii de Servicii de Criptoactive Raportori</w:t>
      </w:r>
    </w:p>
    <w:p>
      <w:pPr>
        <w:pStyle w:val="Point0"/>
        <w:rPr>
          <w:noProof/>
        </w:rPr>
      </w:pPr>
      <w:r>
        <w:rPr>
          <w:noProof/>
        </w:rPr>
        <w:tab/>
        <w:t>Statele membre stabilesc procedurile administrative pentru a verifica respectarea de către Furnizorii de Servicii de Criptoactive Raportori a cerințelor de raportare și a procedurilor de diligență fiscală prevăzute în secțiunile II și, respectiv, III.</w:t>
      </w:r>
    </w:p>
    <w:p>
      <w:pPr>
        <w:pStyle w:val="Point0"/>
        <w:rPr>
          <w:noProof/>
        </w:rPr>
      </w:pPr>
      <w:r>
        <w:rPr>
          <w:noProof/>
        </w:rPr>
        <w:tab/>
        <w:t>D.</w:t>
      </w:r>
      <w:r>
        <w:rPr>
          <w:noProof/>
        </w:rPr>
        <w:tab/>
        <w:t>Proceduri administrative de comunicare ulterioară cu Furnizorii de Servicii de Criptoactive Raportori în situațiile în care se raportează informații incomplete sau incorecte</w:t>
      </w:r>
    </w:p>
    <w:p>
      <w:pPr>
        <w:pStyle w:val="Point0"/>
        <w:rPr>
          <w:noProof/>
        </w:rPr>
      </w:pPr>
      <w:r>
        <w:rPr>
          <w:noProof/>
        </w:rPr>
        <w:tab/>
        <w:t>Statele membre stabilesc proceduri de comunicare ulterioară cu Furnizorii de Servicii de Criptoactive Raportori pentru situațiile în care informațiile raportate sunt incomplete sau incorecte.</w:t>
      </w:r>
    </w:p>
    <w:p>
      <w:pPr>
        <w:pStyle w:val="Point0"/>
        <w:rPr>
          <w:noProof/>
        </w:rPr>
      </w:pPr>
      <w:r>
        <w:rPr>
          <w:noProof/>
        </w:rPr>
        <w:tab/>
        <w:t>E.</w:t>
      </w:r>
      <w:r>
        <w:rPr>
          <w:noProof/>
        </w:rPr>
        <w:tab/>
        <w:t xml:space="preserve">Procedura administrativă de autorizare a unui Furnizor de Servicii de Criptoactive </w:t>
      </w:r>
      <w:r>
        <w:rPr>
          <w:rStyle w:val="CRDeleted"/>
          <w:noProof/>
        </w:rPr>
        <w:t>Raportor</w:t>
      </w:r>
    </w:p>
    <w:p>
      <w:pPr>
        <w:pStyle w:val="Point0"/>
        <w:rPr>
          <w:noProof/>
        </w:rPr>
      </w:pPr>
      <w:r>
        <w:rPr>
          <w:noProof/>
        </w:rPr>
        <w:tab/>
        <w:t>Autoritatea competentă a unui stat membru care acordă autorizația Furnizorilor de Servicii de Criptoactive în conformitate cu Regulamentul (UE) 2023/1114 comunică în mod regulat și cel târziu până la data de 31 decembrie a anului calendaristic relevant sau a altei perioade de raportare, autorității competente în temeiul prezentei directive, în cazul în care aceasta este o autoritate diferită, o listă a tuturor Furnizorilor de Servicii de Criptoactive autorizați.</w:t>
      </w:r>
    </w:p>
    <w:p>
      <w:pPr>
        <w:pStyle w:val="Point0"/>
        <w:rPr>
          <w:noProof/>
        </w:rPr>
      </w:pPr>
      <w:r>
        <w:rPr>
          <w:noProof/>
        </w:rPr>
        <w:tab/>
        <w:t>F.</w:t>
      </w:r>
      <w:r>
        <w:rPr>
          <w:noProof/>
        </w:rPr>
        <w:tab/>
        <w:t>Procedura administrativă de înregistrare unică a unui Operator de criptoactive</w:t>
      </w:r>
    </w:p>
    <w:p>
      <w:pPr>
        <w:pStyle w:val="Point1"/>
        <w:rPr>
          <w:noProof/>
        </w:rPr>
      </w:pPr>
      <w:r>
        <w:rPr>
          <w:noProof/>
        </w:rPr>
        <w:tab/>
        <w:t>1.</w:t>
      </w:r>
      <w:r>
        <w:rPr>
          <w:noProof/>
        </w:rPr>
        <w:tab/>
        <w:t>Un Operator de Criptoactive care este un Furnizor de Servicii de Criptoactive Raportor, astfel cum este definit la secțiunea IV punctul B subpunctul 3, se înregistrează, în conformitate cu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 alineatul (7)</w:t>
      </w:r>
      <w:r>
        <w:rPr>
          <w:noProof/>
        </w:rPr>
        <w:t>, la autoritatea competentă a statului membru, determinată în conformitate cu secțiunea I, punctul A subpunctul 2 litera (a), (b), (c) sau (d) sau punctul B, înainte de sfârșitul perioadei în care respectivul Operator de Criptoactive trebuie să raporteze informațiile prevăzute la secțiunea II punctul B. În cazul în care Operatorul de Criptoactive respectiv îndeplinește condițiile prevăzute la secțiunea I punctul A subpunctul 2 litera (a), (b), (c) sau (d) sau, respectiv, punctul B în mai multe state membre, acesta se înregistrează, în conformitate cu articolul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 alineatul (7)</w:t>
      </w:r>
      <w:r>
        <w:rPr>
          <w:noProof/>
        </w:rPr>
        <w:t>, la autoritatea competentă a unuia dintre aceste state membre, înainte de expirarea perioadei în care Operatorul de Criptoactive trebuie să raporteze informațiile prevăzute la secțiunea II punctul B.</w:t>
      </w:r>
    </w:p>
    <w:p>
      <w:pPr>
        <w:pStyle w:val="Point1"/>
        <w:rPr>
          <w:noProof/>
        </w:rPr>
      </w:pPr>
      <w:r>
        <w:rPr>
          <w:noProof/>
        </w:rPr>
        <w:tab/>
        <w:t xml:space="preserve">Fără a aduce atingere punctului F subpunctul 1 primul paragraf, un Operator de Criptoactive care este un Furnizor de Servicii de Criptoactive Raportor, astfel cum este definit în secțiunea IV punctul B subpunctul 3, nu se înregistrează la autoritatea competentă a unui stat membru în care Operatorul de Criptoactive respectiv nu are obligația de a îndeplini cerințele de raportare și de diligență fiscală prevăzute în secțiunile II și, respectiv, III în temeiul secțiunii I punctele </w:t>
      </w:r>
      <w:r>
        <w:rPr>
          <w:noProof/>
        </w:rPr>
        <w:lastRenderedPageBreak/>
        <w:t xml:space="preserve">C, D, E, F, G sau H, în temeiul faptului că cerințele respective sunt îndeplinite de către Operatorul de Criptoactive respectiv în orice alt stat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într-o Jurisdicție Calificată din afara Uniunii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1"/>
        <w:rPr>
          <w:noProof/>
        </w:rPr>
      </w:pPr>
      <w:r>
        <w:rPr>
          <w:noProof/>
        </w:rPr>
        <w:tab/>
        <w:t>2.</w:t>
      </w:r>
      <w:r>
        <w:rPr>
          <w:noProof/>
        </w:rPr>
        <w:tab/>
        <w:t>La înregistrare, Operatorul de Criptoactive comunică statului membru de înregistrare unică, determinat în conformitate cu punctul F subpunctul 1, următoarele informații:</w:t>
      </w:r>
    </w:p>
    <w:p>
      <w:pPr>
        <w:pStyle w:val="Point2"/>
        <w:rPr>
          <w:noProof/>
        </w:rPr>
      </w:pPr>
      <w:r>
        <w:rPr>
          <w:noProof/>
        </w:rPr>
        <w:tab/>
        <w:t>(a)</w:t>
      </w:r>
      <w:r>
        <w:rPr>
          <w:noProof/>
        </w:rPr>
        <w:tab/>
        <w:t>numele;</w:t>
      </w:r>
    </w:p>
    <w:p>
      <w:pPr>
        <w:pStyle w:val="Point2"/>
        <w:rPr>
          <w:noProof/>
        </w:rPr>
      </w:pPr>
      <w:r>
        <w:rPr>
          <w:noProof/>
        </w:rPr>
        <w:tab/>
        <w:t>(b)</w:t>
      </w:r>
      <w:r>
        <w:rPr>
          <w:noProof/>
        </w:rPr>
        <w:tab/>
        <w:t>adresa poștală;</w:t>
      </w:r>
    </w:p>
    <w:p>
      <w:pPr>
        <w:pStyle w:val="Point2"/>
        <w:rPr>
          <w:noProof/>
        </w:rPr>
      </w:pPr>
      <w:r>
        <w:rPr>
          <w:noProof/>
        </w:rPr>
        <w:tab/>
        <w:t>(c)</w:t>
      </w:r>
      <w:r>
        <w:rPr>
          <w:noProof/>
        </w:rPr>
        <w:tab/>
        <w:t>adresele electronice, inclusiv site-urile web;</w:t>
      </w:r>
    </w:p>
    <w:p>
      <w:pPr>
        <w:pStyle w:val="Point2"/>
        <w:rPr>
          <w:noProof/>
        </w:rPr>
      </w:pPr>
      <w:r>
        <w:rPr>
          <w:noProof/>
        </w:rPr>
        <w:tab/>
        <w:t>(d)</w:t>
      </w:r>
      <w:r>
        <w:rPr>
          <w:noProof/>
        </w:rPr>
        <w:tab/>
        <w:t>orice NIF care s-a emis Operatorului de Criptoactive;</w:t>
      </w:r>
    </w:p>
    <w:p>
      <w:pPr>
        <w:pStyle w:val="Point2"/>
        <w:rPr>
          <w:noProof/>
        </w:rPr>
      </w:pPr>
      <w:r>
        <w:rPr>
          <w:noProof/>
        </w:rPr>
        <w:tab/>
        <w:t>(e)</w:t>
      </w:r>
      <w:r>
        <w:rPr>
          <w:noProof/>
        </w:rPr>
        <w:tab/>
        <w:t>statele membre în care Utilizatorii care fac obiectul Raportării sunt rezidenți în sensul secțiunii III punctele A și B;</w:t>
      </w:r>
    </w:p>
    <w:p>
      <w:pPr>
        <w:pStyle w:val="Point2"/>
        <w:rPr>
          <w:noProof/>
        </w:rPr>
      </w:pPr>
      <w:r>
        <w:rPr>
          <w:noProof/>
        </w:rPr>
        <w:tab/>
        <w:t>(f)</w:t>
      </w:r>
      <w:r>
        <w:rPr>
          <w:noProof/>
        </w:rPr>
        <w:tab/>
        <w:t>orice Jurisdicție Calificată din afara Uniunii menționată la secțiunea I punctele C, D, E, F sau H.</w:t>
      </w:r>
    </w:p>
    <w:p>
      <w:pPr>
        <w:pStyle w:val="Point1"/>
        <w:rPr>
          <w:noProof/>
        </w:rPr>
      </w:pPr>
      <w:r>
        <w:rPr>
          <w:noProof/>
        </w:rPr>
        <w:tab/>
        <w:t>3.</w:t>
      </w:r>
      <w:r>
        <w:rPr>
          <w:noProof/>
        </w:rPr>
        <w:tab/>
        <w:t>Operatorul de Criptoactive informează statul membru de înregistrare unică cu privire la orice modificări ale informațiilor transmise conform punctului F subpunctul 2.</w:t>
      </w:r>
    </w:p>
    <w:p>
      <w:pPr>
        <w:pStyle w:val="Point1"/>
        <w:rPr>
          <w:noProof/>
        </w:rPr>
      </w:pPr>
      <w:r>
        <w:rPr>
          <w:noProof/>
        </w:rPr>
        <w:tab/>
        <w:t>4.</w:t>
      </w:r>
      <w:r>
        <w:rPr>
          <w:noProof/>
        </w:rPr>
        <w:tab/>
        <w:t>Statul membru de înregistrare unică alocă un număr individual de identificare Operatorului de Criptoactive și comunică acest număr autorităților competente din toate statele membre, prin mijloace electronice.</w:t>
      </w:r>
    </w:p>
    <w:p>
      <w:pPr>
        <w:pStyle w:val="Point1"/>
        <w:rPr>
          <w:noProof/>
        </w:rPr>
      </w:pPr>
      <w:r>
        <w:rPr>
          <w:noProof/>
        </w:rPr>
        <w:tab/>
        <w:t>5.</w:t>
      </w:r>
      <w:r>
        <w:rPr>
          <w:noProof/>
        </w:rPr>
        <w:tab/>
        <w:t xml:space="preserve">Statul membru de înregistrare unică </w:t>
      </w:r>
      <w:r>
        <w:rPr>
          <w:rStyle w:val="CRDeleted"/>
          <w:noProof/>
        </w:rPr>
        <w:t>are posibilitatea de a elimina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elimină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un Operator de Criptoactive din registrul </w:t>
      </w:r>
      <w:r>
        <w:rPr>
          <w:rStyle w:val="CRDeleted"/>
          <w:noProof/>
        </w:rPr>
        <w:t>central al</w:t>
      </w:r>
      <w:r>
        <w:rPr>
          <w:noProof/>
        </w:rPr>
        <w:t xml:space="preserve"> Operatorilor de Criptoactive în următoarele cazuri:</w:t>
      </w:r>
    </w:p>
    <w:p>
      <w:pPr>
        <w:pStyle w:val="Point2"/>
        <w:rPr>
          <w:noProof/>
        </w:rPr>
      </w:pPr>
      <w:r>
        <w:rPr>
          <w:noProof/>
        </w:rPr>
        <w:tab/>
        <w:t>(a)</w:t>
      </w:r>
      <w:r>
        <w:rPr>
          <w:noProof/>
        </w:rPr>
        <w:tab/>
        <w:t>Operatorul de Criptoactive informează statul membru respectiv cu privire la faptul că nu mai are Utilizatori care fac obiectul Raportării în Uniune;</w:t>
      </w:r>
    </w:p>
    <w:p>
      <w:pPr>
        <w:pStyle w:val="Point2"/>
        <w:rPr>
          <w:noProof/>
        </w:rPr>
      </w:pPr>
      <w:r>
        <w:rPr>
          <w:noProof/>
        </w:rPr>
        <w:tab/>
        <w:t>(b)</w:t>
      </w:r>
      <w:r>
        <w:rPr>
          <w:noProof/>
        </w:rPr>
        <w:tab/>
        <w:t>în absența unei notificări conform literei (a), există motive pentru a presupune că activitatea Operatorului de Criptoactive a încetat;</w:t>
      </w:r>
    </w:p>
    <w:p>
      <w:pPr>
        <w:pStyle w:val="Point2"/>
        <w:rPr>
          <w:noProof/>
        </w:rPr>
      </w:pPr>
      <w:r>
        <w:rPr>
          <w:noProof/>
        </w:rPr>
        <w:tab/>
        <w:t>(c)</w:t>
      </w:r>
      <w:r>
        <w:rPr>
          <w:noProof/>
        </w:rPr>
        <w:tab/>
        <w:t>Operatorul de Criptoactive nu mai îndeplinește condițiile prevăzute în secțiunea IV punctul B subpunctul 2;</w:t>
      </w:r>
    </w:p>
    <w:p>
      <w:pPr>
        <w:pStyle w:val="Point2"/>
        <w:rPr>
          <w:noProof/>
        </w:rPr>
      </w:pPr>
      <w:r>
        <w:rPr>
          <w:noProof/>
        </w:rPr>
        <w:tab/>
        <w:t>(d)</w:t>
      </w:r>
      <w:r>
        <w:rPr>
          <w:noProof/>
        </w:rPr>
        <w:tab/>
        <w:t>statul membru a revocat înregistrarea la autoritatea sa competentă în temeiul punctului F subpunctul 7.</w:t>
      </w:r>
    </w:p>
    <w:p>
      <w:pPr>
        <w:pStyle w:val="Point1"/>
        <w:rPr>
          <w:noProof/>
        </w:rPr>
      </w:pPr>
      <w:r>
        <w:rPr>
          <w:noProof/>
        </w:rPr>
        <w:tab/>
        <w:t>6.</w:t>
      </w:r>
      <w:r>
        <w:rPr>
          <w:noProof/>
        </w:rPr>
        <w:tab/>
        <w:t>Fiecare stat membru informează de îndată Comisia cu privire la orice Operator de Criptoactive, în sensul secțiunii IV punctul B subpunctul 2, care are Utilizatori care fac obiectul Raportării rezidenți în Uniune fără să fie înregistrat în conformitate cu prezentul punct. Dacă un Operator de Criptoactive nu respectă obligația de înregistrare sau dacă înregistrarea sa a fost revocată în conformitate cu punctul F subpunctul 7 din prezenta secțiune, statele membre iau măsuri efective, proporționale și cu efect de descurajare, fără a aduce atingere articolului </w:t>
      </w:r>
      <w:r>
        <w:rPr>
          <w:rStyle w:val="CRMinorChangeAdded"/>
          <w:noProof/>
        </w:rPr>
        <w:t>34</w:t>
      </w:r>
      <w:r>
        <w:rPr>
          <w:rStyle w:val="CRMinorChangeDeleted"/>
          <w:noProof/>
        </w:rPr>
        <w:t>25a</w:t>
      </w:r>
      <w:r>
        <w:rPr>
          <w:noProof/>
        </w:rPr>
        <w:t>, pentru a asigura conformarea în jurisdicția lor. Alegerea acestor măsuri rămâne la latitudinea statelor membre. De asemenea, statele membre se străduiesc să își coordoneze acțiunile menite să asigure conformarea, inclusiv, în ultimă instanță, prin împiedicarea Operatorului de Criptoactive să își desfășoare activitatea în cadrul Uniunii.</w:t>
      </w:r>
    </w:p>
    <w:p>
      <w:pPr>
        <w:pStyle w:val="Point1"/>
        <w:rPr>
          <w:noProof/>
        </w:rPr>
      </w:pPr>
      <w:r>
        <w:rPr>
          <w:noProof/>
        </w:rPr>
        <w:lastRenderedPageBreak/>
        <w:tab/>
        <w:t>7.</w:t>
      </w:r>
      <w:r>
        <w:rPr>
          <w:noProof/>
        </w:rPr>
        <w:tab/>
        <w:t xml:space="preserve">Dacă un Operator de Criptoactive nu respectă obligația de raportare în conformitate cu secțiunea II punctul B </w:t>
      </w:r>
      <w:r>
        <w:rPr>
          <w:rStyle w:val="CRDeleted"/>
          <w:noProof/>
        </w:rPr>
        <w:t>din prezenta anexă</w:t>
      </w:r>
      <w:r>
        <w:rPr>
          <w:noProof/>
        </w:rPr>
        <w:t xml:space="preserve"> după două atenționări din partea statului membru de înregistrare unică, statul membru de înregistrare unică ia măsurile necesare, fără a aduce atingere articolului </w:t>
      </w:r>
      <w:r>
        <w:rPr>
          <w:rStyle w:val="CRMinorChangeAdded"/>
          <w:noProof/>
        </w:rPr>
        <w:t>34</w:t>
      </w:r>
      <w:r>
        <w:rPr>
          <w:rStyle w:val="CRMinorChangeDeleted"/>
          <w:noProof/>
        </w:rPr>
        <w:t>25a</w:t>
      </w:r>
      <w:r>
        <w:rPr>
          <w:noProof/>
        </w:rPr>
        <w:t>, pentru a revoca înregistrarea Operatorului de Criptoactive efectuată în temeiul articolului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13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8ad alineatul (7)</w:t>
      </w:r>
      <w:r>
        <w:rPr>
          <w:noProof/>
        </w:rPr>
        <w:t>. Înregistrarea se revocă cel târziu după expirarea unui termen de 90 de zile, dar nu înainte de expirarea unui termen de 30 de zile de la cea de a doua atenționare.</w:t>
      </w:r>
    </w:p>
    <w:p>
      <w:pPr>
        <w:rPr>
          <w:noProof/>
        </w:rPr>
        <w:sectPr>
          <w:pgSz w:w="11907" w:h="16839"/>
          <w:pgMar w:top="1134" w:right="1417" w:bottom="1134" w:left="1417" w:header="709" w:footer="709" w:gutter="0"/>
          <w:pgNumType w:start="1"/>
          <w:cols w:space="720"/>
          <w:docGrid w:linePitch="360"/>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11 și anexa (adaptat)</w:t>
      </w:r>
    </w:p>
    <w:p>
      <w:pPr>
        <w:pStyle w:val="Annexetitre"/>
        <w:rPr>
          <w:noProof/>
        </w:rPr>
      </w:pPr>
      <w:r>
        <w:rPr>
          <w:noProof/>
        </w:rPr>
        <w:t>ANEXA VII</w:t>
      </w:r>
    </w:p>
    <w:p>
      <w:pPr>
        <w:pStyle w:val="NormalCentered"/>
        <w:rPr>
          <w:b/>
          <w:noProof/>
        </w:rPr>
      </w:pPr>
      <w:r>
        <w:rPr>
          <w:b/>
          <w:noProof/>
        </w:rPr>
        <w:t>Norme de declarare și modelul standard pentru Declarația privind impozitul suplimentar</w:t>
      </w:r>
    </w:p>
    <w:p>
      <w:pPr>
        <w:pStyle w:val="ManualHeading1"/>
        <w:ind w:left="851" w:hanging="851"/>
        <w:rPr>
          <w:noProof/>
        </w:rPr>
      </w:pPr>
      <w:bookmarkStart w:id="66" w:name="_Toc229742249"/>
      <w:r>
        <w:rPr>
          <w:noProof/>
        </w:rPr>
        <w:t>SECȚIUNEA I</w:t>
      </w:r>
      <w:bookmarkEnd w:id="66"/>
    </w:p>
    <w:p>
      <w:pPr>
        <w:pStyle w:val="ManualHeading2"/>
        <w:ind w:left="851" w:hanging="851"/>
        <w:rPr>
          <w:noProof/>
        </w:rPr>
      </w:pPr>
      <w:bookmarkStart w:id="67" w:name="_Toc229742250"/>
      <w:r>
        <w:rPr>
          <w:noProof/>
        </w:rPr>
        <w:t>DEFINIȚII</w:t>
      </w:r>
      <w:bookmarkEnd w:id="67"/>
    </w:p>
    <w:p>
      <w:pPr>
        <w:rPr>
          <w:noProof/>
        </w:rPr>
      </w:pPr>
      <w:r>
        <w:rPr>
          <w:noProof/>
        </w:rPr>
        <w:t>În sensul prezentei anexe, se aplică următoarele definiții:</w:t>
      </w:r>
    </w:p>
    <w:p>
      <w:pPr>
        <w:pStyle w:val="Point0"/>
        <w:rPr>
          <w:noProof/>
        </w:rPr>
      </w:pPr>
      <w:r>
        <w:rPr>
          <w:noProof/>
        </w:rPr>
        <w:tab/>
        <w:t>1.</w:t>
      </w:r>
      <w:r>
        <w:rPr>
          <w:noProof/>
        </w:rPr>
        <w:tab/>
        <w:t>„Stat membru de punere în aplicare” înseamnă un stat membru care a pus în aplicare fie o regulă de includere a veniturilor (income inclusion rule – IIR) calificată, fie o regulă a profiturilor subimpozitate (undertaxed profit rule – UTPR) calificată, astfel cum sunt definite la articolul 3 punctele 18 și, respectiv, 43 din Directiva (UE) 2022/2523, fie ambele, pentru Anul fiscal de raportare dat;</w:t>
      </w:r>
    </w:p>
    <w:p>
      <w:pPr>
        <w:pStyle w:val="Point0"/>
        <w:rPr>
          <w:noProof/>
        </w:rPr>
      </w:pPr>
      <w:r>
        <w:rPr>
          <w:noProof/>
        </w:rPr>
        <w:tab/>
        <w:t>2.</w:t>
      </w:r>
      <w:r>
        <w:rPr>
          <w:noProof/>
        </w:rPr>
        <w:tab/>
        <w:t>„Stat membru care aplică doar un impozit suplimentar național calificat (qualified domestic top-up tax – QDTT)” înseamnă un stat membru care a pus în aplicare doar un impozit suplimentar național calificat, astfel cum este definit la articolul 3 punctul 28 din Directiva (UE) 2022/2523, pentru Anul fiscal de raportare dat;</w:t>
      </w:r>
    </w:p>
    <w:p>
      <w:pPr>
        <w:pStyle w:val="Point0"/>
        <w:rPr>
          <w:noProof/>
        </w:rPr>
      </w:pPr>
      <w:r>
        <w:rPr>
          <w:noProof/>
        </w:rPr>
        <w:tab/>
        <w:t>3.</w:t>
      </w:r>
      <w:r>
        <w:rPr>
          <w:noProof/>
        </w:rPr>
        <w:tab/>
        <w:t xml:space="preserve">„Declarație privind impozitul suplimentar” înseamnă declarația de informații depusă de o societate-mamă finală, de o entitate desemnată care depune declarația, de o entitate locală desemnată sau de o entitate constitutivă, un model standard în acest sens fiind prevăzut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 articolul 15 din prezenta directivă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 secțiunea IV</w:t>
      </w:r>
      <w:r>
        <w:rPr>
          <w:noProof/>
        </w:rPr>
        <w:t xml:space="preserve"> </w:t>
      </w:r>
      <w:r>
        <w:rPr>
          <w:rStyle w:val="CRDeleted"/>
          <w:noProof/>
        </w:rPr>
        <w:t>din prezenta anexă</w:t>
      </w:r>
      <w:r>
        <w:rPr>
          <w:noProof/>
        </w:rPr>
        <w:t>;</w:t>
      </w:r>
    </w:p>
    <w:p>
      <w:pPr>
        <w:pStyle w:val="Point0"/>
        <w:rPr>
          <w:noProof/>
        </w:rPr>
      </w:pPr>
      <w:r>
        <w:rPr>
          <w:noProof/>
        </w:rPr>
        <w:tab/>
        <w:t>4.</w:t>
      </w:r>
      <w:r>
        <w:rPr>
          <w:noProof/>
        </w:rPr>
        <w:tab/>
        <w:t>„Secțiune generală” înseamnă secțiunea din Declarația privind impozitul suplimentar care conține informații generale despre grupul de întreprinderi multinaționale în ansamblu, inclusiv structura sa corporativă, și o sinteză generală a aplicării Directivei (UE) 2022/2523, această secțiune corespunzând secțiunii 1 din modelul standard pentru Declarația privind impozitul suplimentar;</w:t>
      </w:r>
    </w:p>
    <w:p>
      <w:pPr>
        <w:pStyle w:val="Point0"/>
        <w:rPr>
          <w:noProof/>
        </w:rPr>
      </w:pPr>
      <w:r>
        <w:rPr>
          <w:noProof/>
        </w:rPr>
        <w:tab/>
        <w:t>5.</w:t>
      </w:r>
      <w:r>
        <w:rPr>
          <w:noProof/>
        </w:rPr>
        <w:tab/>
        <w:t>„Secțiuni jurisdicționale” înseamnă setul de secțiuni din Declarația privind impozitul suplimentar care conțin informații detaliate despre aplicarea IIR calificate, a UTPR calificate și a impozitului suplimentar național calificat în fiecare jurisdicție în care își desfășoară activitatea grupul de întreprinderi multinaționale, aceste secțiuni corespunzând secțiunilor 2 și 3 din modelul standard pentru Declarația privind impozitul suplimentar;</w:t>
      </w:r>
    </w:p>
    <w:p>
      <w:pPr>
        <w:pStyle w:val="Point0"/>
        <w:rPr>
          <w:noProof/>
        </w:rPr>
      </w:pPr>
      <w:r>
        <w:rPr>
          <w:noProof/>
        </w:rPr>
        <w:tab/>
        <w:t>6.</w:t>
      </w:r>
      <w:r>
        <w:rPr>
          <w:noProof/>
        </w:rPr>
        <w:tab/>
        <w:t>„An fiscal de raportare” înseamnă anul fiscal la care se referă Declarația privind impozitul suplimentar.</w:t>
      </w:r>
    </w:p>
    <w:p>
      <w:pPr>
        <w:pStyle w:val="ManualHeading1"/>
        <w:ind w:left="851" w:hanging="851"/>
        <w:rPr>
          <w:noProof/>
        </w:rPr>
      </w:pPr>
      <w:bookmarkStart w:id="68" w:name="_Toc229742251"/>
      <w:r>
        <w:rPr>
          <w:noProof/>
        </w:rPr>
        <w:t>SECȚIUNEA II</w:t>
      </w:r>
      <w:bookmarkEnd w:id="68"/>
    </w:p>
    <w:p>
      <w:pPr>
        <w:pStyle w:val="ManualHeading2"/>
        <w:ind w:left="851" w:hanging="851"/>
        <w:rPr>
          <w:noProof/>
        </w:rPr>
      </w:pPr>
      <w:bookmarkStart w:id="69" w:name="_Toc229742252"/>
      <w:r>
        <w:rPr>
          <w:noProof/>
        </w:rPr>
        <w:t>CERINȚE DE DECLARARE</w:t>
      </w:r>
      <w:bookmarkEnd w:id="69"/>
    </w:p>
    <w:p>
      <w:pPr>
        <w:rPr>
          <w:noProof/>
        </w:rPr>
      </w:pPr>
      <w:r>
        <w:rPr>
          <w:noProof/>
        </w:rPr>
        <w:t>Entitatea constitutivă care depune Declarația privind impozitul suplimentar identifică secțiunile relevante și, respectiv, statele membre relevante cărora le sunt comunicate informațiile, în conformitate cu abordarea în materie de diseminare prevăzută la articolul </w:t>
      </w:r>
      <w:r>
        <w:rPr>
          <w:rStyle w:val="CRMinorChangeAdded"/>
          <w:noProof/>
        </w:rPr>
        <w:t>15</w:t>
      </w:r>
      <w:r>
        <w:rPr>
          <w:rStyle w:val="CRMinorChangeDeleted"/>
          <w:noProof/>
        </w:rPr>
        <w:t>8ae</w:t>
      </w:r>
      <w:r>
        <w:rPr>
          <w:noProof/>
        </w:rPr>
        <w:t>.</w:t>
      </w:r>
    </w:p>
    <w:p>
      <w:pPr>
        <w:pStyle w:val="ManualHeading1"/>
        <w:ind w:left="851" w:hanging="851"/>
        <w:rPr>
          <w:noProof/>
        </w:rPr>
      </w:pPr>
      <w:bookmarkStart w:id="70" w:name="_Toc229742253"/>
      <w:r>
        <w:rPr>
          <w:noProof/>
        </w:rPr>
        <w:lastRenderedPageBreak/>
        <w:t>SECȚIUNEA III</w:t>
      </w:r>
      <w:bookmarkEnd w:id="70"/>
    </w:p>
    <w:p>
      <w:pPr>
        <w:pStyle w:val="ManualHeading2"/>
        <w:ind w:left="851" w:hanging="851"/>
        <w:rPr>
          <w:noProof/>
        </w:rPr>
      </w:pPr>
      <w:bookmarkStart w:id="71" w:name="_Toc229742254"/>
      <w:r>
        <w:rPr>
          <w:noProof/>
        </w:rPr>
        <w:t>FORMATUL PENTRU DEPUNEREA DECLARAȚIILOR ȘI SCHIMBUL DE INFORMAȚII PENTRU GRUPURILE NAȚIONALE DE MARI DIMENSIUNI CU ASOCIERI ÎN PARTICIPAȚIE</w:t>
      </w:r>
      <w:bookmarkEnd w:id="71"/>
    </w:p>
    <w:p>
      <w:pPr>
        <w:rPr>
          <w:noProof/>
        </w:rPr>
      </w:pPr>
      <w:r>
        <w:rPr>
          <w:noProof/>
        </w:rPr>
        <w:t xml:space="preserve">Atunci când o societate-mamă a unui grup național de mari dimensiuni deține o participație directă sau indirectă în capitalurile proprii ale unei asocieri în participație sau ale unei filiale a unei asocieri în participație care face obiectul unui impozit suplimentar național calificat într-un alt stat membru decât cel în care este situat grupul național de mari dimensiuni, respectivul grup național de mari dimensiuni utilizează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formularul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modelul</w:t>
      </w:r>
      <w:r>
        <w:rPr>
          <w:noProof/>
        </w:rPr>
        <w:t xml:space="preserve"> standard pentru Declarația privind impozitul suplimentar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definit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prevăzut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la articolul 15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 secțiunea IV din prezenta anexă</w:t>
      </w:r>
      <w:r>
        <w:rPr>
          <w:noProof/>
        </w:rPr>
        <w:t>.</w:t>
      </w:r>
    </w:p>
    <w:p>
      <w:pPr>
        <w:rPr>
          <w:noProof/>
        </w:rPr>
      </w:pPr>
      <w:r>
        <w:rPr>
          <w:noProof/>
        </w:rPr>
        <w:t>În cazurile care intră sub incidența primului paragraf, statele membre iau măsurile necesare pentru a se asigura că se aplică articolul </w:t>
      </w:r>
      <w:r>
        <w:rPr>
          <w:rStyle w:val="CRMinorChangeAdded"/>
          <w:noProof/>
        </w:rPr>
        <w:t>15</w:t>
      </w:r>
      <w:r>
        <w:rPr>
          <w:rStyle w:val="CRMinorChangeDeleted"/>
          <w:noProof/>
        </w:rPr>
        <w:t>8ae</w:t>
      </w:r>
      <w:r>
        <w:rPr>
          <w:noProof/>
        </w:rPr>
        <w:t xml:space="preserve"> alineatul (2) și articolul </w:t>
      </w:r>
      <w:r>
        <w:rPr>
          <w:rStyle w:val="CRMinorChangeAdded"/>
          <w:noProof/>
        </w:rPr>
        <w:t>22</w:t>
      </w:r>
      <w:r>
        <w:rPr>
          <w:rStyle w:val="CRMinorChangeDeleted"/>
          <w:noProof/>
        </w:rPr>
        <w:t>9a</w:t>
      </w:r>
      <w:r>
        <w:rPr>
          <w:noProof/>
        </w:rPr>
        <w:t>.</w:t>
      </w:r>
    </w:p>
    <w:p>
      <w:pPr>
        <w:pStyle w:val="ManualHeading1"/>
        <w:ind w:left="851" w:hanging="851"/>
        <w:rPr>
          <w:rStyle w:val="CRDeleted"/>
          <w:b w:val="0"/>
          <w:smallCaps w:val="0"/>
          <w:noProof/>
        </w:rPr>
      </w:pPr>
      <w:bookmarkStart w:id="72" w:name="_Toc229742255"/>
      <w:r>
        <w:rPr>
          <w:rStyle w:val="CRDeleted"/>
          <w:b w:val="0"/>
          <w:smallCaps w:val="0"/>
          <w:noProof/>
        </w:rPr>
        <w:t>SECȚIUNEA IV</w:t>
      </w:r>
      <w:bookmarkEnd w:id="72"/>
    </w:p>
    <w:p>
      <w:pPr>
        <w:pStyle w:val="ManualHeading2"/>
        <w:ind w:left="851" w:hanging="851"/>
        <w:rPr>
          <w:rStyle w:val="CRDeleted"/>
          <w:b w:val="0"/>
          <w:noProof/>
        </w:rPr>
      </w:pPr>
      <w:bookmarkStart w:id="73" w:name="_Toc229742256"/>
      <w:r>
        <w:rPr>
          <w:rStyle w:val="CRDeleted"/>
          <w:b w:val="0"/>
          <w:noProof/>
        </w:rPr>
        <w:t>PUNCTE DE DATE</w:t>
      </w:r>
      <w:bookmarkEnd w:id="73"/>
    </w:p>
    <w:p>
      <w:pPr>
        <w:pStyle w:val="ManualHeading2"/>
        <w:ind w:left="851" w:hanging="851"/>
        <w:rPr>
          <w:rStyle w:val="CRDeleted"/>
          <w:b w:val="0"/>
          <w:noProof/>
        </w:rPr>
      </w:pPr>
      <w:bookmarkStart w:id="74" w:name="_Toc229742257"/>
      <w:r>
        <w:rPr>
          <w:rStyle w:val="CRDeleted"/>
          <w:b w:val="0"/>
          <w:noProof/>
        </w:rPr>
        <w:t>1.</w:t>
      </w:r>
      <w:r>
        <w:rPr>
          <w:noProof/>
        </w:rPr>
        <w:tab/>
      </w:r>
      <w:r>
        <w:rPr>
          <w:rStyle w:val="CRDeleted"/>
          <w:b w:val="0"/>
          <w:noProof/>
        </w:rPr>
        <w:t>Informații privind grupurile de întreprinderi multinaționale</w:t>
      </w:r>
      <w:bookmarkEnd w:id="74"/>
    </w:p>
    <w:p>
      <w:pPr>
        <w:pStyle w:val="ManualHeading3"/>
        <w:rPr>
          <w:rStyle w:val="CRDeleted"/>
          <w:i w:val="0"/>
          <w:noProof/>
        </w:rPr>
      </w:pPr>
      <w:bookmarkStart w:id="75" w:name="_Toc229742258"/>
      <w:r>
        <w:rPr>
          <w:rStyle w:val="CRDeleted"/>
          <w:i w:val="0"/>
          <w:noProof/>
        </w:rPr>
        <w:t>1.1.</w:t>
      </w:r>
      <w:r>
        <w:rPr>
          <w:noProof/>
        </w:rPr>
        <w:tab/>
      </w:r>
      <w:r>
        <w:rPr>
          <w:rStyle w:val="CRDeleted"/>
          <w:i w:val="0"/>
          <w:noProof/>
        </w:rPr>
        <w:t>Identificarea entității constitutive care depune declarația</w:t>
      </w:r>
      <w:bookmarkEnd w:id="75"/>
    </w:p>
    <w:tbl>
      <w:tblPr>
        <w:tblW w:w="0" w:type="auto"/>
        <w:tblLayout w:type="fixed"/>
        <w:tblLook w:val="0000" w:firstRow="0" w:lastRow="0" w:firstColumn="0" w:lastColumn="0" w:noHBand="0" w:noVBand="0"/>
      </w:tblPr>
      <w:tblGrid>
        <w:gridCol w:w="1486"/>
        <w:gridCol w:w="1486"/>
        <w:gridCol w:w="1114"/>
        <w:gridCol w:w="1021"/>
        <w:gridCol w:w="2136"/>
        <w:gridCol w:w="2043"/>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Societatea-mamă finală este entitatea constitutivă care depune declarația</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Denumirea entității constitutive care depune declarația</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Numărul de identificare fiscală</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Rolul</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Jurisdicția în care este situată entitatea constitutivă care depune declarația</w:t>
            </w:r>
          </w:p>
        </w:tc>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Jurisdicțiile destinatare ale schimbului de informații (dacă este cazul)</w:t>
            </w: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76" w:name="_Toc229742259"/>
      <w:r>
        <w:rPr>
          <w:rStyle w:val="CRDeleted"/>
          <w:i w:val="0"/>
          <w:noProof/>
        </w:rPr>
        <w:t>1.2.</w:t>
      </w:r>
      <w:r>
        <w:rPr>
          <w:noProof/>
        </w:rPr>
        <w:tab/>
      </w:r>
      <w:r>
        <w:rPr>
          <w:rStyle w:val="CRDeleted"/>
          <w:i w:val="0"/>
          <w:noProof/>
        </w:rPr>
        <w:t>Informații generale privind grupul de întreprinderi multinaționale</w:t>
      </w:r>
      <w:bookmarkEnd w:id="76"/>
    </w:p>
    <w:p>
      <w:pPr>
        <w:pStyle w:val="ManualHeading4"/>
        <w:rPr>
          <w:rStyle w:val="CRDeleted"/>
          <w:noProof/>
        </w:rPr>
      </w:pPr>
      <w:r>
        <w:rPr>
          <w:rStyle w:val="CRDeleted"/>
          <w:noProof/>
        </w:rPr>
        <w:t>1.2.1.</w:t>
      </w:r>
      <w:r>
        <w:rPr>
          <w:noProof/>
        </w:rPr>
        <w:tab/>
      </w:r>
      <w:r>
        <w:rPr>
          <w:rStyle w:val="CRDeleted"/>
          <w:noProof/>
        </w:rPr>
        <w:t>Grupul de întreprinderi multinaționale și Anul fiscal de raportare</w:t>
      </w:r>
    </w:p>
    <w:tbl>
      <w:tblPr>
        <w:tblW w:w="0" w:type="auto"/>
        <w:tblLayout w:type="fixed"/>
        <w:tblLook w:val="0000" w:firstRow="0" w:lastRow="0" w:firstColumn="0" w:lastColumn="0" w:noHBand="0" w:noVBand="0"/>
      </w:tblPr>
      <w:tblGrid>
        <w:gridCol w:w="2136"/>
        <w:gridCol w:w="2693"/>
        <w:gridCol w:w="2600"/>
        <w:gridCol w:w="1857"/>
      </w:tblGrid>
      <w:tr>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Denumirea grupului de întreprinderi multinaționale</w:t>
            </w:r>
          </w:p>
        </w:tc>
        <w:tc>
          <w:tcPr>
            <w:tcW w:w="26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Data de începere a Anului fiscal de raportare</w:t>
            </w:r>
          </w:p>
        </w:tc>
        <w:tc>
          <w:tcPr>
            <w:tcW w:w="26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Data de încheiere a Anului fiscal de raportare</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Declarație modificată</w:t>
            </w:r>
          </w:p>
        </w:tc>
      </w:tr>
      <w:tr>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69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bl>
    <w:p>
      <w:pPr>
        <w:rPr>
          <w:rStyle w:val="CRDeleted"/>
          <w:noProof/>
        </w:rPr>
      </w:pPr>
    </w:p>
    <w:p>
      <w:pPr>
        <w:pStyle w:val="ManualHeading4"/>
        <w:rPr>
          <w:rStyle w:val="CRDeleted"/>
          <w:noProof/>
        </w:rPr>
      </w:pPr>
      <w:r>
        <w:rPr>
          <w:rStyle w:val="CRDeleted"/>
          <w:noProof/>
        </w:rPr>
        <w:t>1.2.2.</w:t>
      </w:r>
      <w:r>
        <w:rPr>
          <w:noProof/>
        </w:rPr>
        <w:tab/>
      </w:r>
      <w:r>
        <w:rPr>
          <w:rStyle w:val="CRDeleted"/>
          <w:noProof/>
        </w:rPr>
        <w:t>Informații contabile generale privind întreprinderea multinațională</w:t>
      </w:r>
    </w:p>
    <w:tbl>
      <w:tblPr>
        <w:tblW w:w="0" w:type="auto"/>
        <w:tblLayout w:type="fixed"/>
        <w:tblLook w:val="0000" w:firstRow="0" w:lastRow="0" w:firstColumn="0" w:lastColumn="0" w:noHBand="0" w:noVBand="0"/>
      </w:tblPr>
      <w:tblGrid>
        <w:gridCol w:w="2600"/>
        <w:gridCol w:w="3157"/>
        <w:gridCol w:w="3529"/>
      </w:tblGrid>
      <w:tr>
        <w:tc>
          <w:tcPr>
            <w:tcW w:w="26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Situațiile financiare consolidate ale societății-mamă finale (tip)</w:t>
            </w:r>
          </w:p>
        </w:tc>
        <w:tc>
          <w:tcPr>
            <w:tcW w:w="31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Standardul de contabilitate financiară utilizat pentru situațiile financiare consolidate ale societății-</w:t>
            </w:r>
            <w:r>
              <w:rPr>
                <w:rStyle w:val="CRDeleted"/>
                <w:noProof/>
              </w:rPr>
              <w:lastRenderedPageBreak/>
              <w:t>mamă finale</w:t>
            </w:r>
          </w:p>
        </w:tc>
        <w:tc>
          <w:tcPr>
            <w:tcW w:w="35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3.</w:t>
            </w:r>
            <w:r>
              <w:rPr>
                <w:noProof/>
              </w:rPr>
              <w:tab/>
            </w:r>
            <w:r>
              <w:rPr>
                <w:rStyle w:val="CRDeleted"/>
                <w:noProof/>
              </w:rPr>
              <w:t>Moneda de raportare utilizată pentru situațiile financiare consolidate ale societății-mamă finale (cod ISO)</w:t>
            </w:r>
          </w:p>
        </w:tc>
      </w:tr>
      <w:tr>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1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5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77" w:name="_Toc229742260"/>
      <w:r>
        <w:rPr>
          <w:rStyle w:val="CRDeleted"/>
          <w:i w:val="0"/>
          <w:noProof/>
        </w:rPr>
        <w:t>1.3.</w:t>
      </w:r>
      <w:r>
        <w:rPr>
          <w:noProof/>
        </w:rPr>
        <w:tab/>
      </w:r>
      <w:r>
        <w:rPr>
          <w:rStyle w:val="CRDeleted"/>
          <w:i w:val="0"/>
          <w:noProof/>
        </w:rPr>
        <w:t>Structura corporativă</w:t>
      </w:r>
      <w:bookmarkEnd w:id="77"/>
    </w:p>
    <w:p>
      <w:pPr>
        <w:pStyle w:val="ManualHeading4"/>
        <w:rPr>
          <w:rStyle w:val="CRDeleted"/>
          <w:noProof/>
        </w:rPr>
      </w:pPr>
      <w:r>
        <w:rPr>
          <w:rStyle w:val="CRDeleted"/>
          <w:noProof/>
        </w:rPr>
        <w:t>1.3.1.</w:t>
      </w:r>
      <w:r>
        <w:rPr>
          <w:noProof/>
        </w:rPr>
        <w:tab/>
      </w:r>
      <w:r>
        <w:rPr>
          <w:rStyle w:val="CRDeleted"/>
          <w:noProof/>
        </w:rPr>
        <w:t>Societatea-mamă finală</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Jurisdicția societății-mamă finale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Reguli aplicabile?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Denumirea societății-mamă finale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NIF al societății-mamă finale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NIF al societății-mamă finale din jurisdicția în care se depune declarația (dacă este diferit și dacă există)</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Statutul în sensul normelor</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Dacă societatea-mamă finală este o entitate exclusă – Tipul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Jurisdicția în care se consideră că o societate-mamă cu dublă rezidență face obiectul unei IIR calificate (dacă se aplică regulile conform cărora se consideră că societatea-mamă este situată într-o altă jurisdicție, în care nu face obiectul IIR calificate) (dacă este cazul)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1.3.2.</w:t>
      </w:r>
      <w:r>
        <w:rPr>
          <w:noProof/>
        </w:rPr>
        <w:tab/>
      </w:r>
      <w:r>
        <w:rPr>
          <w:rStyle w:val="CRDeleted"/>
          <w:noProof/>
        </w:rPr>
        <w:t>Entități din grup (altele decât societatea-mamă finală) și membri ai grupurilor de asocieri în participație</w:t>
      </w:r>
    </w:p>
    <w:p>
      <w:pPr>
        <w:pStyle w:val="ManualHeading4"/>
        <w:rPr>
          <w:rStyle w:val="CRDeleted"/>
          <w:noProof/>
        </w:rPr>
      </w:pPr>
      <w:r>
        <w:rPr>
          <w:rStyle w:val="CRDeleted"/>
          <w:noProof/>
        </w:rPr>
        <w:t>1.3.2.1.</w:t>
      </w:r>
      <w:r>
        <w:rPr>
          <w:noProof/>
        </w:rPr>
        <w:tab/>
      </w:r>
      <w:r>
        <w:rPr>
          <w:rStyle w:val="CRDeleted"/>
          <w:noProof/>
        </w:rPr>
        <w:t>Entități constitutive și membri ai grupurilor de asocieri în participație</w:t>
      </w:r>
    </w:p>
    <w:tbl>
      <w:tblPr>
        <w:tblW w:w="0" w:type="auto"/>
        <w:tblLayout w:type="fixed"/>
        <w:tblLook w:val="0000" w:firstRow="0" w:lastRow="0" w:firstColumn="0" w:lastColumn="0" w:noHBand="0" w:noVBand="0"/>
      </w:tblPr>
      <w:tblGrid>
        <w:gridCol w:w="2972"/>
        <w:gridCol w:w="5200"/>
        <w:gridCol w:w="1114"/>
      </w:tblGrid>
      <w:tr>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Modificări</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Modificări față de Anul fiscal de raportare precedent?</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Jurisdicție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Jurisdicție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Reguli aplicabile?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Identificarea entității constitutive, a asocierii în participație sau a filialei asocierii în participație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Denumirea entității constitutive, a asocierii în participație sau a filialei asocierii în participație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NIF pentru jurisdicția în care se depune declarația (dacă este cazul)</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Statutul în sensul normelor</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 xml:space="preserve">Structura de proprietate a entității constitutive, a asocierii în participație sau a filialei unei asocieri în </w:t>
            </w:r>
            <w:r>
              <w:rPr>
                <w:rStyle w:val="CRDeleted"/>
                <w:noProof/>
              </w:rPr>
              <w:lastRenderedPageBreak/>
              <w:t>participație</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Pentru fiecare entitate care deține participații în capitalurile proprii ale entității constitutive, ale asocierii în participație sau ale filialei unei asocieri în participație:</w:t>
            </w:r>
          </w:p>
          <w:p>
            <w:pPr>
              <w:pStyle w:val="Point0"/>
              <w:rPr>
                <w:rStyle w:val="CRDeleted"/>
                <w:noProof/>
              </w:rPr>
            </w:pPr>
            <w:r>
              <w:rPr>
                <w:noProof/>
              </w:rPr>
              <w:lastRenderedPageBreak/>
              <w:tab/>
            </w:r>
            <w:r>
              <w:rPr>
                <w:rStyle w:val="CRDeleted"/>
                <w:noProof/>
              </w:rPr>
              <w:t>8.</w:t>
            </w:r>
            <w:r>
              <w:rPr>
                <w:noProof/>
              </w:rPr>
              <w:tab/>
            </w:r>
            <w:r>
              <w:rPr>
                <w:rStyle w:val="CRDeleted"/>
                <w:noProof/>
              </w:rPr>
              <w:t>Tipul</w:t>
            </w:r>
          </w:p>
          <w:p>
            <w:pPr>
              <w:pStyle w:val="Point0"/>
              <w:rPr>
                <w:rStyle w:val="CRDeleted"/>
                <w:noProof/>
              </w:rPr>
            </w:pPr>
            <w:r>
              <w:rPr>
                <w:noProof/>
              </w:rPr>
              <w:tab/>
            </w:r>
            <w:r>
              <w:rPr>
                <w:rStyle w:val="CRDeleted"/>
                <w:noProof/>
              </w:rPr>
              <w:t>9.</w:t>
            </w:r>
            <w:r>
              <w:rPr>
                <w:noProof/>
              </w:rPr>
              <w:tab/>
            </w:r>
            <w:r>
              <w:rPr>
                <w:rStyle w:val="CRDeleted"/>
                <w:noProof/>
              </w:rPr>
              <w:t>NIF (pentru entitățile constitutive sau membrii grupurilor de asocieri în participație)</w:t>
            </w:r>
          </w:p>
          <w:p>
            <w:pPr>
              <w:pStyle w:val="Point0"/>
              <w:rPr>
                <w:rStyle w:val="CRDeleted"/>
                <w:noProof/>
              </w:rPr>
            </w:pPr>
            <w:r>
              <w:rPr>
                <w:noProof/>
              </w:rPr>
              <w:tab/>
            </w:r>
            <w:r>
              <w:rPr>
                <w:rStyle w:val="CRDeleted"/>
                <w:noProof/>
              </w:rPr>
              <w:t>10.</w:t>
            </w:r>
            <w:r>
              <w:rPr>
                <w:noProof/>
              </w:rPr>
              <w:tab/>
            </w:r>
            <w:r>
              <w:rPr>
                <w:rStyle w:val="CRDeleted"/>
                <w:noProof/>
              </w:rPr>
              <w:t>Participațiile în capitalurile proprii deținute (procent)</w:t>
            </w:r>
          </w:p>
        </w:tc>
        <w:tc>
          <w:tcPr>
            <w:tcW w:w="1114" w:type="dxa"/>
            <w:tcBorders>
              <w:top w:val="single" w:sz="2" w:space="0" w:color="auto"/>
              <w:left w:val="single" w:sz="2" w:space="0" w:color="auto"/>
              <w:bottom w:val="single" w:sz="2" w:space="0" w:color="auto"/>
              <w:right w:val="single" w:sz="2" w:space="0" w:color="auto"/>
            </w:tcBorders>
          </w:tcPr>
          <w:p>
            <w:pPr>
              <w:pStyle w:val="Point0"/>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Dacă entitatea constitutivă este o societate-mamă deținută parțial sau o societate-mamă intermediară, este entitatea obligată să aplice o IIR calificată?</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Statutul societății-mamă</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Dacă societatea-mamă intermediară nu aplică IIR deoarece societatea-mamă finală face obiectul unei IIR calificate sau există o altă societate-mamă intermediară care deține o participație de control în cadrul acesteia și face obiectul unei IIR calificate, se identifică societatea-mamă finală sau cealaltă societate-mamă intermediară (NIF)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13.</w:t>
            </w:r>
            <w:r>
              <w:rPr>
                <w:noProof/>
              </w:rPr>
              <w:tab/>
            </w:r>
            <w:r>
              <w:rPr>
                <w:rStyle w:val="CRDeleted"/>
                <w:noProof/>
              </w:rPr>
              <w:t>Dacă societatea-mamă deținută parțial nu aplică IIR deoarece o altă societate-mamă deținută parțial care face obiectul unei IIR calificate deține 100 % din participațiile sale în capitalurile proprii, se identifică cealaltă societate-mamă deținută parțial care trebuie să aplice o IIR calificată (NIF)</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Este UTPR aplicabilă entității?</w:t>
            </w: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14.</w:t>
            </w:r>
            <w:r>
              <w:rPr>
                <w:noProof/>
              </w:rPr>
              <w:tab/>
            </w:r>
            <w:r>
              <w:rPr>
                <w:rStyle w:val="CRDeleted"/>
                <w:noProof/>
              </w:rPr>
              <w:t>Faza inițială a activității internaționale aplicabilă?</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15.</w:t>
            </w:r>
            <w:r>
              <w:rPr>
                <w:noProof/>
              </w:rPr>
              <w:tab/>
            </w:r>
            <w:r>
              <w:rPr>
                <w:rStyle w:val="CRDeleted"/>
                <w:noProof/>
              </w:rPr>
              <w:t>Participațiile agregate în capitalurile proprii (respectiv partea alocabilă din impozitele suplimentare) ale societăților-mamă care trebuie să aplice o IIR calificată entității constitutive (respectiv membrului grupului de asocieri în participație) (în procente)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972"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16.</w:t>
            </w:r>
            <w:r>
              <w:rPr>
                <w:noProof/>
              </w:rPr>
              <w:tab/>
            </w:r>
            <w:r>
              <w:rPr>
                <w:rStyle w:val="CRDeleted"/>
                <w:noProof/>
              </w:rPr>
              <w:t>Participațiile societății-mamă finale în capitalurile proprii ale entității constitutive (respectiv partea alocabilă a societății-mamă finale din impozitul suplimentar pentru membrul grupului de asocieri în participație) sunt mai mari decât participațiile agregate în capitalurile proprii (respectiv partea alocabilă) ale societăților-mamă care trebuie să aplice o IIR calificată entității constitutive (respectiv membrului grupului de asocieri în participație)?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bl>
    <w:p>
      <w:pPr>
        <w:rPr>
          <w:rStyle w:val="CRDeleted"/>
          <w:noProof/>
        </w:rPr>
      </w:pPr>
    </w:p>
    <w:p>
      <w:pPr>
        <w:pStyle w:val="ManualHeading4"/>
        <w:rPr>
          <w:rStyle w:val="CRDeleted"/>
          <w:noProof/>
        </w:rPr>
      </w:pPr>
      <w:r>
        <w:rPr>
          <w:rStyle w:val="CRDeleted"/>
          <w:noProof/>
        </w:rPr>
        <w:t>1.3.2.2.</w:t>
      </w:r>
      <w:r>
        <w:rPr>
          <w:noProof/>
        </w:rPr>
        <w:tab/>
      </w:r>
      <w:r>
        <w:rPr>
          <w:rStyle w:val="CRDeleted"/>
          <w:noProof/>
        </w:rPr>
        <w:t>Entități excluse</w:t>
      </w:r>
    </w:p>
    <w:tbl>
      <w:tblPr>
        <w:tblW w:w="0" w:type="auto"/>
        <w:tblInd w:w="1671" w:type="dxa"/>
        <w:tblLayout w:type="fixed"/>
        <w:tblLook w:val="0000" w:firstRow="0" w:lastRow="0" w:firstColumn="0" w:lastColumn="0" w:noHBand="0" w:noVBand="0"/>
      </w:tblPr>
      <w:tblGrid>
        <w:gridCol w:w="4814"/>
        <w:gridCol w:w="1129"/>
      </w:tblGrid>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Modificări față de Anul fiscal de raportare precedent?</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2.</w:t>
            </w:r>
            <w:r>
              <w:rPr>
                <w:noProof/>
              </w:rPr>
              <w:tab/>
            </w:r>
            <w:r>
              <w:rPr>
                <w:rStyle w:val="CRDeleted"/>
                <w:noProof/>
              </w:rPr>
              <w:t>Denumirea entității excluse</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8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Tipul entității excluse</w:t>
            </w:r>
          </w:p>
        </w:tc>
        <w:tc>
          <w:tcPr>
            <w:tcW w:w="11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1.3.3.</w:t>
      </w:r>
      <w:r>
        <w:rPr>
          <w:noProof/>
        </w:rPr>
        <w:tab/>
      </w:r>
      <w:r>
        <w:rPr>
          <w:rStyle w:val="CRDeleted"/>
          <w:noProof/>
        </w:rPr>
        <w:t>Modificări ale structurii corporative care au avut loc în cursul Anului fiscal de raportare</w:t>
      </w:r>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tc>
          <w:tcPr>
            <w:tcW w:w="8265" w:type="dxa"/>
            <w:gridSpan w:val="8"/>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Modificările structurii corporative care au avut loc în cursul Anului fiscal de raportare nu au fost raportate deoarece nu au afectat nici calculul cotei efective de impozitare, nici calculul sau alocarea impozitului suplimentar?</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Da/Nu</w:t>
            </w:r>
          </w:p>
        </w:tc>
      </w:tr>
      <w:tr>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Denumirea entității constitutive (sau a altei entități din grupul de întreprinderi multinaționale) sau a membrului grupului de asocieri în participație</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NIF</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Data intrării în vigoare a modificării</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Statutul înainte de modificare</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Statutul după modificare</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Entitățile care dețin participații în capitalurile proprii în entitatea constitutivă respectivă (sau în altă entitate) sau în membrul respectiv al grupului de asocieri în participație înainte sau după modificare</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Participațiile în capitalurile proprii deținute în entitatea constitutivă respectivă (sau în altă entitate) sau în membrul respectiv al grupului de asocieri în participație înainte de modificare (procent)</w:t>
            </w:r>
          </w:p>
        </w:tc>
        <w:tc>
          <w:tcPr>
            <w:tcW w:w="204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Participațiile în capitalurile proprii deținute în entitatea constitutivă respectivă (sau în altă entitate) sau în membrul respectiv al grupului de asocieri în participație după modificare (procent)</w:t>
            </w:r>
          </w:p>
        </w:tc>
      </w:tr>
      <w:tr>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78" w:name="_Toc229742261"/>
      <w:r>
        <w:rPr>
          <w:rStyle w:val="CRDeleted"/>
          <w:i w:val="0"/>
          <w:noProof/>
        </w:rPr>
        <w:lastRenderedPageBreak/>
        <w:t>1.4.</w:t>
      </w:r>
      <w:r>
        <w:rPr>
          <w:noProof/>
        </w:rPr>
        <w:tab/>
      </w:r>
      <w:r>
        <w:rPr>
          <w:rStyle w:val="CRDeleted"/>
          <w:i w:val="0"/>
          <w:noProof/>
        </w:rPr>
        <w:t>Sinteza generală a informațiilor</w:t>
      </w:r>
      <w:bookmarkEnd w:id="78"/>
    </w:p>
    <w:tbl>
      <w:tblPr>
        <w:tblW w:w="0" w:type="auto"/>
        <w:tblLayout w:type="fixed"/>
        <w:tblLook w:val="0000" w:firstRow="0" w:lastRow="0" w:firstColumn="0" w:lastColumn="0" w:noHBand="0" w:noVBand="0"/>
      </w:tblPr>
      <w:tblGrid>
        <w:gridCol w:w="1021"/>
        <w:gridCol w:w="1022"/>
        <w:gridCol w:w="1021"/>
        <w:gridCol w:w="1022"/>
        <w:gridCol w:w="1114"/>
        <w:gridCol w:w="1022"/>
        <w:gridCol w:w="1021"/>
        <w:gridCol w:w="1022"/>
        <w:gridCol w:w="1021"/>
      </w:tblGrid>
      <w:tr>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Denumirea jurisdicției</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Tipul subgrupului (dacă este cazul)</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Identificarea subgrupului (dacă este cazul)</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Denumirea jurisdicției (denumirile jurisdicțiilor) cu drepturi de impozitare</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S-a aplicat regimul de protecție sau excluderea?</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Intervalul cotei efective de impozitare</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Aplicarea excluderii profitului pentru activitățile cu substanță economică a condus la absența unui impozit suplimentar?</w:t>
            </w:r>
          </w:p>
        </w:tc>
        <w:tc>
          <w:tcPr>
            <w:tcW w:w="10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Impozit suplimentar de plătit (impozit suplimentar național calificat) – interval</w:t>
            </w:r>
          </w:p>
        </w:tc>
        <w:tc>
          <w:tcPr>
            <w:tcW w:w="10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9.</w:t>
            </w:r>
            <w:r>
              <w:rPr>
                <w:noProof/>
              </w:rPr>
              <w:tab/>
            </w:r>
            <w:r>
              <w:rPr>
                <w:rStyle w:val="CRDeleted"/>
                <w:noProof/>
              </w:rPr>
              <w:t>Impozit suplimentar de plătit (IIR calificată/UTPR calificată) – interval</w:t>
            </w:r>
          </w:p>
        </w:tc>
      </w:tr>
      <w:tr>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[introduceți opțiunea corespunzătoare]</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[introduceți opțiunea corespunzătoare]</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c>
          <w:tcPr>
            <w:tcW w:w="10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[introduceți opțiunea corespunzătoare]</w:t>
            </w:r>
          </w:p>
        </w:tc>
        <w:tc>
          <w:tcPr>
            <w:tcW w:w="10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[introduceți opțiunea corespunzătoare]</w:t>
            </w:r>
          </w:p>
        </w:tc>
      </w:tr>
    </w:tbl>
    <w:p>
      <w:pPr>
        <w:rPr>
          <w:rStyle w:val="CRDeleted"/>
          <w:noProof/>
        </w:rPr>
      </w:pPr>
    </w:p>
    <w:p>
      <w:pPr>
        <w:pStyle w:val="ManualHeading2"/>
        <w:ind w:left="851" w:hanging="851"/>
        <w:rPr>
          <w:rStyle w:val="CRDeleted"/>
          <w:b w:val="0"/>
          <w:noProof/>
        </w:rPr>
      </w:pPr>
      <w:bookmarkStart w:id="79" w:name="_Toc229742262"/>
      <w:r>
        <w:rPr>
          <w:rStyle w:val="CRDeleted"/>
          <w:b w:val="0"/>
          <w:noProof/>
        </w:rPr>
        <w:t>2.</w:t>
      </w:r>
      <w:r>
        <w:rPr>
          <w:noProof/>
        </w:rPr>
        <w:tab/>
      </w:r>
      <w:r>
        <w:rPr>
          <w:rStyle w:val="CRDeleted"/>
          <w:b w:val="0"/>
          <w:noProof/>
        </w:rPr>
        <w:t>Regimurile de protecție și excluderile jurisdicționale</w:t>
      </w:r>
      <w:bookmarkEnd w:id="79"/>
    </w:p>
    <w:p>
      <w:pPr>
        <w:pStyle w:val="ManualHeading3"/>
        <w:rPr>
          <w:rStyle w:val="CRDeleted"/>
          <w:i w:val="0"/>
          <w:noProof/>
        </w:rPr>
      </w:pPr>
      <w:bookmarkStart w:id="80" w:name="_Toc229742263"/>
      <w:r>
        <w:rPr>
          <w:rStyle w:val="CRDeleted"/>
          <w:i w:val="0"/>
          <w:noProof/>
        </w:rPr>
        <w:t>2.1.</w:t>
      </w:r>
      <w:r>
        <w:rPr>
          <w:noProof/>
        </w:rPr>
        <w:tab/>
      </w:r>
      <w:r>
        <w:rPr>
          <w:rStyle w:val="CRDeleted"/>
          <w:i w:val="0"/>
          <w:noProof/>
        </w:rPr>
        <w:t>Caracteristicile jurisdicției</w:t>
      </w:r>
      <w:bookmarkEnd w:id="80"/>
    </w:p>
    <w:tbl>
      <w:tblPr>
        <w:tblW w:w="0" w:type="auto"/>
        <w:tblInd w:w="2275" w:type="dxa"/>
        <w:tblLayout w:type="fixed"/>
        <w:tblLook w:val="0000" w:firstRow="0" w:lastRow="0" w:firstColumn="0" w:lastColumn="0" w:noHBand="0" w:noVBand="0"/>
      </w:tblPr>
      <w:tblGrid>
        <w:gridCol w:w="4736"/>
        <w:gridCol w:w="236"/>
      </w:tblGrid>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Denumirea jurisdicției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Tipul subgrupului (dacă este cazul)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Identificarea subgrupului (dacă este cazul)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Jurisdicția cu drepturi de impozitare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7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Existența unor diferențe de raportat (Da/Nu)</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1" w:name="_Toc229742264"/>
      <w:r>
        <w:rPr>
          <w:rStyle w:val="CRDeleted"/>
          <w:i w:val="0"/>
          <w:noProof/>
        </w:rPr>
        <w:lastRenderedPageBreak/>
        <w:t>2.2.</w:t>
      </w:r>
      <w:r>
        <w:rPr>
          <w:noProof/>
        </w:rPr>
        <w:tab/>
      </w:r>
      <w:r>
        <w:rPr>
          <w:rStyle w:val="CRDeleted"/>
          <w:i w:val="0"/>
          <w:noProof/>
        </w:rPr>
        <w:t>Excepții jurisdicționale aplicabile pentru această jurisdicție (impozitul suplimentar redus la zero)</w:t>
      </w:r>
      <w:bookmarkEnd w:id="81"/>
    </w:p>
    <w:p>
      <w:pPr>
        <w:pStyle w:val="ManualHeading4"/>
        <w:rPr>
          <w:rStyle w:val="CRDeleted"/>
          <w:noProof/>
        </w:rPr>
      </w:pPr>
      <w:r>
        <w:rPr>
          <w:rStyle w:val="CRDeleted"/>
          <w:noProof/>
        </w:rPr>
        <w:t>2.2.1.</w:t>
      </w:r>
      <w:r>
        <w:rPr>
          <w:noProof/>
        </w:rPr>
        <w:tab/>
      </w:r>
      <w:r>
        <w:rPr>
          <w:rStyle w:val="CRDeleted"/>
          <w:noProof/>
        </w:rPr>
        <w:t>Opțiunea pentru regimul de protecție al jurisdicției</w:t>
      </w:r>
    </w:p>
    <w:p>
      <w:pPr>
        <w:pStyle w:val="ManualHeading4"/>
        <w:rPr>
          <w:rStyle w:val="CRDeleted"/>
          <w:noProof/>
        </w:rPr>
      </w:pPr>
      <w:r>
        <w:rPr>
          <w:rStyle w:val="CRDeleted"/>
          <w:noProof/>
        </w:rPr>
        <w:t>2.2.1.1.</w:t>
      </w:r>
      <w:r>
        <w:rPr>
          <w:noProof/>
        </w:rPr>
        <w:tab/>
      </w:r>
      <w:r>
        <w:rPr>
          <w:rStyle w:val="CRDeleted"/>
          <w:noProof/>
        </w:rPr>
        <w:t>Opțiunea pentru regimul de protecție</w:t>
      </w:r>
    </w:p>
    <w:tbl>
      <w:tblPr>
        <w:tblW w:w="0" w:type="auto"/>
        <w:tblInd w:w="1996" w:type="dxa"/>
        <w:tblLayout w:type="fixed"/>
        <w:tblLook w:val="0000" w:firstRow="0" w:lastRow="0" w:firstColumn="0" w:lastColumn="0" w:noHBand="0" w:noVBand="0"/>
      </w:tblPr>
      <w:tblGrid>
        <w:gridCol w:w="2488"/>
        <w:gridCol w:w="2805"/>
      </w:tblGrid>
      <w:tr>
        <w:tc>
          <w:tcPr>
            <w:tcW w:w="248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Regim de protecție ales</w:t>
            </w:r>
          </w:p>
        </w:tc>
        <w:tc>
          <w:tcPr>
            <w:tcW w:w="280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[introduceți opțiunea corespunzătoare]</w:t>
            </w:r>
          </w:p>
        </w:tc>
      </w:tr>
    </w:tbl>
    <w:p>
      <w:pPr>
        <w:rPr>
          <w:rStyle w:val="CRDeleted"/>
          <w:noProof/>
        </w:rPr>
      </w:pPr>
    </w:p>
    <w:p>
      <w:pPr>
        <w:pStyle w:val="ManualHeading4"/>
        <w:rPr>
          <w:rStyle w:val="CRDeleted"/>
          <w:noProof/>
        </w:rPr>
      </w:pPr>
      <w:r>
        <w:rPr>
          <w:rStyle w:val="CRDeleted"/>
          <w:noProof/>
        </w:rPr>
        <w:t>2.2.1.2.</w:t>
      </w:r>
      <w:r>
        <w:rPr>
          <w:noProof/>
        </w:rPr>
        <w:tab/>
      </w:r>
      <w:r>
        <w:rPr>
          <w:rStyle w:val="CRDeleted"/>
          <w:noProof/>
        </w:rPr>
        <w:t>Regimuri de protecție permanente</w:t>
      </w:r>
    </w:p>
    <w:p>
      <w:pPr>
        <w:rPr>
          <w:rStyle w:val="CRDeleted"/>
          <w:noProof/>
        </w:rPr>
      </w:pPr>
      <w:r>
        <w:rPr>
          <w:rStyle w:val="CRDeleted"/>
          <w:noProof/>
        </w:rPr>
        <w:t></w:t>
      </w:r>
      <w:r>
        <w:rPr>
          <w:noProof/>
        </w:rPr>
        <w:tab/>
      </w:r>
      <w:r>
        <w:rPr>
          <w:rStyle w:val="CRDeleted"/>
          <w:noProof/>
        </w:rPr>
        <w:t>Calculul simplificat pentru entitățile constitutive nesemnificative</w:t>
      </w:r>
    </w:p>
    <w:tbl>
      <w:tblPr>
        <w:tblW w:w="0" w:type="auto"/>
        <w:tblLayout w:type="fixed"/>
        <w:tblLook w:val="0000" w:firstRow="0" w:lastRow="0" w:firstColumn="0" w:lastColumn="0" w:noHBand="0" w:noVBand="0"/>
      </w:tblPr>
      <w:tblGrid>
        <w:gridCol w:w="2600"/>
        <w:gridCol w:w="2972"/>
        <w:gridCol w:w="3714"/>
      </w:tblGrid>
      <w:tr>
        <w:tc>
          <w:tcPr>
            <w:tcW w:w="26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Veniturile totale ale tuturor entităților constitutive nesemnificative din jurisdicție</w:t>
            </w:r>
          </w:p>
        </w:tc>
        <w:tc>
          <w:tcPr>
            <w:tcW w:w="37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Impozitul simplificat agregat aplicabil tuturor entităților constitutive nesemnificative din jurisdicție</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Anul fiscal de raportare</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Primul an fiscal precedent (dacă este cazul)</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Al doilea an fiscal precedent (dacă este cazul)</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r>
      <w:tr>
        <w:tc>
          <w:tcPr>
            <w:tcW w:w="26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Media celor trei ani fiscali (dacă este cazul)</w:t>
            </w: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37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r>
    </w:tbl>
    <w:p>
      <w:pPr>
        <w:rPr>
          <w:rStyle w:val="CRDeleted"/>
          <w:noProof/>
        </w:rPr>
      </w:pPr>
    </w:p>
    <w:p>
      <w:pPr>
        <w:pStyle w:val="ManualHeading4"/>
        <w:rPr>
          <w:rStyle w:val="CRDeleted"/>
          <w:noProof/>
        </w:rPr>
      </w:pPr>
      <w:r>
        <w:rPr>
          <w:rStyle w:val="CRDeleted"/>
          <w:noProof/>
        </w:rPr>
        <w:t>2.2.1.3.</w:t>
      </w:r>
      <w:r>
        <w:rPr>
          <w:noProof/>
        </w:rPr>
        <w:tab/>
      </w:r>
      <w:r>
        <w:rPr>
          <w:rStyle w:val="CRDeleted"/>
          <w:noProof/>
        </w:rPr>
        <w:t>Regimuri de protecție tranzitorii</w:t>
      </w:r>
    </w:p>
    <w:p>
      <w:pPr>
        <w:pStyle w:val="ManualHeading4"/>
        <w:rPr>
          <w:rStyle w:val="CRDeleted"/>
          <w:noProof/>
        </w:rPr>
      </w:pPr>
      <w:r>
        <w:rPr>
          <w:rStyle w:val="CRDeleted"/>
          <w:noProof/>
        </w:rPr>
        <w:t>(a)</w:t>
      </w:r>
      <w:r>
        <w:rPr>
          <w:noProof/>
        </w:rPr>
        <w:tab/>
      </w:r>
      <w:r>
        <w:rPr>
          <w:rStyle w:val="CRDeleted"/>
          <w:noProof/>
        </w:rPr>
        <w:t>Regimul de protecție tranzitoriu pentru raportarea pentru fiecare țară în parte</w:t>
      </w:r>
    </w:p>
    <w:tbl>
      <w:tblPr>
        <w:tblW w:w="0" w:type="auto"/>
        <w:tblInd w:w="2925" w:type="dxa"/>
        <w:tblLayout w:type="fixed"/>
        <w:tblLook w:val="0000" w:firstRow="0" w:lastRow="0" w:firstColumn="0" w:lastColumn="0" w:noHBand="0" w:noVBand="0"/>
      </w:tblPr>
      <w:tblGrid>
        <w:gridCol w:w="3401"/>
        <w:gridCol w:w="236"/>
      </w:tblGrid>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Total venituri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Profituri (pierderi) anterioare impozitului pe profit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34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Impozite acoperite simplificate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Regimul de protecție tranzitoriu pentru UTPR</w:t>
      </w:r>
    </w:p>
    <w:tbl>
      <w:tblPr>
        <w:tblW w:w="0" w:type="auto"/>
        <w:tblInd w:w="3157" w:type="dxa"/>
        <w:tblLayout w:type="fixed"/>
        <w:tblLook w:val="0000" w:firstRow="0" w:lastRow="0" w:firstColumn="0" w:lastColumn="0" w:noHBand="0" w:noVBand="0"/>
      </w:tblPr>
      <w:tblGrid>
        <w:gridCol w:w="2942"/>
        <w:gridCol w:w="236"/>
      </w:tblGrid>
      <w:tr>
        <w:tc>
          <w:tcPr>
            <w:tcW w:w="294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Rata impozitului pe profit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lastRenderedPageBreak/>
        <w:t>2.2.2.</w:t>
      </w:r>
      <w:r>
        <w:rPr>
          <w:noProof/>
        </w:rPr>
        <w:tab/>
      </w:r>
      <w:r>
        <w:rPr>
          <w:rStyle w:val="CRDeleted"/>
          <w:noProof/>
        </w:rPr>
        <w:t>Opțiunea pentru excluderea de minimis</w:t>
      </w:r>
    </w:p>
    <w:p>
      <w:pPr>
        <w:rPr>
          <w:rStyle w:val="CRDeleted"/>
          <w:noProof/>
        </w:rPr>
      </w:pPr>
      <w:r>
        <w:rPr>
          <w:rStyle w:val="CRDeleted"/>
          <w:noProof/>
        </w:rPr>
        <w:t></w:t>
      </w:r>
      <w:r>
        <w:rPr>
          <w:noProof/>
        </w:rPr>
        <w:tab/>
      </w:r>
      <w:r>
        <w:rPr>
          <w:rStyle w:val="CRDeleted"/>
          <w:noProof/>
        </w:rPr>
        <w:t>Opțiunea de a aplica excluderea de minimis pentru Anul fiscal de raportare</w:t>
      </w:r>
    </w:p>
    <w:p>
      <w:pPr>
        <w:rPr>
          <w:rStyle w:val="CRDeleted"/>
          <w:noProof/>
        </w:rPr>
      </w:pPr>
      <w:r>
        <w:rPr>
          <w:rStyle w:val="CRDeleted"/>
          <w:noProof/>
        </w:rPr>
        <w:t></w:t>
      </w:r>
      <w:r>
        <w:rPr>
          <w:noProof/>
        </w:rPr>
        <w:tab/>
      </w:r>
      <w:r>
        <w:rPr>
          <w:rStyle w:val="CRDeleted"/>
          <w:noProof/>
        </w:rPr>
        <w:t>Calculele simplificate pentru entitățile constitutive nesemnificative – entitățile constitutive care nu sunt entități constitutive nesemnificative</w:t>
      </w:r>
    </w:p>
    <w:tbl>
      <w:tblPr>
        <w:tblW w:w="0" w:type="auto"/>
        <w:tblLayout w:type="fixed"/>
        <w:tblLook w:val="0000" w:firstRow="0" w:lastRow="0" w:firstColumn="0" w:lastColumn="0" w:noHBand="0" w:noVBand="0"/>
      </w:tblPr>
      <w:tblGrid>
        <w:gridCol w:w="2043"/>
        <w:gridCol w:w="1671"/>
        <w:gridCol w:w="1765"/>
        <w:gridCol w:w="1950"/>
        <w:gridCol w:w="1857"/>
      </w:tblGrid>
      <w:tr>
        <w:tc>
          <w:tcPr>
            <w:tcW w:w="204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Venituri (conturi financiare)</w:t>
            </w:r>
          </w:p>
        </w:tc>
        <w:tc>
          <w:tcPr>
            <w:tcW w:w="176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Venituri calificate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Profit net sau pierdere netă din contabilitatea financiară</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Profit calificat sau pierdere calificată</w:t>
            </w: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Anul fiscal de raportare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Primul an fiscal precedent (dacă este cazul)</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Al doilea an fiscal precedent (dacă este cazul)</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Media celor trei ani fiscali</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2" w:name="_Toc229742265"/>
      <w:r>
        <w:rPr>
          <w:rStyle w:val="CRDeleted"/>
          <w:i w:val="0"/>
          <w:noProof/>
        </w:rPr>
        <w:t>2.3.</w:t>
      </w:r>
      <w:r>
        <w:rPr>
          <w:noProof/>
        </w:rPr>
        <w:tab/>
      </w:r>
      <w:r>
        <w:rPr>
          <w:rStyle w:val="CRDeleted"/>
          <w:i w:val="0"/>
          <w:noProof/>
        </w:rPr>
        <w:t>Grupul de întreprinderi multinaționale în faza inițială a activității internaționale (dacă este cazul)</w:t>
      </w:r>
      <w:bookmarkEnd w:id="82"/>
    </w:p>
    <w:tbl>
      <w:tblPr>
        <w:tblW w:w="0" w:type="auto"/>
        <w:tblLayout w:type="fixed"/>
        <w:tblLook w:val="0000" w:firstRow="0" w:lastRow="0" w:firstColumn="0" w:lastColumn="0" w:noHBand="0" w:noVBand="0"/>
      </w:tblPr>
      <w:tblGrid>
        <w:gridCol w:w="5664"/>
        <w:gridCol w:w="3622"/>
      </w:tblGrid>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Prima zi a primului an fiscal în care grupul de întreprinderi multinaționale intră inițial în domeniul de aplicare al regulilor</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Jurisdicția de referință</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Valoarea contabilă netă a imobilizărilor corporale din jurisdicția de referință pentru anul fiscal în care grupul de întreprinderi multinaționale intră inițial în domeniul de aplicare al regulilor</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Numărul de jurisdicții în care grupul de întreprinderi multinaționale are entități constitutive pentru anul fiscal în care grupul de întreprinderi multinaționale intră inițial în domeniul de aplicare al regulilor</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Imobilizările corporale ale entităților constitutive care sunt situate în afara jurisdicției de referință pentru anul fiscal în care grupul de întreprinderi multinaționale intră inițial în domeniul de aplicare al regulilor</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Jurisdicție</w:t>
            </w:r>
          </w:p>
        </w:tc>
      </w:tr>
      <w:tr>
        <w:tc>
          <w:tcPr>
            <w:tcW w:w="566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Valorile contabile nete ale imobilizărilor corporale ale tuturor entităților constitutive care sunt situate în fiecare jurisdicție</w:t>
            </w: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6.</w:t>
            </w:r>
            <w:r>
              <w:rPr>
                <w:noProof/>
              </w:rPr>
              <w:tab/>
            </w:r>
            <w:r>
              <w:rPr>
                <w:rStyle w:val="CRDeleted"/>
                <w:noProof/>
              </w:rPr>
              <w:t>Numărul de jurisdicții în care grupul de întreprinderi multinaționale are entități constitutive în cursul Anului fiscal de raportare</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66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Suma valorilor contabile nete ale imobilizărilor corporale ale tuturor entităților constitutive care sunt situate în alte jurisdicții decât jurisdicția de referință în cursul Anului fiscal de raportare</w:t>
            </w:r>
          </w:p>
        </w:tc>
        <w:tc>
          <w:tcPr>
            <w:tcW w:w="36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2"/>
        <w:ind w:left="851" w:hanging="851"/>
        <w:rPr>
          <w:rStyle w:val="CRDeleted"/>
          <w:b w:val="0"/>
          <w:noProof/>
        </w:rPr>
      </w:pPr>
      <w:bookmarkStart w:id="83" w:name="_Toc229742266"/>
      <w:r>
        <w:rPr>
          <w:rStyle w:val="CRDeleted"/>
          <w:b w:val="0"/>
          <w:noProof/>
        </w:rPr>
        <w:t>3.</w:t>
      </w:r>
      <w:r>
        <w:rPr>
          <w:noProof/>
        </w:rPr>
        <w:tab/>
      </w:r>
      <w:r>
        <w:rPr>
          <w:rStyle w:val="CRDeleted"/>
          <w:b w:val="0"/>
          <w:noProof/>
        </w:rPr>
        <w:t>Calcule</w:t>
      </w:r>
      <w:bookmarkEnd w:id="83"/>
    </w:p>
    <w:p>
      <w:pPr>
        <w:pStyle w:val="ManualHeading3"/>
        <w:rPr>
          <w:rStyle w:val="CRDeleted"/>
          <w:i w:val="0"/>
          <w:noProof/>
        </w:rPr>
      </w:pPr>
      <w:bookmarkStart w:id="84" w:name="_Toc229742267"/>
      <w:r>
        <w:rPr>
          <w:rStyle w:val="CRDeleted"/>
          <w:i w:val="0"/>
          <w:noProof/>
        </w:rPr>
        <w:t>3.1.</w:t>
      </w:r>
      <w:r>
        <w:rPr>
          <w:noProof/>
        </w:rPr>
        <w:tab/>
      </w:r>
      <w:r>
        <w:rPr>
          <w:rStyle w:val="CRDeleted"/>
          <w:i w:val="0"/>
          <w:noProof/>
        </w:rPr>
        <w:t>Caracteristicile jurisdicției</w:t>
      </w:r>
      <w:bookmarkEnd w:id="84"/>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Denumirea jurisdicției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Tipul subgrupului (dacă este cazul)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Identificarea subgrupului (dacă este cazul) pentru calcularea cotei efective de impozitare și a impozitului suplimentar</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Jurisdicția cu drepturi de impozitare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Cota efectivă de impozitare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Impozite acoperite ajustate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Profitul net calificat sau pierderea netă calificată</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Excluderea profitului pentru activitățile cu substanță economică</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9.</w:t>
            </w:r>
            <w:r>
              <w:rPr>
                <w:noProof/>
              </w:rPr>
              <w:tab/>
            </w:r>
            <w:r>
              <w:rPr>
                <w:rStyle w:val="CRDeleted"/>
                <w:noProof/>
              </w:rPr>
              <w:t>Impozitul suplimentar curent adițional</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10.</w:t>
            </w:r>
            <w:r>
              <w:rPr>
                <w:noProof/>
              </w:rPr>
              <w:tab/>
            </w:r>
            <w:r>
              <w:rPr>
                <w:rStyle w:val="CRDeleted"/>
                <w:noProof/>
              </w:rPr>
              <w:t>Valoarea impozitului suplimentar în temeiul legislației naționale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Opțiuni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Cheltuieli curente agregate cu impozitele aferente impozitelor acoperite după alocarea impozitelor acoperite suportate de anumite tipuri de entități constitutive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13.</w:t>
            </w:r>
            <w:r>
              <w:rPr>
                <w:noProof/>
              </w:rPr>
              <w:tab/>
            </w:r>
            <w:r>
              <w:rPr>
                <w:rStyle w:val="CRDeleted"/>
                <w:noProof/>
              </w:rPr>
              <w:t>Credite fiscale rambursabile calificate sau credite fiscale transferabile tranzacționabile (cheltuieli cu impozitele)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14.</w:t>
            </w:r>
            <w:r>
              <w:rPr>
                <w:noProof/>
              </w:rPr>
              <w:tab/>
            </w:r>
            <w:r>
              <w:rPr>
                <w:rStyle w:val="CRDeleted"/>
                <w:noProof/>
              </w:rPr>
              <w:t>Alte credite fiscale (cheltuieli cu impozitele)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15.</w:t>
            </w:r>
            <w:r>
              <w:rPr>
                <w:noProof/>
              </w:rPr>
              <w:tab/>
            </w:r>
            <w:r>
              <w:rPr>
                <w:rStyle w:val="CRDeleted"/>
                <w:noProof/>
              </w:rPr>
              <w:t>Valoarea cheltuielilor cu impozitul amânat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16.</w:t>
            </w:r>
            <w:r>
              <w:rPr>
                <w:noProof/>
              </w:rPr>
              <w:tab/>
            </w:r>
            <w:r>
              <w:rPr>
                <w:rStyle w:val="CRDeleted"/>
                <w:noProof/>
              </w:rPr>
              <w:t>Credite fiscale rambursabile calificate sau credite fiscale transferabile tranzacționabile (profit)</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17.</w:t>
            </w:r>
            <w:r>
              <w:rPr>
                <w:noProof/>
              </w:rPr>
              <w:tab/>
            </w:r>
            <w:r>
              <w:rPr>
                <w:rStyle w:val="CRDeleted"/>
                <w:noProof/>
              </w:rPr>
              <w:t>Excedentul de cheltuieli negative cu impozitul reportate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18.</w:t>
            </w:r>
            <w:r>
              <w:rPr>
                <w:noProof/>
              </w:rPr>
              <w:tab/>
            </w:r>
            <w:r>
              <w:rPr>
                <w:rStyle w:val="CRDeleted"/>
                <w:noProof/>
              </w:rPr>
              <w:t>Dispoziții tranzitorii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3"/>
        <w:rPr>
          <w:rStyle w:val="CRDeleted"/>
          <w:i w:val="0"/>
          <w:noProof/>
        </w:rPr>
      </w:pPr>
      <w:bookmarkStart w:id="85" w:name="_Toc229742268"/>
      <w:r>
        <w:rPr>
          <w:rStyle w:val="CRDeleted"/>
          <w:i w:val="0"/>
          <w:noProof/>
        </w:rPr>
        <w:t>3.2.</w:t>
      </w:r>
      <w:r>
        <w:rPr>
          <w:noProof/>
        </w:rPr>
        <w:tab/>
      </w:r>
      <w:r>
        <w:rPr>
          <w:rStyle w:val="CRDeleted"/>
          <w:i w:val="0"/>
          <w:noProof/>
        </w:rPr>
        <w:t>Calculul cotei efective de impozitare</w:t>
      </w:r>
      <w:bookmarkEnd w:id="85"/>
    </w:p>
    <w:p>
      <w:pPr>
        <w:pStyle w:val="ManualHeading4"/>
        <w:rPr>
          <w:rStyle w:val="CRDeleted"/>
          <w:noProof/>
        </w:rPr>
      </w:pPr>
      <w:r>
        <w:rPr>
          <w:rStyle w:val="CRDeleted"/>
          <w:noProof/>
        </w:rPr>
        <w:t>3.2.1.</w:t>
      </w:r>
      <w:r>
        <w:rPr>
          <w:noProof/>
        </w:rPr>
        <w:tab/>
      </w:r>
      <w:r>
        <w:rPr>
          <w:rStyle w:val="CRDeleted"/>
          <w:noProof/>
        </w:rPr>
        <w:t>Cota efectivă de impozitare</w:t>
      </w:r>
    </w:p>
    <w:tbl>
      <w:tblPr>
        <w:tblW w:w="0" w:type="auto"/>
        <w:tblLayout w:type="fixed"/>
        <w:tblLook w:val="0000" w:firstRow="0" w:lastRow="0" w:firstColumn="0" w:lastColumn="0" w:noHBand="0" w:noVBand="0"/>
      </w:tblPr>
      <w:tblGrid>
        <w:gridCol w:w="2414"/>
        <w:gridCol w:w="1672"/>
        <w:gridCol w:w="1671"/>
        <w:gridCol w:w="1858"/>
        <w:gridCol w:w="1671"/>
      </w:tblGrid>
      <w:tr>
        <w:tc>
          <w:tcPr>
            <w:tcW w:w="24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r>
              <w:rPr>
                <w:noProof/>
              </w:rPr>
              <w:tab/>
            </w:r>
            <w:r>
              <w:rPr>
                <w:rStyle w:val="CRDeleted"/>
                <w:noProof/>
              </w:rPr>
              <w:t>Profit net sau pierdere netă din contabilitatea financiară</w:t>
            </w:r>
          </w:p>
        </w:tc>
        <w:tc>
          <w:tcPr>
            <w:tcW w:w="16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(b)</w:t>
            </w:r>
            <w:r>
              <w:rPr>
                <w:noProof/>
              </w:rPr>
              <w:tab/>
            </w:r>
            <w:r>
              <w:rPr>
                <w:rStyle w:val="CRDeleted"/>
                <w:noProof/>
              </w:rPr>
              <w:t>Profitul net calificat sau pierderea netă calificată</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(c)</w:t>
            </w:r>
            <w:r>
              <w:rPr>
                <w:noProof/>
              </w:rPr>
              <w:tab/>
            </w:r>
            <w:r>
              <w:rPr>
                <w:rStyle w:val="CRDeleted"/>
                <w:noProof/>
              </w:rPr>
              <w:t>Cheltuielile cu impozitul pe profit</w:t>
            </w:r>
          </w:p>
        </w:tc>
        <w:tc>
          <w:tcPr>
            <w:tcW w:w="185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(d)</w:t>
            </w:r>
            <w:r>
              <w:rPr>
                <w:noProof/>
              </w:rPr>
              <w:tab/>
            </w:r>
            <w:r>
              <w:rPr>
                <w:rStyle w:val="CRDeleted"/>
                <w:noProof/>
              </w:rPr>
              <w:t>Impozite acoperite ajustate</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w:t>
            </w:r>
            <w:r>
              <w:rPr>
                <w:noProof/>
              </w:rPr>
              <w:tab/>
            </w:r>
            <w:r>
              <w:rPr>
                <w:rStyle w:val="CRDeleted"/>
                <w:noProof/>
              </w:rPr>
              <w:t>Cota efectivă de impozitare</w:t>
            </w:r>
          </w:p>
        </w:tc>
      </w:tr>
      <w:tr>
        <w:tc>
          <w:tcPr>
            <w:tcW w:w="24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[C]=[B]/[A]</w:t>
            </w:r>
          </w:p>
        </w:tc>
      </w:tr>
    </w:tbl>
    <w:p>
      <w:pPr>
        <w:rPr>
          <w:rStyle w:val="CRDeleted"/>
          <w:noProof/>
        </w:rPr>
      </w:pPr>
    </w:p>
    <w:p>
      <w:pPr>
        <w:pStyle w:val="ManualHeading4"/>
        <w:rPr>
          <w:rStyle w:val="CRDeleted"/>
          <w:noProof/>
        </w:rPr>
      </w:pPr>
      <w:r>
        <w:rPr>
          <w:rStyle w:val="CRDeleted"/>
          <w:noProof/>
        </w:rPr>
        <w:t>3.2.1.1.</w:t>
      </w:r>
      <w:r>
        <w:rPr>
          <w:noProof/>
        </w:rPr>
        <w:tab/>
      </w:r>
      <w:r>
        <w:rPr>
          <w:rStyle w:val="CRDeleted"/>
          <w:noProof/>
        </w:rPr>
        <w:t>Calculul profitului calificat sau al pierderii calificate</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Valoarea agregată a profitului net sau a pierderii nete din contabilitatea financiară după alocări (toate entitățile constitutive din jurisdicție)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Ajustări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Valoare netă</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Cheltuieli nete cu impozitele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Dividende excluse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Câștig sau pierdere de capital exclus(ă)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Câștig sau pierdere inclus(ă) în temeiul metodei reevaluării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Câștig sau pierdere din cedarea activelor și pasivelor excluse ca urmare a reorganizării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Câștiguri sau pierderi din diferențe de curs valutar</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Cheltuieli nedeductibile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Erori dintr-o perioadă precedentă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Modificări ale principiilor contabile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Cheltuieli cu pensiile datorate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Ștergerea datoriilor</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Compensare pe bază de acțiuni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Ajustări efectuate conform principiului valorii de piață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Credit fiscal rambursabil calificat sau credit fiscal transferabil tranzacționabil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Opțiunea pentru câștiguri și pierderi pe baza principiului realizării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(p)</w:t>
            </w:r>
            <w:r>
              <w:rPr>
                <w:noProof/>
              </w:rPr>
              <w:tab/>
            </w:r>
            <w:r>
              <w:rPr>
                <w:rStyle w:val="CRDeleted"/>
                <w:noProof/>
              </w:rPr>
              <w:t>Opțiunea pentru câștigul ajustat din active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Cheltuieli aferente acordului de finanțare intra-grup</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Opțiunea pentru tranzacții intra-grup în aceeași jurisdicție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Impozitele asigurătorului percepute de la deținătorii de polițe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Creșterea/reducerea capitalurilor proprii atribuită distribuirilor de fonduri proprii de nivel 1 suplimentare și de fonduri proprii de nivel 1 limitate plătite/de plătit sau primite/de primit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(u)</w:t>
            </w:r>
            <w:r>
              <w:rPr>
                <w:noProof/>
              </w:rPr>
              <w:tab/>
            </w:r>
            <w:r>
              <w:rPr>
                <w:rStyle w:val="CRDeleted"/>
                <w:noProof/>
              </w:rPr>
              <w:t>Entități constitutive care se alătură unui grup de întreprinderi multinaționale și entități constitutive care părăsesc un grup de întreprinderi multinaționale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w:t>
            </w:r>
            <w:r>
              <w:rPr>
                <w:noProof/>
              </w:rPr>
              <w:tab/>
            </w:r>
            <w:r>
              <w:rPr>
                <w:rStyle w:val="CRDeleted"/>
                <w:noProof/>
              </w:rPr>
              <w:t>Reducerea profitului calificat al societății-mamă finale care este o entitate transparentă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w:t>
            </w:r>
            <w:r>
              <w:rPr>
                <w:noProof/>
              </w:rPr>
              <w:tab/>
            </w:r>
            <w:r>
              <w:rPr>
                <w:rStyle w:val="CRDeleted"/>
                <w:noProof/>
              </w:rPr>
              <w:t>Reducerea profitului calificat al societății-mamă finale care este supusă unui regim privind dividendele deductibile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(x)</w:t>
            </w:r>
            <w:r>
              <w:rPr>
                <w:noProof/>
              </w:rPr>
              <w:tab/>
            </w:r>
            <w:r>
              <w:rPr>
                <w:rStyle w:val="CRDeleted"/>
                <w:noProof/>
              </w:rPr>
              <w:t>Opțiunea pentru o metodă de distribuire impozabilă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(y)</w:t>
            </w:r>
            <w:r>
              <w:rPr>
                <w:noProof/>
              </w:rPr>
              <w:tab/>
            </w:r>
            <w:r>
              <w:rPr>
                <w:rStyle w:val="CRDeleted"/>
                <w:noProof/>
              </w:rPr>
              <w:t>Profitul obținut din transportul maritim internațional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(z)</w:t>
            </w:r>
            <w:r>
              <w:rPr>
                <w:noProof/>
              </w:rPr>
              <w:tab/>
            </w:r>
            <w:r>
              <w:rPr>
                <w:rStyle w:val="CRDeleted"/>
                <w:noProof/>
              </w:rPr>
              <w:t>Tranzacții între entitățile constitutive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Profitul net calificat al jurisdicției sau pierderea netă calificată a jurisdicției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3.2.1.2.</w:t>
      </w:r>
      <w:r>
        <w:rPr>
          <w:noProof/>
        </w:rPr>
        <w:tab/>
      </w:r>
      <w:r>
        <w:rPr>
          <w:rStyle w:val="CRDeleted"/>
          <w:noProof/>
        </w:rPr>
        <w:t>Calculul impozitelor acoperite ajustate</w:t>
      </w:r>
    </w:p>
    <w:p>
      <w:pPr>
        <w:pStyle w:val="ManualHeading4"/>
        <w:rPr>
          <w:rStyle w:val="CRDeleted"/>
          <w:noProof/>
        </w:rPr>
      </w:pPr>
      <w:r>
        <w:rPr>
          <w:rStyle w:val="CRDeleted"/>
          <w:noProof/>
        </w:rPr>
        <w:t>(a)</w:t>
      </w:r>
      <w:r>
        <w:rPr>
          <w:noProof/>
        </w:rPr>
        <w:tab/>
      </w:r>
      <w:r>
        <w:rPr>
          <w:rStyle w:val="CRDeleted"/>
          <w:noProof/>
        </w:rPr>
        <w:t>Valoarea totală a impozitelor acoperite ajustate</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Cheltuieli curente agregate cu impozitele aferente impozitelor acoperite după alocări (toate entitățile constitutive din jurisdicție)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Ajustări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Valoare netă</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Impozitele acoperite înregistrate în contabilitate drept cheltuială pentru calculul profitului înainte de impozitare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Creanța privind impozitul amânat asociată pierderii calificate, stabilită sau utilizată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Impozitele acoperite pentru o situație fiscală incertă, înregistrate ca o reducere a impozitelor acoperite în anul precedent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Credit fiscal rambursabil calificat sau credite fiscale transferabile tranzacționabile înregistrate ca o reducere a cheltuielilor curente cu impozitul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 xml:space="preserve">Beneficiile fiscale calificate transparente aferente participațiilor </w:t>
            </w:r>
            <w:r>
              <w:rPr>
                <w:rStyle w:val="CRDeleted"/>
                <w:noProof/>
              </w:rPr>
              <w:lastRenderedPageBreak/>
              <w:t>calificate în capitalurile proprii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Cheltuielile curente cu impozitul aferente profitului exclus din profitul calificat sau din pierderea calificată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Credit fiscal rambursabil necalificat, credit fiscal transferabil netranzacționabil sau alte credite fiscale care nu au fost înregistrate ca o reducere a cheltuielilor curente cu impozitele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Impozitele acoperite rambursate sau creditate (cu excepția oricărui credit fiscal rambursabil calificat sau a oricăror credite fiscale transferabile tranzacționabile) care nu au fost tratate ca o ajustare a cheltuielilor curente cu impozitul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Cheltuielile curente cu impozitul aferente unei situații fiscale incerte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Cheltuielile curente cu impozitul care nu se preconizează că vor fi plătite în termen de trei ani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Ajustări ulterioare declarării</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Impozitele acoperite aferente câștigului net din active sau pierderii nete din active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Reducerea impozitelor acoperite ale societății-mamă finale care este o entitate transparentă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Impozitele acoperite pentru profitul calificat al societății-mamă finale care este redus în cadrul unui regim privind dividendele deductibile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Impozitul pe distribuirea preconizată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Opțiunea pentru o metodă de distribuire impozabilă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Valoarea totală a ajustării impozitului amânat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Creșterea sau reducerea impozitelor acoperite înregistrate în capitalurile proprii sau în alte elemente ale rezultatului global în legătură cu sumele incluse în profitul calificat sau pierderea calificată care vor face obiectul impozitării în temeiul normelor fiscale locale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Excedentul generat de cheltuieli negative cu impozitul reportate (carry-forward)</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Reducerea impozitelor acoperite (dar nu sub zero) cu valoarea soldului restant al excedentului de cheltuieli negative cu impozitul reportate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Impozite acoperite ajustate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Excedentul de cheltuieli negative cu impozitul reportate</w:t>
      </w:r>
    </w:p>
    <w:tbl>
      <w:tblPr>
        <w:tblW w:w="0" w:type="auto"/>
        <w:tblLayout w:type="fixed"/>
        <w:tblLook w:val="0000" w:firstRow="0" w:lastRow="0" w:firstColumn="0" w:lastColumn="0" w:noHBand="0" w:noVBand="0"/>
      </w:tblPr>
      <w:tblGrid>
        <w:gridCol w:w="7429"/>
        <w:gridCol w:w="1857"/>
      </w:tblGrid>
      <w:tr>
        <w:tc>
          <w:tcPr>
            <w:tcW w:w="74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Soldul din anii anteriori</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2.</w:t>
            </w:r>
            <w:r>
              <w:rPr>
                <w:noProof/>
              </w:rPr>
              <w:tab/>
            </w:r>
            <w:r>
              <w:rPr>
                <w:rStyle w:val="CRDeleted"/>
                <w:noProof/>
              </w:rPr>
              <w:t>Excedentul de cheltuieli negative cu impozitul reportate, generat în Anul fiscal de raportare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Excedentul de cheltuieli negative cu impozitul reportate, utilizat pentru Anul fiscal de raportare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Excedentul de cheltuieli negative cu impozitul reportate, rămas pentru anii următori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Calculul regimului tranzitoriu combinat pentru societățile străine controlate (SSC) (dacă este cazul)</w:t>
      </w:r>
    </w:p>
    <w:tbl>
      <w:tblPr>
        <w:tblW w:w="0" w:type="auto"/>
        <w:tblLayout w:type="fixed"/>
        <w:tblLook w:val="0000" w:firstRow="0" w:lastRow="0" w:firstColumn="0" w:lastColumn="0" w:noHBand="0" w:noVBand="0"/>
      </w:tblPr>
      <w:tblGrid>
        <w:gridCol w:w="1764"/>
        <w:gridCol w:w="1486"/>
        <w:gridCol w:w="6036"/>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Jurisdicții SSC</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Subgrup</w:t>
            </w:r>
          </w:p>
        </w:tc>
        <w:tc>
          <w:tcPr>
            <w:tcW w:w="60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Impozite agregate alocate subgrupului respectiv în cadrul unui regim fiscal combinat pentru SSC</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60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325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Total</w:t>
            </w:r>
          </w:p>
        </w:tc>
        <w:tc>
          <w:tcPr>
            <w:tcW w:w="60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w:t>
      </w:r>
      <w:r>
        <w:rPr>
          <w:noProof/>
        </w:rPr>
        <w:tab/>
      </w:r>
      <w:r>
        <w:rPr>
          <w:rStyle w:val="CRDeleted"/>
          <w:noProof/>
        </w:rPr>
        <w:t>Calcule jurisdicționale referitoare la contabilitatea impozitelor amânate</w:t>
      </w:r>
    </w:p>
    <w:p>
      <w:pPr>
        <w:pStyle w:val="ManualHeading4"/>
        <w:rPr>
          <w:rStyle w:val="CRDeleted"/>
          <w:noProof/>
        </w:rPr>
      </w:pPr>
      <w:r>
        <w:rPr>
          <w:rStyle w:val="CRDeleted"/>
          <w:noProof/>
        </w:rPr>
        <w:t>3.2.2.1.</w:t>
      </w:r>
      <w:r>
        <w:rPr>
          <w:noProof/>
        </w:rPr>
        <w:tab/>
      </w:r>
      <w:r>
        <w:rPr>
          <w:rStyle w:val="CRDeleted"/>
          <w:noProof/>
        </w:rPr>
        <w:t>Ajustări ale impozitului amânat</w:t>
      </w:r>
    </w:p>
    <w:p>
      <w:pPr>
        <w:pStyle w:val="ManualHeading4"/>
        <w:rPr>
          <w:rStyle w:val="CRDeleted"/>
          <w:noProof/>
        </w:rPr>
      </w:pPr>
      <w:r>
        <w:rPr>
          <w:rStyle w:val="CRDeleted"/>
          <w:noProof/>
        </w:rPr>
        <w:t>(a)</w:t>
      </w:r>
      <w:r>
        <w:rPr>
          <w:noProof/>
        </w:rPr>
        <w:tab/>
      </w:r>
      <w:r>
        <w:rPr>
          <w:rStyle w:val="CRDeleted"/>
          <w:noProof/>
        </w:rPr>
        <w:t>Sinteză generală</w:t>
      </w:r>
    </w:p>
    <w:tbl>
      <w:tblPr>
        <w:tblW w:w="0" w:type="auto"/>
        <w:tblLayout w:type="fixed"/>
        <w:tblLook w:val="0000" w:firstRow="0" w:lastRow="0" w:firstColumn="0" w:lastColumn="0" w:noHBand="0" w:noVBand="0"/>
      </w:tblPr>
      <w:tblGrid>
        <w:gridCol w:w="2879"/>
        <w:gridCol w:w="4550"/>
        <w:gridCol w:w="1857"/>
      </w:tblGrid>
      <w:tr>
        <w:tc>
          <w:tcPr>
            <w:tcW w:w="2879"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Cheltuieli cu impozitul amânat în sensul normelor înainte de reajustare și ajustări</w:t>
            </w: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Cheltuieli cu impozitul amânat în conturile financiare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Cheltuieli cu impozitul amânat în legătură cu activele sau datoriile a căror valoare contabilă bazată pe norme este diferită de valoarea contabilă curentă</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Cheltuieli cu impozitul amânat bazate pe valoarea contabilă a activelor sau datoriilor, determinată pe baza normelor</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Cheltuieli cu impozitul amânat în sensul normelor înainte de reajustare și ajustări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r>
        <w:tc>
          <w:tcPr>
            <w:tcW w:w="7429"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Valoarea totală a ajustărilor</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r>
        <w:tc>
          <w:tcPr>
            <w:tcW w:w="2879"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Reajustarea cheltuielilor cu impozitul amânat la cota minimă de impozitare</w:t>
            </w: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Cheltuieli cu impozitul amânat în sensul normelor înainte de reajustare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[F]=[D]+[E]</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 xml:space="preserve">Diferența dintre cheltuielile cu impozitul amânat înregistrate la o cotă de impozitare mai mică decât cota minimă de impozitare și reajustarea la cota minimă de </w:t>
            </w:r>
            <w:r>
              <w:rPr>
                <w:rStyle w:val="CRDeleted"/>
                <w:noProof/>
              </w:rPr>
              <w:lastRenderedPageBreak/>
              <w:t>impozitare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[G]</w:t>
            </w:r>
          </w:p>
        </w:tc>
      </w:tr>
      <w:tr>
        <w:tc>
          <w:tcPr>
            <w:tcW w:w="2879"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5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Diferența dintre cheltuielile cu impozitul amânat înregistrate la o cotă de impozitare mai mare decât cota minimă de impozitare și reajustarea la cota minimă de impozitare</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p>
        </w:tc>
      </w:tr>
      <w:tr>
        <w:tc>
          <w:tcPr>
            <w:tcW w:w="7429"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Valoarea totală a ajustării impozitului amânat</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[I]=[F]+[G]-[H]</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Defalcarea ajustărilor</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Ajustări la cheltuielile cu impozitul amânat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Valoare netă</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Cheltuieli cu impozitul amânat aferente elementelor excluse din profitul calificat sau din pierderea calificată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Cheltuieli cu impozitul amânat aferente datoriilor înregistrate neacceptate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Cheltuieli cu impozitul amânat aferente datoriilor înregistrate nerecuperate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Ajustarea de evaluare sau ajustarea de recunoaștere contabilă aferentă unei creanțe privind impozitul amânat</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Cheltuieli cu impozitul amânat care rezultă dintr-o reevaluare legată de modificări ale cotei de impozitare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Cheltuieli cu impozitul amânat legate de generarea și utilizarea creditelor fiscale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Creanță reportată privind impozitul amânat aferentă pierderii substitutive sau creanță reportată privind impozitul amânat aferentă pierderii substitutive preconizate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Datoriile înregistrate neacceptate sau datoriile înregistrate nerecuperate plătite în cursul anului fiscal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Recuperarea datoriei privind impozitul amânat plătite în cursul anului fiscal</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Recunoașterea unei creanțe privind impozitul amânat asociate unei pierderi, neinclusă în situațiile financiare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Ajustarea cheltuielilor cu impozitul amânat ca urmare a unei reduceri a cotei de impozitare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Ajustarea cheltuielilor cu impozitul amânat ca urmare a unei creșteri a cotei de impozitare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 xml:space="preserve">Entități constitutive care se alătură unui grup de întreprinderi multinaționale și entități constitutive care părăsesc un grup de întreprinderi </w:t>
            </w:r>
            <w:r>
              <w:rPr>
                <w:rStyle w:val="CRDeleted"/>
                <w:noProof/>
              </w:rPr>
              <w:lastRenderedPageBreak/>
              <w:t>multinaționale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Cheltuieli cu impozitul amânat aferente societății-mamă finale care este o entitate transparentă</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Cheltuieli cu impozitul amânat aferente societății-mamă finale care este supusă unui regim privind dividendele deductibile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Ajustarea impozitului amânat ca urmare a tranzacțiilor dintre entitățile constitutive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Valoarea totală a ajustărilor</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Pierderi reportate în perioadele precedente (carry-backs)</w:t>
      </w:r>
    </w:p>
    <w:tbl>
      <w:tblPr>
        <w:tblW w:w="0" w:type="auto"/>
        <w:tblLayout w:type="fixed"/>
        <w:tblLook w:val="0000" w:firstRow="0" w:lastRow="0" w:firstColumn="0" w:lastColumn="0" w:noHBand="0" w:noVBand="0"/>
      </w:tblPr>
      <w:tblGrid>
        <w:gridCol w:w="2879"/>
        <w:gridCol w:w="3435"/>
        <w:gridCol w:w="2972"/>
      </w:tblGrid>
      <w:tr>
        <w:tc>
          <w:tcPr>
            <w:tcW w:w="28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4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Creanțe privind impozitul amânat preconizate, atribuibile pierderilor reportate în perioadele precedente</w:t>
            </w:r>
          </w:p>
        </w:tc>
        <w:tc>
          <w:tcPr>
            <w:tcW w:w="297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Rambursarea impozitului acoperit aferent pierderilor reportate în perioadele precedente</w:t>
            </w: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Suma atribuită anului fiscal anterior X</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Suma atribuită anului fiscal anterior Y etc.</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8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Total</w:t>
            </w:r>
          </w:p>
        </w:tc>
        <w:tc>
          <w:tcPr>
            <w:tcW w:w="34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9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3.2.2.2.</w:t>
      </w:r>
      <w:r>
        <w:rPr>
          <w:noProof/>
        </w:rPr>
        <w:tab/>
      </w:r>
      <w:r>
        <w:rPr>
          <w:rStyle w:val="CRDeleted"/>
          <w:noProof/>
        </w:rPr>
        <w:t>Mecanismul de recuperare</w:t>
      </w:r>
    </w:p>
    <w:p>
      <w:pPr>
        <w:pStyle w:val="ManualHeading4"/>
        <w:rPr>
          <w:rStyle w:val="CRDeleted"/>
          <w:noProof/>
        </w:rPr>
      </w:pPr>
      <w:r>
        <w:rPr>
          <w:rStyle w:val="CRDeleted"/>
          <w:noProof/>
        </w:rPr>
        <w:t>(a)</w:t>
      </w:r>
      <w:r>
        <w:rPr>
          <w:noProof/>
        </w:rPr>
        <w:tab/>
      </w:r>
      <w:r>
        <w:rPr>
          <w:rStyle w:val="CRDeleted"/>
          <w:noProof/>
        </w:rPr>
        <w:t>Valoarea anuală a datoriilor privind impozitul amânat care fac obiectul normei privind recuperarea</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Valoarea datoriilor privind impozitul amânat care fac obiectul normei privind recuperarea, solicitată în al cincilea an fiscal care precedă Anul fiscal de raportare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Valoarea datoriei recuperate privind impozitul amânat, determinată în Anul fiscal de raportare în legătură cu cel de al cincilea an fiscal care precedă Anul fiscal de raportare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Valoarea datoriilor privind impozitul amânat care fac obiectul normei privind recuperarea, solicitat pentru Anul fiscal de raportare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Conturile de recuperare a datoriei agregate privind impozitul amânat</w:t>
      </w:r>
    </w:p>
    <w:tbl>
      <w:tblPr>
        <w:tblW w:w="0" w:type="auto"/>
        <w:tblLayout w:type="fixed"/>
        <w:tblLook w:val="0000" w:firstRow="0" w:lastRow="0" w:firstColumn="0" w:lastColumn="0" w:noHBand="0" w:noVBand="0"/>
      </w:tblPr>
      <w:tblGrid>
        <w:gridCol w:w="5014"/>
        <w:gridCol w:w="2322"/>
        <w:gridCol w:w="1950"/>
      </w:tblGrid>
      <w:tr>
        <w:tc>
          <w:tcPr>
            <w:tcW w:w="50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Anul fiscal de raportare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Anul fiscal anterior</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Valoarea datoriilor privind impozitul amânat din anul anterior tranziției</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b.</w:t>
            </w:r>
            <w:r>
              <w:rPr>
                <w:noProof/>
              </w:rPr>
              <w:tab/>
            </w:r>
            <w:r>
              <w:rPr>
                <w:rStyle w:val="CRDeleted"/>
                <w:noProof/>
              </w:rPr>
              <w:t>Valoarea soldului restant</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Valoarea soldului nejustificat</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3.2.2.3.</w:t>
      </w:r>
      <w:r>
        <w:rPr>
          <w:noProof/>
        </w:rPr>
        <w:tab/>
      </w:r>
      <w:r>
        <w:rPr>
          <w:rStyle w:val="CRDeleted"/>
          <w:noProof/>
        </w:rPr>
        <w:t>Dispoziții tranzitorii</w:t>
      </w:r>
    </w:p>
    <w:tbl>
      <w:tblPr>
        <w:tblW w:w="0" w:type="auto"/>
        <w:tblInd w:w="3668" w:type="dxa"/>
        <w:tblLayout w:type="fixed"/>
        <w:tblLook w:val="0000" w:firstRow="0" w:lastRow="0" w:firstColumn="0" w:lastColumn="0" w:noHBand="0" w:noVBand="0"/>
      </w:tblPr>
      <w:tblGrid>
        <w:gridCol w:w="1931"/>
        <w:gridCol w:w="236"/>
      </w:tblGrid>
      <w:tr>
        <w:tc>
          <w:tcPr>
            <w:tcW w:w="193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An de tranziție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(a)</w:t>
      </w:r>
      <w:r>
        <w:rPr>
          <w:noProof/>
        </w:rPr>
        <w:tab/>
      </w:r>
      <w:r>
        <w:rPr>
          <w:rStyle w:val="CRDeleted"/>
          <w:noProof/>
        </w:rPr>
        <w:t>Creanțe privind impozitul amânat și datorii privind impozitul amânat la începutul anului de tranziție</w:t>
      </w:r>
    </w:p>
    <w:tbl>
      <w:tblPr>
        <w:tblW w:w="0" w:type="auto"/>
        <w:tblLayout w:type="fixed"/>
        <w:tblLook w:val="0000" w:firstRow="0" w:lastRow="0" w:firstColumn="0" w:lastColumn="0" w:noHBand="0" w:noVBand="0"/>
      </w:tblPr>
      <w:tblGrid>
        <w:gridCol w:w="2229"/>
        <w:gridCol w:w="2414"/>
        <w:gridCol w:w="1021"/>
        <w:gridCol w:w="1301"/>
        <w:gridCol w:w="2321"/>
      </w:tblGrid>
      <w:tr>
        <w:tc>
          <w:tcPr>
            <w:tcW w:w="9286"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Datorii privind impozitul amânat</w:t>
            </w:r>
          </w:p>
        </w:tc>
      </w:tr>
      <w:tr>
        <w:tc>
          <w:tcPr>
            <w:tcW w:w="5664"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Datorii privind impozitul amânat la începutul anului de tranziție</w:t>
            </w:r>
          </w:p>
        </w:tc>
        <w:tc>
          <w:tcPr>
            <w:tcW w:w="36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Datorii privind impozitul amânat reajustate la cota minimă de impozitare (dacă este cazul)</w:t>
            </w:r>
          </w:p>
        </w:tc>
      </w:tr>
      <w:tr>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4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0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9286"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Creanțe privind impozitul amânat</w:t>
            </w:r>
          </w:p>
        </w:tc>
      </w:tr>
      <w:tr>
        <w:tc>
          <w:tcPr>
            <w:tcW w:w="22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Creanțe privind impozitul amânat la începutul anului de tranziție</w:t>
            </w:r>
          </w:p>
        </w:tc>
        <w:tc>
          <w:tcPr>
            <w:tcW w:w="24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Creanțe privind impozitul amânat reajustate la cota minimă de impozitare (dacă este cazul)</w:t>
            </w:r>
          </w:p>
        </w:tc>
        <w:tc>
          <w:tcPr>
            <w:tcW w:w="23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Creanțe privind impozitul amânat rezultate din elemente excluse</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Creanțe privind impozitul amânat luate în considerare în sensul normelor</w:t>
            </w:r>
          </w:p>
        </w:tc>
      </w:tr>
      <w:tr>
        <w:tc>
          <w:tcPr>
            <w:tcW w:w="22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24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2322"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 = [[A] sau [B], dacă este cazul]-[C]</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Transfer de active după 30 noiembrie 2021 și înainte de începerea unui an de tranziție</w:t>
      </w:r>
    </w:p>
    <w:tbl>
      <w:tblPr>
        <w:tblW w:w="0" w:type="auto"/>
        <w:tblLayout w:type="fixed"/>
        <w:tblLook w:val="0000" w:firstRow="0" w:lastRow="0" w:firstColumn="0" w:lastColumn="0" w:noHBand="0" w:noVBand="0"/>
      </w:tblPr>
      <w:tblGrid>
        <w:gridCol w:w="1764"/>
        <w:gridCol w:w="1300"/>
        <w:gridCol w:w="1950"/>
        <w:gridCol w:w="1951"/>
        <w:gridCol w:w="2321"/>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Jurisdicția entităților cedente</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Impozit plătit în legătură cu tranzacția (tranzacțiile)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Creanță sau datorie netă privind impozitul amânat reflectat în conturile financiare ale entității (entităților) constitutive cedente</w:t>
            </w:r>
          </w:p>
        </w:tc>
        <w:tc>
          <w:tcPr>
            <w:tcW w:w="195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Valoarea contabilă a activelor transferate în sensul normelor</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Creanță sau datorie netă privind impozitul amânat este determinat în legătură cu activele transferate, în sensul normelor, pentru entitatea (entitățile) constitutivă (constitutive) achizitoare</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lastRenderedPageBreak/>
        <w:t>3.2.3.</w:t>
      </w:r>
      <w:r>
        <w:rPr>
          <w:noProof/>
        </w:rPr>
        <w:tab/>
      </w:r>
      <w:r>
        <w:rPr>
          <w:rStyle w:val="CRDeleted"/>
          <w:noProof/>
        </w:rPr>
        <w:t>Opțiuni jurisdicționale (dacă este cazul)</w:t>
      </w:r>
    </w:p>
    <w:p>
      <w:pPr>
        <w:pStyle w:val="ManualHeading4"/>
        <w:rPr>
          <w:rStyle w:val="CRDeleted"/>
          <w:noProof/>
        </w:rPr>
      </w:pPr>
      <w:r>
        <w:rPr>
          <w:rStyle w:val="CRDeleted"/>
          <w:noProof/>
        </w:rPr>
        <w:t>3.2.3.1.</w:t>
      </w:r>
      <w:r>
        <w:rPr>
          <w:noProof/>
        </w:rPr>
        <w:tab/>
      </w:r>
      <w:r>
        <w:rPr>
          <w:rStyle w:val="CRDeleted"/>
          <w:noProof/>
        </w:rPr>
        <w:t>Opțiuni jurisdicționale</w:t>
      </w:r>
    </w:p>
    <w:p>
      <w:pPr>
        <w:pStyle w:val="ManualHeading4"/>
        <w:rPr>
          <w:rStyle w:val="CRDeleted"/>
          <w:noProof/>
        </w:rPr>
      </w:pPr>
      <w:r>
        <w:rPr>
          <w:rStyle w:val="CRDeleted"/>
          <w:noProof/>
        </w:rPr>
        <w:t>(a)</w:t>
      </w:r>
      <w:r>
        <w:rPr>
          <w:noProof/>
        </w:rPr>
        <w:tab/>
      </w:r>
      <w:r>
        <w:rPr>
          <w:rStyle w:val="CRDeleted"/>
          <w:noProof/>
        </w:rPr>
        <w:t>Opțiuni</w:t>
      </w:r>
    </w:p>
    <w:tbl>
      <w:tblPr>
        <w:tblW w:w="0" w:type="auto"/>
        <w:tblLayout w:type="fixed"/>
        <w:tblLook w:val="0000" w:firstRow="0" w:lastRow="0" w:firstColumn="0" w:lastColumn="0" w:noHBand="0" w:noVBand="0"/>
      </w:tblPr>
      <w:tblGrid>
        <w:gridCol w:w="2322"/>
        <w:gridCol w:w="2042"/>
        <w:gridCol w:w="1208"/>
        <w:gridCol w:w="1207"/>
        <w:gridCol w:w="557"/>
        <w:gridCol w:w="1950"/>
      </w:tblGrid>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Opțiuni anuale</w:t>
            </w: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Opțiunea pentru câștigul agregat din active</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Opțiunea pentru scăderea nesemnificativă a impozitelor acoperite</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Opțiunea de a nu aplica excluderea profitului pentru activitățile cu substanță economică</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677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Cheltuieli negative cu impozitul reportate</w:t>
            </w:r>
          </w:p>
        </w:tc>
        <w:tc>
          <w:tcPr>
            <w:tcW w:w="2507"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Opțiuni pentru perioade de cinci ani</w:t>
            </w:r>
          </w:p>
        </w:tc>
        <w:tc>
          <w:tcPr>
            <w:tcW w:w="29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Anul opțiunii</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Anul revocării</w:t>
            </w: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Opțiunea pentru includerea investițiilor de capital</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Opțiunea pentru compensare pe bază de acțiuni</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Opțiunea pe baza principiului realizării</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Opțiunea pentru tranzacții intra-grup</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4364"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Opțiunea de a nu aloca impozite amânate transfrontaliere</w:t>
            </w: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Alte opțiuni</w:t>
            </w:r>
          </w:p>
        </w:tc>
        <w:tc>
          <w:tcPr>
            <w:tcW w:w="325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Anul opțiunii</w:t>
            </w:r>
          </w:p>
        </w:tc>
        <w:tc>
          <w:tcPr>
            <w:tcW w:w="3714"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Anul revocării</w:t>
            </w:r>
          </w:p>
        </w:tc>
      </w:tr>
      <w:tr>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Opțiunea pierderii calificate</w:t>
            </w:r>
          </w:p>
        </w:tc>
        <w:tc>
          <w:tcPr>
            <w:tcW w:w="204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5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Cerințe de informare referitoare la opțiunile jurisdicționale</w:t>
      </w:r>
    </w:p>
    <w:tbl>
      <w:tblPr>
        <w:tblW w:w="0" w:type="auto"/>
        <w:tblLayout w:type="fixed"/>
        <w:tblLook w:val="0000" w:firstRow="0" w:lastRow="0" w:firstColumn="0" w:lastColumn="0" w:noHBand="0" w:noVBand="0"/>
      </w:tblPr>
      <w:tblGrid>
        <w:gridCol w:w="7429"/>
        <w:gridCol w:w="1857"/>
      </w:tblGrid>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Includerea câștigului sau pierderii de capital aferente unei opțiuni pentru includerea unei investiții de capital</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Soldul investiției proprietarului într-o participație calificată în capitalurile proprii din anii anteriori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Creșteri ale investiției proprietarului într-o participație calificată în capitalurile proprii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Reduceri ale investiției proprietarului într-o participație calificată în capitalurile proprii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r>
        <w:tc>
          <w:tcPr>
            <w:tcW w:w="74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5.</w:t>
            </w:r>
            <w:r>
              <w:rPr>
                <w:noProof/>
              </w:rPr>
              <w:tab/>
            </w:r>
            <w:r>
              <w:rPr>
                <w:rStyle w:val="CRDeleted"/>
                <w:noProof/>
              </w:rPr>
              <w:t>Soldul restant al investiției proprietarului într-o participație calificată în capitalurile proprii</w:t>
            </w:r>
          </w:p>
        </w:tc>
        <w:tc>
          <w:tcPr>
            <w:tcW w:w="18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[D]=[A]+[B]-[C]</w:t>
            </w:r>
          </w:p>
        </w:tc>
      </w:tr>
    </w:tbl>
    <w:p>
      <w:pPr>
        <w:rPr>
          <w:rStyle w:val="CRDeleted"/>
          <w:noProof/>
        </w:rPr>
      </w:pPr>
    </w:p>
    <w:p>
      <w:pPr>
        <w:pStyle w:val="ManualHeading4"/>
        <w:rPr>
          <w:rStyle w:val="CRDeleted"/>
          <w:noProof/>
        </w:rPr>
      </w:pPr>
      <w:r>
        <w:rPr>
          <w:rStyle w:val="CRDeleted"/>
          <w:noProof/>
        </w:rPr>
        <w:t>3.2.3.2.</w:t>
      </w:r>
      <w:r>
        <w:rPr>
          <w:noProof/>
        </w:rPr>
        <w:tab/>
      </w:r>
      <w:r>
        <w:rPr>
          <w:rStyle w:val="CRDeleted"/>
          <w:noProof/>
        </w:rPr>
        <w:t>Opțiunea pentru impozitul pe distribuirea preconizată</w:t>
      </w:r>
    </w:p>
    <w:tbl>
      <w:tblPr>
        <w:tblW w:w="0" w:type="auto"/>
        <w:tblInd w:w="2600" w:type="dxa"/>
        <w:tblLayout w:type="fixed"/>
        <w:tblLook w:val="0000" w:firstRow="0" w:lastRow="0" w:firstColumn="0" w:lastColumn="0" w:noHBand="0" w:noVBand="0"/>
      </w:tblPr>
      <w:tblGrid>
        <w:gridCol w:w="3555"/>
        <w:gridCol w:w="531"/>
      </w:tblGrid>
      <w:tr>
        <w:tc>
          <w:tcPr>
            <w:tcW w:w="355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Opțiunea pentru impozitul pe distribuirea preconizată</w:t>
            </w:r>
          </w:p>
        </w:tc>
        <w:tc>
          <w:tcPr>
            <w:tcW w:w="53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t>
            </w:r>
          </w:p>
        </w:tc>
      </w:tr>
    </w:tbl>
    <w:p>
      <w:pPr>
        <w:rPr>
          <w:rStyle w:val="CRDeleted"/>
          <w:noProof/>
        </w:rPr>
      </w:pPr>
    </w:p>
    <w:p>
      <w:pPr>
        <w:pStyle w:val="ManualHeading4"/>
        <w:rPr>
          <w:rStyle w:val="CRDeleted"/>
          <w:noProof/>
        </w:rPr>
      </w:pPr>
      <w:r>
        <w:rPr>
          <w:rStyle w:val="CRDeleted"/>
          <w:noProof/>
        </w:rPr>
        <w:t>(a)</w:t>
      </w:r>
      <w:r>
        <w:rPr>
          <w:noProof/>
        </w:rPr>
        <w:tab/>
      </w:r>
      <w:r>
        <w:rPr>
          <w:rStyle w:val="CRDeleted"/>
          <w:noProof/>
        </w:rPr>
        <w:t>Mecanismul de recuperare</w:t>
      </w:r>
    </w:p>
    <w:tbl>
      <w:tblPr>
        <w:tblW w:w="0" w:type="auto"/>
        <w:tblLayout w:type="fixed"/>
        <w:tblLook w:val="0000" w:firstRow="0" w:lastRow="0" w:firstColumn="0" w:lastColumn="0" w:noHBand="0" w:noVBand="0"/>
      </w:tblPr>
      <w:tblGrid>
        <w:gridCol w:w="1486"/>
        <w:gridCol w:w="1486"/>
        <w:gridCol w:w="928"/>
        <w:gridCol w:w="929"/>
        <w:gridCol w:w="928"/>
        <w:gridCol w:w="1393"/>
        <w:gridCol w:w="2136"/>
      </w:tblGrid>
      <w:tr>
        <w:tc>
          <w:tcPr>
            <w:tcW w:w="148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An fiscal</w:t>
            </w:r>
          </w:p>
        </w:tc>
        <w:tc>
          <w:tcPr>
            <w:tcW w:w="148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Valoarea impozitului pe distribuirea preconizată</w:t>
            </w:r>
          </w:p>
        </w:tc>
        <w:tc>
          <w:tcPr>
            <w:tcW w:w="4178" w:type="dxa"/>
            <w:gridSpan w:val="4"/>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Impozitul pe distribuirea preconizată plătit sau utilizat</w:t>
            </w:r>
          </w:p>
        </w:tc>
        <w:tc>
          <w:tcPr>
            <w:tcW w:w="2136" w:type="dxa"/>
            <w:vMerge w:val="restart"/>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Soldul restant al unui cont de recuperare a impozitului pe distribuirea preconizată</w:t>
            </w:r>
          </w:p>
        </w:tc>
      </w:tr>
      <w:tr>
        <w:tc>
          <w:tcPr>
            <w:tcW w:w="148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486"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Al 3-lea an fiscal precedent</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Al 2-lea an fiscal precedent</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Primul an fiscal precedent</w:t>
            </w:r>
          </w:p>
        </w:tc>
        <w:tc>
          <w:tcPr>
            <w:tcW w:w="13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Anul fiscal de raportare</w:t>
            </w:r>
          </w:p>
        </w:tc>
        <w:tc>
          <w:tcPr>
            <w:tcW w:w="2136" w:type="dxa"/>
            <w:vMerge/>
            <w:tcBorders>
              <w:top w:val="single" w:sz="2" w:space="0" w:color="auto"/>
              <w:left w:val="single" w:sz="2" w:space="0" w:color="auto"/>
              <w:bottom w:val="single" w:sz="2" w:space="0" w:color="auto"/>
              <w:right w:val="single" w:sz="2" w:space="0" w:color="auto"/>
            </w:tcBorders>
          </w:tcPr>
          <w:p>
            <w:pPr>
              <w:pStyle w:val="NormalCentered"/>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Al 4-lea an fiscal precedent</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Al 3-lea an fiscal precedent</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Al 2-lea an fiscal precedent</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Primul an fiscal precedent</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Anul fiscal de raportare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c>
          <w:tcPr>
            <w:tcW w:w="213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Nu se aplică</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Recalcularea cotei efective de impozitare și a impozitului suplimentar</w:t>
      </w:r>
    </w:p>
    <w:tbl>
      <w:tblPr>
        <w:tblW w:w="0" w:type="auto"/>
        <w:tblLayout w:type="fixed"/>
        <w:tblLook w:val="0000" w:firstRow="0" w:lastRow="0" w:firstColumn="0" w:lastColumn="0" w:noHBand="0" w:noVBand="0"/>
      </w:tblPr>
      <w:tblGrid>
        <w:gridCol w:w="4457"/>
        <w:gridCol w:w="2322"/>
        <w:gridCol w:w="2507"/>
      </w:tblGrid>
      <w:tr>
        <w:tc>
          <w:tcPr>
            <w:tcW w:w="44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Reducerea impozitelor acoperite ajustate pentru un an fiscal anterior</w:t>
            </w:r>
          </w:p>
        </w:tc>
        <w:tc>
          <w:tcPr>
            <w:tcW w:w="23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Impozit suplimentar incremental</w:t>
            </w:r>
          </w:p>
        </w:tc>
        <w:tc>
          <w:tcPr>
            <w:tcW w:w="25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Raportul de recuperare a cedării</w:t>
            </w:r>
          </w:p>
        </w:tc>
      </w:tr>
      <w:tr>
        <w:tc>
          <w:tcPr>
            <w:tcW w:w="445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23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25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r>
    </w:tbl>
    <w:p>
      <w:pPr>
        <w:rPr>
          <w:rStyle w:val="CRDeleted"/>
          <w:noProof/>
        </w:rPr>
      </w:pPr>
    </w:p>
    <w:p>
      <w:pPr>
        <w:pStyle w:val="ManualHeading4"/>
        <w:rPr>
          <w:rStyle w:val="CRDeleted"/>
          <w:noProof/>
        </w:rPr>
      </w:pPr>
      <w:r>
        <w:rPr>
          <w:rStyle w:val="CRDeleted"/>
          <w:noProof/>
        </w:rPr>
        <w:lastRenderedPageBreak/>
        <w:t>3.2.4.</w:t>
      </w:r>
      <w:r>
        <w:rPr>
          <w:noProof/>
        </w:rPr>
        <w:tab/>
      </w:r>
      <w:r>
        <w:rPr>
          <w:rStyle w:val="CRDeleted"/>
          <w:noProof/>
        </w:rPr>
        <w:t>Calculele aferente entității constitutive</w:t>
      </w:r>
    </w:p>
    <w:p>
      <w:pPr>
        <w:pStyle w:val="ManualHeading4"/>
        <w:rPr>
          <w:rStyle w:val="CRDeleted"/>
          <w:noProof/>
        </w:rPr>
      </w:pPr>
      <w:r>
        <w:rPr>
          <w:rStyle w:val="CRDeleted"/>
          <w:noProof/>
        </w:rPr>
        <w:t>(a)</w:t>
      </w:r>
      <w:r>
        <w:rPr>
          <w:noProof/>
        </w:rPr>
        <w:tab/>
      </w:r>
      <w:r>
        <w:rPr>
          <w:rStyle w:val="CRDeleted"/>
          <w:noProof/>
        </w:rPr>
        <w:t>Opțiunea pentru cadrul simplificat tranzitoriu de raportare jurisdicțională</w:t>
      </w:r>
    </w:p>
    <w:tbl>
      <w:tblPr>
        <w:tblW w:w="0" w:type="auto"/>
        <w:tblLayout w:type="fixed"/>
        <w:tblLook w:val="0000" w:firstRow="0" w:lastRow="0" w:firstColumn="0" w:lastColumn="0" w:noHBand="0" w:noVBand="0"/>
      </w:tblPr>
      <w:tblGrid>
        <w:gridCol w:w="8172"/>
        <w:gridCol w:w="1114"/>
      </w:tblGrid>
      <w:tr>
        <w:tc>
          <w:tcPr>
            <w:tcW w:w="817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Grupul de întreprinderi multinaționale optează pentru aplicarea cadrului simplificat tranzitoriu de raportare jurisdicțională?</w:t>
            </w: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Raportarea agregată pentru grupurile consolidate în scopuri fiscale</w:t>
      </w:r>
    </w:p>
    <w:tbl>
      <w:tblPr>
        <w:tblW w:w="0" w:type="auto"/>
        <w:tblInd w:w="1486" w:type="dxa"/>
        <w:tblLayout w:type="fixed"/>
        <w:tblLook w:val="0000" w:firstRow="0" w:lastRow="0" w:firstColumn="0" w:lastColumn="0" w:noHBand="0" w:noVBand="0"/>
      </w:tblPr>
      <w:tblGrid>
        <w:gridCol w:w="3284"/>
        <w:gridCol w:w="3030"/>
      </w:tblGrid>
      <w:tr>
        <w:tc>
          <w:tcPr>
            <w:tcW w:w="328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Grup consolidat în scopuri fiscale (NIF)</w:t>
            </w:r>
          </w:p>
        </w:tc>
        <w:tc>
          <w:tcPr>
            <w:tcW w:w="303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Entități consolidate (NIF)</w:t>
            </w:r>
          </w:p>
        </w:tc>
      </w:tr>
      <w:tr>
        <w:tc>
          <w:tcPr>
            <w:tcW w:w="328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03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3.2.4.1.</w:t>
      </w:r>
      <w:r>
        <w:rPr>
          <w:noProof/>
        </w:rPr>
        <w:tab/>
      </w:r>
      <w:r>
        <w:rPr>
          <w:rStyle w:val="CRDeleted"/>
          <w:noProof/>
        </w:rPr>
        <w:t>Profit calificat sau pierdere calificată</w:t>
      </w:r>
    </w:p>
    <w:p>
      <w:pPr>
        <w:pStyle w:val="ManualHeading4"/>
        <w:rPr>
          <w:rStyle w:val="CRDeleted"/>
          <w:noProof/>
        </w:rPr>
      </w:pPr>
      <w:r>
        <w:rPr>
          <w:rStyle w:val="CRDeleted"/>
          <w:noProof/>
        </w:rPr>
        <w:t>(a)</w:t>
      </w:r>
      <w:r>
        <w:rPr>
          <w:noProof/>
        </w:rPr>
        <w:tab/>
      </w:r>
      <w:r>
        <w:rPr>
          <w:rStyle w:val="CRDeleted"/>
          <w:noProof/>
        </w:rPr>
        <w:t>Ajustări ale profitului net sau ale pierderii nete din contabilitatea financiară</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Entitate constitutivă sau membru al grupului de asocieri în participație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Valoarea profitului net sau a pierderii nete din contabilitatea financiară după alocări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Ajustări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Creșteri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Reduceri</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Cheltuieli nete cu impozitele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Dividende excluse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Câștig sau pierdere de capital exclus(ă)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Câștig sau pierdere inclus(ă) în temeiul metodei reevaluării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Câștig sau pierdere din cedarea activelor și pasivelor excluse ca urmare a reorganizării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Câștiguri sau pierderi din diferențe de curs valutar</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Cheltuieli nedeductibile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Erori dintr-o perioadă precedentă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Modificări ale principiilor contabile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Cheltuieli cu pensiile datorate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Ștergerea datoriilor</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Compensare pe bază de acțiuni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Ajustări efectuate conform principiului valorii de piață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(n)</w:t>
            </w:r>
            <w:r>
              <w:rPr>
                <w:noProof/>
              </w:rPr>
              <w:tab/>
            </w:r>
            <w:r>
              <w:rPr>
                <w:rStyle w:val="CRDeleted"/>
                <w:noProof/>
              </w:rPr>
              <w:t>Credit fiscal rambursabil calificat sau credite fiscale transferabile tranzacționabile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Opțiunea pentru câștiguri și pierderi pe baza principiului realizării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Opțiunea pentru câștigul ajustat din active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Cheltuieli aferente acordului de finanțare intra-grup</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w:t>
            </w:r>
            <w:r>
              <w:rPr>
                <w:noProof/>
              </w:rPr>
              <w:tab/>
            </w:r>
            <w:r>
              <w:rPr>
                <w:rStyle w:val="CRDeleted"/>
                <w:noProof/>
              </w:rPr>
              <w:t>Opțiunea pentru tranzacții intra-grup în aceeași jurisdicție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w:t>
            </w:r>
            <w:r>
              <w:rPr>
                <w:noProof/>
              </w:rPr>
              <w:tab/>
            </w:r>
            <w:r>
              <w:rPr>
                <w:rStyle w:val="CRDeleted"/>
                <w:noProof/>
              </w:rPr>
              <w:t>Impozitele asigurătorului percepute de la deținătorii de polițe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w:t>
            </w:r>
            <w:r>
              <w:rPr>
                <w:noProof/>
              </w:rPr>
              <w:tab/>
            </w:r>
            <w:r>
              <w:rPr>
                <w:rStyle w:val="CRDeleted"/>
                <w:noProof/>
              </w:rPr>
              <w:t>Creșterea/reducerea capitalurilor proprii atribuită distribuirilor de fonduri proprii de nivel 1 suplimentare și de fonduri proprii de nivel 1 limitate plătite/de plătit sau primite/de primit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(u)</w:t>
            </w:r>
            <w:r>
              <w:rPr>
                <w:noProof/>
              </w:rPr>
              <w:tab/>
            </w:r>
            <w:r>
              <w:rPr>
                <w:rStyle w:val="CRDeleted"/>
                <w:noProof/>
              </w:rPr>
              <w:t>Entități constitutive care se alătură unui grup de întreprinderi multinaționale și entități constitutive care părăsesc un grup de întreprinderi multinaționale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(v)</w:t>
            </w:r>
            <w:r>
              <w:rPr>
                <w:noProof/>
              </w:rPr>
              <w:tab/>
            </w:r>
            <w:r>
              <w:rPr>
                <w:rStyle w:val="CRDeleted"/>
                <w:noProof/>
              </w:rPr>
              <w:t>Reducerea profitului calificat al societății-mamă finale care este o entitate transparentă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(w)</w:t>
            </w:r>
            <w:r>
              <w:rPr>
                <w:noProof/>
              </w:rPr>
              <w:tab/>
            </w:r>
            <w:r>
              <w:rPr>
                <w:rStyle w:val="CRDeleted"/>
                <w:noProof/>
              </w:rPr>
              <w:t>Reducerea profitului calificat al societății-mamă finale care este supusă unui regim privind dividendele deductibile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(x)</w:t>
            </w:r>
            <w:r>
              <w:rPr>
                <w:noProof/>
              </w:rPr>
              <w:tab/>
            </w:r>
            <w:r>
              <w:rPr>
                <w:rStyle w:val="CRDeleted"/>
                <w:noProof/>
              </w:rPr>
              <w:t>Opțiunea pentru o metodă de distribuire impozabilă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(y)</w:t>
            </w:r>
            <w:r>
              <w:rPr>
                <w:noProof/>
              </w:rPr>
              <w:tab/>
            </w:r>
            <w:r>
              <w:rPr>
                <w:rStyle w:val="CRDeleted"/>
                <w:noProof/>
              </w:rPr>
              <w:t>Profitul obținut din transportul maritim internațional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(z)</w:t>
            </w:r>
            <w:r>
              <w:rPr>
                <w:noProof/>
              </w:rPr>
              <w:tab/>
            </w:r>
            <w:r>
              <w:rPr>
                <w:rStyle w:val="CRDeleted"/>
                <w:noProof/>
              </w:rPr>
              <w:t>Tranzacții între entitățile constitutive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Profitul calificat sau pierderea calificată a entității constitutive sau a membrului grupului de asocieri în participație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Alocarea transfrontalieră a profitului sau a pierderii între o entitate principală, un sediu permanent și o entitate transparentă</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 xml:space="preserve">Entitate constitutivă sau membri ai grupurilor de asocieri în </w:t>
            </w:r>
            <w:r>
              <w:rPr>
                <w:rStyle w:val="CRDeleted"/>
                <w:noProof/>
              </w:rPr>
              <w:lastRenderedPageBreak/>
              <w:t>participație situați în această jurisdicție sau entitate constitutivă apatridă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2.</w:t>
            </w:r>
            <w:r>
              <w:rPr>
                <w:noProof/>
              </w:rPr>
              <w:tab/>
            </w:r>
            <w:r>
              <w:rPr>
                <w:rStyle w:val="CRDeleted"/>
                <w:noProof/>
              </w:rPr>
              <w:t xml:space="preserve">Profit net sau pierdere netă din contabilitatea financiară înainte </w:t>
            </w:r>
            <w:r>
              <w:rPr>
                <w:rStyle w:val="CRDeleted"/>
                <w:noProof/>
              </w:rPr>
              <w:lastRenderedPageBreak/>
              <w:t>de ajustare</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3.</w:t>
            </w:r>
            <w:r>
              <w:rPr>
                <w:noProof/>
              </w:rPr>
              <w:tab/>
            </w:r>
            <w:r>
              <w:rPr>
                <w:rStyle w:val="CRDeleted"/>
                <w:noProof/>
              </w:rPr>
              <w:t>Baza ajustării</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 xml:space="preserve">Altă entitate constitutivă sau alt membru al grupului </w:t>
            </w:r>
            <w:r>
              <w:rPr>
                <w:rStyle w:val="CRDeleted"/>
                <w:noProof/>
              </w:rPr>
              <w:lastRenderedPageBreak/>
              <w:t>de asocieri în participație (NIF)</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5.</w:t>
            </w:r>
            <w:r>
              <w:rPr>
                <w:noProof/>
              </w:rPr>
              <w:tab/>
            </w:r>
            <w:r>
              <w:rPr>
                <w:rStyle w:val="CRDeleted"/>
                <w:noProof/>
              </w:rPr>
              <w:t xml:space="preserve">Jurisdicția unei alte entități constitutive sau a unui alt membru al </w:t>
            </w:r>
            <w:r>
              <w:rPr>
                <w:rStyle w:val="CRDeleted"/>
                <w:noProof/>
              </w:rPr>
              <w:lastRenderedPageBreak/>
              <w:t>grupului de asocieri în participație (ISO)</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lastRenderedPageBreak/>
              <w:t>6.</w:t>
            </w:r>
            <w:r>
              <w:rPr>
                <w:noProof/>
              </w:rPr>
              <w:tab/>
            </w:r>
            <w:r>
              <w:rPr>
                <w:rStyle w:val="CRDeleted"/>
                <w:noProof/>
              </w:rPr>
              <w:t>Creșteri pentru această entitate constitutivă</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Reduceri pentru această entitate constitutivă</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 xml:space="preserve">Profit net sau pierdere netă din contabilitatea financiară după </w:t>
            </w:r>
            <w:r>
              <w:rPr>
                <w:rStyle w:val="CRDeleted"/>
                <w:noProof/>
              </w:rPr>
              <w:lastRenderedPageBreak/>
              <w:t>ajustare</w:t>
            </w:r>
          </w:p>
        </w:tc>
      </w:tr>
      <w:tr>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Ajustări transfrontaliere</w:t>
      </w:r>
    </w:p>
    <w:tbl>
      <w:tblPr>
        <w:tblW w:w="0" w:type="auto"/>
        <w:tblLayout w:type="fixed"/>
        <w:tblLook w:val="0000" w:firstRow="0" w:lastRow="0" w:firstColumn="0" w:lastColumn="0" w:noHBand="0" w:noVBand="0"/>
      </w:tblPr>
      <w:tblGrid>
        <w:gridCol w:w="1764"/>
        <w:gridCol w:w="1115"/>
        <w:gridCol w:w="1393"/>
        <w:gridCol w:w="1764"/>
        <w:gridCol w:w="1579"/>
        <w:gridCol w:w="1671"/>
      </w:tblGrid>
      <w:tr>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Entitate constitutivă sau membru al grupului de asocieri în participație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Baza ajustării</w:t>
            </w:r>
          </w:p>
        </w:tc>
        <w:tc>
          <w:tcPr>
            <w:tcW w:w="139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Altă entitate constitutivă sau alt membru al grupului de asocieri în participație (NIF)</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Jurisdicția unei alte entități constitutive (ISO)</w:t>
            </w:r>
          </w:p>
        </w:tc>
        <w:tc>
          <w:tcPr>
            <w:tcW w:w="157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Creșteri pentru această entitate constitutivă</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Reduceri pentru această entitate constitutivă</w:t>
            </w:r>
          </w:p>
        </w:tc>
      </w:tr>
      <w:tr>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(d)</w:t>
      </w:r>
      <w:r>
        <w:rPr>
          <w:noProof/>
        </w:rPr>
        <w:tab/>
      </w:r>
      <w:r>
        <w:rPr>
          <w:rStyle w:val="CRDeleted"/>
          <w:noProof/>
        </w:rPr>
        <w:t>Ajustări ale profitului calificat al societății-mamă finale care este o entitate transparentă sau este supusă unui regim privind dividendele deductibile</w:t>
      </w:r>
    </w:p>
    <w:tbl>
      <w:tblPr>
        <w:tblW w:w="0" w:type="auto"/>
        <w:tblLayout w:type="fixed"/>
        <w:tblLook w:val="0000" w:firstRow="0" w:lastRow="0" w:firstColumn="0" w:lastColumn="0" w:noHBand="0" w:noVBand="0"/>
      </w:tblPr>
      <w:tblGrid>
        <w:gridCol w:w="2229"/>
        <w:gridCol w:w="1114"/>
        <w:gridCol w:w="2321"/>
        <w:gridCol w:w="1858"/>
        <w:gridCol w:w="1764"/>
      </w:tblGrid>
      <w:tr>
        <w:tc>
          <w:tcPr>
            <w:tcW w:w="22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Entitate constitutivă (sau membru al grupului de asocieri în participație) situată în această jurisdicție (NIF)</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Baza reducerii</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Identificarea deținătorilor de participații în capitalurile proprii sau a beneficiarilor de dividende</w:t>
            </w:r>
          </w:p>
        </w:tc>
        <w:tc>
          <w:tcPr>
            <w:tcW w:w="185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Participații în capitalurile proprii deținute direct (în procente)</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Reduceri pentru această entitate constitutivă</w:t>
            </w:r>
          </w:p>
        </w:tc>
      </w:tr>
      <w:tr>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32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8"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3.2.4.2.</w:t>
      </w:r>
      <w:r>
        <w:rPr>
          <w:noProof/>
        </w:rPr>
        <w:tab/>
      </w:r>
      <w:r>
        <w:rPr>
          <w:rStyle w:val="CRDeleted"/>
          <w:noProof/>
        </w:rPr>
        <w:t>Impozite acoperite ajustate</w:t>
      </w:r>
    </w:p>
    <w:p>
      <w:pPr>
        <w:pStyle w:val="ManualHeading4"/>
        <w:rPr>
          <w:rStyle w:val="CRDeleted"/>
          <w:noProof/>
        </w:rPr>
      </w:pPr>
      <w:r>
        <w:rPr>
          <w:rStyle w:val="CRDeleted"/>
          <w:noProof/>
        </w:rPr>
        <w:t>(a)</w:t>
      </w:r>
      <w:r>
        <w:rPr>
          <w:noProof/>
        </w:rPr>
        <w:tab/>
      </w:r>
      <w:r>
        <w:rPr>
          <w:rStyle w:val="CRDeleted"/>
          <w:noProof/>
        </w:rPr>
        <w:t>Ajustări ale cheltuielilor curente cu impozitul în conturile financiare</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Entitate constitutivă sau membru al grupului de asocieri în participație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Cheltuieli curente cu impozitul aferente impozitelor acoperite după alocări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Ajustări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Creșteri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Reduceri</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(a)</w:t>
            </w:r>
            <w:r>
              <w:rPr>
                <w:noProof/>
              </w:rPr>
              <w:tab/>
            </w:r>
            <w:r>
              <w:rPr>
                <w:rStyle w:val="CRDeleted"/>
                <w:noProof/>
              </w:rPr>
              <w:t>Impozitele acoperite înregistrate în contabilitate drept cheltuială pentru calculul profitului înainte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Impozitele acoperite pentru o situație fiscală incertă, înregistrate ca o reducere a impozitelor acoperite în anul precedent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Credit fiscal rambursabil calificat sau credite fiscale transferabile tranzacționabile înregistrate ca o reducere a cheltuielilor curente cu impozitul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Beneficiile fiscale calificate transparente aferente participațiilor calificate în capitalurile proprii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Cheltuielile curente cu impozitul aferente profitului exclus din profitul calificat sau din pierderea calificată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Creditul fiscal rambursabil necalificat, creditul fiscal transferabil netranzacționabil sau alte credite fiscale care nu au fost înregistrate ca o reducere a cheltuielilor curente cu impozitul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Impozitele acoperite rambursate sau creditate (cu excepția oricărui credit fiscal rambursabil calificat sau a oricăror credite fiscale transferabile tranzacționabile) care nu au fost tratate ca o ajustare a cheltuielilor curente cu impozitul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Cheltuielile curente cu impozitul aferente unei situații fiscale incerte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Cheltuielile curente cu impozitul care nu se preconizează că vor fi plătite în termen de trei ani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Ajustări ulterioare declarării</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Impozitele acoperite aferente câștigului net din active sau pierderii nete din active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Reducerea impozitelor acoperite ale societății-mamă finale care este o entitate transparentă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Impozitele acoperite pentru profitul calificat al societății-mamă finale care este redus în cadrul unui regim privind dividendele deductibile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Impozitul pe distribuirea preconizată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Opțiunea pentru o metodă de distribuire impozabilă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Valoarea totală a ajustării impozitului amânat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(q)</w:t>
            </w:r>
            <w:r>
              <w:rPr>
                <w:noProof/>
              </w:rPr>
              <w:tab/>
            </w:r>
            <w:r>
              <w:rPr>
                <w:rStyle w:val="CRDeleted"/>
                <w:noProof/>
              </w:rPr>
              <w:t xml:space="preserve">Creșterea sau reducerea impozitelor acoperite înregistrate în capitalurile proprii sau în alte elemente ale rezultatului global în legătură cu sumele incluse în profitul calificat sau pierderea calificată care vor face obiectul impozitării în temeiul normelor </w:t>
            </w:r>
            <w:r>
              <w:rPr>
                <w:rStyle w:val="CRDeleted"/>
                <w:noProof/>
              </w:rPr>
              <w:lastRenderedPageBreak/>
              <w:t>fiscale locale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Impozite acoperite ajustate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Alocarea încrucișată a impozitelor</w:t>
      </w:r>
    </w:p>
    <w:tbl>
      <w:tblPr>
        <w:tblW w:w="0" w:type="auto"/>
        <w:tblLayout w:type="fixed"/>
        <w:tblLook w:val="0000" w:firstRow="0" w:lastRow="0" w:firstColumn="0" w:lastColumn="0" w:noHBand="0" w:noVBand="0"/>
      </w:tblPr>
      <w:tblGrid>
        <w:gridCol w:w="1207"/>
        <w:gridCol w:w="1115"/>
        <w:gridCol w:w="1207"/>
        <w:gridCol w:w="1114"/>
        <w:gridCol w:w="1207"/>
        <w:gridCol w:w="1115"/>
        <w:gridCol w:w="1207"/>
        <w:gridCol w:w="1114"/>
      </w:tblGrid>
      <w:tr>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Entitate constitutivă situată în această jurisdicție sau entitate constitutivă apatridă (sau membru al grupului de asocieri în participație) (NIF)</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Impozitele acoperite ale entității constitutive (sau ale membrului grupului de asocieri în participație) înainte de ajustare</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Baza ajustării</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Altă entitate constitutivă (sau alt membru al grupului de asocieri în participație) (NIF)</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Jurisdicția unei alte entități constitutive (sau a unui alt membru al grupului de asocieri în participație) (ISO)</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Creșteri pentru această entitate constitutivă</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Reduceri pentru această entitate constitutivă</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Impozitele acoperite ale entității constitutive (sau ale membrului grupului de asocieri în participație) după ajustare</w:t>
            </w:r>
          </w:p>
        </w:tc>
      </w:tr>
      <w:tr>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20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(c)</w:t>
      </w:r>
      <w:r>
        <w:rPr>
          <w:noProof/>
        </w:rPr>
        <w:tab/>
      </w:r>
      <w:r>
        <w:rPr>
          <w:rStyle w:val="CRDeleted"/>
          <w:noProof/>
        </w:rPr>
        <w:t>Cheltuieli cu impozitul amânat</w:t>
      </w:r>
    </w:p>
    <w:tbl>
      <w:tblPr>
        <w:tblW w:w="0" w:type="auto"/>
        <w:tblLayout w:type="fixed"/>
        <w:tblLook w:val="0000" w:firstRow="0" w:lastRow="0" w:firstColumn="0" w:lastColumn="0" w:noHBand="0" w:noVBand="0"/>
      </w:tblPr>
      <w:tblGrid>
        <w:gridCol w:w="6500"/>
        <w:gridCol w:w="1300"/>
        <w:gridCol w:w="1486"/>
      </w:tblGrid>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Entitate constitutivă sau membru al grupului de asocieri în participație (NIF)</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 xml:space="preserve">Valoarea cheltuielilor cu impozitul amânat în sensul normelor </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Ajustări la cheltuielile cu impozitul amânat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Creșteri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Reduceri</w:t>
            </w: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Cheltuieli cu impozitul amânat aferente elementelor excluse din profitul calificat sau din pierderea calificată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Cheltuieli cu impozitul amânat aferente datoriilor înregistrate neacceptate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Cheltuieli cu impozitul amânat aferente datoriilor înregistrate nerecuperate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Ajustarea de evaluare sau ajustarea de recunoaștere contabilă aferentă unei creanțe privind impozitul amânat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(e)</w:t>
            </w:r>
            <w:r>
              <w:rPr>
                <w:noProof/>
              </w:rPr>
              <w:tab/>
            </w:r>
            <w:r>
              <w:rPr>
                <w:rStyle w:val="CRDeleted"/>
                <w:noProof/>
              </w:rPr>
              <w:t>Cheltuieli cu impozitul amânat care rezultă dintr-o reevaluare legată de modificări ale cotei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Cheltuieli cu impozitul amânat legate de generarea și utilizarea creditelor fiscale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Creanță reportată privind impozitul amânat aferentă pierderii substitutive sau creanță reportată privind impozitul amânat aferentă pierderii substitutive preconizate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Datoriile înregistrate neacceptate sau datoriile înregistrate nerecuperate plătite în cursul anului fiscal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Recuperarea datoriei privind impozitul amânat plătite în cursul anului fiscal</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Recunoașterea unei creanțe privind impozitul amânat asociate unei pierderi, neinclusă în situațiile financiare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Ajustarea cheltuielilor cu impozitul amânat ca urmare a unei reduceri a cotei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(l)</w:t>
            </w:r>
            <w:r>
              <w:rPr>
                <w:noProof/>
              </w:rPr>
              <w:tab/>
            </w:r>
            <w:r>
              <w:rPr>
                <w:rStyle w:val="CRDeleted"/>
                <w:noProof/>
              </w:rPr>
              <w:t>Ajustarea cheltuielilor cu impozitul amânat ca urmare a unei creșteri a cotei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w:t>
            </w:r>
            <w:r>
              <w:rPr>
                <w:noProof/>
              </w:rPr>
              <w:tab/>
            </w:r>
            <w:r>
              <w:rPr>
                <w:rStyle w:val="CRDeleted"/>
                <w:noProof/>
              </w:rPr>
              <w:t>Entități constitutive care se alătură unui grup de întreprinderi multinaționale și entități constitutive care părăsesc un grup de întreprinderi multinaționale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(n)</w:t>
            </w:r>
            <w:r>
              <w:rPr>
                <w:noProof/>
              </w:rPr>
              <w:tab/>
            </w:r>
            <w:r>
              <w:rPr>
                <w:rStyle w:val="CRDeleted"/>
                <w:noProof/>
              </w:rPr>
              <w:t>Cheltuieli cu impozitul amânat aferente societății-mamă finale care este o entitate transparentă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(o)</w:t>
            </w:r>
            <w:r>
              <w:rPr>
                <w:noProof/>
              </w:rPr>
              <w:tab/>
            </w:r>
            <w:r>
              <w:rPr>
                <w:rStyle w:val="CRDeleted"/>
                <w:noProof/>
              </w:rPr>
              <w:t>Cheltuieli cu impozitul amânat aferente societății-mamă finale care este supusă unui regim privind dividendele deductibile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w:t>
            </w:r>
            <w:r>
              <w:rPr>
                <w:noProof/>
              </w:rPr>
              <w:tab/>
            </w:r>
            <w:r>
              <w:rPr>
                <w:rStyle w:val="CRDeleted"/>
                <w:noProof/>
              </w:rPr>
              <w:t>Ajustarea impozitului amânat ca urmare a tranzacțiilor dintre entitățile constitutive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Diferența dintre cheltuielile cu impozitul amânat înregistrate la o cotă de impozitare mai mică decât cota minimă de impozitare și reajustarea la cota minimă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Diferența dintre cheltuielile cu impozitul amânat înregistrate la o cotă de impozitare mai mare decât cota minimă de impozitare și reajustarea la cota minimă de impozitare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65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Valoarea totală a ajustării impozitului amânat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lastRenderedPageBreak/>
        <w:t>3.2.4.3.</w:t>
      </w:r>
      <w:r>
        <w:rPr>
          <w:noProof/>
        </w:rPr>
        <w:tab/>
      </w:r>
      <w:r>
        <w:rPr>
          <w:rStyle w:val="CRDeleted"/>
          <w:noProof/>
        </w:rPr>
        <w:t>Opțiuni pentru entitățile constitutive (sau opțiuni care se aplică unui grup de asocieri în participație)</w:t>
      </w:r>
    </w:p>
    <w:tbl>
      <w:tblPr>
        <w:tblW w:w="0" w:type="auto"/>
        <w:tblLayout w:type="fixed"/>
        <w:tblLook w:val="0000" w:firstRow="0" w:lastRow="0" w:firstColumn="0" w:lastColumn="0" w:noHBand="0" w:noVBand="0"/>
      </w:tblPr>
      <w:tblGrid>
        <w:gridCol w:w="1671"/>
        <w:gridCol w:w="1486"/>
        <w:gridCol w:w="1486"/>
        <w:gridCol w:w="1486"/>
        <w:gridCol w:w="1393"/>
        <w:gridCol w:w="1671"/>
        <w:gridCol w:w="236"/>
      </w:tblGrid>
      <w:tr>
        <w:tc>
          <w:tcPr>
            <w:tcW w:w="6129" w:type="dxa"/>
            <w:gridSpan w:val="4"/>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Entități constitutive (sau membri ai grupului de asocieri în participație) pentru care se exprimă o opțiune (NIF)</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Opțiuni anuale</w:t>
            </w: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Opțiunea de aplicare a calculelor simplificate pentru entitățile constitutive nesemnificative (regimul de protecție privind calculele simplificate)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Opțiunea pentru ștergerea datoriilor</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Opțiunea pentru datorii angajate nesolicitate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Opțiuni pentru perioade de cinci ani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Anul opțiunii</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Anul revocării</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Opțiunea pentru netratarea unei entități ca entitate exclusă</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r>
              <w:rPr>
                <w:noProof/>
              </w:rPr>
              <w:tab/>
            </w:r>
            <w:r>
              <w:rPr>
                <w:rStyle w:val="CRDeleted"/>
                <w:noProof/>
              </w:rPr>
              <w:t>Includerea tuturor dividendelor aferente participațiilor de portofoliu</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w:t>
            </w:r>
            <w:r>
              <w:rPr>
                <w:noProof/>
              </w:rPr>
              <w:tab/>
            </w:r>
            <w:r>
              <w:rPr>
                <w:rStyle w:val="CRDeleted"/>
                <w:noProof/>
              </w:rPr>
              <w:t>Tratarea câștigurilor sau pierderilor din schimbul valutar atribuite acoperirii împotriva riscurilor (hedging) ca un câștig sau pierdere de capital exclus(ă)</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w:t>
            </w:r>
            <w:r>
              <w:rPr>
                <w:noProof/>
              </w:rPr>
              <w:tab/>
            </w:r>
            <w:r>
              <w:rPr>
                <w:rStyle w:val="CRDeleted"/>
                <w:noProof/>
              </w:rPr>
              <w:t>Opțiunea pentru transparența fiscală a entității de investiții</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r>
              <w:rPr>
                <w:noProof/>
              </w:rPr>
              <w:tab/>
            </w:r>
            <w:r>
              <w:rPr>
                <w:rStyle w:val="CRDeleted"/>
                <w:noProof/>
              </w:rPr>
              <w:t>Opțiunea pentru o metodă de distribuire impozabilă</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w:t>
            </w:r>
            <w:r>
              <w:rPr>
                <w:noProof/>
              </w:rPr>
              <w:tab/>
            </w:r>
            <w:r>
              <w:rPr>
                <w:rStyle w:val="CRDeleted"/>
                <w:noProof/>
              </w:rPr>
              <w:t>Opțiunea pe cinci ani pentru datorii angajate nesolicitate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Alte opțiuni</w:t>
            </w:r>
          </w:p>
        </w:tc>
        <w:tc>
          <w:tcPr>
            <w:tcW w:w="4458"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w:t>
            </w:r>
            <w:r>
              <w:rPr>
                <w:noProof/>
              </w:rPr>
              <w:tab/>
            </w:r>
            <w:r>
              <w:rPr>
                <w:rStyle w:val="CRDeleted"/>
                <w:noProof/>
              </w:rPr>
              <w:t>Opțiunea pierderii calificate</w:t>
            </w:r>
          </w:p>
        </w:tc>
        <w:tc>
          <w:tcPr>
            <w:tcW w:w="13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1671"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7522" w:type="dxa"/>
            <w:gridSpan w:val="5"/>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k.</w:t>
            </w:r>
            <w:r>
              <w:rPr>
                <w:noProof/>
              </w:rPr>
              <w:tab/>
            </w:r>
            <w:r>
              <w:rPr>
                <w:rStyle w:val="CRDeleted"/>
                <w:noProof/>
              </w:rPr>
              <w:t>Opțiunea pentru valoarea justă</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tbl>
      <w:tblPr>
        <w:tblW w:w="0" w:type="auto"/>
        <w:tblLayout w:type="fixed"/>
        <w:tblLook w:val="0000" w:firstRow="0" w:lastRow="0" w:firstColumn="0" w:lastColumn="0" w:noHBand="0" w:noVBand="0"/>
      </w:tblPr>
      <w:tblGrid>
        <w:gridCol w:w="4086"/>
        <w:gridCol w:w="1950"/>
        <w:gridCol w:w="3250"/>
      </w:tblGrid>
      <w:tr>
        <w:tc>
          <w:tcPr>
            <w:tcW w:w="40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Entitățile constitutive (membrii grupurilor de asocieri în participație) pentru care se exprimă opțiunea (NIF)</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Anul fiscal al evenimentului declanșator</w:t>
            </w:r>
          </w:p>
        </w:tc>
        <w:tc>
          <w:tcPr>
            <w:tcW w:w="32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Includerea în anul fiscal a evenimentului declanșator sau includerea pe o perioadă de 5 ani</w:t>
            </w:r>
          </w:p>
        </w:tc>
      </w:tr>
      <w:tr>
        <w:tc>
          <w:tcPr>
            <w:tcW w:w="40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2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lastRenderedPageBreak/>
        <w:t>3.2.4.4.</w:t>
      </w:r>
      <w:r>
        <w:rPr>
          <w:noProof/>
        </w:rPr>
        <w:tab/>
      </w:r>
      <w:r>
        <w:rPr>
          <w:rStyle w:val="CRDeleted"/>
          <w:noProof/>
        </w:rPr>
        <w:t>Excluderea profitului obținut din transportul maritim internațional</w:t>
      </w:r>
    </w:p>
    <w:p>
      <w:pPr>
        <w:pStyle w:val="ManualHeading4"/>
        <w:rPr>
          <w:rStyle w:val="CRDeleted"/>
          <w:noProof/>
        </w:rPr>
      </w:pPr>
      <w:r>
        <w:rPr>
          <w:rStyle w:val="CRDeleted"/>
          <w:noProof/>
        </w:rPr>
        <w:t>(a)</w:t>
      </w:r>
      <w:r>
        <w:rPr>
          <w:noProof/>
        </w:rPr>
        <w:tab/>
      </w:r>
      <w:r>
        <w:rPr>
          <w:rStyle w:val="CRDeleted"/>
          <w:noProof/>
        </w:rPr>
        <w:t>Excluderea profitului obținut din transportul maritim internațional</w:t>
      </w:r>
    </w:p>
    <w:tbl>
      <w:tblPr>
        <w:tblW w:w="0" w:type="auto"/>
        <w:tblLayout w:type="fixed"/>
        <w:tblLook w:val="0000" w:firstRow="0" w:lastRow="0" w:firstColumn="0" w:lastColumn="0" w:noHBand="0" w:noVBand="0"/>
      </w:tblPr>
      <w:tblGrid>
        <w:gridCol w:w="2507"/>
        <w:gridCol w:w="5293"/>
        <w:gridCol w:w="1486"/>
      </w:tblGrid>
      <w:tr>
        <w:tc>
          <w:tcPr>
            <w:tcW w:w="7800"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Entitate constitutivă sau membru al grupului de asocieri în participație situat(ă) în această jurisdicție (NIF)</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Profitul obținut din transportul maritim internațional</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Categorie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Venituri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Costuri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Profitul obținut din transportul maritim internațional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[C]=[A]-[B]</w:t>
            </w: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Profitul auxiliar calificat obținut din transportul maritim internațional</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Categorie</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Venituri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Costuri</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9.</w:t>
            </w:r>
            <w:r>
              <w:rPr>
                <w:noProof/>
              </w:rPr>
              <w:tab/>
            </w:r>
            <w:r>
              <w:rPr>
                <w:rStyle w:val="CRDeleted"/>
                <w:noProof/>
              </w:rPr>
              <w:t>Profitul auxiliar calificat obținut din transportul maritim internațional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[F]=[D]-[E]</w:t>
            </w:r>
          </w:p>
        </w:tc>
      </w:tr>
      <w:tr>
        <w:tc>
          <w:tcPr>
            <w:tcW w:w="2507"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Efectul asupra excluderii profitului pentru activitățile cu substanță economică</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10.</w:t>
            </w:r>
            <w:r>
              <w:rPr>
                <w:noProof/>
              </w:rPr>
              <w:tab/>
            </w:r>
            <w:r>
              <w:rPr>
                <w:rStyle w:val="CRDeleted"/>
                <w:noProof/>
              </w:rPr>
              <w:t>Costuri salariale care pot fi atribuite profitului exclus obținut din transportul maritim internațional sau profitului auxiliar calificat obținut din transportul maritim internațional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11.</w:t>
            </w:r>
            <w:r>
              <w:rPr>
                <w:noProof/>
              </w:rPr>
              <w:tab/>
            </w:r>
            <w:r>
              <w:rPr>
                <w:rStyle w:val="CRDeleted"/>
                <w:noProof/>
              </w:rPr>
              <w:t>Valoarea contabilă a imobilizărilor corporale utilizate pentru generarea profitului exclus obținut din transportul maritim internațional sau a profitului auxiliar calificat obținut din transportul maritim internațional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5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Impozite acoperite</w:t>
            </w:r>
          </w:p>
        </w:tc>
        <w:tc>
          <w:tcPr>
            <w:tcW w:w="529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12.</w:t>
            </w:r>
            <w:r>
              <w:rPr>
                <w:noProof/>
              </w:rPr>
              <w:tab/>
            </w:r>
            <w:r>
              <w:rPr>
                <w:rStyle w:val="CRDeleted"/>
                <w:noProof/>
              </w:rPr>
              <w:t>Impozite acoperite care pot fi atribuite profitului exclus obținut din transportul maritim internațional sau profitului auxiliar calificat obținut din transportul maritim internațional</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(b)</w:t>
      </w:r>
      <w:r>
        <w:rPr>
          <w:noProof/>
        </w:rPr>
        <w:tab/>
      </w:r>
      <w:r>
        <w:rPr>
          <w:rStyle w:val="CRDeleted"/>
          <w:noProof/>
        </w:rPr>
        <w:t>Plafon jurisdicțional pentru excluderea profitului auxiliar calificat obținut din transportul maritim internațional</w:t>
      </w:r>
    </w:p>
    <w:tbl>
      <w:tblPr>
        <w:tblW w:w="0" w:type="auto"/>
        <w:tblLayout w:type="fixed"/>
        <w:tblLook w:val="0000" w:firstRow="0" w:lastRow="0" w:firstColumn="0" w:lastColumn="0" w:noHBand="0" w:noVBand="0"/>
      </w:tblPr>
      <w:tblGrid>
        <w:gridCol w:w="7707"/>
        <w:gridCol w:w="1579"/>
      </w:tblGrid>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Profitul total obținut din transportul maritim internațional pentru toate entitățile constitutive (sau toți membrii grupului de asocieri în participație)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Plafon de 50 %</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50 %x[A]</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Valoarea totală a profitului auxiliar calificat obținut din transportul maritim internațional pentru toate entitățile constitutive (sau toți membrii grupului de asocieri în participație)</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77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4.</w:t>
            </w:r>
            <w:r>
              <w:rPr>
                <w:noProof/>
              </w:rPr>
              <w:tab/>
            </w:r>
            <w:r>
              <w:rPr>
                <w:rStyle w:val="CRDeleted"/>
                <w:noProof/>
              </w:rPr>
              <w:t>Depășirea plafonului dacă B depășește 50 % din A</w:t>
            </w: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[B]-50 %x[A]</w:t>
            </w:r>
          </w:p>
        </w:tc>
      </w:tr>
    </w:tbl>
    <w:p>
      <w:pPr>
        <w:rPr>
          <w:rStyle w:val="CRDeleted"/>
          <w:noProof/>
        </w:rPr>
      </w:pPr>
    </w:p>
    <w:p>
      <w:pPr>
        <w:pStyle w:val="ManualHeading4"/>
        <w:rPr>
          <w:rStyle w:val="CRDeleted"/>
          <w:noProof/>
        </w:rPr>
      </w:pPr>
      <w:r>
        <w:rPr>
          <w:rStyle w:val="CRDeleted"/>
          <w:noProof/>
        </w:rPr>
        <w:t>3.2.4.5.</w:t>
      </w:r>
      <w:r>
        <w:rPr>
          <w:noProof/>
        </w:rPr>
        <w:tab/>
      </w:r>
      <w:r>
        <w:rPr>
          <w:rStyle w:val="CRDeleted"/>
          <w:noProof/>
        </w:rPr>
        <w:t>Informații în sensul opțiunii de a aplica o metodă de distribuire impozabilă (dacă este cazul)</w:t>
      </w:r>
    </w:p>
    <w:p>
      <w:pPr>
        <w:pStyle w:val="ManualHeading4"/>
        <w:rPr>
          <w:rStyle w:val="CRDeleted"/>
          <w:noProof/>
        </w:rPr>
      </w:pPr>
      <w:r>
        <w:rPr>
          <w:rStyle w:val="CRDeleted"/>
          <w:noProof/>
        </w:rPr>
        <w:t>Opțiunea pentru o metodă de distribuire impozabilă</w:t>
      </w:r>
    </w:p>
    <w:tbl>
      <w:tblPr>
        <w:tblW w:w="0" w:type="auto"/>
        <w:tblLayout w:type="fixed"/>
        <w:tblLook w:val="0000" w:firstRow="0" w:lastRow="0" w:firstColumn="0" w:lastColumn="0" w:noHBand="0" w:noVBand="0"/>
      </w:tblPr>
      <w:tblGrid>
        <w:gridCol w:w="2043"/>
        <w:gridCol w:w="1857"/>
        <w:gridCol w:w="1857"/>
        <w:gridCol w:w="1300"/>
        <w:gridCol w:w="2229"/>
      </w:tblGrid>
      <w:tr>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Entitatea constitutivă-proprietară (sau membrul unui grup de asocieri în participație) pentru care se exprimă o opțiune (NIF)</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Entitatea de investiții pentru care se exprimă opțiunea (NIF)</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Distribuirile efective și preconizate ale profitului calificat al entității de investiții primite de entitatea constitutivă-proprietară</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Majorarea impozitului deductibil local suportat de entitatea de investiții</w:t>
            </w:r>
          </w:p>
        </w:tc>
        <w:tc>
          <w:tcPr>
            <w:tcW w:w="22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Partea proporțională a entității constitutive-proprietare din profitul net calificat nedistribuit al entității de investiții</w:t>
            </w:r>
          </w:p>
        </w:tc>
      </w:tr>
      <w:tr>
        <w:tc>
          <w:tcPr>
            <w:tcW w:w="2043"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2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3.2.4.6.</w:t>
      </w:r>
      <w:r>
        <w:rPr>
          <w:noProof/>
        </w:rPr>
        <w:tab/>
      </w:r>
      <w:r>
        <w:rPr>
          <w:rStyle w:val="CRDeleted"/>
          <w:noProof/>
        </w:rPr>
        <w:t>Alte standarde contabile</w:t>
      </w:r>
    </w:p>
    <w:tbl>
      <w:tblPr>
        <w:tblW w:w="0" w:type="auto"/>
        <w:tblLayout w:type="fixed"/>
        <w:tblLook w:val="0000" w:firstRow="0" w:lastRow="0" w:firstColumn="0" w:lastColumn="0" w:noHBand="0" w:noVBand="0"/>
      </w:tblPr>
      <w:tblGrid>
        <w:gridCol w:w="6222"/>
        <w:gridCol w:w="3064"/>
      </w:tblGrid>
      <w:tr>
        <w:tc>
          <w:tcPr>
            <w:tcW w:w="6222"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Entitate constitutivă (sau membru al grupului de asocieri în participație) cu un profit net sau o pierdere netă din contabilitatea financiară calculată pe baza unui standard contabil diferit (NIF)</w:t>
            </w:r>
          </w:p>
        </w:tc>
        <w:tc>
          <w:tcPr>
            <w:tcW w:w="30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Standard de contabilitate financiară acceptabil sau autorizat</w:t>
            </w:r>
          </w:p>
        </w:tc>
      </w:tr>
      <w:tr>
        <w:tc>
          <w:tcPr>
            <w:tcW w:w="6222"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30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3"/>
        <w:rPr>
          <w:rStyle w:val="CRDeleted"/>
          <w:i w:val="0"/>
          <w:noProof/>
        </w:rPr>
      </w:pPr>
      <w:bookmarkStart w:id="86" w:name="_Toc229742269"/>
      <w:r>
        <w:rPr>
          <w:rStyle w:val="CRDeleted"/>
          <w:i w:val="0"/>
          <w:noProof/>
        </w:rPr>
        <w:t>3.3.</w:t>
      </w:r>
      <w:r>
        <w:rPr>
          <w:noProof/>
        </w:rPr>
        <w:tab/>
      </w:r>
      <w:r>
        <w:rPr>
          <w:rStyle w:val="CRDeleted"/>
          <w:i w:val="0"/>
          <w:noProof/>
        </w:rPr>
        <w:t>Calculul impozitului suplimentar</w:t>
      </w:r>
      <w:bookmarkEnd w:id="86"/>
    </w:p>
    <w:p>
      <w:pPr>
        <w:pStyle w:val="ManualHeading4"/>
        <w:rPr>
          <w:rStyle w:val="CRDeleted"/>
          <w:noProof/>
        </w:rPr>
      </w:pPr>
      <w:r>
        <w:rPr>
          <w:rStyle w:val="CRDeleted"/>
          <w:noProof/>
        </w:rPr>
        <w:t>3.3.1.</w:t>
      </w:r>
      <w:r>
        <w:rPr>
          <w:noProof/>
        </w:rPr>
        <w:tab/>
      </w:r>
      <w:r>
        <w:rPr>
          <w:rStyle w:val="CRDeleted"/>
          <w:noProof/>
        </w:rPr>
        <w:t>Impozitul suplimentar</w:t>
      </w:r>
    </w:p>
    <w:tbl>
      <w:tblPr>
        <w:tblW w:w="0" w:type="auto"/>
        <w:tblLayout w:type="fixed"/>
        <w:tblLook w:val="0000" w:firstRow="0" w:lastRow="0" w:firstColumn="0" w:lastColumn="0" w:noHBand="0" w:noVBand="0"/>
      </w:tblPr>
      <w:tblGrid>
        <w:gridCol w:w="1300"/>
        <w:gridCol w:w="2043"/>
        <w:gridCol w:w="1207"/>
        <w:gridCol w:w="1486"/>
        <w:gridCol w:w="1300"/>
        <w:gridCol w:w="1950"/>
      </w:tblGrid>
      <w:tr>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a.</w:t>
            </w:r>
            <w:r>
              <w:rPr>
                <w:noProof/>
              </w:rPr>
              <w:tab/>
            </w:r>
            <w:r>
              <w:rPr>
                <w:rStyle w:val="CRDeleted"/>
                <w:noProof/>
              </w:rPr>
              <w:t>Procentul impozitului suplimentar</w:t>
            </w:r>
          </w:p>
        </w:tc>
        <w:tc>
          <w:tcPr>
            <w:tcW w:w="2043"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b.</w:t>
            </w:r>
            <w:r>
              <w:rPr>
                <w:noProof/>
              </w:rPr>
              <w:tab/>
            </w:r>
            <w:r>
              <w:rPr>
                <w:rStyle w:val="CRDeleted"/>
                <w:noProof/>
              </w:rPr>
              <w:t>Excluderea profitului pentru activitățile cu substanță economică</w:t>
            </w:r>
          </w:p>
        </w:tc>
        <w:tc>
          <w:tcPr>
            <w:tcW w:w="120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c.</w:t>
            </w:r>
            <w:r>
              <w:rPr>
                <w:noProof/>
              </w:rPr>
              <w:tab/>
            </w:r>
            <w:r>
              <w:rPr>
                <w:rStyle w:val="CRDeleted"/>
                <w:noProof/>
              </w:rPr>
              <w:t>Profit excedentar</w:t>
            </w:r>
          </w:p>
        </w:tc>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d.</w:t>
            </w:r>
            <w:r>
              <w:rPr>
                <w:noProof/>
              </w:rPr>
              <w:tab/>
            </w:r>
            <w:r>
              <w:rPr>
                <w:rStyle w:val="CRDeleted"/>
                <w:noProof/>
              </w:rPr>
              <w:t>Impozitul suplimentar adițional</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w:t>
            </w:r>
            <w:r>
              <w:rPr>
                <w:noProof/>
              </w:rPr>
              <w:tab/>
            </w:r>
            <w:r>
              <w:rPr>
                <w:rStyle w:val="CRDeleted"/>
                <w:noProof/>
              </w:rPr>
              <w:t>Impozitul suplimentar național de plătit</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f.</w:t>
            </w:r>
            <w:r>
              <w:rPr>
                <w:noProof/>
              </w:rPr>
              <w:tab/>
            </w:r>
            <w:r>
              <w:rPr>
                <w:rStyle w:val="CRDeleted"/>
                <w:noProof/>
              </w:rPr>
              <w:t>Impozitul suplimentar</w:t>
            </w:r>
          </w:p>
        </w:tc>
      </w:tr>
      <w:tr>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[A]=15 % - cota efectivă de impozitare</w:t>
            </w:r>
          </w:p>
        </w:tc>
        <w:tc>
          <w:tcPr>
            <w:tcW w:w="20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207"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 = profitul net calificat sau pierderea netă calificată - [B]</w:t>
            </w:r>
          </w:p>
        </w:tc>
        <w:tc>
          <w:tcPr>
            <w:tcW w:w="14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=[A]x[C]+[D]-[E]</w:t>
            </w:r>
          </w:p>
        </w:tc>
      </w:tr>
    </w:tbl>
    <w:p>
      <w:pPr>
        <w:rPr>
          <w:rStyle w:val="CRDeleted"/>
          <w:noProof/>
        </w:rPr>
      </w:pPr>
    </w:p>
    <w:p>
      <w:pPr>
        <w:pStyle w:val="ManualHeading4"/>
        <w:rPr>
          <w:rStyle w:val="CRDeleted"/>
          <w:noProof/>
        </w:rPr>
      </w:pPr>
      <w:r>
        <w:rPr>
          <w:rStyle w:val="CRDeleted"/>
          <w:noProof/>
        </w:rPr>
        <w:t>3.3.2.</w:t>
      </w:r>
      <w:r>
        <w:rPr>
          <w:noProof/>
        </w:rPr>
        <w:tab/>
      </w:r>
      <w:r>
        <w:rPr>
          <w:rStyle w:val="CRDeleted"/>
          <w:noProof/>
        </w:rPr>
        <w:t>Calculul excluderii profitului pentru activitățile cu substanță economică (dacă este cazul)</w:t>
      </w:r>
    </w:p>
    <w:p>
      <w:pPr>
        <w:pStyle w:val="ManualHeading4"/>
        <w:rPr>
          <w:rStyle w:val="CRDeleted"/>
          <w:noProof/>
        </w:rPr>
      </w:pPr>
      <w:r>
        <w:rPr>
          <w:rStyle w:val="CRDeleted"/>
          <w:noProof/>
        </w:rPr>
        <w:t>3.3.2.1.</w:t>
      </w:r>
      <w:r>
        <w:rPr>
          <w:noProof/>
        </w:rPr>
        <w:tab/>
      </w:r>
      <w:r>
        <w:rPr>
          <w:rStyle w:val="CRDeleted"/>
          <w:noProof/>
        </w:rPr>
        <w:t>Valoarea totală a excluderii profitului pentru activitățile cu substanță economică</w:t>
      </w:r>
    </w:p>
    <w:tbl>
      <w:tblPr>
        <w:tblW w:w="0" w:type="auto"/>
        <w:tblLayout w:type="fixed"/>
        <w:tblLook w:val="0000" w:firstRow="0" w:lastRow="0" w:firstColumn="0" w:lastColumn="0" w:noHBand="0" w:noVBand="0"/>
      </w:tblPr>
      <w:tblGrid>
        <w:gridCol w:w="1671"/>
        <w:gridCol w:w="1765"/>
        <w:gridCol w:w="1671"/>
        <w:gridCol w:w="1858"/>
        <w:gridCol w:w="2321"/>
      </w:tblGrid>
      <w:tr>
        <w:tc>
          <w:tcPr>
            <w:tcW w:w="3436" w:type="dxa"/>
            <w:gridSpan w:val="2"/>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Excludere pe baza costurilor cu salariile</w:t>
            </w:r>
          </w:p>
        </w:tc>
        <w:tc>
          <w:tcPr>
            <w:tcW w:w="3529" w:type="dxa"/>
            <w:gridSpan w:val="2"/>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Excludere pe baza imobilizărilor corporale</w:t>
            </w:r>
          </w:p>
        </w:tc>
        <w:tc>
          <w:tcPr>
            <w:tcW w:w="232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Total</w:t>
            </w:r>
          </w:p>
        </w:tc>
      </w:tr>
      <w:tr>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Costurile salariale eligibile relevante ale angajaților eligibili care desfășoară activități în jurisdicția respectivă</w:t>
            </w: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Aplicarea procentului marjei de profit relevante pentru Anul fiscal de raportare</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Valoarea contabilă a imobilizărilor corporale eligibile relevante situate în jurisdicție</w:t>
            </w: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Aplicarea procentului marjei de profit relevante pentru Anul fiscal de raportare</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Excluderea profitului pentru activitățile cu substanță economică</w:t>
            </w:r>
          </w:p>
        </w:tc>
      </w:tr>
      <w:tr>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c>
          <w:tcPr>
            <w:tcW w:w="176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p>
        </w:tc>
        <w:tc>
          <w:tcPr>
            <w:tcW w:w="185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23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[E]=[A]x[B]+[C]x[D]</w:t>
            </w:r>
          </w:p>
        </w:tc>
      </w:tr>
    </w:tbl>
    <w:p>
      <w:pPr>
        <w:rPr>
          <w:rStyle w:val="CRDeleted"/>
          <w:noProof/>
        </w:rPr>
      </w:pPr>
    </w:p>
    <w:p>
      <w:pPr>
        <w:pStyle w:val="ManualHeading4"/>
        <w:rPr>
          <w:rStyle w:val="CRDeleted"/>
          <w:noProof/>
        </w:rPr>
      </w:pPr>
      <w:r>
        <w:rPr>
          <w:rStyle w:val="CRDeleted"/>
          <w:noProof/>
        </w:rPr>
        <w:t>3.3.2.2.</w:t>
      </w:r>
      <w:r>
        <w:rPr>
          <w:noProof/>
        </w:rPr>
        <w:tab/>
      </w:r>
      <w:r>
        <w:rPr>
          <w:rStyle w:val="CRDeleted"/>
          <w:noProof/>
        </w:rPr>
        <w:t>Alocarea costurilor salariale eligibile și a valorii contabile a imobilizărilor corporale eligibile către sediile permanente în scopul excluderii profitului pentru activitățile cu substanță economică</w:t>
      </w:r>
    </w:p>
    <w:tbl>
      <w:tblPr>
        <w:tblW w:w="0" w:type="auto"/>
        <w:tblLayout w:type="fixed"/>
        <w:tblLook w:val="0000" w:firstRow="0" w:lastRow="0" w:firstColumn="0" w:lastColumn="0" w:noHBand="0" w:noVBand="0"/>
      </w:tblPr>
      <w:tblGrid>
        <w:gridCol w:w="1486"/>
        <w:gridCol w:w="1764"/>
        <w:gridCol w:w="1950"/>
        <w:gridCol w:w="1950"/>
        <w:gridCol w:w="2136"/>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Costurile salariale eligibile relevante</w:t>
            </w:r>
          </w:p>
        </w:tc>
        <w:tc>
          <w:tcPr>
            <w:tcW w:w="176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Valoarea contabilă a imobilizărilor corporale eligibile relevante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Jurisdicția sediilor permanente</w:t>
            </w:r>
          </w:p>
        </w:tc>
        <w:tc>
          <w:tcPr>
            <w:tcW w:w="195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Costurile salariale eligibile relevante alocate către sediile permanente</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Valoarea contabilă a imobilizărilor corporale eligibile relevante alocate către sediile permanente</w:t>
            </w:r>
          </w:p>
        </w:tc>
      </w:tr>
      <w:tr>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76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95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3.3.2.3.</w:t>
      </w:r>
      <w:r>
        <w:rPr>
          <w:noProof/>
        </w:rPr>
        <w:tab/>
      </w:r>
      <w:r>
        <w:rPr>
          <w:rStyle w:val="CRDeleted"/>
          <w:noProof/>
        </w:rPr>
        <w:t>Alocarea costurilor salariale eligibile și valoarea contabilă a imobilizărilor corporale eligibile ale unei entități transparente în scopul excluderii profitului pentru activitățile cu substanță economică</w:t>
      </w:r>
    </w:p>
    <w:tbl>
      <w:tblPr>
        <w:tblW w:w="0" w:type="auto"/>
        <w:tblLayout w:type="fixed"/>
        <w:tblLook w:val="0000" w:firstRow="0" w:lastRow="0" w:firstColumn="0" w:lastColumn="0" w:noHBand="0" w:noVBand="0"/>
      </w:tblPr>
      <w:tblGrid>
        <w:gridCol w:w="1486"/>
        <w:gridCol w:w="1671"/>
        <w:gridCol w:w="2136"/>
        <w:gridCol w:w="1857"/>
        <w:gridCol w:w="2136"/>
      </w:tblGrid>
      <w:tr>
        <w:tc>
          <w:tcPr>
            <w:tcW w:w="148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Costurile salariale eligibile relevante</w:t>
            </w:r>
          </w:p>
        </w:tc>
        <w:tc>
          <w:tcPr>
            <w:tcW w:w="1671"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Valoarea contabilă a imobilizărilor corporale eligibile relevante</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Jurisdicția entităților constitutive-proprietare (sau a membrilor grupului de asocieri în participație)</w:t>
            </w:r>
          </w:p>
        </w:tc>
        <w:tc>
          <w:tcPr>
            <w:tcW w:w="1857"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Costurile salariale eligibile relevante alocate entității constitutive-proprietare (sau excluse)</w:t>
            </w:r>
          </w:p>
        </w:tc>
        <w:tc>
          <w:tcPr>
            <w:tcW w:w="2136"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Valoarea contabilă a imobilizărilor corporale eligibile relevante alocate entității constitutive-proprietare (sau excluse)</w:t>
            </w:r>
          </w:p>
        </w:tc>
      </w:tr>
      <w:tr>
        <w:tc>
          <w:tcPr>
            <w:tcW w:w="148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857"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2136"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bl>
    <w:p>
      <w:pPr>
        <w:rPr>
          <w:rStyle w:val="CRDeleted"/>
          <w:noProof/>
        </w:rPr>
      </w:pPr>
    </w:p>
    <w:p>
      <w:pPr>
        <w:pStyle w:val="ManualHeading4"/>
        <w:rPr>
          <w:rStyle w:val="CRDeleted"/>
          <w:noProof/>
        </w:rPr>
      </w:pPr>
      <w:r>
        <w:rPr>
          <w:rStyle w:val="CRDeleted"/>
          <w:noProof/>
        </w:rPr>
        <w:t>3.3.3.</w:t>
      </w:r>
      <w:r>
        <w:rPr>
          <w:noProof/>
        </w:rPr>
        <w:tab/>
      </w:r>
      <w:r>
        <w:rPr>
          <w:rStyle w:val="CRDeleted"/>
          <w:noProof/>
        </w:rPr>
        <w:t>Impozitul suplimentar curent adițional</w:t>
      </w:r>
    </w:p>
    <w:p>
      <w:pPr>
        <w:pStyle w:val="ManualHeading4"/>
        <w:rPr>
          <w:rStyle w:val="CRDeleted"/>
          <w:noProof/>
        </w:rPr>
      </w:pPr>
      <w:r>
        <w:rPr>
          <w:rStyle w:val="CRDeleted"/>
          <w:noProof/>
        </w:rPr>
        <w:t>3.3.3.1.</w:t>
      </w:r>
      <w:r>
        <w:rPr>
          <w:noProof/>
        </w:rPr>
        <w:tab/>
      </w:r>
      <w:r>
        <w:rPr>
          <w:rStyle w:val="CRDeleted"/>
          <w:noProof/>
        </w:rPr>
        <w:t>Impozitul suplimentar adițional, altul decât în cazul unei pierderi nete calificate înregistrate în Anul fiscal de raportare</w:t>
      </w:r>
    </w:p>
    <w:tbl>
      <w:tblPr>
        <w:tblW w:w="0" w:type="auto"/>
        <w:tblLayout w:type="fixed"/>
        <w:tblLook w:val="0000" w:firstRow="0" w:lastRow="0" w:firstColumn="0" w:lastColumn="0" w:noHBand="0" w:noVBand="0"/>
      </w:tblPr>
      <w:tblGrid>
        <w:gridCol w:w="929"/>
        <w:gridCol w:w="928"/>
        <w:gridCol w:w="929"/>
        <w:gridCol w:w="928"/>
        <w:gridCol w:w="929"/>
        <w:gridCol w:w="929"/>
        <w:gridCol w:w="928"/>
        <w:gridCol w:w="929"/>
        <w:gridCol w:w="928"/>
        <w:gridCol w:w="929"/>
      </w:tblGrid>
      <w:tr>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Articole relevante</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Anul relevant</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Astfel cum a fost raportat anterior sau recalculat</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Profitul net calificat/pierderea netă calificată</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Impozite acoperite ajustate</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Cota efectivă de impozitare</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Profit excedentar</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Procentul impozitului suplimentar</w:t>
            </w:r>
          </w:p>
        </w:tc>
        <w:tc>
          <w:tcPr>
            <w:tcW w:w="928"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9.</w:t>
            </w:r>
            <w:r>
              <w:rPr>
                <w:noProof/>
              </w:rPr>
              <w:tab/>
            </w:r>
            <w:r>
              <w:rPr>
                <w:rStyle w:val="CRDeleted"/>
                <w:noProof/>
              </w:rPr>
              <w:t>Impozitul suplimentar</w:t>
            </w:r>
          </w:p>
        </w:tc>
        <w:tc>
          <w:tcPr>
            <w:tcW w:w="92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10.</w:t>
            </w:r>
            <w:r>
              <w:rPr>
                <w:noProof/>
              </w:rPr>
              <w:tab/>
            </w:r>
            <w:r>
              <w:rPr>
                <w:rStyle w:val="CRDeleted"/>
                <w:noProof/>
              </w:rPr>
              <w:t>Impozitul suplimentar adițional</w:t>
            </w:r>
          </w:p>
        </w:tc>
      </w:tr>
      <w:tr>
        <w:tc>
          <w:tcPr>
            <w:tcW w:w="9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Anul fiscal anterior X</w:t>
            </w: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Raportat anterior</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8"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Recalculat</w:t>
            </w: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8"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92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3.3.3.2.</w:t>
      </w:r>
      <w:r>
        <w:rPr>
          <w:noProof/>
        </w:rPr>
        <w:tab/>
      </w:r>
      <w:r>
        <w:rPr>
          <w:rStyle w:val="CRDeleted"/>
          <w:noProof/>
        </w:rPr>
        <w:t>Impozitul suplimentar adițional în cazul unei pierderi nete calificate pentru Anul fiscal de raportare</w:t>
      </w:r>
    </w:p>
    <w:tbl>
      <w:tblPr>
        <w:tblW w:w="0" w:type="auto"/>
        <w:tblInd w:w="1021" w:type="dxa"/>
        <w:tblLayout w:type="fixed"/>
        <w:tblLook w:val="0000" w:firstRow="0" w:lastRow="0" w:firstColumn="0" w:lastColumn="0" w:noHBand="0" w:noVBand="0"/>
      </w:tblPr>
      <w:tblGrid>
        <w:gridCol w:w="5722"/>
        <w:gridCol w:w="1521"/>
      </w:tblGrid>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Impozitele acoperite ajustate pentru jurisdicție (dacă valoarea este negativă)</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Pierderea calificată pentru jurisdicție</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Impozitele acoperite ajustate preconizate</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[C]=[B]×15 %</w:t>
            </w:r>
          </w:p>
        </w:tc>
      </w:tr>
      <w:tr>
        <w:tc>
          <w:tcPr>
            <w:tcW w:w="5722"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Impozitul suplimentar adițional</w:t>
            </w:r>
          </w:p>
        </w:tc>
        <w:tc>
          <w:tcPr>
            <w:tcW w:w="152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[D]=[C]-[A]</w:t>
            </w:r>
          </w:p>
        </w:tc>
      </w:tr>
    </w:tbl>
    <w:p>
      <w:pPr>
        <w:rPr>
          <w:rStyle w:val="CRDeleted"/>
          <w:noProof/>
        </w:rPr>
      </w:pPr>
    </w:p>
    <w:p>
      <w:pPr>
        <w:pStyle w:val="ManualHeading4"/>
        <w:rPr>
          <w:rStyle w:val="CRDeleted"/>
          <w:noProof/>
        </w:rPr>
      </w:pPr>
      <w:r>
        <w:rPr>
          <w:rStyle w:val="CRDeleted"/>
          <w:noProof/>
        </w:rPr>
        <w:t>3.3.4.</w:t>
      </w:r>
      <w:r>
        <w:rPr>
          <w:noProof/>
        </w:rPr>
        <w:tab/>
      </w:r>
      <w:r>
        <w:rPr>
          <w:rStyle w:val="CRDeleted"/>
          <w:noProof/>
        </w:rPr>
        <w:t>Impozitul suplimentar național calificat</w:t>
      </w:r>
    </w:p>
    <w:tbl>
      <w:tblPr>
        <w:tblW w:w="0" w:type="auto"/>
        <w:tblLayout w:type="fixed"/>
        <w:tblLook w:val="0000" w:firstRow="0" w:lastRow="0" w:firstColumn="0" w:lastColumn="0" w:noHBand="0" w:noVBand="0"/>
      </w:tblPr>
      <w:tblGrid>
        <w:gridCol w:w="5014"/>
        <w:gridCol w:w="1300"/>
        <w:gridCol w:w="1301"/>
        <w:gridCol w:w="1671"/>
      </w:tblGrid>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Standardul de contabilitate financiară</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Valoarea impozitului suplimentar național calificat de plătit</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3.</w:t>
            </w:r>
            <w:r>
              <w:rPr>
                <w:noProof/>
              </w:rPr>
              <w:tab/>
            </w:r>
            <w:r>
              <w:rPr>
                <w:rStyle w:val="CRDeleted"/>
                <w:noProof/>
              </w:rPr>
              <w:t>Cota minimă de impozitare a impozitului suplimentar național calificat (dacă este mai mare de 15 %)</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4.</w:t>
            </w:r>
            <w:r>
              <w:rPr>
                <w:noProof/>
              </w:rPr>
              <w:tab/>
            </w:r>
            <w:r>
              <w:rPr>
                <w:rStyle w:val="CRDeleted"/>
                <w:noProof/>
              </w:rPr>
              <w:t>Baza pentru combinarea profitului și a impozitelor (dacă este diferită de regulile IIR)</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5.</w:t>
            </w:r>
            <w:r>
              <w:rPr>
                <w:noProof/>
              </w:rPr>
              <w:tab/>
            </w:r>
            <w:r>
              <w:rPr>
                <w:rStyle w:val="CRDeleted"/>
                <w:noProof/>
              </w:rPr>
              <w:t>Moneda utilizată (dacă este diferită de moneda de raportare utilizată în situațiile financiare consolidate)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6.</w:t>
            </w:r>
            <w:r>
              <w:rPr>
                <w:noProof/>
              </w:rPr>
              <w:tab/>
            </w:r>
            <w:r>
              <w:rPr>
                <w:rStyle w:val="CRDeleted"/>
                <w:noProof/>
              </w:rPr>
              <w:t>Opțiunea pe cinci ani de utilizare a monedei situațiilor financiare consolidate sau a monedei locale</w:t>
            </w: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Moneda</w:t>
            </w:r>
          </w:p>
        </w:tc>
        <w:tc>
          <w:tcPr>
            <w:tcW w:w="130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Anul opțiunii</w:t>
            </w:r>
          </w:p>
        </w:tc>
        <w:tc>
          <w:tcPr>
            <w:tcW w:w="1671"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Anul revocării</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7.</w:t>
            </w:r>
            <w:r>
              <w:rPr>
                <w:noProof/>
              </w:rPr>
              <w:tab/>
            </w:r>
            <w:r>
              <w:rPr>
                <w:rStyle w:val="CRDeleted"/>
                <w:noProof/>
              </w:rPr>
              <w:t>Este disponibilă excluderea profitului pentru activitățile cu substanță economică?</w:t>
            </w:r>
          </w:p>
        </w:tc>
        <w:tc>
          <w:tcPr>
            <w:tcW w:w="42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r>
        <w:tc>
          <w:tcPr>
            <w:tcW w:w="50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8.</w:t>
            </w:r>
            <w:r>
              <w:rPr>
                <w:noProof/>
              </w:rPr>
              <w:tab/>
            </w:r>
            <w:r>
              <w:rPr>
                <w:rStyle w:val="CRDeleted"/>
                <w:noProof/>
              </w:rPr>
              <w:t>Este disponibilă excluderea de minimis?</w:t>
            </w:r>
          </w:p>
        </w:tc>
        <w:tc>
          <w:tcPr>
            <w:tcW w:w="4272" w:type="dxa"/>
            <w:gridSpan w:val="3"/>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Da/Nu</w:t>
            </w:r>
          </w:p>
        </w:tc>
      </w:tr>
    </w:tbl>
    <w:p>
      <w:pPr>
        <w:rPr>
          <w:rStyle w:val="CRDeleted"/>
          <w:noProof/>
        </w:rPr>
      </w:pPr>
    </w:p>
    <w:p>
      <w:pPr>
        <w:pStyle w:val="ManualHeading3"/>
        <w:rPr>
          <w:rStyle w:val="CRDeleted"/>
          <w:i w:val="0"/>
          <w:noProof/>
        </w:rPr>
      </w:pPr>
      <w:bookmarkStart w:id="87" w:name="_Toc229742270"/>
      <w:r>
        <w:rPr>
          <w:rStyle w:val="CRDeleted"/>
          <w:i w:val="0"/>
          <w:noProof/>
        </w:rPr>
        <w:t>3.4.</w:t>
      </w:r>
      <w:r>
        <w:rPr>
          <w:noProof/>
        </w:rPr>
        <w:tab/>
      </w:r>
      <w:r>
        <w:rPr>
          <w:rStyle w:val="CRDeleted"/>
          <w:i w:val="0"/>
          <w:noProof/>
        </w:rPr>
        <w:t>Alocarea și atribuirea impozitului suplimentar (dacă este cazul)</w:t>
      </w:r>
      <w:bookmarkEnd w:id="87"/>
    </w:p>
    <w:p>
      <w:pPr>
        <w:pStyle w:val="ManualHeading4"/>
        <w:rPr>
          <w:rStyle w:val="CRDeleted"/>
          <w:noProof/>
        </w:rPr>
      </w:pPr>
      <w:r>
        <w:rPr>
          <w:rStyle w:val="CRDeleted"/>
          <w:noProof/>
        </w:rPr>
        <w:t>3.4.1.</w:t>
      </w:r>
      <w:r>
        <w:rPr>
          <w:noProof/>
        </w:rPr>
        <w:tab/>
      </w:r>
      <w:r>
        <w:rPr>
          <w:rStyle w:val="CRDeleted"/>
          <w:noProof/>
        </w:rPr>
        <w:t>Aplicarea IIR în legătură cu această jurisdicție</w:t>
      </w:r>
    </w:p>
    <w:tbl>
      <w:tblPr>
        <w:tblW w:w="0" w:type="auto"/>
        <w:tblLayout w:type="fixed"/>
        <w:tblLook w:val="0000" w:firstRow="0" w:lastRow="0" w:firstColumn="0" w:lastColumn="0" w:noHBand="0" w:noVBand="0"/>
      </w:tblPr>
      <w:tblGrid>
        <w:gridCol w:w="2414"/>
        <w:gridCol w:w="4179"/>
        <w:gridCol w:w="1950"/>
        <w:gridCol w:w="743"/>
      </w:tblGrid>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Impozitul suplimentar alocat entității din grup</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Entitate constitutivă impozitată la un nivel redus sau membru al grupului de asocieri în participație impozitat la un nivel redus (NIF)</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Profitul calificat al entității constitutive impozitate la un nivel redus sau al membrului grupului de asocieri în participație impozitat la un nivel redus</w:t>
            </w:r>
          </w:p>
        </w:tc>
        <w:tc>
          <w:tcPr>
            <w:tcW w:w="269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Impozitul suplimentar al entității constitutive impozitate la un nivel redus sau al membrului grupului de asocieri în participație impozitat la un nivel redus</w:t>
            </w:r>
          </w:p>
        </w:tc>
        <w:tc>
          <w:tcPr>
            <w:tcW w:w="2693" w:type="dxa"/>
            <w:gridSpan w:val="2"/>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 = [T] x [A]/[A+B+etc.]</w:t>
            </w:r>
          </w:p>
        </w:tc>
      </w:tr>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Societățile-mamă care trebuie să aplice o IIR calificată</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Societatea-mamă (NIF)</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[Societatea-mamă 1]</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Jurisdicția societății-mamă</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Jurisdicția B</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Valoarea profitului calificat care poate fi atribuit participațiilor în capitalurile proprii deținute de alți proprietari</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d.</w:t>
            </w:r>
            <w:r>
              <w:rPr>
                <w:noProof/>
              </w:rPr>
              <w:tab/>
            </w:r>
            <w:r>
              <w:rPr>
                <w:rStyle w:val="CRDeleted"/>
                <w:noProof/>
              </w:rPr>
              <w:t>Rata de includere a societății-mamă</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[F]=([A]-[D])/[A]</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val="restart"/>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lastRenderedPageBreak/>
              <w:t>3.</w:t>
            </w:r>
            <w:r>
              <w:rPr>
                <w:noProof/>
              </w:rPr>
              <w:tab/>
            </w:r>
            <w:r>
              <w:rPr>
                <w:rStyle w:val="CRDeleted"/>
                <w:noProof/>
              </w:rPr>
              <w:t>Impozitul suplimentar în temeiul IIR</w:t>
            </w: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a.</w:t>
            </w:r>
            <w:r>
              <w:rPr>
                <w:noProof/>
              </w:rPr>
              <w:tab/>
            </w:r>
            <w:r>
              <w:rPr>
                <w:rStyle w:val="CRDeleted"/>
                <w:noProof/>
              </w:rPr>
              <w:t>Partea alocabilă a societății-mamă din impozitul suplimentar</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[G]=[C]×[F]</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b.</w:t>
            </w:r>
            <w:r>
              <w:rPr>
                <w:noProof/>
              </w:rPr>
              <w:tab/>
            </w:r>
            <w:r>
              <w:rPr>
                <w:rStyle w:val="CRDeleted"/>
                <w:noProof/>
              </w:rPr>
              <w:t>Compensarea IIR</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[H]</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2414" w:type="dxa"/>
            <w:vMerge/>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41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c.</w:t>
            </w:r>
            <w:r>
              <w:rPr>
                <w:noProof/>
              </w:rPr>
              <w:tab/>
            </w:r>
            <w:r>
              <w:rPr>
                <w:rStyle w:val="CRDeleted"/>
                <w:noProof/>
              </w:rPr>
              <w:t>Impozitul suplimentar de plătit de către societatea-mamă</w:t>
            </w:r>
          </w:p>
        </w:tc>
        <w:tc>
          <w:tcPr>
            <w:tcW w:w="195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[I]=[G]-[H]</w:t>
            </w:r>
          </w:p>
        </w:tc>
        <w:tc>
          <w:tcPr>
            <w:tcW w:w="743"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3.4.2.</w:t>
      </w:r>
      <w:r>
        <w:rPr>
          <w:noProof/>
        </w:rPr>
        <w:tab/>
      </w:r>
      <w:r>
        <w:rPr>
          <w:rStyle w:val="CRDeleted"/>
          <w:noProof/>
        </w:rPr>
        <w:t>Valoarea totală a impozitului suplimentar în temeiul UTPR în legătură cu această jurisdicție</w:t>
      </w:r>
    </w:p>
    <w:tbl>
      <w:tblPr>
        <w:tblW w:w="0" w:type="auto"/>
        <w:tblLayout w:type="fixed"/>
        <w:tblLook w:val="0000" w:firstRow="0" w:lastRow="0" w:firstColumn="0" w:lastColumn="0" w:noHBand="0" w:noVBand="0"/>
      </w:tblPr>
      <w:tblGrid>
        <w:gridCol w:w="9286"/>
        <w:gridCol w:w="236"/>
      </w:tblGrid>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1.</w:t>
            </w:r>
            <w:r>
              <w:rPr>
                <w:noProof/>
              </w:rPr>
              <w:tab/>
            </w:r>
            <w:r>
              <w:rPr>
                <w:rStyle w:val="CRDeleted"/>
                <w:noProof/>
              </w:rPr>
              <w:t>Entitatea constitutivă (sau membrul unui grup de asocieri în participație) impozitat(ă) la un nivel redus pentru care nu se aplică reducerea UTPR la zero (NIF)</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2.</w:t>
            </w:r>
            <w:r>
              <w:rPr>
                <w:noProof/>
              </w:rPr>
              <w:tab/>
            </w:r>
            <w:r>
              <w:rPr>
                <w:rStyle w:val="CRDeleted"/>
                <w:noProof/>
              </w:rPr>
              <w:t>Impozitul suplimentar luat în considerare pentru calcularea valorii totale a impozitului suplimentar în temeiul UTPR pentru fiecare entitate constitutivă impozitată la un nivel redus</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r>
        <w:tc>
          <w:tcPr>
            <w:tcW w:w="928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3.</w:t>
            </w:r>
            <w:r>
              <w:rPr>
                <w:noProof/>
              </w:rPr>
              <w:tab/>
            </w:r>
            <w:r>
              <w:rPr>
                <w:rStyle w:val="CRDeleted"/>
                <w:noProof/>
              </w:rPr>
              <w:t>Valoarea totală a impozitului suplimentar în temeiul UTPR în legătură cu această jurisdicție</w:t>
            </w:r>
          </w:p>
        </w:tc>
        <w:tc>
          <w:tcPr>
            <w:tcW w:w="216"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rStyle w:val="CRDeleted"/>
          <w:noProof/>
        </w:rPr>
      </w:pPr>
    </w:p>
    <w:p>
      <w:pPr>
        <w:pStyle w:val="ManualHeading4"/>
        <w:rPr>
          <w:rStyle w:val="CRDeleted"/>
          <w:noProof/>
        </w:rPr>
      </w:pPr>
      <w:r>
        <w:rPr>
          <w:rStyle w:val="CRDeleted"/>
          <w:noProof/>
        </w:rPr>
        <w:t>3.4.3.</w:t>
      </w:r>
      <w:r>
        <w:rPr>
          <w:noProof/>
        </w:rPr>
        <w:tab/>
      </w:r>
      <w:r>
        <w:rPr>
          <w:rStyle w:val="CRDeleted"/>
          <w:noProof/>
        </w:rPr>
        <w:t>Atribuirea impozitului suplimentar în temeiul UTPR</w:t>
      </w:r>
    </w:p>
    <w:tbl>
      <w:tblPr>
        <w:tblW w:w="0" w:type="auto"/>
        <w:tblLayout w:type="fixed"/>
        <w:tblLook w:val="0000" w:firstRow="0" w:lastRow="0" w:firstColumn="0" w:lastColumn="0" w:noHBand="0" w:noVBand="0"/>
      </w:tblPr>
      <w:tblGrid>
        <w:gridCol w:w="1114"/>
        <w:gridCol w:w="1115"/>
        <w:gridCol w:w="1300"/>
        <w:gridCol w:w="835"/>
        <w:gridCol w:w="1115"/>
        <w:gridCol w:w="1114"/>
        <w:gridCol w:w="1579"/>
        <w:gridCol w:w="1114"/>
      </w:tblGrid>
      <w:tr>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1.</w:t>
            </w:r>
            <w:r>
              <w:rPr>
                <w:noProof/>
              </w:rPr>
              <w:tab/>
            </w:r>
            <w:r>
              <w:rPr>
                <w:rStyle w:val="CRDeleted"/>
                <w:noProof/>
              </w:rPr>
              <w:t>Jurisdicțiile care dispun de UTPR</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2.</w:t>
            </w:r>
            <w:r>
              <w:rPr>
                <w:noProof/>
              </w:rPr>
              <w:tab/>
            </w:r>
            <w:r>
              <w:rPr>
                <w:rStyle w:val="CRDeleted"/>
                <w:noProof/>
              </w:rPr>
              <w:t>Reportarea impozitului suplimentar în temeiul UTPR</w:t>
            </w:r>
          </w:p>
        </w:tc>
        <w:tc>
          <w:tcPr>
            <w:tcW w:w="1300"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3.</w:t>
            </w:r>
            <w:r>
              <w:rPr>
                <w:noProof/>
              </w:rPr>
              <w:tab/>
            </w:r>
            <w:r>
              <w:rPr>
                <w:rStyle w:val="CRDeleted"/>
                <w:noProof/>
              </w:rPr>
              <w:t>Numărul de angajați</w:t>
            </w:r>
          </w:p>
        </w:tc>
        <w:tc>
          <w:tcPr>
            <w:tcW w:w="83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4.</w:t>
            </w:r>
            <w:r>
              <w:rPr>
                <w:noProof/>
              </w:rPr>
              <w:tab/>
            </w:r>
            <w:r>
              <w:rPr>
                <w:rStyle w:val="CRDeleted"/>
                <w:noProof/>
              </w:rPr>
              <w:t>Valoarea contabilă netă a imobilizărilor corporale</w:t>
            </w:r>
          </w:p>
        </w:tc>
        <w:tc>
          <w:tcPr>
            <w:tcW w:w="1115"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5.</w:t>
            </w:r>
            <w:r>
              <w:rPr>
                <w:noProof/>
              </w:rPr>
              <w:tab/>
            </w:r>
            <w:r>
              <w:rPr>
                <w:rStyle w:val="CRDeleted"/>
                <w:noProof/>
              </w:rPr>
              <w:t>Procentul în temeiul UTPR</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6.</w:t>
            </w:r>
            <w:r>
              <w:rPr>
                <w:noProof/>
              </w:rPr>
              <w:tab/>
            </w:r>
            <w:r>
              <w:rPr>
                <w:rStyle w:val="CRDeleted"/>
                <w:noProof/>
              </w:rPr>
              <w:t>Valoarea impozitului suplimentar în temeiul UTPR atribuită pentru Anul fiscal de raportare</w:t>
            </w:r>
          </w:p>
        </w:tc>
        <w:tc>
          <w:tcPr>
            <w:tcW w:w="1579"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7.</w:t>
            </w:r>
            <w:r>
              <w:rPr>
                <w:noProof/>
              </w:rPr>
              <w:tab/>
            </w:r>
            <w:r>
              <w:rPr>
                <w:rStyle w:val="CRDeleted"/>
                <w:noProof/>
              </w:rPr>
              <w:t>Cheltuieli suplimentare cu impozitul în numerar suportate de entitățile constitutive în jurisdicția care dispune de UTPR</w:t>
            </w:r>
          </w:p>
        </w:tc>
        <w:tc>
          <w:tcPr>
            <w:tcW w:w="1114" w:type="dxa"/>
            <w:tcBorders>
              <w:top w:val="single" w:sz="2" w:space="0" w:color="auto"/>
              <w:left w:val="single" w:sz="2" w:space="0" w:color="auto"/>
              <w:bottom w:val="single" w:sz="2" w:space="0" w:color="auto"/>
              <w:right w:val="single" w:sz="2" w:space="0" w:color="auto"/>
            </w:tcBorders>
          </w:tcPr>
          <w:p>
            <w:pPr>
              <w:pStyle w:val="NormalCentered"/>
              <w:rPr>
                <w:rStyle w:val="CRDeleted"/>
                <w:noProof/>
              </w:rPr>
            </w:pPr>
            <w:r>
              <w:rPr>
                <w:rStyle w:val="CRDeleted"/>
                <w:noProof/>
              </w:rPr>
              <w:t>8.</w:t>
            </w:r>
            <w:r>
              <w:rPr>
                <w:noProof/>
              </w:rPr>
              <w:tab/>
            </w:r>
            <w:r>
              <w:rPr>
                <w:rStyle w:val="CRDeleted"/>
                <w:noProof/>
              </w:rPr>
              <w:t>Impozitul suplimentar în temeiul UTPR de reportat</w:t>
            </w:r>
          </w:p>
        </w:tc>
      </w:tr>
      <w:tr>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adjustRightInd w:val="0"/>
              <w:spacing w:before="0" w:after="0"/>
              <w:jc w:val="left"/>
              <w:rPr>
                <w:rStyle w:val="CRDeleted"/>
                <w:noProof/>
              </w:rPr>
            </w:pPr>
          </w:p>
        </w:tc>
      </w:tr>
      <w:tr>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r>
              <w:rPr>
                <w:rStyle w:val="CRDeleted"/>
                <w:noProof/>
              </w:rPr>
              <w:t>Total</w:t>
            </w:r>
          </w:p>
        </w:tc>
        <w:tc>
          <w:tcPr>
            <w:tcW w:w="111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300"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83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5"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579"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c>
          <w:tcPr>
            <w:tcW w:w="1114" w:type="dxa"/>
            <w:tcBorders>
              <w:top w:val="single" w:sz="2" w:space="0" w:color="auto"/>
              <w:left w:val="single" w:sz="2" w:space="0" w:color="auto"/>
              <w:bottom w:val="single" w:sz="2" w:space="0" w:color="auto"/>
              <w:right w:val="single" w:sz="2" w:space="0" w:color="auto"/>
            </w:tcBorders>
          </w:tcPr>
          <w:p>
            <w:pPr>
              <w:pStyle w:val="NormalLeft"/>
              <w:rPr>
                <w:rStyle w:val="CRDeleted"/>
                <w:noProof/>
              </w:rPr>
            </w:pPr>
          </w:p>
        </w:tc>
      </w:tr>
    </w:tbl>
    <w:p>
      <w:pPr>
        <w:rPr>
          <w:noProof/>
        </w:rPr>
      </w:pPr>
    </w:p>
    <w:p>
      <w:pPr>
        <w:rPr>
          <w:noProof/>
        </w:rPr>
        <w:sectPr>
          <w:pgSz w:w="11907" w:h="16839"/>
          <w:pgMar w:top="1134" w:right="1417" w:bottom="1134" w:left="1417" w:header="709" w:footer="709" w:gutter="0"/>
          <w:pgNumType w:start="1"/>
          <w:cols w:space="720"/>
          <w:docGrid w:linePitch="360"/>
        </w:sectPr>
      </w:pPr>
    </w:p>
    <w:p>
      <w:pPr>
        <w:pStyle w:val="CRSeparator"/>
        <w:rPr>
          <w:rFonts w:eastAsia="Times New Roman"/>
          <w:noProof/>
          <w:lang w:eastAsia="en-GB"/>
        </w:rPr>
      </w:pPr>
    </w:p>
    <w:p>
      <w:pPr>
        <w:pStyle w:val="CRReference"/>
        <w:rPr>
          <w:rFonts w:eastAsia="Times New Roman"/>
          <w:noProof/>
        </w:rPr>
      </w:pPr>
      <w:r>
        <w:rPr>
          <w:noProof/>
        </w:rPr>
        <w:fldChar w:fldCharType="begin"/>
      </w:r>
      <w:r>
        <w:rPr>
          <w:noProof/>
        </w:rPr>
        <w:instrText xml:space="preserve"> QUOTE "é" </w:instrText>
      </w:r>
      <w:r>
        <w:rPr>
          <w:noProof/>
        </w:rPr>
        <w:fldChar w:fldCharType="separate"/>
      </w:r>
      <w:r>
        <w:rPr>
          <w:rStyle w:val="CRMarker"/>
          <w:noProof/>
        </w:rPr>
        <w:t>é</w:t>
      </w:r>
      <w:r>
        <w:rPr>
          <w:noProof/>
        </w:rPr>
        <w:fldChar w:fldCharType="end"/>
      </w:r>
    </w:p>
    <w:p>
      <w:pPr>
        <w:pStyle w:val="Annexetitre"/>
        <w:rPr>
          <w:noProof/>
        </w:rPr>
      </w:pPr>
      <w:r>
        <w:rPr>
          <w:noProof/>
        </w:rPr>
        <w:t>ANEXA VIII</w:t>
      </w:r>
    </w:p>
    <w:p>
      <w:pPr>
        <w:widowControl w:val="0"/>
        <w:tabs>
          <w:tab w:val="right" w:pos="9600"/>
        </w:tabs>
        <w:suppressAutoHyphens/>
        <w:spacing w:before="360"/>
        <w:jc w:val="center"/>
        <w:rPr>
          <w:rFonts w:eastAsia="Times New Roman"/>
          <w:b/>
          <w:noProof/>
        </w:rPr>
      </w:pPr>
      <w:bookmarkStart w:id="88" w:name="_CopyToNewDocument_"/>
      <w:bookmarkEnd w:id="88"/>
      <w:r>
        <w:rPr>
          <w:b/>
          <w:noProof/>
        </w:rPr>
        <w:t>Partea A</w:t>
      </w:r>
    </w:p>
    <w:p>
      <w:pPr>
        <w:widowControl w:val="0"/>
        <w:tabs>
          <w:tab w:val="left" w:pos="-720"/>
          <w:tab w:val="center" w:pos="7344"/>
        </w:tabs>
        <w:suppressAutoHyphens/>
        <w:spacing w:before="0" w:after="240"/>
        <w:jc w:val="center"/>
        <w:rPr>
          <w:rFonts w:eastAsia="Times New Roman"/>
          <w:noProof/>
        </w:rPr>
      </w:pPr>
      <w:r>
        <w:rPr>
          <w:noProof/>
        </w:rPr>
        <w:t xml:space="preserve">Directiva abrogată cu lista modificărilor sale ulterioare </w:t>
      </w:r>
      <w:r>
        <w:rPr>
          <w:noProof/>
        </w:rPr>
        <w:br/>
        <w:t>(menționată la articolul 57)</w:t>
      </w:r>
    </w:p>
    <w:tbl>
      <w:tblPr>
        <w:tblStyle w:val="TableGrid"/>
        <w:tblW w:w="9214" w:type="dxa"/>
        <w:tblInd w:w="108" w:type="dxa"/>
        <w:tblBorders>
          <w:insideV w:val="none" w:sz="0" w:space="0" w:color="auto"/>
        </w:tblBorders>
        <w:tblLook w:val="04A0" w:firstRow="1" w:lastRow="0" w:firstColumn="1" w:lastColumn="0" w:noHBand="0" w:noVBand="1"/>
      </w:tblPr>
      <w:tblGrid>
        <w:gridCol w:w="9214"/>
      </w:tblGrid>
      <w:tr>
        <w:tc>
          <w:tcPr>
            <w:tcW w:w="9214" w:type="dxa"/>
            <w:vAlign w:val="center"/>
          </w:tcPr>
          <w:p>
            <w:pPr>
              <w:pStyle w:val="NormalCentered"/>
              <w:jc w:val="both"/>
              <w:rPr>
                <w:rFonts w:eastAsiaTheme="minorHAnsi"/>
                <w:noProof/>
              </w:rPr>
            </w:pPr>
            <w:r>
              <w:rPr>
                <w:noProof/>
              </w:rPr>
              <w:t>Directiva 2011/16/UE a Consiliului</w:t>
            </w:r>
          </w:p>
          <w:p>
            <w:pPr>
              <w:widowControl w:val="0"/>
              <w:tabs>
                <w:tab w:val="left" w:pos="-720"/>
                <w:tab w:val="center" w:pos="7344"/>
              </w:tabs>
              <w:suppressAutoHyphens/>
              <w:spacing w:before="0" w:after="240"/>
              <w:rPr>
                <w:noProof/>
              </w:rPr>
            </w:pPr>
            <w:r>
              <w:rPr>
                <w:noProof/>
              </w:rPr>
              <w:t>(JO L 64, 11.3.2011, p. 1, ELI: </w:t>
            </w:r>
            <w:hyperlink r:id="rId22" w:tooltip="Oferă acces la acest document prin identificatorul său uniform de resurse ELI." w:history="1">
              <w:r>
                <w:rPr>
                  <w:rStyle w:val="Hyperlink"/>
                  <w:noProof/>
                </w:rPr>
                <w:t>http://data.europa.eu/eli/dir/2011/16/oj</w:t>
              </w:r>
            </w:hyperlink>
            <w:r>
              <w:rPr>
                <w:noProof/>
              </w:rPr>
              <w:t>)</w:t>
            </w:r>
          </w:p>
        </w:tc>
      </w:tr>
      <w:tr>
        <w:tc>
          <w:tcPr>
            <w:tcW w:w="9214" w:type="dxa"/>
            <w:vAlign w:val="center"/>
          </w:tcPr>
          <w:p>
            <w:pPr>
              <w:widowControl w:val="0"/>
              <w:tabs>
                <w:tab w:val="left" w:pos="-720"/>
                <w:tab w:val="center" w:pos="7344"/>
              </w:tabs>
              <w:suppressAutoHyphens/>
              <w:spacing w:before="0" w:after="240"/>
              <w:rPr>
                <w:noProof/>
              </w:rPr>
            </w:pPr>
            <w:r>
              <w:rPr>
                <w:noProof/>
              </w:rPr>
              <w:t>Directiva 2014/107/UE a Consiliului</w:t>
            </w:r>
          </w:p>
          <w:p>
            <w:pPr>
              <w:widowControl w:val="0"/>
              <w:tabs>
                <w:tab w:val="left" w:pos="-720"/>
                <w:tab w:val="center" w:pos="7344"/>
              </w:tabs>
              <w:suppressAutoHyphens/>
              <w:spacing w:before="0" w:after="240"/>
              <w:rPr>
                <w:noProof/>
              </w:rPr>
            </w:pPr>
            <w:r>
              <w:rPr>
                <w:noProof/>
              </w:rPr>
              <w:t xml:space="preserve">JO L 359, 16.12.2014, p. 1-29, ELI: </w:t>
            </w:r>
            <w:hyperlink r:id="rId23" w:history="1">
              <w:r>
                <w:rPr>
                  <w:rStyle w:val="Hyperlink"/>
                  <w:noProof/>
                </w:rPr>
                <w:t>http://data.europa.eu/eli/dir/2014/107/oj</w:t>
              </w:r>
            </w:hyperlink>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2015/2376 a Consiliului </w:t>
            </w:r>
          </w:p>
          <w:p>
            <w:pPr>
              <w:widowControl w:val="0"/>
              <w:tabs>
                <w:tab w:val="left" w:pos="-720"/>
                <w:tab w:val="center" w:pos="7344"/>
              </w:tabs>
              <w:suppressAutoHyphens/>
              <w:spacing w:before="0" w:after="240"/>
              <w:rPr>
                <w:noProof/>
              </w:rPr>
            </w:pPr>
            <w:r>
              <w:rPr>
                <w:noProof/>
              </w:rPr>
              <w:t xml:space="preserve">JO L 332, 18.12.2015, p. 1-10, ELI: </w:t>
            </w:r>
            <w:hyperlink r:id="rId24" w:history="1">
              <w:r>
                <w:rPr>
                  <w:rStyle w:val="Hyperlink"/>
                  <w:noProof/>
                </w:rPr>
                <w:t>http://data.europa.eu/eli/dir/2015/2376/oj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Directiva (UE) 2016/881 a Consiliului</w:t>
            </w:r>
          </w:p>
          <w:p>
            <w:pPr>
              <w:widowControl w:val="0"/>
              <w:tabs>
                <w:tab w:val="left" w:pos="-720"/>
                <w:tab w:val="center" w:pos="7344"/>
              </w:tabs>
              <w:suppressAutoHyphens/>
              <w:spacing w:before="0" w:after="240"/>
              <w:rPr>
                <w:noProof/>
              </w:rPr>
            </w:pPr>
            <w:r>
              <w:rPr>
                <w:noProof/>
              </w:rPr>
              <w:t xml:space="preserve">JO L 146, 3.6.2016, p. 8-21, ELI: </w:t>
            </w:r>
            <w:hyperlink r:id="rId25" w:history="1">
              <w:r>
                <w:rPr>
                  <w:rStyle w:val="Hyperlink"/>
                  <w:noProof/>
                </w:rPr>
                <w:t>http://data.europa.eu/eli/dir/2016/881/oj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2016/2258 a Consiliului </w:t>
            </w:r>
          </w:p>
          <w:p>
            <w:pPr>
              <w:widowControl w:val="0"/>
              <w:tabs>
                <w:tab w:val="left" w:pos="-720"/>
                <w:tab w:val="center" w:pos="7344"/>
              </w:tabs>
              <w:suppressAutoHyphens/>
              <w:spacing w:before="0" w:after="240"/>
              <w:rPr>
                <w:noProof/>
              </w:rPr>
            </w:pPr>
            <w:r>
              <w:rPr>
                <w:noProof/>
              </w:rPr>
              <w:t xml:space="preserve">JO L 342, 16.12.2016, p. 1-3, ELI: </w:t>
            </w:r>
            <w:hyperlink r:id="rId26" w:history="1">
              <w:r>
                <w:rPr>
                  <w:rStyle w:val="Hyperlink"/>
                  <w:noProof/>
                </w:rPr>
                <w:t>http://data.europa.eu/eli/dir/2016/2258/oj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2018/822 a Consiliului </w:t>
            </w:r>
          </w:p>
          <w:p>
            <w:pPr>
              <w:widowControl w:val="0"/>
              <w:tabs>
                <w:tab w:val="left" w:pos="-720"/>
                <w:tab w:val="center" w:pos="7344"/>
              </w:tabs>
              <w:suppressAutoHyphens/>
              <w:spacing w:before="0" w:after="240"/>
              <w:rPr>
                <w:noProof/>
              </w:rPr>
            </w:pPr>
            <w:r>
              <w:rPr>
                <w:noProof/>
              </w:rPr>
              <w:t xml:space="preserve">JO L 139, 5.6.2018, p. 1-13, ELI: </w:t>
            </w:r>
            <w:hyperlink r:id="rId27" w:history="1">
              <w:r>
                <w:rPr>
                  <w:rStyle w:val="Hyperlink"/>
                  <w:noProof/>
                </w:rPr>
                <w:t>http://data.europa.eu/eli/dir/2018/822/oj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2020/876 a Consiliului </w:t>
            </w:r>
          </w:p>
          <w:p>
            <w:pPr>
              <w:widowControl w:val="0"/>
              <w:tabs>
                <w:tab w:val="left" w:pos="-720"/>
                <w:tab w:val="center" w:pos="7344"/>
              </w:tabs>
              <w:suppressAutoHyphens/>
              <w:spacing w:before="0" w:after="240"/>
              <w:rPr>
                <w:noProof/>
              </w:rPr>
            </w:pPr>
            <w:r>
              <w:rPr>
                <w:noProof/>
              </w:rPr>
              <w:t xml:space="preserve">JO L 204, 26.6.2020, p. 46-48, ELI: </w:t>
            </w:r>
            <w:hyperlink r:id="rId28" w:history="1">
              <w:r>
                <w:rPr>
                  <w:rStyle w:val="Hyperlink"/>
                  <w:noProof/>
                </w:rPr>
                <w:t>http://data.europa.eu/eli/dir/2020/876/oj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2021/514 a Consiliului </w:t>
            </w:r>
          </w:p>
          <w:p>
            <w:pPr>
              <w:widowControl w:val="0"/>
              <w:tabs>
                <w:tab w:val="left" w:pos="-720"/>
                <w:tab w:val="center" w:pos="7344"/>
              </w:tabs>
              <w:suppressAutoHyphens/>
              <w:spacing w:before="0" w:after="240"/>
              <w:rPr>
                <w:noProof/>
              </w:rPr>
            </w:pPr>
            <w:r>
              <w:rPr>
                <w:noProof/>
              </w:rPr>
              <w:t xml:space="preserve">JO L 104, 25.3.2021, p. 1-26, ELI: </w:t>
            </w:r>
            <w:hyperlink r:id="rId29" w:history="1">
              <w:r>
                <w:rPr>
                  <w:rStyle w:val="Hyperlink"/>
                  <w:noProof/>
                </w:rPr>
                <w:t>http://data.europa.eu/eli/dir/2021/514/oj</w:t>
              </w:r>
            </w:hyperlink>
            <w:r>
              <w:rPr>
                <w:noProof/>
              </w:rPr>
              <w:t xml:space="preserve"> </w:t>
            </w:r>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2023/2226 a Consiliului </w:t>
            </w:r>
          </w:p>
          <w:p>
            <w:pPr>
              <w:widowControl w:val="0"/>
              <w:tabs>
                <w:tab w:val="left" w:pos="-720"/>
                <w:tab w:val="center" w:pos="7344"/>
              </w:tabs>
              <w:suppressAutoHyphens/>
              <w:spacing w:before="0" w:after="240"/>
              <w:rPr>
                <w:noProof/>
              </w:rPr>
            </w:pPr>
            <w:r>
              <w:rPr>
                <w:noProof/>
              </w:rPr>
              <w:t xml:space="preserve">JO L, 2023/2226, 24.10.2023, ELI: </w:t>
            </w:r>
            <w:hyperlink r:id="rId30" w:history="1">
              <w:r>
                <w:rPr>
                  <w:rStyle w:val="Hyperlink"/>
                  <w:noProof/>
                </w:rPr>
                <w:t>http://data.europa.eu/eli/dir/2023/2226/oj</w:t>
              </w:r>
            </w:hyperlink>
          </w:p>
        </w:tc>
      </w:tr>
      <w:tr>
        <w:tc>
          <w:tcPr>
            <w:tcW w:w="9214" w:type="dxa"/>
            <w:vAlign w:val="center"/>
          </w:tcPr>
          <w:p>
            <w:pPr>
              <w:widowControl w:val="0"/>
              <w:tabs>
                <w:tab w:val="left" w:pos="-720"/>
                <w:tab w:val="center" w:pos="7344"/>
              </w:tabs>
              <w:suppressAutoHyphens/>
              <w:spacing w:before="0" w:after="240"/>
              <w:rPr>
                <w:noProof/>
              </w:rPr>
            </w:pPr>
            <w:r>
              <w:rPr>
                <w:noProof/>
              </w:rPr>
              <w:t xml:space="preserve">Directiva (UE) 2025/872 a Consiliului </w:t>
            </w:r>
          </w:p>
          <w:p>
            <w:pPr>
              <w:widowControl w:val="0"/>
              <w:tabs>
                <w:tab w:val="left" w:pos="-720"/>
                <w:tab w:val="center" w:pos="7344"/>
              </w:tabs>
              <w:suppressAutoHyphens/>
              <w:spacing w:before="0" w:after="240"/>
              <w:rPr>
                <w:noProof/>
              </w:rPr>
            </w:pPr>
            <w:r>
              <w:rPr>
                <w:noProof/>
              </w:rPr>
              <w:t xml:space="preserve">JO L, 2025/872, 6.5.2025, ELI: </w:t>
            </w:r>
            <w:hyperlink r:id="rId31" w:history="1">
              <w:r>
                <w:rPr>
                  <w:rStyle w:val="Hyperlink"/>
                  <w:noProof/>
                </w:rPr>
                <w:t>http://data.europa.eu/eli/dir/2025/872/oj</w:t>
              </w:r>
            </w:hyperlink>
            <w:r>
              <w:rPr>
                <w:noProof/>
              </w:rPr>
              <w:t xml:space="preserve"> </w:t>
            </w:r>
          </w:p>
        </w:tc>
      </w:tr>
    </w:tbl>
    <w:p>
      <w:pPr>
        <w:keepNext/>
        <w:keepLines/>
        <w:widowControl w:val="0"/>
        <w:tabs>
          <w:tab w:val="right" w:pos="9600"/>
        </w:tabs>
        <w:suppressAutoHyphens/>
        <w:spacing w:before="360"/>
        <w:jc w:val="center"/>
        <w:rPr>
          <w:rFonts w:eastAsia="Times New Roman"/>
          <w:b/>
          <w:noProof/>
        </w:rPr>
      </w:pPr>
      <w:r>
        <w:rPr>
          <w:b/>
          <w:noProof/>
        </w:rPr>
        <w:lastRenderedPageBreak/>
        <w:t>Partea B</w:t>
      </w:r>
    </w:p>
    <w:p>
      <w:pPr>
        <w:keepNext/>
        <w:keepLines/>
        <w:widowControl w:val="0"/>
        <w:tabs>
          <w:tab w:val="right" w:pos="9600"/>
        </w:tabs>
        <w:suppressAutoHyphens/>
        <w:jc w:val="center"/>
        <w:rPr>
          <w:rFonts w:eastAsia="Times New Roman"/>
          <w:noProof/>
        </w:rPr>
      </w:pPr>
      <w:r>
        <w:rPr>
          <w:noProof/>
        </w:rPr>
        <w:t xml:space="preserve">Termene de transpunere în dreptul intern și datele de aplicare </w:t>
      </w:r>
      <w:r>
        <w:rPr>
          <w:noProof/>
        </w:rPr>
        <w:br/>
        <w:t>(menționate la articolul 57)</w:t>
      </w:r>
    </w:p>
    <w:tbl>
      <w:tblPr>
        <w:tblW w:w="0" w:type="auto"/>
        <w:jc w:val="center"/>
        <w:tblLook w:val="01E0" w:firstRow="1" w:lastRow="1" w:firstColumn="1" w:lastColumn="1" w:noHBand="0" w:noVBand="0"/>
      </w:tblPr>
      <w:tblGrid>
        <w:gridCol w:w="4515"/>
        <w:gridCol w:w="2433"/>
        <w:gridCol w:w="2341"/>
      </w:tblGrid>
      <w:tr>
        <w:trPr>
          <w:jc w:val="center"/>
        </w:trPr>
        <w:tc>
          <w:tcPr>
            <w:tcW w:w="4515" w:type="dxa"/>
            <w:tcBorders>
              <w:top w:val="single" w:sz="4" w:space="0" w:color="auto"/>
              <w:bottom w:val="single" w:sz="4" w:space="0" w:color="auto"/>
              <w:right w:val="single" w:sz="4" w:space="0" w:color="auto"/>
            </w:tcBorders>
          </w:tcPr>
          <w:p>
            <w:pPr>
              <w:keepNext/>
              <w:keepLines/>
              <w:tabs>
                <w:tab w:val="right" w:pos="9600"/>
              </w:tabs>
              <w:suppressAutoHyphens/>
              <w:spacing w:after="240"/>
              <w:jc w:val="center"/>
              <w:rPr>
                <w:b/>
                <w:noProof/>
                <w:szCs w:val="20"/>
              </w:rPr>
            </w:pPr>
            <w:r>
              <w:rPr>
                <w:b/>
                <w:noProof/>
              </w:rPr>
              <w:t>Directiva</w:t>
            </w:r>
          </w:p>
        </w:tc>
        <w:tc>
          <w:tcPr>
            <w:tcW w:w="2433" w:type="dxa"/>
            <w:tcBorders>
              <w:top w:val="single" w:sz="4" w:space="0" w:color="auto"/>
              <w:left w:val="single" w:sz="4" w:space="0" w:color="auto"/>
              <w:bottom w:val="single" w:sz="4" w:space="0" w:color="auto"/>
              <w:right w:val="single" w:sz="4" w:space="0" w:color="auto"/>
            </w:tcBorders>
          </w:tcPr>
          <w:p>
            <w:pPr>
              <w:keepNext/>
              <w:keepLines/>
              <w:tabs>
                <w:tab w:val="right" w:pos="9600"/>
              </w:tabs>
              <w:suppressAutoHyphens/>
              <w:spacing w:after="240"/>
              <w:jc w:val="center"/>
              <w:rPr>
                <w:b/>
                <w:noProof/>
                <w:szCs w:val="20"/>
              </w:rPr>
            </w:pPr>
            <w:r>
              <w:rPr>
                <w:b/>
                <w:noProof/>
              </w:rPr>
              <w:t>Termen de transpunere</w:t>
            </w:r>
          </w:p>
        </w:tc>
        <w:tc>
          <w:tcPr>
            <w:tcW w:w="2341" w:type="dxa"/>
            <w:tcBorders>
              <w:top w:val="single" w:sz="4" w:space="0" w:color="auto"/>
              <w:left w:val="single" w:sz="4" w:space="0" w:color="auto"/>
              <w:bottom w:val="single" w:sz="4" w:space="0" w:color="auto"/>
            </w:tcBorders>
          </w:tcPr>
          <w:p>
            <w:pPr>
              <w:keepNext/>
              <w:keepLines/>
              <w:tabs>
                <w:tab w:val="right" w:pos="9600"/>
              </w:tabs>
              <w:suppressAutoHyphens/>
              <w:spacing w:after="240"/>
              <w:jc w:val="center"/>
              <w:rPr>
                <w:b/>
                <w:noProof/>
                <w:szCs w:val="20"/>
              </w:rPr>
            </w:pPr>
            <w:r>
              <w:rPr>
                <w:b/>
                <w:noProof/>
              </w:rPr>
              <w:t>Data de aplicare</w:t>
            </w:r>
          </w:p>
        </w:tc>
      </w:tr>
      <w:tr>
        <w:trPr>
          <w:jc w:val="center"/>
        </w:trPr>
        <w:tc>
          <w:tcPr>
            <w:tcW w:w="4515" w:type="dxa"/>
            <w:tcBorders>
              <w:top w:val="single" w:sz="4" w:space="0" w:color="auto"/>
              <w:right w:val="single" w:sz="4" w:space="0" w:color="auto"/>
            </w:tcBorders>
            <w:vAlign w:val="center"/>
          </w:tcPr>
          <w:p>
            <w:pPr>
              <w:pStyle w:val="NormalCentered"/>
              <w:keepNext/>
              <w:keepLines/>
              <w:jc w:val="both"/>
              <w:rPr>
                <w:noProof/>
                <w:szCs w:val="20"/>
              </w:rPr>
            </w:pPr>
            <w:r>
              <w:rPr>
                <w:noProof/>
              </w:rPr>
              <w:t>Directiva 2011/16/UE a Consiliului</w:t>
            </w:r>
          </w:p>
        </w:tc>
        <w:tc>
          <w:tcPr>
            <w:tcW w:w="2433" w:type="dxa"/>
            <w:tcBorders>
              <w:top w:val="single" w:sz="4" w:space="0" w:color="auto"/>
              <w:left w:val="single" w:sz="4" w:space="0" w:color="auto"/>
              <w:right w:val="single" w:sz="4" w:space="0" w:color="auto"/>
            </w:tcBorders>
          </w:tcPr>
          <w:p>
            <w:pPr>
              <w:keepNext/>
              <w:keepLines/>
              <w:tabs>
                <w:tab w:val="right" w:pos="9600"/>
              </w:tabs>
              <w:spacing w:after="240"/>
              <w:jc w:val="center"/>
              <w:rPr>
                <w:noProof/>
              </w:rPr>
            </w:pPr>
            <w:r>
              <w:rPr>
                <w:noProof/>
              </w:rPr>
              <w:t>1 ianuarie 2013</w:t>
            </w:r>
          </w:p>
          <w:p>
            <w:pPr>
              <w:keepNext/>
              <w:keepLines/>
              <w:tabs>
                <w:tab w:val="right" w:pos="9600"/>
              </w:tabs>
              <w:suppressAutoHyphens/>
              <w:spacing w:after="240"/>
              <w:jc w:val="center"/>
              <w:rPr>
                <w:noProof/>
              </w:rPr>
            </w:pPr>
            <w:r>
              <w:rPr>
                <w:noProof/>
              </w:rPr>
              <w:t xml:space="preserve">(1 ianuarie 2015 în ceea ce privește articolul 8) </w:t>
            </w:r>
          </w:p>
        </w:tc>
        <w:tc>
          <w:tcPr>
            <w:tcW w:w="2341" w:type="dxa"/>
            <w:tcBorders>
              <w:top w:val="single" w:sz="4" w:space="0" w:color="auto"/>
              <w:left w:val="single" w:sz="4" w:space="0" w:color="auto"/>
            </w:tcBorders>
          </w:tcPr>
          <w:p>
            <w:pPr>
              <w:keepNext/>
              <w:keepLines/>
              <w:tabs>
                <w:tab w:val="right" w:pos="9600"/>
              </w:tabs>
              <w:suppressAutoHyphens/>
              <w:spacing w:after="240"/>
              <w:jc w:val="center"/>
              <w:rPr>
                <w:noProof/>
                <w:szCs w:val="20"/>
              </w:rPr>
            </w:pP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Directiva 2014/107/UE a Consiliului</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r>
              <w:rPr>
                <w:noProof/>
              </w:rPr>
              <w:t>31 decembrie 2015</w:t>
            </w:r>
          </w:p>
        </w:tc>
        <w:tc>
          <w:tcPr>
            <w:tcW w:w="2341" w:type="dxa"/>
            <w:tcBorders>
              <w:left w:val="single" w:sz="4" w:space="0" w:color="auto"/>
            </w:tcBorders>
          </w:tcPr>
          <w:p>
            <w:pPr>
              <w:tabs>
                <w:tab w:val="right" w:pos="9600"/>
              </w:tabs>
              <w:suppressAutoHyphens/>
              <w:spacing w:after="240"/>
              <w:jc w:val="center"/>
              <w:rPr>
                <w:noProof/>
                <w:szCs w:val="24"/>
              </w:rPr>
            </w:pPr>
            <w:r>
              <w:rPr>
                <w:noProof/>
              </w:rPr>
              <w:t>1 ianuarie 2016</w:t>
            </w:r>
          </w:p>
          <w:p>
            <w:pPr>
              <w:tabs>
                <w:tab w:val="right" w:pos="9600"/>
              </w:tabs>
              <w:suppressAutoHyphens/>
              <w:spacing w:after="240"/>
              <w:jc w:val="center"/>
              <w:rPr>
                <w:noProof/>
                <w:szCs w:val="20"/>
              </w:rPr>
            </w:pPr>
            <w:r>
              <w:rPr>
                <w:noProof/>
              </w:rPr>
              <w:t>(1 ianuarie 2017 în ceea ce privește Austria)</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 xml:space="preserve">Directiva (UE) 2015/2376 a Consiliului </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r>
              <w:rPr>
                <w:noProof/>
              </w:rPr>
              <w:t>31 decembrie 2016</w:t>
            </w:r>
          </w:p>
        </w:tc>
        <w:tc>
          <w:tcPr>
            <w:tcW w:w="2341" w:type="dxa"/>
            <w:tcBorders>
              <w:left w:val="single" w:sz="4" w:space="0" w:color="auto"/>
            </w:tcBorders>
          </w:tcPr>
          <w:p>
            <w:pPr>
              <w:tabs>
                <w:tab w:val="right" w:pos="9600"/>
              </w:tabs>
              <w:suppressAutoHyphens/>
              <w:spacing w:after="240"/>
              <w:jc w:val="center"/>
              <w:rPr>
                <w:noProof/>
                <w:szCs w:val="20"/>
              </w:rPr>
            </w:pPr>
            <w:r>
              <w:rPr>
                <w:noProof/>
              </w:rPr>
              <w:t>1 ianuarie 2017</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Directiva (UE) 2016/881 a Consiliului</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r>
              <w:rPr>
                <w:noProof/>
              </w:rPr>
              <w:t>4 iunie 2017</w:t>
            </w:r>
          </w:p>
        </w:tc>
        <w:tc>
          <w:tcPr>
            <w:tcW w:w="2341" w:type="dxa"/>
            <w:tcBorders>
              <w:left w:val="single" w:sz="4" w:space="0" w:color="auto"/>
            </w:tcBorders>
          </w:tcPr>
          <w:p>
            <w:pPr>
              <w:tabs>
                <w:tab w:val="right" w:pos="9600"/>
              </w:tabs>
              <w:suppressAutoHyphens/>
              <w:spacing w:after="240"/>
              <w:jc w:val="center"/>
              <w:rPr>
                <w:noProof/>
                <w:szCs w:val="20"/>
              </w:rPr>
            </w:pPr>
            <w:r>
              <w:rPr>
                <w:noProof/>
              </w:rPr>
              <w:t>5 iunie 2017</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Directiva (UE) 2016/2258 a Consiliului</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r>
              <w:rPr>
                <w:noProof/>
              </w:rPr>
              <w:t>31 decembrie 2017</w:t>
            </w:r>
          </w:p>
        </w:tc>
        <w:tc>
          <w:tcPr>
            <w:tcW w:w="2341" w:type="dxa"/>
            <w:tcBorders>
              <w:left w:val="single" w:sz="4" w:space="0" w:color="auto"/>
            </w:tcBorders>
          </w:tcPr>
          <w:p>
            <w:pPr>
              <w:tabs>
                <w:tab w:val="right" w:pos="9600"/>
              </w:tabs>
              <w:suppressAutoHyphens/>
              <w:spacing w:after="240"/>
              <w:jc w:val="center"/>
              <w:rPr>
                <w:noProof/>
                <w:szCs w:val="20"/>
              </w:rPr>
            </w:pPr>
            <w:r>
              <w:rPr>
                <w:noProof/>
              </w:rPr>
              <w:t>1 ianuarie 2018</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rFonts w:eastAsia="Times New Roman"/>
                <w:noProof/>
              </w:rPr>
            </w:pPr>
            <w:r>
              <w:rPr>
                <w:noProof/>
              </w:rPr>
              <w:t xml:space="preserve">Directiva (UE) 2018/822 a Consiliului </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r>
              <w:rPr>
                <w:noProof/>
              </w:rPr>
              <w:t>31 decembrie 2019</w:t>
            </w:r>
          </w:p>
        </w:tc>
        <w:tc>
          <w:tcPr>
            <w:tcW w:w="2341" w:type="dxa"/>
            <w:tcBorders>
              <w:left w:val="single" w:sz="4" w:space="0" w:color="auto"/>
            </w:tcBorders>
          </w:tcPr>
          <w:p>
            <w:pPr>
              <w:tabs>
                <w:tab w:val="right" w:pos="9600"/>
              </w:tabs>
              <w:suppressAutoHyphens/>
              <w:spacing w:after="240"/>
              <w:jc w:val="center"/>
              <w:rPr>
                <w:noProof/>
                <w:szCs w:val="20"/>
              </w:rPr>
            </w:pPr>
            <w:r>
              <w:rPr>
                <w:noProof/>
              </w:rPr>
              <w:t>1 iulie 2020</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Directiva (UE) 2020/876 a Consiliului </w:t>
            </w:r>
          </w:p>
        </w:tc>
        <w:tc>
          <w:tcPr>
            <w:tcW w:w="2433" w:type="dxa"/>
            <w:tcBorders>
              <w:left w:val="single" w:sz="4" w:space="0" w:color="auto"/>
              <w:right w:val="single" w:sz="4" w:space="0" w:color="auto"/>
            </w:tcBorders>
          </w:tcPr>
          <w:p>
            <w:pPr>
              <w:keepNext/>
              <w:keepLines/>
              <w:tabs>
                <w:tab w:val="right" w:pos="9600"/>
              </w:tabs>
              <w:suppressAutoHyphens/>
              <w:spacing w:after="240"/>
              <w:jc w:val="center"/>
              <w:rPr>
                <w:noProof/>
                <w:szCs w:val="20"/>
              </w:rPr>
            </w:pPr>
          </w:p>
        </w:tc>
        <w:tc>
          <w:tcPr>
            <w:tcW w:w="2341" w:type="dxa"/>
            <w:tcBorders>
              <w:left w:val="single" w:sz="4" w:space="0" w:color="auto"/>
            </w:tcBorders>
          </w:tcPr>
          <w:p>
            <w:pPr>
              <w:tabs>
                <w:tab w:val="right" w:pos="9600"/>
              </w:tabs>
              <w:spacing w:after="240"/>
              <w:jc w:val="center"/>
              <w:rPr>
                <w:noProof/>
                <w:szCs w:val="24"/>
              </w:rPr>
            </w:pPr>
            <w:r>
              <w:rPr>
                <w:noProof/>
              </w:rPr>
              <w:t>27 iunie 2020</w:t>
            </w:r>
          </w:p>
          <w:p>
            <w:pPr>
              <w:tabs>
                <w:tab w:val="right" w:pos="9600"/>
              </w:tabs>
              <w:suppressAutoHyphens/>
              <w:spacing w:after="240"/>
              <w:jc w:val="center"/>
              <w:rPr>
                <w:noProof/>
                <w:szCs w:val="20"/>
              </w:rPr>
            </w:pP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Directiva (UE) 2021/514 a Consiliului </w:t>
            </w:r>
          </w:p>
        </w:tc>
        <w:tc>
          <w:tcPr>
            <w:tcW w:w="2433" w:type="dxa"/>
            <w:tcBorders>
              <w:left w:val="single" w:sz="4" w:space="0" w:color="auto"/>
              <w:right w:val="single" w:sz="4" w:space="0" w:color="auto"/>
            </w:tcBorders>
          </w:tcPr>
          <w:p>
            <w:pPr>
              <w:keepNext/>
              <w:keepLines/>
              <w:tabs>
                <w:tab w:val="right" w:pos="9600"/>
              </w:tabs>
              <w:spacing w:after="240"/>
              <w:jc w:val="center"/>
              <w:rPr>
                <w:noProof/>
                <w:szCs w:val="24"/>
              </w:rPr>
            </w:pPr>
            <w:r>
              <w:rPr>
                <w:noProof/>
              </w:rPr>
              <w:t>31 decembrie 2022</w:t>
            </w:r>
          </w:p>
          <w:p>
            <w:pPr>
              <w:keepNext/>
              <w:keepLines/>
              <w:tabs>
                <w:tab w:val="right" w:pos="9600"/>
              </w:tabs>
              <w:suppressAutoHyphens/>
              <w:spacing w:after="240"/>
              <w:jc w:val="center"/>
              <w:rPr>
                <w:noProof/>
                <w:szCs w:val="20"/>
              </w:rPr>
            </w:pPr>
            <w:r>
              <w:rPr>
                <w:noProof/>
              </w:rPr>
              <w:t>[31 decembrie 2023 în ceea ce privește articolul 1 punctul 1 litera (d), în măsura în care se referă la articolul 3 punctul 26 din Directiva 2011/16/UE, precum și articolul 1 punctul 12]</w:t>
            </w:r>
          </w:p>
        </w:tc>
        <w:tc>
          <w:tcPr>
            <w:tcW w:w="2341" w:type="dxa"/>
            <w:tcBorders>
              <w:left w:val="single" w:sz="4" w:space="0" w:color="auto"/>
            </w:tcBorders>
          </w:tcPr>
          <w:p>
            <w:pPr>
              <w:tabs>
                <w:tab w:val="right" w:pos="9600"/>
              </w:tabs>
              <w:spacing w:after="240"/>
              <w:jc w:val="center"/>
              <w:rPr>
                <w:noProof/>
                <w:szCs w:val="24"/>
              </w:rPr>
            </w:pPr>
            <w:r>
              <w:rPr>
                <w:noProof/>
              </w:rPr>
              <w:t>1 ianuarie 2023.</w:t>
            </w:r>
          </w:p>
          <w:p>
            <w:pPr>
              <w:tabs>
                <w:tab w:val="right" w:pos="9600"/>
              </w:tabs>
              <w:suppressAutoHyphens/>
              <w:spacing w:after="240"/>
              <w:jc w:val="center"/>
              <w:rPr>
                <w:noProof/>
                <w:szCs w:val="20"/>
              </w:rPr>
            </w:pPr>
            <w:r>
              <w:rPr>
                <w:noProof/>
              </w:rPr>
              <w:t>[1 ianuarie 2024 în ceea ce privește articolul 1 punctul 1 litera (d), în măsura în care se referă la articolul 3 punctul 26 din Directiva 2011/16/UE, precum și articolul 1 punctul 12]</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t xml:space="preserve">Directiva (UE) 2023/2226 a Consiliului </w:t>
            </w:r>
          </w:p>
        </w:tc>
        <w:tc>
          <w:tcPr>
            <w:tcW w:w="2433" w:type="dxa"/>
            <w:tcBorders>
              <w:left w:val="single" w:sz="4" w:space="0" w:color="auto"/>
              <w:right w:val="single" w:sz="4" w:space="0" w:color="auto"/>
            </w:tcBorders>
          </w:tcPr>
          <w:p>
            <w:pPr>
              <w:keepNext/>
              <w:keepLines/>
              <w:tabs>
                <w:tab w:val="right" w:pos="9600"/>
              </w:tabs>
              <w:spacing w:after="240"/>
              <w:jc w:val="center"/>
              <w:rPr>
                <w:noProof/>
                <w:szCs w:val="24"/>
              </w:rPr>
            </w:pPr>
            <w:r>
              <w:rPr>
                <w:noProof/>
              </w:rPr>
              <w:t>31 decembrie 2025</w:t>
            </w:r>
          </w:p>
          <w:p>
            <w:pPr>
              <w:keepNext/>
              <w:keepLines/>
              <w:tabs>
                <w:tab w:val="right" w:pos="9600"/>
              </w:tabs>
              <w:spacing w:after="240"/>
              <w:jc w:val="center"/>
              <w:rPr>
                <w:noProof/>
                <w:szCs w:val="24"/>
              </w:rPr>
            </w:pPr>
            <w:r>
              <w:rPr>
                <w:noProof/>
              </w:rPr>
              <w:t xml:space="preserve">(31 decembrie 2027 în ceea ce privește articolul 1 punctul 11, precum și articolul 1 </w:t>
            </w:r>
            <w:r>
              <w:rPr>
                <w:noProof/>
              </w:rPr>
              <w:lastRenderedPageBreak/>
              <w:t>punctul 16, în măsura în care se referă la articolul 27c punctele 3 și 4 din Directiva 2011/16/UE)</w:t>
            </w:r>
          </w:p>
          <w:p>
            <w:pPr>
              <w:keepNext/>
              <w:keepLines/>
              <w:tabs>
                <w:tab w:val="right" w:pos="9600"/>
              </w:tabs>
              <w:suppressAutoHyphens/>
              <w:spacing w:after="240"/>
              <w:jc w:val="center"/>
              <w:rPr>
                <w:noProof/>
                <w:szCs w:val="20"/>
              </w:rPr>
            </w:pPr>
            <w:r>
              <w:rPr>
                <w:noProof/>
              </w:rPr>
              <w:t>(31 decembrie 2029 în ceea ce privește articolul 1 punctul 16, în măsura în care se referă la articolul 27c punctul 2 din Directiva 2011/16/UE)</w:t>
            </w:r>
          </w:p>
        </w:tc>
        <w:tc>
          <w:tcPr>
            <w:tcW w:w="2341" w:type="dxa"/>
            <w:tcBorders>
              <w:left w:val="single" w:sz="4" w:space="0" w:color="auto"/>
            </w:tcBorders>
          </w:tcPr>
          <w:p>
            <w:pPr>
              <w:tabs>
                <w:tab w:val="right" w:pos="9600"/>
              </w:tabs>
              <w:spacing w:after="240"/>
              <w:jc w:val="center"/>
              <w:rPr>
                <w:noProof/>
                <w:szCs w:val="24"/>
              </w:rPr>
            </w:pPr>
            <w:r>
              <w:rPr>
                <w:noProof/>
              </w:rPr>
              <w:lastRenderedPageBreak/>
              <w:t xml:space="preserve">1 ianuarie 2026 </w:t>
            </w:r>
          </w:p>
          <w:p>
            <w:pPr>
              <w:tabs>
                <w:tab w:val="right" w:pos="9600"/>
              </w:tabs>
              <w:spacing w:after="240"/>
              <w:jc w:val="center"/>
              <w:rPr>
                <w:noProof/>
                <w:szCs w:val="24"/>
              </w:rPr>
            </w:pPr>
            <w:r>
              <w:rPr>
                <w:noProof/>
              </w:rPr>
              <w:t xml:space="preserve">(1 ianuarie 2028 în ceea ce privește articolul 1 punctul 11, precum și articolul 1 </w:t>
            </w:r>
            <w:r>
              <w:rPr>
                <w:noProof/>
              </w:rPr>
              <w:lastRenderedPageBreak/>
              <w:t>punctul 16, în măsura în care se referă la articolul 27c punctele 3 și 4 din Directiva 2011/16/UE)</w:t>
            </w:r>
          </w:p>
          <w:p>
            <w:pPr>
              <w:tabs>
                <w:tab w:val="right" w:pos="9600"/>
              </w:tabs>
              <w:suppressAutoHyphens/>
              <w:spacing w:after="240"/>
              <w:jc w:val="center"/>
              <w:rPr>
                <w:noProof/>
                <w:szCs w:val="20"/>
              </w:rPr>
            </w:pPr>
            <w:r>
              <w:rPr>
                <w:noProof/>
              </w:rPr>
              <w:t>(1 ianuarie 2030 în ceea ce privește articolul 1 punctul 16, în măsura în care se referă la articolul 27c punctul 2 din Directiva 2011/16/UE)</w:t>
            </w:r>
          </w:p>
        </w:tc>
      </w:tr>
      <w:tr>
        <w:trPr>
          <w:jc w:val="center"/>
        </w:trPr>
        <w:tc>
          <w:tcPr>
            <w:tcW w:w="4515" w:type="dxa"/>
            <w:tcBorders>
              <w:right w:val="single" w:sz="4" w:space="0" w:color="auto"/>
            </w:tcBorders>
            <w:vAlign w:val="center"/>
          </w:tcPr>
          <w:p>
            <w:pPr>
              <w:widowControl w:val="0"/>
              <w:tabs>
                <w:tab w:val="left" w:pos="-720"/>
                <w:tab w:val="center" w:pos="7344"/>
              </w:tabs>
              <w:suppressAutoHyphens/>
              <w:spacing w:before="0" w:after="240"/>
              <w:rPr>
                <w:noProof/>
              </w:rPr>
            </w:pPr>
            <w:r>
              <w:rPr>
                <w:noProof/>
              </w:rPr>
              <w:lastRenderedPageBreak/>
              <w:t xml:space="preserve">Directiva (UE) 2025/872 a Consiliului </w:t>
            </w:r>
          </w:p>
        </w:tc>
        <w:tc>
          <w:tcPr>
            <w:tcW w:w="2433" w:type="dxa"/>
            <w:tcBorders>
              <w:left w:val="single" w:sz="4" w:space="0" w:color="auto"/>
              <w:right w:val="single" w:sz="4" w:space="0" w:color="auto"/>
            </w:tcBorders>
          </w:tcPr>
          <w:p>
            <w:pPr>
              <w:keepNext/>
              <w:keepLines/>
              <w:tabs>
                <w:tab w:val="right" w:pos="9600"/>
              </w:tabs>
              <w:spacing w:after="240"/>
              <w:jc w:val="center"/>
              <w:rPr>
                <w:noProof/>
                <w:szCs w:val="24"/>
              </w:rPr>
            </w:pPr>
            <w:r>
              <w:rPr>
                <w:noProof/>
              </w:rPr>
              <w:t>31 decembrie 2025</w:t>
            </w:r>
          </w:p>
          <w:p>
            <w:pPr>
              <w:keepNext/>
              <w:keepLines/>
              <w:tabs>
                <w:tab w:val="right" w:pos="9600"/>
              </w:tabs>
              <w:spacing w:after="240"/>
              <w:jc w:val="center"/>
              <w:rPr>
                <w:noProof/>
                <w:szCs w:val="24"/>
              </w:rPr>
            </w:pPr>
            <w:r>
              <w:rPr>
                <w:noProof/>
              </w:rPr>
              <w:t xml:space="preserve">(31 decembrie 2027 în ceea ce privește articolul 1 punctul 8) </w:t>
            </w:r>
          </w:p>
          <w:p>
            <w:pPr>
              <w:keepNext/>
              <w:keepLines/>
              <w:tabs>
                <w:tab w:val="right" w:pos="9600"/>
              </w:tabs>
              <w:spacing w:after="240"/>
              <w:jc w:val="center"/>
              <w:rPr>
                <w:noProof/>
                <w:szCs w:val="24"/>
              </w:rPr>
            </w:pPr>
          </w:p>
          <w:p>
            <w:pPr>
              <w:keepNext/>
              <w:keepLines/>
              <w:tabs>
                <w:tab w:val="right" w:pos="9600"/>
              </w:tabs>
              <w:suppressAutoHyphens/>
              <w:spacing w:after="240"/>
              <w:jc w:val="center"/>
              <w:rPr>
                <w:noProof/>
                <w:szCs w:val="20"/>
              </w:rPr>
            </w:pPr>
            <w:r>
              <w:rPr>
                <w:noProof/>
              </w:rPr>
              <w:t>[Legătura cu pilonul doi: transpunerea se aplică după punerea în aplicare la nivel național a Directivei privind pilonul doi, în cazul în care dispozițiile relevante în materie de coordonare depind de aceasta - articolul 2 alineatul (4)]</w:t>
            </w:r>
          </w:p>
        </w:tc>
        <w:tc>
          <w:tcPr>
            <w:tcW w:w="2341" w:type="dxa"/>
            <w:tcBorders>
              <w:left w:val="single" w:sz="4" w:space="0" w:color="auto"/>
            </w:tcBorders>
          </w:tcPr>
          <w:p>
            <w:pPr>
              <w:tabs>
                <w:tab w:val="right" w:pos="9600"/>
              </w:tabs>
              <w:spacing w:after="240"/>
              <w:jc w:val="center"/>
              <w:rPr>
                <w:noProof/>
                <w:szCs w:val="24"/>
              </w:rPr>
            </w:pPr>
            <w:r>
              <w:rPr>
                <w:noProof/>
              </w:rPr>
              <w:t>1 ianuarie 2026.</w:t>
            </w:r>
          </w:p>
          <w:p>
            <w:pPr>
              <w:tabs>
                <w:tab w:val="right" w:pos="9600"/>
              </w:tabs>
              <w:suppressAutoHyphens/>
              <w:spacing w:after="240"/>
              <w:jc w:val="center"/>
              <w:rPr>
                <w:noProof/>
                <w:szCs w:val="24"/>
              </w:rPr>
            </w:pPr>
            <w:r>
              <w:rPr>
                <w:noProof/>
              </w:rPr>
              <w:t>(1 ianuarie 2028 în ceea ce privește articolul 1 punctul 8)</w:t>
            </w:r>
          </w:p>
          <w:p>
            <w:pPr>
              <w:tabs>
                <w:tab w:val="right" w:pos="9600"/>
              </w:tabs>
              <w:suppressAutoHyphens/>
              <w:spacing w:after="240"/>
              <w:jc w:val="center"/>
              <w:rPr>
                <w:noProof/>
                <w:szCs w:val="24"/>
              </w:rPr>
            </w:pPr>
          </w:p>
          <w:p>
            <w:pPr>
              <w:tabs>
                <w:tab w:val="right" w:pos="9600"/>
              </w:tabs>
              <w:suppressAutoHyphens/>
              <w:spacing w:after="240"/>
              <w:jc w:val="center"/>
              <w:rPr>
                <w:noProof/>
                <w:szCs w:val="20"/>
              </w:rPr>
            </w:pPr>
            <w:r>
              <w:rPr>
                <w:noProof/>
              </w:rPr>
              <w:t>[Clauza de dependență de pilonul doi: aplicarea dispozițiilor relevante privind coordonarea produce efecte de la data la care statele membre pun în aplicare în dreptul intern Directiva privind pilonul doi - articolul 2 alineatul (4)]</w:t>
            </w:r>
          </w:p>
        </w:tc>
      </w:tr>
    </w:tbl>
    <w:p>
      <w:pPr>
        <w:rPr>
          <w:noProof/>
        </w:rPr>
      </w:pPr>
      <w:r>
        <w:rPr>
          <w:noProof/>
        </w:rPr>
        <w:t>_____________</w:t>
      </w:r>
    </w:p>
    <w:p>
      <w:pPr>
        <w:rPr>
          <w:noProof/>
        </w:rPr>
        <w:sectPr>
          <w:pgSz w:w="11907" w:h="16839"/>
          <w:pgMar w:top="1134" w:right="1417" w:bottom="1134" w:left="1417" w:header="709" w:footer="709" w:gutter="0"/>
          <w:pgNumType w:start="1"/>
          <w:cols w:space="720"/>
          <w:docGrid w:linePitch="360"/>
        </w:sectPr>
      </w:pPr>
    </w:p>
    <w:p>
      <w:pPr>
        <w:pStyle w:val="Annexetitre"/>
        <w:rPr>
          <w:noProof/>
        </w:rPr>
      </w:pPr>
      <w:r>
        <w:rPr>
          <w:noProof/>
        </w:rPr>
        <w:lastRenderedPageBreak/>
        <w:t>ANEXA IX</w:t>
      </w:r>
    </w:p>
    <w:p>
      <w:pPr>
        <w:pStyle w:val="ManualHeading1"/>
        <w:ind w:left="851" w:hanging="851"/>
        <w:jc w:val="center"/>
        <w:rPr>
          <w:noProof/>
        </w:rPr>
      </w:pPr>
      <w:bookmarkStart w:id="89" w:name="_Toc229742271"/>
      <w:r>
        <w:rPr>
          <w:noProof/>
        </w:rPr>
        <w:t>Tabel de corespondență</w:t>
      </w:r>
      <w:bookmarkEnd w:id="89"/>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tc>
          <w:tcPr>
            <w:tcW w:w="4674" w:type="dxa"/>
            <w:tcBorders>
              <w:left w:val="nil"/>
            </w:tcBorders>
          </w:tcPr>
          <w:p>
            <w:pPr>
              <w:jc w:val="center"/>
              <w:rPr>
                <w:noProof/>
              </w:rPr>
            </w:pPr>
            <w:r>
              <w:rPr>
                <w:noProof/>
              </w:rPr>
              <w:t>Directiva 2011/16/UE</w:t>
            </w:r>
          </w:p>
        </w:tc>
        <w:tc>
          <w:tcPr>
            <w:tcW w:w="4674" w:type="dxa"/>
            <w:tcBorders>
              <w:right w:val="nil"/>
            </w:tcBorders>
          </w:tcPr>
          <w:p>
            <w:pPr>
              <w:jc w:val="center"/>
              <w:rPr>
                <w:noProof/>
              </w:rPr>
            </w:pPr>
            <w:r>
              <w:rPr>
                <w:noProof/>
              </w:rPr>
              <w:t>Prezenta directivă</w:t>
            </w:r>
          </w:p>
        </w:tc>
      </w:tr>
      <w:tr>
        <w:tc>
          <w:tcPr>
            <w:tcW w:w="4674" w:type="dxa"/>
            <w:tcBorders>
              <w:top w:val="nil"/>
              <w:left w:val="nil"/>
              <w:bottom w:val="nil"/>
            </w:tcBorders>
          </w:tcPr>
          <w:p>
            <w:pPr>
              <w:rPr>
                <w:noProof/>
              </w:rPr>
            </w:pPr>
            <w:r>
              <w:rPr>
                <w:noProof/>
              </w:rPr>
              <w:t>Articolul 1</w:t>
            </w:r>
          </w:p>
        </w:tc>
        <w:tc>
          <w:tcPr>
            <w:tcW w:w="4674" w:type="dxa"/>
            <w:tcBorders>
              <w:top w:val="nil"/>
              <w:bottom w:val="nil"/>
              <w:right w:val="nil"/>
            </w:tcBorders>
          </w:tcPr>
          <w:p>
            <w:pPr>
              <w:rPr>
                <w:noProof/>
              </w:rPr>
            </w:pPr>
            <w:r>
              <w:rPr>
                <w:noProof/>
              </w:rPr>
              <w:t>Articolul 1</w:t>
            </w:r>
          </w:p>
        </w:tc>
      </w:tr>
      <w:tr>
        <w:tc>
          <w:tcPr>
            <w:tcW w:w="4674" w:type="dxa"/>
            <w:tcBorders>
              <w:top w:val="nil"/>
              <w:left w:val="nil"/>
              <w:bottom w:val="nil"/>
            </w:tcBorders>
          </w:tcPr>
          <w:p>
            <w:pPr>
              <w:rPr>
                <w:noProof/>
              </w:rPr>
            </w:pPr>
            <w:r>
              <w:rPr>
                <w:noProof/>
              </w:rPr>
              <w:t>Articolul 2</w:t>
            </w:r>
          </w:p>
        </w:tc>
        <w:tc>
          <w:tcPr>
            <w:tcW w:w="4674" w:type="dxa"/>
            <w:tcBorders>
              <w:top w:val="nil"/>
              <w:bottom w:val="nil"/>
              <w:right w:val="nil"/>
            </w:tcBorders>
          </w:tcPr>
          <w:p>
            <w:pPr>
              <w:rPr>
                <w:noProof/>
              </w:rPr>
            </w:pPr>
            <w:r>
              <w:rPr>
                <w:noProof/>
              </w:rPr>
              <w:t>Articolul 2</w:t>
            </w:r>
          </w:p>
        </w:tc>
      </w:tr>
      <w:tr>
        <w:tc>
          <w:tcPr>
            <w:tcW w:w="4674" w:type="dxa"/>
            <w:tcBorders>
              <w:top w:val="nil"/>
              <w:left w:val="nil"/>
              <w:bottom w:val="nil"/>
            </w:tcBorders>
          </w:tcPr>
          <w:p>
            <w:pPr>
              <w:rPr>
                <w:noProof/>
              </w:rPr>
            </w:pPr>
            <w:r>
              <w:rPr>
                <w:noProof/>
              </w:rPr>
              <w:t>Articolul 3</w:t>
            </w:r>
          </w:p>
        </w:tc>
        <w:tc>
          <w:tcPr>
            <w:tcW w:w="4674" w:type="dxa"/>
            <w:tcBorders>
              <w:top w:val="nil"/>
              <w:bottom w:val="nil"/>
              <w:right w:val="nil"/>
            </w:tcBorders>
          </w:tcPr>
          <w:p>
            <w:pPr>
              <w:rPr>
                <w:noProof/>
              </w:rPr>
            </w:pPr>
            <w:r>
              <w:rPr>
                <w:noProof/>
              </w:rPr>
              <w:t>Articolul 3</w:t>
            </w:r>
          </w:p>
        </w:tc>
      </w:tr>
      <w:tr>
        <w:tc>
          <w:tcPr>
            <w:tcW w:w="4674" w:type="dxa"/>
            <w:tcBorders>
              <w:top w:val="nil"/>
              <w:left w:val="nil"/>
              <w:bottom w:val="nil"/>
            </w:tcBorders>
          </w:tcPr>
          <w:p>
            <w:pPr>
              <w:rPr>
                <w:noProof/>
              </w:rPr>
            </w:pPr>
            <w:r>
              <w:rPr>
                <w:noProof/>
              </w:rPr>
              <w:t>Articolul 4</w:t>
            </w:r>
          </w:p>
        </w:tc>
        <w:tc>
          <w:tcPr>
            <w:tcW w:w="4674" w:type="dxa"/>
            <w:tcBorders>
              <w:top w:val="nil"/>
              <w:bottom w:val="nil"/>
              <w:right w:val="nil"/>
            </w:tcBorders>
          </w:tcPr>
          <w:p>
            <w:pPr>
              <w:rPr>
                <w:noProof/>
              </w:rPr>
            </w:pPr>
            <w:r>
              <w:rPr>
                <w:noProof/>
              </w:rPr>
              <w:t>Articolul 29</w:t>
            </w:r>
          </w:p>
        </w:tc>
      </w:tr>
      <w:tr>
        <w:tc>
          <w:tcPr>
            <w:tcW w:w="4674" w:type="dxa"/>
            <w:tcBorders>
              <w:top w:val="nil"/>
              <w:left w:val="nil"/>
              <w:bottom w:val="nil"/>
            </w:tcBorders>
          </w:tcPr>
          <w:p>
            <w:pPr>
              <w:rPr>
                <w:noProof/>
              </w:rPr>
            </w:pPr>
            <w:r>
              <w:rPr>
                <w:noProof/>
              </w:rPr>
              <w:t>Articolul 5</w:t>
            </w:r>
          </w:p>
        </w:tc>
        <w:tc>
          <w:tcPr>
            <w:tcW w:w="4674" w:type="dxa"/>
            <w:tcBorders>
              <w:top w:val="nil"/>
              <w:bottom w:val="nil"/>
              <w:right w:val="nil"/>
            </w:tcBorders>
          </w:tcPr>
          <w:p>
            <w:pPr>
              <w:rPr>
                <w:noProof/>
              </w:rPr>
            </w:pPr>
            <w:r>
              <w:rPr>
                <w:noProof/>
              </w:rPr>
              <w:t>Articolul 17</w:t>
            </w:r>
          </w:p>
        </w:tc>
      </w:tr>
      <w:tr>
        <w:tc>
          <w:tcPr>
            <w:tcW w:w="4674" w:type="dxa"/>
            <w:tcBorders>
              <w:top w:val="nil"/>
              <w:left w:val="nil"/>
              <w:bottom w:val="nil"/>
            </w:tcBorders>
          </w:tcPr>
          <w:p>
            <w:pPr>
              <w:rPr>
                <w:noProof/>
              </w:rPr>
            </w:pPr>
            <w:r>
              <w:rPr>
                <w:noProof/>
              </w:rPr>
              <w:t>Articolul 5a</w:t>
            </w:r>
          </w:p>
        </w:tc>
        <w:tc>
          <w:tcPr>
            <w:tcW w:w="4674" w:type="dxa"/>
            <w:tcBorders>
              <w:top w:val="nil"/>
              <w:bottom w:val="nil"/>
              <w:right w:val="nil"/>
            </w:tcBorders>
          </w:tcPr>
          <w:p>
            <w:pPr>
              <w:rPr>
                <w:noProof/>
              </w:rPr>
            </w:pPr>
            <w:r>
              <w:rPr>
                <w:noProof/>
              </w:rPr>
              <w:t>Articolul 18</w:t>
            </w:r>
          </w:p>
        </w:tc>
      </w:tr>
      <w:tr>
        <w:tc>
          <w:tcPr>
            <w:tcW w:w="4674" w:type="dxa"/>
            <w:tcBorders>
              <w:top w:val="nil"/>
              <w:left w:val="nil"/>
              <w:bottom w:val="nil"/>
            </w:tcBorders>
          </w:tcPr>
          <w:p>
            <w:pPr>
              <w:rPr>
                <w:noProof/>
              </w:rPr>
            </w:pPr>
            <w:r>
              <w:rPr>
                <w:noProof/>
              </w:rPr>
              <w:t>Articolul 6</w:t>
            </w:r>
          </w:p>
        </w:tc>
        <w:tc>
          <w:tcPr>
            <w:tcW w:w="4674" w:type="dxa"/>
            <w:tcBorders>
              <w:top w:val="nil"/>
              <w:bottom w:val="nil"/>
              <w:right w:val="nil"/>
            </w:tcBorders>
          </w:tcPr>
          <w:p>
            <w:pPr>
              <w:rPr>
                <w:noProof/>
              </w:rPr>
            </w:pPr>
            <w:r>
              <w:rPr>
                <w:noProof/>
              </w:rPr>
              <w:t>Articolul 19</w:t>
            </w:r>
          </w:p>
        </w:tc>
      </w:tr>
      <w:tr>
        <w:tc>
          <w:tcPr>
            <w:tcW w:w="4674" w:type="dxa"/>
            <w:tcBorders>
              <w:top w:val="nil"/>
              <w:left w:val="nil"/>
              <w:bottom w:val="nil"/>
            </w:tcBorders>
          </w:tcPr>
          <w:p>
            <w:pPr>
              <w:rPr>
                <w:noProof/>
              </w:rPr>
            </w:pPr>
            <w:r>
              <w:rPr>
                <w:noProof/>
              </w:rPr>
              <w:t>Articolul 7</w:t>
            </w:r>
          </w:p>
        </w:tc>
        <w:tc>
          <w:tcPr>
            <w:tcW w:w="4674" w:type="dxa"/>
            <w:tcBorders>
              <w:top w:val="nil"/>
              <w:bottom w:val="nil"/>
              <w:right w:val="nil"/>
            </w:tcBorders>
          </w:tcPr>
          <w:p>
            <w:pPr>
              <w:rPr>
                <w:noProof/>
              </w:rPr>
            </w:pPr>
            <w:r>
              <w:rPr>
                <w:noProof/>
              </w:rPr>
              <w:t>Articolul 20</w:t>
            </w:r>
          </w:p>
        </w:tc>
      </w:tr>
      <w:tr>
        <w:tc>
          <w:tcPr>
            <w:tcW w:w="4674" w:type="dxa"/>
            <w:tcBorders>
              <w:top w:val="nil"/>
              <w:left w:val="nil"/>
              <w:bottom w:val="nil"/>
            </w:tcBorders>
          </w:tcPr>
          <w:p>
            <w:pPr>
              <w:rPr>
                <w:noProof/>
              </w:rPr>
            </w:pPr>
            <w:r>
              <w:rPr>
                <w:noProof/>
              </w:rPr>
              <w:t>Articolul 8</w:t>
            </w:r>
          </w:p>
        </w:tc>
        <w:tc>
          <w:tcPr>
            <w:tcW w:w="4674" w:type="dxa"/>
            <w:tcBorders>
              <w:top w:val="nil"/>
              <w:bottom w:val="nil"/>
              <w:right w:val="nil"/>
            </w:tcBorders>
          </w:tcPr>
          <w:p>
            <w:pPr>
              <w:rPr>
                <w:noProof/>
              </w:rPr>
            </w:pPr>
            <w:r>
              <w:rPr>
                <w:noProof/>
              </w:rPr>
              <w:t>Articolul 4</w:t>
            </w:r>
          </w:p>
        </w:tc>
      </w:tr>
      <w:tr>
        <w:tc>
          <w:tcPr>
            <w:tcW w:w="4674" w:type="dxa"/>
            <w:tcBorders>
              <w:top w:val="nil"/>
              <w:left w:val="nil"/>
              <w:bottom w:val="nil"/>
            </w:tcBorders>
          </w:tcPr>
          <w:p>
            <w:pPr>
              <w:rPr>
                <w:noProof/>
              </w:rPr>
            </w:pPr>
            <w:r>
              <w:rPr>
                <w:noProof/>
              </w:rPr>
              <w:t>Articolul 8 alineatul (3)</w:t>
            </w:r>
          </w:p>
        </w:tc>
        <w:tc>
          <w:tcPr>
            <w:tcW w:w="4674" w:type="dxa"/>
            <w:tcBorders>
              <w:top w:val="nil"/>
              <w:bottom w:val="nil"/>
              <w:right w:val="nil"/>
            </w:tcBorders>
          </w:tcPr>
          <w:p>
            <w:pPr>
              <w:rPr>
                <w:noProof/>
              </w:rPr>
            </w:pPr>
            <w:r>
              <w:rPr>
                <w:noProof/>
              </w:rPr>
              <w:t>Articolul 5</w:t>
            </w:r>
          </w:p>
        </w:tc>
      </w:tr>
      <w:tr>
        <w:tc>
          <w:tcPr>
            <w:tcW w:w="4674" w:type="dxa"/>
            <w:tcBorders>
              <w:top w:val="nil"/>
              <w:left w:val="nil"/>
              <w:bottom w:val="nil"/>
            </w:tcBorders>
          </w:tcPr>
          <w:p>
            <w:pPr>
              <w:rPr>
                <w:noProof/>
              </w:rPr>
            </w:pPr>
            <w:r>
              <w:rPr>
                <w:noProof/>
              </w:rPr>
              <w:t>Articolul 8a</w:t>
            </w:r>
          </w:p>
        </w:tc>
        <w:tc>
          <w:tcPr>
            <w:tcW w:w="4674" w:type="dxa"/>
            <w:tcBorders>
              <w:top w:val="nil"/>
              <w:bottom w:val="nil"/>
              <w:right w:val="nil"/>
            </w:tcBorders>
          </w:tcPr>
          <w:p>
            <w:pPr>
              <w:rPr>
                <w:noProof/>
              </w:rPr>
            </w:pPr>
            <w:r>
              <w:rPr>
                <w:noProof/>
              </w:rPr>
              <w:t>Articolul 6</w:t>
            </w:r>
          </w:p>
        </w:tc>
      </w:tr>
      <w:tr>
        <w:tc>
          <w:tcPr>
            <w:tcW w:w="4674" w:type="dxa"/>
            <w:tcBorders>
              <w:top w:val="nil"/>
              <w:left w:val="nil"/>
              <w:bottom w:val="nil"/>
            </w:tcBorders>
          </w:tcPr>
          <w:p>
            <w:pPr>
              <w:rPr>
                <w:noProof/>
              </w:rPr>
            </w:pPr>
            <w:r>
              <w:rPr>
                <w:noProof/>
              </w:rPr>
              <w:t>Articolul 8aa</w:t>
            </w:r>
          </w:p>
        </w:tc>
        <w:tc>
          <w:tcPr>
            <w:tcW w:w="4674" w:type="dxa"/>
            <w:tcBorders>
              <w:top w:val="nil"/>
              <w:bottom w:val="nil"/>
              <w:right w:val="nil"/>
            </w:tcBorders>
          </w:tcPr>
          <w:p>
            <w:pPr>
              <w:rPr>
                <w:noProof/>
              </w:rPr>
            </w:pPr>
            <w:r>
              <w:rPr>
                <w:noProof/>
              </w:rPr>
              <w:t>Articolul 7</w:t>
            </w:r>
          </w:p>
        </w:tc>
      </w:tr>
      <w:tr>
        <w:tc>
          <w:tcPr>
            <w:tcW w:w="4674" w:type="dxa"/>
            <w:tcBorders>
              <w:top w:val="nil"/>
              <w:left w:val="nil"/>
              <w:bottom w:val="nil"/>
            </w:tcBorders>
          </w:tcPr>
          <w:p>
            <w:pPr>
              <w:rPr>
                <w:noProof/>
              </w:rPr>
            </w:pPr>
            <w:r>
              <w:rPr>
                <w:noProof/>
              </w:rPr>
              <w:t>Articolul 8ab</w:t>
            </w:r>
          </w:p>
        </w:tc>
        <w:tc>
          <w:tcPr>
            <w:tcW w:w="4674" w:type="dxa"/>
            <w:tcBorders>
              <w:top w:val="nil"/>
              <w:bottom w:val="nil"/>
              <w:right w:val="nil"/>
            </w:tcBorders>
          </w:tcPr>
          <w:p>
            <w:pPr>
              <w:rPr>
                <w:noProof/>
              </w:rPr>
            </w:pPr>
            <w:r>
              <w:rPr>
                <w:noProof/>
              </w:rPr>
              <w:t>Articolul 8</w:t>
            </w:r>
          </w:p>
        </w:tc>
      </w:tr>
      <w:tr>
        <w:tc>
          <w:tcPr>
            <w:tcW w:w="4674" w:type="dxa"/>
            <w:tcBorders>
              <w:top w:val="nil"/>
              <w:left w:val="nil"/>
              <w:bottom w:val="nil"/>
            </w:tcBorders>
          </w:tcPr>
          <w:p>
            <w:pPr>
              <w:rPr>
                <w:noProof/>
              </w:rPr>
            </w:pPr>
            <w:r>
              <w:rPr>
                <w:noProof/>
              </w:rPr>
              <w:t>Articolul 8ac alineatele (1), (2), (3)</w:t>
            </w:r>
          </w:p>
        </w:tc>
        <w:tc>
          <w:tcPr>
            <w:tcW w:w="4674" w:type="dxa"/>
            <w:tcBorders>
              <w:top w:val="nil"/>
              <w:bottom w:val="nil"/>
              <w:right w:val="nil"/>
            </w:tcBorders>
          </w:tcPr>
          <w:p>
            <w:pPr>
              <w:rPr>
                <w:noProof/>
              </w:rPr>
            </w:pPr>
            <w:r>
              <w:rPr>
                <w:noProof/>
              </w:rPr>
              <w:t>Articolul 9</w:t>
            </w:r>
          </w:p>
        </w:tc>
      </w:tr>
      <w:tr>
        <w:tc>
          <w:tcPr>
            <w:tcW w:w="4674" w:type="dxa"/>
            <w:tcBorders>
              <w:top w:val="nil"/>
              <w:left w:val="nil"/>
              <w:bottom w:val="nil"/>
            </w:tcBorders>
          </w:tcPr>
          <w:p>
            <w:pPr>
              <w:rPr>
                <w:noProof/>
              </w:rPr>
            </w:pPr>
            <w:r>
              <w:rPr>
                <w:noProof/>
              </w:rPr>
              <w:t>Articolul 8ac alineatele (4), (5), (6)</w:t>
            </w:r>
          </w:p>
        </w:tc>
        <w:tc>
          <w:tcPr>
            <w:tcW w:w="4674" w:type="dxa"/>
            <w:tcBorders>
              <w:top w:val="nil"/>
              <w:bottom w:val="nil"/>
              <w:right w:val="nil"/>
            </w:tcBorders>
          </w:tcPr>
          <w:p>
            <w:pPr>
              <w:rPr>
                <w:noProof/>
              </w:rPr>
            </w:pPr>
            <w:r>
              <w:rPr>
                <w:noProof/>
              </w:rPr>
              <w:t>Articolul 10</w:t>
            </w:r>
          </w:p>
        </w:tc>
      </w:tr>
      <w:tr>
        <w:tc>
          <w:tcPr>
            <w:tcW w:w="4674" w:type="dxa"/>
            <w:tcBorders>
              <w:top w:val="nil"/>
              <w:left w:val="nil"/>
              <w:bottom w:val="nil"/>
            </w:tcBorders>
          </w:tcPr>
          <w:p>
            <w:pPr>
              <w:rPr>
                <w:noProof/>
              </w:rPr>
            </w:pPr>
            <w:r>
              <w:rPr>
                <w:noProof/>
              </w:rPr>
              <w:t>Articolul 8ac alineatul (7)</w:t>
            </w:r>
          </w:p>
        </w:tc>
        <w:tc>
          <w:tcPr>
            <w:tcW w:w="4674" w:type="dxa"/>
            <w:tcBorders>
              <w:top w:val="nil"/>
              <w:bottom w:val="nil"/>
              <w:right w:val="nil"/>
            </w:tcBorders>
          </w:tcPr>
          <w:p>
            <w:pPr>
              <w:rPr>
                <w:noProof/>
              </w:rPr>
            </w:pPr>
            <w:r>
              <w:rPr>
                <w:noProof/>
              </w:rPr>
              <w:t>Articolul 11</w:t>
            </w:r>
          </w:p>
        </w:tc>
      </w:tr>
      <w:tr>
        <w:tc>
          <w:tcPr>
            <w:tcW w:w="4674" w:type="dxa"/>
            <w:tcBorders>
              <w:top w:val="nil"/>
              <w:left w:val="nil"/>
              <w:bottom w:val="nil"/>
            </w:tcBorders>
          </w:tcPr>
          <w:p>
            <w:pPr>
              <w:rPr>
                <w:noProof/>
              </w:rPr>
            </w:pPr>
            <w:r>
              <w:rPr>
                <w:noProof/>
              </w:rPr>
              <w:t>Articolul 8ad alineatele (1), (2), (3), (5)</w:t>
            </w:r>
          </w:p>
        </w:tc>
        <w:tc>
          <w:tcPr>
            <w:tcW w:w="4674" w:type="dxa"/>
            <w:tcBorders>
              <w:top w:val="nil"/>
              <w:bottom w:val="nil"/>
              <w:right w:val="nil"/>
            </w:tcBorders>
          </w:tcPr>
          <w:p>
            <w:pPr>
              <w:rPr>
                <w:noProof/>
              </w:rPr>
            </w:pPr>
            <w:r>
              <w:rPr>
                <w:noProof/>
              </w:rPr>
              <w:t>Articolul 12</w:t>
            </w:r>
          </w:p>
        </w:tc>
      </w:tr>
      <w:tr>
        <w:tc>
          <w:tcPr>
            <w:tcW w:w="4674" w:type="dxa"/>
            <w:tcBorders>
              <w:top w:val="nil"/>
              <w:left w:val="nil"/>
              <w:bottom w:val="nil"/>
            </w:tcBorders>
          </w:tcPr>
          <w:p>
            <w:pPr>
              <w:rPr>
                <w:noProof/>
              </w:rPr>
            </w:pPr>
            <w:r>
              <w:rPr>
                <w:noProof/>
              </w:rPr>
              <w:t>Articolul 8ad alineatele (7), (8), (9), (10)</w:t>
            </w:r>
          </w:p>
        </w:tc>
        <w:tc>
          <w:tcPr>
            <w:tcW w:w="4674" w:type="dxa"/>
            <w:tcBorders>
              <w:top w:val="nil"/>
              <w:bottom w:val="nil"/>
              <w:right w:val="nil"/>
            </w:tcBorders>
          </w:tcPr>
          <w:p>
            <w:pPr>
              <w:rPr>
                <w:noProof/>
              </w:rPr>
            </w:pPr>
            <w:r>
              <w:rPr>
                <w:noProof/>
              </w:rPr>
              <w:t>Articolul 13</w:t>
            </w:r>
          </w:p>
        </w:tc>
      </w:tr>
      <w:tr>
        <w:tc>
          <w:tcPr>
            <w:tcW w:w="4674" w:type="dxa"/>
            <w:tcBorders>
              <w:top w:val="nil"/>
              <w:left w:val="nil"/>
              <w:bottom w:val="nil"/>
            </w:tcBorders>
          </w:tcPr>
          <w:p>
            <w:pPr>
              <w:rPr>
                <w:noProof/>
              </w:rPr>
            </w:pPr>
            <w:r>
              <w:rPr>
                <w:noProof/>
              </w:rPr>
              <w:t>Articolul 8ad alineatele (11), (12)</w:t>
            </w:r>
          </w:p>
        </w:tc>
        <w:tc>
          <w:tcPr>
            <w:tcW w:w="4674" w:type="dxa"/>
            <w:tcBorders>
              <w:top w:val="nil"/>
              <w:bottom w:val="nil"/>
              <w:right w:val="nil"/>
            </w:tcBorders>
          </w:tcPr>
          <w:p>
            <w:pPr>
              <w:rPr>
                <w:noProof/>
              </w:rPr>
            </w:pPr>
            <w:r>
              <w:rPr>
                <w:noProof/>
              </w:rPr>
              <w:t>Articolul 14</w:t>
            </w:r>
          </w:p>
        </w:tc>
      </w:tr>
      <w:tr>
        <w:tc>
          <w:tcPr>
            <w:tcW w:w="4674" w:type="dxa"/>
            <w:tcBorders>
              <w:top w:val="nil"/>
              <w:left w:val="nil"/>
              <w:bottom w:val="nil"/>
            </w:tcBorders>
          </w:tcPr>
          <w:p>
            <w:pPr>
              <w:rPr>
                <w:noProof/>
              </w:rPr>
            </w:pPr>
            <w:r>
              <w:rPr>
                <w:noProof/>
              </w:rPr>
              <w:t>Articolul 8ae</w:t>
            </w:r>
          </w:p>
        </w:tc>
        <w:tc>
          <w:tcPr>
            <w:tcW w:w="4674" w:type="dxa"/>
            <w:tcBorders>
              <w:top w:val="nil"/>
              <w:bottom w:val="nil"/>
              <w:right w:val="nil"/>
            </w:tcBorders>
          </w:tcPr>
          <w:p>
            <w:pPr>
              <w:rPr>
                <w:noProof/>
              </w:rPr>
            </w:pPr>
            <w:r>
              <w:rPr>
                <w:noProof/>
              </w:rPr>
              <w:t>Articolul 15</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Articolul 16</w:t>
            </w:r>
          </w:p>
        </w:tc>
      </w:tr>
      <w:tr>
        <w:tc>
          <w:tcPr>
            <w:tcW w:w="4674" w:type="dxa"/>
            <w:tcBorders>
              <w:top w:val="nil"/>
              <w:left w:val="nil"/>
              <w:bottom w:val="nil"/>
            </w:tcBorders>
          </w:tcPr>
          <w:p>
            <w:pPr>
              <w:rPr>
                <w:noProof/>
              </w:rPr>
            </w:pPr>
            <w:r>
              <w:rPr>
                <w:noProof/>
              </w:rPr>
              <w:t>Articolul 8b</w:t>
            </w:r>
          </w:p>
        </w:tc>
        <w:tc>
          <w:tcPr>
            <w:tcW w:w="4674" w:type="dxa"/>
            <w:tcBorders>
              <w:top w:val="nil"/>
              <w:bottom w:val="nil"/>
              <w:right w:val="nil"/>
            </w:tcBorders>
          </w:tcPr>
          <w:p>
            <w:pPr>
              <w:rPr>
                <w:noProof/>
              </w:rPr>
            </w:pPr>
            <w:r>
              <w:rPr>
                <w:noProof/>
              </w:rPr>
              <w:t>Articolul 46</w:t>
            </w:r>
          </w:p>
        </w:tc>
      </w:tr>
      <w:tr>
        <w:tc>
          <w:tcPr>
            <w:tcW w:w="4674" w:type="dxa"/>
            <w:tcBorders>
              <w:top w:val="nil"/>
              <w:left w:val="nil"/>
              <w:bottom w:val="nil"/>
            </w:tcBorders>
          </w:tcPr>
          <w:p>
            <w:pPr>
              <w:rPr>
                <w:noProof/>
              </w:rPr>
            </w:pPr>
            <w:r>
              <w:rPr>
                <w:noProof/>
              </w:rPr>
              <w:t>Articolul 9</w:t>
            </w:r>
          </w:p>
        </w:tc>
        <w:tc>
          <w:tcPr>
            <w:tcW w:w="4674" w:type="dxa"/>
            <w:tcBorders>
              <w:top w:val="nil"/>
              <w:bottom w:val="nil"/>
              <w:right w:val="nil"/>
            </w:tcBorders>
          </w:tcPr>
          <w:p>
            <w:pPr>
              <w:rPr>
                <w:noProof/>
              </w:rPr>
            </w:pPr>
            <w:r>
              <w:rPr>
                <w:noProof/>
              </w:rPr>
              <w:t>Articolul 21</w:t>
            </w:r>
          </w:p>
        </w:tc>
      </w:tr>
      <w:tr>
        <w:tc>
          <w:tcPr>
            <w:tcW w:w="4674" w:type="dxa"/>
            <w:tcBorders>
              <w:top w:val="nil"/>
              <w:left w:val="nil"/>
              <w:bottom w:val="nil"/>
            </w:tcBorders>
          </w:tcPr>
          <w:p>
            <w:pPr>
              <w:rPr>
                <w:noProof/>
              </w:rPr>
            </w:pPr>
            <w:r>
              <w:rPr>
                <w:noProof/>
              </w:rPr>
              <w:t>Articolul 9a</w:t>
            </w:r>
          </w:p>
        </w:tc>
        <w:tc>
          <w:tcPr>
            <w:tcW w:w="4674" w:type="dxa"/>
            <w:tcBorders>
              <w:top w:val="nil"/>
              <w:bottom w:val="nil"/>
              <w:right w:val="nil"/>
            </w:tcBorders>
          </w:tcPr>
          <w:p>
            <w:pPr>
              <w:rPr>
                <w:noProof/>
              </w:rPr>
            </w:pPr>
            <w:r>
              <w:rPr>
                <w:noProof/>
              </w:rPr>
              <w:t>Articolul 22</w:t>
            </w:r>
          </w:p>
        </w:tc>
      </w:tr>
      <w:tr>
        <w:tc>
          <w:tcPr>
            <w:tcW w:w="4674" w:type="dxa"/>
            <w:tcBorders>
              <w:top w:val="nil"/>
              <w:left w:val="nil"/>
              <w:bottom w:val="nil"/>
            </w:tcBorders>
          </w:tcPr>
          <w:p>
            <w:pPr>
              <w:rPr>
                <w:noProof/>
              </w:rPr>
            </w:pPr>
            <w:r>
              <w:rPr>
                <w:noProof/>
              </w:rPr>
              <w:t>Articolul 10</w:t>
            </w:r>
          </w:p>
        </w:tc>
        <w:tc>
          <w:tcPr>
            <w:tcW w:w="4674" w:type="dxa"/>
            <w:tcBorders>
              <w:top w:val="nil"/>
              <w:bottom w:val="nil"/>
              <w:right w:val="nil"/>
            </w:tcBorders>
          </w:tcPr>
          <w:p>
            <w:pPr>
              <w:rPr>
                <w:noProof/>
              </w:rPr>
            </w:pPr>
            <w:r>
              <w:rPr>
                <w:noProof/>
              </w:rPr>
              <w:t>Articolul 23</w:t>
            </w:r>
          </w:p>
        </w:tc>
      </w:tr>
      <w:tr>
        <w:tc>
          <w:tcPr>
            <w:tcW w:w="4674" w:type="dxa"/>
            <w:tcBorders>
              <w:top w:val="nil"/>
              <w:left w:val="nil"/>
              <w:bottom w:val="nil"/>
            </w:tcBorders>
          </w:tcPr>
          <w:p>
            <w:pPr>
              <w:rPr>
                <w:noProof/>
              </w:rPr>
            </w:pPr>
            <w:r>
              <w:rPr>
                <w:noProof/>
              </w:rPr>
              <w:lastRenderedPageBreak/>
              <w:t>Articolul 11</w:t>
            </w:r>
          </w:p>
        </w:tc>
        <w:tc>
          <w:tcPr>
            <w:tcW w:w="4674" w:type="dxa"/>
            <w:tcBorders>
              <w:top w:val="nil"/>
              <w:bottom w:val="nil"/>
              <w:right w:val="nil"/>
            </w:tcBorders>
          </w:tcPr>
          <w:p>
            <w:pPr>
              <w:rPr>
                <w:noProof/>
              </w:rPr>
            </w:pPr>
            <w:r>
              <w:rPr>
                <w:noProof/>
              </w:rPr>
              <w:t>Articolul 24</w:t>
            </w:r>
          </w:p>
        </w:tc>
      </w:tr>
      <w:tr>
        <w:tc>
          <w:tcPr>
            <w:tcW w:w="4674" w:type="dxa"/>
            <w:tcBorders>
              <w:top w:val="nil"/>
              <w:left w:val="nil"/>
              <w:bottom w:val="nil"/>
            </w:tcBorders>
          </w:tcPr>
          <w:p>
            <w:pPr>
              <w:rPr>
                <w:noProof/>
              </w:rPr>
            </w:pPr>
            <w:r>
              <w:rPr>
                <w:noProof/>
              </w:rPr>
              <w:t>Articolul 12</w:t>
            </w:r>
          </w:p>
        </w:tc>
        <w:tc>
          <w:tcPr>
            <w:tcW w:w="4674" w:type="dxa"/>
            <w:tcBorders>
              <w:top w:val="nil"/>
              <w:bottom w:val="nil"/>
              <w:right w:val="nil"/>
            </w:tcBorders>
          </w:tcPr>
          <w:p>
            <w:pPr>
              <w:rPr>
                <w:noProof/>
              </w:rPr>
            </w:pPr>
            <w:r>
              <w:rPr>
                <w:noProof/>
              </w:rPr>
              <w:t>Articolul 25</w:t>
            </w:r>
          </w:p>
        </w:tc>
      </w:tr>
      <w:tr>
        <w:tc>
          <w:tcPr>
            <w:tcW w:w="4674" w:type="dxa"/>
            <w:tcBorders>
              <w:top w:val="nil"/>
              <w:left w:val="nil"/>
              <w:bottom w:val="nil"/>
            </w:tcBorders>
          </w:tcPr>
          <w:p>
            <w:pPr>
              <w:rPr>
                <w:noProof/>
              </w:rPr>
            </w:pPr>
            <w:r>
              <w:rPr>
                <w:noProof/>
              </w:rPr>
              <w:t>Articolul 12a</w:t>
            </w:r>
          </w:p>
        </w:tc>
        <w:tc>
          <w:tcPr>
            <w:tcW w:w="4674" w:type="dxa"/>
            <w:tcBorders>
              <w:top w:val="nil"/>
              <w:bottom w:val="nil"/>
              <w:right w:val="nil"/>
            </w:tcBorders>
          </w:tcPr>
          <w:p>
            <w:pPr>
              <w:rPr>
                <w:noProof/>
              </w:rPr>
            </w:pPr>
            <w:r>
              <w:rPr>
                <w:noProof/>
              </w:rPr>
              <w:t>Articolul 26</w:t>
            </w:r>
          </w:p>
        </w:tc>
      </w:tr>
      <w:tr>
        <w:tc>
          <w:tcPr>
            <w:tcW w:w="4674" w:type="dxa"/>
            <w:tcBorders>
              <w:top w:val="nil"/>
              <w:left w:val="nil"/>
              <w:bottom w:val="nil"/>
            </w:tcBorders>
          </w:tcPr>
          <w:p>
            <w:pPr>
              <w:rPr>
                <w:noProof/>
              </w:rPr>
            </w:pPr>
            <w:r>
              <w:rPr>
                <w:noProof/>
              </w:rPr>
              <w:t>Articolul 13</w:t>
            </w:r>
          </w:p>
        </w:tc>
        <w:tc>
          <w:tcPr>
            <w:tcW w:w="4674" w:type="dxa"/>
            <w:tcBorders>
              <w:top w:val="nil"/>
              <w:bottom w:val="nil"/>
              <w:right w:val="nil"/>
            </w:tcBorders>
          </w:tcPr>
          <w:p>
            <w:pPr>
              <w:rPr>
                <w:noProof/>
              </w:rPr>
            </w:pPr>
            <w:r>
              <w:rPr>
                <w:noProof/>
              </w:rPr>
              <w:t>Articolul 27</w:t>
            </w:r>
          </w:p>
        </w:tc>
      </w:tr>
      <w:tr>
        <w:tc>
          <w:tcPr>
            <w:tcW w:w="4674" w:type="dxa"/>
            <w:tcBorders>
              <w:top w:val="nil"/>
              <w:left w:val="nil"/>
              <w:bottom w:val="nil"/>
            </w:tcBorders>
          </w:tcPr>
          <w:p>
            <w:pPr>
              <w:rPr>
                <w:noProof/>
              </w:rPr>
            </w:pPr>
            <w:r>
              <w:rPr>
                <w:noProof/>
              </w:rPr>
              <w:t>Articolul 14</w:t>
            </w:r>
          </w:p>
        </w:tc>
        <w:tc>
          <w:tcPr>
            <w:tcW w:w="4674" w:type="dxa"/>
            <w:tcBorders>
              <w:top w:val="nil"/>
              <w:bottom w:val="nil"/>
              <w:right w:val="nil"/>
            </w:tcBorders>
          </w:tcPr>
          <w:p>
            <w:pPr>
              <w:rPr>
                <w:noProof/>
              </w:rPr>
            </w:pPr>
            <w:r>
              <w:rPr>
                <w:noProof/>
              </w:rPr>
              <w:t>Articolul 28</w:t>
            </w:r>
          </w:p>
        </w:tc>
      </w:tr>
      <w:tr>
        <w:tc>
          <w:tcPr>
            <w:tcW w:w="4674" w:type="dxa"/>
            <w:tcBorders>
              <w:top w:val="nil"/>
              <w:left w:val="nil"/>
              <w:bottom w:val="nil"/>
            </w:tcBorders>
          </w:tcPr>
          <w:p>
            <w:pPr>
              <w:rPr>
                <w:noProof/>
              </w:rPr>
            </w:pPr>
            <w:r>
              <w:rPr>
                <w:noProof/>
              </w:rPr>
              <w:t>Articolul 15</w:t>
            </w:r>
          </w:p>
        </w:tc>
        <w:tc>
          <w:tcPr>
            <w:tcW w:w="4674" w:type="dxa"/>
            <w:tcBorders>
              <w:top w:val="nil"/>
              <w:bottom w:val="nil"/>
              <w:right w:val="nil"/>
            </w:tcBorders>
          </w:tcPr>
          <w:p>
            <w:pPr>
              <w:rPr>
                <w:noProof/>
              </w:rPr>
            </w:pPr>
            <w:r>
              <w:rPr>
                <w:noProof/>
              </w:rPr>
              <w:t>Articolul 45</w:t>
            </w:r>
          </w:p>
        </w:tc>
      </w:tr>
      <w:tr>
        <w:tc>
          <w:tcPr>
            <w:tcW w:w="4674" w:type="dxa"/>
            <w:tcBorders>
              <w:top w:val="nil"/>
              <w:left w:val="nil"/>
              <w:bottom w:val="nil"/>
            </w:tcBorders>
          </w:tcPr>
          <w:p>
            <w:pPr>
              <w:rPr>
                <w:noProof/>
              </w:rPr>
            </w:pPr>
            <w:r>
              <w:rPr>
                <w:noProof/>
              </w:rPr>
              <w:t>Articolul 16</w:t>
            </w:r>
          </w:p>
        </w:tc>
        <w:tc>
          <w:tcPr>
            <w:tcW w:w="4674" w:type="dxa"/>
            <w:tcBorders>
              <w:top w:val="nil"/>
              <w:bottom w:val="nil"/>
              <w:right w:val="nil"/>
            </w:tcBorders>
          </w:tcPr>
          <w:p>
            <w:pPr>
              <w:rPr>
                <w:noProof/>
              </w:rPr>
            </w:pPr>
            <w:r>
              <w:rPr>
                <w:noProof/>
              </w:rPr>
              <w:t>Articolul 30</w:t>
            </w:r>
          </w:p>
        </w:tc>
      </w:tr>
      <w:tr>
        <w:tc>
          <w:tcPr>
            <w:tcW w:w="4674" w:type="dxa"/>
            <w:tcBorders>
              <w:top w:val="nil"/>
              <w:left w:val="nil"/>
              <w:bottom w:val="nil"/>
            </w:tcBorders>
          </w:tcPr>
          <w:p>
            <w:pPr>
              <w:rPr>
                <w:noProof/>
              </w:rPr>
            </w:pPr>
            <w:r>
              <w:rPr>
                <w:noProof/>
              </w:rPr>
              <w:t>Articolul 17</w:t>
            </w:r>
          </w:p>
        </w:tc>
        <w:tc>
          <w:tcPr>
            <w:tcW w:w="4674" w:type="dxa"/>
            <w:tcBorders>
              <w:top w:val="nil"/>
              <w:bottom w:val="nil"/>
              <w:right w:val="nil"/>
            </w:tcBorders>
          </w:tcPr>
          <w:p>
            <w:pPr>
              <w:rPr>
                <w:noProof/>
              </w:rPr>
            </w:pPr>
            <w:r>
              <w:rPr>
                <w:noProof/>
              </w:rPr>
              <w:t>Articolul 31</w:t>
            </w:r>
          </w:p>
        </w:tc>
      </w:tr>
      <w:tr>
        <w:tc>
          <w:tcPr>
            <w:tcW w:w="4674" w:type="dxa"/>
            <w:tcBorders>
              <w:top w:val="nil"/>
              <w:left w:val="nil"/>
              <w:bottom w:val="nil"/>
            </w:tcBorders>
          </w:tcPr>
          <w:p>
            <w:pPr>
              <w:rPr>
                <w:noProof/>
              </w:rPr>
            </w:pPr>
            <w:r>
              <w:rPr>
                <w:noProof/>
              </w:rPr>
              <w:t>Articolul 18</w:t>
            </w:r>
          </w:p>
        </w:tc>
        <w:tc>
          <w:tcPr>
            <w:tcW w:w="4674" w:type="dxa"/>
            <w:tcBorders>
              <w:top w:val="nil"/>
              <w:bottom w:val="nil"/>
              <w:right w:val="nil"/>
            </w:tcBorders>
          </w:tcPr>
          <w:p>
            <w:pPr>
              <w:rPr>
                <w:noProof/>
              </w:rPr>
            </w:pPr>
            <w:r>
              <w:rPr>
                <w:noProof/>
              </w:rPr>
              <w:t>Articolul 32</w:t>
            </w:r>
          </w:p>
        </w:tc>
      </w:tr>
      <w:tr>
        <w:tc>
          <w:tcPr>
            <w:tcW w:w="4674" w:type="dxa"/>
            <w:tcBorders>
              <w:top w:val="nil"/>
              <w:left w:val="nil"/>
              <w:bottom w:val="nil"/>
            </w:tcBorders>
          </w:tcPr>
          <w:p>
            <w:pPr>
              <w:rPr>
                <w:noProof/>
              </w:rPr>
            </w:pPr>
            <w:r>
              <w:rPr>
                <w:noProof/>
              </w:rPr>
              <w:t>Articolul 19</w:t>
            </w:r>
          </w:p>
        </w:tc>
        <w:tc>
          <w:tcPr>
            <w:tcW w:w="4674" w:type="dxa"/>
            <w:tcBorders>
              <w:top w:val="nil"/>
              <w:bottom w:val="nil"/>
              <w:right w:val="nil"/>
            </w:tcBorders>
          </w:tcPr>
          <w:p>
            <w:pPr>
              <w:rPr>
                <w:noProof/>
              </w:rPr>
            </w:pPr>
            <w:r>
              <w:rPr>
                <w:noProof/>
              </w:rPr>
              <w:t>Articolul 33</w:t>
            </w:r>
          </w:p>
        </w:tc>
      </w:tr>
      <w:tr>
        <w:tc>
          <w:tcPr>
            <w:tcW w:w="4674" w:type="dxa"/>
            <w:tcBorders>
              <w:top w:val="nil"/>
              <w:left w:val="nil"/>
              <w:bottom w:val="nil"/>
            </w:tcBorders>
          </w:tcPr>
          <w:p>
            <w:pPr>
              <w:rPr>
                <w:noProof/>
              </w:rPr>
            </w:pPr>
            <w:r>
              <w:rPr>
                <w:noProof/>
              </w:rPr>
              <w:t>Articolul 20 alineatele (1) – (4)</w:t>
            </w:r>
          </w:p>
        </w:tc>
        <w:tc>
          <w:tcPr>
            <w:tcW w:w="4674" w:type="dxa"/>
            <w:tcBorders>
              <w:top w:val="nil"/>
              <w:bottom w:val="nil"/>
              <w:right w:val="nil"/>
            </w:tcBorders>
          </w:tcPr>
          <w:p>
            <w:pPr>
              <w:rPr>
                <w:noProof/>
              </w:rPr>
            </w:pPr>
            <w:r>
              <w:rPr>
                <w:noProof/>
              </w:rPr>
              <w:t>Articolul 42</w:t>
            </w:r>
          </w:p>
        </w:tc>
      </w:tr>
      <w:tr>
        <w:tc>
          <w:tcPr>
            <w:tcW w:w="4674" w:type="dxa"/>
            <w:tcBorders>
              <w:top w:val="nil"/>
              <w:left w:val="nil"/>
              <w:bottom w:val="nil"/>
            </w:tcBorders>
          </w:tcPr>
          <w:p>
            <w:pPr>
              <w:rPr>
                <w:noProof/>
              </w:rPr>
            </w:pPr>
            <w:r>
              <w:rPr>
                <w:noProof/>
              </w:rPr>
              <w:t>Articolul 20 alineatul (4)</w:t>
            </w:r>
          </w:p>
        </w:tc>
        <w:tc>
          <w:tcPr>
            <w:tcW w:w="4674" w:type="dxa"/>
            <w:tcBorders>
              <w:top w:val="nil"/>
              <w:bottom w:val="nil"/>
              <w:right w:val="nil"/>
            </w:tcBorders>
          </w:tcPr>
          <w:p>
            <w:pPr>
              <w:rPr>
                <w:noProof/>
              </w:rPr>
            </w:pPr>
            <w:r>
              <w:rPr>
                <w:noProof/>
              </w:rPr>
              <w:t>Articolul 43</w:t>
            </w:r>
          </w:p>
        </w:tc>
      </w:tr>
      <w:tr>
        <w:tc>
          <w:tcPr>
            <w:tcW w:w="4674" w:type="dxa"/>
            <w:tcBorders>
              <w:top w:val="nil"/>
              <w:left w:val="nil"/>
              <w:bottom w:val="nil"/>
            </w:tcBorders>
          </w:tcPr>
          <w:p>
            <w:pPr>
              <w:rPr>
                <w:noProof/>
              </w:rPr>
            </w:pPr>
            <w:r>
              <w:rPr>
                <w:noProof/>
              </w:rPr>
              <w:t>Articolul 21 alineatele (1) – (3)</w:t>
            </w:r>
          </w:p>
        </w:tc>
        <w:tc>
          <w:tcPr>
            <w:tcW w:w="4674" w:type="dxa"/>
            <w:tcBorders>
              <w:top w:val="nil"/>
              <w:bottom w:val="nil"/>
              <w:right w:val="nil"/>
            </w:tcBorders>
          </w:tcPr>
          <w:p>
            <w:pPr>
              <w:rPr>
                <w:noProof/>
              </w:rPr>
            </w:pPr>
            <w:r>
              <w:rPr>
                <w:noProof/>
              </w:rPr>
              <w:t>Articolul 44</w:t>
            </w:r>
          </w:p>
        </w:tc>
      </w:tr>
      <w:tr>
        <w:tc>
          <w:tcPr>
            <w:tcW w:w="4674" w:type="dxa"/>
            <w:tcBorders>
              <w:top w:val="nil"/>
              <w:left w:val="nil"/>
              <w:bottom w:val="nil"/>
            </w:tcBorders>
          </w:tcPr>
          <w:p>
            <w:pPr>
              <w:rPr>
                <w:noProof/>
              </w:rPr>
            </w:pPr>
            <w:r>
              <w:rPr>
                <w:noProof/>
              </w:rPr>
              <w:t>Articolul 21 alineatul (7)</w:t>
            </w:r>
          </w:p>
        </w:tc>
        <w:tc>
          <w:tcPr>
            <w:tcW w:w="4674" w:type="dxa"/>
            <w:tcBorders>
              <w:top w:val="nil"/>
              <w:bottom w:val="nil"/>
              <w:right w:val="nil"/>
            </w:tcBorders>
          </w:tcPr>
          <w:p>
            <w:pPr>
              <w:rPr>
                <w:noProof/>
              </w:rPr>
            </w:pPr>
            <w:r>
              <w:rPr>
                <w:noProof/>
              </w:rPr>
              <w:t>Articolul 47</w:t>
            </w:r>
          </w:p>
        </w:tc>
      </w:tr>
      <w:tr>
        <w:tc>
          <w:tcPr>
            <w:tcW w:w="4674" w:type="dxa"/>
            <w:tcBorders>
              <w:top w:val="nil"/>
              <w:left w:val="nil"/>
              <w:bottom w:val="nil"/>
            </w:tcBorders>
          </w:tcPr>
          <w:p>
            <w:pPr>
              <w:rPr>
                <w:noProof/>
              </w:rPr>
            </w:pPr>
            <w:r>
              <w:rPr>
                <w:noProof/>
              </w:rPr>
              <w:t>Articolul 22</w:t>
            </w:r>
          </w:p>
        </w:tc>
        <w:tc>
          <w:tcPr>
            <w:tcW w:w="4674" w:type="dxa"/>
            <w:tcBorders>
              <w:top w:val="nil"/>
              <w:bottom w:val="nil"/>
              <w:right w:val="nil"/>
            </w:tcBorders>
          </w:tcPr>
          <w:p>
            <w:pPr>
              <w:rPr>
                <w:noProof/>
              </w:rPr>
            </w:pPr>
            <w:r>
              <w:rPr>
                <w:noProof/>
              </w:rPr>
              <w:t>Articolul 37</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Articolul 38</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Articolul 39</w:t>
            </w:r>
          </w:p>
        </w:tc>
      </w:tr>
      <w:tr>
        <w:tc>
          <w:tcPr>
            <w:tcW w:w="4674" w:type="dxa"/>
            <w:tcBorders>
              <w:top w:val="nil"/>
              <w:left w:val="nil"/>
              <w:bottom w:val="nil"/>
            </w:tcBorders>
          </w:tcPr>
          <w:p>
            <w:pPr>
              <w:rPr>
                <w:noProof/>
              </w:rPr>
            </w:pPr>
            <w:r>
              <w:rPr>
                <w:noProof/>
              </w:rPr>
              <w:t>Articolul 23</w:t>
            </w:r>
          </w:p>
        </w:tc>
        <w:tc>
          <w:tcPr>
            <w:tcW w:w="4674" w:type="dxa"/>
            <w:tcBorders>
              <w:top w:val="nil"/>
              <w:bottom w:val="nil"/>
              <w:right w:val="nil"/>
            </w:tcBorders>
          </w:tcPr>
          <w:p>
            <w:pPr>
              <w:rPr>
                <w:noProof/>
              </w:rPr>
            </w:pPr>
            <w:r>
              <w:rPr>
                <w:noProof/>
              </w:rPr>
              <w:t>Articolul 48</w:t>
            </w:r>
          </w:p>
        </w:tc>
      </w:tr>
      <w:tr>
        <w:tc>
          <w:tcPr>
            <w:tcW w:w="4674" w:type="dxa"/>
            <w:tcBorders>
              <w:top w:val="nil"/>
              <w:left w:val="nil"/>
              <w:bottom w:val="nil"/>
            </w:tcBorders>
          </w:tcPr>
          <w:p>
            <w:pPr>
              <w:rPr>
                <w:noProof/>
              </w:rPr>
            </w:pPr>
            <w:r>
              <w:rPr>
                <w:noProof/>
              </w:rPr>
              <w:t>Articolul 23a</w:t>
            </w:r>
          </w:p>
        </w:tc>
        <w:tc>
          <w:tcPr>
            <w:tcW w:w="4674" w:type="dxa"/>
            <w:tcBorders>
              <w:top w:val="nil"/>
              <w:bottom w:val="nil"/>
              <w:right w:val="nil"/>
            </w:tcBorders>
          </w:tcPr>
          <w:p>
            <w:pPr>
              <w:rPr>
                <w:noProof/>
              </w:rPr>
            </w:pPr>
            <w:r>
              <w:rPr>
                <w:noProof/>
              </w:rPr>
              <w:t>Articolul 49</w:t>
            </w:r>
          </w:p>
        </w:tc>
      </w:tr>
      <w:tr>
        <w:tc>
          <w:tcPr>
            <w:tcW w:w="4674" w:type="dxa"/>
            <w:tcBorders>
              <w:top w:val="nil"/>
              <w:left w:val="nil"/>
              <w:bottom w:val="nil"/>
            </w:tcBorders>
          </w:tcPr>
          <w:p>
            <w:pPr>
              <w:rPr>
                <w:noProof/>
              </w:rPr>
            </w:pPr>
            <w:r>
              <w:rPr>
                <w:noProof/>
              </w:rPr>
              <w:t>Articolul 24</w:t>
            </w:r>
          </w:p>
        </w:tc>
        <w:tc>
          <w:tcPr>
            <w:tcW w:w="4674" w:type="dxa"/>
            <w:tcBorders>
              <w:top w:val="nil"/>
              <w:bottom w:val="nil"/>
              <w:right w:val="nil"/>
            </w:tcBorders>
          </w:tcPr>
          <w:p>
            <w:pPr>
              <w:rPr>
                <w:noProof/>
              </w:rPr>
            </w:pPr>
            <w:r>
              <w:rPr>
                <w:noProof/>
              </w:rPr>
              <w:t>Articolul 50</w:t>
            </w:r>
          </w:p>
        </w:tc>
      </w:tr>
      <w:tr>
        <w:tc>
          <w:tcPr>
            <w:tcW w:w="4674" w:type="dxa"/>
            <w:tcBorders>
              <w:top w:val="nil"/>
              <w:left w:val="nil"/>
              <w:bottom w:val="nil"/>
            </w:tcBorders>
          </w:tcPr>
          <w:p>
            <w:pPr>
              <w:rPr>
                <w:noProof/>
              </w:rPr>
            </w:pPr>
            <w:r>
              <w:rPr>
                <w:noProof/>
              </w:rPr>
              <w:t>Articolul 25 alineatele (1) – (5)</w:t>
            </w:r>
          </w:p>
        </w:tc>
        <w:tc>
          <w:tcPr>
            <w:tcW w:w="4674" w:type="dxa"/>
            <w:tcBorders>
              <w:top w:val="nil"/>
              <w:bottom w:val="nil"/>
              <w:right w:val="nil"/>
            </w:tcBorders>
          </w:tcPr>
          <w:p>
            <w:pPr>
              <w:rPr>
                <w:noProof/>
              </w:rPr>
            </w:pPr>
            <w:r>
              <w:rPr>
                <w:noProof/>
              </w:rPr>
              <w:t>Articolul 40</w:t>
            </w:r>
          </w:p>
        </w:tc>
      </w:tr>
      <w:tr>
        <w:tc>
          <w:tcPr>
            <w:tcW w:w="4674" w:type="dxa"/>
            <w:tcBorders>
              <w:top w:val="nil"/>
              <w:left w:val="nil"/>
              <w:bottom w:val="nil"/>
            </w:tcBorders>
          </w:tcPr>
          <w:p>
            <w:pPr>
              <w:rPr>
                <w:noProof/>
              </w:rPr>
            </w:pPr>
            <w:r>
              <w:rPr>
                <w:noProof/>
              </w:rPr>
              <w:t>Articolul 25 alineatele (6), (7), (8)</w:t>
            </w:r>
          </w:p>
        </w:tc>
        <w:tc>
          <w:tcPr>
            <w:tcW w:w="4674" w:type="dxa"/>
            <w:tcBorders>
              <w:top w:val="nil"/>
              <w:bottom w:val="nil"/>
              <w:right w:val="nil"/>
            </w:tcBorders>
          </w:tcPr>
          <w:p>
            <w:pPr>
              <w:rPr>
                <w:noProof/>
              </w:rPr>
            </w:pPr>
            <w:r>
              <w:rPr>
                <w:noProof/>
              </w:rPr>
              <w:t>Articolul 41</w:t>
            </w:r>
          </w:p>
        </w:tc>
      </w:tr>
      <w:tr>
        <w:tc>
          <w:tcPr>
            <w:tcW w:w="4674" w:type="dxa"/>
            <w:tcBorders>
              <w:top w:val="nil"/>
              <w:left w:val="nil"/>
              <w:bottom w:val="nil"/>
            </w:tcBorders>
          </w:tcPr>
          <w:p>
            <w:pPr>
              <w:rPr>
                <w:noProof/>
              </w:rPr>
            </w:pPr>
            <w:r>
              <w:rPr>
                <w:noProof/>
              </w:rPr>
              <w:t>Articolul 25a</w:t>
            </w:r>
          </w:p>
        </w:tc>
        <w:tc>
          <w:tcPr>
            <w:tcW w:w="4674" w:type="dxa"/>
            <w:tcBorders>
              <w:top w:val="nil"/>
              <w:bottom w:val="nil"/>
              <w:right w:val="nil"/>
            </w:tcBorders>
          </w:tcPr>
          <w:p>
            <w:pPr>
              <w:rPr>
                <w:noProof/>
              </w:rPr>
            </w:pPr>
            <w:r>
              <w:rPr>
                <w:noProof/>
              </w:rPr>
              <w:t>Articolul 34</w:t>
            </w:r>
          </w:p>
        </w:tc>
      </w:tr>
      <w:tr>
        <w:tc>
          <w:tcPr>
            <w:tcW w:w="4674" w:type="dxa"/>
            <w:tcBorders>
              <w:top w:val="nil"/>
              <w:left w:val="nil"/>
              <w:bottom w:val="nil"/>
            </w:tcBorders>
          </w:tcPr>
          <w:p>
            <w:pPr>
              <w:rPr>
                <w:noProof/>
              </w:rPr>
            </w:pPr>
            <w:r>
              <w:rPr>
                <w:noProof/>
              </w:rPr>
              <w:t>Articolul 26</w:t>
            </w:r>
          </w:p>
        </w:tc>
        <w:tc>
          <w:tcPr>
            <w:tcW w:w="4674" w:type="dxa"/>
            <w:tcBorders>
              <w:top w:val="nil"/>
              <w:bottom w:val="nil"/>
              <w:right w:val="nil"/>
            </w:tcBorders>
          </w:tcPr>
          <w:p>
            <w:pPr>
              <w:rPr>
                <w:noProof/>
              </w:rPr>
            </w:pPr>
            <w:r>
              <w:rPr>
                <w:noProof/>
              </w:rPr>
              <w:t>Articolul 51</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Articolul 52</w:t>
            </w:r>
          </w:p>
        </w:tc>
      </w:tr>
      <w:tr>
        <w:tc>
          <w:tcPr>
            <w:tcW w:w="4674" w:type="dxa"/>
            <w:tcBorders>
              <w:top w:val="nil"/>
              <w:left w:val="nil"/>
              <w:bottom w:val="nil"/>
            </w:tcBorders>
          </w:tcPr>
          <w:p>
            <w:pPr>
              <w:rPr>
                <w:noProof/>
              </w:rPr>
            </w:pPr>
            <w:r>
              <w:rPr>
                <w:noProof/>
              </w:rPr>
              <w:t>Articolul 27</w:t>
            </w:r>
          </w:p>
        </w:tc>
        <w:tc>
          <w:tcPr>
            <w:tcW w:w="4674" w:type="dxa"/>
            <w:tcBorders>
              <w:top w:val="nil"/>
              <w:bottom w:val="nil"/>
              <w:right w:val="nil"/>
            </w:tcBorders>
          </w:tcPr>
          <w:p>
            <w:pPr>
              <w:rPr>
                <w:noProof/>
              </w:rPr>
            </w:pPr>
            <w:r>
              <w:rPr>
                <w:noProof/>
              </w:rPr>
              <w:t>Articolul 53</w:t>
            </w:r>
          </w:p>
        </w:tc>
      </w:tr>
      <w:tr>
        <w:tc>
          <w:tcPr>
            <w:tcW w:w="4674" w:type="dxa"/>
            <w:tcBorders>
              <w:top w:val="nil"/>
              <w:left w:val="nil"/>
              <w:bottom w:val="nil"/>
            </w:tcBorders>
          </w:tcPr>
          <w:p>
            <w:pPr>
              <w:rPr>
                <w:noProof/>
              </w:rPr>
            </w:pPr>
            <w:r>
              <w:rPr>
                <w:noProof/>
              </w:rPr>
              <w:t>Articolul 27a</w:t>
            </w:r>
          </w:p>
        </w:tc>
        <w:tc>
          <w:tcPr>
            <w:tcW w:w="4674" w:type="dxa"/>
            <w:tcBorders>
              <w:top w:val="nil"/>
              <w:bottom w:val="nil"/>
              <w:right w:val="nil"/>
            </w:tcBorders>
          </w:tcPr>
          <w:p>
            <w:pPr>
              <w:rPr>
                <w:noProof/>
              </w:rPr>
            </w:pPr>
            <w:r>
              <w:rPr>
                <w:noProof/>
              </w:rPr>
              <w:t>---</w:t>
            </w:r>
          </w:p>
        </w:tc>
      </w:tr>
      <w:tr>
        <w:tc>
          <w:tcPr>
            <w:tcW w:w="4674" w:type="dxa"/>
            <w:tcBorders>
              <w:top w:val="nil"/>
              <w:left w:val="nil"/>
              <w:bottom w:val="nil"/>
            </w:tcBorders>
          </w:tcPr>
          <w:p>
            <w:pPr>
              <w:rPr>
                <w:noProof/>
              </w:rPr>
            </w:pPr>
            <w:r>
              <w:rPr>
                <w:noProof/>
              </w:rPr>
              <w:t>Articolul 27b</w:t>
            </w:r>
          </w:p>
        </w:tc>
        <w:tc>
          <w:tcPr>
            <w:tcW w:w="4674" w:type="dxa"/>
            <w:tcBorders>
              <w:top w:val="nil"/>
              <w:bottom w:val="nil"/>
              <w:right w:val="nil"/>
            </w:tcBorders>
          </w:tcPr>
          <w:p>
            <w:pPr>
              <w:rPr>
                <w:noProof/>
              </w:rPr>
            </w:pPr>
            <w:r>
              <w:rPr>
                <w:noProof/>
              </w:rPr>
              <w:t>---</w:t>
            </w:r>
          </w:p>
        </w:tc>
      </w:tr>
      <w:tr>
        <w:tc>
          <w:tcPr>
            <w:tcW w:w="4674" w:type="dxa"/>
            <w:tcBorders>
              <w:top w:val="nil"/>
              <w:left w:val="nil"/>
              <w:bottom w:val="nil"/>
            </w:tcBorders>
          </w:tcPr>
          <w:p>
            <w:pPr>
              <w:rPr>
                <w:noProof/>
              </w:rPr>
            </w:pPr>
            <w:r>
              <w:rPr>
                <w:noProof/>
              </w:rPr>
              <w:lastRenderedPageBreak/>
              <w:t>Articolul 27c</w:t>
            </w:r>
          </w:p>
        </w:tc>
        <w:tc>
          <w:tcPr>
            <w:tcW w:w="4674" w:type="dxa"/>
            <w:tcBorders>
              <w:top w:val="nil"/>
              <w:bottom w:val="nil"/>
              <w:right w:val="nil"/>
            </w:tcBorders>
          </w:tcPr>
          <w:p>
            <w:pPr>
              <w:rPr>
                <w:noProof/>
              </w:rPr>
            </w:pPr>
            <w:r>
              <w:rPr>
                <w:noProof/>
              </w:rPr>
              <w:t>Articolul 35</w:t>
            </w:r>
          </w:p>
        </w:tc>
      </w:tr>
      <w:tr>
        <w:tc>
          <w:tcPr>
            <w:tcW w:w="4674" w:type="dxa"/>
            <w:tcBorders>
              <w:top w:val="nil"/>
              <w:left w:val="nil"/>
              <w:bottom w:val="nil"/>
            </w:tcBorders>
          </w:tcPr>
          <w:p>
            <w:pPr>
              <w:rPr>
                <w:noProof/>
              </w:rPr>
            </w:pPr>
            <w:r>
              <w:rPr>
                <w:noProof/>
              </w:rPr>
              <w:t>---</w:t>
            </w:r>
          </w:p>
        </w:tc>
        <w:tc>
          <w:tcPr>
            <w:tcW w:w="4674" w:type="dxa"/>
            <w:tcBorders>
              <w:top w:val="nil"/>
              <w:bottom w:val="nil"/>
              <w:right w:val="nil"/>
            </w:tcBorders>
          </w:tcPr>
          <w:p>
            <w:pPr>
              <w:rPr>
                <w:noProof/>
              </w:rPr>
            </w:pPr>
            <w:r>
              <w:rPr>
                <w:noProof/>
              </w:rPr>
              <w:t>Articolul 36</w:t>
            </w:r>
          </w:p>
        </w:tc>
      </w:tr>
      <w:tr>
        <w:tc>
          <w:tcPr>
            <w:tcW w:w="4674" w:type="dxa"/>
            <w:tcBorders>
              <w:top w:val="nil"/>
              <w:left w:val="nil"/>
              <w:bottom w:val="nil"/>
            </w:tcBorders>
          </w:tcPr>
          <w:p>
            <w:pPr>
              <w:rPr>
                <w:noProof/>
              </w:rPr>
            </w:pPr>
            <w:r>
              <w:rPr>
                <w:noProof/>
              </w:rPr>
              <w:t>Articolul 27d</w:t>
            </w:r>
          </w:p>
        </w:tc>
        <w:tc>
          <w:tcPr>
            <w:tcW w:w="4674" w:type="dxa"/>
            <w:tcBorders>
              <w:top w:val="nil"/>
              <w:bottom w:val="nil"/>
              <w:right w:val="nil"/>
            </w:tcBorders>
          </w:tcPr>
          <w:p>
            <w:pPr>
              <w:rPr>
                <w:noProof/>
              </w:rPr>
            </w:pPr>
            <w:r>
              <w:rPr>
                <w:noProof/>
              </w:rPr>
              <w:t>Articolul 54</w:t>
            </w:r>
          </w:p>
        </w:tc>
      </w:tr>
      <w:tr>
        <w:tc>
          <w:tcPr>
            <w:tcW w:w="4674" w:type="dxa"/>
            <w:tcBorders>
              <w:top w:val="nil"/>
              <w:left w:val="nil"/>
              <w:bottom w:val="nil"/>
            </w:tcBorders>
          </w:tcPr>
          <w:p>
            <w:pPr>
              <w:rPr>
                <w:noProof/>
              </w:rPr>
            </w:pPr>
            <w:r>
              <w:rPr>
                <w:noProof/>
              </w:rPr>
              <w:t>Articolul 28</w:t>
            </w:r>
          </w:p>
        </w:tc>
        <w:tc>
          <w:tcPr>
            <w:tcW w:w="4674" w:type="dxa"/>
            <w:tcBorders>
              <w:top w:val="nil"/>
              <w:bottom w:val="nil"/>
              <w:right w:val="nil"/>
            </w:tcBorders>
          </w:tcPr>
          <w:p>
            <w:pPr>
              <w:rPr>
                <w:noProof/>
              </w:rPr>
            </w:pPr>
            <w:r>
              <w:rPr>
                <w:noProof/>
              </w:rPr>
              <w:t>Articolul 57</w:t>
            </w:r>
          </w:p>
        </w:tc>
      </w:tr>
      <w:tr>
        <w:tc>
          <w:tcPr>
            <w:tcW w:w="4674" w:type="dxa"/>
            <w:tcBorders>
              <w:top w:val="nil"/>
              <w:left w:val="nil"/>
              <w:bottom w:val="nil"/>
            </w:tcBorders>
          </w:tcPr>
          <w:p>
            <w:pPr>
              <w:rPr>
                <w:noProof/>
              </w:rPr>
            </w:pPr>
            <w:r>
              <w:rPr>
                <w:noProof/>
              </w:rPr>
              <w:t>Articolul 29</w:t>
            </w:r>
          </w:p>
        </w:tc>
        <w:tc>
          <w:tcPr>
            <w:tcW w:w="4674" w:type="dxa"/>
            <w:tcBorders>
              <w:top w:val="nil"/>
              <w:bottom w:val="nil"/>
              <w:right w:val="nil"/>
            </w:tcBorders>
          </w:tcPr>
          <w:p>
            <w:pPr>
              <w:rPr>
                <w:noProof/>
              </w:rPr>
            </w:pPr>
            <w:r>
              <w:rPr>
                <w:noProof/>
              </w:rPr>
              <w:t>Articolul 55</w:t>
            </w:r>
          </w:p>
        </w:tc>
      </w:tr>
      <w:tr>
        <w:tc>
          <w:tcPr>
            <w:tcW w:w="4674" w:type="dxa"/>
            <w:tcBorders>
              <w:top w:val="nil"/>
              <w:left w:val="nil"/>
              <w:bottom w:val="nil"/>
            </w:tcBorders>
          </w:tcPr>
          <w:p>
            <w:pPr>
              <w:rPr>
                <w:noProof/>
              </w:rPr>
            </w:pPr>
            <w:r>
              <w:rPr>
                <w:noProof/>
              </w:rPr>
              <w:t>Articolul 2 din Directiva 2025/872/UE</w:t>
            </w:r>
          </w:p>
        </w:tc>
        <w:tc>
          <w:tcPr>
            <w:tcW w:w="4674" w:type="dxa"/>
            <w:tcBorders>
              <w:top w:val="nil"/>
              <w:bottom w:val="nil"/>
              <w:right w:val="nil"/>
            </w:tcBorders>
          </w:tcPr>
          <w:p>
            <w:pPr>
              <w:rPr>
                <w:noProof/>
              </w:rPr>
            </w:pPr>
            <w:r>
              <w:rPr>
                <w:noProof/>
              </w:rPr>
              <w:t>Articolul 56</w:t>
            </w:r>
          </w:p>
        </w:tc>
      </w:tr>
      <w:tr>
        <w:tc>
          <w:tcPr>
            <w:tcW w:w="4674" w:type="dxa"/>
            <w:tcBorders>
              <w:top w:val="nil"/>
              <w:left w:val="nil"/>
              <w:bottom w:val="nil"/>
            </w:tcBorders>
          </w:tcPr>
          <w:p>
            <w:pPr>
              <w:rPr>
                <w:noProof/>
              </w:rPr>
            </w:pPr>
            <w:r>
              <w:rPr>
                <w:noProof/>
              </w:rPr>
              <w:t>Articolul 30</w:t>
            </w:r>
          </w:p>
        </w:tc>
        <w:tc>
          <w:tcPr>
            <w:tcW w:w="4674" w:type="dxa"/>
            <w:tcBorders>
              <w:top w:val="nil"/>
              <w:bottom w:val="nil"/>
              <w:right w:val="nil"/>
            </w:tcBorders>
          </w:tcPr>
          <w:p>
            <w:pPr>
              <w:rPr>
                <w:noProof/>
              </w:rPr>
            </w:pPr>
            <w:r>
              <w:rPr>
                <w:noProof/>
              </w:rPr>
              <w:t>Articolul 58</w:t>
            </w:r>
          </w:p>
        </w:tc>
      </w:tr>
      <w:tr>
        <w:tc>
          <w:tcPr>
            <w:tcW w:w="4674" w:type="dxa"/>
            <w:tcBorders>
              <w:top w:val="nil"/>
              <w:left w:val="nil"/>
              <w:bottom w:val="nil"/>
            </w:tcBorders>
          </w:tcPr>
          <w:p>
            <w:pPr>
              <w:rPr>
                <w:noProof/>
              </w:rPr>
            </w:pPr>
            <w:r>
              <w:rPr>
                <w:noProof/>
              </w:rPr>
              <w:t>Articolul 31</w:t>
            </w:r>
          </w:p>
        </w:tc>
        <w:tc>
          <w:tcPr>
            <w:tcW w:w="4674" w:type="dxa"/>
            <w:tcBorders>
              <w:top w:val="nil"/>
              <w:bottom w:val="nil"/>
              <w:right w:val="nil"/>
            </w:tcBorders>
          </w:tcPr>
          <w:p>
            <w:pPr>
              <w:rPr>
                <w:noProof/>
              </w:rPr>
            </w:pPr>
            <w:r>
              <w:rPr>
                <w:noProof/>
              </w:rPr>
              <w:t>Articolul 59</w:t>
            </w:r>
          </w:p>
        </w:tc>
      </w:tr>
      <w:tr>
        <w:tc>
          <w:tcPr>
            <w:tcW w:w="4674" w:type="dxa"/>
            <w:tcBorders>
              <w:top w:val="nil"/>
              <w:left w:val="nil"/>
              <w:bottom w:val="nil"/>
            </w:tcBorders>
          </w:tcPr>
          <w:p>
            <w:pPr>
              <w:rPr>
                <w:noProof/>
              </w:rPr>
            </w:pPr>
            <w:r>
              <w:rPr>
                <w:noProof/>
              </w:rPr>
              <w:t>Anexa I</w:t>
            </w:r>
          </w:p>
        </w:tc>
        <w:tc>
          <w:tcPr>
            <w:tcW w:w="4674" w:type="dxa"/>
            <w:tcBorders>
              <w:top w:val="nil"/>
              <w:bottom w:val="nil"/>
              <w:right w:val="nil"/>
            </w:tcBorders>
          </w:tcPr>
          <w:p>
            <w:pPr>
              <w:rPr>
                <w:noProof/>
              </w:rPr>
            </w:pPr>
            <w:r>
              <w:rPr>
                <w:noProof/>
              </w:rPr>
              <w:t>Anexa I</w:t>
            </w:r>
          </w:p>
        </w:tc>
      </w:tr>
      <w:tr>
        <w:tc>
          <w:tcPr>
            <w:tcW w:w="4674" w:type="dxa"/>
            <w:tcBorders>
              <w:top w:val="nil"/>
              <w:left w:val="nil"/>
              <w:bottom w:val="nil"/>
            </w:tcBorders>
          </w:tcPr>
          <w:p>
            <w:pPr>
              <w:rPr>
                <w:noProof/>
              </w:rPr>
            </w:pPr>
            <w:r>
              <w:rPr>
                <w:noProof/>
              </w:rPr>
              <w:t>Anexa II</w:t>
            </w:r>
          </w:p>
        </w:tc>
        <w:tc>
          <w:tcPr>
            <w:tcW w:w="4674" w:type="dxa"/>
            <w:tcBorders>
              <w:top w:val="nil"/>
              <w:bottom w:val="nil"/>
              <w:right w:val="nil"/>
            </w:tcBorders>
          </w:tcPr>
          <w:p>
            <w:pPr>
              <w:rPr>
                <w:noProof/>
              </w:rPr>
            </w:pPr>
            <w:r>
              <w:rPr>
                <w:noProof/>
              </w:rPr>
              <w:t>Anexa II</w:t>
            </w:r>
          </w:p>
        </w:tc>
      </w:tr>
      <w:tr>
        <w:tc>
          <w:tcPr>
            <w:tcW w:w="4674" w:type="dxa"/>
            <w:tcBorders>
              <w:top w:val="nil"/>
              <w:left w:val="nil"/>
              <w:bottom w:val="nil"/>
            </w:tcBorders>
          </w:tcPr>
          <w:p>
            <w:pPr>
              <w:rPr>
                <w:noProof/>
              </w:rPr>
            </w:pPr>
            <w:r>
              <w:rPr>
                <w:noProof/>
              </w:rPr>
              <w:t>Anexa III</w:t>
            </w:r>
          </w:p>
        </w:tc>
        <w:tc>
          <w:tcPr>
            <w:tcW w:w="4674" w:type="dxa"/>
            <w:tcBorders>
              <w:top w:val="nil"/>
              <w:bottom w:val="nil"/>
              <w:right w:val="nil"/>
            </w:tcBorders>
          </w:tcPr>
          <w:p>
            <w:pPr>
              <w:rPr>
                <w:noProof/>
              </w:rPr>
            </w:pPr>
            <w:r>
              <w:rPr>
                <w:noProof/>
              </w:rPr>
              <w:t>Anexa III</w:t>
            </w:r>
          </w:p>
        </w:tc>
      </w:tr>
      <w:tr>
        <w:tc>
          <w:tcPr>
            <w:tcW w:w="4674" w:type="dxa"/>
            <w:tcBorders>
              <w:top w:val="nil"/>
              <w:left w:val="nil"/>
              <w:bottom w:val="nil"/>
            </w:tcBorders>
          </w:tcPr>
          <w:p>
            <w:pPr>
              <w:rPr>
                <w:noProof/>
              </w:rPr>
            </w:pPr>
            <w:r>
              <w:rPr>
                <w:noProof/>
              </w:rPr>
              <w:t>Anexa IV</w:t>
            </w:r>
          </w:p>
        </w:tc>
        <w:tc>
          <w:tcPr>
            <w:tcW w:w="4674" w:type="dxa"/>
            <w:tcBorders>
              <w:top w:val="nil"/>
              <w:bottom w:val="nil"/>
              <w:right w:val="nil"/>
            </w:tcBorders>
          </w:tcPr>
          <w:p>
            <w:pPr>
              <w:rPr>
                <w:noProof/>
              </w:rPr>
            </w:pPr>
            <w:r>
              <w:rPr>
                <w:noProof/>
              </w:rPr>
              <w:t>Anexa IV</w:t>
            </w:r>
          </w:p>
        </w:tc>
      </w:tr>
      <w:tr>
        <w:tc>
          <w:tcPr>
            <w:tcW w:w="4674" w:type="dxa"/>
            <w:tcBorders>
              <w:top w:val="nil"/>
              <w:left w:val="nil"/>
              <w:bottom w:val="nil"/>
            </w:tcBorders>
          </w:tcPr>
          <w:p>
            <w:pPr>
              <w:rPr>
                <w:noProof/>
              </w:rPr>
            </w:pPr>
            <w:r>
              <w:rPr>
                <w:noProof/>
              </w:rPr>
              <w:t>Anexa V</w:t>
            </w:r>
          </w:p>
        </w:tc>
        <w:tc>
          <w:tcPr>
            <w:tcW w:w="4674" w:type="dxa"/>
            <w:tcBorders>
              <w:top w:val="nil"/>
              <w:bottom w:val="nil"/>
              <w:right w:val="nil"/>
            </w:tcBorders>
          </w:tcPr>
          <w:p>
            <w:pPr>
              <w:rPr>
                <w:noProof/>
              </w:rPr>
            </w:pPr>
            <w:r>
              <w:rPr>
                <w:noProof/>
              </w:rPr>
              <w:t>Anexa V</w:t>
            </w:r>
          </w:p>
        </w:tc>
      </w:tr>
      <w:tr>
        <w:tc>
          <w:tcPr>
            <w:tcW w:w="4674" w:type="dxa"/>
            <w:tcBorders>
              <w:top w:val="nil"/>
              <w:left w:val="nil"/>
              <w:bottom w:val="nil"/>
            </w:tcBorders>
          </w:tcPr>
          <w:p>
            <w:pPr>
              <w:rPr>
                <w:noProof/>
              </w:rPr>
            </w:pPr>
            <w:r>
              <w:rPr>
                <w:noProof/>
              </w:rPr>
              <w:t>Anexa VI</w:t>
            </w:r>
          </w:p>
        </w:tc>
        <w:tc>
          <w:tcPr>
            <w:tcW w:w="4674" w:type="dxa"/>
            <w:tcBorders>
              <w:top w:val="nil"/>
              <w:bottom w:val="nil"/>
              <w:right w:val="nil"/>
            </w:tcBorders>
          </w:tcPr>
          <w:p>
            <w:pPr>
              <w:rPr>
                <w:noProof/>
              </w:rPr>
            </w:pPr>
            <w:r>
              <w:rPr>
                <w:noProof/>
              </w:rPr>
              <w:t>Anexa VI</w:t>
            </w:r>
          </w:p>
        </w:tc>
      </w:tr>
      <w:tr>
        <w:tc>
          <w:tcPr>
            <w:tcW w:w="4674" w:type="dxa"/>
            <w:tcBorders>
              <w:top w:val="nil"/>
              <w:left w:val="nil"/>
              <w:bottom w:val="nil"/>
            </w:tcBorders>
          </w:tcPr>
          <w:p>
            <w:pPr>
              <w:rPr>
                <w:noProof/>
              </w:rPr>
            </w:pPr>
            <w:r>
              <w:rPr>
                <w:noProof/>
              </w:rPr>
              <w:t>Anexa VII</w:t>
            </w:r>
          </w:p>
        </w:tc>
        <w:tc>
          <w:tcPr>
            <w:tcW w:w="4674" w:type="dxa"/>
            <w:tcBorders>
              <w:top w:val="nil"/>
              <w:bottom w:val="nil"/>
              <w:right w:val="nil"/>
            </w:tcBorders>
          </w:tcPr>
          <w:p>
            <w:pPr>
              <w:rPr>
                <w:noProof/>
              </w:rPr>
            </w:pPr>
            <w:r>
              <w:rPr>
                <w:noProof/>
              </w:rPr>
              <w:t>Anexa VII</w:t>
            </w:r>
          </w:p>
        </w:tc>
      </w:tr>
    </w:tbl>
    <w:p>
      <w:pPr>
        <w:pStyle w:val="NormalCentered"/>
        <w:rPr>
          <w:noProof/>
        </w:rPr>
      </w:pPr>
      <w:r>
        <w:rPr>
          <w:noProof/>
        </w:rPr>
        <w:t>_____________</w:t>
      </w:r>
    </w:p>
    <w:sect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Directiva (UE) 2023/2226 din 17 octombrie 2023 de modificare a Directivei 2011/16/UE privind cooperarea administrativă în domeniul fiscal (JO L, 2023/2226, 24.10.2023, ELI: http://data.europa.eu/eli/dir/2023/2226/oj).</w:t>
      </w:r>
    </w:p>
  </w:footnote>
  <w:footnote w:id="2">
    <w:p>
      <w:pPr>
        <w:pStyle w:val="FootnoteText"/>
      </w:pPr>
      <w:r>
        <w:rPr>
          <w:rStyle w:val="FootnoteReference"/>
        </w:rPr>
        <w:footnoteRef/>
      </w:r>
      <w:r>
        <w:tab/>
      </w:r>
      <w:r>
        <w:rPr>
          <w:rStyle w:val="CRDeleted"/>
        </w:rPr>
        <w:t>Vă rugăm să precizați natura activității entității constitutive la rubrica „Informații suplimentare”.</w:t>
      </w:r>
    </w:p>
  </w:footnote>
  <w:footnote w:id="3">
    <w:p>
      <w:pPr>
        <w:pStyle w:val="FootnoteText"/>
        <w:rPr>
          <w:lang w:val="fr-FR"/>
        </w:rPr>
      </w:pPr>
      <w:r>
        <w:rPr>
          <w:rStyle w:val="FootnoteReference"/>
        </w:rPr>
        <w:footnoteRef/>
      </w:r>
      <w:r>
        <w:tab/>
      </w:r>
      <w:r>
        <w:fldChar w:fldCharType="begin"/>
      </w:r>
      <w:r>
        <w:instrText xml:space="preserve"> QUOTE "Ö" </w:instrText>
      </w:r>
      <w:r>
        <w:fldChar w:fldCharType="separate"/>
      </w:r>
      <w:r>
        <w:rPr>
          <w:rStyle w:val="CRMarker"/>
        </w:rPr>
        <w:t>Ö</w:t>
      </w:r>
      <w:r>
        <w:fldChar w:fldCharType="end"/>
      </w:r>
      <w:r>
        <w:t xml:space="preserve"> Directiva 2006/112/CE a Consiliului din 28 noiembrie 2006 privind sistemul comun al taxei pe valoarea adăugată (JO L 347, 11.12.2006, p. 1, ELI: </w:t>
      </w:r>
      <w:hyperlink r:id="rId1" w:history="1">
        <w:r>
          <w:rPr>
            <w:rStyle w:val="Hyperlink"/>
          </w:rPr>
          <w:t>http://data.europa.eu/eli/dir/2006/112/oj</w:t>
        </w:r>
      </w:hyperlink>
      <w:r>
        <w:t>) </w:t>
      </w:r>
      <w:r>
        <w:fldChar w:fldCharType="begin"/>
      </w:r>
      <w:r>
        <w:instrText xml:space="preserve"> QUOTE "Õ" </w:instrText>
      </w:r>
      <w:r>
        <w:fldChar w:fldCharType="separate"/>
      </w:r>
      <w:r>
        <w:rPr>
          <w:rStyle w:val="CRMarker"/>
        </w:rPr>
        <w:t>Õ</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0"/>
  </w:num>
  <w:num w:numId="3">
    <w:abstractNumId w:val="20"/>
  </w:num>
  <w:num w:numId="4">
    <w:abstractNumId w:val="8"/>
  </w:num>
  <w:num w:numId="5">
    <w:abstractNumId w:val="17"/>
  </w:num>
  <w:num w:numId="6">
    <w:abstractNumId w:val="16"/>
  </w:num>
  <w:num w:numId="7">
    <w:abstractNumId w:val="27"/>
  </w:num>
  <w:num w:numId="8">
    <w:abstractNumId w:val="24"/>
  </w:num>
  <w:num w:numId="9">
    <w:abstractNumId w:val="28"/>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18:30: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9"/>
    <w:docVar w:name="LW_ANNEX_UNIQUE" w:val="0"/>
    <w:docVar w:name="LW_CORRIGENDUM" w:val="&lt;UNUSED&gt;"/>
    <w:docVar w:name="LW_COVERPAGE_EXISTS" w:val="True"/>
    <w:docVar w:name="LW_COVERPAGE_GUID" w:val="AF29C1CE-5975-4B1B-AD03-0A8676AE80E3"/>
    <w:docVar w:name="LW_COVERPAGE_TYPE" w:val="1"/>
    <w:docVar w:name="LW_CreatedUtc" w:val="2026-05-19T10:15:48.8656537Z"/>
    <w:docVar w:name="LW_CROSSREFERENCE" w:val="{SEC(2026) 186 final} - {SWD(2026) 164 final} - {SWD(2026) 165 final} - {SWD(2026) 166 final}"/>
    <w:docVar w:name="LW_DocType" w:val="ANNEX"/>
    <w:docVar w:name="LW_EMISSION" w:val="24.6.2026"/>
    <w:docVar w:name="LW_EMISSION_ISODATE" w:val="2026-06-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ooperarea administrativ\u259? în domeniul fiscal_x000d__x000d__x000d__x000d__x000b_(reformare)"/>
    <w:docVar w:name="LW_OBJETACTEPRINCIPAL.CP" w:val="privind cooperarea administrativ\u259? în domeniul fiscal_x000d__x000d__x000d__x000d__x000b_(reformare)"/>
    <w:docVar w:name="LW_PART_NBR" w:val="&lt;UNUSED&gt;"/>
    <w:docVar w:name="LW_PART_NBR_TOTAL" w:val="&lt;UNUSED&gt;"/>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IRECTIV\u258? A CONSILIULUI"/>
    <w:docVar w:name="LW_TYPEACTEPRINCIPAL.CP" w:val="Propunerea de 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0379055-3626-4F65-83A6-0DFC7251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14:ligatures w14:val="standardContextual"/>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pPr>
      <w:numPr>
        <w:numId w:val="1"/>
      </w:numPr>
      <w:tabs>
        <w:tab w:val="clear" w:pos="1134"/>
      </w:tabs>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character" w:customStyle="1" w:styleId="CRMarker">
    <w:name w:val="CR Marker"/>
    <w:basedOn w:val="DefaultParagraphFont"/>
    <w:rPr>
      <w:rFonts w:ascii="Wingdings" w:hAnsi="Wingdings" w:cs="Wingdings"/>
    </w:rPr>
  </w:style>
  <w:style w:type="paragraph" w:customStyle="1" w:styleId="CRSeparator">
    <w:name w:val="CR Separator"/>
    <w:basedOn w:val="Normal"/>
    <w:next w:val="CRReference"/>
    <w:link w:val="CRSeparatorChar"/>
    <w:pPr>
      <w:keepNext/>
      <w:pBdr>
        <w:top w:val="single" w:sz="4" w:space="1" w:color="auto"/>
      </w:pBdr>
      <w:autoSpaceDE w:val="0"/>
      <w:autoSpaceDN w:val="0"/>
      <w:spacing w:before="0" w:after="0"/>
    </w:pPr>
    <w:rPr>
      <w:rFonts w:eastAsiaTheme="minorEastAsia"/>
      <w:szCs w:val="24"/>
      <w14:ligatures w14:val="standardContextual"/>
    </w:rPr>
  </w:style>
  <w:style w:type="paragraph" w:customStyle="1" w:styleId="CRReference">
    <w:name w:val="CR Reference"/>
    <w:basedOn w:val="Normal"/>
    <w:link w:val="CRReferenceChar"/>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14:ligatures w14:val="standardContextual"/>
    </w:rPr>
  </w:style>
  <w:style w:type="character" w:customStyle="1" w:styleId="CRMinorChangeDeleted">
    <w:name w:val="CR Minor Change Deleted"/>
    <w:basedOn w:val="DefaultParagraphFont"/>
    <w:rPr>
      <w:strike w:val="0"/>
      <w:dstrike/>
      <w:u w:val="double"/>
      <w:lang w:val="ro-RO"/>
    </w:rPr>
  </w:style>
  <w:style w:type="character" w:customStyle="1" w:styleId="CRMinorChangeAdded">
    <w:name w:val="CR Minor Change Added"/>
    <w:basedOn w:val="DefaultParagraphFont"/>
    <w:rPr>
      <w:u w:val="double"/>
      <w:lang w:val="ro-RO"/>
    </w:rPr>
  </w:style>
  <w:style w:type="character" w:customStyle="1" w:styleId="CRDeleted">
    <w:name w:val="CR Deleted"/>
    <w:basedOn w:val="DefaultParagraphFont"/>
    <w:rPr>
      <w:i w:val="0"/>
      <w:iCs w:val="0"/>
      <w:strike w:val="0"/>
      <w:dstrike/>
      <w:lang w:val="ro-RO"/>
    </w:rPr>
  </w:style>
  <w:style w:type="character" w:customStyle="1" w:styleId="CRSeparatorChar">
    <w:name w:val="CR Separator Char"/>
    <w:link w:val="CRSeparator"/>
    <w:locked/>
    <w:rPr>
      <w:rFonts w:ascii="Times New Roman" w:eastAsiaTheme="minorEastAsia" w:hAnsi="Times New Roman" w:cs="Times New Roman"/>
      <w:sz w:val="24"/>
      <w:szCs w:val="24"/>
      <w:lang w:val="ro-RO"/>
      <w14:ligatures w14:val="standardContextual"/>
    </w:rPr>
  </w:style>
  <w:style w:type="character" w:customStyle="1" w:styleId="CRReferenceChar">
    <w:name w:val="CR Reference Char"/>
    <w:link w:val="CRReference"/>
    <w:locked/>
    <w:rPr>
      <w:rFonts w:ascii="Times New Roman" w:eastAsiaTheme="minorEastAsia" w:hAnsi="Times New Roman" w:cs="Times New Roman"/>
      <w:sz w:val="24"/>
      <w:szCs w:val="24"/>
      <w:lang w:val="ro-RO"/>
      <w14:ligatures w14:val="standardContextual"/>
    </w:rPr>
  </w:style>
  <w:style w:type="character" w:customStyle="1" w:styleId="CRRefonteDeleted">
    <w:name w:val="CR Refonte Deleted"/>
    <w:basedOn w:val="DefaultParagraphFont"/>
    <w:rPr>
      <w:strike w:val="0"/>
      <w:dstrike/>
      <w:szCs w:val="22"/>
      <w:shd w:val="clear" w:color="auto" w:fill="auto"/>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ro-RO" w:eastAsia="en-GB"/>
    </w:rPr>
  </w:style>
  <w:style w:type="character" w:customStyle="1" w:styleId="Heading8Char">
    <w:name w:val="Heading 8 Char"/>
    <w:basedOn w:val="DefaultParagraphFont"/>
    <w:link w:val="Heading8"/>
    <w:uiPriority w:val="99"/>
    <w:rPr>
      <w:rFonts w:ascii="Arial" w:eastAsiaTheme="minorEastAsia" w:hAnsi="Arial" w:cs="Arial"/>
      <w:i/>
      <w:iCs/>
      <w:sz w:val="20"/>
      <w:szCs w:val="20"/>
      <w:lang w:val="ro-RO"/>
      <w14:ligatures w14:val="standardContextual"/>
    </w:rPr>
  </w:style>
  <w:style w:type="character" w:customStyle="1" w:styleId="Heading9Char">
    <w:name w:val="Heading 9 Char"/>
    <w:basedOn w:val="DefaultParagraphFont"/>
    <w:link w:val="Heading9"/>
    <w:uiPriority w:val="99"/>
    <w:rPr>
      <w:rFonts w:ascii="Arial" w:eastAsiaTheme="minorEastAsia" w:hAnsi="Arial" w:cs="Arial"/>
      <w:i/>
      <w:iCs/>
      <w:sz w:val="18"/>
      <w:szCs w:val="18"/>
      <w:lang w:val="ro-RO"/>
      <w14:ligatures w14:val="standardContextual"/>
    </w:rPr>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Pr>
      <w:rFonts w:eastAsia="Times New Roman"/>
      <w:lang w:eastAsia="de-DE"/>
    </w:rPr>
  </w:style>
  <w:style w:type="paragraph" w:customStyle="1" w:styleId="ListNumberLevel3">
    <w:name w:val="List Number (Level 3)"/>
    <w:basedOn w:val="Normal"/>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ind w:left="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14:ligatures w14:val="standardContextual"/>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14:ligatures w14:val="standardContextual"/>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14:ligatures w14:val="standardContextual"/>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14:ligatures w14:val="standardContextual"/>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14:ligatures w14:val="standardContextual"/>
    </w:rPr>
  </w:style>
  <w:style w:type="paragraph" w:styleId="TOAHeading">
    <w:name w:val="toa heading"/>
    <w:basedOn w:val="Normal"/>
    <w:next w:val="Normal"/>
    <w:uiPriority w:val="99"/>
    <w:pPr>
      <w:autoSpaceDE w:val="0"/>
      <w:autoSpaceDN w:val="0"/>
    </w:pPr>
    <w:rPr>
      <w:rFonts w:ascii="Arial" w:eastAsiaTheme="minorEastAsia" w:hAnsi="Arial" w:cs="Arial"/>
      <w:b/>
      <w:bCs/>
      <w:szCs w:val="24"/>
      <w14:ligatures w14:val="standardContextual"/>
    </w:r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pPr>
      <w:autoSpaceDE w:val="0"/>
      <w:autoSpaceDN w:val="0"/>
    </w:pPr>
    <w:rPr>
      <w:rFonts w:eastAsiaTheme="minorEastAsia"/>
      <w:szCs w:val="24"/>
      <w14:ligatures w14:val="standardContextual"/>
    </w:rPr>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heme="minorEastAsia"/>
      <w:b/>
      <w:bCs/>
      <w:szCs w:val="24"/>
      <w14:ligatures w14:val="standardContextual"/>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heme="minorEastAsia"/>
      <w:szCs w:val="24"/>
      <w14:ligatures w14:val="standardContextual"/>
    </w:rPr>
  </w:style>
  <w:style w:type="paragraph" w:customStyle="1" w:styleId="Titreobjet">
    <w:name w:val="Titre objet"/>
    <w:basedOn w:val="Normal"/>
    <w:next w:val="IntrtEEE"/>
    <w:pPr>
      <w:spacing w:before="360" w:after="360"/>
      <w:jc w:val="center"/>
    </w:pPr>
    <w:rPr>
      <w:b/>
    </w:rPr>
  </w:style>
  <w:style w:type="paragraph" w:customStyle="1" w:styleId="TitreobjetPagedecouverture">
    <w:name w:val="Titre objet (Page de couverture)"/>
    <w:basedOn w:val="Titreobjet"/>
    <w:next w:val="IntrtEEEPagedecouverture"/>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TypedudocumentChar">
    <w:name w:val="Type du document Char"/>
    <w:uiPriority w:val="99"/>
    <w:locked/>
    <w:rPr>
      <w:rFonts w:ascii="Times New Roman" w:hAnsi="Times New Roman"/>
      <w:b/>
      <w:sz w:val="24"/>
      <w:szCs w:val="22"/>
      <w:lang w:eastAsia="en-US"/>
    </w:rPr>
  </w:style>
  <w:style w:type="paragraph" w:customStyle="1" w:styleId="Cgha">
    <w:name w:val="Cgha"/>
    <w:basedOn w:val="SectionTitle"/>
    <w:rPr>
      <w:i/>
      <w:iCs/>
      <w:noProof/>
    </w:rPr>
  </w:style>
  <w:style w:type="character" w:customStyle="1" w:styleId="italic1">
    <w:name w:val="italic1"/>
    <w:rPr>
      <w:i/>
      <w:iCs/>
    </w:rPr>
  </w:style>
  <w:style w:type="paragraph" w:customStyle="1" w:styleId="Clear">
    <w:name w:val="Clear"/>
    <w:basedOn w:val="Titrearticle"/>
  </w:style>
  <w:style w:type="paragraph" w:customStyle="1" w:styleId="clearChangeAdded">
    <w:name w:val="clear Change Added"/>
    <w:basedOn w:val="SectionTitle"/>
  </w:style>
  <w:style w:type="paragraph" w:styleId="NormalWeb">
    <w:name w:val="Normal (Web)"/>
    <w:basedOn w:val="Normal"/>
    <w:uiPriority w:val="99"/>
    <w:semiHidden/>
    <w:unhideWhenUsed/>
    <w:rPr>
      <w:szCs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data.europa.eu/eli/dir/2016/2258/oj"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data.europa.eu/eli/dir/2016/881/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data.europa.eu/eli/dir/2021/514/o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data.europa.eu/eli/dir/2015/2376/oj"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data.europa.eu/eli/dir/2014/107/oj" TargetMode="External"/><Relationship Id="rId28" Type="http://schemas.openxmlformats.org/officeDocument/2006/relationships/hyperlink" Target="http://data.europa.eu/eli/dir/2020/876/oj" TargetMode="External"/><Relationship Id="rId10" Type="http://schemas.openxmlformats.org/officeDocument/2006/relationships/image" Target="media/image1.emf"/><Relationship Id="rId19" Type="http://schemas.openxmlformats.org/officeDocument/2006/relationships/footer" Target="footer5.xml"/><Relationship Id="rId31" Type="http://schemas.openxmlformats.org/officeDocument/2006/relationships/hyperlink" Target="http://data.europa.eu/eli/dir/2025/872/o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data.europa.eu/eli/dir/2011/16/oj" TargetMode="External"/><Relationship Id="rId27" Type="http://schemas.openxmlformats.org/officeDocument/2006/relationships/hyperlink" Target="http://data.europa.eu/eli/dir/2018/822/oj" TargetMode="External"/><Relationship Id="rId30" Type="http://schemas.openxmlformats.org/officeDocument/2006/relationships/hyperlink" Target="http://data.europa.eu/eli/dir/2023/2226/oj" TargetMode="Externa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B4AA4-6865-46EF-8C8D-962AC88C42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995C8F-85D9-4740-9DF9-1EC7C164D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3A6DA-6339-46D1-8A5F-EB13927E2E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127</TotalTime>
  <Pages>4</Pages>
  <Words>46308</Words>
  <Characters>263961</Characters>
  <Application>Microsoft Office Word</Application>
  <DocSecurity>0</DocSecurity>
  <Lines>2199</Lines>
  <Paragraphs>619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309650</CharactersWithSpaces>
  <SharedDoc>false</SharedDoc>
  <HLinks>
    <vt:vector size="66" baseType="variant">
      <vt:variant>
        <vt:i4>4259864</vt:i4>
      </vt:variant>
      <vt:variant>
        <vt:i4>540</vt:i4>
      </vt:variant>
      <vt:variant>
        <vt:i4>0</vt:i4>
      </vt:variant>
      <vt:variant>
        <vt:i4>5</vt:i4>
      </vt:variant>
      <vt:variant>
        <vt:lpwstr>http://data.europa.eu/eli/dir/2025/872/oj</vt:lpwstr>
      </vt:variant>
      <vt:variant>
        <vt:lpwstr/>
      </vt:variant>
      <vt:variant>
        <vt:i4>6750315</vt:i4>
      </vt:variant>
      <vt:variant>
        <vt:i4>537</vt:i4>
      </vt:variant>
      <vt:variant>
        <vt:i4>0</vt:i4>
      </vt:variant>
      <vt:variant>
        <vt:i4>5</vt:i4>
      </vt:variant>
      <vt:variant>
        <vt:lpwstr>http://data.europa.eu/eli/dir/2023/2226/oj</vt:lpwstr>
      </vt:variant>
      <vt:variant>
        <vt:lpwstr/>
      </vt:variant>
      <vt:variant>
        <vt:i4>5111838</vt:i4>
      </vt:variant>
      <vt:variant>
        <vt:i4>534</vt:i4>
      </vt:variant>
      <vt:variant>
        <vt:i4>0</vt:i4>
      </vt:variant>
      <vt:variant>
        <vt:i4>5</vt:i4>
      </vt:variant>
      <vt:variant>
        <vt:lpwstr>http://data.europa.eu/eli/dir/2021/514/oj</vt:lpwstr>
      </vt:variant>
      <vt:variant>
        <vt:lpwstr/>
      </vt:variant>
      <vt:variant>
        <vt:i4>4194328</vt:i4>
      </vt:variant>
      <vt:variant>
        <vt:i4>531</vt:i4>
      </vt:variant>
      <vt:variant>
        <vt:i4>0</vt:i4>
      </vt:variant>
      <vt:variant>
        <vt:i4>5</vt:i4>
      </vt:variant>
      <vt:variant>
        <vt:lpwstr>http://data.europa.eu/eli/dir/2020/876/oj</vt:lpwstr>
      </vt:variant>
      <vt:variant>
        <vt:lpwstr/>
      </vt:variant>
      <vt:variant>
        <vt:i4>4980766</vt:i4>
      </vt:variant>
      <vt:variant>
        <vt:i4>528</vt:i4>
      </vt:variant>
      <vt:variant>
        <vt:i4>0</vt:i4>
      </vt:variant>
      <vt:variant>
        <vt:i4>5</vt:i4>
      </vt:variant>
      <vt:variant>
        <vt:lpwstr>http://data.europa.eu/eli/dir/2018/822/oj</vt:lpwstr>
      </vt:variant>
      <vt:variant>
        <vt:lpwstr/>
      </vt:variant>
      <vt:variant>
        <vt:i4>6619238</vt:i4>
      </vt:variant>
      <vt:variant>
        <vt:i4>525</vt:i4>
      </vt:variant>
      <vt:variant>
        <vt:i4>0</vt:i4>
      </vt:variant>
      <vt:variant>
        <vt:i4>5</vt:i4>
      </vt:variant>
      <vt:variant>
        <vt:lpwstr>http://data.europa.eu/eli/dir/2016/2258/oj</vt:lpwstr>
      </vt:variant>
      <vt:variant>
        <vt:lpwstr/>
      </vt:variant>
      <vt:variant>
        <vt:i4>4259860</vt:i4>
      </vt:variant>
      <vt:variant>
        <vt:i4>522</vt:i4>
      </vt:variant>
      <vt:variant>
        <vt:i4>0</vt:i4>
      </vt:variant>
      <vt:variant>
        <vt:i4>5</vt:i4>
      </vt:variant>
      <vt:variant>
        <vt:lpwstr>http://data.europa.eu/eli/dir/2016/881/oj</vt:lpwstr>
      </vt:variant>
      <vt:variant>
        <vt:lpwstr/>
      </vt:variant>
      <vt:variant>
        <vt:i4>6553705</vt:i4>
      </vt:variant>
      <vt:variant>
        <vt:i4>519</vt:i4>
      </vt:variant>
      <vt:variant>
        <vt:i4>0</vt:i4>
      </vt:variant>
      <vt:variant>
        <vt:i4>5</vt:i4>
      </vt:variant>
      <vt:variant>
        <vt:lpwstr>http://data.europa.eu/eli/dir/2015/2376/oj</vt:lpwstr>
      </vt:variant>
      <vt:variant>
        <vt:lpwstr/>
      </vt:variant>
      <vt:variant>
        <vt:i4>4980764</vt:i4>
      </vt:variant>
      <vt:variant>
        <vt:i4>516</vt:i4>
      </vt:variant>
      <vt:variant>
        <vt:i4>0</vt:i4>
      </vt:variant>
      <vt:variant>
        <vt:i4>5</vt:i4>
      </vt:variant>
      <vt:variant>
        <vt:lpwstr>http://data.europa.eu/eli/dir/2014/107/oj</vt:lpwstr>
      </vt:variant>
      <vt:variant>
        <vt:lpwstr/>
      </vt:variant>
      <vt:variant>
        <vt:i4>5505114</vt:i4>
      </vt:variant>
      <vt:variant>
        <vt:i4>513</vt:i4>
      </vt:variant>
      <vt:variant>
        <vt:i4>0</vt:i4>
      </vt:variant>
      <vt:variant>
        <vt:i4>5</vt:i4>
      </vt:variant>
      <vt:variant>
        <vt:lpwstr>http://data.europa.eu/eli/dir/2011/16/oj</vt:lpwstr>
      </vt:variant>
      <vt:variant>
        <vt:lpwstr/>
      </vt:variant>
      <vt:variant>
        <vt:i4>4915228</vt:i4>
      </vt:variant>
      <vt:variant>
        <vt:i4>0</vt:i4>
      </vt:variant>
      <vt:variant>
        <vt:i4>0</vt:i4>
      </vt:variant>
      <vt:variant>
        <vt:i4>5</vt:i4>
      </vt:variant>
      <vt:variant>
        <vt:lpwstr>http://data.europa.eu/eli/dir/2006/112/oj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37</cp:revision>
  <dcterms:created xsi:type="dcterms:W3CDTF">2026-06-10T08:17:00Z</dcterms:created>
  <dcterms:modified xsi:type="dcterms:W3CDTF">2026-09-08T16:30:00Z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9</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2026-05-19T10:23:56Z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4f1716d9-30cc-4134-bb3f-921064b90e40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0x01010055E68F44832CFE409BA7AADB8BC63B56</vt:lpwstr>
  </property>
  <property fmtid="{D5CDD505-2E9C-101B-9397-08002B2CF9AE}" pid="22" name="MediaServiceImageTags">
    <vt:lpwstr/>
  </property>
  <property fmtid="{D5CDD505-2E9C-101B-9397-08002B2CF9AE}" pid="23" name="LWCR IsRefonte">
    <vt:lpwstr>True</vt:lpwstr>
  </property>
  <property fmtid="{D5CDD505-2E9C-101B-9397-08002B2CF9AE}" pid="24" name="DQCStatus">
    <vt:lpwstr>Green (DQC version 03)</vt:lpwstr>
  </property>
</Properties>
</file>